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宋体" w:hAnsi="宋体"/>
          <w:b/>
          <w:bCs/>
          <w:color w:val="auto"/>
          <w:sz w:val="48"/>
          <w:szCs w:val="48"/>
          <w:highlight w:val="none"/>
          <w:lang w:val="en-US" w:eastAsia="zh-CN"/>
        </w:rPr>
      </w:pPr>
    </w:p>
    <w:p>
      <w:pPr>
        <w:spacing w:line="500" w:lineRule="exact"/>
        <w:jc w:val="center"/>
        <w:rPr>
          <w:rFonts w:hint="eastAsia" w:ascii="宋体" w:hAnsi="宋体"/>
          <w:b/>
          <w:bCs/>
          <w:color w:val="auto"/>
          <w:sz w:val="48"/>
          <w:szCs w:val="48"/>
          <w:highlight w:val="none"/>
          <w:lang w:val="en-US" w:eastAsia="zh-CN"/>
        </w:rPr>
      </w:pPr>
    </w:p>
    <w:p>
      <w:pPr>
        <w:jc w:val="center"/>
        <w:rPr>
          <w:rFonts w:hint="eastAsia" w:ascii="黑体" w:hAnsi="黑体" w:eastAsia="黑体"/>
          <w:b/>
          <w:sz w:val="48"/>
          <w:szCs w:val="24"/>
          <w:highlight w:val="none"/>
        </w:rPr>
      </w:pPr>
    </w:p>
    <w:p>
      <w:pPr>
        <w:jc w:val="center"/>
        <w:rPr>
          <w:rFonts w:hint="eastAsia" w:ascii="黑体" w:hAnsi="黑体" w:eastAsia="黑体"/>
          <w:b/>
          <w:sz w:val="48"/>
          <w:szCs w:val="24"/>
          <w:highlight w:val="none"/>
          <w:lang w:val="en-US" w:eastAsia="zh-CN"/>
        </w:rPr>
      </w:pPr>
      <w:r>
        <w:rPr>
          <w:rFonts w:hint="eastAsia" w:ascii="黑体" w:hAnsi="黑体" w:eastAsia="黑体"/>
          <w:b/>
          <w:sz w:val="48"/>
          <w:szCs w:val="24"/>
          <w:highlight w:val="none"/>
          <w:lang w:val="en-US" w:eastAsia="zh-CN"/>
        </w:rPr>
        <w:t>阿瓦提县人民医院采购氩气刀项目</w:t>
      </w: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jc w:val="center"/>
        <w:rPr>
          <w:rFonts w:hint="eastAsia" w:ascii="黑体" w:hAnsi="黑体" w:eastAsia="黑体"/>
          <w:b/>
          <w:sz w:val="48"/>
          <w:szCs w:val="24"/>
          <w:highlight w:val="none"/>
        </w:rPr>
      </w:pPr>
    </w:p>
    <w:p>
      <w:pPr>
        <w:jc w:val="center"/>
        <w:rPr>
          <w:rFonts w:hint="eastAsia" w:ascii="黑体" w:hAnsi="黑体" w:eastAsia="黑体"/>
          <w:b/>
          <w:sz w:val="48"/>
          <w:szCs w:val="24"/>
          <w:highlight w:val="none"/>
        </w:rPr>
      </w:pPr>
      <w:r>
        <w:rPr>
          <w:rFonts w:hint="eastAsia" w:ascii="黑体" w:hAnsi="黑体" w:eastAsia="黑体"/>
          <w:b/>
          <w:sz w:val="48"/>
          <w:szCs w:val="24"/>
          <w:highlight w:val="none"/>
        </w:rPr>
        <w:t>竞争性谈判文件</w:t>
      </w:r>
    </w:p>
    <w:p>
      <w:pPr>
        <w:tabs>
          <w:tab w:val="left" w:pos="1620"/>
          <w:tab w:val="left" w:pos="1800"/>
          <w:tab w:val="left" w:pos="1980"/>
        </w:tabs>
        <w:spacing w:line="720" w:lineRule="auto"/>
        <w:rPr>
          <w:rFonts w:hint="eastAsia" w:ascii="黑体" w:hAnsi="黑体" w:eastAsia="黑体"/>
          <w:b/>
          <w:sz w:val="33"/>
          <w:highlight w:val="none"/>
        </w:rPr>
      </w:pPr>
    </w:p>
    <w:p>
      <w:pPr>
        <w:tabs>
          <w:tab w:val="left" w:pos="1620"/>
          <w:tab w:val="left" w:pos="1800"/>
          <w:tab w:val="left" w:pos="1980"/>
        </w:tabs>
        <w:spacing w:line="720" w:lineRule="auto"/>
        <w:rPr>
          <w:rFonts w:hint="eastAsia" w:ascii="黑体" w:hAnsi="黑体" w:eastAsia="黑体"/>
          <w:b/>
          <w:sz w:val="33"/>
          <w:highlight w:val="none"/>
        </w:rPr>
      </w:pPr>
    </w:p>
    <w:p>
      <w:pPr>
        <w:pStyle w:val="21"/>
        <w:rPr>
          <w:rFonts w:hint="eastAsia" w:ascii="黑体" w:hAnsi="黑体" w:eastAsia="黑体"/>
          <w:b/>
          <w:sz w:val="33"/>
          <w:highlight w:val="none"/>
        </w:rPr>
      </w:pPr>
    </w:p>
    <w:p>
      <w:pPr>
        <w:pStyle w:val="21"/>
        <w:rPr>
          <w:rFonts w:hint="eastAsia" w:ascii="黑体" w:hAnsi="黑体" w:eastAsia="黑体"/>
          <w:b/>
          <w:sz w:val="33"/>
          <w:highlight w:val="none"/>
        </w:rPr>
      </w:pPr>
    </w:p>
    <w:p>
      <w:pPr>
        <w:pStyle w:val="21"/>
        <w:rPr>
          <w:rFonts w:hint="eastAsia"/>
        </w:rPr>
      </w:pPr>
    </w:p>
    <w:p>
      <w:pPr>
        <w:spacing w:line="480" w:lineRule="auto"/>
        <w:jc w:val="left"/>
        <w:rPr>
          <w:rFonts w:hint="eastAsia" w:ascii="黑体" w:hAnsi="黑体" w:eastAsia="黑体"/>
          <w:b/>
          <w:sz w:val="36"/>
          <w:szCs w:val="36"/>
          <w:highlight w:val="none"/>
        </w:rPr>
      </w:pPr>
    </w:p>
    <w:p>
      <w:pPr>
        <w:spacing w:line="480" w:lineRule="auto"/>
        <w:jc w:val="left"/>
        <w:rPr>
          <w:rFonts w:hint="eastAsia" w:ascii="黑体" w:hAnsi="黑体" w:eastAsia="黑体"/>
          <w:b/>
          <w:sz w:val="36"/>
          <w:szCs w:val="36"/>
          <w:highlight w:val="none"/>
        </w:rPr>
      </w:pPr>
    </w:p>
    <w:p>
      <w:pPr>
        <w:spacing w:line="480" w:lineRule="auto"/>
        <w:jc w:val="both"/>
        <w:rPr>
          <w:rFonts w:hint="eastAsia" w:ascii="黑体" w:hAnsi="黑体" w:eastAsia="黑体"/>
          <w:b/>
          <w:sz w:val="36"/>
          <w:szCs w:val="36"/>
          <w:highlight w:val="none"/>
          <w:lang w:val="en-US" w:eastAsia="zh-CN"/>
        </w:rPr>
      </w:pPr>
      <w:r>
        <w:rPr>
          <w:rFonts w:hint="eastAsia" w:ascii="黑体" w:hAnsi="黑体" w:eastAsia="黑体"/>
          <w:b/>
          <w:sz w:val="36"/>
          <w:szCs w:val="36"/>
          <w:highlight w:val="none"/>
        </w:rPr>
        <w:t>项目编号：</w:t>
      </w:r>
      <w:r>
        <w:rPr>
          <w:rFonts w:hint="eastAsia" w:ascii="黑体" w:hAnsi="黑体" w:eastAsia="黑体"/>
          <w:b/>
          <w:sz w:val="36"/>
          <w:szCs w:val="36"/>
          <w:highlight w:val="none"/>
          <w:lang w:val="en-US" w:eastAsia="zh-CN"/>
        </w:rPr>
        <w:t>AWT-ZFCG-ZQC-(2021)-JZXTP-2324</w:t>
      </w:r>
    </w:p>
    <w:p>
      <w:pPr>
        <w:spacing w:line="480" w:lineRule="auto"/>
        <w:jc w:val="both"/>
        <w:rPr>
          <w:rFonts w:hint="eastAsia" w:ascii="黑体" w:hAnsi="黑体" w:eastAsia="黑体"/>
          <w:b/>
          <w:sz w:val="32"/>
          <w:szCs w:val="32"/>
          <w:highlight w:val="none"/>
          <w:lang w:val="en-US" w:eastAsia="zh-CN"/>
        </w:rPr>
      </w:pPr>
      <w:r>
        <w:rPr>
          <w:rFonts w:hint="eastAsia" w:ascii="黑体" w:hAnsi="黑体" w:eastAsia="黑体"/>
          <w:b/>
          <w:sz w:val="32"/>
          <w:szCs w:val="32"/>
          <w:highlight w:val="none"/>
          <w:lang w:val="en-US" w:eastAsia="zh-CN"/>
        </w:rPr>
        <w:t>采购</w:t>
      </w:r>
      <w:r>
        <w:rPr>
          <w:rFonts w:hint="eastAsia" w:ascii="黑体" w:hAnsi="黑体" w:eastAsia="黑体"/>
          <w:b/>
          <w:sz w:val="32"/>
          <w:szCs w:val="32"/>
          <w:highlight w:val="none"/>
          <w:lang w:eastAsia="zh-CN"/>
        </w:rPr>
        <w:t>单位：阿瓦提县</w:t>
      </w:r>
      <w:r>
        <w:rPr>
          <w:rFonts w:hint="eastAsia" w:ascii="黑体" w:hAnsi="黑体" w:eastAsia="黑体"/>
          <w:b/>
          <w:sz w:val="32"/>
          <w:szCs w:val="32"/>
          <w:highlight w:val="none"/>
          <w:lang w:val="en-US" w:eastAsia="zh-CN"/>
        </w:rPr>
        <w:t>人民医院</w:t>
      </w:r>
    </w:p>
    <w:p>
      <w:pPr>
        <w:spacing w:line="480" w:lineRule="auto"/>
        <w:jc w:val="both"/>
        <w:rPr>
          <w:rFonts w:hint="eastAsia" w:ascii="黑体" w:hAnsi="黑体" w:eastAsia="黑体"/>
          <w:b/>
          <w:sz w:val="32"/>
          <w:szCs w:val="32"/>
          <w:highlight w:val="none"/>
        </w:rPr>
      </w:pPr>
      <w:r>
        <w:rPr>
          <w:rFonts w:hint="eastAsia" w:ascii="黑体" w:hAnsi="黑体" w:eastAsia="黑体"/>
          <w:b/>
          <w:sz w:val="32"/>
          <w:szCs w:val="32"/>
          <w:highlight w:val="none"/>
          <w:lang w:eastAsia="zh-CN"/>
        </w:rPr>
        <w:t>招标代理</w:t>
      </w:r>
      <w:r>
        <w:rPr>
          <w:rFonts w:hint="eastAsia" w:ascii="黑体" w:hAnsi="黑体" w:eastAsia="黑体"/>
          <w:b/>
          <w:sz w:val="32"/>
          <w:szCs w:val="32"/>
          <w:highlight w:val="none"/>
        </w:rPr>
        <w:t>：新疆中前川项目管理有限公司</w:t>
      </w:r>
    </w:p>
    <w:p>
      <w:pPr>
        <w:spacing w:line="480" w:lineRule="auto"/>
        <w:jc w:val="both"/>
        <w:rPr>
          <w:rFonts w:hint="eastAsia" w:ascii="黑体" w:hAnsi="黑体" w:eastAsia="黑体"/>
          <w:b/>
          <w:sz w:val="32"/>
          <w:highlight w:val="none"/>
        </w:rPr>
      </w:pPr>
      <w:r>
        <w:rPr>
          <w:rFonts w:hint="eastAsia" w:ascii="黑体" w:hAnsi="黑体" w:eastAsia="黑体"/>
          <w:b/>
          <w:sz w:val="32"/>
          <w:highlight w:val="none"/>
        </w:rPr>
        <w:t>日    期：二零</w:t>
      </w:r>
      <w:r>
        <w:rPr>
          <w:rFonts w:hint="eastAsia" w:ascii="黑体" w:hAnsi="黑体" w:eastAsia="黑体"/>
          <w:b/>
          <w:sz w:val="32"/>
          <w:highlight w:val="none"/>
          <w:lang w:eastAsia="zh-CN"/>
        </w:rPr>
        <w:t>二</w:t>
      </w:r>
      <w:r>
        <w:rPr>
          <w:rFonts w:hint="eastAsia" w:ascii="黑体" w:hAnsi="黑体" w:eastAsia="黑体"/>
          <w:b/>
          <w:sz w:val="32"/>
          <w:highlight w:val="none"/>
          <w:lang w:val="en-US" w:eastAsia="zh-CN"/>
        </w:rPr>
        <w:t>壹</w:t>
      </w:r>
      <w:r>
        <w:rPr>
          <w:rFonts w:hint="eastAsia" w:ascii="黑体" w:hAnsi="黑体" w:eastAsia="黑体"/>
          <w:b/>
          <w:sz w:val="32"/>
          <w:highlight w:val="none"/>
        </w:rPr>
        <w:t>年</w:t>
      </w:r>
      <w:r>
        <w:rPr>
          <w:rFonts w:hint="eastAsia" w:ascii="黑体" w:hAnsi="黑体" w:eastAsia="黑体"/>
          <w:b/>
          <w:sz w:val="32"/>
          <w:highlight w:val="none"/>
          <w:lang w:val="en-US" w:eastAsia="zh-CN"/>
        </w:rPr>
        <w:t>十二</w:t>
      </w:r>
      <w:r>
        <w:rPr>
          <w:rFonts w:hint="eastAsia" w:ascii="黑体" w:hAnsi="黑体" w:eastAsia="黑体"/>
          <w:b/>
          <w:sz w:val="32"/>
          <w:highlight w:val="none"/>
        </w:rPr>
        <w:t>月</w:t>
      </w:r>
    </w:p>
    <w:p>
      <w:pPr>
        <w:spacing w:line="480" w:lineRule="auto"/>
        <w:jc w:val="both"/>
        <w:rPr>
          <w:rFonts w:hint="eastAsia" w:ascii="仿宋" w:hAnsi="仿宋" w:eastAsia="仿宋" w:cs="仿宋"/>
          <w:b/>
          <w:color w:val="auto"/>
          <w:spacing w:val="20"/>
          <w:sz w:val="36"/>
          <w:szCs w:val="36"/>
          <w:highlight w:val="none"/>
          <w:lang w:val="en-US" w:eastAsia="zh-CN"/>
        </w:rPr>
      </w:pPr>
      <w:r>
        <w:rPr>
          <w:rFonts w:hint="eastAsia" w:ascii="仿宋" w:hAnsi="仿宋" w:eastAsia="仿宋" w:cs="仿宋"/>
          <w:b/>
          <w:color w:val="auto"/>
          <w:spacing w:val="20"/>
          <w:sz w:val="36"/>
          <w:szCs w:val="36"/>
          <w:highlight w:val="none"/>
          <w:lang w:val="en-US" w:eastAsia="zh-CN"/>
        </w:rPr>
        <w:br w:type="page"/>
      </w: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宋体" w:hAnsi="宋体" w:eastAsia="宋体" w:cs="宋体"/>
          <w:b w:val="0"/>
          <w:bCs/>
          <w:sz w:val="48"/>
          <w:szCs w:val="48"/>
        </w:rPr>
      </w:pPr>
      <w:r>
        <w:rPr>
          <w:rFonts w:hint="eastAsia" w:ascii="宋体" w:hAnsi="宋体" w:eastAsia="宋体" w:cs="宋体"/>
          <w:b w:val="0"/>
          <w:bCs/>
          <w:sz w:val="48"/>
          <w:szCs w:val="48"/>
          <w:lang w:val="en-US" w:eastAsia="zh-CN"/>
        </w:rPr>
        <w:t>竞争性谈判</w:t>
      </w:r>
      <w:r>
        <w:rPr>
          <w:rFonts w:hint="eastAsia" w:ascii="宋体" w:hAnsi="宋体" w:eastAsia="宋体" w:cs="宋体"/>
          <w:b w:val="0"/>
          <w:bCs/>
          <w:sz w:val="48"/>
          <w:szCs w:val="48"/>
        </w:rPr>
        <w:t>文件</w:t>
      </w:r>
    </w:p>
    <w:p>
      <w:pPr>
        <w:spacing w:line="480" w:lineRule="exact"/>
        <w:rPr>
          <w:rFonts w:hint="eastAsia" w:ascii="宋体" w:hAnsi="宋体" w:eastAsia="宋体" w:cs="宋体"/>
          <w:bCs/>
          <w:sz w:val="28"/>
          <w:szCs w:val="28"/>
        </w:rPr>
      </w:pPr>
    </w:p>
    <w:p>
      <w:pPr>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项目</w:t>
      </w:r>
      <w:r>
        <w:rPr>
          <w:rFonts w:hint="eastAsia" w:ascii="宋体" w:hAnsi="宋体" w:eastAsia="宋体" w:cs="宋体"/>
          <w:bCs/>
          <w:sz w:val="28"/>
          <w:szCs w:val="28"/>
        </w:rPr>
        <w:t>名称：</w:t>
      </w:r>
      <w:r>
        <w:rPr>
          <w:rFonts w:hint="eastAsia" w:ascii="宋体" w:hAnsi="宋体" w:eastAsia="宋体" w:cs="宋体"/>
          <w:bCs/>
          <w:sz w:val="28"/>
          <w:szCs w:val="28"/>
          <w:lang w:val="en-US" w:eastAsia="zh-CN"/>
        </w:rPr>
        <w:t>阿瓦提县人民医院采购氩气刀项目</w:t>
      </w:r>
    </w:p>
    <w:p>
      <w:pPr>
        <w:rPr>
          <w:rFonts w:hint="eastAsia" w:ascii="宋体" w:hAnsi="宋体" w:eastAsia="宋体" w:cs="宋体"/>
          <w:bCs/>
          <w:sz w:val="28"/>
          <w:szCs w:val="28"/>
          <w:lang w:val="en-US" w:eastAsia="zh-CN"/>
        </w:rPr>
      </w:pPr>
      <w:r>
        <w:rPr>
          <w:rFonts w:hint="eastAsia" w:ascii="宋体" w:hAnsi="宋体" w:cs="宋体"/>
          <w:bCs/>
          <w:sz w:val="28"/>
          <w:szCs w:val="28"/>
          <w:lang w:val="en-US" w:eastAsia="zh-CN"/>
        </w:rPr>
        <w:t>采购</w:t>
      </w:r>
      <w:r>
        <w:rPr>
          <w:rFonts w:hint="eastAsia" w:ascii="宋体" w:hAnsi="宋体" w:eastAsia="宋体" w:cs="宋体"/>
          <w:bCs/>
          <w:sz w:val="28"/>
          <w:szCs w:val="28"/>
          <w:lang w:eastAsia="zh-CN"/>
        </w:rPr>
        <w:t xml:space="preserve"> 人（公章）：</w:t>
      </w:r>
      <w:r>
        <w:rPr>
          <w:rFonts w:hint="eastAsia" w:ascii="宋体" w:hAnsi="宋体" w:eastAsia="宋体" w:cs="宋体"/>
          <w:bCs/>
          <w:sz w:val="28"/>
          <w:szCs w:val="28"/>
          <w:lang w:val="en-US" w:eastAsia="zh-CN"/>
        </w:rPr>
        <w:t>阿瓦提县人民医院</w:t>
      </w:r>
    </w:p>
    <w:p>
      <w:pPr>
        <w:rPr>
          <w:rFonts w:hint="eastAsia" w:ascii="宋体" w:hAnsi="宋体" w:eastAsia="宋体" w:cs="宋体"/>
          <w:bCs/>
          <w:sz w:val="28"/>
          <w:szCs w:val="28"/>
          <w:lang w:eastAsia="zh-CN"/>
        </w:rPr>
      </w:pPr>
      <w:r>
        <w:rPr>
          <w:rFonts w:hint="eastAsia" w:ascii="宋体" w:hAnsi="宋体" w:eastAsia="宋体" w:cs="宋体"/>
          <w:bCs/>
          <w:sz w:val="28"/>
          <w:szCs w:val="28"/>
          <w:lang w:eastAsia="zh-CN"/>
        </w:rPr>
        <w:t>法定代表人（签章)：</w:t>
      </w:r>
    </w:p>
    <w:p>
      <w:pPr>
        <w:rPr>
          <w:rFonts w:hint="eastAsia" w:ascii="宋体" w:hAnsi="宋体" w:cs="宋体"/>
          <w:bCs/>
          <w:sz w:val="28"/>
          <w:szCs w:val="28"/>
          <w:lang w:val="en-US" w:eastAsia="zh-CN"/>
        </w:rPr>
      </w:pPr>
      <w:r>
        <w:rPr>
          <w:rFonts w:hint="eastAsia" w:ascii="宋体" w:hAnsi="宋体" w:eastAsia="宋体" w:cs="宋体"/>
          <w:bCs/>
          <w:sz w:val="28"/>
          <w:szCs w:val="28"/>
          <w:lang w:eastAsia="zh-CN"/>
        </w:rPr>
        <w:t>联  系  人：</w:t>
      </w:r>
      <w:r>
        <w:rPr>
          <w:rFonts w:hint="eastAsia" w:ascii="宋体" w:hAnsi="宋体" w:cs="宋体"/>
          <w:bCs/>
          <w:sz w:val="28"/>
          <w:szCs w:val="28"/>
          <w:lang w:val="en-US" w:eastAsia="zh-CN"/>
        </w:rPr>
        <w:t>吴红霞</w:t>
      </w:r>
    </w:p>
    <w:p>
      <w:pPr>
        <w:rPr>
          <w:rFonts w:hint="default" w:ascii="宋体" w:hAnsi="宋体" w:eastAsia="宋体" w:cs="宋体"/>
          <w:bCs/>
          <w:sz w:val="28"/>
          <w:szCs w:val="28"/>
          <w:lang w:val="en-US" w:eastAsia="zh-CN"/>
        </w:rPr>
      </w:pPr>
      <w:r>
        <w:rPr>
          <w:rFonts w:hint="eastAsia" w:ascii="宋体" w:hAnsi="宋体" w:eastAsia="宋体" w:cs="宋体"/>
          <w:bCs/>
          <w:sz w:val="28"/>
          <w:szCs w:val="28"/>
          <w:lang w:eastAsia="zh-CN"/>
        </w:rPr>
        <w:t>联系电话：</w:t>
      </w:r>
      <w:r>
        <w:rPr>
          <w:rFonts w:hint="eastAsia" w:ascii="宋体" w:hAnsi="宋体" w:eastAsia="宋体" w:cs="宋体"/>
          <w:bCs/>
          <w:sz w:val="28"/>
          <w:szCs w:val="28"/>
          <w:lang w:val="en-US" w:eastAsia="zh-CN"/>
        </w:rPr>
        <w:t>18799933066</w:t>
      </w:r>
      <w:r>
        <w:rPr>
          <w:rFonts w:hint="eastAsia" w:ascii="宋体" w:hAnsi="宋体" w:eastAsia="宋体" w:cs="宋体"/>
          <w:bCs/>
          <w:sz w:val="28"/>
          <w:szCs w:val="28"/>
          <w:lang w:eastAsia="zh-CN"/>
        </w:rPr>
        <w:t>  </w:t>
      </w:r>
      <w:r>
        <w:rPr>
          <w:rFonts w:hint="default" w:ascii="宋体" w:hAnsi="宋体" w:eastAsia="宋体" w:cs="宋体"/>
          <w:bCs/>
          <w:sz w:val="28"/>
          <w:szCs w:val="28"/>
          <w:lang w:eastAsia="zh-CN"/>
        </w:rPr>
        <w:t xml:space="preserve">  </w:t>
      </w:r>
      <w:r>
        <w:rPr>
          <w:rFonts w:hint="eastAsia" w:ascii="宋体" w:hAnsi="宋体" w:eastAsia="宋体" w:cs="宋体"/>
          <w:bCs/>
          <w:sz w:val="28"/>
          <w:szCs w:val="28"/>
          <w:lang w:eastAsia="zh-CN"/>
        </w:rPr>
        <w:t xml:space="preserve">  </w:t>
      </w:r>
    </w:p>
    <w:p>
      <w:pPr>
        <w:spacing w:line="360" w:lineRule="auto"/>
        <w:jc w:val="left"/>
        <w:rPr>
          <w:rFonts w:hint="eastAsia" w:ascii="宋体" w:hAnsi="宋体" w:eastAsia="宋体" w:cs="宋体"/>
          <w:bCs/>
          <w:sz w:val="28"/>
          <w:szCs w:val="28"/>
          <w:lang w:eastAsia="zh-CN"/>
        </w:rPr>
      </w:pPr>
      <w:r>
        <w:rPr>
          <w:rFonts w:hint="eastAsia" w:ascii="宋体" w:hAnsi="宋体" w:eastAsia="宋体" w:cs="宋体"/>
          <w:bCs/>
          <w:sz w:val="28"/>
          <w:szCs w:val="28"/>
          <w:lang w:eastAsia="zh-CN"/>
        </w:rPr>
        <w:t>联系地址：阿瓦提县拥军路30号</w:t>
      </w:r>
      <w:r>
        <w:rPr>
          <w:rFonts w:hint="default" w:ascii="宋体" w:hAnsi="宋体" w:eastAsia="宋体" w:cs="宋体"/>
          <w:bCs/>
          <w:sz w:val="28"/>
          <w:szCs w:val="28"/>
        </w:rPr>
        <w:t xml:space="preserve"> </w:t>
      </w:r>
    </w:p>
    <w:p>
      <w:pPr>
        <w:widowControl/>
        <w:spacing w:line="360" w:lineRule="auto"/>
        <w:jc w:val="left"/>
        <w:rPr>
          <w:rFonts w:hint="eastAsia" w:ascii="宋体" w:hAnsi="宋体" w:eastAsia="宋体" w:cs="宋体"/>
          <w:bCs/>
          <w:sz w:val="28"/>
          <w:szCs w:val="28"/>
        </w:rPr>
      </w:pPr>
      <w:r>
        <w:rPr>
          <w:rFonts w:hint="eastAsia" w:ascii="宋体" w:hAnsi="宋体" w:eastAsia="宋体" w:cs="宋体"/>
          <w:bCs/>
          <w:sz w:val="28"/>
          <w:szCs w:val="28"/>
          <w:lang w:eastAsia="zh-CN"/>
        </w:rPr>
        <w:t> </w:t>
      </w:r>
    </w:p>
    <w:p>
      <w:pPr>
        <w:widowControl/>
        <w:spacing w:line="360" w:lineRule="auto"/>
        <w:jc w:val="left"/>
        <w:rPr>
          <w:rFonts w:hint="eastAsia" w:ascii="宋体" w:hAnsi="宋体" w:eastAsia="宋体" w:cs="宋体"/>
          <w:bCs/>
          <w:sz w:val="28"/>
          <w:szCs w:val="28"/>
        </w:rPr>
      </w:pPr>
    </w:p>
    <w:p>
      <w:pPr>
        <w:widowControl/>
        <w:spacing w:line="360" w:lineRule="auto"/>
        <w:jc w:val="left"/>
        <w:rPr>
          <w:rFonts w:hint="eastAsia" w:ascii="宋体" w:hAnsi="宋体" w:eastAsia="宋体" w:cs="宋体"/>
          <w:bCs/>
          <w:sz w:val="28"/>
          <w:szCs w:val="28"/>
        </w:rPr>
      </w:pPr>
    </w:p>
    <w:p>
      <w:pPr>
        <w:adjustRightInd w:val="0"/>
        <w:snapToGrid w:val="0"/>
        <w:spacing w:line="360" w:lineRule="auto"/>
        <w:jc w:val="left"/>
        <w:rPr>
          <w:rFonts w:hint="eastAsia" w:ascii="宋体" w:hAnsi="宋体" w:eastAsia="宋体" w:cs="宋体"/>
          <w:bCs/>
          <w:sz w:val="28"/>
          <w:szCs w:val="28"/>
        </w:rPr>
      </w:pPr>
    </w:p>
    <w:p>
      <w:pPr>
        <w:adjustRightInd w:val="0"/>
        <w:snapToGrid w:val="0"/>
        <w:spacing w:line="360" w:lineRule="auto"/>
        <w:jc w:val="left"/>
        <w:rPr>
          <w:rFonts w:hint="eastAsia" w:ascii="宋体" w:hAnsi="宋体" w:eastAsia="宋体" w:cs="宋体"/>
          <w:bCs/>
          <w:sz w:val="28"/>
          <w:szCs w:val="28"/>
        </w:rPr>
      </w:pPr>
    </w:p>
    <w:p>
      <w:pPr>
        <w:adjustRightInd w:val="0"/>
        <w:snapToGrid w:val="0"/>
        <w:spacing w:line="360" w:lineRule="auto"/>
        <w:jc w:val="left"/>
        <w:rPr>
          <w:rFonts w:hint="eastAsia" w:ascii="宋体" w:hAnsi="宋体" w:eastAsia="宋体" w:cs="宋体"/>
          <w:bCs/>
          <w:sz w:val="28"/>
          <w:szCs w:val="28"/>
        </w:rPr>
      </w:pPr>
    </w:p>
    <w:p>
      <w:pPr>
        <w:widowControl/>
        <w:spacing w:line="360" w:lineRule="auto"/>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招标代理机构：新疆中前川项目管理有限公司　  </w:t>
      </w:r>
    </w:p>
    <w:p>
      <w:pPr>
        <w:widowControl/>
        <w:spacing w:line="360" w:lineRule="auto"/>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法定代表人（签章)：</w:t>
      </w:r>
    </w:p>
    <w:p>
      <w:pPr>
        <w:widowControl/>
        <w:spacing w:line="360" w:lineRule="auto"/>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联  系  人：</w:t>
      </w:r>
      <w:r>
        <w:rPr>
          <w:rFonts w:hint="eastAsia" w:ascii="宋体" w:hAnsi="宋体" w:cs="宋体"/>
          <w:bCs/>
          <w:sz w:val="28"/>
          <w:szCs w:val="28"/>
          <w:lang w:val="en-US" w:eastAsia="zh-CN"/>
        </w:rPr>
        <w:t>陈兰</w:t>
      </w:r>
    </w:p>
    <w:p>
      <w:pPr>
        <w:widowControl/>
        <w:spacing w:line="360" w:lineRule="auto"/>
        <w:jc w:val="left"/>
        <w:rPr>
          <w:rFonts w:hint="eastAsia" w:ascii="宋体" w:hAnsi="宋体" w:cs="宋体"/>
          <w:bCs/>
          <w:sz w:val="28"/>
          <w:szCs w:val="28"/>
          <w:lang w:val="en-US" w:eastAsia="zh-CN"/>
        </w:rPr>
      </w:pPr>
      <w:r>
        <w:rPr>
          <w:rFonts w:hint="eastAsia" w:ascii="宋体" w:hAnsi="宋体" w:eastAsia="宋体" w:cs="宋体"/>
          <w:bCs/>
          <w:sz w:val="28"/>
          <w:szCs w:val="28"/>
          <w:lang w:val="en-US" w:eastAsia="zh-CN"/>
        </w:rPr>
        <w:t>联 系 电 话：</w:t>
      </w:r>
      <w:r>
        <w:rPr>
          <w:rFonts w:hint="eastAsia" w:ascii="宋体" w:hAnsi="宋体" w:cs="宋体"/>
          <w:bCs/>
          <w:sz w:val="28"/>
          <w:szCs w:val="28"/>
          <w:lang w:val="en-US" w:eastAsia="zh-CN"/>
        </w:rPr>
        <w:t>13031270081</w:t>
      </w:r>
    </w:p>
    <w:p>
      <w:pPr>
        <w:widowControl/>
        <w:spacing w:line="360" w:lineRule="auto"/>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联 系 地 址：阿克苏市金石圆和苑1单元1702室</w:t>
      </w:r>
    </w:p>
    <w:p>
      <w:pPr>
        <w:jc w:val="left"/>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pStyle w:val="21"/>
        <w:rPr>
          <w:rFonts w:hint="eastAsia"/>
          <w:lang w:val="en-US" w:eastAsia="zh-CN"/>
        </w:rPr>
      </w:pPr>
    </w:p>
    <w:p>
      <w:pPr>
        <w:jc w:val="both"/>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r>
        <w:rPr>
          <w:rFonts w:hint="eastAsia" w:ascii="仿宋" w:hAnsi="仿宋" w:eastAsia="仿宋" w:cs="仿宋"/>
          <w:b/>
          <w:color w:val="auto"/>
          <w:spacing w:val="20"/>
          <w:sz w:val="36"/>
          <w:szCs w:val="36"/>
          <w:highlight w:val="none"/>
          <w:lang w:val="en-US" w:eastAsia="zh-CN"/>
        </w:rPr>
        <w:t>目 录</w:t>
      </w:r>
    </w:p>
    <w:p>
      <w:pPr>
        <w:pStyle w:val="13"/>
        <w:tabs>
          <w:tab w:val="right" w:leader="dot" w:pos="8400"/>
        </w:tabs>
        <w:rPr>
          <w:rFonts w:hint="eastAsia" w:ascii="仿宋" w:hAnsi="仿宋" w:eastAsia="仿宋" w:cs="仿宋"/>
          <w:sz w:val="28"/>
          <w:szCs w:val="28"/>
          <w:highlight w:val="none"/>
        </w:rPr>
      </w:pPr>
      <w:r>
        <w:rPr>
          <w:rFonts w:hint="eastAsia" w:ascii="仿宋" w:hAnsi="仿宋" w:eastAsia="仿宋" w:cs="仿宋"/>
          <w:b/>
          <w:color w:val="auto"/>
          <w:spacing w:val="20"/>
          <w:sz w:val="28"/>
          <w:szCs w:val="28"/>
          <w:highlight w:val="none"/>
          <w:lang w:val="en-US" w:eastAsia="zh-CN"/>
        </w:rPr>
        <w:fldChar w:fldCharType="begin"/>
      </w:r>
      <w:r>
        <w:rPr>
          <w:rFonts w:hint="eastAsia" w:ascii="仿宋" w:hAnsi="仿宋" w:eastAsia="仿宋" w:cs="仿宋"/>
          <w:b/>
          <w:color w:val="auto"/>
          <w:spacing w:val="20"/>
          <w:sz w:val="28"/>
          <w:szCs w:val="28"/>
          <w:highlight w:val="none"/>
          <w:lang w:val="en-US" w:eastAsia="zh-CN"/>
        </w:rPr>
        <w:instrText xml:space="preserve">TOC \o "1-2" \h \u </w:instrText>
      </w:r>
      <w:r>
        <w:rPr>
          <w:rFonts w:hint="eastAsia" w:ascii="仿宋" w:hAnsi="仿宋" w:eastAsia="仿宋" w:cs="仿宋"/>
          <w:b/>
          <w:color w:val="auto"/>
          <w:spacing w:val="20"/>
          <w:sz w:val="28"/>
          <w:szCs w:val="28"/>
          <w:highlight w:val="none"/>
          <w:lang w:val="en-US" w:eastAsia="zh-CN"/>
        </w:rPr>
        <w:fldChar w:fldCharType="separate"/>
      </w: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_Toc24735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spacing w:val="20"/>
          <w:sz w:val="28"/>
          <w:szCs w:val="28"/>
          <w:highlight w:val="none"/>
        </w:rPr>
        <w:t xml:space="preserve">第一部分 </w:t>
      </w:r>
      <w:r>
        <w:rPr>
          <w:rFonts w:hint="eastAsia" w:ascii="仿宋" w:hAnsi="仿宋" w:eastAsia="仿宋" w:cs="仿宋"/>
          <w:bCs/>
          <w:spacing w:val="20"/>
          <w:sz w:val="28"/>
          <w:szCs w:val="28"/>
          <w:highlight w:val="none"/>
          <w:lang w:eastAsia="zh-CN"/>
        </w:rPr>
        <w:t>招标公告</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1</w:t>
      </w:r>
      <w:r>
        <w:rPr>
          <w:rFonts w:hint="eastAsia" w:ascii="仿宋" w:hAnsi="仿宋" w:eastAsia="仿宋" w:cs="仿宋"/>
          <w:color w:val="auto"/>
          <w:spacing w:val="20"/>
          <w:sz w:val="28"/>
          <w:szCs w:val="28"/>
          <w:highlight w:val="none"/>
          <w:lang w:val="en-US" w:eastAsia="zh-CN"/>
        </w:rPr>
        <w:fldChar w:fldCharType="end"/>
      </w:r>
    </w:p>
    <w:p>
      <w:pPr>
        <w:pStyle w:val="13"/>
        <w:tabs>
          <w:tab w:val="right" w:leader="dot" w:pos="8400"/>
        </w:tabs>
        <w:rPr>
          <w:rFonts w:hint="eastAsia" w:ascii="仿宋" w:hAnsi="仿宋" w:eastAsia="仿宋" w:cs="仿宋"/>
          <w:sz w:val="28"/>
          <w:szCs w:val="28"/>
          <w:highlight w:val="none"/>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_Toc28366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spacing w:val="10"/>
          <w:sz w:val="28"/>
          <w:szCs w:val="28"/>
          <w:highlight w:val="none"/>
        </w:rPr>
        <w:t>第二部分 报价人须知</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3</w:t>
      </w:r>
      <w:r>
        <w:rPr>
          <w:rFonts w:hint="eastAsia" w:ascii="仿宋" w:hAnsi="仿宋" w:eastAsia="仿宋" w:cs="仿宋"/>
          <w:color w:val="auto"/>
          <w:spacing w:val="20"/>
          <w:sz w:val="28"/>
          <w:szCs w:val="28"/>
          <w:highlight w:val="none"/>
          <w:lang w:val="en-US" w:eastAsia="zh-CN"/>
        </w:rPr>
        <w:fldChar w:fldCharType="end"/>
      </w:r>
    </w:p>
    <w:p>
      <w:pPr>
        <w:pStyle w:val="13"/>
        <w:tabs>
          <w:tab w:val="right" w:leader="dot" w:pos="8400"/>
        </w:tabs>
        <w:rPr>
          <w:rFonts w:hint="eastAsia" w:ascii="仿宋" w:hAnsi="仿宋" w:eastAsia="仿宋" w:cs="仿宋"/>
          <w:sz w:val="28"/>
          <w:szCs w:val="28"/>
          <w:highlight w:val="none"/>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_Toc6657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val="0"/>
          <w:spacing w:val="10"/>
          <w:sz w:val="28"/>
          <w:szCs w:val="28"/>
          <w:highlight w:val="none"/>
        </w:rPr>
        <w:t xml:space="preserve">第三部分 </w:t>
      </w:r>
      <w:r>
        <w:rPr>
          <w:rFonts w:hint="eastAsia" w:ascii="仿宋" w:hAnsi="仿宋" w:eastAsia="仿宋" w:cs="仿宋"/>
          <w:bCs w:val="0"/>
          <w:spacing w:val="20"/>
          <w:sz w:val="28"/>
          <w:szCs w:val="28"/>
          <w:highlight w:val="none"/>
        </w:rPr>
        <w:t>合同范本</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_Toc6657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21</w:t>
      </w:r>
      <w:r>
        <w:rPr>
          <w:rFonts w:hint="eastAsia" w:ascii="仿宋" w:hAnsi="仿宋" w:eastAsia="仿宋" w:cs="仿宋"/>
          <w:sz w:val="28"/>
          <w:szCs w:val="28"/>
          <w:highlight w:val="none"/>
        </w:rPr>
        <w:fldChar w:fldCharType="end"/>
      </w:r>
      <w:r>
        <w:rPr>
          <w:rFonts w:hint="eastAsia" w:ascii="仿宋" w:hAnsi="仿宋" w:eastAsia="仿宋" w:cs="仿宋"/>
          <w:color w:val="auto"/>
          <w:spacing w:val="20"/>
          <w:sz w:val="28"/>
          <w:szCs w:val="28"/>
          <w:highlight w:val="none"/>
          <w:lang w:val="en-US" w:eastAsia="zh-CN"/>
        </w:rPr>
        <w:fldChar w:fldCharType="end"/>
      </w:r>
    </w:p>
    <w:p>
      <w:pPr>
        <w:pStyle w:val="13"/>
        <w:tabs>
          <w:tab w:val="right" w:leader="dot" w:pos="8400"/>
        </w:tabs>
        <w:rPr>
          <w:rFonts w:hint="default" w:ascii="仿宋" w:hAnsi="仿宋" w:eastAsia="仿宋" w:cs="仿宋"/>
          <w:sz w:val="28"/>
          <w:szCs w:val="28"/>
          <w:highlight w:val="none"/>
          <w:lang w:val="en-US"/>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_Toc23433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val="0"/>
          <w:spacing w:val="10"/>
          <w:sz w:val="28"/>
          <w:szCs w:val="28"/>
          <w:highlight w:val="none"/>
          <w:lang w:val="en-US" w:eastAsia="zh-CN"/>
        </w:rPr>
        <w:t>第四部分采购需求</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2</w:t>
      </w:r>
      <w:r>
        <w:rPr>
          <w:rFonts w:hint="eastAsia" w:ascii="仿宋" w:hAnsi="仿宋" w:eastAsia="仿宋" w:cs="仿宋"/>
          <w:color w:val="auto"/>
          <w:spacing w:val="20"/>
          <w:sz w:val="28"/>
          <w:szCs w:val="28"/>
          <w:highlight w:val="none"/>
          <w:lang w:val="en-US" w:eastAsia="zh-CN"/>
        </w:rPr>
        <w:fldChar w:fldCharType="end"/>
      </w:r>
      <w:r>
        <w:rPr>
          <w:rFonts w:hint="eastAsia" w:ascii="仿宋" w:hAnsi="仿宋" w:eastAsia="仿宋" w:cs="仿宋"/>
          <w:color w:val="auto"/>
          <w:spacing w:val="20"/>
          <w:sz w:val="28"/>
          <w:szCs w:val="28"/>
          <w:highlight w:val="none"/>
          <w:lang w:val="en-US" w:eastAsia="zh-CN"/>
        </w:rPr>
        <w:t>3</w:t>
      </w:r>
    </w:p>
    <w:p>
      <w:pPr>
        <w:pStyle w:val="13"/>
        <w:tabs>
          <w:tab w:val="right" w:leader="dot" w:pos="8400"/>
        </w:tabs>
        <w:rPr>
          <w:rFonts w:hint="default" w:ascii="仿宋" w:hAnsi="仿宋" w:eastAsia="仿宋" w:cs="仿宋"/>
          <w:sz w:val="28"/>
          <w:szCs w:val="28"/>
          <w:highlight w:val="none"/>
          <w:lang w:val="en-US"/>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_Toc11895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spacing w:val="10"/>
          <w:sz w:val="28"/>
          <w:szCs w:val="28"/>
          <w:highlight w:val="none"/>
          <w:lang w:eastAsia="zh-CN"/>
        </w:rPr>
        <w:t>第五部分</w:t>
      </w:r>
      <w:r>
        <w:rPr>
          <w:rFonts w:hint="eastAsia" w:ascii="仿宋" w:hAnsi="仿宋" w:eastAsia="仿宋" w:cs="仿宋"/>
          <w:bCs/>
          <w:spacing w:val="10"/>
          <w:sz w:val="28"/>
          <w:szCs w:val="28"/>
          <w:highlight w:val="none"/>
          <w:lang w:val="en-US" w:eastAsia="zh-CN"/>
        </w:rPr>
        <w:t xml:space="preserve"> </w:t>
      </w:r>
      <w:r>
        <w:rPr>
          <w:rFonts w:hint="eastAsia" w:ascii="仿宋" w:hAnsi="仿宋" w:eastAsia="仿宋" w:cs="仿宋"/>
          <w:bCs/>
          <w:spacing w:val="10"/>
          <w:sz w:val="28"/>
          <w:szCs w:val="28"/>
          <w:highlight w:val="none"/>
        </w:rPr>
        <w:t>报价文件格式</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2</w:t>
      </w:r>
      <w:r>
        <w:rPr>
          <w:rFonts w:hint="eastAsia" w:ascii="仿宋" w:hAnsi="仿宋" w:eastAsia="仿宋" w:cs="仿宋"/>
          <w:color w:val="auto"/>
          <w:spacing w:val="20"/>
          <w:sz w:val="28"/>
          <w:szCs w:val="28"/>
          <w:highlight w:val="none"/>
          <w:lang w:val="en-US" w:eastAsia="zh-CN"/>
        </w:rPr>
        <w:fldChar w:fldCharType="end"/>
      </w:r>
      <w:r>
        <w:rPr>
          <w:rFonts w:hint="eastAsia" w:ascii="仿宋" w:hAnsi="仿宋" w:eastAsia="仿宋" w:cs="仿宋"/>
          <w:color w:val="auto"/>
          <w:spacing w:val="20"/>
          <w:sz w:val="28"/>
          <w:szCs w:val="28"/>
          <w:highlight w:val="none"/>
          <w:lang w:val="en-US" w:eastAsia="zh-CN"/>
        </w:rPr>
        <w:t>6</w:t>
      </w:r>
      <w:bookmarkStart w:id="55" w:name="_GoBack"/>
      <w:bookmarkEnd w:id="55"/>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28"/>
          <w:szCs w:val="28"/>
          <w:highlight w:val="none"/>
          <w:lang w:val="en-US" w:eastAsia="zh-CN"/>
        </w:rPr>
      </w:pPr>
      <w:r>
        <w:rPr>
          <w:rFonts w:hint="eastAsia" w:ascii="仿宋" w:hAnsi="仿宋" w:eastAsia="仿宋" w:cs="仿宋"/>
          <w:color w:val="auto"/>
          <w:spacing w:val="20"/>
          <w:sz w:val="28"/>
          <w:szCs w:val="28"/>
          <w:highlight w:val="none"/>
          <w:lang w:val="en-US" w:eastAsia="zh-CN"/>
        </w:rPr>
        <w:fldChar w:fldCharType="end"/>
      </w: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spacing w:line="500" w:lineRule="exact"/>
        <w:jc w:val="center"/>
        <w:rPr>
          <w:rFonts w:hint="eastAsia" w:ascii="仿宋" w:hAnsi="仿宋" w:eastAsia="仿宋" w:cs="仿宋"/>
          <w:b/>
          <w:color w:val="auto"/>
          <w:sz w:val="28"/>
          <w:szCs w:val="28"/>
          <w:highlight w:val="none"/>
        </w:rPr>
        <w:sectPr>
          <w:pgSz w:w="11850" w:h="16783"/>
          <w:pgMar w:top="1440" w:right="1706" w:bottom="1440" w:left="1800" w:header="851" w:footer="992" w:gutter="0"/>
          <w:cols w:space="425" w:num="1"/>
          <w:docGrid w:type="lines" w:linePitch="312" w:charSpace="0"/>
        </w:sectPr>
      </w:pPr>
    </w:p>
    <w:p>
      <w:pPr>
        <w:numPr>
          <w:ilvl w:val="0"/>
          <w:numId w:val="3"/>
        </w:numPr>
        <w:spacing w:line="500" w:lineRule="exact"/>
        <w:jc w:val="center"/>
        <w:rPr>
          <w:rFonts w:hint="eastAsia" w:ascii="仿宋" w:hAnsi="仿宋" w:eastAsia="仿宋" w:cs="仿宋"/>
          <w:b/>
          <w:color w:val="auto"/>
          <w:sz w:val="28"/>
          <w:szCs w:val="28"/>
          <w:highlight w:val="none"/>
          <w:lang w:val="en-US" w:eastAsia="zh-CN"/>
        </w:rPr>
      </w:pPr>
      <w:bookmarkStart w:id="0" w:name="_Toc19717_WPSOffice_Level1"/>
      <w:bookmarkStart w:id="1" w:name="_Toc10674_WPSOffice_Level1"/>
      <w:bookmarkStart w:id="2" w:name="_Toc29724_WPSOffice_Level1"/>
      <w:bookmarkStart w:id="3" w:name="_Toc17636_WPSOffice_Level1"/>
      <w:r>
        <w:rPr>
          <w:rFonts w:hint="eastAsia" w:ascii="仿宋" w:hAnsi="仿宋" w:eastAsia="仿宋" w:cs="仿宋"/>
          <w:b/>
          <w:color w:val="auto"/>
          <w:sz w:val="28"/>
          <w:szCs w:val="28"/>
          <w:highlight w:val="none"/>
          <w:lang w:val="en-US" w:eastAsia="zh-CN"/>
        </w:rPr>
        <w:t>招标公告</w:t>
      </w:r>
    </w:p>
    <w:p>
      <w:pPr>
        <w:pStyle w:val="15"/>
        <w:keepNext w:val="0"/>
        <w:keepLines w:val="0"/>
        <w:widowControl/>
        <w:suppressLineNumbers w:val="0"/>
        <w:spacing w:before="38" w:beforeAutospacing="0" w:after="38" w:afterAutospacing="0"/>
        <w:ind w:left="0" w:right="0"/>
        <w:jc w:val="center"/>
        <w:rPr>
          <w:rFonts w:hint="default" w:ascii="仿宋" w:hAnsi="仿宋" w:eastAsia="仿宋" w:cs="仿宋"/>
          <w:b/>
          <w:bCs/>
          <w:i w:val="0"/>
          <w:iCs w:val="0"/>
          <w:caps w:val="0"/>
          <w:color w:val="000000"/>
          <w:spacing w:val="0"/>
          <w:sz w:val="36"/>
          <w:szCs w:val="36"/>
          <w:lang w:val="en-US"/>
        </w:rPr>
      </w:pPr>
      <w:r>
        <w:rPr>
          <w:rFonts w:hint="eastAsia" w:ascii="仿宋" w:hAnsi="仿宋" w:eastAsia="仿宋" w:cs="仿宋"/>
          <w:b/>
          <w:bCs/>
          <w:i w:val="0"/>
          <w:iCs w:val="0"/>
          <w:caps w:val="0"/>
          <w:color w:val="000000"/>
          <w:spacing w:val="0"/>
          <w:sz w:val="36"/>
          <w:szCs w:val="36"/>
          <w:lang w:val="en-US" w:eastAsia="zh-CN"/>
        </w:rPr>
        <w:t>阿瓦提县人民医院采购氩气刀项目竞争性谈判公告</w:t>
      </w:r>
    </w:p>
    <w:p>
      <w:pPr>
        <w:pStyle w:val="15"/>
        <w:keepNext w:val="0"/>
        <w:keepLines w:val="0"/>
        <w:widowControl/>
        <w:suppressLineNumbers w:val="0"/>
        <w:spacing w:before="38" w:beforeAutospacing="0" w:after="38" w:afterAutospacing="0"/>
        <w:ind w:left="0" w:right="0"/>
        <w:rPr>
          <w:sz w:val="24"/>
          <w:szCs w:val="24"/>
        </w:rPr>
      </w:pPr>
      <w:r>
        <w:rPr>
          <w:rFonts w:ascii="仿宋" w:hAnsi="仿宋" w:eastAsia="仿宋" w:cs="仿宋"/>
          <w:sz w:val="24"/>
          <w:szCs w:val="24"/>
        </w:rPr>
        <w:t>项目概况</w:t>
      </w:r>
    </w:p>
    <w:p>
      <w:pPr>
        <w:pStyle w:val="15"/>
        <w:keepNext w:val="0"/>
        <w:keepLines w:val="0"/>
        <w:widowControl/>
        <w:suppressLineNumbers w:val="0"/>
        <w:spacing w:before="38" w:beforeAutospacing="0" w:after="38" w:afterAutospacing="0"/>
        <w:ind w:right="0" w:firstLine="480" w:firstLineChars="200"/>
        <w:rPr>
          <w:sz w:val="24"/>
          <w:szCs w:val="24"/>
        </w:rPr>
      </w:pPr>
      <w:r>
        <w:rPr>
          <w:rFonts w:hint="eastAsia" w:ascii="仿宋" w:hAnsi="仿宋" w:eastAsia="仿宋" w:cs="仿宋"/>
          <w:sz w:val="24"/>
          <w:szCs w:val="24"/>
          <w:lang w:val="en-US" w:eastAsia="zh-CN"/>
        </w:rPr>
        <w:t>阿瓦提县人民医院采购氩气刀项目</w:t>
      </w:r>
      <w:r>
        <w:rPr>
          <w:rFonts w:hint="eastAsia" w:ascii="仿宋" w:hAnsi="仿宋" w:eastAsia="仿宋" w:cs="仿宋"/>
          <w:sz w:val="24"/>
          <w:szCs w:val="24"/>
        </w:rPr>
        <w:t>的潜在投标人应在新疆政府采购网获取招标文件，并于2021年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13</w:t>
      </w:r>
      <w:r>
        <w:rPr>
          <w:rFonts w:hint="eastAsia" w:ascii="仿宋" w:hAnsi="仿宋" w:eastAsia="仿宋" w:cs="仿宋"/>
          <w:sz w:val="24"/>
          <w:szCs w:val="24"/>
        </w:rPr>
        <w:t>日 11:00（北京时间）前递交投标文件。</w:t>
      </w:r>
    </w:p>
    <w:p>
      <w:pPr>
        <w:pStyle w:val="15"/>
        <w:keepNext w:val="0"/>
        <w:keepLines w:val="0"/>
        <w:widowControl/>
        <w:suppressLineNumbers w:val="0"/>
        <w:spacing w:before="128" w:beforeAutospacing="0" w:after="128" w:afterAutospacing="0" w:line="150" w:lineRule="atLeast"/>
        <w:ind w:left="0" w:right="0"/>
        <w:jc w:val="both"/>
        <w:rPr>
          <w:rFonts w:ascii="黑体" w:hAnsi="宋体" w:eastAsia="黑体" w:cs="黑体"/>
          <w:sz w:val="24"/>
          <w:szCs w:val="24"/>
        </w:rPr>
      </w:pPr>
      <w:r>
        <w:rPr>
          <w:rStyle w:val="19"/>
          <w:rFonts w:ascii="黑体" w:hAnsi="宋体" w:eastAsia="黑体" w:cs="黑体"/>
          <w:sz w:val="24"/>
          <w:szCs w:val="24"/>
        </w:rPr>
        <w:t>一、项目基本情况</w:t>
      </w:r>
    </w:p>
    <w:p>
      <w:pPr>
        <w:pStyle w:val="15"/>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项目编号：</w:t>
      </w:r>
      <w:r>
        <w:rPr>
          <w:rFonts w:hint="eastAsia" w:ascii="仿宋" w:hAnsi="仿宋" w:eastAsia="仿宋" w:cs="仿宋"/>
          <w:sz w:val="24"/>
          <w:szCs w:val="24"/>
          <w:lang w:val="en-US" w:eastAsia="zh-CN"/>
        </w:rPr>
        <w:t>AWT-ZFCG-ZQC-(2021)-JZXTP-2324</w:t>
      </w:r>
    </w:p>
    <w:p>
      <w:pPr>
        <w:pStyle w:val="15"/>
        <w:keepNext w:val="0"/>
        <w:keepLines w:val="0"/>
        <w:widowControl/>
        <w:suppressLineNumbers w:val="0"/>
        <w:spacing w:before="38" w:beforeAutospacing="0" w:after="38" w:afterAutospacing="0" w:line="150" w:lineRule="atLeast"/>
        <w:ind w:left="0" w:right="0" w:firstLine="420"/>
        <w:rPr>
          <w:rFonts w:hint="eastAsia" w:ascii="仿宋" w:hAnsi="仿宋" w:eastAsia="仿宋" w:cs="仿宋"/>
          <w:sz w:val="24"/>
          <w:szCs w:val="24"/>
          <w:lang w:val="en-US" w:eastAsia="zh-CN"/>
        </w:rPr>
      </w:pPr>
      <w:r>
        <w:rPr>
          <w:rFonts w:hint="eastAsia" w:ascii="仿宋" w:hAnsi="仿宋" w:eastAsia="仿宋" w:cs="仿宋"/>
          <w:sz w:val="24"/>
          <w:szCs w:val="24"/>
        </w:rPr>
        <w:t>项目名称：</w:t>
      </w:r>
      <w:r>
        <w:rPr>
          <w:rFonts w:hint="eastAsia" w:ascii="仿宋" w:hAnsi="仿宋" w:eastAsia="仿宋" w:cs="仿宋"/>
          <w:sz w:val="24"/>
          <w:szCs w:val="24"/>
          <w:lang w:val="en-US" w:eastAsia="zh-CN"/>
        </w:rPr>
        <w:t>阿瓦提县人民医院采购氩气刀项目</w:t>
      </w:r>
    </w:p>
    <w:p>
      <w:pPr>
        <w:pStyle w:val="15"/>
        <w:keepNext w:val="0"/>
        <w:keepLines w:val="0"/>
        <w:widowControl/>
        <w:suppressLineNumbers w:val="0"/>
        <w:spacing w:before="38" w:beforeAutospacing="0" w:after="38" w:afterAutospacing="0" w:line="150" w:lineRule="atLeast"/>
        <w:ind w:left="0" w:right="0" w:firstLine="420"/>
        <w:rPr>
          <w:rFonts w:hint="default" w:eastAsia="仿宋"/>
          <w:sz w:val="24"/>
          <w:szCs w:val="24"/>
          <w:lang w:val="en-US" w:eastAsia="zh-CN"/>
        </w:rPr>
      </w:pPr>
      <w:r>
        <w:rPr>
          <w:rFonts w:hint="eastAsia" w:ascii="仿宋" w:hAnsi="仿宋" w:eastAsia="仿宋" w:cs="仿宋"/>
          <w:sz w:val="24"/>
          <w:szCs w:val="24"/>
        </w:rPr>
        <w:t>采购方式：</w:t>
      </w:r>
      <w:r>
        <w:rPr>
          <w:rFonts w:hint="eastAsia" w:ascii="仿宋" w:hAnsi="仿宋" w:eastAsia="仿宋" w:cs="仿宋"/>
          <w:sz w:val="24"/>
          <w:szCs w:val="24"/>
          <w:lang w:val="en-US" w:eastAsia="zh-CN"/>
        </w:rPr>
        <w:t>竞争性谈判</w:t>
      </w:r>
    </w:p>
    <w:p>
      <w:pPr>
        <w:pStyle w:val="15"/>
        <w:keepNext w:val="0"/>
        <w:keepLines w:val="0"/>
        <w:widowControl/>
        <w:suppressLineNumbers w:val="0"/>
        <w:spacing w:before="38" w:beforeAutospacing="0" w:after="38" w:afterAutospacing="0" w:line="150" w:lineRule="atLeast"/>
        <w:ind w:left="0" w:right="0" w:firstLine="420"/>
        <w:rPr>
          <w:rFonts w:hint="default" w:eastAsia="仿宋"/>
          <w:sz w:val="24"/>
          <w:szCs w:val="24"/>
          <w:lang w:val="en-US" w:eastAsia="zh-CN"/>
        </w:rPr>
      </w:pPr>
      <w:r>
        <w:rPr>
          <w:rFonts w:hint="eastAsia" w:ascii="仿宋" w:hAnsi="仿宋" w:eastAsia="仿宋" w:cs="仿宋"/>
          <w:sz w:val="24"/>
          <w:szCs w:val="24"/>
        </w:rPr>
        <w:t>预算金额（元）：</w:t>
      </w:r>
      <w:r>
        <w:rPr>
          <w:rFonts w:hint="eastAsia" w:ascii="仿宋" w:hAnsi="仿宋" w:eastAsia="仿宋" w:cs="仿宋"/>
          <w:sz w:val="24"/>
          <w:szCs w:val="24"/>
          <w:lang w:val="en-US" w:eastAsia="zh-CN"/>
        </w:rPr>
        <w:t>700000</w:t>
      </w:r>
    </w:p>
    <w:p>
      <w:pPr>
        <w:pStyle w:val="15"/>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采购需求：</w:t>
      </w:r>
    </w:p>
    <w:p>
      <w:pPr>
        <w:pStyle w:val="15"/>
        <w:keepNext w:val="0"/>
        <w:keepLines w:val="0"/>
        <w:widowControl/>
        <w:suppressLineNumbers w:val="0"/>
        <w:spacing w:before="38" w:beforeAutospacing="0" w:after="38" w:afterAutospacing="0" w:line="240" w:lineRule="auto"/>
        <w:ind w:left="547" w:leftChars="228" w:right="0" w:firstLine="0" w:firstLineChars="0"/>
        <w:rPr>
          <w:rFonts w:hint="eastAsia" w:ascii="仿宋" w:hAnsi="仿宋" w:eastAsia="仿宋" w:cs="仿宋"/>
          <w:sz w:val="24"/>
          <w:szCs w:val="24"/>
          <w:lang w:eastAsia="zh-CN"/>
        </w:rPr>
      </w:pPr>
      <w:r>
        <w:rPr>
          <w:rFonts w:hint="eastAsia" w:ascii="仿宋" w:hAnsi="仿宋" w:eastAsia="仿宋" w:cs="仿宋"/>
          <w:sz w:val="24"/>
          <w:szCs w:val="24"/>
        </w:rPr>
        <w:t>简要规格描述或项目基本概况介绍、用途：详细数量规格参数见</w:t>
      </w:r>
      <w:r>
        <w:rPr>
          <w:rFonts w:hint="eastAsia" w:ascii="仿宋" w:hAnsi="仿宋" w:eastAsia="仿宋" w:cs="仿宋"/>
          <w:sz w:val="24"/>
          <w:szCs w:val="24"/>
          <w:lang w:val="en-US" w:eastAsia="zh-CN"/>
        </w:rPr>
        <w:t>采购</w:t>
      </w:r>
      <w:r>
        <w:rPr>
          <w:rFonts w:hint="eastAsia" w:ascii="仿宋" w:hAnsi="仿宋" w:eastAsia="仿宋" w:cs="仿宋"/>
          <w:sz w:val="24"/>
          <w:szCs w:val="24"/>
        </w:rPr>
        <w:t>文件</w:t>
      </w:r>
    </w:p>
    <w:p>
      <w:pPr>
        <w:pStyle w:val="15"/>
        <w:keepNext w:val="0"/>
        <w:keepLines w:val="0"/>
        <w:widowControl/>
        <w:suppressLineNumbers w:val="0"/>
        <w:spacing w:before="38" w:beforeAutospacing="0" w:after="38" w:afterAutospacing="0" w:line="240" w:lineRule="auto"/>
        <w:ind w:left="547" w:leftChars="228" w:right="0" w:firstLine="0" w:firstLineChars="0"/>
        <w:rPr>
          <w:sz w:val="24"/>
          <w:szCs w:val="24"/>
        </w:rPr>
      </w:pPr>
      <w:r>
        <w:rPr>
          <w:rFonts w:hint="eastAsia" w:ascii="仿宋" w:hAnsi="仿宋" w:eastAsia="仿宋" w:cs="仿宋"/>
          <w:sz w:val="24"/>
          <w:szCs w:val="24"/>
        </w:rPr>
        <w:t>备注：</w:t>
      </w:r>
    </w:p>
    <w:p>
      <w:pPr>
        <w:pStyle w:val="15"/>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合同履约期限：15日历天</w:t>
      </w:r>
    </w:p>
    <w:p>
      <w:pPr>
        <w:pStyle w:val="15"/>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本项目（否）接受联合体投标。</w:t>
      </w:r>
    </w:p>
    <w:p>
      <w:pPr>
        <w:pStyle w:val="15"/>
        <w:keepNext w:val="0"/>
        <w:keepLines w:val="0"/>
        <w:widowControl/>
        <w:suppressLineNumbers w:val="0"/>
        <w:spacing w:before="38" w:beforeAutospacing="0" w:after="38" w:afterAutospacing="0" w:line="150" w:lineRule="atLeast"/>
        <w:ind w:left="0" w:right="0"/>
        <w:rPr>
          <w:sz w:val="24"/>
          <w:szCs w:val="24"/>
        </w:rPr>
      </w:pPr>
      <w:r>
        <w:rPr>
          <w:rStyle w:val="19"/>
          <w:rFonts w:ascii="黑体" w:hAnsi="宋体" w:eastAsia="黑体" w:cs="黑体"/>
          <w:sz w:val="24"/>
          <w:szCs w:val="24"/>
        </w:rPr>
        <w:t>二、申请人的资格要求：</w:t>
      </w:r>
    </w:p>
    <w:p>
      <w:pPr>
        <w:pStyle w:val="15"/>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1.满足《中华人民共和国政府采购法》第二十二条规定；</w:t>
      </w:r>
    </w:p>
    <w:p>
      <w:pPr>
        <w:pStyle w:val="15"/>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2.落实政府采购政策需满足的资格要求：（1）财政部、工业和信息化部关于印发《政府采购促进中小企业发展管理办法》的通知（财库〔2020〕46号）； （2）《国务院办公厅关于建立政府强制采购节能产品制度的通知》（国办发〔2007〕51号）； （3）《财政部 民政部 中国残疾人联合会关于促进残疾人就业政府采购政策的通知》财库〔2017〕141号。 （4）投标产品为计算机、打印机、空调、照明产品、电视机、电热水器、显示器、便器、水嘴等九大类政府强制采购的产品，必须为国家财政部、</w:t>
      </w:r>
      <w:r>
        <w:rPr>
          <w:rFonts w:hint="eastAsia" w:ascii="仿宋" w:hAnsi="仿宋" w:eastAsia="仿宋" w:cs="仿宋"/>
          <w:sz w:val="24"/>
          <w:szCs w:val="24"/>
          <w:lang w:val="en-US" w:eastAsia="zh-CN"/>
        </w:rPr>
        <w:t>生态环境</w:t>
      </w:r>
      <w:r>
        <w:rPr>
          <w:rFonts w:hint="eastAsia" w:ascii="仿宋" w:hAnsi="仿宋" w:eastAsia="仿宋" w:cs="仿宋"/>
          <w:sz w:val="24"/>
          <w:szCs w:val="24"/>
        </w:rPr>
        <w:t>部、国家发改委等有关部门发布的《环境标志产品政府采购清单》和《节能产品政府采购清单》中的产品。</w:t>
      </w:r>
    </w:p>
    <w:p>
      <w:pPr>
        <w:pStyle w:val="15"/>
        <w:keepNext w:val="0"/>
        <w:keepLines w:val="0"/>
        <w:widowControl/>
        <w:suppressLineNumbers w:val="0"/>
        <w:spacing w:before="38" w:beforeAutospacing="0" w:after="38" w:afterAutospacing="0" w:line="150" w:lineRule="atLeast"/>
        <w:ind w:left="0" w:right="0" w:firstLine="420"/>
        <w:rPr>
          <w:rFonts w:hint="eastAsia" w:ascii="仿宋" w:hAnsi="仿宋" w:eastAsia="仿宋" w:cs="仿宋"/>
          <w:sz w:val="24"/>
          <w:szCs w:val="24"/>
          <w:lang w:eastAsia="zh-CN"/>
        </w:rPr>
      </w:pPr>
      <w:r>
        <w:rPr>
          <w:rFonts w:hint="eastAsia" w:ascii="仿宋" w:hAnsi="仿宋" w:eastAsia="仿宋" w:cs="仿宋"/>
          <w:sz w:val="24"/>
          <w:szCs w:val="24"/>
        </w:rPr>
        <w:t>3.本项目的特定资格要求：</w:t>
      </w:r>
    </w:p>
    <w:p>
      <w:pPr>
        <w:pStyle w:val="15"/>
        <w:keepNext w:val="0"/>
        <w:keepLines w:val="0"/>
        <w:widowControl/>
        <w:suppressLineNumbers w:val="0"/>
        <w:spacing w:before="38" w:beforeAutospacing="0" w:after="38" w:afterAutospacing="0" w:line="150" w:lineRule="atLeast"/>
        <w:ind w:left="0" w:right="0" w:firstLine="420"/>
        <w:rPr>
          <w:rFonts w:hint="eastAsia" w:ascii="仿宋" w:hAnsi="仿宋" w:eastAsia="仿宋" w:cs="仿宋"/>
          <w:sz w:val="24"/>
          <w:szCs w:val="24"/>
          <w:lang w:eastAsia="zh-CN"/>
        </w:rPr>
      </w:pPr>
      <w:r>
        <w:rPr>
          <w:rFonts w:hint="eastAsia" w:ascii="仿宋" w:hAnsi="仿宋" w:eastAsia="仿宋" w:cs="仿宋"/>
          <w:sz w:val="24"/>
          <w:szCs w:val="24"/>
        </w:rPr>
        <w:t>（1）法人代表资格证明书及授权书、被授权人身份证；(法人投标需提供法人身份证及法人代表资格证明书)；</w:t>
      </w:r>
    </w:p>
    <w:p>
      <w:pPr>
        <w:pStyle w:val="15"/>
        <w:keepNext w:val="0"/>
        <w:keepLines w:val="0"/>
        <w:widowControl/>
        <w:suppressLineNumbers w:val="0"/>
        <w:spacing w:before="38" w:beforeAutospacing="0" w:after="38" w:afterAutospacing="0" w:line="150" w:lineRule="atLeast"/>
        <w:ind w:left="0" w:right="0" w:firstLine="420"/>
        <w:rPr>
          <w:rFonts w:hint="eastAsia" w:ascii="仿宋" w:hAnsi="仿宋" w:eastAsia="仿宋" w:cs="仿宋"/>
          <w:sz w:val="24"/>
          <w:szCs w:val="24"/>
          <w:lang w:eastAsia="zh-CN"/>
        </w:rPr>
      </w:pPr>
      <w:r>
        <w:rPr>
          <w:rFonts w:hint="eastAsia" w:ascii="仿宋" w:hAnsi="仿宋" w:eastAsia="仿宋" w:cs="仿宋"/>
          <w:sz w:val="24"/>
          <w:szCs w:val="24"/>
        </w:rPr>
        <w:t>（2）提供有效的营业执照、《医疗器械生产许可证》、《医疗器械经营许可证》（二类医疗器械需提供医疗器械备案凭证）；</w:t>
      </w:r>
    </w:p>
    <w:p>
      <w:pPr>
        <w:pStyle w:val="15"/>
        <w:keepNext w:val="0"/>
        <w:keepLines w:val="0"/>
        <w:widowControl/>
        <w:suppressLineNumbers w:val="0"/>
        <w:spacing w:before="38" w:beforeAutospacing="0" w:after="38" w:afterAutospacing="0" w:line="150" w:lineRule="atLeast"/>
        <w:ind w:left="0" w:right="0" w:firstLine="420"/>
        <w:rPr>
          <w:rFonts w:hint="eastAsia" w:ascii="仿宋" w:hAnsi="仿宋" w:eastAsia="仿宋" w:cs="仿宋"/>
          <w:sz w:val="24"/>
          <w:szCs w:val="24"/>
          <w:lang w:eastAsia="zh-CN"/>
        </w:rPr>
      </w:pPr>
      <w:r>
        <w:rPr>
          <w:rFonts w:hint="eastAsia" w:ascii="仿宋" w:hAnsi="仿宋" w:eastAsia="仿宋" w:cs="仿宋"/>
          <w:sz w:val="24"/>
          <w:szCs w:val="24"/>
        </w:rPr>
        <w:t>（3）近两年任意一年的财务审计报告（新成立不满十二个月可提供近三个月的银行资信证明）；</w:t>
      </w:r>
    </w:p>
    <w:p>
      <w:pPr>
        <w:pStyle w:val="15"/>
        <w:keepNext w:val="0"/>
        <w:keepLines w:val="0"/>
        <w:widowControl/>
        <w:suppressLineNumbers w:val="0"/>
        <w:spacing w:before="38" w:beforeAutospacing="0" w:after="38" w:afterAutospacing="0" w:line="150" w:lineRule="atLeast"/>
        <w:ind w:left="0" w:right="0" w:firstLine="420"/>
        <w:rPr>
          <w:rFonts w:hint="eastAsia" w:ascii="仿宋" w:hAnsi="仿宋" w:eastAsia="仿宋" w:cs="仿宋"/>
          <w:sz w:val="24"/>
          <w:szCs w:val="24"/>
          <w:lang w:eastAsia="zh-CN"/>
        </w:rPr>
      </w:pPr>
      <w:r>
        <w:rPr>
          <w:rFonts w:hint="eastAsia" w:ascii="仿宋" w:hAnsi="仿宋" w:eastAsia="仿宋" w:cs="仿宋"/>
          <w:sz w:val="24"/>
          <w:szCs w:val="24"/>
        </w:rPr>
        <w:t>（4）依法缴纳近三个月的社会保险缴纳凭据；</w:t>
      </w:r>
    </w:p>
    <w:p>
      <w:pPr>
        <w:pStyle w:val="15"/>
        <w:keepNext w:val="0"/>
        <w:keepLines w:val="0"/>
        <w:widowControl/>
        <w:suppressLineNumbers w:val="0"/>
        <w:spacing w:before="38" w:beforeAutospacing="0" w:after="38" w:afterAutospacing="0" w:line="150" w:lineRule="atLeast"/>
        <w:ind w:left="0" w:right="0" w:firstLine="420"/>
        <w:rPr>
          <w:rFonts w:hint="eastAsia" w:ascii="仿宋" w:hAnsi="仿宋" w:eastAsia="仿宋" w:cs="仿宋"/>
          <w:sz w:val="24"/>
          <w:szCs w:val="24"/>
          <w:lang w:eastAsia="zh-CN"/>
        </w:rPr>
      </w:pPr>
      <w:r>
        <w:rPr>
          <w:rFonts w:hint="eastAsia" w:ascii="仿宋" w:hAnsi="仿宋" w:eastAsia="仿宋" w:cs="仿宋"/>
          <w:sz w:val="24"/>
          <w:szCs w:val="24"/>
        </w:rPr>
        <w:t>（5）税务部门出具的近三个月的完税证明；</w:t>
      </w:r>
    </w:p>
    <w:p>
      <w:pPr>
        <w:pStyle w:val="15"/>
        <w:keepNext w:val="0"/>
        <w:keepLines w:val="0"/>
        <w:widowControl/>
        <w:suppressLineNumbers w:val="0"/>
        <w:spacing w:before="38" w:beforeAutospacing="0" w:after="38" w:afterAutospacing="0" w:line="150" w:lineRule="atLeast"/>
        <w:ind w:left="0" w:right="0" w:firstLine="420"/>
        <w:rPr>
          <w:rFonts w:hint="eastAsia" w:ascii="仿宋" w:hAnsi="仿宋" w:eastAsia="仿宋" w:cs="仿宋"/>
          <w:sz w:val="24"/>
          <w:szCs w:val="24"/>
          <w:lang w:eastAsia="zh-CN"/>
        </w:rPr>
      </w:pPr>
      <w:r>
        <w:rPr>
          <w:rFonts w:hint="eastAsia" w:ascii="仿宋" w:hAnsi="仿宋" w:eastAsia="仿宋" w:cs="仿宋"/>
          <w:sz w:val="24"/>
          <w:szCs w:val="24"/>
        </w:rPr>
        <w:t>（6）未被“信用中国”网站（www.creditchina.gov.cn ）列入失信被执行人和重大税收违法案件当事人名单，未被“国家企业信息公示系统”网站（www.gsxt.gov.cn/index.html）列入失信被执行人，未被中国政府采购网（www.ccgp.gov.cn ）政府采购严重违法失信行为记录名单或被财政部门禁止参加政府采购活动时间及地域范围内（查询时间为公告日期之后）；</w:t>
      </w:r>
    </w:p>
    <w:p>
      <w:pPr>
        <w:pStyle w:val="15"/>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（7）与招标人存在利害关系可能影响招标公正性的单位，不得参加投标。单位负责人为同一人或存在控股、管理关系的不同单位，不得参加同一标段投标，否则，相关投标均无效。 </w:t>
      </w:r>
    </w:p>
    <w:p>
      <w:pPr>
        <w:pStyle w:val="15"/>
        <w:keepNext w:val="0"/>
        <w:keepLines w:val="0"/>
        <w:widowControl/>
        <w:suppressLineNumbers w:val="0"/>
        <w:spacing w:before="128" w:beforeAutospacing="0" w:after="128" w:afterAutospacing="0" w:line="150" w:lineRule="atLeast"/>
        <w:ind w:left="0" w:right="0"/>
        <w:jc w:val="both"/>
        <w:rPr>
          <w:rFonts w:ascii="黑体" w:hAnsi="宋体" w:eastAsia="黑体" w:cs="黑体"/>
          <w:sz w:val="24"/>
          <w:szCs w:val="24"/>
        </w:rPr>
      </w:pPr>
      <w:r>
        <w:rPr>
          <w:rStyle w:val="19"/>
          <w:rFonts w:ascii="黑体" w:hAnsi="宋体" w:eastAsia="黑体" w:cs="黑体"/>
          <w:sz w:val="24"/>
          <w:szCs w:val="24"/>
        </w:rPr>
        <w:t>三、获取招标文件</w:t>
      </w:r>
    </w:p>
    <w:p>
      <w:pPr>
        <w:pStyle w:val="15"/>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时间：2021年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8</w:t>
      </w:r>
      <w:r>
        <w:rPr>
          <w:rFonts w:hint="eastAsia" w:ascii="仿宋" w:hAnsi="仿宋" w:eastAsia="仿宋" w:cs="仿宋"/>
          <w:sz w:val="24"/>
          <w:szCs w:val="24"/>
        </w:rPr>
        <w:t>日至2021年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10</w:t>
      </w:r>
      <w:r>
        <w:rPr>
          <w:rFonts w:hint="eastAsia" w:ascii="仿宋" w:hAnsi="仿宋" w:eastAsia="仿宋" w:cs="仿宋"/>
          <w:sz w:val="24"/>
          <w:szCs w:val="24"/>
        </w:rPr>
        <w:t>日，每天上午10:00至14:00，下午15:30至19:30（北京时间，法定节假日除外）</w:t>
      </w:r>
    </w:p>
    <w:p>
      <w:pPr>
        <w:pStyle w:val="15"/>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地点：新疆政府采购网</w:t>
      </w:r>
    </w:p>
    <w:p>
      <w:pPr>
        <w:pStyle w:val="15"/>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方式：报名成功后自行下载</w:t>
      </w:r>
    </w:p>
    <w:p>
      <w:pPr>
        <w:pStyle w:val="15"/>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售价（元）：0</w:t>
      </w:r>
    </w:p>
    <w:p>
      <w:pPr>
        <w:pStyle w:val="15"/>
        <w:keepNext w:val="0"/>
        <w:keepLines w:val="0"/>
        <w:widowControl/>
        <w:suppressLineNumbers w:val="0"/>
        <w:spacing w:before="128" w:beforeAutospacing="0" w:after="128" w:afterAutospacing="0" w:line="150" w:lineRule="atLeast"/>
        <w:ind w:left="0" w:right="0"/>
        <w:jc w:val="both"/>
        <w:rPr>
          <w:rFonts w:ascii="黑体" w:hAnsi="宋体" w:eastAsia="黑体" w:cs="黑体"/>
          <w:sz w:val="24"/>
          <w:szCs w:val="24"/>
        </w:rPr>
      </w:pPr>
      <w:r>
        <w:rPr>
          <w:rStyle w:val="19"/>
          <w:rFonts w:ascii="黑体" w:hAnsi="宋体" w:eastAsia="黑体" w:cs="黑体"/>
          <w:sz w:val="24"/>
          <w:szCs w:val="24"/>
        </w:rPr>
        <w:t>四、提交投标文件截止时间、开标时间和地点</w:t>
      </w:r>
    </w:p>
    <w:p>
      <w:pPr>
        <w:pStyle w:val="15"/>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提交投标文件截止时间：2021年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13</w:t>
      </w:r>
      <w:r>
        <w:rPr>
          <w:rFonts w:hint="eastAsia" w:ascii="仿宋" w:hAnsi="仿宋" w:eastAsia="仿宋" w:cs="仿宋"/>
          <w:sz w:val="24"/>
          <w:szCs w:val="24"/>
        </w:rPr>
        <w:t>日 11:00（北京时间）</w:t>
      </w:r>
    </w:p>
    <w:p>
      <w:pPr>
        <w:pStyle w:val="15"/>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投标地点：阿克苏药品集散中心办公大楼（地址：温宿县长兴街15号）办公大楼一楼开标室</w:t>
      </w:r>
    </w:p>
    <w:p>
      <w:pPr>
        <w:pStyle w:val="15"/>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开标时间：2021年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13</w:t>
      </w:r>
      <w:r>
        <w:rPr>
          <w:rFonts w:hint="eastAsia" w:ascii="仿宋" w:hAnsi="仿宋" w:eastAsia="仿宋" w:cs="仿宋"/>
          <w:sz w:val="24"/>
          <w:szCs w:val="24"/>
        </w:rPr>
        <w:t>日 11:00（北京时间）</w:t>
      </w:r>
    </w:p>
    <w:p>
      <w:pPr>
        <w:pStyle w:val="15"/>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开标地点：阿克苏药品集散中心办公大楼（地址：温宿县长兴街15号）办公大楼一楼开标室</w:t>
      </w:r>
    </w:p>
    <w:p>
      <w:pPr>
        <w:pStyle w:val="15"/>
        <w:keepNext w:val="0"/>
        <w:keepLines w:val="0"/>
        <w:widowControl/>
        <w:suppressLineNumbers w:val="0"/>
        <w:spacing w:before="128" w:beforeAutospacing="0" w:after="128" w:afterAutospacing="0" w:line="150" w:lineRule="atLeast"/>
        <w:ind w:left="0" w:right="0"/>
        <w:jc w:val="both"/>
        <w:rPr>
          <w:rFonts w:ascii="黑体" w:hAnsi="宋体" w:eastAsia="黑体" w:cs="黑体"/>
          <w:sz w:val="24"/>
          <w:szCs w:val="24"/>
        </w:rPr>
      </w:pPr>
      <w:r>
        <w:rPr>
          <w:rStyle w:val="19"/>
          <w:rFonts w:ascii="黑体" w:hAnsi="宋体" w:eastAsia="黑体" w:cs="黑体"/>
          <w:sz w:val="24"/>
          <w:szCs w:val="24"/>
        </w:rPr>
        <w:t>五、公告期限</w:t>
      </w:r>
    </w:p>
    <w:p>
      <w:pPr>
        <w:pStyle w:val="15"/>
        <w:keepNext w:val="0"/>
        <w:keepLines w:val="0"/>
        <w:widowControl/>
        <w:suppressLineNumbers w:val="0"/>
        <w:spacing w:before="38" w:beforeAutospacing="0" w:after="38" w:afterAutospacing="0"/>
        <w:ind w:left="0" w:right="0" w:firstLine="420"/>
        <w:rPr>
          <w:sz w:val="24"/>
          <w:szCs w:val="24"/>
        </w:rPr>
      </w:pPr>
      <w:r>
        <w:rPr>
          <w:rFonts w:hint="eastAsia" w:ascii="仿宋" w:hAnsi="仿宋" w:eastAsia="仿宋" w:cs="仿宋"/>
          <w:sz w:val="24"/>
          <w:szCs w:val="24"/>
        </w:rPr>
        <w:t>自本公告发布之日起</w:t>
      </w:r>
      <w:r>
        <w:rPr>
          <w:rFonts w:hint="eastAsia" w:ascii="仿宋" w:hAnsi="仿宋" w:eastAsia="仿宋" w:cs="仿宋"/>
          <w:sz w:val="24"/>
          <w:szCs w:val="24"/>
          <w:lang w:val="en-US" w:eastAsia="zh-CN"/>
        </w:rPr>
        <w:t>3</w:t>
      </w:r>
      <w:r>
        <w:rPr>
          <w:rFonts w:hint="eastAsia" w:ascii="仿宋" w:hAnsi="仿宋" w:eastAsia="仿宋" w:cs="仿宋"/>
          <w:sz w:val="24"/>
          <w:szCs w:val="24"/>
        </w:rPr>
        <w:t>个工作日。</w:t>
      </w:r>
    </w:p>
    <w:p>
      <w:pPr>
        <w:pStyle w:val="15"/>
        <w:keepNext w:val="0"/>
        <w:keepLines w:val="0"/>
        <w:widowControl/>
        <w:suppressLineNumbers w:val="0"/>
        <w:spacing w:before="128" w:beforeAutospacing="0" w:after="128" w:afterAutospacing="0" w:line="150" w:lineRule="atLeast"/>
        <w:ind w:left="0" w:right="0"/>
        <w:jc w:val="both"/>
        <w:rPr>
          <w:rFonts w:ascii="黑体" w:hAnsi="宋体" w:eastAsia="黑体" w:cs="黑体"/>
          <w:sz w:val="24"/>
          <w:szCs w:val="24"/>
        </w:rPr>
      </w:pPr>
      <w:r>
        <w:rPr>
          <w:rStyle w:val="19"/>
          <w:rFonts w:ascii="黑体" w:hAnsi="宋体" w:eastAsia="黑体" w:cs="黑体"/>
          <w:sz w:val="24"/>
          <w:szCs w:val="24"/>
        </w:rPr>
        <w:t>六、其他补充事宜</w:t>
      </w:r>
    </w:p>
    <w:p>
      <w:pPr>
        <w:pStyle w:val="15"/>
        <w:keepNext w:val="0"/>
        <w:keepLines w:val="0"/>
        <w:widowControl/>
        <w:suppressLineNumbers w:val="0"/>
        <w:spacing w:before="38" w:beforeAutospacing="0" w:after="38" w:afterAutospacing="0" w:line="150" w:lineRule="atLeast"/>
        <w:ind w:left="0" w:right="0" w:firstLine="420"/>
        <w:jc w:val="left"/>
        <w:rPr>
          <w:rFonts w:hint="eastAsia" w:ascii="仿宋" w:hAnsi="仿宋" w:eastAsia="仿宋" w:cs="仿宋"/>
          <w:sz w:val="24"/>
          <w:szCs w:val="24"/>
          <w:lang w:eastAsia="zh-CN"/>
        </w:rPr>
      </w:pPr>
      <w:r>
        <w:rPr>
          <w:rFonts w:hint="eastAsia" w:ascii="仿宋" w:hAnsi="仿宋" w:eastAsia="仿宋" w:cs="仿宋"/>
          <w:sz w:val="24"/>
          <w:szCs w:val="24"/>
        </w:rPr>
        <w:t>1、本公告在新疆政府采购网、阿瓦提县人民政府网上发布。</w:t>
      </w:r>
    </w:p>
    <w:p>
      <w:pPr>
        <w:pStyle w:val="15"/>
        <w:keepNext w:val="0"/>
        <w:keepLines w:val="0"/>
        <w:widowControl/>
        <w:suppressLineNumbers w:val="0"/>
        <w:spacing w:before="38" w:beforeAutospacing="0" w:after="38" w:afterAutospacing="0" w:line="150" w:lineRule="atLeast"/>
        <w:ind w:left="0" w:right="0" w:firstLine="420"/>
        <w:jc w:val="lef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2、请投标单位随时关注本项目的澄清、答疑、变更事项。</w:t>
      </w:r>
    </w:p>
    <w:p>
      <w:pPr>
        <w:pStyle w:val="15"/>
        <w:keepNext w:val="0"/>
        <w:keepLines w:val="0"/>
        <w:widowControl/>
        <w:suppressLineNumbers w:val="0"/>
        <w:spacing w:before="128" w:beforeAutospacing="0" w:after="128" w:afterAutospacing="0" w:line="240" w:lineRule="atLeast"/>
        <w:ind w:left="0" w:right="0"/>
        <w:jc w:val="both"/>
        <w:rPr>
          <w:rFonts w:ascii="黑体" w:hAnsi="宋体" w:eastAsia="黑体" w:cs="黑体"/>
          <w:sz w:val="24"/>
          <w:szCs w:val="24"/>
        </w:rPr>
      </w:pPr>
      <w:r>
        <w:rPr>
          <w:rStyle w:val="19"/>
          <w:rFonts w:ascii="黑体" w:hAnsi="宋体" w:eastAsia="黑体" w:cs="黑体"/>
          <w:sz w:val="24"/>
          <w:szCs w:val="24"/>
        </w:rPr>
        <w:t>七、对本次采购提出询问，请按以下方式联系</w:t>
      </w:r>
    </w:p>
    <w:p>
      <w:pPr>
        <w:pStyle w:val="15"/>
        <w:keepNext w:val="0"/>
        <w:keepLines w:val="0"/>
        <w:widowControl/>
        <w:suppressLineNumbers w:val="0"/>
        <w:spacing w:before="38" w:beforeAutospacing="0" w:after="38" w:afterAutospacing="0"/>
        <w:ind w:left="0" w:right="0" w:firstLine="420"/>
        <w:rPr>
          <w:rFonts w:hint="eastAsia" w:ascii="仿宋" w:hAnsi="仿宋" w:eastAsia="仿宋" w:cs="仿宋"/>
          <w:sz w:val="24"/>
          <w:szCs w:val="24"/>
        </w:rPr>
      </w:pPr>
      <w:r>
        <w:rPr>
          <w:rFonts w:hint="eastAsia" w:ascii="仿宋" w:hAnsi="仿宋" w:eastAsia="仿宋" w:cs="仿宋"/>
          <w:sz w:val="24"/>
          <w:szCs w:val="24"/>
        </w:rPr>
        <w:t>1.采购人信息</w:t>
      </w:r>
    </w:p>
    <w:p>
      <w:pPr>
        <w:pStyle w:val="15"/>
        <w:keepNext w:val="0"/>
        <w:keepLines w:val="0"/>
        <w:widowControl/>
        <w:suppressLineNumbers w:val="0"/>
        <w:spacing w:before="38" w:beforeAutospacing="0" w:after="38" w:afterAutospacing="0"/>
        <w:ind w:left="0" w:right="0" w:firstLine="420"/>
        <w:rPr>
          <w:rFonts w:hint="eastAsia" w:ascii="仿宋" w:hAnsi="仿宋" w:eastAsia="仿宋" w:cs="仿宋"/>
          <w:sz w:val="24"/>
          <w:szCs w:val="24"/>
        </w:rPr>
      </w:pPr>
      <w:r>
        <w:rPr>
          <w:rFonts w:hint="eastAsia" w:ascii="仿宋" w:hAnsi="仿宋" w:eastAsia="仿宋" w:cs="仿宋"/>
          <w:sz w:val="24"/>
          <w:szCs w:val="24"/>
        </w:rPr>
        <w:t>名 称：</w:t>
      </w:r>
      <w:r>
        <w:rPr>
          <w:rStyle w:val="20"/>
          <w:rFonts w:hint="eastAsia" w:ascii="仿宋" w:hAnsi="仿宋" w:eastAsia="仿宋" w:cs="仿宋"/>
          <w:sz w:val="24"/>
          <w:szCs w:val="24"/>
        </w:rPr>
        <w:t>阿瓦提县</w:t>
      </w:r>
      <w:r>
        <w:rPr>
          <w:rStyle w:val="20"/>
          <w:rFonts w:hint="eastAsia" w:ascii="仿宋" w:hAnsi="仿宋" w:eastAsia="仿宋" w:cs="仿宋"/>
          <w:sz w:val="24"/>
          <w:szCs w:val="24"/>
          <w:lang w:val="en-US" w:eastAsia="zh-CN"/>
        </w:rPr>
        <w:t>人民</w:t>
      </w:r>
      <w:r>
        <w:rPr>
          <w:rStyle w:val="20"/>
          <w:rFonts w:hint="eastAsia" w:ascii="仿宋" w:hAnsi="仿宋" w:eastAsia="仿宋" w:cs="仿宋"/>
          <w:sz w:val="24"/>
          <w:szCs w:val="24"/>
        </w:rPr>
        <w:t>医院</w:t>
      </w:r>
    </w:p>
    <w:p>
      <w:pPr>
        <w:pStyle w:val="15"/>
        <w:keepNext w:val="0"/>
        <w:keepLines w:val="0"/>
        <w:widowControl/>
        <w:suppressLineNumbers w:val="0"/>
        <w:spacing w:before="38" w:beforeAutospacing="0" w:after="38" w:afterAutospacing="0"/>
        <w:ind w:left="0" w:right="0"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地 址：阿瓦提县拥军路30号 </w:t>
      </w:r>
    </w:p>
    <w:p>
      <w:pPr>
        <w:pStyle w:val="15"/>
        <w:keepNext w:val="0"/>
        <w:keepLines w:val="0"/>
        <w:widowControl/>
        <w:suppressLineNumbers w:val="0"/>
        <w:spacing w:before="38" w:beforeAutospacing="0" w:after="38" w:afterAutospacing="0"/>
        <w:ind w:left="0" w:right="0"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联系方式：18799933066</w:t>
      </w:r>
    </w:p>
    <w:p>
      <w:pPr>
        <w:pStyle w:val="15"/>
        <w:keepNext w:val="0"/>
        <w:keepLines w:val="0"/>
        <w:widowControl/>
        <w:suppressLineNumbers w:val="0"/>
        <w:spacing w:before="38" w:beforeAutospacing="0" w:after="38" w:afterAutospacing="0"/>
        <w:ind w:left="0" w:right="0" w:firstLine="420"/>
        <w:rPr>
          <w:rFonts w:hint="eastAsia" w:ascii="仿宋" w:hAnsi="仿宋" w:eastAsia="仿宋" w:cs="仿宋"/>
          <w:sz w:val="24"/>
          <w:szCs w:val="24"/>
        </w:rPr>
      </w:pPr>
      <w:r>
        <w:rPr>
          <w:rFonts w:hint="eastAsia" w:ascii="仿宋" w:hAnsi="仿宋" w:eastAsia="仿宋" w:cs="仿宋"/>
          <w:sz w:val="24"/>
          <w:szCs w:val="24"/>
        </w:rPr>
        <w:t>2.采购代理机构信息</w:t>
      </w:r>
    </w:p>
    <w:p>
      <w:pPr>
        <w:pStyle w:val="15"/>
        <w:keepNext w:val="0"/>
        <w:keepLines w:val="0"/>
        <w:widowControl/>
        <w:suppressLineNumbers w:val="0"/>
        <w:spacing w:before="38" w:beforeAutospacing="0" w:after="38" w:afterAutospacing="0"/>
        <w:ind w:left="0" w:right="0" w:firstLine="420"/>
        <w:rPr>
          <w:rFonts w:hint="eastAsia" w:ascii="仿宋" w:hAnsi="仿宋" w:eastAsia="仿宋" w:cs="仿宋"/>
          <w:sz w:val="24"/>
          <w:szCs w:val="24"/>
        </w:rPr>
      </w:pPr>
      <w:r>
        <w:rPr>
          <w:rFonts w:hint="eastAsia" w:ascii="仿宋" w:hAnsi="仿宋" w:eastAsia="仿宋" w:cs="仿宋"/>
          <w:sz w:val="24"/>
          <w:szCs w:val="24"/>
        </w:rPr>
        <w:t>名 称：新疆中前川项目管理有限公司</w:t>
      </w:r>
    </w:p>
    <w:p>
      <w:pPr>
        <w:pStyle w:val="15"/>
        <w:keepNext w:val="0"/>
        <w:keepLines w:val="0"/>
        <w:widowControl/>
        <w:suppressLineNumbers w:val="0"/>
        <w:spacing w:before="38" w:beforeAutospacing="0" w:after="38" w:afterAutospacing="0"/>
        <w:ind w:left="0" w:right="0" w:firstLine="420"/>
        <w:rPr>
          <w:rFonts w:hint="eastAsia" w:ascii="仿宋" w:hAnsi="仿宋" w:eastAsia="仿宋" w:cs="仿宋"/>
          <w:sz w:val="24"/>
          <w:szCs w:val="24"/>
        </w:rPr>
      </w:pPr>
      <w:r>
        <w:rPr>
          <w:rFonts w:hint="eastAsia" w:ascii="仿宋" w:hAnsi="仿宋" w:eastAsia="仿宋" w:cs="仿宋"/>
          <w:sz w:val="24"/>
          <w:szCs w:val="24"/>
        </w:rPr>
        <w:t>地 址：阿克苏市金石圆和苑1单元1702室</w:t>
      </w:r>
    </w:p>
    <w:p>
      <w:pPr>
        <w:pStyle w:val="15"/>
        <w:keepNext w:val="0"/>
        <w:keepLines w:val="0"/>
        <w:widowControl/>
        <w:suppressLineNumbers w:val="0"/>
        <w:spacing w:before="38" w:beforeAutospacing="0" w:after="38" w:afterAutospacing="0"/>
        <w:ind w:left="0" w:right="0" w:firstLine="420"/>
        <w:rPr>
          <w:rFonts w:hint="eastAsia" w:ascii="仿宋" w:hAnsi="仿宋" w:eastAsia="仿宋" w:cs="仿宋"/>
          <w:sz w:val="24"/>
          <w:szCs w:val="24"/>
        </w:rPr>
      </w:pPr>
      <w:r>
        <w:rPr>
          <w:rFonts w:hint="eastAsia" w:ascii="仿宋" w:hAnsi="仿宋" w:eastAsia="仿宋" w:cs="仿宋"/>
          <w:sz w:val="24"/>
          <w:szCs w:val="24"/>
        </w:rPr>
        <w:t>联系方式：13031270081</w:t>
      </w:r>
    </w:p>
    <w:p>
      <w:pPr>
        <w:pStyle w:val="15"/>
        <w:keepNext w:val="0"/>
        <w:keepLines w:val="0"/>
        <w:widowControl/>
        <w:suppressLineNumbers w:val="0"/>
        <w:spacing w:before="38" w:beforeAutospacing="0" w:after="38" w:afterAutospacing="0"/>
        <w:ind w:left="0" w:right="0" w:firstLine="420"/>
        <w:rPr>
          <w:rFonts w:hint="eastAsia" w:ascii="仿宋" w:hAnsi="仿宋" w:eastAsia="仿宋" w:cs="仿宋"/>
          <w:sz w:val="24"/>
          <w:szCs w:val="24"/>
        </w:rPr>
      </w:pPr>
      <w:r>
        <w:rPr>
          <w:rFonts w:hint="eastAsia" w:ascii="仿宋" w:hAnsi="仿宋" w:eastAsia="仿宋" w:cs="仿宋"/>
          <w:sz w:val="24"/>
          <w:szCs w:val="24"/>
        </w:rPr>
        <w:t>3.项目联系方式</w:t>
      </w:r>
    </w:p>
    <w:p>
      <w:pPr>
        <w:pStyle w:val="15"/>
        <w:keepNext w:val="0"/>
        <w:keepLines w:val="0"/>
        <w:widowControl/>
        <w:suppressLineNumbers w:val="0"/>
        <w:spacing w:before="38" w:beforeAutospacing="0" w:after="38" w:afterAutospacing="0"/>
        <w:ind w:left="0" w:right="0" w:firstLine="420"/>
        <w:rPr>
          <w:rFonts w:hint="eastAsia" w:ascii="仿宋" w:hAnsi="仿宋" w:eastAsia="仿宋" w:cs="仿宋"/>
          <w:sz w:val="24"/>
          <w:szCs w:val="24"/>
        </w:rPr>
      </w:pPr>
      <w:r>
        <w:rPr>
          <w:rFonts w:hint="eastAsia" w:ascii="仿宋" w:hAnsi="仿宋" w:eastAsia="仿宋" w:cs="仿宋"/>
          <w:sz w:val="24"/>
          <w:szCs w:val="24"/>
        </w:rPr>
        <w:t>项目联系人：</w:t>
      </w:r>
      <w:r>
        <w:rPr>
          <w:rStyle w:val="20"/>
          <w:rFonts w:hint="eastAsia" w:ascii="仿宋" w:hAnsi="仿宋" w:eastAsia="仿宋" w:cs="仿宋"/>
          <w:sz w:val="24"/>
          <w:szCs w:val="24"/>
        </w:rPr>
        <w:t>陈兰</w:t>
      </w:r>
    </w:p>
    <w:p>
      <w:pPr>
        <w:pStyle w:val="15"/>
        <w:keepNext w:val="0"/>
        <w:keepLines w:val="0"/>
        <w:widowControl/>
        <w:suppressLineNumbers w:val="0"/>
        <w:spacing w:before="38" w:beforeAutospacing="0" w:after="38" w:afterAutospacing="0"/>
        <w:ind w:left="0" w:right="0" w:firstLine="420"/>
        <w:rPr>
          <w:rFonts w:hint="eastAsia" w:ascii="仿宋" w:hAnsi="仿宋" w:eastAsia="仿宋" w:cs="仿宋"/>
          <w:sz w:val="24"/>
          <w:szCs w:val="24"/>
        </w:rPr>
      </w:pPr>
      <w:r>
        <w:rPr>
          <w:rFonts w:hint="eastAsia" w:ascii="仿宋" w:hAnsi="仿宋" w:eastAsia="仿宋" w:cs="仿宋"/>
          <w:sz w:val="24"/>
          <w:szCs w:val="24"/>
        </w:rPr>
        <w:t>电 话：</w:t>
      </w:r>
      <w:r>
        <w:rPr>
          <w:rStyle w:val="20"/>
          <w:rFonts w:hint="eastAsia" w:ascii="仿宋" w:hAnsi="仿宋" w:eastAsia="仿宋" w:cs="仿宋"/>
          <w:sz w:val="24"/>
          <w:szCs w:val="24"/>
        </w:rPr>
        <w:t>13031270081</w:t>
      </w:r>
    </w:p>
    <w:p>
      <w:pPr>
        <w:pStyle w:val="15"/>
        <w:keepNext w:val="0"/>
        <w:keepLines w:val="0"/>
        <w:widowControl/>
        <w:suppressLineNumbers w:val="0"/>
        <w:spacing w:before="38" w:beforeAutospacing="0" w:after="38" w:afterAutospacing="0"/>
        <w:ind w:left="0" w:right="0"/>
        <w:rPr>
          <w:sz w:val="24"/>
          <w:szCs w:val="24"/>
        </w:rPr>
      </w:pPr>
    </w:p>
    <w:p>
      <w:pPr>
        <w:spacing w:line="500" w:lineRule="exact"/>
        <w:jc w:val="center"/>
        <w:rPr>
          <w:rFonts w:hint="eastAsia" w:ascii="仿宋" w:hAnsi="仿宋" w:eastAsia="仿宋" w:cs="仿宋"/>
          <w:b/>
          <w:color w:val="auto"/>
          <w:sz w:val="28"/>
          <w:szCs w:val="28"/>
          <w:highlight w:val="none"/>
          <w:lang w:eastAsia="zh-CN"/>
        </w:rPr>
      </w:pPr>
    </w:p>
    <w:p>
      <w:pPr>
        <w:pStyle w:val="2"/>
        <w:rPr>
          <w:rFonts w:hint="eastAsia"/>
          <w:lang w:eastAsia="zh-CN"/>
        </w:rPr>
      </w:pPr>
    </w:p>
    <w:p>
      <w:pPr>
        <w:spacing w:line="500" w:lineRule="exact"/>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eastAsia="zh-CN"/>
        </w:rPr>
        <w:t>第二部分</w:t>
      </w:r>
      <w:r>
        <w:rPr>
          <w:rFonts w:hint="eastAsia" w:ascii="仿宋" w:hAnsi="仿宋" w:eastAsia="仿宋" w:cs="仿宋"/>
          <w:b/>
          <w:color w:val="auto"/>
          <w:sz w:val="28"/>
          <w:szCs w:val="28"/>
          <w:highlight w:val="none"/>
          <w:lang w:val="en-US" w:eastAsia="zh-CN"/>
        </w:rPr>
        <w:t xml:space="preserve"> 投标人须知</w:t>
      </w:r>
    </w:p>
    <w:bookmarkEnd w:id="0"/>
    <w:bookmarkEnd w:id="1"/>
    <w:bookmarkEnd w:id="2"/>
    <w:bookmarkEnd w:id="3"/>
    <w:tbl>
      <w:tblPr>
        <w:tblStyle w:val="16"/>
        <w:tblpPr w:leftFromText="180" w:rightFromText="180" w:vertAnchor="text" w:horzAnchor="page" w:tblpX="1587" w:tblpY="357"/>
        <w:tblOverlap w:val="never"/>
        <w:tblW w:w="927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4"/>
        <w:gridCol w:w="2294"/>
        <w:gridCol w:w="62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3"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序号</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项  目</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内容与要求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1"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项目名称</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阿瓦提县人民医院采购氩气刀项目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7"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2</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项目编号</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AWT-ZFCG-ZQC-(2021)-JZXTP-2324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1"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3</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项目地点</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阿瓦提县人民医院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8"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4</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采购内容</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采购氩气刀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5</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预算金额</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700000元，大写：柒拾万元整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4"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6</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采购人</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阿瓦提县人民医院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96"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7</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供货期</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bCs/>
                <w:color w:val="auto"/>
                <w:kern w:val="0"/>
                <w:sz w:val="24"/>
                <w:szCs w:val="24"/>
                <w:lang w:val="en-US" w:eastAsia="zh-CN"/>
              </w:rPr>
              <w:t>15日历天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96"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8</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质量标准</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both"/>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6"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9</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投标保证金</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投标保证金：本项目不作要求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579"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10</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投标人资质条件、能力和信誉</w:t>
            </w:r>
          </w:p>
        </w:tc>
        <w:tc>
          <w:tcPr>
            <w:tcW w:w="62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1.满足《中华人民共和国政府采购法》第二十二条规定；</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①具有独立承担民事责任的能力；</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②具有良好的商业信誉和健全的财务会计制度；</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③具有履行合同所必需的设备和专业技术能力；</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④有依法缴纳税收和社会保障资金的良好记录；</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⑤参加政府采购活动前三年内，在经营活动中没有重大违法记录；</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⑥法律、行政法规规定的其他条件。</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落实政府采购政策需满足的资格要求：（1）财政部、工业和信息化部关于印发《政府采购促进中小企业发展管理办法》的通知（财库〔2020〕46号）； （2）《国务院办公厅关于建立政府强制采购节能产品制度的通知》（国办发〔2007〕51号）； （3）《财政部 民政部 中国残疾人联合会关于促进残疾人就业政府采购政策的通知》财库〔2017〕141号。 （4）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579"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10</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投标人资质条件、能力和信誉</w:t>
            </w:r>
          </w:p>
        </w:tc>
        <w:tc>
          <w:tcPr>
            <w:tcW w:w="6237"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right="0"/>
              <w:textAlignment w:val="auto"/>
              <w:rPr>
                <w:rFonts w:hint="eastAsia" w:ascii="宋体" w:hAnsi="宋体" w:eastAsia="宋体" w:cs="宋体"/>
                <w:b/>
                <w:bCs/>
                <w:i w:val="0"/>
                <w:iCs w:val="0"/>
                <w:caps w:val="0"/>
                <w:color w:val="000000"/>
                <w:spacing w:val="0"/>
                <w:kern w:val="2"/>
                <w:sz w:val="24"/>
                <w:szCs w:val="24"/>
                <w:lang w:val="en-US" w:eastAsia="zh-CN" w:bidi="ar-SA"/>
              </w:rPr>
            </w:pPr>
            <w:r>
              <w:rPr>
                <w:rFonts w:hint="eastAsia" w:ascii="宋体" w:hAnsi="宋体" w:eastAsia="宋体" w:cs="宋体"/>
                <w:b/>
                <w:bCs/>
                <w:i w:val="0"/>
                <w:iCs w:val="0"/>
                <w:caps w:val="0"/>
                <w:color w:val="000000"/>
                <w:spacing w:val="0"/>
                <w:kern w:val="2"/>
                <w:sz w:val="24"/>
                <w:szCs w:val="24"/>
                <w:lang w:val="en-US" w:eastAsia="zh-CN" w:bidi="ar-SA"/>
              </w:rPr>
              <w:t>本项目的特定资格要求：</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ind w:firstLine="480" w:firstLineChars="200"/>
              <w:jc w:val="left"/>
              <w:textAlignment w:val="baseline"/>
              <w:outlineLvl w:val="0"/>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（1）法人代表资格证明书及授权书、被授权人身份证；(法人投标需提供法人身份证及法人代表资格证明书)；</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ind w:firstLine="480" w:firstLineChars="200"/>
              <w:jc w:val="left"/>
              <w:textAlignment w:val="baseline"/>
              <w:outlineLvl w:val="0"/>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（2）提供有效的营业执照、《医疗器械生产许可证》、《医疗器械经营许可证》（二类医疗器械需提供医疗器械备案凭证）；</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ind w:firstLine="480" w:firstLineChars="200"/>
              <w:jc w:val="left"/>
              <w:textAlignment w:val="baseline"/>
              <w:outlineLvl w:val="0"/>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（3）近两年任意一年的财务审计报告（新成立不满十二个月可提供近三个月的银行资信证明）；</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ind w:firstLine="480" w:firstLineChars="200"/>
              <w:jc w:val="left"/>
              <w:textAlignment w:val="baseline"/>
              <w:outlineLvl w:val="0"/>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（4）依法缴纳近三个月的社会保险缴纳凭据；</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ind w:firstLine="480" w:firstLineChars="200"/>
              <w:jc w:val="left"/>
              <w:textAlignment w:val="baseline"/>
              <w:outlineLvl w:val="0"/>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（5）税务部门出具的近三个月的完税证明；</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ind w:firstLine="480" w:firstLineChars="200"/>
              <w:jc w:val="left"/>
              <w:textAlignment w:val="baseline"/>
              <w:outlineLvl w:val="0"/>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（6）未被“信用中国”网站（www.creditchina.gov.cn ）列入失信被执行人和重大税收违法案件当事人名单，未被“国家企业信息公示系统”网站（www.gsxt.gov.cn/index.html）列入失信被执行人，未被中国政府采购网（www.ccgp.gov.cn ）政府采购严重违法失信行为记录名单或被财政部门禁止参加政府采购活动时间及地域范围内（查询时间为公告日期之后）；</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ind w:firstLine="480" w:firstLineChars="200"/>
              <w:jc w:val="left"/>
              <w:textAlignment w:val="baseline"/>
              <w:outlineLvl w:val="0"/>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（7）与招标人存在利害关系可能影响招标公正性的单位，不得参加投标。单位负责人为同一人或存在控股、管理关系的不同单位，不得参加同一标段投标，否则，相关投标均无效。 </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ind w:firstLine="480" w:firstLineChars="200"/>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eastAsia="宋体" w:cs="宋体"/>
                <w:i w:val="0"/>
                <w:iCs w:val="0"/>
                <w:caps w:val="0"/>
                <w:color w:val="000000"/>
                <w:spacing w:val="0"/>
                <w:kern w:val="2"/>
                <w:sz w:val="24"/>
                <w:szCs w:val="24"/>
                <w:lang w:val="en-US" w:eastAsia="zh-CN" w:bidi="ar-SA"/>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910"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11</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投标人资格</w:t>
            </w:r>
          </w:p>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（开标时查验内容）</w:t>
            </w:r>
          </w:p>
        </w:tc>
        <w:tc>
          <w:tcPr>
            <w:tcW w:w="6237"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lang w:val="en-US" w:eastAsia="zh-CN"/>
              </w:rPr>
            </w:pPr>
            <w:r>
              <w:rPr>
                <w:rFonts w:hint="eastAsia"/>
                <w:lang w:val="en-US" w:eastAsia="zh-CN"/>
              </w:rPr>
              <w:t>投标人现场需提供的证明材料，单独提交以下证明材料：</w:t>
            </w:r>
          </w:p>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 xml:space="preserve">（1）法人代表或其委托代理人应提供本人身份证原件，委托代理人还应提供《法人代表授权委托书》原件； </w:t>
            </w:r>
          </w:p>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（2）有效经年检的三证合一营业执照；</w:t>
            </w:r>
          </w:p>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（3）如在“信用中国”网站（http://www.creditchina.gov.cn）、中国政府采购网（http://www.ccgp.gov.cn）、国家企业信息系统（http://www.gsxt.gov.cn）</w:t>
            </w:r>
            <w:r>
              <w:rPr>
                <w:rFonts w:hint="eastAsia" w:ascii="宋体" w:hAnsi="宋体" w:cs="宋体"/>
                <w:i w:val="0"/>
                <w:iCs w:val="0"/>
                <w:caps w:val="0"/>
                <w:color w:val="000000"/>
                <w:spacing w:val="0"/>
                <w:kern w:val="2"/>
                <w:sz w:val="24"/>
                <w:szCs w:val="24"/>
                <w:lang w:val="en-US" w:eastAsia="zh-CN" w:bidi="ar-SA"/>
              </w:rPr>
              <w:t>查询截图</w:t>
            </w:r>
            <w:r>
              <w:rPr>
                <w:rFonts w:hint="eastAsia" w:ascii="宋体" w:hAnsi="宋体" w:eastAsia="宋体" w:cs="宋体"/>
                <w:i w:val="0"/>
                <w:iCs w:val="0"/>
                <w:caps w:val="0"/>
                <w:color w:val="000000"/>
                <w:spacing w:val="0"/>
                <w:kern w:val="2"/>
                <w:sz w:val="24"/>
                <w:szCs w:val="24"/>
                <w:lang w:val="en-US" w:eastAsia="zh-CN" w:bidi="ar-SA"/>
              </w:rPr>
              <w:t>（企业自行在网站下载打印，携带加盖鲜章的复印件（打印时间须在公告发出之日后）；</w:t>
            </w:r>
          </w:p>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（4）医疗器械生产（经营）许可证且具有第二类医疗器械经营备案凭证</w:t>
            </w:r>
            <w:r>
              <w:rPr>
                <w:rFonts w:hint="eastAsia" w:ascii="宋体" w:hAnsi="宋体" w:cs="宋体"/>
                <w:i w:val="0"/>
                <w:iCs w:val="0"/>
                <w:caps w:val="0"/>
                <w:color w:val="000000"/>
                <w:spacing w:val="0"/>
                <w:kern w:val="2"/>
                <w:sz w:val="24"/>
                <w:szCs w:val="24"/>
                <w:lang w:val="en-US" w:eastAsia="zh-CN" w:bidi="ar-SA"/>
              </w:rPr>
              <w:t>；</w:t>
            </w:r>
          </w:p>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（5）</w:t>
            </w:r>
            <w:r>
              <w:rPr>
                <w:rFonts w:hint="eastAsia" w:ascii="宋体" w:hAnsi="宋体" w:cs="宋体"/>
                <w:i w:val="0"/>
                <w:iCs w:val="0"/>
                <w:caps w:val="0"/>
                <w:color w:val="000000"/>
                <w:spacing w:val="0"/>
                <w:kern w:val="2"/>
                <w:sz w:val="24"/>
                <w:szCs w:val="24"/>
                <w:lang w:val="en-US" w:eastAsia="zh-CN" w:bidi="ar-SA"/>
              </w:rPr>
              <w:t>近三个月完税证明及近三个月社保缴纳证明；</w:t>
            </w:r>
          </w:p>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cs="宋体"/>
                <w:i w:val="0"/>
                <w:iCs w:val="0"/>
                <w:caps w:val="0"/>
                <w:color w:val="000000"/>
                <w:spacing w:val="0"/>
                <w:kern w:val="2"/>
                <w:sz w:val="24"/>
                <w:szCs w:val="24"/>
                <w:lang w:val="en-US" w:eastAsia="zh-CN" w:bidi="ar-SA"/>
              </w:rPr>
              <w:t>（6）</w:t>
            </w:r>
            <w:r>
              <w:rPr>
                <w:rFonts w:hint="eastAsia" w:ascii="宋体" w:hAnsi="宋体" w:eastAsia="宋体" w:cs="宋体"/>
                <w:i w:val="0"/>
                <w:iCs w:val="0"/>
                <w:caps w:val="0"/>
                <w:color w:val="000000"/>
                <w:spacing w:val="0"/>
                <w:kern w:val="2"/>
                <w:sz w:val="24"/>
                <w:szCs w:val="24"/>
                <w:lang w:val="en-US" w:eastAsia="zh-CN" w:bidi="ar-SA"/>
              </w:rPr>
              <w:t>近两年任意一年的财务审计报告（新成立不满十二个月可提供近三个月的银行资信证明）；</w:t>
            </w:r>
          </w:p>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lang w:val="en-US" w:eastAsia="zh-CN"/>
              </w:rPr>
            </w:pP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lang w:val="en-US" w:eastAsia="zh-CN"/>
              </w:rPr>
            </w:pPr>
            <w:r>
              <w:rPr>
                <w:rFonts w:hint="eastAsia"/>
                <w:lang w:val="en-US" w:eastAsia="zh-CN"/>
              </w:rPr>
              <w:t xml:space="preserve">备注： </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lang w:val="en-US" w:eastAsia="zh-CN"/>
              </w:rPr>
            </w:pPr>
            <w:r>
              <w:rPr>
                <w:rFonts w:hint="eastAsia"/>
                <w:lang w:val="en-US" w:eastAsia="zh-CN"/>
              </w:rPr>
              <w:t xml:space="preserve">（1）开标时，投标人必须提交上述证明材料，未提交或提交不全的视为验资不合格； </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lang w:val="en-US" w:eastAsia="zh-CN"/>
              </w:rPr>
            </w:pPr>
            <w:r>
              <w:rPr>
                <w:rFonts w:hint="eastAsia"/>
                <w:lang w:val="en-US" w:eastAsia="zh-CN"/>
              </w:rPr>
              <w:t xml:space="preserve">（2）招标文件中所要求的相关证明资料原件，应当在递交投标文件截止时间前一同带入开标场地，逾期拒绝接收； </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lang w:val="en-US" w:eastAsia="zh-CN"/>
              </w:rPr>
            </w:pPr>
            <w:r>
              <w:rPr>
                <w:rFonts w:hint="eastAsia"/>
                <w:lang w:val="en-US" w:eastAsia="zh-CN"/>
              </w:rPr>
              <w:t>（3）以上证明材料的公证件不予认可。</w:t>
            </w:r>
          </w:p>
          <w:p>
            <w:pPr>
              <w:pStyle w:val="21"/>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77"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12</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投标响应文件份数</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份数:正本1份，副本3份。</w:t>
            </w:r>
          </w:p>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投标文件电子版份数：1份， 电子版上应清晰标记出项目名称及投标人名称。</w:t>
            </w:r>
          </w:p>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投标企业递交投标文件，标注项目名称（即本项目制作正本1份，副本3份，电子版为书面投标文件正本加盖公章的扫描件，PDF 格式 1份）。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32"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13</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投标文件提交截止时间</w:t>
            </w:r>
          </w:p>
        </w:tc>
        <w:tc>
          <w:tcPr>
            <w:tcW w:w="6237"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cs="宋体"/>
                <w:b w:val="0"/>
                <w:bCs w:val="0"/>
                <w:color w:val="auto"/>
                <w:kern w:val="0"/>
                <w:sz w:val="24"/>
                <w:szCs w:val="24"/>
                <w:lang w:val="en-US" w:eastAsia="zh-CN"/>
              </w:rPr>
            </w:pPr>
            <w:r>
              <w:rPr>
                <w:rFonts w:hint="eastAsia" w:ascii="宋体" w:hAnsi="宋体" w:eastAsia="宋体" w:cs="宋体"/>
                <w:b/>
                <w:bCs/>
                <w:i w:val="0"/>
                <w:iCs w:val="0"/>
                <w:caps w:val="0"/>
                <w:color w:val="auto"/>
                <w:spacing w:val="0"/>
                <w:sz w:val="24"/>
                <w:szCs w:val="24"/>
                <w:lang w:val="en-US" w:eastAsia="zh-CN"/>
              </w:rPr>
              <w:t>2021年12月</w:t>
            </w:r>
            <w:r>
              <w:rPr>
                <w:rFonts w:hint="eastAsia" w:ascii="宋体" w:hAnsi="宋体" w:cs="宋体"/>
                <w:b/>
                <w:bCs/>
                <w:i w:val="0"/>
                <w:iCs w:val="0"/>
                <w:caps w:val="0"/>
                <w:color w:val="auto"/>
                <w:spacing w:val="0"/>
                <w:sz w:val="24"/>
                <w:szCs w:val="24"/>
                <w:lang w:val="en-US" w:eastAsia="zh-CN"/>
              </w:rPr>
              <w:t>13</w:t>
            </w:r>
            <w:r>
              <w:rPr>
                <w:rFonts w:hint="eastAsia" w:ascii="宋体" w:hAnsi="宋体" w:eastAsia="宋体" w:cs="宋体"/>
                <w:b/>
                <w:bCs/>
                <w:i w:val="0"/>
                <w:iCs w:val="0"/>
                <w:caps w:val="0"/>
                <w:color w:val="auto"/>
                <w:spacing w:val="0"/>
                <w:sz w:val="24"/>
                <w:szCs w:val="24"/>
                <w:lang w:val="en-US" w:eastAsia="zh-CN"/>
              </w:rPr>
              <w:t>日上午11：00</w:t>
            </w:r>
            <w:r>
              <w:rPr>
                <w:rFonts w:hint="eastAsia" w:ascii="宋体" w:hAnsi="宋体" w:eastAsia="宋体" w:cs="宋体"/>
                <w:b/>
                <w:bCs/>
                <w:i w:val="0"/>
                <w:iCs w:val="0"/>
                <w:caps w:val="0"/>
                <w:color w:val="auto"/>
                <w:spacing w:val="0"/>
                <w:sz w:val="24"/>
                <w:szCs w:val="24"/>
                <w:highlight w:val="none"/>
                <w:lang w:bidi="ar-SA"/>
              </w:rPr>
              <w:t>（北京时间</w:t>
            </w:r>
            <w:r>
              <w:rPr>
                <w:rFonts w:hint="eastAsia" w:ascii="宋体" w:hAnsi="宋体" w:eastAsia="宋体" w:cs="宋体"/>
                <w:b/>
                <w:bCs/>
                <w:i w:val="0"/>
                <w:iCs w:val="0"/>
                <w:caps w:val="0"/>
                <w:color w:val="auto"/>
                <w:spacing w:val="0"/>
                <w:sz w:val="24"/>
                <w:szCs w:val="24"/>
                <w:highlight w:val="none"/>
                <w:lang w:eastAsia="zh-CN" w:bidi="ar-SA"/>
              </w:rPr>
              <w:t>）</w:t>
            </w:r>
            <w:r>
              <w:rPr>
                <w:rFonts w:hint="eastAsia" w:ascii="宋体" w:hAnsi="宋体" w:cs="宋体"/>
                <w:b/>
                <w:bCs/>
                <w:color w:val="auto"/>
                <w:kern w:val="0"/>
                <w:sz w:val="24"/>
                <w:szCs w:val="24"/>
                <w:lang w:val="en-US" w:eastAsia="zh-CN"/>
              </w:rPr>
              <w:t>，逾期代表自动放弃。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6"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14</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投标文件提交地点</w:t>
            </w:r>
          </w:p>
        </w:tc>
        <w:tc>
          <w:tcPr>
            <w:tcW w:w="6237"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1440" w:right="0" w:hanging="1440" w:hangingChars="600"/>
              <w:textAlignment w:val="auto"/>
              <w:rPr>
                <w:rFonts w:hint="default" w:ascii="宋体" w:hAnsi="宋体" w:eastAsia="宋体" w:cs="宋体"/>
                <w:i w:val="0"/>
                <w:iCs w:val="0"/>
                <w:caps w:val="0"/>
                <w:color w:val="auto"/>
                <w:spacing w:val="0"/>
                <w:sz w:val="24"/>
                <w:szCs w:val="24"/>
                <w:highlight w:val="none"/>
                <w:lang w:val="en-US" w:eastAsia="zh-CN" w:bidi="ar-SA"/>
              </w:rPr>
            </w:pPr>
            <w:r>
              <w:rPr>
                <w:rFonts w:hint="eastAsia" w:ascii="宋体" w:hAnsi="宋体" w:eastAsia="宋体" w:cs="宋体"/>
                <w:i w:val="0"/>
                <w:iCs w:val="0"/>
                <w:caps w:val="0"/>
                <w:color w:val="auto"/>
                <w:spacing w:val="0"/>
                <w:sz w:val="24"/>
                <w:szCs w:val="24"/>
                <w:highlight w:val="none"/>
                <w:lang w:val="zh-CN" w:bidi="ar-SA"/>
              </w:rPr>
              <w:t>阿克苏药品集散中心办公大楼（地址：温宿县长兴街15号）办公大楼一楼开标室</w:t>
            </w:r>
          </w:p>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15</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开标时间</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eastAsia="宋体" w:cs="宋体"/>
                <w:b/>
                <w:bCs/>
                <w:i w:val="0"/>
                <w:iCs w:val="0"/>
                <w:caps w:val="0"/>
                <w:color w:val="auto"/>
                <w:spacing w:val="0"/>
                <w:sz w:val="24"/>
                <w:szCs w:val="24"/>
                <w:lang w:val="en-US" w:eastAsia="zh-CN"/>
              </w:rPr>
              <w:t>2021年12月</w:t>
            </w:r>
            <w:r>
              <w:rPr>
                <w:rFonts w:hint="eastAsia" w:ascii="宋体" w:hAnsi="宋体" w:cs="宋体"/>
                <w:b/>
                <w:bCs/>
                <w:i w:val="0"/>
                <w:iCs w:val="0"/>
                <w:caps w:val="0"/>
                <w:color w:val="auto"/>
                <w:spacing w:val="0"/>
                <w:sz w:val="24"/>
                <w:szCs w:val="24"/>
                <w:lang w:val="en-US" w:eastAsia="zh-CN"/>
              </w:rPr>
              <w:t>13</w:t>
            </w:r>
            <w:r>
              <w:rPr>
                <w:rFonts w:hint="eastAsia" w:ascii="宋体" w:hAnsi="宋体" w:eastAsia="宋体" w:cs="宋体"/>
                <w:b/>
                <w:bCs/>
                <w:i w:val="0"/>
                <w:iCs w:val="0"/>
                <w:caps w:val="0"/>
                <w:color w:val="auto"/>
                <w:spacing w:val="0"/>
                <w:sz w:val="24"/>
                <w:szCs w:val="24"/>
                <w:lang w:val="en-US" w:eastAsia="zh-CN"/>
              </w:rPr>
              <w:t>日上午11：00</w:t>
            </w:r>
            <w:r>
              <w:rPr>
                <w:rFonts w:hint="eastAsia" w:ascii="宋体" w:hAnsi="宋体" w:eastAsia="宋体" w:cs="宋体"/>
                <w:b/>
                <w:bCs/>
                <w:i w:val="0"/>
                <w:iCs w:val="0"/>
                <w:caps w:val="0"/>
                <w:color w:val="auto"/>
                <w:spacing w:val="0"/>
                <w:sz w:val="24"/>
                <w:szCs w:val="24"/>
                <w:highlight w:val="none"/>
                <w:lang w:bidi="ar-SA"/>
              </w:rPr>
              <w:t>（北京时间</w:t>
            </w:r>
            <w:r>
              <w:rPr>
                <w:rFonts w:hint="eastAsia" w:ascii="宋体" w:hAnsi="宋体" w:eastAsia="宋体" w:cs="宋体"/>
                <w:b/>
                <w:bCs/>
                <w:i w:val="0"/>
                <w:iCs w:val="0"/>
                <w:caps w:val="0"/>
                <w:color w:val="auto"/>
                <w:spacing w:val="0"/>
                <w:sz w:val="24"/>
                <w:szCs w:val="24"/>
                <w:highlight w:val="none"/>
                <w:lang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69"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16</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开标地点</w:t>
            </w:r>
          </w:p>
        </w:tc>
        <w:tc>
          <w:tcPr>
            <w:tcW w:w="6237"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1440" w:right="0" w:hanging="1440" w:hangingChars="600"/>
              <w:textAlignment w:val="auto"/>
              <w:rPr>
                <w:rFonts w:hint="eastAsia" w:ascii="宋体" w:hAnsi="宋体" w:cs="宋体"/>
                <w:b w:val="0"/>
                <w:bCs w:val="0"/>
                <w:color w:val="auto"/>
                <w:kern w:val="0"/>
                <w:sz w:val="24"/>
                <w:szCs w:val="24"/>
                <w:lang w:val="en-US" w:eastAsia="zh-CN"/>
              </w:rPr>
            </w:pPr>
            <w:r>
              <w:rPr>
                <w:rFonts w:hint="eastAsia" w:ascii="宋体" w:hAnsi="宋体" w:eastAsia="宋体" w:cs="宋体"/>
                <w:i w:val="0"/>
                <w:iCs w:val="0"/>
                <w:caps w:val="0"/>
                <w:color w:val="auto"/>
                <w:spacing w:val="0"/>
                <w:sz w:val="24"/>
                <w:szCs w:val="24"/>
                <w:highlight w:val="none"/>
                <w:lang w:val="zh-CN" w:bidi="ar-SA"/>
              </w:rPr>
              <w:t>阿克苏药品集散中心办公大楼（地址：温宿县长兴街15号）办公大楼一楼开标室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17</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履约保证金</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由双方协商确定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0" w:hRule="exact"/>
        </w:trPr>
        <w:tc>
          <w:tcPr>
            <w:tcW w:w="744" w:type="dxa"/>
            <w:tcBorders>
              <w:top w:val="single" w:color="auto" w:sz="4" w:space="0"/>
              <w:left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18</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评标办法及标准</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竞争性谈判</w:t>
            </w:r>
          </w:p>
        </w:tc>
      </w:tr>
    </w:tbl>
    <w:p>
      <w:pPr>
        <w:jc w:val="both"/>
        <w:rPr>
          <w:rFonts w:hint="eastAsia" w:ascii="仿宋" w:hAnsi="仿宋" w:eastAsia="仿宋" w:cs="仿宋"/>
          <w:b w:val="0"/>
          <w:color w:val="auto"/>
          <w:spacing w:val="10"/>
          <w:szCs w:val="28"/>
          <w:highlight w:val="none"/>
        </w:rPr>
      </w:pPr>
      <w:bookmarkStart w:id="4" w:name="_Toc31200"/>
      <w:bookmarkStart w:id="5" w:name="_Toc18885_WPSOffice_Level2"/>
      <w:bookmarkStart w:id="6" w:name="_Toc175644016"/>
      <w:bookmarkStart w:id="7" w:name="_Toc86202581"/>
      <w:r>
        <w:rPr>
          <w:rFonts w:hint="eastAsia" w:ascii="仿宋" w:hAnsi="仿宋" w:eastAsia="仿宋" w:cs="仿宋"/>
          <w:b/>
          <w:bCs/>
          <w:color w:val="auto"/>
          <w:spacing w:val="10"/>
          <w:kern w:val="44"/>
          <w:sz w:val="28"/>
          <w:szCs w:val="28"/>
          <w:highlight w:val="none"/>
          <w:lang w:val="en-US" w:eastAsia="zh-CN" w:bidi="ar-SA"/>
        </w:rPr>
        <w:t>一、总则</w:t>
      </w:r>
      <w:bookmarkEnd w:id="4"/>
      <w:bookmarkEnd w:id="5"/>
      <w:bookmarkEnd w:id="6"/>
      <w:r>
        <w:rPr>
          <w:rFonts w:hint="eastAsia" w:ascii="仿宋" w:hAnsi="仿宋" w:eastAsia="仿宋" w:cs="仿宋"/>
          <w:b/>
          <w:bCs/>
          <w:color w:val="auto"/>
          <w:spacing w:val="10"/>
          <w:kern w:val="44"/>
          <w:sz w:val="28"/>
          <w:szCs w:val="28"/>
          <w:highlight w:val="none"/>
          <w:lang w:val="en-US" w:eastAsia="zh-CN" w:bidi="ar-SA"/>
        </w:rPr>
        <w:t xml:space="preserve">  </w:t>
      </w:r>
      <w:r>
        <w:rPr>
          <w:rFonts w:hint="eastAsia" w:ascii="仿宋" w:hAnsi="仿宋" w:eastAsia="仿宋" w:cs="仿宋"/>
          <w:color w:val="auto"/>
          <w:spacing w:val="10"/>
          <w:szCs w:val="28"/>
          <w:highlight w:val="none"/>
        </w:rPr>
        <w:t xml:space="preserve">   </w:t>
      </w:r>
    </w:p>
    <w:p>
      <w:pPr>
        <w:pStyle w:val="24"/>
        <w:snapToGrid w:val="0"/>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 适用范围</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本谈判文件适用于本次谈判活动的全过程。</w:t>
      </w:r>
    </w:p>
    <w:p>
      <w:pPr>
        <w:pStyle w:val="24"/>
        <w:numPr>
          <w:ilvl w:val="0"/>
          <w:numId w:val="4"/>
        </w:numPr>
        <w:snapToGrid w:val="0"/>
        <w:spacing w:line="500" w:lineRule="exact"/>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 xml:space="preserve"> 定义</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遵守&lt;&lt;中华人民共和国政府采购法&gt;&gt;及相关法律要求,具有能力提供招标货物及服务，符合投标条件的供应商均为合格投标方。“货物”指本谈判文件中所述所有货物。按照财政部《政府采购进口产品管理办法》（财库[2007]119号）有关规定，本谈判文件涉及的所有采购内容除特别标注为“进口产品”外，均必须采购国产产品。进口产品特指“通过中国海关报关验放进入中国境内且产自关境外的产品”。</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Style w:val="25"/>
          <w:rFonts w:hint="eastAsia" w:ascii="仿宋" w:hAnsi="仿宋" w:eastAsia="仿宋" w:cs="仿宋"/>
          <w:color w:val="auto"/>
          <w:spacing w:val="10"/>
          <w:sz w:val="28"/>
          <w:szCs w:val="28"/>
          <w:highlight w:val="none"/>
        </w:rPr>
        <w:t>2.2“服务”指本谈判文件所述报价人应该履行的承诺和义务。</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2.3“潜在报价人”指符合本谈判文件各项规定的合格供应商。</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2.4“报价人”指符合本谈判文件规定并参加谈判的供应商。</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2.5“采购人”指投标人须知前附表相关内容</w:t>
      </w:r>
      <w:r>
        <w:rPr>
          <w:rFonts w:hint="eastAsia" w:ascii="仿宋" w:hAnsi="仿宋" w:eastAsia="仿宋" w:cs="仿宋"/>
          <w:b/>
          <w:bCs/>
          <w:color w:val="auto"/>
          <w:sz w:val="28"/>
          <w:szCs w:val="28"/>
          <w:highlight w:val="none"/>
          <w:lang w:eastAsia="zh-CN"/>
        </w:rPr>
        <w:t>。</w:t>
      </w:r>
    </w:p>
    <w:p>
      <w:pPr>
        <w:pStyle w:val="24"/>
        <w:numPr>
          <w:ilvl w:val="0"/>
          <w:numId w:val="4"/>
        </w:numPr>
        <w:snapToGrid w:val="0"/>
        <w:spacing w:line="500" w:lineRule="exact"/>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合格报价人的条件</w:t>
      </w:r>
    </w:p>
    <w:p>
      <w:pPr>
        <w:pStyle w:val="24"/>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3.1报价人必须满足谈判文件规定的资格要求的各项条件。</w:t>
      </w:r>
    </w:p>
    <w:p>
      <w:pPr>
        <w:pStyle w:val="24"/>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3.2报价人必须遵守《中华人民共和国政府采购法》及其他有关的中国法律、法规和规定。</w:t>
      </w:r>
    </w:p>
    <w:p>
      <w:pPr>
        <w:pStyle w:val="24"/>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3.3报价人必须向集采机构购买谈判文件并登记备案。</w:t>
      </w:r>
    </w:p>
    <w:p>
      <w:pPr>
        <w:pStyle w:val="24"/>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3.4报价人所投报产品如有国家强制性标准规定的必须满足国家强制性标准规定的要求</w:t>
      </w:r>
    </w:p>
    <w:p>
      <w:pPr>
        <w:pStyle w:val="24"/>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3.5报价人必须满足谈判文件中其它资格要求。</w:t>
      </w:r>
    </w:p>
    <w:p>
      <w:pPr>
        <w:pStyle w:val="24"/>
        <w:snapToGrid w:val="0"/>
        <w:spacing w:line="500" w:lineRule="exact"/>
        <w:ind w:firstLine="593" w:firstLineChars="197"/>
        <w:textAlignment w:val="auto"/>
        <w:outlineLvl w:val="1"/>
        <w:rPr>
          <w:rFonts w:hint="eastAsia" w:ascii="仿宋" w:hAnsi="仿宋" w:eastAsia="仿宋" w:cs="仿宋"/>
          <w:b/>
          <w:bCs/>
          <w:color w:val="auto"/>
          <w:spacing w:val="10"/>
          <w:sz w:val="28"/>
          <w:szCs w:val="28"/>
          <w:highlight w:val="none"/>
        </w:rPr>
      </w:pPr>
      <w:bookmarkStart w:id="8" w:name="_Toc15609"/>
      <w:bookmarkStart w:id="9" w:name="_Toc29006_WPSOffice_Level2"/>
      <w:r>
        <w:rPr>
          <w:rFonts w:hint="eastAsia" w:ascii="仿宋" w:hAnsi="仿宋" w:eastAsia="仿宋" w:cs="仿宋"/>
          <w:b/>
          <w:bCs/>
          <w:color w:val="auto"/>
          <w:spacing w:val="10"/>
          <w:sz w:val="28"/>
          <w:szCs w:val="28"/>
          <w:highlight w:val="none"/>
        </w:rPr>
        <w:t>4.其它</w:t>
      </w:r>
      <w:bookmarkEnd w:id="8"/>
    </w:p>
    <w:p>
      <w:pPr>
        <w:pStyle w:val="24"/>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0" w:name="_Toc30506"/>
      <w:r>
        <w:rPr>
          <w:rFonts w:hint="eastAsia" w:ascii="仿宋" w:hAnsi="仿宋" w:eastAsia="仿宋" w:cs="仿宋"/>
          <w:color w:val="auto"/>
          <w:spacing w:val="10"/>
          <w:sz w:val="28"/>
          <w:szCs w:val="28"/>
          <w:highlight w:val="none"/>
        </w:rPr>
        <w:t>4.1无论谈判中的做法和结果如何，报价人均应自行承担所有与参加谈判活动有关的全部费用。</w:t>
      </w:r>
      <w:bookmarkEnd w:id="10"/>
    </w:p>
    <w:p>
      <w:pPr>
        <w:pStyle w:val="24"/>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1" w:name="_Toc27860"/>
      <w:r>
        <w:rPr>
          <w:rFonts w:hint="eastAsia" w:ascii="仿宋" w:hAnsi="仿宋" w:eastAsia="仿宋" w:cs="仿宋"/>
          <w:color w:val="auto"/>
          <w:spacing w:val="10"/>
          <w:sz w:val="28"/>
          <w:szCs w:val="28"/>
          <w:highlight w:val="none"/>
        </w:rPr>
        <w:t>4.2无论谈判结果如何，采购人或集采机构均无向报价人解释其成交/未成交原因的义务。</w:t>
      </w:r>
      <w:bookmarkEnd w:id="11"/>
    </w:p>
    <w:p>
      <w:pPr>
        <w:pStyle w:val="24"/>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2" w:name="_Toc21268"/>
      <w:r>
        <w:rPr>
          <w:rFonts w:hint="eastAsia" w:ascii="仿宋" w:hAnsi="仿宋" w:eastAsia="仿宋" w:cs="仿宋"/>
          <w:color w:val="auto"/>
          <w:spacing w:val="10"/>
          <w:sz w:val="28"/>
          <w:szCs w:val="28"/>
          <w:highlight w:val="none"/>
        </w:rPr>
        <w:t>4.3无论成交与否,已购买谈判文件的报价人对谈判文件负保密责任。</w:t>
      </w:r>
      <w:bookmarkEnd w:id="12"/>
    </w:p>
    <w:p>
      <w:pPr>
        <w:pStyle w:val="24"/>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3" w:name="_Toc28370"/>
      <w:r>
        <w:rPr>
          <w:rFonts w:hint="eastAsia" w:ascii="仿宋" w:hAnsi="仿宋" w:eastAsia="仿宋" w:cs="仿宋"/>
          <w:color w:val="auto"/>
          <w:spacing w:val="10"/>
          <w:sz w:val="28"/>
          <w:szCs w:val="28"/>
          <w:highlight w:val="none"/>
        </w:rPr>
        <w:t>4.4无论结果如何，成交报价人的应谈文件不予退还，未成交的报价人的应谈文件须留一份正本和</w:t>
      </w:r>
      <w:r>
        <w:rPr>
          <w:rFonts w:hint="eastAsia" w:ascii="仿宋" w:hAnsi="仿宋" w:eastAsia="仿宋" w:cs="仿宋"/>
          <w:color w:val="auto"/>
          <w:spacing w:val="10"/>
          <w:sz w:val="28"/>
          <w:szCs w:val="28"/>
          <w:highlight w:val="none"/>
          <w:lang w:val="en-US" w:eastAsia="zh-CN"/>
        </w:rPr>
        <w:t>三</w:t>
      </w:r>
      <w:r>
        <w:rPr>
          <w:rFonts w:hint="eastAsia" w:ascii="仿宋" w:hAnsi="仿宋" w:eastAsia="仿宋" w:cs="仿宋"/>
          <w:color w:val="auto"/>
          <w:spacing w:val="10"/>
          <w:sz w:val="28"/>
          <w:szCs w:val="28"/>
          <w:highlight w:val="none"/>
        </w:rPr>
        <w:t>份副本</w:t>
      </w:r>
      <w:r>
        <w:rPr>
          <w:rFonts w:hint="eastAsia" w:ascii="仿宋" w:hAnsi="仿宋" w:eastAsia="仿宋" w:cs="仿宋"/>
          <w:color w:val="auto"/>
          <w:spacing w:val="10"/>
          <w:sz w:val="28"/>
          <w:szCs w:val="28"/>
          <w:highlight w:val="none"/>
          <w:lang w:val="en-US" w:eastAsia="zh-CN"/>
        </w:rPr>
        <w:t>及一份电子版（PDF 电子版上应清晰标记出项目名称及投标人名称）</w:t>
      </w:r>
      <w:r>
        <w:rPr>
          <w:rFonts w:hint="eastAsia" w:ascii="仿宋" w:hAnsi="仿宋" w:eastAsia="仿宋" w:cs="仿宋"/>
          <w:color w:val="auto"/>
          <w:spacing w:val="10"/>
          <w:sz w:val="28"/>
          <w:szCs w:val="28"/>
          <w:highlight w:val="none"/>
        </w:rPr>
        <w:t>存档，其余退还。</w:t>
      </w:r>
      <w:bookmarkEnd w:id="13"/>
    </w:p>
    <w:p>
      <w:pPr>
        <w:pStyle w:val="24"/>
        <w:snapToGrid w:val="0"/>
        <w:spacing w:line="500" w:lineRule="exact"/>
        <w:ind w:firstLine="591" w:firstLineChars="197"/>
        <w:textAlignment w:val="auto"/>
        <w:outlineLvl w:val="1"/>
        <w:rPr>
          <w:rFonts w:hint="eastAsia" w:ascii="仿宋" w:hAnsi="仿宋" w:eastAsia="仿宋" w:cs="仿宋"/>
          <w:b/>
          <w:color w:val="auto"/>
          <w:spacing w:val="10"/>
          <w:sz w:val="28"/>
          <w:szCs w:val="28"/>
          <w:highlight w:val="none"/>
        </w:rPr>
      </w:pPr>
      <w:bookmarkStart w:id="14" w:name="_Toc909"/>
      <w:r>
        <w:rPr>
          <w:rFonts w:hint="eastAsia" w:ascii="仿宋" w:hAnsi="仿宋" w:eastAsia="仿宋" w:cs="仿宋"/>
          <w:color w:val="auto"/>
          <w:spacing w:val="10"/>
          <w:sz w:val="28"/>
          <w:szCs w:val="28"/>
          <w:highlight w:val="none"/>
        </w:rPr>
        <w:t>二</w:t>
      </w:r>
      <w:r>
        <w:rPr>
          <w:rFonts w:hint="eastAsia" w:ascii="仿宋" w:hAnsi="仿宋" w:eastAsia="仿宋" w:cs="仿宋"/>
          <w:b/>
          <w:color w:val="auto"/>
          <w:spacing w:val="10"/>
          <w:sz w:val="28"/>
          <w:szCs w:val="28"/>
          <w:highlight w:val="none"/>
        </w:rPr>
        <w:t>、谈判文件</w:t>
      </w:r>
      <w:bookmarkEnd w:id="9"/>
      <w:bookmarkEnd w:id="14"/>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5. 谈判文件的内容</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谈判文件由下列</w:t>
      </w:r>
      <w:r>
        <w:rPr>
          <w:rFonts w:hint="eastAsia" w:ascii="仿宋" w:hAnsi="仿宋" w:eastAsia="仿宋" w:cs="仿宋"/>
          <w:b/>
          <w:bCs/>
          <w:color w:val="auto"/>
          <w:spacing w:val="10"/>
          <w:sz w:val="28"/>
          <w:szCs w:val="28"/>
          <w:highlight w:val="none"/>
          <w:lang w:eastAsia="zh-CN"/>
        </w:rPr>
        <w:t>五</w:t>
      </w:r>
      <w:r>
        <w:rPr>
          <w:rFonts w:hint="eastAsia" w:ascii="仿宋" w:hAnsi="仿宋" w:eastAsia="仿宋" w:cs="仿宋"/>
          <w:b/>
          <w:color w:val="auto"/>
          <w:spacing w:val="10"/>
          <w:sz w:val="28"/>
          <w:szCs w:val="28"/>
          <w:highlight w:val="none"/>
        </w:rPr>
        <w:t>部分</w:t>
      </w:r>
      <w:r>
        <w:rPr>
          <w:rFonts w:hint="eastAsia" w:ascii="仿宋" w:hAnsi="仿宋" w:eastAsia="仿宋" w:cs="仿宋"/>
          <w:color w:val="auto"/>
          <w:spacing w:val="10"/>
          <w:sz w:val="28"/>
          <w:szCs w:val="28"/>
          <w:highlight w:val="none"/>
        </w:rPr>
        <w:t>内容组成：</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第一部分 谈判</w:t>
      </w:r>
      <w:r>
        <w:rPr>
          <w:rFonts w:hint="eastAsia" w:ascii="仿宋" w:hAnsi="仿宋" w:eastAsia="仿宋" w:cs="仿宋"/>
          <w:color w:val="auto"/>
          <w:spacing w:val="10"/>
          <w:sz w:val="28"/>
          <w:szCs w:val="28"/>
          <w:highlight w:val="none"/>
          <w:lang w:val="en-US" w:eastAsia="zh-CN"/>
        </w:rPr>
        <w:t>公告</w:t>
      </w:r>
      <w:r>
        <w:rPr>
          <w:rFonts w:hint="eastAsia" w:ascii="仿宋" w:hAnsi="仿宋" w:eastAsia="仿宋" w:cs="仿宋"/>
          <w:color w:val="auto"/>
          <w:spacing w:val="10"/>
          <w:sz w:val="28"/>
          <w:szCs w:val="28"/>
          <w:highlight w:val="none"/>
        </w:rPr>
        <w:t>；</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第二部分 报价人须知；</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第三部分 合同范本；</w:t>
      </w:r>
    </w:p>
    <w:p>
      <w:pPr>
        <w:snapToGrid w:val="0"/>
        <w:spacing w:line="500" w:lineRule="exact"/>
        <w:ind w:firstLine="600" w:firstLineChars="200"/>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eastAsia="zh-CN"/>
        </w:rPr>
        <w:t>第四部分</w:t>
      </w:r>
      <w:r>
        <w:rPr>
          <w:rFonts w:hint="eastAsia" w:ascii="仿宋" w:hAnsi="仿宋" w:eastAsia="仿宋" w:cs="仿宋"/>
          <w:color w:val="auto"/>
          <w:spacing w:val="10"/>
          <w:sz w:val="28"/>
          <w:szCs w:val="28"/>
          <w:highlight w:val="none"/>
          <w:lang w:val="en-US" w:eastAsia="zh-CN"/>
        </w:rPr>
        <w:t xml:space="preserve"> 工程量清单</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w:t>
      </w:r>
      <w:r>
        <w:rPr>
          <w:rFonts w:hint="eastAsia" w:ascii="仿宋" w:hAnsi="仿宋" w:eastAsia="仿宋" w:cs="仿宋"/>
          <w:color w:val="auto"/>
          <w:spacing w:val="10"/>
          <w:sz w:val="28"/>
          <w:szCs w:val="28"/>
          <w:highlight w:val="none"/>
          <w:lang w:eastAsia="zh-CN"/>
        </w:rPr>
        <w:t>五</w:t>
      </w:r>
      <w:r>
        <w:rPr>
          <w:rFonts w:hint="eastAsia" w:ascii="仿宋" w:hAnsi="仿宋" w:eastAsia="仿宋" w:cs="仿宋"/>
          <w:color w:val="auto"/>
          <w:spacing w:val="10"/>
          <w:sz w:val="28"/>
          <w:szCs w:val="28"/>
          <w:highlight w:val="none"/>
        </w:rPr>
        <w:t>部分 报价文件格式；</w:t>
      </w:r>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6. 谈判文件的澄清和修改</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6.1报价人澄清要求的提交：任何已登记备案并领取了谈判文件的潜在报价人，均可要求对谈判文件进行澄清，按报价邀请书中的联系地址以书面形式（包括书面材料、信函、传真，下同）送达</w:t>
      </w:r>
      <w:r>
        <w:rPr>
          <w:rFonts w:hint="eastAsia" w:ascii="仿宋" w:hAnsi="仿宋" w:eastAsia="仿宋" w:cs="仿宋"/>
          <w:color w:val="auto"/>
          <w:spacing w:val="10"/>
          <w:sz w:val="28"/>
          <w:szCs w:val="28"/>
          <w:highlight w:val="none"/>
          <w:lang w:eastAsia="zh-CN"/>
        </w:rPr>
        <w:t>招标代理</w:t>
      </w:r>
      <w:r>
        <w:rPr>
          <w:rFonts w:hint="eastAsia" w:ascii="仿宋" w:hAnsi="仿宋" w:eastAsia="仿宋" w:cs="仿宋"/>
          <w:color w:val="auto"/>
          <w:spacing w:val="10"/>
          <w:sz w:val="28"/>
          <w:szCs w:val="28"/>
          <w:highlight w:val="none"/>
        </w:rPr>
        <w:t>机构。</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6.2</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对澄清要求的处理：</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对其认为需要给予澄清、修改及/或进行其它答复的，将以补充文件的方式进行，并且采用书面及政府网站补充公告的形式。补充文件中包括原提出的问题及问题的说明意见，但不包括问题的来源。</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6.3</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主动进行的澄清、修改：</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无论出于何种原因，均可主动对谈判文件中的相关事项，用补充文件的方式进行澄清和修改。补充文件应当在提交报价文件截止之日前2日发出，需要为此调整报价文件提交截止时间的，应当重新发出通知或在补充文件中一并明确。</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6.4</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澄清、修改及其它答复的效力：无论是否根据报价人的澄清、修改或进行其它答复的要求，</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一旦对谈判文件做出澄清、修改或进行其它答复，即刻发生效力，</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有关的补充文件，应当作为谈判文件的组成部分，对所有报价人均具有约束力。</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6.5</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将视情况确定是否有必要召开标前会。如果召开标前会，</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将向所有已登记备案并领取了谈判文件的潜在报价人发出通知。</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6.6</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在组织开标现场对投标情况可做进一步的澄清和说明，并经全场投标人代表签字确认。</w:t>
      </w:r>
      <w:bookmarkStart w:id="15" w:name="_Toc175644018"/>
    </w:p>
    <w:p>
      <w:pPr>
        <w:pStyle w:val="24"/>
        <w:snapToGrid w:val="0"/>
        <w:spacing w:line="500" w:lineRule="exact"/>
        <w:ind w:firstLine="593" w:firstLineChars="197"/>
        <w:textAlignment w:val="auto"/>
        <w:outlineLvl w:val="1"/>
        <w:rPr>
          <w:rFonts w:hint="eastAsia" w:ascii="仿宋" w:hAnsi="仿宋" w:eastAsia="仿宋" w:cs="仿宋"/>
          <w:b/>
          <w:color w:val="auto"/>
          <w:spacing w:val="10"/>
          <w:sz w:val="28"/>
          <w:szCs w:val="28"/>
          <w:highlight w:val="none"/>
        </w:rPr>
      </w:pPr>
      <w:bookmarkStart w:id="16" w:name="_Toc21291"/>
      <w:bookmarkStart w:id="17" w:name="_Toc12185_WPSOffice_Level2"/>
      <w:r>
        <w:rPr>
          <w:rFonts w:hint="eastAsia" w:ascii="仿宋" w:hAnsi="仿宋" w:eastAsia="仿宋" w:cs="仿宋"/>
          <w:b/>
          <w:color w:val="auto"/>
          <w:spacing w:val="10"/>
          <w:sz w:val="28"/>
          <w:szCs w:val="28"/>
          <w:highlight w:val="none"/>
        </w:rPr>
        <w:t>三、报价文件</w:t>
      </w:r>
      <w:bookmarkEnd w:id="15"/>
      <w:bookmarkEnd w:id="16"/>
      <w:bookmarkEnd w:id="17"/>
      <w:r>
        <w:rPr>
          <w:rFonts w:hint="eastAsia" w:ascii="仿宋" w:hAnsi="仿宋" w:eastAsia="仿宋" w:cs="仿宋"/>
          <w:b/>
          <w:color w:val="auto"/>
          <w:spacing w:val="10"/>
          <w:sz w:val="28"/>
          <w:szCs w:val="28"/>
          <w:highlight w:val="none"/>
        </w:rPr>
        <w:t xml:space="preserve">     </w:t>
      </w:r>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7.报价文件的语言和计量单位</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7.1报价人提交的报价文件（包括技术文件和资料、图纸中的说明）以及报价人与</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就有关报价的所有来往函电均应使用中文简体字。</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7.2报价文件所使用的计量单位，应使用国家法定计量单位。</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7.3原版为外文的证书类文件，以及由外国人做出的本人签名、外国公司的名称或外国印章等可以是外文，但应当提供中文翻译文件并加盖报价人公章。必要时谈判小组可以要求报价人提供附有公证书的中文翻译文件或者与原版文件签章相一致的中文翻译文件。</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原版为外文的证书类、证明类文件，与报价人名称或其它实际情况不符的，报价人应当提供相关证明文件。</w:t>
      </w:r>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8. 报价文件的组成及相关要求</w:t>
      </w:r>
    </w:p>
    <w:p>
      <w:pPr>
        <w:pStyle w:val="24"/>
        <w:snapToGrid w:val="0"/>
        <w:spacing w:line="500" w:lineRule="exact"/>
        <w:ind w:firstLine="600" w:firstLineChars="200"/>
        <w:textAlignment w:val="auto"/>
        <w:rPr>
          <w:rFonts w:hint="eastAsia" w:ascii="仿宋" w:hAnsi="仿宋" w:eastAsia="仿宋" w:cs="仿宋"/>
          <w:b/>
          <w:color w:val="auto"/>
          <w:spacing w:val="10"/>
          <w:sz w:val="28"/>
          <w:szCs w:val="28"/>
          <w:highlight w:val="none"/>
          <w:lang w:val="en-US" w:eastAsia="zh-CN"/>
        </w:rPr>
      </w:pPr>
      <w:r>
        <w:rPr>
          <w:rFonts w:hint="eastAsia" w:ascii="仿宋" w:hAnsi="仿宋" w:eastAsia="仿宋" w:cs="仿宋"/>
          <w:color w:val="auto"/>
          <w:spacing w:val="10"/>
          <w:sz w:val="28"/>
          <w:szCs w:val="28"/>
          <w:highlight w:val="none"/>
        </w:rPr>
        <w:t>8.1报价文件分为商务部分和技术部分。</w:t>
      </w:r>
      <w:r>
        <w:rPr>
          <w:rFonts w:hint="eastAsia" w:ascii="仿宋" w:hAnsi="仿宋" w:eastAsia="仿宋" w:cs="仿宋"/>
          <w:b/>
          <w:color w:val="auto"/>
          <w:spacing w:val="10"/>
          <w:sz w:val="28"/>
          <w:szCs w:val="28"/>
          <w:highlight w:val="none"/>
        </w:rPr>
        <w:t>报价文件所有内容须装订为一册</w:t>
      </w:r>
      <w:r>
        <w:rPr>
          <w:rFonts w:hint="eastAsia" w:ascii="仿宋" w:hAnsi="仿宋" w:eastAsia="仿宋" w:cs="仿宋"/>
          <w:b/>
          <w:color w:val="auto"/>
          <w:spacing w:val="10"/>
          <w:sz w:val="28"/>
          <w:szCs w:val="28"/>
          <w:highlight w:val="none"/>
          <w:lang w:eastAsia="zh-CN"/>
        </w:rPr>
        <w:t>。</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u w:val="single"/>
        </w:rPr>
        <w:t>商务部分</w:t>
      </w:r>
      <w:r>
        <w:rPr>
          <w:rFonts w:hint="eastAsia" w:ascii="仿宋" w:hAnsi="仿宋" w:eastAsia="仿宋" w:cs="仿宋"/>
          <w:color w:val="auto"/>
          <w:spacing w:val="10"/>
          <w:sz w:val="28"/>
          <w:szCs w:val="28"/>
          <w:highlight w:val="none"/>
        </w:rPr>
        <w:t>指报价人提交的证明其有资格参加报价和成交后有能力履行合同的文件。</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u w:val="single"/>
        </w:rPr>
        <w:t>技术部分</w:t>
      </w:r>
      <w:r>
        <w:rPr>
          <w:rFonts w:hint="eastAsia" w:ascii="仿宋" w:hAnsi="仿宋" w:eastAsia="仿宋" w:cs="仿宋"/>
          <w:color w:val="auto"/>
          <w:spacing w:val="10"/>
          <w:sz w:val="28"/>
          <w:szCs w:val="28"/>
          <w:highlight w:val="none"/>
        </w:rPr>
        <w:t>指报价人提交的能够证明报价人提供的货物及服务符合谈判文件规定的文件。</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本次谈判，报价人应按本谈判文件要求提交商务、技术部分内容和需要报价人自行编写的其他文件</w:t>
      </w:r>
      <w:r>
        <w:rPr>
          <w:rFonts w:hint="eastAsia" w:ascii="仿宋" w:hAnsi="仿宋" w:eastAsia="仿宋" w:cs="仿宋"/>
          <w:b/>
          <w:color w:val="auto"/>
          <w:spacing w:val="10"/>
          <w:sz w:val="28"/>
          <w:szCs w:val="28"/>
          <w:highlight w:val="none"/>
        </w:rPr>
        <w:t>。</w:t>
      </w:r>
      <w:r>
        <w:rPr>
          <w:rFonts w:hint="eastAsia" w:ascii="仿宋" w:hAnsi="仿宋" w:eastAsia="仿宋" w:cs="仿宋"/>
          <w:color w:val="auto"/>
          <w:spacing w:val="10"/>
          <w:sz w:val="28"/>
          <w:szCs w:val="28"/>
          <w:highlight w:val="none"/>
        </w:rPr>
        <w:t>（具体填写要求及格式详见谈判文件</w:t>
      </w:r>
      <w:r>
        <w:rPr>
          <w:rFonts w:hint="eastAsia" w:ascii="仿宋" w:hAnsi="仿宋" w:eastAsia="仿宋" w:cs="仿宋"/>
          <w:color w:val="auto"/>
          <w:spacing w:val="10"/>
          <w:sz w:val="28"/>
          <w:szCs w:val="28"/>
          <w:highlight w:val="none"/>
          <w:lang w:eastAsia="zh-CN"/>
        </w:rPr>
        <w:t>第五部分</w:t>
      </w:r>
      <w:r>
        <w:rPr>
          <w:rFonts w:hint="eastAsia" w:ascii="仿宋" w:hAnsi="仿宋" w:eastAsia="仿宋" w:cs="仿宋"/>
          <w:color w:val="auto"/>
          <w:spacing w:val="10"/>
          <w:sz w:val="28"/>
          <w:szCs w:val="28"/>
          <w:highlight w:val="none"/>
        </w:rPr>
        <w:t>）。</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rPr>
        <w:t>8</w:t>
      </w:r>
      <w:r>
        <w:rPr>
          <w:rFonts w:hint="eastAsia" w:ascii="仿宋" w:hAnsi="仿宋" w:eastAsia="仿宋" w:cs="仿宋"/>
          <w:color w:val="auto"/>
          <w:spacing w:val="10"/>
          <w:sz w:val="28"/>
          <w:szCs w:val="28"/>
          <w:highlight w:val="none"/>
          <w:lang w:val="en-US" w:eastAsia="zh-CN"/>
        </w:rPr>
        <w:t>.2 报价文件要求内容及编排顺序</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lang w:eastAsia="zh-CN"/>
        </w:rPr>
        <w:t>报  价  函</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lang w:eastAsia="zh-CN"/>
        </w:rPr>
        <w:t>法定代表人身份证明书</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lang w:eastAsia="zh-CN"/>
        </w:rPr>
        <w:t>法人授权委托书</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*开标</w:t>
      </w:r>
      <w:r>
        <w:rPr>
          <w:rFonts w:hint="eastAsia" w:ascii="仿宋" w:hAnsi="仿宋" w:eastAsia="仿宋" w:cs="仿宋"/>
          <w:b w:val="0"/>
          <w:bCs w:val="0"/>
          <w:color w:val="auto"/>
          <w:spacing w:val="10"/>
          <w:sz w:val="28"/>
          <w:szCs w:val="28"/>
          <w:highlight w:val="none"/>
          <w:lang w:eastAsia="zh-CN"/>
        </w:rPr>
        <w:t>一览表</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lang w:eastAsia="zh-CN"/>
        </w:rPr>
      </w:pPr>
      <w:r>
        <w:rPr>
          <w:rFonts w:hint="eastAsia" w:ascii="仿宋" w:hAnsi="仿宋" w:eastAsia="仿宋" w:cs="仿宋"/>
          <w:b w:val="0"/>
          <w:bCs w:val="0"/>
          <w:color w:val="auto"/>
          <w:spacing w:val="10"/>
          <w:sz w:val="28"/>
          <w:szCs w:val="28"/>
          <w:highlight w:val="none"/>
          <w:lang w:val="en-US" w:eastAsia="zh-CN"/>
        </w:rPr>
        <w:t>*报价</w:t>
      </w:r>
      <w:r>
        <w:rPr>
          <w:rFonts w:hint="eastAsia" w:ascii="仿宋" w:hAnsi="仿宋" w:eastAsia="仿宋" w:cs="仿宋"/>
          <w:b w:val="0"/>
          <w:bCs w:val="0"/>
          <w:color w:val="auto"/>
          <w:spacing w:val="10"/>
          <w:sz w:val="28"/>
          <w:szCs w:val="28"/>
          <w:highlight w:val="none"/>
          <w:lang w:eastAsia="zh-CN"/>
        </w:rPr>
        <w:t>明细报表</w:t>
      </w:r>
    </w:p>
    <w:p>
      <w:pPr>
        <w:snapToGrid w:val="0"/>
        <w:spacing w:line="500" w:lineRule="exact"/>
        <w:ind w:firstLine="600" w:firstLineChars="200"/>
        <w:jc w:val="both"/>
        <w:rPr>
          <w:rFonts w:hint="default" w:ascii="仿宋" w:hAnsi="仿宋" w:eastAsia="仿宋" w:cs="仿宋"/>
          <w:b w:val="0"/>
          <w:bCs w:val="0"/>
          <w:color w:val="auto"/>
          <w:spacing w:val="10"/>
          <w:sz w:val="28"/>
          <w:szCs w:val="28"/>
          <w:highlight w:val="none"/>
          <w:lang w:val="en-US"/>
        </w:rPr>
      </w:pPr>
      <w:r>
        <w:rPr>
          <w:rFonts w:hint="eastAsia" w:ascii="仿宋" w:hAnsi="仿宋" w:eastAsia="仿宋" w:cs="仿宋"/>
          <w:b w:val="0"/>
          <w:bCs w:val="0"/>
          <w:color w:val="auto"/>
          <w:spacing w:val="10"/>
          <w:sz w:val="28"/>
          <w:szCs w:val="28"/>
          <w:highlight w:val="none"/>
          <w:lang w:val="en-US" w:eastAsia="zh-CN"/>
        </w:rPr>
        <w:t>*技术规范</w:t>
      </w:r>
      <w:r>
        <w:rPr>
          <w:rFonts w:hint="eastAsia" w:ascii="仿宋" w:hAnsi="仿宋" w:eastAsia="仿宋" w:cs="仿宋"/>
          <w:b w:val="0"/>
          <w:bCs w:val="0"/>
          <w:color w:val="auto"/>
          <w:spacing w:val="10"/>
          <w:sz w:val="28"/>
          <w:szCs w:val="28"/>
          <w:highlight w:val="none"/>
          <w:lang w:eastAsia="zh-CN"/>
        </w:rPr>
        <w:t>偏</w:t>
      </w:r>
      <w:r>
        <w:rPr>
          <w:rFonts w:hint="eastAsia" w:ascii="仿宋" w:hAnsi="仿宋" w:eastAsia="仿宋" w:cs="仿宋"/>
          <w:b w:val="0"/>
          <w:bCs w:val="0"/>
          <w:color w:val="auto"/>
          <w:spacing w:val="10"/>
          <w:sz w:val="28"/>
          <w:szCs w:val="28"/>
          <w:highlight w:val="none"/>
          <w:lang w:val="en-US" w:eastAsia="zh-CN"/>
        </w:rPr>
        <w:t>离表</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rPr>
        <w:t>质量保证和服务承诺</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lang w:eastAsia="zh-CN"/>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lang w:eastAsia="zh-CN"/>
        </w:rPr>
        <w:t>项目实施的具体计划及保障措施</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rPr>
        <w:t>综合说明</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8.3报价文件规格幅面（A4），按照谈判文件所规定的内容顺序，统一编目、编页码装订（报价文件中复印件及彩色宣传资料等均须与报价文件正文一起逐页编排页码）。装订须采用胶订形式，不得采用活页装订，须编排页码。</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为方便评审，报价文件中的各项表格必须按照谈判文件</w:t>
      </w:r>
      <w:r>
        <w:rPr>
          <w:rFonts w:hint="eastAsia" w:ascii="仿宋" w:hAnsi="仿宋" w:eastAsia="仿宋" w:cs="仿宋"/>
          <w:color w:val="auto"/>
          <w:spacing w:val="10"/>
          <w:sz w:val="28"/>
          <w:szCs w:val="28"/>
          <w:highlight w:val="none"/>
          <w:lang w:eastAsia="zh-CN"/>
        </w:rPr>
        <w:t>第五部分</w:t>
      </w:r>
      <w:r>
        <w:rPr>
          <w:rFonts w:hint="eastAsia" w:ascii="仿宋" w:hAnsi="仿宋" w:eastAsia="仿宋" w:cs="仿宋"/>
          <w:color w:val="auto"/>
          <w:spacing w:val="10"/>
          <w:sz w:val="28"/>
          <w:szCs w:val="28"/>
          <w:highlight w:val="none"/>
        </w:rPr>
        <w:t>格式要求制作。</w:t>
      </w:r>
    </w:p>
    <w:p>
      <w:pPr>
        <w:snapToGrid w:val="0"/>
        <w:spacing w:line="500" w:lineRule="exact"/>
        <w:ind w:firstLine="600" w:firstLineChars="200"/>
        <w:jc w:val="both"/>
        <w:rPr>
          <w:rFonts w:hint="default"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rPr>
        <w:t>8.4 保证金</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color w:val="auto"/>
          <w:spacing w:val="10"/>
          <w:sz w:val="28"/>
          <w:szCs w:val="28"/>
          <w:highlight w:val="none"/>
          <w:lang w:val="en-US" w:eastAsia="zh-CN"/>
        </w:rPr>
        <w:t>本项目不作要求）</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（1）</w:t>
      </w:r>
      <w:r>
        <w:rPr>
          <w:rFonts w:hint="eastAsia" w:ascii="仿宋" w:hAnsi="仿宋" w:eastAsia="仿宋" w:cs="仿宋"/>
          <w:color w:val="auto"/>
          <w:spacing w:val="10"/>
          <w:sz w:val="28"/>
          <w:szCs w:val="28"/>
          <w:highlight w:val="none"/>
        </w:rPr>
        <w:t>投标保证金为投标文件的组成部分之一。</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（2）</w:t>
      </w:r>
      <w:r>
        <w:rPr>
          <w:rFonts w:hint="eastAsia" w:ascii="仿宋" w:hAnsi="仿宋" w:eastAsia="仿宋" w:cs="仿宋"/>
          <w:color w:val="auto"/>
          <w:spacing w:val="10"/>
          <w:sz w:val="28"/>
          <w:szCs w:val="28"/>
          <w:highlight w:val="none"/>
        </w:rPr>
        <w:t>开标前投标人应向招标代理机构提交</w:t>
      </w:r>
      <w:r>
        <w:rPr>
          <w:rFonts w:hint="eastAsia" w:ascii="仿宋" w:hAnsi="仿宋" w:eastAsia="仿宋" w:cs="仿宋"/>
          <w:color w:val="auto"/>
          <w:spacing w:val="10"/>
          <w:sz w:val="28"/>
          <w:szCs w:val="28"/>
          <w:highlight w:val="none"/>
          <w:lang w:val="en-US" w:eastAsia="zh-CN"/>
        </w:rPr>
        <w:t>投标人须知前附表规定的</w:t>
      </w:r>
      <w:r>
        <w:rPr>
          <w:rFonts w:hint="eastAsia" w:ascii="仿宋" w:hAnsi="仿宋" w:eastAsia="仿宋" w:cs="仿宋"/>
          <w:color w:val="auto"/>
          <w:spacing w:val="10"/>
          <w:sz w:val="28"/>
          <w:szCs w:val="28"/>
          <w:highlight w:val="none"/>
        </w:rPr>
        <w:t>投标保证金，</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（3）</w:t>
      </w:r>
      <w:r>
        <w:rPr>
          <w:rFonts w:hint="eastAsia" w:ascii="仿宋" w:hAnsi="仿宋" w:eastAsia="仿宋" w:cs="仿宋"/>
          <w:color w:val="auto"/>
          <w:spacing w:val="10"/>
          <w:sz w:val="28"/>
          <w:szCs w:val="28"/>
          <w:highlight w:val="none"/>
        </w:rPr>
        <w:t>投标保证金用于保护本次招标免遭因投标人的行为而蒙受的损失。</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（4）</w:t>
      </w:r>
      <w:r>
        <w:rPr>
          <w:rFonts w:hint="eastAsia" w:ascii="仿宋" w:hAnsi="仿宋" w:eastAsia="仿宋" w:cs="仿宋"/>
          <w:color w:val="auto"/>
          <w:spacing w:val="10"/>
          <w:sz w:val="28"/>
          <w:szCs w:val="28"/>
          <w:highlight w:val="none"/>
        </w:rPr>
        <w:t>投标保证金可以是</w:t>
      </w:r>
      <w:r>
        <w:rPr>
          <w:rFonts w:hint="eastAsia" w:ascii="仿宋" w:hAnsi="仿宋" w:eastAsia="仿宋" w:cs="仿宋"/>
          <w:color w:val="auto"/>
          <w:spacing w:val="10"/>
          <w:sz w:val="28"/>
          <w:szCs w:val="28"/>
          <w:highlight w:val="none"/>
          <w:lang w:val="en-US" w:eastAsia="zh-CN"/>
        </w:rPr>
        <w:t>银行转账或电汇、投标保函</w:t>
      </w:r>
      <w:r>
        <w:rPr>
          <w:rFonts w:hint="eastAsia" w:ascii="仿宋" w:hAnsi="仿宋" w:eastAsia="仿宋" w:cs="仿宋"/>
          <w:color w:val="auto"/>
          <w:spacing w:val="10"/>
          <w:sz w:val="28"/>
          <w:szCs w:val="28"/>
          <w:highlight w:val="none"/>
        </w:rPr>
        <w:t>。</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（5）</w:t>
      </w:r>
      <w:r>
        <w:rPr>
          <w:rFonts w:hint="eastAsia" w:ascii="仿宋" w:hAnsi="仿宋" w:eastAsia="仿宋" w:cs="仿宋"/>
          <w:color w:val="auto"/>
          <w:spacing w:val="10"/>
          <w:sz w:val="28"/>
          <w:szCs w:val="28"/>
          <w:highlight w:val="none"/>
        </w:rPr>
        <w:t>投标保证金按下列要求交至招标代理机构帐户：</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单位名称：新疆中前川项目管理有限公司阿克苏分公司</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地    址：阿克苏市金石圆和苑1单元1702室</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开户银行：中国建设银行股份有限公司阿克苏南大街支行</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账    号：65050169604000000600</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（6）</w:t>
      </w:r>
      <w:r>
        <w:rPr>
          <w:rFonts w:hint="eastAsia" w:ascii="仿宋" w:hAnsi="仿宋" w:eastAsia="仿宋" w:cs="仿宋"/>
          <w:color w:val="auto"/>
          <w:spacing w:val="10"/>
          <w:sz w:val="28"/>
          <w:szCs w:val="28"/>
          <w:highlight w:val="none"/>
        </w:rPr>
        <w:t>未按规定提交投标保证金</w:t>
      </w:r>
      <w:r>
        <w:rPr>
          <w:rFonts w:hint="eastAsia" w:ascii="仿宋" w:hAnsi="仿宋" w:eastAsia="仿宋" w:cs="仿宋"/>
          <w:color w:val="auto"/>
          <w:spacing w:val="10"/>
          <w:sz w:val="28"/>
          <w:szCs w:val="28"/>
          <w:highlight w:val="none"/>
          <w:lang w:val="en-US" w:eastAsia="zh-CN"/>
        </w:rPr>
        <w:t>的供应商</w:t>
      </w:r>
      <w:r>
        <w:rPr>
          <w:rFonts w:hint="eastAsia" w:ascii="仿宋" w:hAnsi="仿宋" w:eastAsia="仿宋" w:cs="仿宋"/>
          <w:color w:val="auto"/>
          <w:spacing w:val="10"/>
          <w:sz w:val="28"/>
          <w:szCs w:val="28"/>
          <w:highlight w:val="none"/>
        </w:rPr>
        <w:t>，将被视为无效投标。</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（7）</w:t>
      </w:r>
      <w:r>
        <w:rPr>
          <w:rFonts w:hint="eastAsia" w:ascii="仿宋" w:hAnsi="仿宋" w:eastAsia="仿宋" w:cs="仿宋"/>
          <w:color w:val="auto"/>
          <w:spacing w:val="10"/>
          <w:sz w:val="28"/>
          <w:szCs w:val="28"/>
          <w:highlight w:val="none"/>
        </w:rPr>
        <w:t>发生以下情况投标保证金将被没收：</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①</w:t>
      </w:r>
      <w:r>
        <w:rPr>
          <w:rFonts w:hint="eastAsia" w:ascii="仿宋" w:hAnsi="仿宋" w:eastAsia="仿宋" w:cs="仿宋"/>
          <w:color w:val="auto"/>
          <w:spacing w:val="10"/>
          <w:sz w:val="28"/>
          <w:szCs w:val="28"/>
          <w:highlight w:val="none"/>
        </w:rPr>
        <w:t>开标后投标人在投标有效期内撤回投标；</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eastAsia="zh-CN"/>
        </w:rPr>
      </w:pPr>
      <w:r>
        <w:rPr>
          <w:rFonts w:hint="eastAsia" w:ascii="仿宋" w:hAnsi="仿宋" w:eastAsia="仿宋" w:cs="仿宋"/>
          <w:color w:val="auto"/>
          <w:spacing w:val="10"/>
          <w:sz w:val="28"/>
          <w:szCs w:val="28"/>
          <w:highlight w:val="none"/>
          <w:lang w:val="en-US" w:eastAsia="zh-CN"/>
        </w:rPr>
        <w:t>②</w:t>
      </w:r>
      <w:r>
        <w:rPr>
          <w:rFonts w:hint="eastAsia" w:ascii="仿宋" w:hAnsi="仿宋" w:eastAsia="仿宋" w:cs="仿宋"/>
          <w:color w:val="auto"/>
          <w:spacing w:val="10"/>
          <w:sz w:val="28"/>
          <w:szCs w:val="28"/>
          <w:highlight w:val="none"/>
        </w:rPr>
        <w:t>如果中标单位未能做到：在收到中标通知书后</w:t>
      </w:r>
      <w:r>
        <w:rPr>
          <w:rFonts w:hint="eastAsia" w:ascii="仿宋" w:hAnsi="仿宋" w:eastAsia="仿宋" w:cs="仿宋"/>
          <w:color w:val="auto"/>
          <w:spacing w:val="10"/>
          <w:sz w:val="28"/>
          <w:szCs w:val="28"/>
          <w:highlight w:val="none"/>
          <w:lang w:val="en-US" w:eastAsia="zh-CN"/>
        </w:rPr>
        <w:t>未按规定时间与</w:t>
      </w:r>
      <w:r>
        <w:rPr>
          <w:rFonts w:hint="eastAsia" w:ascii="仿宋" w:hAnsi="仿宋" w:eastAsia="仿宋" w:cs="仿宋"/>
          <w:color w:val="auto"/>
          <w:spacing w:val="10"/>
          <w:sz w:val="28"/>
          <w:szCs w:val="28"/>
          <w:highlight w:val="none"/>
        </w:rPr>
        <w:t>招标人签订合同的。</w:t>
      </w:r>
    </w:p>
    <w:p>
      <w:pPr>
        <w:pStyle w:val="24"/>
        <w:snapToGrid w:val="0"/>
        <w:spacing w:line="500" w:lineRule="exact"/>
        <w:ind w:firstLine="594" w:firstLineChars="198"/>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8.5 报价</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所有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在其它情况下，由于分项报价填报不完整、不清楚或存在其它任何失误，所导致的任何不利后果均应当由报价人自行承担。</w:t>
      </w:r>
    </w:p>
    <w:p>
      <w:pPr>
        <w:snapToGrid w:val="0"/>
        <w:spacing w:line="500" w:lineRule="exact"/>
        <w:ind w:firstLine="600" w:firstLineChars="200"/>
        <w:textAlignment w:val="auto"/>
        <w:rPr>
          <w:rFonts w:hint="default" w:eastAsia="仿宋"/>
          <w:lang w:val="en-US" w:eastAsia="zh-CN"/>
        </w:rPr>
      </w:pPr>
      <w:r>
        <w:rPr>
          <w:rFonts w:hint="eastAsia" w:ascii="仿宋" w:hAnsi="仿宋" w:eastAsia="仿宋" w:cs="仿宋"/>
          <w:color w:val="auto"/>
          <w:spacing w:val="10"/>
          <w:sz w:val="28"/>
          <w:szCs w:val="28"/>
          <w:highlight w:val="none"/>
        </w:rPr>
        <w:t>（2）报价人报多包的，应对每包分别报价并分别填报报价一览表。</w:t>
      </w:r>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9. 报价内容填写说明</w:t>
      </w:r>
    </w:p>
    <w:p>
      <w:pPr>
        <w:pStyle w:val="24"/>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9.1报价人应详细阅读谈判文件的全部内容。报价文件须对谈判文件中的内容做出实质性和完整的响应</w:t>
      </w:r>
      <w:r>
        <w:rPr>
          <w:rFonts w:hint="eastAsia" w:ascii="仿宋" w:hAnsi="仿宋" w:eastAsia="仿宋" w:cs="仿宋"/>
          <w:b/>
          <w:color w:val="auto"/>
          <w:spacing w:val="10"/>
          <w:sz w:val="28"/>
          <w:szCs w:val="28"/>
          <w:highlight w:val="none"/>
        </w:rPr>
        <w:t>。</w:t>
      </w:r>
    </w:p>
    <w:p>
      <w:pPr>
        <w:pStyle w:val="24"/>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9.2报价人照搬照抄谈判文件技术、商务要求，并未提供技术资料或提供资料不详的</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b w:val="0"/>
          <w:bCs w:val="0"/>
          <w:color w:val="auto"/>
          <w:spacing w:val="10"/>
          <w:sz w:val="28"/>
          <w:szCs w:val="28"/>
          <w:highlight w:val="none"/>
          <w:lang w:val="en-US" w:eastAsia="zh-CN"/>
        </w:rPr>
        <w:t>投标人低于市场价竞争的</w:t>
      </w:r>
      <w:r>
        <w:rPr>
          <w:rFonts w:hint="eastAsia" w:ascii="仿宋" w:hAnsi="仿宋" w:eastAsia="仿宋" w:cs="仿宋"/>
          <w:color w:val="auto"/>
          <w:spacing w:val="10"/>
          <w:sz w:val="28"/>
          <w:szCs w:val="28"/>
          <w:highlight w:val="none"/>
          <w:lang w:val="en-US" w:eastAsia="zh-CN"/>
        </w:rPr>
        <w:t>，</w:t>
      </w:r>
      <w:r>
        <w:rPr>
          <w:rFonts w:hint="eastAsia" w:ascii="仿宋" w:hAnsi="仿宋" w:eastAsia="仿宋" w:cs="仿宋"/>
          <w:color w:val="auto"/>
          <w:spacing w:val="10"/>
          <w:sz w:val="28"/>
          <w:szCs w:val="28"/>
          <w:highlight w:val="none"/>
        </w:rPr>
        <w:t>谈判小组有权决定是否通知报价人限期进行书面解释或提供相关证明材料。若已要求，而该报价人在规定期限内未做出解释、做出的解释不合理或不能提供证明材料的，</w:t>
      </w:r>
      <w:r>
        <w:rPr>
          <w:rFonts w:hint="eastAsia" w:ascii="仿宋" w:hAnsi="仿宋" w:eastAsia="仿宋" w:cs="仿宋"/>
          <w:b/>
          <w:color w:val="auto"/>
          <w:spacing w:val="10"/>
          <w:sz w:val="28"/>
          <w:szCs w:val="28"/>
          <w:highlight w:val="none"/>
        </w:rPr>
        <w:t>谈判小组有权拒绝该报价。</w:t>
      </w:r>
    </w:p>
    <w:p>
      <w:pPr>
        <w:pStyle w:val="24"/>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9.3报价文件应严格按照谈判文件</w:t>
      </w:r>
      <w:r>
        <w:rPr>
          <w:rFonts w:hint="eastAsia" w:ascii="仿宋" w:hAnsi="仿宋" w:eastAsia="仿宋" w:cs="仿宋"/>
          <w:b/>
          <w:color w:val="auto"/>
          <w:spacing w:val="10"/>
          <w:sz w:val="28"/>
          <w:szCs w:val="28"/>
          <w:highlight w:val="none"/>
          <w:lang w:eastAsia="zh-CN"/>
        </w:rPr>
        <w:t>第五部分</w:t>
      </w:r>
      <w:r>
        <w:rPr>
          <w:rFonts w:hint="eastAsia" w:ascii="仿宋" w:hAnsi="仿宋" w:eastAsia="仿宋" w:cs="仿宋"/>
          <w:color w:val="auto"/>
          <w:spacing w:val="10"/>
          <w:sz w:val="28"/>
          <w:szCs w:val="28"/>
          <w:highlight w:val="none"/>
        </w:rPr>
        <w:t>的要求提交，并按规定的统一格式逐项填写，不准有空项；无相应内容可填的项应填写“无”、“未测试”、“没有相应指标”等明确的回答文字</w:t>
      </w:r>
      <w:r>
        <w:rPr>
          <w:rFonts w:hint="eastAsia" w:ascii="仿宋" w:hAnsi="仿宋" w:eastAsia="仿宋" w:cs="仿宋"/>
          <w:b/>
          <w:color w:val="auto"/>
          <w:spacing w:val="10"/>
          <w:sz w:val="28"/>
          <w:szCs w:val="28"/>
          <w:highlight w:val="none"/>
        </w:rPr>
        <w:t>。</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9.4报价一览表为在第一轮公开报价仪式上报价的内容，要求按格式统一填写，不得自行增减内容。</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9.5报价人必须保证报价文件所提供的全部资料真实可靠，并接受谈判小组对其中任何资料进一步审查的要求。</w:t>
      </w:r>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10. 报价文件的有效期</w:t>
      </w:r>
    </w:p>
    <w:p>
      <w:pPr>
        <w:pStyle w:val="24"/>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本项目报价文件的有效期为</w:t>
      </w:r>
      <w:r>
        <w:rPr>
          <w:rFonts w:hint="eastAsia" w:ascii="仿宋" w:hAnsi="仿宋" w:eastAsia="仿宋" w:cs="仿宋"/>
          <w:color w:val="auto"/>
          <w:spacing w:val="10"/>
          <w:sz w:val="28"/>
          <w:szCs w:val="28"/>
          <w:highlight w:val="none"/>
          <w:lang w:val="en-US" w:eastAsia="zh-CN"/>
        </w:rPr>
        <w:t>30</w:t>
      </w:r>
      <w:r>
        <w:rPr>
          <w:rFonts w:hint="eastAsia" w:ascii="仿宋" w:hAnsi="仿宋" w:eastAsia="仿宋" w:cs="仿宋"/>
          <w:color w:val="auto"/>
          <w:spacing w:val="10"/>
          <w:sz w:val="28"/>
          <w:szCs w:val="28"/>
          <w:highlight w:val="none"/>
        </w:rPr>
        <w:t>个日历天。</w:t>
      </w:r>
      <w:r>
        <w:rPr>
          <w:rFonts w:hint="eastAsia" w:ascii="仿宋" w:hAnsi="仿宋" w:eastAsia="仿宋" w:cs="仿宋"/>
          <w:b/>
          <w:color w:val="auto"/>
          <w:spacing w:val="10"/>
          <w:sz w:val="28"/>
          <w:szCs w:val="28"/>
          <w:highlight w:val="none"/>
        </w:rPr>
        <w:t>有效期短于该规定期限的报价将被拒绝。</w:t>
      </w:r>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11. 报价文件的签署及其他规定</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11.1组成报价文件的各项文件均应遵守本条。</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11.2报价人在报价文件及相关文件的签订、履行、通知等事项的书面文件中的“单位盖章”、“印章”、“公章”等处均仅指与当事人名称全称相一致的标准公章，不得使用其它（如带有“专用章”等字样）的印章</w:t>
      </w:r>
      <w:r>
        <w:rPr>
          <w:rFonts w:hint="eastAsia" w:ascii="仿宋" w:hAnsi="仿宋" w:eastAsia="仿宋" w:cs="仿宋"/>
          <w:b/>
          <w:color w:val="auto"/>
          <w:spacing w:val="10"/>
          <w:sz w:val="28"/>
          <w:szCs w:val="28"/>
          <w:highlight w:val="none"/>
        </w:rPr>
        <w:t>。</w:t>
      </w:r>
    </w:p>
    <w:p>
      <w:pPr>
        <w:pStyle w:val="24"/>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11.3报价人应按照谈判文件要求，在每一份报价文件的正本和副本封面下方和其他要求的位置填写报价人全称并加盖公章，同时在该处签署法定代表人或报价人代表的全名或加盖本人签名章</w:t>
      </w:r>
      <w:r>
        <w:rPr>
          <w:rFonts w:hint="eastAsia" w:ascii="仿宋" w:hAnsi="仿宋" w:eastAsia="仿宋" w:cs="仿宋"/>
          <w:b/>
          <w:color w:val="auto"/>
          <w:spacing w:val="10"/>
          <w:sz w:val="28"/>
          <w:szCs w:val="28"/>
          <w:highlight w:val="none"/>
        </w:rPr>
        <w:t>。</w:t>
      </w:r>
    </w:p>
    <w:p>
      <w:pPr>
        <w:pStyle w:val="24"/>
        <w:snapToGrid w:val="0"/>
        <w:spacing w:line="500" w:lineRule="exact"/>
        <w:ind w:firstLine="600" w:firstLineChars="200"/>
        <w:textAlignment w:val="auto"/>
        <w:rPr>
          <w:rFonts w:hint="eastAsia" w:ascii="仿宋" w:hAnsi="仿宋" w:eastAsia="仿宋" w:cs="仿宋"/>
          <w:color w:val="auto"/>
          <w:spacing w:val="10"/>
          <w:kern w:val="2"/>
          <w:sz w:val="28"/>
          <w:szCs w:val="28"/>
          <w:highlight w:val="none"/>
        </w:rPr>
      </w:pPr>
      <w:r>
        <w:rPr>
          <w:rFonts w:hint="eastAsia" w:ascii="仿宋" w:hAnsi="仿宋" w:eastAsia="仿宋" w:cs="仿宋"/>
          <w:color w:val="auto"/>
          <w:spacing w:val="10"/>
          <w:kern w:val="2"/>
          <w:sz w:val="28"/>
          <w:szCs w:val="28"/>
          <w:highlight w:val="none"/>
        </w:rPr>
        <w:t>11.4报价人须注意：为合理节约政府采购评审成本，提倡诚实信用的报价行为，特别要求报价人应本着诚信精神，在本次报价文件的偏离表和其它偏离文件中(若本次谈判文件中没有提供偏离表或其它偏离文件样本，报价人亦应当自制偏离表并装订于本次报价文件中，并应当在总目录及分目录上清楚表明所在页数)，以审慎的态度明确、清楚地披露各项偏离。若报价人对某一事项是否存在或是否属于偏离不能确定，亦必须在偏离表中清楚地表明该偏离事项，并可以注明‘不能确定’的字样。</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11.5报价人应按本谈判文件所要求的报价文件的份数提交报价文件。</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（1）报价人应保证报价文件副本与正本内容严格一致；</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（2）报价文件的正本必须注明“正本”字样，并由报价人的法定代表人或报价人代表签字。</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由报价人代表签字的，报价人代表须将书面形式的《法人授权委托书》（按照谈判文件格式填写）原件附在报价文件中，</w:t>
      </w:r>
      <w:r>
        <w:rPr>
          <w:rFonts w:hint="eastAsia" w:ascii="仿宋" w:hAnsi="仿宋" w:eastAsia="仿宋" w:cs="仿宋"/>
          <w:b/>
          <w:color w:val="auto"/>
          <w:spacing w:val="10"/>
          <w:sz w:val="28"/>
          <w:szCs w:val="28"/>
          <w:highlight w:val="none"/>
        </w:rPr>
        <w:t>否则按无效报价处理</w:t>
      </w:r>
      <w:r>
        <w:rPr>
          <w:rFonts w:hint="eastAsia" w:ascii="仿宋" w:hAnsi="仿宋" w:eastAsia="仿宋" w:cs="仿宋"/>
          <w:color w:val="auto"/>
          <w:spacing w:val="10"/>
          <w:sz w:val="28"/>
          <w:szCs w:val="28"/>
          <w:highlight w:val="none"/>
        </w:rPr>
        <w:t>。</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11.6报价文件应字迹清楚、内容齐全、不得涂改或增删。如有修改和增删，必须有报价人公章及法定代表人或其授权的报价人代表签字。</w:t>
      </w:r>
    </w:p>
    <w:p>
      <w:pPr>
        <w:pStyle w:val="24"/>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11.7因报价文件字迹潦草或表达不清所引起的不利后果由报价人承担。</w:t>
      </w:r>
      <w:bookmarkStart w:id="18" w:name="_Toc175644019"/>
    </w:p>
    <w:p>
      <w:pPr>
        <w:pStyle w:val="24"/>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19" w:name="_Toc10707"/>
      <w:bookmarkStart w:id="20" w:name="_Toc16118_WPSOffice_Level2"/>
      <w:r>
        <w:rPr>
          <w:rFonts w:hint="eastAsia" w:ascii="仿宋" w:hAnsi="仿宋" w:eastAsia="仿宋" w:cs="仿宋"/>
          <w:b/>
          <w:color w:val="auto"/>
          <w:spacing w:val="10"/>
          <w:sz w:val="28"/>
          <w:szCs w:val="28"/>
          <w:highlight w:val="none"/>
        </w:rPr>
        <w:t>四、报价文件的递交</w:t>
      </w:r>
      <w:bookmarkEnd w:id="18"/>
      <w:bookmarkEnd w:id="19"/>
      <w:bookmarkEnd w:id="20"/>
      <w:r>
        <w:rPr>
          <w:rFonts w:hint="eastAsia" w:ascii="仿宋" w:hAnsi="仿宋" w:eastAsia="仿宋" w:cs="仿宋"/>
          <w:b/>
          <w:color w:val="auto"/>
          <w:spacing w:val="10"/>
          <w:sz w:val="28"/>
          <w:szCs w:val="28"/>
          <w:highlight w:val="none"/>
        </w:rPr>
        <w:t xml:space="preserve">     </w:t>
      </w:r>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12. 报价文件的密封及标记</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12.1报价文件应按以下方法装袋密封：</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投标人应将投标文件正本和所有副本分别用内包封密封，再一同密封在一个外层包封中</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color w:val="auto"/>
          <w:spacing w:val="10"/>
          <w:sz w:val="28"/>
          <w:szCs w:val="28"/>
          <w:highlight w:val="none"/>
        </w:rPr>
        <w:t>并在内层包封上标明</w:t>
      </w:r>
      <w:r>
        <w:rPr>
          <w:rFonts w:hint="eastAsia" w:ascii="仿宋" w:hAnsi="仿宋" w:eastAsia="仿宋" w:cs="仿宋"/>
          <w:color w:val="auto"/>
          <w:spacing w:val="10"/>
          <w:sz w:val="28"/>
          <w:szCs w:val="28"/>
          <w:highlight w:val="none"/>
          <w:lang w:val="en-US" w:eastAsia="zh-CN"/>
        </w:rPr>
        <w:t>项目名称及项目编号</w:t>
      </w:r>
      <w:r>
        <w:rPr>
          <w:rFonts w:hint="eastAsia" w:ascii="仿宋" w:hAnsi="仿宋" w:eastAsia="仿宋" w:cs="仿宋"/>
          <w:color w:val="auto"/>
          <w:spacing w:val="10"/>
          <w:sz w:val="28"/>
          <w:szCs w:val="28"/>
          <w:highlight w:val="none"/>
        </w:rPr>
        <w:t>、投标人名称、地址及“正本”或“副本”字样。封口处应有法定代表人或报价人代表的签字及报价人公章。封皮上写明项目编号、项目名称、报价人全称、地址，并注明“谈判时启封”字样。</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12.2如果报价人未按上述要求对报价文件密封及加写标记，采购机构对报价文件的误投和提前启封概不负责。对由此造成提前开封的报价文件，</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b/>
          <w:color w:val="auto"/>
          <w:spacing w:val="10"/>
          <w:sz w:val="28"/>
          <w:szCs w:val="28"/>
          <w:highlight w:val="none"/>
        </w:rPr>
        <w:t>有权予以拒绝</w:t>
      </w:r>
      <w:r>
        <w:rPr>
          <w:rFonts w:hint="eastAsia" w:ascii="仿宋" w:hAnsi="仿宋" w:eastAsia="仿宋" w:cs="仿宋"/>
          <w:color w:val="auto"/>
          <w:spacing w:val="10"/>
          <w:sz w:val="28"/>
          <w:szCs w:val="28"/>
          <w:highlight w:val="none"/>
        </w:rPr>
        <w:t>，并退回报价人。</w:t>
      </w:r>
    </w:p>
    <w:p>
      <w:pPr>
        <w:pStyle w:val="24"/>
        <w:numPr>
          <w:ilvl w:val="0"/>
          <w:numId w:val="5"/>
        </w:numPr>
        <w:snapToGrid w:val="0"/>
        <w:spacing w:line="500" w:lineRule="exact"/>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报价截止时间</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报价文件须按照谈判文件规定的时间、地点送达。在报价截止时间以后送达的报价文件，</w:t>
      </w:r>
      <w:r>
        <w:rPr>
          <w:rFonts w:hint="eastAsia" w:ascii="仿宋" w:hAnsi="仿宋" w:eastAsia="仿宋" w:cs="仿宋"/>
          <w:b/>
          <w:bCs/>
          <w:color w:val="auto"/>
          <w:spacing w:val="10"/>
          <w:sz w:val="28"/>
          <w:szCs w:val="28"/>
          <w:highlight w:val="none"/>
          <w:lang w:eastAsia="zh-CN"/>
        </w:rPr>
        <w:t>采购人</w:t>
      </w:r>
      <w:r>
        <w:rPr>
          <w:rFonts w:hint="eastAsia" w:ascii="仿宋" w:hAnsi="仿宋" w:eastAsia="仿宋" w:cs="仿宋"/>
          <w:b/>
          <w:color w:val="auto"/>
          <w:spacing w:val="10"/>
          <w:sz w:val="28"/>
          <w:szCs w:val="28"/>
          <w:highlight w:val="none"/>
        </w:rPr>
        <w:t>拒绝接收</w:t>
      </w:r>
      <w:r>
        <w:rPr>
          <w:rFonts w:hint="eastAsia" w:ascii="仿宋" w:hAnsi="仿宋" w:eastAsia="仿宋" w:cs="仿宋"/>
          <w:color w:val="auto"/>
          <w:spacing w:val="10"/>
          <w:sz w:val="28"/>
          <w:szCs w:val="28"/>
          <w:highlight w:val="none"/>
        </w:rPr>
        <w:t>。</w:t>
      </w:r>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14. 报价文件的补充、修改和撤回</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14.1报价人可以在报价截止时间前，对所递交的报价文件进行补充、修改或者撤回，并以书面形式通知</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，补充、修改和撤标要求须经</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签字确认，否则无效。</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14.2报价人撤回报价的要求应由报价人法定代表人或报价人代表签署，补充、修改报价文件的书面材料，应当按照谈判文件要求签署、盖章，作为报价文件的组成部分，密封送达采购机构，同时应在封套上标明“修改报价文件(并注明项目编号)”和“谈判时启封”字样。</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14.3在报价截止时间之后，报价人不得撤回报价。</w:t>
      </w:r>
    </w:p>
    <w:p>
      <w:pPr>
        <w:pStyle w:val="24"/>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21" w:name="_Toc18563"/>
      <w:bookmarkStart w:id="22" w:name="_Toc14161_WPSOffice_Level2"/>
      <w:r>
        <w:rPr>
          <w:rFonts w:hint="eastAsia" w:ascii="仿宋" w:hAnsi="仿宋" w:eastAsia="仿宋" w:cs="仿宋"/>
          <w:b/>
          <w:color w:val="auto"/>
          <w:spacing w:val="10"/>
          <w:sz w:val="28"/>
          <w:szCs w:val="28"/>
          <w:highlight w:val="none"/>
        </w:rPr>
        <w:t>五.谈判程序和谈判细则</w:t>
      </w:r>
      <w:bookmarkEnd w:id="21"/>
      <w:bookmarkEnd w:id="22"/>
    </w:p>
    <w:p>
      <w:pPr>
        <w:pStyle w:val="24"/>
        <w:snapToGrid w:val="0"/>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15.组建谈判小组</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根据有关法律法规和本谈判文件的规定，结合本采购项目的特点组建谈判小组，对报价文件进行评估和比较。谈判小组由三人以上单数组成。</w:t>
      </w:r>
    </w:p>
    <w:p>
      <w:pPr>
        <w:spacing w:line="50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16.第一轮报价</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16.1资格性审查</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谈判小组依据法律、法规和谈判文件规定，对谈判响应文件中的资格证明等进行审查，以确定谈判供应商是否具备谈判资格。</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16.2</w:t>
      </w:r>
      <w:r>
        <w:rPr>
          <w:rFonts w:hint="eastAsia" w:ascii="仿宋" w:hAnsi="仿宋" w:eastAsia="仿宋" w:cs="仿宋"/>
          <w:bCs/>
          <w:color w:val="auto"/>
          <w:sz w:val="28"/>
          <w:szCs w:val="28"/>
          <w:highlight w:val="none"/>
        </w:rPr>
        <w:t>符合性</w:t>
      </w:r>
      <w:r>
        <w:rPr>
          <w:rFonts w:hint="eastAsia" w:ascii="仿宋" w:hAnsi="仿宋" w:eastAsia="仿宋" w:cs="仿宋"/>
          <w:color w:val="auto"/>
          <w:sz w:val="28"/>
          <w:szCs w:val="28"/>
          <w:highlight w:val="none"/>
        </w:rPr>
        <w:t>检查</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谈判小组对通过资格性检查的谈判供应商进行</w:t>
      </w:r>
      <w:r>
        <w:rPr>
          <w:rFonts w:hint="eastAsia" w:ascii="仿宋" w:hAnsi="仿宋" w:eastAsia="仿宋" w:cs="仿宋"/>
          <w:bCs/>
          <w:color w:val="auto"/>
          <w:sz w:val="28"/>
          <w:szCs w:val="28"/>
          <w:highlight w:val="none"/>
        </w:rPr>
        <w:t>符合性</w:t>
      </w:r>
      <w:r>
        <w:rPr>
          <w:rFonts w:hint="eastAsia" w:ascii="仿宋" w:hAnsi="仿宋" w:eastAsia="仿宋" w:cs="仿宋"/>
          <w:color w:val="auto"/>
          <w:sz w:val="28"/>
          <w:szCs w:val="28"/>
          <w:highlight w:val="none"/>
        </w:rPr>
        <w:t>检查。依据谈判文件的规定，从谈判响应文件的有效性、完整性和对谈判文件的响应程度进行初步审查，以确定是否对谈判文件的实质性要求作出响应。</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16.3比较与评价</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小组在谈判期间，就有关问题向谈判供应商进行谈判，各谈判供应商在当场答复的同时，须对谈判中所涉及的澄清、修改、承诺等补充资料在规定的时间内以书面文件形式密封提交至谈判小组，其书面文件必须由谈判供应商的法定代表人或其授权代理人签字（或签章），作为谈判响应文件的补充。如该谈判供应商成为中标供应商，则该谈判供应商的谈判响应文件（含所有补充资料）将作为合同的组成部分。</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16.4谈判小组成员</w:t>
      </w:r>
      <w:r>
        <w:rPr>
          <w:rFonts w:hint="eastAsia" w:ascii="仿宋" w:hAnsi="仿宋" w:eastAsia="仿宋" w:cs="仿宋"/>
          <w:color w:val="auto"/>
          <w:spacing w:val="-4"/>
          <w:sz w:val="28"/>
          <w:szCs w:val="28"/>
          <w:highlight w:val="none"/>
        </w:rPr>
        <w:t>按上述规定的谈判内容和标准，对资格性检查和符合性检查合格的谈判响应文件和谈判情况，进行综合比较。</w:t>
      </w:r>
      <w:r>
        <w:rPr>
          <w:rFonts w:hint="eastAsia" w:ascii="仿宋" w:hAnsi="仿宋" w:eastAsia="仿宋" w:cs="仿宋"/>
          <w:color w:val="auto"/>
          <w:sz w:val="28"/>
          <w:szCs w:val="28"/>
          <w:highlight w:val="none"/>
        </w:rPr>
        <w:t>谈判小组有权决定对初评中最差的竞谈商取消参加竞争性谈判资格的权利。</w:t>
      </w:r>
    </w:p>
    <w:p>
      <w:pPr>
        <w:spacing w:line="500" w:lineRule="exact"/>
        <w:ind w:firstLine="422" w:firstLineChars="15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17.第二轮报价</w:t>
      </w:r>
    </w:p>
    <w:p>
      <w:pPr>
        <w:spacing w:line="5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17.1技术商务及其他部分谈判结束后，所有进入第二轮的谈判供应商须按谈判小组要求</w:t>
      </w:r>
      <w:r>
        <w:rPr>
          <w:rFonts w:hint="eastAsia" w:ascii="仿宋" w:hAnsi="仿宋" w:eastAsia="仿宋" w:cs="仿宋"/>
          <w:color w:val="auto"/>
          <w:sz w:val="28"/>
          <w:szCs w:val="28"/>
          <w:highlight w:val="none"/>
          <w:lang w:val="en-US" w:eastAsia="zh-CN"/>
        </w:rPr>
        <w:t>依次进入评标室</w:t>
      </w:r>
      <w:r>
        <w:rPr>
          <w:rFonts w:hint="eastAsia" w:ascii="仿宋" w:hAnsi="仿宋" w:eastAsia="仿宋" w:cs="仿宋"/>
          <w:color w:val="auto"/>
          <w:sz w:val="28"/>
          <w:szCs w:val="28"/>
          <w:highlight w:val="none"/>
        </w:rPr>
        <w:t>，在规定时间内将</w:t>
      </w:r>
      <w:r>
        <w:rPr>
          <w:rFonts w:hint="eastAsia" w:ascii="仿宋" w:hAnsi="仿宋" w:eastAsia="仿宋" w:cs="仿宋"/>
          <w:b/>
          <w:color w:val="auto"/>
          <w:sz w:val="28"/>
          <w:szCs w:val="28"/>
          <w:highlight w:val="none"/>
        </w:rPr>
        <w:t>最终报价</w:t>
      </w:r>
      <w:r>
        <w:rPr>
          <w:rFonts w:hint="eastAsia" w:ascii="仿宋" w:hAnsi="仿宋" w:eastAsia="仿宋" w:cs="仿宋"/>
          <w:color w:val="auto"/>
          <w:sz w:val="28"/>
          <w:szCs w:val="28"/>
          <w:highlight w:val="none"/>
        </w:rPr>
        <w:t>以书面形式提交至谈判小组。最终报价不能高于第一次报价（即递交谈判响应文件时的报价）。</w:t>
      </w:r>
    </w:p>
    <w:p>
      <w:pPr>
        <w:spacing w:line="5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第二轮谈判谈判小组未能确定成交候选人的，对谈判文件修正后进行第三轮谈判。以此类推。</w:t>
      </w:r>
    </w:p>
    <w:p>
      <w:pPr>
        <w:pStyle w:val="24"/>
        <w:snapToGrid w:val="0"/>
        <w:spacing w:line="500" w:lineRule="exact"/>
        <w:ind w:firstLine="452" w:firstLineChars="15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18. 确定成交候选人</w:t>
      </w:r>
    </w:p>
    <w:p>
      <w:pPr>
        <w:spacing w:line="500" w:lineRule="exact"/>
        <w:ind w:firstLine="452" w:firstLineChars="150"/>
        <w:rPr>
          <w:rFonts w:hint="eastAsia" w:ascii="仿宋" w:hAnsi="仿宋" w:eastAsia="仿宋" w:cs="仿宋"/>
          <w:color w:val="auto"/>
          <w:sz w:val="28"/>
          <w:szCs w:val="28"/>
          <w:highlight w:val="none"/>
        </w:rPr>
      </w:pPr>
      <w:r>
        <w:rPr>
          <w:rFonts w:hint="eastAsia" w:ascii="仿宋" w:hAnsi="仿宋" w:eastAsia="仿宋" w:cs="仿宋"/>
          <w:b/>
          <w:color w:val="auto"/>
          <w:spacing w:val="10"/>
          <w:sz w:val="28"/>
          <w:szCs w:val="28"/>
          <w:highlight w:val="none"/>
          <w:u w:val="single"/>
        </w:rPr>
        <w:t>18.1本次谈判比照最低评审价法确定成交供应商，即在符合采购需求、质量和服务相等的前提下，以提出最低报价的供应商作为成交供应商</w:t>
      </w:r>
      <w:r>
        <w:rPr>
          <w:rFonts w:hint="eastAsia" w:ascii="仿宋" w:hAnsi="仿宋" w:eastAsia="仿宋" w:cs="仿宋"/>
          <w:b/>
          <w:color w:val="auto"/>
          <w:sz w:val="28"/>
          <w:szCs w:val="28"/>
          <w:highlight w:val="none"/>
          <w:u w:val="single"/>
        </w:rPr>
        <w:t>的评标方法。</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18.2谈判报价相同的，按技术商务分优劣顺序排列。</w:t>
      </w:r>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19. 谈判过程保密</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19.1谈判开始之后，直到授予中标人合同止，凡是属于审查、澄清、评价和比较报价的有关资料以及授标意向等，均不得向报价人或其他与评审无关的人员透露。</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19.2在谈判期间，报价人企图影响</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或谈判小组的任何活动，将导致报价被拒绝，并由其承担相应的法律责任。</w:t>
      </w:r>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20. 关于报价人瑕疵滞后发现的处理规则</w:t>
      </w:r>
    </w:p>
    <w:p>
      <w:pPr>
        <w:pStyle w:val="24"/>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无论基于何种原因，各项本应作拒绝报价处理的情形，即便未被及时发现而使该报价人进入初审、详细评审或其它后续程序，包括已经签约的情形。一旦被发现存在上述情形，</w:t>
      </w:r>
      <w:r>
        <w:rPr>
          <w:rFonts w:hint="eastAsia" w:ascii="仿宋" w:hAnsi="仿宋" w:eastAsia="仿宋" w:cs="仿宋"/>
          <w:b/>
          <w:color w:val="auto"/>
          <w:spacing w:val="10"/>
          <w:sz w:val="28"/>
          <w:szCs w:val="28"/>
          <w:highlight w:val="none"/>
          <w:lang w:eastAsia="zh-CN"/>
        </w:rPr>
        <w:t>采购人</w:t>
      </w:r>
      <w:r>
        <w:rPr>
          <w:rFonts w:hint="eastAsia" w:ascii="仿宋" w:hAnsi="仿宋" w:eastAsia="仿宋" w:cs="仿宋"/>
          <w:b/>
          <w:color w:val="auto"/>
          <w:spacing w:val="10"/>
          <w:sz w:val="28"/>
          <w:szCs w:val="28"/>
          <w:highlight w:val="none"/>
        </w:rPr>
        <w:t>均有权决定取消该报价人的此前评议结果，或决定对该报价予以拒绝，并有权采取相应的补救及纠正措施。</w:t>
      </w:r>
      <w:bookmarkStart w:id="23" w:name="_Toc175644022"/>
    </w:p>
    <w:p>
      <w:pPr>
        <w:pStyle w:val="24"/>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24" w:name="_Toc27373"/>
      <w:bookmarkStart w:id="25" w:name="_Toc2908_WPSOffice_Level2"/>
      <w:r>
        <w:rPr>
          <w:rFonts w:hint="eastAsia" w:ascii="仿宋" w:hAnsi="仿宋" w:eastAsia="仿宋" w:cs="仿宋"/>
          <w:b/>
          <w:color w:val="auto"/>
          <w:spacing w:val="10"/>
          <w:sz w:val="28"/>
          <w:szCs w:val="28"/>
          <w:highlight w:val="none"/>
        </w:rPr>
        <w:t>六、签订合同</w:t>
      </w:r>
      <w:bookmarkEnd w:id="23"/>
      <w:bookmarkEnd w:id="24"/>
      <w:bookmarkEnd w:id="25"/>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21. 中标通知</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21.1中标人确定后,</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将在刊登本次谈判公告的</w:t>
      </w:r>
      <w:r>
        <w:rPr>
          <w:rFonts w:hint="eastAsia" w:ascii="仿宋" w:hAnsi="仿宋" w:eastAsia="仿宋" w:cs="仿宋"/>
          <w:color w:val="auto"/>
          <w:spacing w:val="10"/>
          <w:sz w:val="28"/>
          <w:szCs w:val="28"/>
          <w:highlight w:val="none"/>
          <w:lang w:eastAsia="zh-CN"/>
        </w:rPr>
        <w:t>报纸</w:t>
      </w:r>
      <w:r>
        <w:rPr>
          <w:rFonts w:hint="eastAsia" w:ascii="仿宋" w:hAnsi="仿宋" w:eastAsia="仿宋" w:cs="仿宋"/>
          <w:color w:val="auto"/>
          <w:spacing w:val="10"/>
          <w:sz w:val="28"/>
          <w:szCs w:val="28"/>
          <w:highlight w:val="none"/>
        </w:rPr>
        <w:t>上发布中标公告，并以书面形式向中标人发出中标通知书，但该中标结果的有效性不依赖于未成交的报价人是否知道成交结果。中标通知书对采购人和中标人具有同等法律效力。中标通知书发出以后，采购人改变成交结果或者成交供应商放弃成交，应当承担相应的法律责任。</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21.2</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对未中标的报价人不作未中标原因的解释。</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21.3中标通知书是合同的组成部分。</w:t>
      </w:r>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22. 签订合同</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22.1中标人应在接到中标通知书</w:t>
      </w:r>
      <w:r>
        <w:rPr>
          <w:rFonts w:hint="eastAsia" w:ascii="仿宋" w:hAnsi="仿宋" w:eastAsia="仿宋" w:cs="仿宋"/>
          <w:color w:val="auto"/>
          <w:spacing w:val="10"/>
          <w:sz w:val="28"/>
          <w:szCs w:val="28"/>
          <w:highlight w:val="none"/>
          <w:lang w:val="en-US" w:eastAsia="zh-CN"/>
        </w:rPr>
        <w:t>30</w:t>
      </w:r>
      <w:r>
        <w:rPr>
          <w:rFonts w:hint="eastAsia" w:ascii="仿宋" w:hAnsi="仿宋" w:eastAsia="仿宋" w:cs="仿宋"/>
          <w:color w:val="auto"/>
          <w:spacing w:val="10"/>
          <w:sz w:val="28"/>
          <w:szCs w:val="28"/>
          <w:highlight w:val="none"/>
        </w:rPr>
        <w:t>日内与采购人签订政府采购合同。</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22.2中标人应按照谈判文件、报价文件及评审过程中的有关澄清、说明或者补充文件的内容与采购人签订合同。中标人不得再与采购人签订背离合同实质性内容的其它协议或声明。</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22.3在合同履行中，采购人如需追加与合同标的相同的货物，在不改变合同其他条款的前提下，中标人可与采购人协商签订补充合同，但所有补充合同的采购金额不得超过原合同金额。</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22.4中标人一旦成交，未经</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事先给予书面同意不得转包、分包，亦不得将合同全部及任何权利、义务向第三方转让，否则将被视为严重违约，</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有权决定按照中标人成交后毁标、终止或解除合同等依约处理。</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22.5违反22.2条、22.3条、22.4条的规定，给对方造成损失的，应承担赔偿责任。</w:t>
      </w:r>
      <w:bookmarkStart w:id="26" w:name="_Toc175644024"/>
    </w:p>
    <w:p>
      <w:pPr>
        <w:pStyle w:val="24"/>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27" w:name="_Toc1686_WPSOffice_Level2"/>
      <w:bookmarkStart w:id="28" w:name="_Toc5358"/>
      <w:r>
        <w:rPr>
          <w:rFonts w:hint="eastAsia" w:ascii="仿宋" w:hAnsi="仿宋" w:eastAsia="仿宋" w:cs="仿宋"/>
          <w:b/>
          <w:color w:val="auto"/>
          <w:spacing w:val="10"/>
          <w:sz w:val="28"/>
          <w:szCs w:val="28"/>
          <w:highlight w:val="none"/>
        </w:rPr>
        <w:t>七、保密和披露</w:t>
      </w:r>
      <w:bookmarkEnd w:id="26"/>
      <w:bookmarkEnd w:id="27"/>
      <w:bookmarkEnd w:id="28"/>
    </w:p>
    <w:p>
      <w:pPr>
        <w:pStyle w:val="24"/>
        <w:adjustRightInd/>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23. 保密</w:t>
      </w:r>
    </w:p>
    <w:p>
      <w:pPr>
        <w:pStyle w:val="24"/>
        <w:adjustRightInd/>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报价人自领取谈判文件之日起，须承诺承担对本采购项目的保密义务，不得将因本次谈判获得的信息向第三人外传。</w:t>
      </w:r>
    </w:p>
    <w:p>
      <w:pPr>
        <w:pStyle w:val="24"/>
        <w:adjustRightInd/>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24. 披露</w:t>
      </w:r>
    </w:p>
    <w:p>
      <w:pPr>
        <w:pStyle w:val="24"/>
        <w:adjustRightInd/>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24.1</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有权将报价人提供的所有资料向有关政府部门或评审标书的有关人员披露。</w:t>
      </w:r>
    </w:p>
    <w:p>
      <w:pPr>
        <w:pStyle w:val="24"/>
        <w:adjustRightInd/>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24.2 在</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认为适当时、国家机关调查、审查、审计时以及其他符合法律规定的情形下，</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无须事先征求报价人/中标人同意而可以披露关于采购过程、合同文本、签署情况的资料、报价人/中标人的名称及地址、报价文件的有关信息以及补充条款等，但应当在合理的必要范围内。对任何已经公布过的内容或与之内容相同的资料，以及报价人/中标人已经泄露或公开的，无须再承担保密责任。</w:t>
      </w:r>
    </w:p>
    <w:p>
      <w:pPr>
        <w:pStyle w:val="24"/>
        <w:adjustRightInd/>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29" w:name="_Toc25283_WPSOffice_Level2"/>
      <w:bookmarkStart w:id="30" w:name="_Toc32032"/>
      <w:r>
        <w:rPr>
          <w:rFonts w:hint="eastAsia" w:ascii="仿宋" w:hAnsi="仿宋" w:eastAsia="仿宋" w:cs="仿宋"/>
          <w:b/>
          <w:color w:val="auto"/>
          <w:spacing w:val="10"/>
          <w:sz w:val="28"/>
          <w:szCs w:val="28"/>
          <w:highlight w:val="none"/>
        </w:rPr>
        <w:t>八、询问和质疑</w:t>
      </w:r>
      <w:bookmarkEnd w:id="29"/>
      <w:bookmarkEnd w:id="30"/>
    </w:p>
    <w:p>
      <w:pPr>
        <w:spacing w:line="500" w:lineRule="exact"/>
        <w:ind w:firstLine="602" w:firstLineChars="200"/>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25. 报价人有权就招标事宜提出询问和质疑。</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25.1 谈判程序受《中华人民共和国政府采购法》和相关法律法规的约束，并受到严格的内部监督，以确保授予合同过程的公平公正。</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25.2 报价人对谈判文件条款或技术、商务参数有异议的，应当在谈判前通过澄清或修改程序提出。</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25.3 报价人对采购事项有疑问的，可以向</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提出询问。</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25.4 报价人认为其报价未获公平评审或采购过程和成交结果使自己的合法权益受到损害的，应当在知道或者应知其权益受到损害之日起7个工作日内提出质疑。</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25.5 质疑应当以书面形式向</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提出，经法定代表人签字并加盖公章。</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25.6 质疑书应当包括以下主要内容：被质疑项目名称、项目编号、包号、招标公告发布时间、质疑事项、法律依据（具体条款）、质疑人全称、法定代表人签字、盖章、有效联系方式（包括手机、传真号码）。</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25.7 质疑应按照“谁主张、谁举证”的原则，质疑书应当附相关证明材料。质疑材料应为简体中文，一式二份。</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25.8 有下列情形之一的，属于无效质疑，</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可不予受理：</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（1）未在有效期限内提出质疑的；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（2）质疑未以书面形式提出的；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（3）所提交材料未明示属于质疑材料的；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（4）质疑书没有法定代表人签署本人姓名或印盖本人姓名章并加盖单位公章的；质疑书由参加采购项目的授权代表签署本人姓名或印盖本人姓名章，但没有法定代表人特别授权的；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（5）质疑书未提供有效联系人或联系方式的；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（6）质疑事项已经进入投诉或者诉讼程序的；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（7）质疑书未附相关证明材料，被视为无有效证据支持的。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（8）报价人对谈判文件条款或技术参数有异议，未在谈判前通过澄清或修改程序提出，并且报价人已经参与报价，而于开标后对谈判文件提出质疑的；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（9）在提出本次质疑前半年内连续三次质疑而无事实依据的；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（10）其它不符合受理条件的情形。</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25.9 采购人或</w:t>
      </w: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将在收到书面质疑后7个工作日内审查质疑事项，做出答复或相关处理决定，并以书面形式通知质疑报价人和其他有关供应商，但答复的内容不涉及商业秘密。</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25.10 供应商进行虚假和恶意质疑的，将会列入不良记录名单，在一至三年内禁止参加政府采购活动，并将处理决定在相关政府采购媒体上公布。</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25.11 质疑报价人对采购人或</w:t>
      </w: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的答复不满意以及采购人或</w:t>
      </w: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未在规定的时间内做出答复的，可以在答复期满后15个工作日内向政府采购监管部门投诉。</w:t>
      </w:r>
    </w:p>
    <w:p>
      <w:pPr>
        <w:spacing w:line="500" w:lineRule="exact"/>
        <w:ind w:firstLine="602" w:firstLineChars="200"/>
        <w:outlineLvl w:val="1"/>
        <w:rPr>
          <w:rFonts w:hint="eastAsia" w:ascii="仿宋" w:hAnsi="仿宋" w:eastAsia="仿宋" w:cs="仿宋"/>
          <w:b/>
          <w:color w:val="auto"/>
          <w:spacing w:val="10"/>
          <w:sz w:val="28"/>
          <w:szCs w:val="28"/>
          <w:highlight w:val="none"/>
        </w:rPr>
      </w:pPr>
      <w:bookmarkStart w:id="31" w:name="_Toc2268_WPSOffice_Level2"/>
      <w:bookmarkStart w:id="32" w:name="_Toc1046"/>
      <w:r>
        <w:rPr>
          <w:rFonts w:hint="eastAsia" w:ascii="仿宋" w:hAnsi="仿宋" w:eastAsia="仿宋" w:cs="仿宋"/>
          <w:b/>
          <w:color w:val="auto"/>
          <w:spacing w:val="10"/>
          <w:sz w:val="28"/>
          <w:szCs w:val="28"/>
          <w:highlight w:val="none"/>
        </w:rPr>
        <w:t>九、违约处罚</w:t>
      </w:r>
      <w:bookmarkEnd w:id="31"/>
      <w:bookmarkEnd w:id="32"/>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26. 发生下列情况之一，可能被列入不良记录名单，报价人今后参与同类政府采购项目的机会可能会受到影响：</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（1）开标后在报价有效期内，报价人撤回其报价；</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（2）在评审期间，报价人企图影响</w:t>
      </w:r>
      <w:r>
        <w:rPr>
          <w:rFonts w:hint="eastAsia" w:ascii="仿宋" w:hAnsi="仿宋" w:eastAsia="仿宋" w:cs="仿宋"/>
          <w:color w:val="auto"/>
          <w:spacing w:val="10"/>
          <w:sz w:val="28"/>
          <w:szCs w:val="28"/>
          <w:highlight w:val="none"/>
          <w:lang w:eastAsia="zh-CN"/>
        </w:rPr>
        <w:t>采购人、招标代理机构</w:t>
      </w:r>
      <w:r>
        <w:rPr>
          <w:rFonts w:hint="eastAsia" w:ascii="仿宋" w:hAnsi="仿宋" w:eastAsia="仿宋" w:cs="仿宋"/>
          <w:color w:val="auto"/>
          <w:spacing w:val="10"/>
          <w:sz w:val="28"/>
          <w:szCs w:val="28"/>
          <w:highlight w:val="none"/>
        </w:rPr>
        <w:t>或谈判小组的任何活动，将导致报价被拒绝，并由其承担相应的法律责任。</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 xml:space="preserve">（3）中标人未按本谈判文件规定签约； </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（4）中标人与采购人订立背离合同实质性内容的其它协议；</w:t>
      </w:r>
      <w:bookmarkEnd w:id="7"/>
      <w:r>
        <w:rPr>
          <w:rFonts w:hint="eastAsia" w:ascii="仿宋" w:hAnsi="仿宋" w:eastAsia="仿宋" w:cs="仿宋"/>
          <w:color w:val="auto"/>
          <w:spacing w:val="10"/>
          <w:sz w:val="28"/>
          <w:szCs w:val="28"/>
          <w:highlight w:val="none"/>
        </w:rPr>
        <w:t xml:space="preserve"> </w:t>
      </w:r>
    </w:p>
    <w:p>
      <w:pPr>
        <w:pStyle w:val="24"/>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color w:val="auto"/>
          <w:spacing w:val="10"/>
          <w:sz w:val="28"/>
          <w:szCs w:val="28"/>
          <w:highlight w:val="none"/>
        </w:rPr>
        <w:t>（5）报价人未按谈判文件规定和合同约定履行义务的。</w:t>
      </w:r>
      <w:bookmarkStart w:id="33" w:name="_Toc175644061"/>
    </w:p>
    <w:p>
      <w:pPr>
        <w:spacing w:line="500" w:lineRule="exact"/>
        <w:ind w:firstLine="602" w:firstLineChars="200"/>
        <w:outlineLvl w:val="1"/>
        <w:rPr>
          <w:rFonts w:hint="default" w:ascii="仿宋" w:hAnsi="仿宋" w:eastAsia="仿宋" w:cs="仿宋"/>
          <w:b/>
          <w:color w:val="auto"/>
          <w:spacing w:val="10"/>
          <w:sz w:val="28"/>
          <w:szCs w:val="28"/>
          <w:highlight w:val="none"/>
          <w:lang w:val="en-US" w:eastAsia="zh-CN"/>
        </w:rPr>
      </w:pPr>
      <w:r>
        <w:rPr>
          <w:rFonts w:hint="eastAsia" w:ascii="仿宋" w:hAnsi="仿宋" w:eastAsia="仿宋" w:cs="仿宋"/>
          <w:b/>
          <w:color w:val="auto"/>
          <w:spacing w:val="10"/>
          <w:sz w:val="28"/>
          <w:szCs w:val="28"/>
          <w:highlight w:val="none"/>
          <w:lang w:val="en-US" w:eastAsia="zh-CN"/>
        </w:rPr>
        <w:t>十、代理服务费</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27.</w:t>
      </w:r>
      <w:r>
        <w:rPr>
          <w:rFonts w:hint="eastAsia" w:ascii="仿宋" w:hAnsi="仿宋" w:eastAsia="仿宋" w:cs="仿宋"/>
          <w:color w:val="auto"/>
          <w:spacing w:val="10"/>
          <w:sz w:val="28"/>
          <w:szCs w:val="28"/>
          <w:highlight w:val="none"/>
        </w:rPr>
        <w:t>中标供应商应在领取成交通知书前，一次性向采购代理机构支付招标代理服务费</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color w:val="auto"/>
          <w:spacing w:val="10"/>
          <w:sz w:val="28"/>
          <w:szCs w:val="28"/>
          <w:highlight w:val="none"/>
          <w:lang w:val="en-US" w:eastAsia="zh-CN"/>
        </w:rPr>
        <w:t xml:space="preserve">         </w:t>
      </w:r>
    </w:p>
    <w:p>
      <w:pPr>
        <w:pStyle w:val="24"/>
        <w:snapToGrid w:val="0"/>
        <w:spacing w:line="500" w:lineRule="exact"/>
        <w:ind w:firstLine="600" w:firstLineChars="200"/>
        <w:textAlignment w:val="auto"/>
        <w:rPr>
          <w:rFonts w:hint="default"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账户名称：新疆中前川项目管理有限公司阿克苏分公司</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开户银行：中国建设银行股份有限公司阿克苏南大街支行</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账 号：65050169604000000600</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lang w:val="en-US" w:eastAsia="zh-CN"/>
        </w:rPr>
      </w:pPr>
    </w:p>
    <w:p>
      <w:pPr>
        <w:pStyle w:val="24"/>
        <w:snapToGrid w:val="0"/>
        <w:spacing w:line="500" w:lineRule="exact"/>
        <w:ind w:firstLine="600" w:firstLineChars="200"/>
        <w:textAlignment w:val="auto"/>
        <w:rPr>
          <w:rFonts w:hint="default" w:ascii="仿宋" w:hAnsi="仿宋" w:eastAsia="仿宋" w:cs="仿宋"/>
          <w:color w:val="auto"/>
          <w:spacing w:val="10"/>
          <w:sz w:val="28"/>
          <w:szCs w:val="28"/>
          <w:highlight w:val="none"/>
          <w:lang w:val="en-US" w:eastAsia="zh-CN"/>
        </w:rPr>
        <w:sectPr>
          <w:footerReference r:id="rId5" w:type="default"/>
          <w:pgSz w:w="11906" w:h="16838"/>
          <w:pgMar w:top="1440" w:right="1706" w:bottom="1440" w:left="1800" w:header="851" w:footer="992" w:gutter="0"/>
          <w:pgNumType w:fmt="decimal" w:start="1"/>
          <w:cols w:space="425" w:num="1"/>
          <w:docGrid w:type="lines" w:linePitch="312" w:charSpace="0"/>
        </w:sectPr>
      </w:pPr>
    </w:p>
    <w:p>
      <w:pPr>
        <w:pStyle w:val="23"/>
        <w:numPr>
          <w:ilvl w:val="0"/>
          <w:numId w:val="0"/>
        </w:numPr>
        <w:snapToGrid w:val="0"/>
        <w:spacing w:before="0" w:after="0" w:line="500" w:lineRule="exact"/>
        <w:jc w:val="center"/>
        <w:outlineLvl w:val="0"/>
        <w:rPr>
          <w:rFonts w:hint="eastAsia" w:ascii="仿宋" w:hAnsi="仿宋" w:eastAsia="仿宋" w:cs="仿宋"/>
          <w:b w:val="0"/>
          <w:bCs/>
          <w:color w:val="auto"/>
          <w:spacing w:val="20"/>
          <w:szCs w:val="28"/>
          <w:highlight w:val="none"/>
          <w:lang w:eastAsia="zh-CN"/>
        </w:rPr>
      </w:pPr>
      <w:bookmarkStart w:id="34" w:name="_Toc6657"/>
      <w:r>
        <w:rPr>
          <w:rFonts w:hint="eastAsia" w:ascii="仿宋" w:hAnsi="仿宋" w:eastAsia="仿宋" w:cs="仿宋"/>
          <w:b/>
          <w:bCs w:val="0"/>
          <w:color w:val="auto"/>
          <w:spacing w:val="10"/>
          <w:sz w:val="28"/>
          <w:szCs w:val="28"/>
          <w:highlight w:val="none"/>
        </w:rPr>
        <w:t xml:space="preserve">第三部分   </w:t>
      </w:r>
      <w:r>
        <w:rPr>
          <w:rFonts w:hint="eastAsia" w:ascii="仿宋" w:hAnsi="仿宋" w:eastAsia="仿宋" w:cs="仿宋"/>
          <w:b/>
          <w:bCs w:val="0"/>
          <w:color w:val="auto"/>
          <w:spacing w:val="10"/>
          <w:szCs w:val="28"/>
          <w:highlight w:val="none"/>
        </w:rPr>
        <w:t xml:space="preserve">  </w:t>
      </w:r>
      <w:r>
        <w:rPr>
          <w:rFonts w:hint="eastAsia" w:ascii="仿宋" w:hAnsi="仿宋" w:eastAsia="仿宋" w:cs="仿宋"/>
          <w:b/>
          <w:bCs w:val="0"/>
          <w:color w:val="auto"/>
          <w:spacing w:val="20"/>
          <w:szCs w:val="28"/>
          <w:highlight w:val="none"/>
        </w:rPr>
        <w:t>合同范本</w:t>
      </w:r>
      <w:bookmarkEnd w:id="34"/>
      <w:r>
        <w:rPr>
          <w:rFonts w:hint="eastAsia" w:ascii="仿宋" w:hAnsi="仿宋" w:eastAsia="仿宋" w:cs="仿宋"/>
          <w:b/>
          <w:bCs w:val="0"/>
          <w:color w:val="auto"/>
          <w:spacing w:val="20"/>
          <w:szCs w:val="28"/>
          <w:highlight w:val="none"/>
          <w:lang w:eastAsia="zh-CN"/>
        </w:rPr>
        <w:t>（仅供参考）</w:t>
      </w:r>
    </w:p>
    <w:p>
      <w:pPr>
        <w:jc w:val="center"/>
        <w:rPr>
          <w:rFonts w:hint="eastAsia" w:ascii="仿宋" w:hAnsi="仿宋" w:eastAsia="仿宋" w:cs="仿宋"/>
          <w:b/>
          <w:color w:val="auto"/>
          <w:sz w:val="28"/>
          <w:szCs w:val="28"/>
          <w:highlight w:val="none"/>
        </w:rPr>
      </w:pPr>
      <w:bookmarkStart w:id="35" w:name="_Toc16118_WPSOffice_Level1"/>
      <w:r>
        <w:rPr>
          <w:rFonts w:hint="eastAsia" w:ascii="仿宋" w:hAnsi="仿宋" w:eastAsia="仿宋" w:cs="仿宋"/>
          <w:b/>
          <w:color w:val="auto"/>
          <w:sz w:val="28"/>
          <w:szCs w:val="28"/>
          <w:highlight w:val="none"/>
        </w:rPr>
        <w:t xml:space="preserve">政 府 采 购 买 卖 合 </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同</w:t>
      </w:r>
      <w:bookmarkEnd w:id="35"/>
    </w:p>
    <w:p>
      <w:pPr>
        <w:jc w:val="center"/>
        <w:rPr>
          <w:rFonts w:hint="eastAsia" w:ascii="仿宋" w:hAnsi="仿宋" w:eastAsia="仿宋" w:cs="仿宋"/>
          <w:b/>
          <w:color w:val="auto"/>
          <w:sz w:val="28"/>
          <w:szCs w:val="28"/>
          <w:highlight w:val="none"/>
        </w:rPr>
      </w:pPr>
      <w:bookmarkStart w:id="36" w:name="_Toc14161_WPSOffice_Level1"/>
      <w:r>
        <w:rPr>
          <w:rFonts w:hint="eastAsia" w:ascii="仿宋" w:hAnsi="仿宋" w:eastAsia="仿宋" w:cs="仿宋"/>
          <w:b/>
          <w:color w:val="auto"/>
          <w:sz w:val="28"/>
          <w:szCs w:val="28"/>
          <w:highlight w:val="none"/>
        </w:rPr>
        <w:t>（货物类、服务类）</w:t>
      </w:r>
      <w:bookmarkEnd w:id="36"/>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出卖人：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签订地点：</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买受人：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签订时间：</w:t>
      </w:r>
      <w:r>
        <w:rPr>
          <w:rFonts w:hint="eastAsia" w:ascii="仿宋" w:hAnsi="仿宋" w:eastAsia="仿宋" w:cs="仿宋"/>
          <w:color w:val="auto"/>
          <w:sz w:val="28"/>
          <w:szCs w:val="28"/>
          <w:highlight w:val="none"/>
          <w:u w:val="single"/>
        </w:rPr>
        <w:t xml:space="preserve">                        </w:t>
      </w:r>
    </w:p>
    <w:p>
      <w:pPr>
        <w:numPr>
          <w:ilvl w:val="0"/>
          <w:numId w:val="6"/>
        </w:numPr>
        <w:adjustRightInd/>
        <w:spacing w:line="400" w:lineRule="exact"/>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采购项目、数量、单价及金额</w:t>
      </w:r>
    </w:p>
    <w:tbl>
      <w:tblPr>
        <w:tblStyle w:val="16"/>
        <w:tblpPr w:leftFromText="180" w:rightFromText="180" w:vertAnchor="text" w:horzAnchor="page" w:tblpX="1742" w:tblpY="401"/>
        <w:tblOverlap w:val="never"/>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450"/>
        <w:gridCol w:w="463"/>
        <w:gridCol w:w="487"/>
        <w:gridCol w:w="1250"/>
        <w:gridCol w:w="1013"/>
        <w:gridCol w:w="1337"/>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序号</w:t>
            </w:r>
          </w:p>
        </w:tc>
        <w:tc>
          <w:tcPr>
            <w:tcW w:w="1450"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建设内容</w:t>
            </w:r>
          </w:p>
        </w:tc>
        <w:tc>
          <w:tcPr>
            <w:tcW w:w="463"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规模</w:t>
            </w:r>
          </w:p>
        </w:tc>
        <w:tc>
          <w:tcPr>
            <w:tcW w:w="487"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单位</w:t>
            </w:r>
          </w:p>
        </w:tc>
        <w:tc>
          <w:tcPr>
            <w:tcW w:w="1250" w:type="dxa"/>
            <w:vAlign w:val="center"/>
          </w:tcPr>
          <w:p>
            <w:pPr>
              <w:spacing w:line="400" w:lineRule="exact"/>
              <w:jc w:val="center"/>
              <w:rPr>
                <w:rFonts w:hint="eastAsia"/>
                <w:lang w:val="en-US" w:eastAsia="zh-CN"/>
              </w:rPr>
            </w:pPr>
            <w:r>
              <w:rPr>
                <w:rFonts w:hint="eastAsia"/>
                <w:lang w:val="en-US" w:eastAsia="zh-CN"/>
              </w:rPr>
              <w:t>单价</w:t>
            </w:r>
          </w:p>
          <w:p>
            <w:pPr>
              <w:pStyle w:val="21"/>
              <w:jc w:val="left"/>
              <w:rPr>
                <w:rFonts w:hint="eastAsia"/>
                <w:lang w:val="en-US" w:eastAsia="zh-CN"/>
              </w:rPr>
            </w:pPr>
            <w:r>
              <w:rPr>
                <w:rFonts w:hint="eastAsia" w:ascii="仿宋" w:hAnsi="仿宋" w:eastAsia="仿宋" w:cs="仿宋"/>
                <w:color w:val="auto"/>
                <w:sz w:val="28"/>
                <w:szCs w:val="28"/>
                <w:highlight w:val="none"/>
                <w:lang w:val="en-US" w:eastAsia="zh-CN"/>
              </w:rPr>
              <w:t>（元）</w:t>
            </w:r>
          </w:p>
        </w:tc>
        <w:tc>
          <w:tcPr>
            <w:tcW w:w="1013"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数量</w:t>
            </w:r>
          </w:p>
        </w:tc>
        <w:tc>
          <w:tcPr>
            <w:tcW w:w="1337" w:type="dxa"/>
            <w:vAlign w:val="center"/>
          </w:tcPr>
          <w:p>
            <w:pPr>
              <w:spacing w:line="400" w:lineRule="exact"/>
              <w:jc w:val="center"/>
              <w:rPr>
                <w:rFonts w:hint="eastAsia"/>
                <w:lang w:val="en-US" w:eastAsia="zh-CN"/>
              </w:rPr>
            </w:pPr>
            <w:r>
              <w:rPr>
                <w:rFonts w:hint="eastAsia"/>
                <w:lang w:val="en-US" w:eastAsia="zh-CN"/>
              </w:rPr>
              <w:t>合计</w:t>
            </w:r>
          </w:p>
          <w:p>
            <w:pPr>
              <w:pStyle w:val="21"/>
              <w:rPr>
                <w:rFonts w:hint="eastAsia"/>
                <w:lang w:val="en-US" w:eastAsia="zh-CN"/>
              </w:rPr>
            </w:pPr>
            <w:r>
              <w:rPr>
                <w:rFonts w:hint="eastAsia" w:ascii="仿宋" w:hAnsi="仿宋" w:eastAsia="仿宋" w:cs="仿宋"/>
                <w:color w:val="auto"/>
                <w:sz w:val="28"/>
                <w:szCs w:val="28"/>
                <w:highlight w:val="none"/>
                <w:lang w:val="en-US" w:eastAsia="zh-CN"/>
              </w:rPr>
              <w:t>（元）</w:t>
            </w:r>
          </w:p>
        </w:tc>
        <w:tc>
          <w:tcPr>
            <w:tcW w:w="2163" w:type="dxa"/>
            <w:vAlign w:val="center"/>
          </w:tcPr>
          <w:p>
            <w:pPr>
              <w:spacing w:line="4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rPr>
            </w:pP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bl>
    <w:p>
      <w:pPr>
        <w:numPr>
          <w:ilvl w:val="0"/>
          <w:numId w:val="6"/>
        </w:numPr>
        <w:adjustRightInd/>
        <w:spacing w:line="400" w:lineRule="exact"/>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质量标准:</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第三条 </w:t>
      </w:r>
      <w:r>
        <w:rPr>
          <w:rFonts w:hint="eastAsia" w:ascii="仿宋" w:hAnsi="仿宋" w:eastAsia="仿宋" w:cs="仿宋"/>
          <w:color w:val="auto"/>
          <w:sz w:val="28"/>
          <w:szCs w:val="28"/>
          <w:highlight w:val="none"/>
        </w:rPr>
        <w:t>出卖人对质量负责的条件及期限：</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第四条</w:t>
      </w:r>
      <w:r>
        <w:rPr>
          <w:rFonts w:hint="eastAsia" w:ascii="仿宋" w:hAnsi="仿宋" w:eastAsia="仿宋" w:cs="仿宋"/>
          <w:color w:val="auto"/>
          <w:sz w:val="28"/>
          <w:szCs w:val="28"/>
          <w:highlight w:val="none"/>
        </w:rPr>
        <w:t xml:space="preserve"> 包装标准、包装物的供应与回收：</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第五条 </w:t>
      </w:r>
      <w:r>
        <w:rPr>
          <w:rFonts w:hint="eastAsia" w:ascii="仿宋" w:hAnsi="仿宋" w:eastAsia="仿宋" w:cs="仿宋"/>
          <w:color w:val="auto"/>
          <w:sz w:val="28"/>
          <w:szCs w:val="28"/>
          <w:highlight w:val="none"/>
        </w:rPr>
        <w:t>采购项目的附（配）件、工具数量及供应办法：</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第六条 </w:t>
      </w:r>
      <w:r>
        <w:rPr>
          <w:rFonts w:hint="eastAsia" w:ascii="仿宋" w:hAnsi="仿宋" w:eastAsia="仿宋" w:cs="仿宋"/>
          <w:color w:val="auto"/>
          <w:sz w:val="28"/>
          <w:szCs w:val="28"/>
          <w:highlight w:val="none"/>
        </w:rPr>
        <w:t>合理损耗标准及计算方法：</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第七条 </w:t>
      </w:r>
      <w:r>
        <w:rPr>
          <w:rFonts w:hint="eastAsia" w:ascii="仿宋" w:hAnsi="仿宋" w:eastAsia="仿宋" w:cs="仿宋"/>
          <w:color w:val="auto"/>
          <w:sz w:val="28"/>
          <w:szCs w:val="28"/>
          <w:highlight w:val="none"/>
        </w:rPr>
        <w:t>采购项目所有权自</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时起转移，但买受人未履行支付价款义务的，采购项目属于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所有。</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第八条 </w:t>
      </w:r>
      <w:r>
        <w:rPr>
          <w:rFonts w:hint="eastAsia" w:ascii="仿宋" w:hAnsi="仿宋" w:eastAsia="仿宋" w:cs="仿宋"/>
          <w:color w:val="auto"/>
          <w:sz w:val="28"/>
          <w:szCs w:val="28"/>
          <w:highlight w:val="none"/>
        </w:rPr>
        <w:t>提供采购项目的方式、地点、时间：</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第九条 </w:t>
      </w:r>
      <w:r>
        <w:rPr>
          <w:rFonts w:hint="eastAsia" w:ascii="仿宋" w:hAnsi="仿宋" w:eastAsia="仿宋" w:cs="仿宋"/>
          <w:color w:val="auto"/>
          <w:sz w:val="28"/>
          <w:szCs w:val="28"/>
          <w:highlight w:val="none"/>
        </w:rPr>
        <w:t>运输方式及到达地和费用负担：</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第十条 </w:t>
      </w:r>
      <w:r>
        <w:rPr>
          <w:rFonts w:hint="eastAsia" w:ascii="仿宋" w:hAnsi="仿宋" w:eastAsia="仿宋" w:cs="仿宋"/>
          <w:color w:val="auto"/>
          <w:sz w:val="28"/>
          <w:szCs w:val="28"/>
          <w:highlight w:val="none"/>
        </w:rPr>
        <w:t>检验标准、方法、地点及期限：</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第十一条 </w:t>
      </w:r>
      <w:r>
        <w:rPr>
          <w:rFonts w:hint="eastAsia" w:ascii="仿宋" w:hAnsi="仿宋" w:eastAsia="仿宋" w:cs="仿宋"/>
          <w:color w:val="auto"/>
          <w:sz w:val="28"/>
          <w:szCs w:val="28"/>
          <w:highlight w:val="none"/>
        </w:rPr>
        <w:t>采购项目的安装调试：</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第十二条 </w:t>
      </w:r>
      <w:r>
        <w:rPr>
          <w:rFonts w:hint="eastAsia" w:ascii="仿宋" w:hAnsi="仿宋" w:eastAsia="仿宋" w:cs="仿宋"/>
          <w:color w:val="auto"/>
          <w:sz w:val="28"/>
          <w:szCs w:val="28"/>
          <w:highlight w:val="none"/>
        </w:rPr>
        <w:t>结算方式、时间及地点：</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第十三条 </w:t>
      </w:r>
      <w:r>
        <w:rPr>
          <w:rFonts w:hint="eastAsia" w:ascii="仿宋" w:hAnsi="仿宋" w:eastAsia="仿宋" w:cs="仿宋"/>
          <w:color w:val="auto"/>
          <w:sz w:val="28"/>
          <w:szCs w:val="28"/>
          <w:highlight w:val="none"/>
        </w:rPr>
        <w:t>担保方式（可另立担保合同）：</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第十四条 </w:t>
      </w:r>
      <w:r>
        <w:rPr>
          <w:rFonts w:hint="eastAsia" w:ascii="仿宋" w:hAnsi="仿宋" w:eastAsia="仿宋" w:cs="仿宋"/>
          <w:color w:val="auto"/>
          <w:sz w:val="28"/>
          <w:szCs w:val="28"/>
          <w:highlight w:val="none"/>
        </w:rPr>
        <w:t>本合同解除的条件：</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第十五条</w:t>
      </w:r>
      <w:r>
        <w:rPr>
          <w:rFonts w:hint="eastAsia" w:ascii="仿宋" w:hAnsi="仿宋" w:eastAsia="仿宋" w:cs="仿宋"/>
          <w:color w:val="auto"/>
          <w:sz w:val="28"/>
          <w:szCs w:val="28"/>
          <w:highlight w:val="none"/>
        </w:rPr>
        <w:t xml:space="preserve"> 违约责任：</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第十六条 </w:t>
      </w:r>
      <w:r>
        <w:rPr>
          <w:rFonts w:hint="eastAsia" w:ascii="仿宋" w:hAnsi="仿宋" w:eastAsia="仿宋" w:cs="仿宋"/>
          <w:color w:val="auto"/>
          <w:sz w:val="28"/>
          <w:szCs w:val="28"/>
          <w:highlight w:val="none"/>
        </w:rPr>
        <w:t>合同争议的解决方式：本合同在履行过程中发生的争议，双方当事人协商解决；也可由当地工商行政管理部门调解；协商或调解不成的，按下列</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种方式解决。</w:t>
      </w:r>
    </w:p>
    <w:p>
      <w:pPr>
        <w:spacing w:line="400" w:lineRule="exact"/>
        <w:rPr>
          <w:rFonts w:hint="eastAsia" w:ascii="仿宋" w:hAnsi="仿宋" w:eastAsia="仿宋" w:cs="仿宋"/>
          <w:color w:val="auto"/>
          <w:sz w:val="28"/>
          <w:szCs w:val="28"/>
          <w:highlight w:val="none"/>
        </w:rPr>
      </w:pPr>
      <w:bookmarkStart w:id="37" w:name="_Toc2908_WPSOffice_Level1"/>
      <w:r>
        <w:rPr>
          <w:rFonts w:hint="eastAsia" w:ascii="仿宋" w:hAnsi="仿宋" w:eastAsia="仿宋" w:cs="仿宋"/>
          <w:color w:val="auto"/>
          <w:sz w:val="28"/>
          <w:szCs w:val="28"/>
          <w:highlight w:val="none"/>
        </w:rPr>
        <w:t>（一）提交</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仲裁委员会仲裁；</w:t>
      </w:r>
      <w:bookmarkEnd w:id="37"/>
    </w:p>
    <w:p>
      <w:pPr>
        <w:spacing w:line="400" w:lineRule="exact"/>
        <w:rPr>
          <w:rFonts w:hint="eastAsia" w:ascii="仿宋" w:hAnsi="仿宋" w:eastAsia="仿宋" w:cs="仿宋"/>
          <w:color w:val="auto"/>
          <w:sz w:val="28"/>
          <w:szCs w:val="28"/>
          <w:highlight w:val="none"/>
        </w:rPr>
      </w:pPr>
      <w:bookmarkStart w:id="38" w:name="_Toc1686_WPSOffice_Level1"/>
      <w:r>
        <w:rPr>
          <w:rFonts w:hint="eastAsia" w:ascii="仿宋" w:hAnsi="仿宋" w:eastAsia="仿宋" w:cs="仿宋"/>
          <w:color w:val="auto"/>
          <w:sz w:val="28"/>
          <w:szCs w:val="28"/>
          <w:highlight w:val="none"/>
        </w:rPr>
        <w:t>（二）依法向人民法院起诉。</w:t>
      </w:r>
      <w:bookmarkEnd w:id="38"/>
    </w:p>
    <w:p>
      <w:pPr>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第十七条 </w:t>
      </w:r>
      <w:r>
        <w:rPr>
          <w:rFonts w:hint="eastAsia" w:ascii="仿宋" w:hAnsi="仿宋" w:eastAsia="仿宋" w:cs="仿宋"/>
          <w:color w:val="auto"/>
          <w:sz w:val="28"/>
          <w:szCs w:val="28"/>
          <w:highlight w:val="none"/>
        </w:rPr>
        <w:t>本合同自</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起生效。</w:t>
      </w:r>
    </w:p>
    <w:p>
      <w:pPr>
        <w:spacing w:line="400" w:lineRule="exact"/>
        <w:rPr>
          <w:rFonts w:hint="eastAsia" w:ascii="仿宋" w:hAnsi="仿宋" w:eastAsia="仿宋" w:cs="仿宋"/>
          <w:color w:val="auto"/>
          <w:sz w:val="32"/>
          <w:szCs w:val="32"/>
          <w:highlight w:val="none"/>
          <w:u w:val="single"/>
        </w:rPr>
      </w:pPr>
      <w:r>
        <w:rPr>
          <w:rFonts w:hint="eastAsia" w:ascii="仿宋" w:hAnsi="仿宋" w:eastAsia="仿宋" w:cs="仿宋"/>
          <w:b/>
          <w:color w:val="auto"/>
          <w:sz w:val="28"/>
          <w:szCs w:val="28"/>
          <w:highlight w:val="none"/>
        </w:rPr>
        <w:t xml:space="preserve">第十八条 </w:t>
      </w:r>
      <w:r>
        <w:rPr>
          <w:rFonts w:hint="eastAsia" w:ascii="仿宋" w:hAnsi="仿宋" w:eastAsia="仿宋" w:cs="仿宋"/>
          <w:color w:val="auto"/>
          <w:sz w:val="28"/>
          <w:szCs w:val="28"/>
          <w:highlight w:val="none"/>
        </w:rPr>
        <w:t>其他约定事项：</w:t>
      </w:r>
      <w:r>
        <w:rPr>
          <w:rFonts w:hint="eastAsia" w:ascii="仿宋" w:hAnsi="仿宋" w:eastAsia="仿宋" w:cs="仿宋"/>
          <w:color w:val="auto"/>
          <w:sz w:val="28"/>
          <w:szCs w:val="28"/>
          <w:highlight w:val="none"/>
          <w:u w:val="single"/>
        </w:rPr>
        <w:t xml:space="preserve">                                              </w:t>
      </w:r>
    </w:p>
    <w:tbl>
      <w:tblPr>
        <w:tblStyle w:val="16"/>
        <w:tblpPr w:leftFromText="180" w:rightFromText="180" w:vertAnchor="text" w:horzAnchor="page" w:tblpX="1123" w:tblpY="643"/>
        <w:tblOverlap w:val="never"/>
        <w:tblW w:w="9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1"/>
        <w:gridCol w:w="4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5" w:hRule="atLeast"/>
        </w:trPr>
        <w:tc>
          <w:tcPr>
            <w:tcW w:w="4831" w:type="dxa"/>
            <w:vAlign w:val="top"/>
          </w:tcPr>
          <w:p>
            <w:pPr>
              <w:spacing w:line="540" w:lineRule="exact"/>
              <w:ind w:firstLine="1320" w:firstLineChars="550"/>
              <w:rPr>
                <w:rFonts w:hint="eastAsia" w:ascii="仿宋" w:hAnsi="仿宋" w:eastAsia="仿宋" w:cs="仿宋"/>
                <w:color w:val="auto"/>
                <w:highlight w:val="none"/>
              </w:rPr>
            </w:pPr>
            <w:r>
              <w:rPr>
                <w:rFonts w:hint="eastAsia" w:ascii="仿宋" w:hAnsi="仿宋" w:eastAsia="仿宋" w:cs="仿宋"/>
                <w:color w:val="auto"/>
                <w:highlight w:val="none"/>
              </w:rPr>
              <w:t xml:space="preserve">出卖人                      </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出卖人（章）：</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住所：</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法定代表人：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委托代理人：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户名：</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开户银行：</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账号：</w:t>
            </w:r>
          </w:p>
          <w:p>
            <w:pPr>
              <w:rPr>
                <w:rFonts w:hint="eastAsia" w:ascii="仿宋" w:hAnsi="仿宋" w:eastAsia="仿宋" w:cs="仿宋"/>
                <w:color w:val="auto"/>
                <w:highlight w:val="none"/>
              </w:rPr>
            </w:pPr>
          </w:p>
        </w:tc>
        <w:tc>
          <w:tcPr>
            <w:tcW w:w="4836" w:type="dxa"/>
            <w:vAlign w:val="top"/>
          </w:tcPr>
          <w:p>
            <w:pPr>
              <w:spacing w:line="540" w:lineRule="exact"/>
              <w:ind w:firstLine="1560" w:firstLineChars="650"/>
              <w:rPr>
                <w:rFonts w:hint="eastAsia" w:ascii="仿宋" w:hAnsi="仿宋" w:eastAsia="仿宋" w:cs="仿宋"/>
                <w:color w:val="auto"/>
                <w:highlight w:val="none"/>
              </w:rPr>
            </w:pPr>
            <w:r>
              <w:rPr>
                <w:rFonts w:hint="eastAsia" w:ascii="仿宋" w:hAnsi="仿宋" w:eastAsia="仿宋" w:cs="仿宋"/>
                <w:color w:val="auto"/>
                <w:highlight w:val="none"/>
              </w:rPr>
              <w:t>买受人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买受人（章）：</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住所：</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法定代表人：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委托代理人：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电话：</w:t>
            </w:r>
          </w:p>
          <w:p>
            <w:pPr>
              <w:spacing w:line="540" w:lineRule="exact"/>
              <w:rPr>
                <w:rFonts w:hint="eastAsia" w:ascii="仿宋" w:hAnsi="仿宋" w:eastAsia="仿宋" w:cs="仿宋"/>
                <w:color w:val="auto"/>
                <w:highlight w:val="none"/>
              </w:rPr>
            </w:pPr>
          </w:p>
        </w:tc>
      </w:tr>
    </w:tbl>
    <w:p>
      <w:pPr>
        <w:jc w:val="center"/>
        <w:rPr>
          <w:rFonts w:hint="eastAsia" w:ascii="仿宋" w:hAnsi="仿宋" w:eastAsia="仿宋" w:cs="仿宋"/>
          <w:color w:val="auto"/>
          <w:highlight w:val="none"/>
        </w:rPr>
      </w:pPr>
    </w:p>
    <w:p>
      <w:pPr>
        <w:snapToGrid w:val="0"/>
        <w:spacing w:line="500" w:lineRule="exact"/>
        <w:rPr>
          <w:rFonts w:hint="eastAsia" w:ascii="仿宋" w:hAnsi="仿宋" w:eastAsia="仿宋" w:cs="仿宋"/>
          <w:b/>
          <w:color w:val="auto"/>
          <w:spacing w:val="20"/>
          <w:sz w:val="28"/>
          <w:szCs w:val="28"/>
          <w:highlight w:val="none"/>
        </w:rPr>
      </w:pPr>
    </w:p>
    <w:p>
      <w:pPr>
        <w:snapToGrid w:val="0"/>
        <w:spacing w:line="500" w:lineRule="exact"/>
        <w:rPr>
          <w:rFonts w:hint="eastAsia" w:ascii="仿宋" w:hAnsi="仿宋" w:eastAsia="仿宋" w:cs="仿宋"/>
          <w:b w:val="0"/>
          <w:bCs/>
          <w:color w:val="auto"/>
          <w:spacing w:val="10"/>
          <w:sz w:val="28"/>
          <w:szCs w:val="28"/>
          <w:highlight w:val="none"/>
        </w:rPr>
        <w:sectPr>
          <w:pgSz w:w="11906" w:h="16838"/>
          <w:pgMar w:top="1440" w:right="1706" w:bottom="1440" w:left="1800" w:header="851" w:footer="992" w:gutter="0"/>
          <w:pgNumType w:fmt="decimal"/>
          <w:cols w:space="425" w:num="1"/>
          <w:docGrid w:type="lines" w:linePitch="312" w:charSpace="0"/>
        </w:sectPr>
      </w:pPr>
      <w:r>
        <w:rPr>
          <w:rFonts w:hint="eastAsia" w:ascii="仿宋" w:hAnsi="仿宋" w:eastAsia="仿宋" w:cs="仿宋"/>
          <w:color w:val="auto"/>
          <w:sz w:val="28"/>
          <w:szCs w:val="28"/>
          <w:highlight w:val="none"/>
        </w:rPr>
        <w:t xml:space="preserve">     </w:t>
      </w:r>
    </w:p>
    <w:p>
      <w:pPr>
        <w:pStyle w:val="23"/>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left"/>
        <w:textAlignment w:val="baseline"/>
        <w:outlineLvl w:val="0"/>
        <w:rPr>
          <w:rFonts w:hint="eastAsia" w:ascii="仿宋" w:hAnsi="仿宋" w:eastAsia="仿宋" w:cs="仿宋"/>
          <w:b w:val="0"/>
          <w:bCs/>
          <w:color w:val="auto"/>
          <w:spacing w:val="10"/>
          <w:sz w:val="28"/>
          <w:szCs w:val="28"/>
          <w:highlight w:val="none"/>
          <w:lang w:eastAsia="zh-CN"/>
        </w:rPr>
      </w:pPr>
    </w:p>
    <w:p>
      <w:pPr>
        <w:pStyle w:val="23"/>
        <w:keepNext/>
        <w:keepLines/>
        <w:pageBreakBefore w:val="0"/>
        <w:widowControl w:val="0"/>
        <w:numPr>
          <w:ilvl w:val="0"/>
          <w:numId w:val="7"/>
        </w:numPr>
        <w:kinsoku/>
        <w:wordWrap/>
        <w:overflowPunct/>
        <w:topLinePunct w:val="0"/>
        <w:autoSpaceDE/>
        <w:autoSpaceDN/>
        <w:bidi w:val="0"/>
        <w:adjustRightInd w:val="0"/>
        <w:snapToGrid w:val="0"/>
        <w:spacing w:before="0" w:after="0" w:line="360" w:lineRule="auto"/>
        <w:jc w:val="center"/>
        <w:textAlignment w:val="baseline"/>
        <w:outlineLvl w:val="0"/>
        <w:rPr>
          <w:rFonts w:hint="eastAsia" w:ascii="仿宋" w:hAnsi="仿宋" w:eastAsia="仿宋" w:cs="仿宋"/>
          <w:b/>
          <w:bCs/>
          <w:color w:val="auto"/>
          <w:spacing w:val="10"/>
          <w:sz w:val="32"/>
          <w:szCs w:val="32"/>
          <w:highlight w:val="none"/>
          <w:lang w:eastAsia="zh-CN"/>
        </w:rPr>
      </w:pPr>
      <w:r>
        <w:rPr>
          <w:rFonts w:hint="eastAsia" w:ascii="仿宋" w:hAnsi="仿宋" w:eastAsia="仿宋" w:cs="仿宋"/>
          <w:b/>
          <w:bCs w:val="0"/>
          <w:color w:val="auto"/>
          <w:spacing w:val="10"/>
          <w:sz w:val="32"/>
          <w:szCs w:val="32"/>
          <w:highlight w:val="none"/>
          <w:lang w:val="en-US" w:eastAsia="zh-CN"/>
        </w:rPr>
        <w:t xml:space="preserve"> 采购需求</w:t>
      </w:r>
      <w:bookmarkEnd w:id="33"/>
      <w:bookmarkStart w:id="39" w:name="_Toc11895"/>
      <w:bookmarkStart w:id="40" w:name="_Toc25283_WPSOffice_Level1"/>
    </w:p>
    <w:p>
      <w:pPr>
        <w:numPr>
          <w:ilvl w:val="0"/>
          <w:numId w:val="8"/>
        </w:numPr>
        <w:spacing w:line="500" w:lineRule="exact"/>
        <w:jc w:val="left"/>
        <w:outlineLvl w:val="0"/>
        <w:rPr>
          <w:rFonts w:hint="eastAsia" w:ascii="仿宋" w:hAnsi="仿宋" w:eastAsia="仿宋" w:cs="仿宋"/>
          <w:b/>
          <w:bCs/>
          <w:color w:val="auto"/>
          <w:spacing w:val="10"/>
          <w:sz w:val="32"/>
          <w:szCs w:val="32"/>
          <w:highlight w:val="none"/>
          <w:lang w:val="en-US" w:eastAsia="zh-CN"/>
        </w:rPr>
      </w:pPr>
      <w:r>
        <w:rPr>
          <w:rFonts w:hint="eastAsia" w:ascii="仿宋" w:hAnsi="仿宋" w:eastAsia="仿宋" w:cs="仿宋"/>
          <w:b/>
          <w:bCs/>
          <w:color w:val="auto"/>
          <w:spacing w:val="10"/>
          <w:sz w:val="32"/>
          <w:szCs w:val="32"/>
          <w:highlight w:val="none"/>
          <w:lang w:val="en-US" w:eastAsia="zh-CN"/>
        </w:rPr>
        <w:t>采购清单</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707"/>
        <w:gridCol w:w="1409"/>
        <w:gridCol w:w="688"/>
        <w:gridCol w:w="779"/>
        <w:gridCol w:w="1077"/>
        <w:gridCol w:w="1077"/>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序号</w:t>
            </w:r>
          </w:p>
        </w:tc>
        <w:tc>
          <w:tcPr>
            <w:tcW w:w="170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采购项目名称</w:t>
            </w:r>
          </w:p>
        </w:tc>
        <w:tc>
          <w:tcPr>
            <w:tcW w:w="1409"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规格参数</w:t>
            </w:r>
          </w:p>
        </w:tc>
        <w:tc>
          <w:tcPr>
            <w:tcW w:w="688"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单位</w:t>
            </w:r>
          </w:p>
        </w:tc>
        <w:tc>
          <w:tcPr>
            <w:tcW w:w="779"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数量</w:t>
            </w: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单价（元）</w:t>
            </w: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合计（元）</w:t>
            </w: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1</w:t>
            </w:r>
          </w:p>
        </w:tc>
        <w:tc>
          <w:tcPr>
            <w:tcW w:w="170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氩气刀</w:t>
            </w:r>
          </w:p>
        </w:tc>
        <w:tc>
          <w:tcPr>
            <w:tcW w:w="1409"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另付</w:t>
            </w:r>
          </w:p>
        </w:tc>
        <w:tc>
          <w:tcPr>
            <w:tcW w:w="688"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套</w:t>
            </w:r>
          </w:p>
        </w:tc>
        <w:tc>
          <w:tcPr>
            <w:tcW w:w="779"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1</w:t>
            </w: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2</w:t>
            </w:r>
          </w:p>
        </w:tc>
        <w:tc>
          <w:tcPr>
            <w:tcW w:w="170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合计（元）</w:t>
            </w:r>
          </w:p>
        </w:tc>
        <w:tc>
          <w:tcPr>
            <w:tcW w:w="2097" w:type="dxa"/>
            <w:gridSpan w:val="2"/>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小写：</w:t>
            </w:r>
          </w:p>
        </w:tc>
        <w:tc>
          <w:tcPr>
            <w:tcW w:w="1856" w:type="dxa"/>
            <w:gridSpan w:val="2"/>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大写：</w:t>
            </w: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p>
        </w:tc>
      </w:tr>
    </w:tbl>
    <w:p>
      <w:pPr>
        <w:numPr>
          <w:ilvl w:val="0"/>
          <w:numId w:val="0"/>
        </w:numPr>
        <w:spacing w:line="500" w:lineRule="exact"/>
        <w:jc w:val="left"/>
        <w:outlineLvl w:val="0"/>
        <w:rPr>
          <w:rFonts w:hint="eastAsia" w:ascii="仿宋" w:hAnsi="仿宋" w:eastAsia="仿宋" w:cs="仿宋"/>
          <w:b/>
          <w:bCs/>
          <w:color w:val="auto"/>
          <w:spacing w:val="10"/>
          <w:sz w:val="32"/>
          <w:szCs w:val="32"/>
          <w:highlight w:val="none"/>
          <w:lang w:val="en-US" w:eastAsia="zh-CN"/>
        </w:rPr>
      </w:pPr>
    </w:p>
    <w:p>
      <w:pPr>
        <w:pStyle w:val="21"/>
        <w:numPr>
          <w:ilvl w:val="0"/>
          <w:numId w:val="0"/>
        </w:numPr>
        <w:rPr>
          <w:rFonts w:hint="default"/>
          <w:lang w:val="en-US" w:eastAsia="zh-CN"/>
        </w:rPr>
      </w:pPr>
    </w:p>
    <w:p>
      <w:pPr>
        <w:numPr>
          <w:ilvl w:val="0"/>
          <w:numId w:val="8"/>
        </w:numPr>
        <w:spacing w:line="500" w:lineRule="exact"/>
        <w:jc w:val="left"/>
        <w:outlineLvl w:val="0"/>
        <w:rPr>
          <w:rFonts w:hint="eastAsia" w:ascii="仿宋" w:hAnsi="仿宋" w:eastAsia="仿宋" w:cs="仿宋"/>
          <w:b/>
          <w:bCs/>
          <w:color w:val="auto"/>
          <w:spacing w:val="10"/>
          <w:sz w:val="32"/>
          <w:szCs w:val="32"/>
          <w:highlight w:val="none"/>
          <w:lang w:val="en-US" w:eastAsia="zh-CN"/>
        </w:rPr>
      </w:pPr>
      <w:r>
        <w:rPr>
          <w:rFonts w:hint="eastAsia" w:ascii="仿宋" w:hAnsi="仿宋" w:eastAsia="仿宋" w:cs="仿宋"/>
          <w:b/>
          <w:bCs/>
          <w:color w:val="auto"/>
          <w:spacing w:val="10"/>
          <w:sz w:val="32"/>
          <w:szCs w:val="32"/>
          <w:highlight w:val="none"/>
          <w:lang w:val="en-US" w:eastAsia="zh-CN"/>
        </w:rPr>
        <w:t>氩气刀技术参数</w:t>
      </w:r>
    </w:p>
    <w:p>
      <w:pPr>
        <w:jc w:val="center"/>
        <w:rPr>
          <w:rFonts w:hint="eastAsia" w:ascii="新宋体" w:hAnsi="新宋体" w:eastAsia="新宋体"/>
          <w:b/>
          <w:szCs w:val="28"/>
        </w:rPr>
      </w:pPr>
      <w:r>
        <w:rPr>
          <w:rFonts w:hint="eastAsia" w:ascii="新宋体" w:hAnsi="新宋体" w:eastAsia="新宋体"/>
          <w:b/>
          <w:sz w:val="32"/>
          <w:szCs w:val="32"/>
        </w:rPr>
        <w:t>氩气刀参数</w:t>
      </w:r>
    </w:p>
    <w:tbl>
      <w:tblPr>
        <w:tblStyle w:val="16"/>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176"/>
        <w:gridCol w:w="6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08" w:type="dxa"/>
            <w:noWrap w:val="0"/>
            <w:vAlign w:val="center"/>
          </w:tcPr>
          <w:p>
            <w:pPr>
              <w:rPr>
                <w:rFonts w:hint="eastAsia" w:ascii="宋体" w:hAnsi="宋体" w:cs="宋体"/>
                <w:sz w:val="24"/>
              </w:rPr>
            </w:pPr>
            <w:r>
              <w:rPr>
                <w:rFonts w:hint="eastAsia" w:ascii="宋体" w:hAnsi="宋体" w:cs="宋体"/>
                <w:sz w:val="24"/>
              </w:rPr>
              <w:t>序号</w:t>
            </w:r>
          </w:p>
        </w:tc>
        <w:tc>
          <w:tcPr>
            <w:tcW w:w="1176" w:type="dxa"/>
            <w:noWrap w:val="0"/>
            <w:vAlign w:val="center"/>
          </w:tcPr>
          <w:p>
            <w:pPr>
              <w:rPr>
                <w:rFonts w:hint="eastAsia" w:ascii="宋体" w:hAnsi="宋体" w:cs="宋体"/>
                <w:sz w:val="24"/>
              </w:rPr>
            </w:pPr>
            <w:r>
              <w:rPr>
                <w:rFonts w:hint="eastAsia" w:ascii="宋体" w:hAnsi="宋体" w:cs="宋体"/>
                <w:sz w:val="24"/>
              </w:rPr>
              <w:t>参 数</w:t>
            </w:r>
          </w:p>
        </w:tc>
        <w:tc>
          <w:tcPr>
            <w:tcW w:w="8038" w:type="dxa"/>
            <w:noWrap w:val="0"/>
            <w:vAlign w:val="center"/>
          </w:tcPr>
          <w:p>
            <w:pPr>
              <w:rPr>
                <w:rFonts w:hint="eastAsia" w:ascii="宋体" w:hAnsi="宋体" w:cs="宋体"/>
                <w:sz w:val="24"/>
              </w:rPr>
            </w:pPr>
            <w:r>
              <w:rPr>
                <w:rFonts w:hint="eastAsia" w:ascii="宋体" w:hAnsi="宋体" w:cs="宋体"/>
                <w:sz w:val="24"/>
              </w:rPr>
              <w:t xml:space="preserve">要 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08" w:type="dxa"/>
            <w:noWrap w:val="0"/>
            <w:vAlign w:val="top"/>
          </w:tcPr>
          <w:p>
            <w:pPr>
              <w:rPr>
                <w:rFonts w:hint="eastAsia" w:ascii="宋体" w:hAnsi="宋体" w:cs="宋体"/>
                <w:sz w:val="24"/>
              </w:rPr>
            </w:pPr>
            <w:r>
              <w:rPr>
                <w:rFonts w:hint="eastAsia" w:ascii="宋体" w:hAnsi="宋体" w:cs="宋体"/>
                <w:sz w:val="24"/>
              </w:rPr>
              <w:t>1</w:t>
            </w:r>
          </w:p>
        </w:tc>
        <w:tc>
          <w:tcPr>
            <w:tcW w:w="1176" w:type="dxa"/>
            <w:noWrap w:val="0"/>
            <w:vAlign w:val="top"/>
          </w:tcPr>
          <w:p>
            <w:pPr>
              <w:rPr>
                <w:rFonts w:hint="eastAsia" w:ascii="宋体" w:hAnsi="宋体" w:cs="宋体"/>
                <w:sz w:val="24"/>
              </w:rPr>
            </w:pPr>
            <w:r>
              <w:rPr>
                <w:rFonts w:hint="eastAsia" w:ascii="宋体" w:hAnsi="宋体" w:cs="宋体"/>
                <w:sz w:val="24"/>
              </w:rPr>
              <w:t>中性电极安全系统</w:t>
            </w:r>
          </w:p>
        </w:tc>
        <w:tc>
          <w:tcPr>
            <w:tcW w:w="8038" w:type="dxa"/>
            <w:noWrap w:val="0"/>
            <w:vAlign w:val="top"/>
          </w:tcPr>
          <w:p>
            <w:pPr>
              <w:rPr>
                <w:rFonts w:hint="eastAsia" w:ascii="宋体" w:hAnsi="宋体" w:cs="宋体"/>
                <w:sz w:val="24"/>
              </w:rPr>
            </w:pPr>
            <w:r>
              <w:rPr>
                <w:rFonts w:hint="eastAsia" w:ascii="宋体" w:hAnsi="宋体" w:cs="宋体"/>
                <w:sz w:val="24"/>
              </w:rPr>
              <w:t>可检测中性电极与病人的接触质量是否良好、中性电极与病人的接触面积是否得到有效的利用、中性电极与病人的接触面积与设定功率之间的关系是否合适，在出现危险时自动关闭输出，文字显示故障原因，声音信号报警，自动存储故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08" w:type="dxa"/>
            <w:noWrap w:val="0"/>
            <w:vAlign w:val="top"/>
          </w:tcPr>
          <w:p>
            <w:pPr>
              <w:rPr>
                <w:rFonts w:hint="eastAsia" w:ascii="宋体" w:hAnsi="宋体" w:cs="宋体"/>
                <w:sz w:val="24"/>
              </w:rPr>
            </w:pPr>
            <w:r>
              <w:rPr>
                <w:rFonts w:hint="eastAsia" w:ascii="宋体" w:hAnsi="宋体" w:cs="宋体"/>
                <w:sz w:val="24"/>
              </w:rPr>
              <w:t>2</w:t>
            </w:r>
          </w:p>
        </w:tc>
        <w:tc>
          <w:tcPr>
            <w:tcW w:w="1176" w:type="dxa"/>
            <w:noWrap w:val="0"/>
            <w:vAlign w:val="top"/>
          </w:tcPr>
          <w:p>
            <w:pPr>
              <w:rPr>
                <w:rFonts w:hint="eastAsia" w:ascii="宋体" w:hAnsi="宋体" w:cs="宋体"/>
                <w:sz w:val="24"/>
              </w:rPr>
            </w:pPr>
            <w:r>
              <w:rPr>
                <w:rFonts w:hint="eastAsia" w:ascii="宋体" w:hAnsi="宋体" w:cs="宋体"/>
                <w:sz w:val="24"/>
              </w:rPr>
              <w:t>外观设计</w:t>
            </w:r>
          </w:p>
        </w:tc>
        <w:tc>
          <w:tcPr>
            <w:tcW w:w="8038" w:type="dxa"/>
            <w:noWrap w:val="0"/>
            <w:vAlign w:val="top"/>
          </w:tcPr>
          <w:p>
            <w:pPr>
              <w:rPr>
                <w:rFonts w:hint="eastAsia" w:ascii="宋体" w:hAnsi="宋体" w:cs="宋体"/>
                <w:sz w:val="24"/>
              </w:rPr>
            </w:pPr>
            <w:r>
              <w:rPr>
                <w:rFonts w:hint="eastAsia" w:ascii="宋体" w:hAnsi="宋体" w:cs="宋体"/>
                <w:sz w:val="24"/>
              </w:rPr>
              <w:t>整体模块式设计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08" w:type="dxa"/>
            <w:noWrap w:val="0"/>
            <w:vAlign w:val="top"/>
          </w:tcPr>
          <w:p>
            <w:pPr>
              <w:rPr>
                <w:rFonts w:hint="eastAsia" w:ascii="宋体" w:hAnsi="宋体" w:cs="宋体"/>
                <w:sz w:val="24"/>
              </w:rPr>
            </w:pPr>
            <w:r>
              <w:rPr>
                <w:rFonts w:hint="eastAsia" w:ascii="宋体" w:hAnsi="宋体" w:cs="宋体"/>
                <w:sz w:val="24"/>
              </w:rPr>
              <w:t>3★</w:t>
            </w:r>
          </w:p>
        </w:tc>
        <w:tc>
          <w:tcPr>
            <w:tcW w:w="1176" w:type="dxa"/>
            <w:noWrap w:val="0"/>
            <w:vAlign w:val="top"/>
          </w:tcPr>
          <w:p>
            <w:pPr>
              <w:rPr>
                <w:rFonts w:hint="eastAsia" w:ascii="宋体" w:hAnsi="宋体" w:cs="宋体"/>
                <w:sz w:val="24"/>
              </w:rPr>
            </w:pPr>
            <w:r>
              <w:rPr>
                <w:rFonts w:hint="eastAsia" w:ascii="宋体" w:hAnsi="宋体" w:cs="宋体"/>
                <w:sz w:val="24"/>
              </w:rPr>
              <w:t>操作界面</w:t>
            </w:r>
          </w:p>
        </w:tc>
        <w:tc>
          <w:tcPr>
            <w:tcW w:w="8038" w:type="dxa"/>
            <w:noWrap w:val="0"/>
            <w:vAlign w:val="top"/>
          </w:tcPr>
          <w:p>
            <w:pPr>
              <w:rPr>
                <w:rFonts w:hint="eastAsia" w:ascii="宋体" w:hAnsi="宋体" w:cs="宋体"/>
                <w:sz w:val="24"/>
              </w:rPr>
            </w:pPr>
            <w:r>
              <w:rPr>
                <w:rFonts w:hint="eastAsia" w:ascii="宋体" w:hAnsi="宋体" w:cs="宋体"/>
                <w:sz w:val="24"/>
              </w:rPr>
              <w:t>大屏幕彩色液晶显示屏设计，中英文功能显示，触摸键调节键设计，操作简便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708" w:type="dxa"/>
            <w:noWrap w:val="0"/>
            <w:vAlign w:val="top"/>
          </w:tcPr>
          <w:p>
            <w:pPr>
              <w:rPr>
                <w:rFonts w:hint="eastAsia" w:ascii="宋体" w:hAnsi="宋体" w:cs="宋体"/>
                <w:sz w:val="24"/>
              </w:rPr>
            </w:pPr>
            <w:r>
              <w:rPr>
                <w:rFonts w:hint="eastAsia" w:ascii="宋体" w:hAnsi="宋体" w:cs="宋体"/>
                <w:sz w:val="24"/>
              </w:rPr>
              <w:t>4★</w:t>
            </w:r>
          </w:p>
        </w:tc>
        <w:tc>
          <w:tcPr>
            <w:tcW w:w="1176" w:type="dxa"/>
            <w:noWrap w:val="0"/>
            <w:vAlign w:val="top"/>
          </w:tcPr>
          <w:p>
            <w:pPr>
              <w:rPr>
                <w:rFonts w:hint="eastAsia" w:ascii="宋体" w:hAnsi="宋体" w:cs="宋体"/>
                <w:sz w:val="24"/>
              </w:rPr>
            </w:pPr>
            <w:r>
              <w:rPr>
                <w:rFonts w:hint="eastAsia" w:ascii="宋体" w:hAnsi="宋体" w:cs="宋体"/>
                <w:sz w:val="24"/>
              </w:rPr>
              <w:t>基本功能要求</w:t>
            </w:r>
          </w:p>
        </w:tc>
        <w:tc>
          <w:tcPr>
            <w:tcW w:w="8038" w:type="dxa"/>
            <w:noWrap w:val="0"/>
            <w:vAlign w:val="top"/>
          </w:tcPr>
          <w:p>
            <w:pPr>
              <w:rPr>
                <w:rFonts w:hint="eastAsia" w:ascii="宋体" w:hAnsi="宋体" w:cs="宋体"/>
                <w:sz w:val="24"/>
              </w:rPr>
            </w:pPr>
            <w:r>
              <w:rPr>
                <w:rFonts w:hint="eastAsia" w:ascii="宋体" w:hAnsi="宋体" w:cs="宋体"/>
                <w:sz w:val="24"/>
              </w:rPr>
              <w:t>系统具有多种内镜切割、凝血模式，能保证安全开展多种镜下治疗如（POEM/STER/ERCP/EMR/ESD/APC等）并提供专利内镜切割功能，具有配合升级水刀、内镜冲洗泵（EIP2</w:t>
            </w:r>
            <w:r>
              <w:rPr>
                <w:rFonts w:ascii="宋体" w:hAnsi="宋体" w:cs="宋体"/>
                <w:sz w:val="24"/>
              </w:rPr>
              <w:t>）</w:t>
            </w:r>
            <w:r>
              <w:rPr>
                <w:rFonts w:hint="eastAsia" w:ascii="宋体" w:hAnsi="宋体" w:cs="宋体"/>
                <w:sz w:val="24"/>
              </w:rPr>
              <w:t>等硬件模块升级功能，并提供相关升级模块产品注册证明。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trPr>
        <w:tc>
          <w:tcPr>
            <w:tcW w:w="708" w:type="dxa"/>
            <w:noWrap w:val="0"/>
            <w:vAlign w:val="top"/>
          </w:tcPr>
          <w:p>
            <w:pPr>
              <w:rPr>
                <w:rFonts w:hint="eastAsia" w:ascii="宋体" w:hAnsi="宋体" w:cs="宋体"/>
                <w:sz w:val="24"/>
              </w:rPr>
            </w:pPr>
            <w:r>
              <w:rPr>
                <w:rFonts w:hint="eastAsia" w:ascii="宋体" w:hAnsi="宋体" w:cs="宋体"/>
                <w:sz w:val="24"/>
              </w:rPr>
              <w:t>5</w:t>
            </w:r>
          </w:p>
        </w:tc>
        <w:tc>
          <w:tcPr>
            <w:tcW w:w="1176" w:type="dxa"/>
            <w:noWrap w:val="0"/>
            <w:vAlign w:val="top"/>
          </w:tcPr>
          <w:p>
            <w:pPr>
              <w:rPr>
                <w:rFonts w:hint="eastAsia" w:ascii="宋体" w:hAnsi="宋体" w:cs="宋体"/>
                <w:sz w:val="24"/>
              </w:rPr>
            </w:pPr>
            <w:r>
              <w:rPr>
                <w:rFonts w:hint="eastAsia" w:ascii="宋体" w:hAnsi="宋体" w:cs="宋体"/>
                <w:sz w:val="24"/>
              </w:rPr>
              <w:t>技术要求</w:t>
            </w:r>
          </w:p>
        </w:tc>
        <w:tc>
          <w:tcPr>
            <w:tcW w:w="8038" w:type="dxa"/>
            <w:noWrap w:val="0"/>
            <w:vAlign w:val="top"/>
          </w:tcPr>
          <w:p>
            <w:pPr>
              <w:rPr>
                <w:rFonts w:hint="eastAsia" w:ascii="宋体" w:hAnsi="宋体" w:cs="宋体"/>
                <w:sz w:val="24"/>
              </w:rPr>
            </w:pPr>
            <w:r>
              <w:rPr>
                <w:rFonts w:hint="eastAsia" w:ascii="宋体" w:hAnsi="宋体" w:cs="宋体"/>
                <w:sz w:val="24"/>
              </w:rPr>
              <w:t>可根据需要存储设置198组临床经验程序；</w:t>
            </w:r>
          </w:p>
          <w:p>
            <w:pPr>
              <w:rPr>
                <w:rFonts w:hint="eastAsia" w:ascii="宋体" w:hAnsi="宋体" w:cs="宋体"/>
                <w:sz w:val="24"/>
              </w:rPr>
            </w:pPr>
            <w:r>
              <w:rPr>
                <w:rFonts w:hint="eastAsia" w:ascii="宋体" w:hAnsi="宋体" w:cs="宋体"/>
                <w:sz w:val="24"/>
              </w:rPr>
              <w:t>插件式设计，可以软件升级；</w:t>
            </w:r>
          </w:p>
          <w:p>
            <w:pPr>
              <w:rPr>
                <w:rFonts w:hint="eastAsia" w:ascii="宋体" w:hAnsi="宋体" w:cs="宋体"/>
                <w:sz w:val="24"/>
              </w:rPr>
            </w:pPr>
            <w:r>
              <w:rPr>
                <w:rFonts w:hint="eastAsia" w:ascii="宋体" w:hAnsi="宋体" w:cs="宋体"/>
                <w:sz w:val="24"/>
              </w:rPr>
              <w:t>具有自检、错误声光报警、文字提示及存储功能；</w:t>
            </w:r>
          </w:p>
          <w:p>
            <w:pPr>
              <w:rPr>
                <w:rFonts w:hint="eastAsia" w:ascii="宋体" w:hAnsi="宋体" w:cs="宋体"/>
                <w:sz w:val="24"/>
              </w:rPr>
            </w:pPr>
            <w:r>
              <w:rPr>
                <w:rFonts w:hint="eastAsia" w:ascii="宋体" w:hAnsi="宋体" w:cs="宋体"/>
                <w:sz w:val="24"/>
              </w:rPr>
              <w:t>双极插座：1个</w:t>
            </w:r>
          </w:p>
          <w:p>
            <w:pPr>
              <w:rPr>
                <w:rFonts w:hint="eastAsia" w:ascii="宋体" w:hAnsi="宋体" w:cs="宋体"/>
                <w:sz w:val="24"/>
              </w:rPr>
            </w:pPr>
            <w:r>
              <w:rPr>
                <w:rFonts w:hint="eastAsia" w:ascii="宋体" w:hAnsi="宋体" w:cs="宋体"/>
                <w:sz w:val="24"/>
              </w:rPr>
              <w:t>内窥镜接口：4个</w:t>
            </w:r>
          </w:p>
          <w:p>
            <w:pPr>
              <w:rPr>
                <w:rFonts w:hint="eastAsia" w:ascii="宋体" w:hAnsi="宋体" w:cs="宋体"/>
                <w:sz w:val="24"/>
              </w:rPr>
            </w:pPr>
            <w:r>
              <w:rPr>
                <w:rFonts w:hint="eastAsia" w:ascii="宋体" w:hAnsi="宋体" w:cs="宋体"/>
                <w:sz w:val="24"/>
              </w:rPr>
              <w:t>氩气发生器接口：1个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trPr>
        <w:tc>
          <w:tcPr>
            <w:tcW w:w="708" w:type="dxa"/>
            <w:noWrap w:val="0"/>
            <w:vAlign w:val="top"/>
          </w:tcPr>
          <w:p>
            <w:pPr>
              <w:rPr>
                <w:rFonts w:hint="eastAsia" w:ascii="宋体" w:hAnsi="宋体" w:cs="宋体"/>
                <w:sz w:val="24"/>
              </w:rPr>
            </w:pPr>
            <w:r>
              <w:rPr>
                <w:rFonts w:hint="eastAsia" w:ascii="宋体" w:hAnsi="宋体" w:cs="宋体"/>
                <w:sz w:val="24"/>
              </w:rPr>
              <w:t>6★</w:t>
            </w:r>
          </w:p>
        </w:tc>
        <w:tc>
          <w:tcPr>
            <w:tcW w:w="1176" w:type="dxa"/>
            <w:noWrap w:val="0"/>
            <w:vAlign w:val="top"/>
          </w:tcPr>
          <w:p>
            <w:pPr>
              <w:rPr>
                <w:rFonts w:hint="eastAsia" w:ascii="宋体" w:hAnsi="宋体" w:cs="宋体"/>
                <w:sz w:val="24"/>
              </w:rPr>
            </w:pPr>
            <w:r>
              <w:rPr>
                <w:rFonts w:hint="eastAsia" w:ascii="宋体" w:hAnsi="宋体" w:cs="宋体"/>
                <w:sz w:val="24"/>
              </w:rPr>
              <w:t>切割模式</w:t>
            </w:r>
          </w:p>
        </w:tc>
        <w:tc>
          <w:tcPr>
            <w:tcW w:w="8038" w:type="dxa"/>
            <w:noWrap w:val="0"/>
            <w:vAlign w:val="top"/>
          </w:tcPr>
          <w:p>
            <w:pPr>
              <w:rPr>
                <w:rFonts w:hint="eastAsia" w:ascii="宋体" w:hAnsi="宋体" w:cs="宋体"/>
                <w:sz w:val="24"/>
              </w:rPr>
            </w:pPr>
            <w:r>
              <w:rPr>
                <w:rFonts w:hint="eastAsia" w:ascii="宋体" w:hAnsi="宋体" w:cs="宋体"/>
                <w:sz w:val="24"/>
              </w:rPr>
              <w:t>1、自动切割模式：具有8种纯切、混切效果，最大峰值电压740V/500欧姆，最大输出功率均为≥200瓦</w:t>
            </w:r>
          </w:p>
          <w:p>
            <w:pPr>
              <w:rPr>
                <w:rFonts w:hint="eastAsia" w:ascii="宋体" w:hAnsi="宋体" w:cs="宋体"/>
                <w:sz w:val="24"/>
              </w:rPr>
            </w:pPr>
            <w:r>
              <w:rPr>
                <w:rFonts w:hint="eastAsia" w:ascii="宋体" w:hAnsi="宋体" w:cs="宋体"/>
                <w:sz w:val="24"/>
              </w:rPr>
              <w:t>2、内镜切割功能：（ENDOCUT I/Q内镜电切专用程序软件模块），峰值电压550-770 V，切凝交替输出，可自动控制凝血深度。切割时间间隔和切割宽度可任意设置。功率智能输出，无需人工设定，四档效果调节，切割速度可调。</w:t>
            </w:r>
          </w:p>
          <w:p>
            <w:pPr>
              <w:rPr>
                <w:rFonts w:hint="eastAsia" w:ascii="宋体" w:hAnsi="宋体" w:cs="宋体"/>
                <w:sz w:val="24"/>
              </w:rPr>
            </w:pPr>
            <w:r>
              <w:rPr>
                <w:rFonts w:hint="eastAsia" w:ascii="宋体" w:hAnsi="宋体" w:cs="宋体"/>
                <w:sz w:val="24"/>
              </w:rPr>
              <w:t>3、双极电切， 8种电切效果，最大峰值电压740V/500欧姆，最大功率100W.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708" w:type="dxa"/>
            <w:noWrap w:val="0"/>
            <w:vAlign w:val="top"/>
          </w:tcPr>
          <w:p>
            <w:pPr>
              <w:rPr>
                <w:rFonts w:hint="eastAsia" w:ascii="宋体" w:hAnsi="宋体" w:cs="宋体"/>
                <w:sz w:val="24"/>
              </w:rPr>
            </w:pPr>
            <w:r>
              <w:rPr>
                <w:rFonts w:hint="eastAsia" w:ascii="宋体" w:hAnsi="宋体" w:cs="宋体"/>
                <w:sz w:val="24"/>
              </w:rPr>
              <w:t>7</w:t>
            </w:r>
          </w:p>
        </w:tc>
        <w:tc>
          <w:tcPr>
            <w:tcW w:w="1176" w:type="dxa"/>
            <w:noWrap w:val="0"/>
            <w:vAlign w:val="top"/>
          </w:tcPr>
          <w:p>
            <w:pPr>
              <w:rPr>
                <w:rFonts w:hint="eastAsia" w:ascii="宋体" w:hAnsi="宋体" w:cs="宋体"/>
                <w:sz w:val="24"/>
              </w:rPr>
            </w:pPr>
            <w:r>
              <w:rPr>
                <w:rFonts w:hint="eastAsia" w:ascii="宋体" w:hAnsi="宋体" w:cs="宋体"/>
                <w:sz w:val="24"/>
              </w:rPr>
              <w:t>凝血模式</w:t>
            </w:r>
          </w:p>
        </w:tc>
        <w:tc>
          <w:tcPr>
            <w:tcW w:w="8038" w:type="dxa"/>
            <w:noWrap w:val="0"/>
            <w:vAlign w:val="top"/>
          </w:tcPr>
          <w:p>
            <w:pPr>
              <w:rPr>
                <w:rFonts w:hint="eastAsia" w:ascii="宋体" w:hAnsi="宋体" w:cs="宋体"/>
                <w:sz w:val="24"/>
              </w:rPr>
            </w:pPr>
            <w:r>
              <w:rPr>
                <w:rFonts w:hint="eastAsia" w:ascii="宋体" w:hAnsi="宋体" w:cs="宋体"/>
                <w:sz w:val="24"/>
              </w:rPr>
              <w:t>1、柔和电凝，8种电凝效果，最大峰值电压190V/50欧姆，最大输出功率≥120瓦</w:t>
            </w:r>
          </w:p>
          <w:p>
            <w:pPr>
              <w:rPr>
                <w:rFonts w:hint="eastAsia" w:ascii="宋体" w:hAnsi="宋体" w:cs="宋体"/>
                <w:sz w:val="24"/>
              </w:rPr>
            </w:pPr>
            <w:r>
              <w:rPr>
                <w:rFonts w:hint="eastAsia" w:ascii="宋体" w:hAnsi="宋体" w:cs="宋体"/>
                <w:sz w:val="24"/>
              </w:rPr>
              <w:t>2、强力电凝，4种电凝效果，最大峰值电压1800V/500欧姆，最大输出功率≥120瓦</w:t>
            </w:r>
          </w:p>
          <w:p>
            <w:pPr>
              <w:rPr>
                <w:rFonts w:hint="eastAsia" w:ascii="宋体" w:hAnsi="宋体" w:cs="宋体"/>
                <w:sz w:val="24"/>
              </w:rPr>
            </w:pPr>
            <w:r>
              <w:rPr>
                <w:rFonts w:hint="eastAsia" w:ascii="宋体" w:hAnsi="宋体" w:cs="宋体"/>
                <w:sz w:val="24"/>
              </w:rPr>
              <w:t>3、快速电凝，8种电凝效果，最大峰值电压2500V/500欧姆，最大输出功率≥120瓦</w:t>
            </w:r>
          </w:p>
          <w:p>
            <w:pPr>
              <w:rPr>
                <w:rFonts w:hint="eastAsia" w:ascii="宋体" w:hAnsi="宋体" w:cs="宋体"/>
                <w:sz w:val="24"/>
              </w:rPr>
            </w:pPr>
            <w:r>
              <w:rPr>
                <w:rFonts w:hint="eastAsia" w:ascii="宋体" w:hAnsi="宋体" w:cs="宋体"/>
                <w:sz w:val="24"/>
              </w:rPr>
              <w:t>4、双极柔和电凝，8种电凝效果，最大峰值电压190V/75欧姆，最大输出功率≥120瓦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8" w:hRule="atLeast"/>
        </w:trPr>
        <w:tc>
          <w:tcPr>
            <w:tcW w:w="708" w:type="dxa"/>
            <w:noWrap w:val="0"/>
            <w:vAlign w:val="top"/>
          </w:tcPr>
          <w:p>
            <w:pPr>
              <w:rPr>
                <w:rFonts w:hint="eastAsia" w:ascii="宋体" w:hAnsi="宋体" w:cs="宋体"/>
                <w:sz w:val="24"/>
              </w:rPr>
            </w:pPr>
            <w:r>
              <w:rPr>
                <w:rFonts w:hint="eastAsia" w:ascii="宋体" w:hAnsi="宋体" w:cs="宋体"/>
                <w:sz w:val="24"/>
              </w:rPr>
              <w:t>8</w:t>
            </w:r>
          </w:p>
        </w:tc>
        <w:tc>
          <w:tcPr>
            <w:tcW w:w="1176" w:type="dxa"/>
            <w:noWrap w:val="0"/>
            <w:vAlign w:val="top"/>
          </w:tcPr>
          <w:p>
            <w:pPr>
              <w:rPr>
                <w:rFonts w:hint="eastAsia" w:ascii="宋体" w:hAnsi="宋体" w:cs="宋体"/>
                <w:sz w:val="24"/>
              </w:rPr>
            </w:pPr>
            <w:r>
              <w:rPr>
                <w:rFonts w:hint="eastAsia" w:ascii="宋体" w:hAnsi="宋体" w:cs="宋体"/>
                <w:sz w:val="24"/>
              </w:rPr>
              <w:t>氩气控制器（APC2）功能</w:t>
            </w:r>
          </w:p>
        </w:tc>
        <w:tc>
          <w:tcPr>
            <w:tcW w:w="8038" w:type="dxa"/>
            <w:noWrap w:val="0"/>
            <w:vAlign w:val="top"/>
          </w:tcPr>
          <w:p>
            <w:pPr>
              <w:rPr>
                <w:rFonts w:hint="eastAsia" w:ascii="宋体" w:hAnsi="宋体" w:cs="宋体"/>
                <w:sz w:val="24"/>
              </w:rPr>
            </w:pPr>
            <w:r>
              <w:rPr>
                <w:rFonts w:hint="eastAsia" w:ascii="宋体" w:hAnsi="宋体" w:cs="宋体"/>
                <w:sz w:val="24"/>
              </w:rPr>
              <w:t>1、具有内镜专用氩气凝血模式，该模式的氩气流量范围≤</w:t>
            </w:r>
            <w:r>
              <w:rPr>
                <w:rFonts w:ascii="宋体" w:hAnsi="宋体" w:cs="宋体"/>
                <w:sz w:val="24"/>
              </w:rPr>
              <w:t>2</w:t>
            </w:r>
            <w:r>
              <w:rPr>
                <w:rFonts w:hint="eastAsia" w:ascii="宋体" w:hAnsi="宋体" w:cs="宋体"/>
                <w:sz w:val="24"/>
              </w:rPr>
              <w:t>.</w:t>
            </w:r>
            <w:r>
              <w:rPr>
                <w:rFonts w:ascii="宋体" w:hAnsi="宋体" w:cs="宋体"/>
                <w:sz w:val="24"/>
              </w:rPr>
              <w:t>4L/min</w:t>
            </w:r>
            <w:r>
              <w:rPr>
                <w:rFonts w:hint="eastAsia" w:ascii="宋体" w:hAnsi="宋体" w:cs="宋体"/>
                <w:sz w:val="24"/>
              </w:rPr>
              <w:t>，并且可以</w:t>
            </w:r>
            <w:r>
              <w:rPr>
                <w:rFonts w:ascii="宋体" w:hAnsi="宋体" w:cs="宋体"/>
                <w:sz w:val="24"/>
              </w:rPr>
              <w:t>0.1L/min</w:t>
            </w:r>
            <w:r>
              <w:rPr>
                <w:rFonts w:hint="eastAsia" w:ascii="宋体" w:hAnsi="宋体" w:cs="宋体"/>
                <w:sz w:val="24"/>
              </w:rPr>
              <w:t>进行微调。</w:t>
            </w:r>
          </w:p>
          <w:p>
            <w:pPr>
              <w:rPr>
                <w:rFonts w:hint="eastAsia" w:ascii="宋体" w:hAnsi="宋体" w:cs="宋体"/>
                <w:sz w:val="24"/>
              </w:rPr>
            </w:pPr>
            <w:r>
              <w:rPr>
                <w:rFonts w:hint="eastAsia" w:ascii="宋体" w:hAnsi="宋体" w:cs="宋体"/>
                <w:sz w:val="24"/>
              </w:rPr>
              <w:t>2、★具有强力,脉冲，精细三种氩气电凝模式，峰值电压4300V满足各种消化内镜下治疗需求，电凝深度可控制在1－3mm以内。</w:t>
            </w:r>
          </w:p>
          <w:p>
            <w:pPr>
              <w:rPr>
                <w:rFonts w:ascii="宋体" w:hAnsi="宋体" w:cs="宋体"/>
                <w:sz w:val="24"/>
              </w:rPr>
            </w:pPr>
            <w:r>
              <w:rPr>
                <w:rFonts w:hint="eastAsia" w:ascii="宋体" w:hAnsi="宋体" w:cs="宋体"/>
                <w:sz w:val="24"/>
              </w:rPr>
              <w:t>3、具有自动和手动冲洗电极功能。</w:t>
            </w:r>
          </w:p>
          <w:p>
            <w:pPr>
              <w:rPr>
                <w:rFonts w:hint="eastAsia" w:ascii="宋体" w:hAnsi="宋体" w:cs="宋体"/>
                <w:sz w:val="24"/>
              </w:rPr>
            </w:pPr>
            <w:r>
              <w:rPr>
                <w:rFonts w:hint="eastAsia" w:ascii="宋体" w:hAnsi="宋体" w:cs="宋体"/>
                <w:sz w:val="24"/>
              </w:rPr>
              <w:t>4、具有器械自动识别，即插即用，氩气电极末端气体压力恒定。</w:t>
            </w:r>
          </w:p>
          <w:p>
            <w:pPr>
              <w:rPr>
                <w:rFonts w:hint="eastAsia" w:ascii="宋体" w:hAnsi="宋体" w:cs="宋体"/>
                <w:sz w:val="24"/>
              </w:rPr>
            </w:pPr>
            <w:r>
              <w:rPr>
                <w:rFonts w:hint="eastAsia" w:ascii="宋体" w:hAnsi="宋体" w:cs="宋体"/>
                <w:sz w:val="24"/>
              </w:rPr>
              <w:t>5、必须具有直喷、环喷、侧喷等胃肠镜下多种氩气凝血电极可选。</w:t>
            </w:r>
          </w:p>
          <w:p>
            <w:pPr>
              <w:rPr>
                <w:rFonts w:hint="eastAsia" w:ascii="宋体" w:hAnsi="宋体" w:cs="宋体"/>
                <w:sz w:val="24"/>
              </w:rPr>
            </w:pPr>
            <w:r>
              <w:rPr>
                <w:rFonts w:hint="eastAsia" w:ascii="宋体" w:hAnsi="宋体" w:cs="宋体"/>
                <w:sz w:val="24"/>
              </w:rPr>
              <w:t>6、氩气电极末端具有5段色环标记，方便测量和保护镜子</w:t>
            </w:r>
          </w:p>
        </w:tc>
      </w:tr>
    </w:tbl>
    <w:p>
      <w:pPr>
        <w:ind w:firstLine="480" w:firstLineChars="200"/>
        <w:rPr>
          <w:rFonts w:ascii="宋体" w:hAnsi="宋体" w:cs="宋体"/>
          <w:sz w:val="24"/>
        </w:rPr>
      </w:pPr>
      <w:r>
        <w:rPr>
          <w:rFonts w:hint="eastAsia" w:ascii="宋体" w:hAnsi="宋体" w:cs="宋体"/>
          <w:sz w:val="24"/>
        </w:rPr>
        <w:t>注：加★要求必须满足</w:t>
      </w:r>
    </w:p>
    <w:p>
      <w:pPr>
        <w:rPr>
          <w:rFonts w:ascii="宋体" w:hAnsi="宋体" w:cs="宋体"/>
          <w:sz w:val="24"/>
        </w:rPr>
      </w:pPr>
    </w:p>
    <w:p>
      <w:pPr>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rPr>
          <w:rFonts w:hint="eastAsia" w:ascii="宋体" w:hAnsi="宋体" w:cs="宋体"/>
          <w:sz w:val="24"/>
        </w:rPr>
      </w:pPr>
    </w:p>
    <w:p>
      <w:pPr>
        <w:ind w:firstLine="720" w:firstLineChars="300"/>
        <w:rPr>
          <w:rFonts w:ascii="宋体" w:hAnsi="宋体" w:cs="宋体"/>
          <w:sz w:val="24"/>
        </w:rPr>
      </w:pPr>
      <w:r>
        <w:rPr>
          <w:rFonts w:hint="eastAsia" w:ascii="宋体" w:hAnsi="宋体" w:cs="宋体"/>
          <w:sz w:val="24"/>
        </w:rPr>
        <w:t>配置清单：</w:t>
      </w:r>
    </w:p>
    <w:tbl>
      <w:tblPr>
        <w:tblStyle w:val="16"/>
        <w:tblW w:w="4998" w:type="pct"/>
        <w:tblInd w:w="0" w:type="dxa"/>
        <w:tblLayout w:type="autofit"/>
        <w:tblCellMar>
          <w:top w:w="0" w:type="dxa"/>
          <w:left w:w="108" w:type="dxa"/>
          <w:bottom w:w="0" w:type="dxa"/>
          <w:right w:w="108" w:type="dxa"/>
        </w:tblCellMar>
      </w:tblPr>
      <w:tblGrid>
        <w:gridCol w:w="1612"/>
        <w:gridCol w:w="5164"/>
        <w:gridCol w:w="1837"/>
      </w:tblGrid>
      <w:tr>
        <w:tblPrEx>
          <w:tblCellMar>
            <w:top w:w="0" w:type="dxa"/>
            <w:left w:w="108" w:type="dxa"/>
            <w:bottom w:w="0" w:type="dxa"/>
            <w:right w:w="108" w:type="dxa"/>
          </w:tblCellMar>
        </w:tblPrEx>
        <w:trPr>
          <w:trHeight w:val="528" w:hRule="atLeast"/>
        </w:trPr>
        <w:tc>
          <w:tcPr>
            <w:tcW w:w="936" w:type="pct"/>
            <w:tcBorders>
              <w:top w:val="single" w:color="auto" w:sz="8" w:space="0"/>
              <w:left w:val="single" w:color="auto" w:sz="8" w:space="0"/>
              <w:bottom w:val="single" w:color="auto" w:sz="8" w:space="0"/>
              <w:right w:val="single" w:color="auto" w:sz="8" w:space="0"/>
            </w:tcBorders>
            <w:shd w:val="clear" w:color="auto" w:fill="auto"/>
            <w:noWrap/>
            <w:vAlign w:val="center"/>
          </w:tcPr>
          <w:p>
            <w:pPr>
              <w:rPr>
                <w:rFonts w:ascii="宋体" w:hAnsi="宋体" w:cs="宋体"/>
                <w:sz w:val="24"/>
              </w:rPr>
            </w:pPr>
            <w:r>
              <w:rPr>
                <w:rFonts w:hint="eastAsia" w:ascii="宋体" w:hAnsi="宋体" w:cs="宋体"/>
                <w:sz w:val="24"/>
              </w:rPr>
              <w:t>序 号</w:t>
            </w:r>
          </w:p>
        </w:tc>
        <w:tc>
          <w:tcPr>
            <w:tcW w:w="2997" w:type="pct"/>
            <w:tcBorders>
              <w:top w:val="single" w:color="auto" w:sz="8" w:space="0"/>
              <w:left w:val="nil"/>
              <w:bottom w:val="single" w:color="auto" w:sz="8" w:space="0"/>
              <w:right w:val="single" w:color="auto" w:sz="8" w:space="0"/>
            </w:tcBorders>
            <w:shd w:val="clear" w:color="auto" w:fill="auto"/>
            <w:noWrap/>
            <w:vAlign w:val="center"/>
          </w:tcPr>
          <w:p>
            <w:pPr>
              <w:rPr>
                <w:rFonts w:hint="eastAsia" w:ascii="宋体" w:hAnsi="宋体" w:cs="宋体"/>
                <w:sz w:val="24"/>
              </w:rPr>
            </w:pPr>
            <w:r>
              <w:rPr>
                <w:rFonts w:hint="eastAsia" w:ascii="宋体" w:hAnsi="宋体" w:cs="宋体"/>
                <w:sz w:val="24"/>
              </w:rPr>
              <w:t xml:space="preserve">产  品  名  称 </w:t>
            </w:r>
          </w:p>
        </w:tc>
        <w:tc>
          <w:tcPr>
            <w:tcW w:w="1066" w:type="pct"/>
            <w:tcBorders>
              <w:top w:val="single" w:color="auto" w:sz="8" w:space="0"/>
              <w:left w:val="nil"/>
              <w:bottom w:val="single" w:color="auto" w:sz="8" w:space="0"/>
              <w:right w:val="single" w:color="auto" w:sz="8" w:space="0"/>
            </w:tcBorders>
            <w:shd w:val="clear" w:color="auto" w:fill="auto"/>
            <w:noWrap/>
            <w:vAlign w:val="center"/>
          </w:tcPr>
          <w:p>
            <w:pPr>
              <w:rPr>
                <w:rFonts w:hint="eastAsia" w:ascii="宋体" w:hAnsi="宋体" w:cs="宋体"/>
                <w:sz w:val="24"/>
              </w:rPr>
            </w:pPr>
            <w:r>
              <w:rPr>
                <w:rFonts w:hint="eastAsia" w:ascii="宋体" w:hAnsi="宋体" w:cs="宋体"/>
                <w:sz w:val="24"/>
              </w:rPr>
              <w:t>数 量</w:t>
            </w:r>
          </w:p>
        </w:tc>
      </w:tr>
      <w:tr>
        <w:tblPrEx>
          <w:tblCellMar>
            <w:top w:w="0" w:type="dxa"/>
            <w:left w:w="108" w:type="dxa"/>
            <w:bottom w:w="0" w:type="dxa"/>
            <w:right w:w="108" w:type="dxa"/>
          </w:tblCellMar>
        </w:tblPrEx>
        <w:trPr>
          <w:trHeight w:val="837" w:hRule="atLeast"/>
        </w:trPr>
        <w:tc>
          <w:tcPr>
            <w:tcW w:w="936" w:type="pct"/>
            <w:tcBorders>
              <w:top w:val="nil"/>
              <w:left w:val="single" w:color="auto" w:sz="8" w:space="0"/>
              <w:bottom w:val="single" w:color="auto" w:sz="8" w:space="0"/>
              <w:right w:val="single" w:color="auto" w:sz="8" w:space="0"/>
            </w:tcBorders>
            <w:shd w:val="clear" w:color="auto" w:fill="auto"/>
            <w:noWrap w:val="0"/>
            <w:vAlign w:val="center"/>
          </w:tcPr>
          <w:p>
            <w:pPr>
              <w:rPr>
                <w:rFonts w:hint="eastAsia" w:ascii="宋体" w:hAnsi="宋体" w:cs="宋体"/>
                <w:sz w:val="24"/>
              </w:rPr>
            </w:pPr>
            <w:r>
              <w:rPr>
                <w:rFonts w:ascii="宋体" w:hAnsi="宋体" w:cs="宋体"/>
                <w:sz w:val="24"/>
              </w:rPr>
              <w:t>1</w:t>
            </w:r>
          </w:p>
        </w:tc>
        <w:tc>
          <w:tcPr>
            <w:tcW w:w="2997" w:type="pct"/>
            <w:tcBorders>
              <w:top w:val="nil"/>
              <w:left w:val="nil"/>
              <w:bottom w:val="single" w:color="auto" w:sz="8" w:space="0"/>
              <w:right w:val="single" w:color="auto" w:sz="8" w:space="0"/>
            </w:tcBorders>
            <w:shd w:val="clear" w:color="auto" w:fill="auto"/>
            <w:noWrap w:val="0"/>
            <w:vAlign w:val="center"/>
          </w:tcPr>
          <w:p>
            <w:pPr>
              <w:rPr>
                <w:rFonts w:ascii="宋体" w:hAnsi="宋体" w:cs="宋体"/>
                <w:sz w:val="24"/>
              </w:rPr>
            </w:pPr>
            <w:r>
              <w:rPr>
                <w:rFonts w:ascii="宋体" w:hAnsi="宋体" w:cs="宋体"/>
                <w:sz w:val="24"/>
              </w:rPr>
              <w:t>ERBE VIO200D</w:t>
            </w:r>
            <w:r>
              <w:rPr>
                <w:rFonts w:hint="eastAsia" w:ascii="宋体" w:hAnsi="宋体" w:cs="宋体"/>
                <w:sz w:val="24"/>
              </w:rPr>
              <w:t>（含台车及固定件、内含</w:t>
            </w:r>
            <w:r>
              <w:rPr>
                <w:rFonts w:ascii="宋体" w:hAnsi="宋体" w:cs="宋体"/>
                <w:sz w:val="24"/>
              </w:rPr>
              <w:t>ENDO CUT IQ</w:t>
            </w:r>
            <w:r>
              <w:rPr>
                <w:rFonts w:hint="eastAsia" w:ascii="宋体" w:hAnsi="宋体" w:cs="宋体"/>
                <w:sz w:val="24"/>
              </w:rPr>
              <w:t>内镜电切功能软件）</w:t>
            </w:r>
          </w:p>
        </w:tc>
        <w:tc>
          <w:tcPr>
            <w:tcW w:w="1066" w:type="pct"/>
            <w:tcBorders>
              <w:top w:val="nil"/>
              <w:left w:val="nil"/>
              <w:bottom w:val="single" w:color="auto" w:sz="8" w:space="0"/>
              <w:right w:val="single" w:color="auto" w:sz="8" w:space="0"/>
            </w:tcBorders>
            <w:shd w:val="clear" w:color="auto" w:fill="auto"/>
            <w:noWrap w:val="0"/>
            <w:vAlign w:val="center"/>
          </w:tcPr>
          <w:p>
            <w:pPr>
              <w:rPr>
                <w:rFonts w:ascii="宋体" w:hAnsi="宋体" w:cs="宋体"/>
                <w:sz w:val="24"/>
              </w:rPr>
            </w:pPr>
            <w:r>
              <w:rPr>
                <w:rFonts w:ascii="宋体" w:hAnsi="宋体" w:cs="宋体"/>
                <w:sz w:val="24"/>
              </w:rPr>
              <w:t>1</w:t>
            </w:r>
            <w:r>
              <w:rPr>
                <w:rFonts w:hint="eastAsia" w:ascii="宋体" w:hAnsi="宋体" w:cs="宋体"/>
                <w:sz w:val="24"/>
              </w:rPr>
              <w:t>台</w:t>
            </w:r>
          </w:p>
        </w:tc>
      </w:tr>
      <w:tr>
        <w:tblPrEx>
          <w:tblCellMar>
            <w:top w:w="0" w:type="dxa"/>
            <w:left w:w="108" w:type="dxa"/>
            <w:bottom w:w="0" w:type="dxa"/>
            <w:right w:w="108" w:type="dxa"/>
          </w:tblCellMar>
        </w:tblPrEx>
        <w:trPr>
          <w:trHeight w:val="409" w:hRule="atLeast"/>
        </w:trPr>
        <w:tc>
          <w:tcPr>
            <w:tcW w:w="936" w:type="pct"/>
            <w:tcBorders>
              <w:top w:val="nil"/>
              <w:left w:val="single" w:color="auto" w:sz="8" w:space="0"/>
              <w:bottom w:val="single" w:color="auto" w:sz="8" w:space="0"/>
              <w:right w:val="single" w:color="auto" w:sz="8" w:space="0"/>
            </w:tcBorders>
            <w:shd w:val="clear" w:color="auto" w:fill="auto"/>
            <w:noWrap w:val="0"/>
            <w:vAlign w:val="center"/>
          </w:tcPr>
          <w:p>
            <w:pPr>
              <w:rPr>
                <w:rFonts w:ascii="宋体" w:hAnsi="宋体" w:cs="宋体"/>
                <w:sz w:val="24"/>
              </w:rPr>
            </w:pPr>
            <w:r>
              <w:rPr>
                <w:rFonts w:ascii="宋体" w:hAnsi="宋体" w:cs="宋体"/>
                <w:sz w:val="24"/>
              </w:rPr>
              <w:t>2</w:t>
            </w:r>
          </w:p>
        </w:tc>
        <w:tc>
          <w:tcPr>
            <w:tcW w:w="2997" w:type="pct"/>
            <w:tcBorders>
              <w:top w:val="nil"/>
              <w:left w:val="nil"/>
              <w:bottom w:val="single" w:color="auto" w:sz="8" w:space="0"/>
              <w:right w:val="single" w:color="auto" w:sz="8" w:space="0"/>
            </w:tcBorders>
            <w:shd w:val="clear" w:color="auto" w:fill="auto"/>
            <w:noWrap w:val="0"/>
            <w:vAlign w:val="center"/>
          </w:tcPr>
          <w:p>
            <w:pPr>
              <w:rPr>
                <w:rFonts w:ascii="宋体" w:hAnsi="宋体" w:cs="宋体"/>
                <w:sz w:val="24"/>
              </w:rPr>
            </w:pPr>
            <w:r>
              <w:rPr>
                <w:rFonts w:ascii="宋体" w:hAnsi="宋体" w:cs="宋体"/>
                <w:sz w:val="24"/>
              </w:rPr>
              <w:t>VIO</w:t>
            </w:r>
            <w:r>
              <w:rPr>
                <w:rFonts w:hint="eastAsia" w:ascii="宋体" w:hAnsi="宋体" w:cs="宋体"/>
                <w:sz w:val="24"/>
              </w:rPr>
              <w:t>双脚踏开关</w:t>
            </w:r>
          </w:p>
        </w:tc>
        <w:tc>
          <w:tcPr>
            <w:tcW w:w="1066" w:type="pct"/>
            <w:tcBorders>
              <w:top w:val="nil"/>
              <w:left w:val="nil"/>
              <w:bottom w:val="single" w:color="auto" w:sz="8" w:space="0"/>
              <w:right w:val="single" w:color="auto" w:sz="8" w:space="0"/>
            </w:tcBorders>
            <w:shd w:val="clear" w:color="auto" w:fill="auto"/>
            <w:noWrap w:val="0"/>
            <w:vAlign w:val="center"/>
          </w:tcPr>
          <w:p>
            <w:pPr>
              <w:rPr>
                <w:rFonts w:ascii="宋体" w:hAnsi="宋体" w:cs="宋体"/>
                <w:sz w:val="24"/>
              </w:rPr>
            </w:pPr>
            <w:r>
              <w:rPr>
                <w:rFonts w:ascii="宋体" w:hAnsi="宋体" w:cs="宋体"/>
                <w:sz w:val="24"/>
              </w:rPr>
              <w:t>1</w:t>
            </w:r>
            <w:r>
              <w:rPr>
                <w:rFonts w:hint="eastAsia" w:ascii="宋体" w:hAnsi="宋体" w:cs="宋体"/>
                <w:sz w:val="24"/>
              </w:rPr>
              <w:t>个</w:t>
            </w:r>
          </w:p>
        </w:tc>
      </w:tr>
      <w:tr>
        <w:tblPrEx>
          <w:tblCellMar>
            <w:top w:w="0" w:type="dxa"/>
            <w:left w:w="108" w:type="dxa"/>
            <w:bottom w:w="0" w:type="dxa"/>
            <w:right w:w="108" w:type="dxa"/>
          </w:tblCellMar>
        </w:tblPrEx>
        <w:trPr>
          <w:trHeight w:val="491" w:hRule="atLeast"/>
        </w:trPr>
        <w:tc>
          <w:tcPr>
            <w:tcW w:w="936" w:type="pct"/>
            <w:tcBorders>
              <w:top w:val="nil"/>
              <w:left w:val="single" w:color="auto" w:sz="8" w:space="0"/>
              <w:bottom w:val="single" w:color="auto" w:sz="8" w:space="0"/>
              <w:right w:val="single" w:color="auto" w:sz="8" w:space="0"/>
            </w:tcBorders>
            <w:shd w:val="clear" w:color="auto" w:fill="auto"/>
            <w:noWrap w:val="0"/>
            <w:vAlign w:val="center"/>
          </w:tcPr>
          <w:p>
            <w:pPr>
              <w:rPr>
                <w:rFonts w:ascii="宋体" w:hAnsi="宋体" w:cs="宋体"/>
                <w:sz w:val="24"/>
              </w:rPr>
            </w:pPr>
            <w:r>
              <w:rPr>
                <w:rFonts w:ascii="宋体" w:hAnsi="宋体" w:cs="宋体"/>
                <w:sz w:val="24"/>
              </w:rPr>
              <w:t>3</w:t>
            </w:r>
          </w:p>
        </w:tc>
        <w:tc>
          <w:tcPr>
            <w:tcW w:w="2997" w:type="pct"/>
            <w:tcBorders>
              <w:top w:val="nil"/>
              <w:left w:val="nil"/>
              <w:bottom w:val="single" w:color="auto" w:sz="8" w:space="0"/>
              <w:right w:val="single" w:color="auto" w:sz="8" w:space="0"/>
            </w:tcBorders>
            <w:shd w:val="clear" w:color="auto" w:fill="auto"/>
            <w:noWrap w:val="0"/>
            <w:vAlign w:val="center"/>
          </w:tcPr>
          <w:p>
            <w:pPr>
              <w:rPr>
                <w:rFonts w:ascii="宋体" w:hAnsi="宋体" w:cs="宋体"/>
                <w:sz w:val="24"/>
              </w:rPr>
            </w:pPr>
            <w:r>
              <w:rPr>
                <w:rFonts w:hint="eastAsia" w:ascii="宋体" w:hAnsi="宋体" w:cs="宋体"/>
                <w:sz w:val="24"/>
              </w:rPr>
              <w:t>新型分片一次性电极板</w:t>
            </w:r>
          </w:p>
        </w:tc>
        <w:tc>
          <w:tcPr>
            <w:tcW w:w="1066" w:type="pct"/>
            <w:tcBorders>
              <w:top w:val="nil"/>
              <w:left w:val="nil"/>
              <w:bottom w:val="single" w:color="auto" w:sz="8" w:space="0"/>
              <w:right w:val="single" w:color="auto" w:sz="8" w:space="0"/>
            </w:tcBorders>
            <w:shd w:val="clear" w:color="auto" w:fill="auto"/>
            <w:noWrap w:val="0"/>
            <w:vAlign w:val="center"/>
          </w:tcPr>
          <w:p>
            <w:pPr>
              <w:rPr>
                <w:rFonts w:hint="eastAsia" w:ascii="宋体" w:hAnsi="宋体" w:cs="宋体"/>
                <w:sz w:val="24"/>
              </w:rPr>
            </w:pPr>
            <w:r>
              <w:rPr>
                <w:rFonts w:ascii="宋体" w:hAnsi="宋体" w:cs="宋体"/>
                <w:sz w:val="24"/>
              </w:rPr>
              <w:t>50</w:t>
            </w:r>
            <w:r>
              <w:rPr>
                <w:rFonts w:hint="eastAsia" w:ascii="宋体" w:hAnsi="宋体" w:cs="宋体"/>
                <w:sz w:val="24"/>
              </w:rPr>
              <w:t>片</w:t>
            </w:r>
          </w:p>
        </w:tc>
      </w:tr>
      <w:tr>
        <w:tblPrEx>
          <w:tblCellMar>
            <w:top w:w="0" w:type="dxa"/>
            <w:left w:w="108" w:type="dxa"/>
            <w:bottom w:w="0" w:type="dxa"/>
            <w:right w:w="108" w:type="dxa"/>
          </w:tblCellMar>
        </w:tblPrEx>
        <w:trPr>
          <w:trHeight w:val="587" w:hRule="atLeast"/>
        </w:trPr>
        <w:tc>
          <w:tcPr>
            <w:tcW w:w="936" w:type="pct"/>
            <w:tcBorders>
              <w:top w:val="nil"/>
              <w:left w:val="single" w:color="auto" w:sz="8" w:space="0"/>
              <w:bottom w:val="single" w:color="auto" w:sz="8" w:space="0"/>
              <w:right w:val="single" w:color="auto" w:sz="8" w:space="0"/>
            </w:tcBorders>
            <w:shd w:val="clear" w:color="auto" w:fill="auto"/>
            <w:noWrap w:val="0"/>
            <w:vAlign w:val="center"/>
          </w:tcPr>
          <w:p>
            <w:pPr>
              <w:rPr>
                <w:rFonts w:ascii="宋体" w:hAnsi="宋体" w:cs="宋体"/>
                <w:sz w:val="24"/>
              </w:rPr>
            </w:pPr>
            <w:r>
              <w:rPr>
                <w:rFonts w:ascii="宋体" w:hAnsi="宋体" w:cs="宋体"/>
                <w:sz w:val="24"/>
              </w:rPr>
              <w:t>4</w:t>
            </w:r>
          </w:p>
        </w:tc>
        <w:tc>
          <w:tcPr>
            <w:tcW w:w="2997" w:type="pct"/>
            <w:tcBorders>
              <w:top w:val="nil"/>
              <w:left w:val="nil"/>
              <w:bottom w:val="single" w:color="auto" w:sz="8" w:space="0"/>
              <w:right w:val="single" w:color="auto" w:sz="8" w:space="0"/>
            </w:tcBorders>
            <w:shd w:val="clear" w:color="auto" w:fill="auto"/>
            <w:noWrap w:val="0"/>
            <w:vAlign w:val="center"/>
          </w:tcPr>
          <w:p>
            <w:pPr>
              <w:rPr>
                <w:rFonts w:ascii="宋体" w:hAnsi="宋体" w:cs="宋体"/>
                <w:sz w:val="24"/>
              </w:rPr>
            </w:pPr>
            <w:r>
              <w:rPr>
                <w:rFonts w:ascii="宋体" w:hAnsi="宋体" w:cs="宋体"/>
                <w:sz w:val="24"/>
              </w:rPr>
              <w:t>APC2</w:t>
            </w:r>
            <w:r>
              <w:rPr>
                <w:rFonts w:hint="eastAsia" w:ascii="宋体" w:hAnsi="宋体" w:cs="宋体"/>
                <w:sz w:val="24"/>
              </w:rPr>
              <w:t>氩气凝固器（含减压阀</w:t>
            </w:r>
            <w:r>
              <w:rPr>
                <w:rFonts w:ascii="宋体" w:hAnsi="宋体" w:cs="宋体"/>
                <w:sz w:val="24"/>
              </w:rPr>
              <w:t>1</w:t>
            </w:r>
            <w:r>
              <w:rPr>
                <w:rFonts w:hint="eastAsia" w:ascii="宋体" w:hAnsi="宋体" w:cs="宋体"/>
                <w:sz w:val="24"/>
              </w:rPr>
              <w:t>个、氩气钢瓶</w:t>
            </w:r>
            <w:r>
              <w:rPr>
                <w:rFonts w:ascii="宋体" w:hAnsi="宋体" w:cs="宋体"/>
                <w:sz w:val="24"/>
              </w:rPr>
              <w:t>1</w:t>
            </w:r>
            <w:r>
              <w:rPr>
                <w:rFonts w:hint="eastAsia" w:ascii="宋体" w:hAnsi="宋体" w:cs="宋体"/>
                <w:sz w:val="24"/>
              </w:rPr>
              <w:t>个及固定件）</w:t>
            </w:r>
          </w:p>
        </w:tc>
        <w:tc>
          <w:tcPr>
            <w:tcW w:w="1066" w:type="pct"/>
            <w:tcBorders>
              <w:top w:val="nil"/>
              <w:left w:val="nil"/>
              <w:bottom w:val="single" w:color="auto" w:sz="8" w:space="0"/>
              <w:right w:val="single" w:color="auto" w:sz="8" w:space="0"/>
            </w:tcBorders>
            <w:shd w:val="clear" w:color="auto" w:fill="auto"/>
            <w:noWrap w:val="0"/>
            <w:vAlign w:val="center"/>
          </w:tcPr>
          <w:p>
            <w:pPr>
              <w:rPr>
                <w:rFonts w:ascii="宋体" w:hAnsi="宋体" w:cs="宋体"/>
                <w:sz w:val="24"/>
              </w:rPr>
            </w:pPr>
            <w:r>
              <w:rPr>
                <w:rFonts w:ascii="宋体" w:hAnsi="宋体" w:cs="宋体"/>
                <w:sz w:val="24"/>
              </w:rPr>
              <w:t>1</w:t>
            </w:r>
            <w:r>
              <w:rPr>
                <w:rFonts w:hint="eastAsia" w:ascii="宋体" w:hAnsi="宋体" w:cs="宋体"/>
                <w:sz w:val="24"/>
              </w:rPr>
              <w:t>套</w:t>
            </w:r>
          </w:p>
        </w:tc>
      </w:tr>
      <w:tr>
        <w:tblPrEx>
          <w:tblCellMar>
            <w:top w:w="0" w:type="dxa"/>
            <w:left w:w="108" w:type="dxa"/>
            <w:bottom w:w="0" w:type="dxa"/>
            <w:right w:w="108" w:type="dxa"/>
          </w:tblCellMar>
        </w:tblPrEx>
        <w:trPr>
          <w:trHeight w:val="389" w:hRule="atLeast"/>
        </w:trPr>
        <w:tc>
          <w:tcPr>
            <w:tcW w:w="936" w:type="pct"/>
            <w:tcBorders>
              <w:top w:val="nil"/>
              <w:left w:val="single" w:color="auto" w:sz="8" w:space="0"/>
              <w:bottom w:val="single" w:color="auto" w:sz="8" w:space="0"/>
              <w:right w:val="single" w:color="auto" w:sz="8" w:space="0"/>
            </w:tcBorders>
            <w:shd w:val="clear" w:color="auto" w:fill="auto"/>
            <w:noWrap w:val="0"/>
            <w:vAlign w:val="center"/>
          </w:tcPr>
          <w:p>
            <w:pPr>
              <w:rPr>
                <w:rFonts w:ascii="宋体" w:hAnsi="宋体" w:cs="宋体"/>
                <w:sz w:val="24"/>
              </w:rPr>
            </w:pPr>
            <w:r>
              <w:rPr>
                <w:rFonts w:ascii="宋体" w:hAnsi="宋体" w:cs="宋体"/>
                <w:sz w:val="24"/>
              </w:rPr>
              <w:t>5</w:t>
            </w:r>
          </w:p>
        </w:tc>
        <w:tc>
          <w:tcPr>
            <w:tcW w:w="2997" w:type="pct"/>
            <w:tcBorders>
              <w:top w:val="nil"/>
              <w:left w:val="nil"/>
              <w:bottom w:val="single" w:color="auto" w:sz="8" w:space="0"/>
              <w:right w:val="single" w:color="auto" w:sz="8" w:space="0"/>
            </w:tcBorders>
            <w:shd w:val="clear" w:color="auto" w:fill="auto"/>
            <w:noWrap w:val="0"/>
            <w:vAlign w:val="center"/>
          </w:tcPr>
          <w:p>
            <w:pPr>
              <w:rPr>
                <w:rFonts w:ascii="宋体" w:hAnsi="宋体" w:cs="宋体"/>
                <w:sz w:val="24"/>
              </w:rPr>
            </w:pPr>
            <w:r>
              <w:rPr>
                <w:rFonts w:hint="eastAsia" w:ascii="宋体" w:hAnsi="宋体" w:cs="宋体"/>
                <w:sz w:val="24"/>
              </w:rPr>
              <w:t>氩气电极连接手柄</w:t>
            </w:r>
          </w:p>
        </w:tc>
        <w:tc>
          <w:tcPr>
            <w:tcW w:w="1066" w:type="pct"/>
            <w:tcBorders>
              <w:top w:val="nil"/>
              <w:left w:val="nil"/>
              <w:bottom w:val="single" w:color="auto" w:sz="8" w:space="0"/>
              <w:right w:val="single" w:color="auto" w:sz="8" w:space="0"/>
            </w:tcBorders>
            <w:shd w:val="clear" w:color="auto" w:fill="auto"/>
            <w:noWrap w:val="0"/>
            <w:vAlign w:val="center"/>
          </w:tcPr>
          <w:p>
            <w:pPr>
              <w:rPr>
                <w:rFonts w:ascii="宋体" w:hAnsi="宋体" w:cs="宋体"/>
                <w:sz w:val="24"/>
              </w:rPr>
            </w:pPr>
            <w:r>
              <w:rPr>
                <w:rFonts w:ascii="宋体" w:hAnsi="宋体" w:cs="宋体"/>
                <w:sz w:val="24"/>
              </w:rPr>
              <w:t>1</w:t>
            </w:r>
            <w:r>
              <w:rPr>
                <w:rFonts w:hint="eastAsia" w:ascii="宋体" w:hAnsi="宋体" w:cs="宋体"/>
                <w:sz w:val="24"/>
              </w:rPr>
              <w:t>条</w:t>
            </w:r>
          </w:p>
        </w:tc>
      </w:tr>
      <w:tr>
        <w:tblPrEx>
          <w:tblCellMar>
            <w:top w:w="0" w:type="dxa"/>
            <w:left w:w="108" w:type="dxa"/>
            <w:bottom w:w="0" w:type="dxa"/>
            <w:right w:w="108" w:type="dxa"/>
          </w:tblCellMar>
        </w:tblPrEx>
        <w:trPr>
          <w:trHeight w:val="409" w:hRule="atLeast"/>
        </w:trPr>
        <w:tc>
          <w:tcPr>
            <w:tcW w:w="936" w:type="pct"/>
            <w:tcBorders>
              <w:top w:val="nil"/>
              <w:left w:val="single" w:color="auto" w:sz="8" w:space="0"/>
              <w:bottom w:val="single" w:color="auto" w:sz="8" w:space="0"/>
              <w:right w:val="single" w:color="auto" w:sz="8" w:space="0"/>
            </w:tcBorders>
            <w:shd w:val="clear" w:color="auto" w:fill="auto"/>
            <w:noWrap w:val="0"/>
            <w:vAlign w:val="center"/>
          </w:tcPr>
          <w:p>
            <w:pPr>
              <w:rPr>
                <w:rFonts w:ascii="宋体" w:hAnsi="宋体" w:cs="宋体"/>
                <w:sz w:val="24"/>
              </w:rPr>
            </w:pPr>
            <w:r>
              <w:rPr>
                <w:rFonts w:ascii="宋体" w:hAnsi="宋体" w:cs="宋体"/>
                <w:sz w:val="24"/>
              </w:rPr>
              <w:t>6</w:t>
            </w:r>
          </w:p>
        </w:tc>
        <w:tc>
          <w:tcPr>
            <w:tcW w:w="2997" w:type="pct"/>
            <w:tcBorders>
              <w:top w:val="nil"/>
              <w:left w:val="nil"/>
              <w:bottom w:val="single" w:color="auto" w:sz="8" w:space="0"/>
              <w:right w:val="single" w:color="auto" w:sz="8" w:space="0"/>
            </w:tcBorders>
            <w:shd w:val="clear" w:color="auto" w:fill="auto"/>
            <w:noWrap w:val="0"/>
            <w:vAlign w:val="center"/>
          </w:tcPr>
          <w:p>
            <w:pPr>
              <w:rPr>
                <w:rFonts w:ascii="宋体" w:hAnsi="宋体" w:cs="宋体"/>
                <w:sz w:val="24"/>
              </w:rPr>
            </w:pPr>
            <w:r>
              <w:rPr>
                <w:rFonts w:hint="eastAsia" w:ascii="宋体" w:hAnsi="宋体" w:cs="宋体"/>
                <w:sz w:val="24"/>
              </w:rPr>
              <w:t>氩气电极，长</w:t>
            </w:r>
            <w:r>
              <w:rPr>
                <w:rFonts w:ascii="宋体" w:hAnsi="宋体" w:cs="宋体"/>
                <w:sz w:val="24"/>
              </w:rPr>
              <w:t>2.2m</w:t>
            </w:r>
            <w:r>
              <w:rPr>
                <w:rFonts w:hint="eastAsia" w:ascii="宋体" w:hAnsi="宋体" w:cs="宋体"/>
                <w:sz w:val="24"/>
              </w:rPr>
              <w:t>，管径</w:t>
            </w:r>
            <w:r>
              <w:rPr>
                <w:rFonts w:ascii="宋体" w:hAnsi="宋体" w:cs="宋体"/>
                <w:sz w:val="24"/>
              </w:rPr>
              <w:t>2.3mm</w:t>
            </w:r>
          </w:p>
        </w:tc>
        <w:tc>
          <w:tcPr>
            <w:tcW w:w="1066" w:type="pct"/>
            <w:tcBorders>
              <w:top w:val="nil"/>
              <w:left w:val="nil"/>
              <w:bottom w:val="single" w:color="auto" w:sz="8" w:space="0"/>
              <w:right w:val="single" w:color="auto" w:sz="8" w:space="0"/>
            </w:tcBorders>
            <w:shd w:val="clear" w:color="auto" w:fill="auto"/>
            <w:noWrap w:val="0"/>
            <w:vAlign w:val="center"/>
          </w:tcPr>
          <w:p>
            <w:pPr>
              <w:rPr>
                <w:rFonts w:ascii="宋体" w:hAnsi="宋体" w:cs="宋体"/>
                <w:sz w:val="24"/>
              </w:rPr>
            </w:pPr>
            <w:r>
              <w:rPr>
                <w:rFonts w:ascii="宋体" w:hAnsi="宋体" w:cs="宋体"/>
                <w:sz w:val="24"/>
              </w:rPr>
              <w:t>4</w:t>
            </w:r>
            <w:r>
              <w:rPr>
                <w:rFonts w:hint="eastAsia" w:ascii="宋体" w:hAnsi="宋体" w:cs="宋体"/>
                <w:sz w:val="24"/>
              </w:rPr>
              <w:t>条</w:t>
            </w:r>
          </w:p>
        </w:tc>
      </w:tr>
      <w:tr>
        <w:tblPrEx>
          <w:tblCellMar>
            <w:top w:w="0" w:type="dxa"/>
            <w:left w:w="108" w:type="dxa"/>
            <w:bottom w:w="0" w:type="dxa"/>
            <w:right w:w="108" w:type="dxa"/>
          </w:tblCellMar>
        </w:tblPrEx>
        <w:trPr>
          <w:trHeight w:val="401" w:hRule="atLeast"/>
        </w:trPr>
        <w:tc>
          <w:tcPr>
            <w:tcW w:w="936" w:type="pct"/>
            <w:tcBorders>
              <w:top w:val="nil"/>
              <w:left w:val="single" w:color="auto" w:sz="8" w:space="0"/>
              <w:bottom w:val="single" w:color="auto" w:sz="8" w:space="0"/>
              <w:right w:val="single" w:color="auto" w:sz="8" w:space="0"/>
            </w:tcBorders>
            <w:shd w:val="clear" w:color="auto" w:fill="auto"/>
            <w:noWrap w:val="0"/>
            <w:vAlign w:val="center"/>
          </w:tcPr>
          <w:p>
            <w:pPr>
              <w:rPr>
                <w:rFonts w:ascii="宋体" w:hAnsi="宋体" w:cs="宋体"/>
                <w:sz w:val="24"/>
              </w:rPr>
            </w:pPr>
            <w:r>
              <w:rPr>
                <w:rFonts w:ascii="宋体" w:hAnsi="宋体" w:cs="宋体"/>
                <w:sz w:val="24"/>
              </w:rPr>
              <w:t>7</w:t>
            </w:r>
          </w:p>
        </w:tc>
        <w:tc>
          <w:tcPr>
            <w:tcW w:w="2997" w:type="pct"/>
            <w:tcBorders>
              <w:top w:val="nil"/>
              <w:left w:val="nil"/>
              <w:bottom w:val="single" w:color="auto" w:sz="8" w:space="0"/>
              <w:right w:val="single" w:color="auto" w:sz="8" w:space="0"/>
            </w:tcBorders>
            <w:shd w:val="clear" w:color="auto" w:fill="auto"/>
            <w:noWrap w:val="0"/>
            <w:vAlign w:val="center"/>
          </w:tcPr>
          <w:p>
            <w:pPr>
              <w:rPr>
                <w:rFonts w:ascii="宋体" w:hAnsi="宋体" w:cs="宋体"/>
                <w:sz w:val="24"/>
              </w:rPr>
            </w:pPr>
            <w:r>
              <w:rPr>
                <w:rFonts w:hint="eastAsia" w:ascii="宋体" w:hAnsi="宋体" w:cs="宋体"/>
                <w:sz w:val="24"/>
              </w:rPr>
              <w:t>环喷氩气电极，长</w:t>
            </w:r>
            <w:r>
              <w:rPr>
                <w:rFonts w:ascii="宋体" w:hAnsi="宋体" w:cs="宋体"/>
                <w:sz w:val="24"/>
              </w:rPr>
              <w:t>2.2m</w:t>
            </w:r>
            <w:r>
              <w:rPr>
                <w:rFonts w:hint="eastAsia" w:ascii="宋体" w:hAnsi="宋体" w:cs="宋体"/>
                <w:sz w:val="24"/>
              </w:rPr>
              <w:t>，管径</w:t>
            </w:r>
            <w:r>
              <w:rPr>
                <w:rFonts w:ascii="宋体" w:hAnsi="宋体" w:cs="宋体"/>
                <w:sz w:val="24"/>
              </w:rPr>
              <w:t>2.3mm</w:t>
            </w:r>
          </w:p>
        </w:tc>
        <w:tc>
          <w:tcPr>
            <w:tcW w:w="1066" w:type="pct"/>
            <w:tcBorders>
              <w:top w:val="nil"/>
              <w:left w:val="nil"/>
              <w:bottom w:val="single" w:color="auto" w:sz="8" w:space="0"/>
              <w:right w:val="single" w:color="auto" w:sz="8" w:space="0"/>
            </w:tcBorders>
            <w:shd w:val="clear" w:color="auto" w:fill="auto"/>
            <w:noWrap w:val="0"/>
            <w:vAlign w:val="center"/>
          </w:tcPr>
          <w:p>
            <w:pPr>
              <w:rPr>
                <w:rFonts w:ascii="宋体" w:hAnsi="宋体" w:cs="宋体"/>
                <w:sz w:val="24"/>
              </w:rPr>
            </w:pPr>
            <w:r>
              <w:rPr>
                <w:rFonts w:ascii="宋体" w:hAnsi="宋体" w:cs="宋体"/>
                <w:sz w:val="24"/>
              </w:rPr>
              <w:t>1</w:t>
            </w:r>
            <w:r>
              <w:rPr>
                <w:rFonts w:hint="eastAsia" w:ascii="宋体" w:hAnsi="宋体" w:cs="宋体"/>
                <w:sz w:val="24"/>
              </w:rPr>
              <w:t>条</w:t>
            </w:r>
          </w:p>
        </w:tc>
      </w:tr>
      <w:tr>
        <w:tblPrEx>
          <w:tblCellMar>
            <w:top w:w="0" w:type="dxa"/>
            <w:left w:w="108" w:type="dxa"/>
            <w:bottom w:w="0" w:type="dxa"/>
            <w:right w:w="108" w:type="dxa"/>
          </w:tblCellMar>
        </w:tblPrEx>
        <w:trPr>
          <w:trHeight w:val="408" w:hRule="atLeast"/>
        </w:trPr>
        <w:tc>
          <w:tcPr>
            <w:tcW w:w="936" w:type="pct"/>
            <w:tcBorders>
              <w:top w:val="nil"/>
              <w:left w:val="single" w:color="auto" w:sz="8" w:space="0"/>
              <w:bottom w:val="single" w:color="auto" w:sz="8" w:space="0"/>
              <w:right w:val="single" w:color="auto" w:sz="8" w:space="0"/>
            </w:tcBorders>
            <w:shd w:val="clear" w:color="auto" w:fill="auto"/>
            <w:noWrap w:val="0"/>
            <w:vAlign w:val="center"/>
          </w:tcPr>
          <w:p>
            <w:pPr>
              <w:rPr>
                <w:rFonts w:ascii="宋体" w:hAnsi="宋体" w:cs="宋体"/>
                <w:sz w:val="24"/>
              </w:rPr>
            </w:pPr>
            <w:r>
              <w:rPr>
                <w:rFonts w:ascii="宋体" w:hAnsi="宋体" w:cs="宋体"/>
                <w:sz w:val="24"/>
              </w:rPr>
              <w:t>8</w:t>
            </w:r>
          </w:p>
        </w:tc>
        <w:tc>
          <w:tcPr>
            <w:tcW w:w="2997" w:type="pct"/>
            <w:tcBorders>
              <w:top w:val="nil"/>
              <w:left w:val="nil"/>
              <w:bottom w:val="single" w:color="auto" w:sz="8" w:space="0"/>
              <w:right w:val="single" w:color="auto" w:sz="8" w:space="0"/>
            </w:tcBorders>
            <w:shd w:val="clear" w:color="auto" w:fill="auto"/>
            <w:noWrap w:val="0"/>
            <w:vAlign w:val="center"/>
          </w:tcPr>
          <w:p>
            <w:pPr>
              <w:rPr>
                <w:rFonts w:ascii="宋体" w:hAnsi="宋体" w:cs="宋体"/>
                <w:sz w:val="24"/>
              </w:rPr>
            </w:pPr>
            <w:r>
              <w:rPr>
                <w:rFonts w:hint="eastAsia" w:ascii="宋体" w:hAnsi="宋体" w:cs="宋体"/>
                <w:sz w:val="24"/>
              </w:rPr>
              <w:t>氩气电弧检测器</w:t>
            </w:r>
          </w:p>
        </w:tc>
        <w:tc>
          <w:tcPr>
            <w:tcW w:w="1066" w:type="pct"/>
            <w:tcBorders>
              <w:top w:val="nil"/>
              <w:left w:val="nil"/>
              <w:bottom w:val="single" w:color="auto" w:sz="8" w:space="0"/>
              <w:right w:val="single" w:color="auto" w:sz="8" w:space="0"/>
            </w:tcBorders>
            <w:shd w:val="clear" w:color="auto" w:fill="auto"/>
            <w:noWrap w:val="0"/>
            <w:vAlign w:val="center"/>
          </w:tcPr>
          <w:p>
            <w:pPr>
              <w:rPr>
                <w:rFonts w:ascii="宋体" w:hAnsi="宋体" w:cs="宋体"/>
                <w:sz w:val="24"/>
              </w:rPr>
            </w:pPr>
            <w:r>
              <w:rPr>
                <w:rFonts w:ascii="宋体" w:hAnsi="宋体" w:cs="宋体"/>
                <w:sz w:val="24"/>
              </w:rPr>
              <w:t>1</w:t>
            </w:r>
            <w:r>
              <w:rPr>
                <w:rFonts w:hint="eastAsia" w:ascii="宋体" w:hAnsi="宋体" w:cs="宋体"/>
                <w:sz w:val="24"/>
              </w:rPr>
              <w:t>个</w:t>
            </w:r>
          </w:p>
        </w:tc>
      </w:tr>
      <w:tr>
        <w:tblPrEx>
          <w:tblCellMar>
            <w:top w:w="0" w:type="dxa"/>
            <w:left w:w="108" w:type="dxa"/>
            <w:bottom w:w="0" w:type="dxa"/>
            <w:right w:w="108" w:type="dxa"/>
          </w:tblCellMar>
        </w:tblPrEx>
        <w:trPr>
          <w:trHeight w:val="399" w:hRule="atLeast"/>
        </w:trPr>
        <w:tc>
          <w:tcPr>
            <w:tcW w:w="936" w:type="pct"/>
            <w:tcBorders>
              <w:top w:val="nil"/>
              <w:left w:val="single" w:color="auto" w:sz="8" w:space="0"/>
              <w:bottom w:val="single" w:color="auto" w:sz="8" w:space="0"/>
              <w:right w:val="single" w:color="auto" w:sz="8" w:space="0"/>
            </w:tcBorders>
            <w:shd w:val="clear" w:color="auto" w:fill="auto"/>
            <w:noWrap w:val="0"/>
            <w:vAlign w:val="center"/>
          </w:tcPr>
          <w:p>
            <w:pPr>
              <w:rPr>
                <w:rFonts w:ascii="宋体" w:hAnsi="宋体" w:cs="宋体"/>
                <w:sz w:val="24"/>
              </w:rPr>
            </w:pPr>
            <w:r>
              <w:rPr>
                <w:rFonts w:ascii="宋体" w:hAnsi="宋体" w:cs="宋体"/>
                <w:sz w:val="24"/>
              </w:rPr>
              <w:t>9</w:t>
            </w:r>
          </w:p>
        </w:tc>
        <w:tc>
          <w:tcPr>
            <w:tcW w:w="2997" w:type="pct"/>
            <w:tcBorders>
              <w:top w:val="nil"/>
              <w:left w:val="nil"/>
              <w:bottom w:val="single" w:color="auto" w:sz="8" w:space="0"/>
              <w:right w:val="single" w:color="auto" w:sz="8" w:space="0"/>
            </w:tcBorders>
            <w:shd w:val="clear" w:color="auto" w:fill="auto"/>
            <w:noWrap w:val="0"/>
            <w:vAlign w:val="center"/>
          </w:tcPr>
          <w:p>
            <w:pPr>
              <w:rPr>
                <w:rFonts w:ascii="宋体" w:hAnsi="宋体" w:cs="宋体"/>
                <w:sz w:val="24"/>
              </w:rPr>
            </w:pPr>
            <w:r>
              <w:rPr>
                <w:rFonts w:hint="eastAsia" w:ascii="宋体" w:hAnsi="宋体" w:cs="宋体"/>
                <w:sz w:val="24"/>
              </w:rPr>
              <w:t>单极高频</w:t>
            </w:r>
            <w:r>
              <w:rPr>
                <w:rFonts w:ascii="宋体" w:hAnsi="宋体" w:cs="宋体"/>
                <w:sz w:val="24"/>
              </w:rPr>
              <w:t>A</w:t>
            </w:r>
            <w:r>
              <w:rPr>
                <w:rFonts w:hint="eastAsia" w:ascii="宋体" w:hAnsi="宋体" w:cs="宋体"/>
                <w:sz w:val="24"/>
              </w:rPr>
              <w:t>线</w:t>
            </w:r>
          </w:p>
        </w:tc>
        <w:tc>
          <w:tcPr>
            <w:tcW w:w="1066" w:type="pct"/>
            <w:tcBorders>
              <w:top w:val="nil"/>
              <w:left w:val="nil"/>
              <w:bottom w:val="single" w:color="auto" w:sz="8" w:space="0"/>
              <w:right w:val="single" w:color="auto" w:sz="8" w:space="0"/>
            </w:tcBorders>
            <w:shd w:val="clear" w:color="auto" w:fill="auto"/>
            <w:noWrap w:val="0"/>
            <w:vAlign w:val="center"/>
          </w:tcPr>
          <w:p>
            <w:pPr>
              <w:rPr>
                <w:rFonts w:ascii="宋体" w:hAnsi="宋体" w:cs="宋体"/>
                <w:sz w:val="24"/>
              </w:rPr>
            </w:pPr>
            <w:r>
              <w:rPr>
                <w:rFonts w:ascii="宋体" w:hAnsi="宋体" w:cs="宋体"/>
                <w:sz w:val="24"/>
              </w:rPr>
              <w:t>1</w:t>
            </w:r>
            <w:r>
              <w:rPr>
                <w:rFonts w:hint="eastAsia" w:ascii="宋体" w:hAnsi="宋体" w:cs="宋体"/>
                <w:sz w:val="24"/>
              </w:rPr>
              <w:t>条</w:t>
            </w:r>
          </w:p>
        </w:tc>
      </w:tr>
      <w:tr>
        <w:tblPrEx>
          <w:tblCellMar>
            <w:top w:w="0" w:type="dxa"/>
            <w:left w:w="108" w:type="dxa"/>
            <w:bottom w:w="0" w:type="dxa"/>
            <w:right w:w="108" w:type="dxa"/>
          </w:tblCellMar>
        </w:tblPrEx>
        <w:trPr>
          <w:trHeight w:val="405" w:hRule="atLeast"/>
        </w:trPr>
        <w:tc>
          <w:tcPr>
            <w:tcW w:w="936" w:type="pct"/>
            <w:tcBorders>
              <w:top w:val="nil"/>
              <w:left w:val="single" w:color="auto" w:sz="8" w:space="0"/>
              <w:bottom w:val="single" w:color="auto" w:sz="8" w:space="0"/>
              <w:right w:val="single" w:color="auto" w:sz="8" w:space="0"/>
            </w:tcBorders>
            <w:shd w:val="clear" w:color="auto" w:fill="auto"/>
            <w:noWrap w:val="0"/>
            <w:vAlign w:val="center"/>
          </w:tcPr>
          <w:p>
            <w:pPr>
              <w:rPr>
                <w:rFonts w:ascii="宋体" w:hAnsi="宋体" w:cs="宋体"/>
                <w:sz w:val="24"/>
              </w:rPr>
            </w:pPr>
            <w:r>
              <w:rPr>
                <w:rFonts w:ascii="宋体" w:hAnsi="宋体" w:cs="宋体"/>
                <w:sz w:val="24"/>
              </w:rPr>
              <w:t>10</w:t>
            </w:r>
          </w:p>
        </w:tc>
        <w:tc>
          <w:tcPr>
            <w:tcW w:w="2997" w:type="pct"/>
            <w:tcBorders>
              <w:top w:val="nil"/>
              <w:left w:val="nil"/>
              <w:bottom w:val="single" w:color="auto" w:sz="8" w:space="0"/>
              <w:right w:val="single" w:color="auto" w:sz="8" w:space="0"/>
            </w:tcBorders>
            <w:shd w:val="clear" w:color="auto" w:fill="auto"/>
            <w:noWrap w:val="0"/>
            <w:vAlign w:val="center"/>
          </w:tcPr>
          <w:p>
            <w:pPr>
              <w:rPr>
                <w:rFonts w:ascii="宋体" w:hAnsi="宋体" w:cs="宋体"/>
                <w:sz w:val="24"/>
              </w:rPr>
            </w:pPr>
            <w:r>
              <w:rPr>
                <w:rFonts w:hint="eastAsia" w:ascii="宋体" w:hAnsi="宋体" w:cs="宋体"/>
                <w:sz w:val="24"/>
              </w:rPr>
              <w:t>负极板连线</w:t>
            </w:r>
          </w:p>
        </w:tc>
        <w:tc>
          <w:tcPr>
            <w:tcW w:w="1066" w:type="pct"/>
            <w:tcBorders>
              <w:top w:val="nil"/>
              <w:left w:val="nil"/>
              <w:bottom w:val="single" w:color="auto" w:sz="8" w:space="0"/>
              <w:right w:val="single" w:color="auto" w:sz="8" w:space="0"/>
            </w:tcBorders>
            <w:shd w:val="clear" w:color="auto" w:fill="auto"/>
            <w:noWrap w:val="0"/>
            <w:vAlign w:val="center"/>
          </w:tcPr>
          <w:p>
            <w:pPr>
              <w:rPr>
                <w:rFonts w:hint="eastAsia" w:ascii="宋体" w:hAnsi="宋体" w:cs="宋体"/>
                <w:sz w:val="24"/>
              </w:rPr>
            </w:pPr>
            <w:r>
              <w:rPr>
                <w:rFonts w:ascii="宋体" w:hAnsi="宋体" w:cs="宋体"/>
                <w:sz w:val="24"/>
              </w:rPr>
              <w:t>1条</w:t>
            </w:r>
          </w:p>
        </w:tc>
      </w:tr>
    </w:tbl>
    <w:p>
      <w:pPr>
        <w:ind w:firstLine="723" w:firstLineChars="300"/>
        <w:rPr>
          <w:rFonts w:hint="eastAsia" w:ascii="宋体" w:hAnsi="宋体" w:cs="宋体"/>
          <w:b/>
          <w:bCs/>
          <w:sz w:val="24"/>
        </w:rPr>
      </w:pPr>
      <w:r>
        <w:rPr>
          <w:rFonts w:hint="eastAsia" w:ascii="宋体" w:hAnsi="宋体" w:cs="宋体"/>
          <w:b/>
          <w:bCs/>
          <w:sz w:val="24"/>
        </w:rPr>
        <w:t>项目要求：</w:t>
      </w:r>
    </w:p>
    <w:p>
      <w:pPr>
        <w:ind w:firstLine="960" w:firstLineChars="400"/>
        <w:rPr>
          <w:rFonts w:hint="eastAsia" w:ascii="宋体" w:hAnsi="宋体" w:cs="宋体"/>
          <w:sz w:val="24"/>
        </w:rPr>
      </w:pPr>
      <w:r>
        <w:rPr>
          <w:rFonts w:hint="eastAsia" w:ascii="宋体" w:hAnsi="宋体" w:cs="宋体"/>
          <w:sz w:val="24"/>
        </w:rPr>
        <w:t>1.本项目采购设备与奥林巴斯胃肠镜匹配使用安装后即能够正常使用，附件配置齐全。</w:t>
      </w:r>
    </w:p>
    <w:p>
      <w:pPr>
        <w:ind w:firstLine="960" w:firstLineChars="400"/>
        <w:rPr>
          <w:rFonts w:hint="eastAsia" w:ascii="宋体" w:hAnsi="宋体" w:cs="宋体"/>
          <w:sz w:val="24"/>
        </w:rPr>
      </w:pPr>
      <w:r>
        <w:rPr>
          <w:rFonts w:hint="eastAsia" w:ascii="宋体" w:hAnsi="宋体" w:cs="宋体"/>
          <w:sz w:val="24"/>
        </w:rPr>
        <w:t>2.此项目总金额包含所有运费，安装费、税费等。</w:t>
      </w:r>
    </w:p>
    <w:p>
      <w:pPr>
        <w:ind w:firstLine="960" w:firstLineChars="400"/>
        <w:rPr>
          <w:rFonts w:ascii="宋体" w:hAnsi="宋体"/>
          <w:sz w:val="24"/>
        </w:rPr>
      </w:pPr>
      <w:r>
        <w:rPr>
          <w:rFonts w:hint="eastAsia" w:ascii="宋体" w:hAnsi="宋体" w:cs="宋体"/>
          <w:sz w:val="24"/>
        </w:rPr>
        <w:t>3.每套设备提供3年免费质保。</w:t>
      </w:r>
    </w:p>
    <w:p>
      <w:pPr>
        <w:rPr>
          <w:rFonts w:hint="eastAsia" w:ascii="新宋体" w:hAnsi="新宋体" w:eastAsia="新宋体"/>
          <w:szCs w:val="28"/>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rPr>
      </w:pPr>
      <w:r>
        <w:rPr>
          <w:rFonts w:hint="eastAsia" w:ascii="仿宋" w:hAnsi="仿宋" w:eastAsia="仿宋" w:cs="仿宋"/>
          <w:b/>
          <w:bCs/>
          <w:color w:val="auto"/>
          <w:spacing w:val="10"/>
          <w:sz w:val="32"/>
          <w:szCs w:val="32"/>
          <w:highlight w:val="none"/>
          <w:lang w:eastAsia="zh-CN"/>
        </w:rPr>
        <w:t>第五部分</w:t>
      </w:r>
      <w:r>
        <w:rPr>
          <w:rFonts w:hint="eastAsia" w:ascii="仿宋" w:hAnsi="仿宋" w:eastAsia="仿宋" w:cs="仿宋"/>
          <w:b/>
          <w:bCs/>
          <w:color w:val="auto"/>
          <w:spacing w:val="10"/>
          <w:sz w:val="32"/>
          <w:szCs w:val="32"/>
          <w:highlight w:val="none"/>
          <w:lang w:val="en-US" w:eastAsia="zh-CN"/>
        </w:rPr>
        <w:t xml:space="preserve">  </w:t>
      </w:r>
      <w:r>
        <w:rPr>
          <w:rFonts w:hint="eastAsia" w:ascii="仿宋" w:hAnsi="仿宋" w:eastAsia="仿宋" w:cs="仿宋"/>
          <w:b/>
          <w:bCs/>
          <w:color w:val="auto"/>
          <w:spacing w:val="10"/>
          <w:sz w:val="32"/>
          <w:szCs w:val="32"/>
          <w:highlight w:val="none"/>
        </w:rPr>
        <w:t>报价文件格式</w:t>
      </w:r>
      <w:bookmarkEnd w:id="39"/>
      <w:bookmarkEnd w:id="40"/>
    </w:p>
    <w:p>
      <w:pPr>
        <w:widowControl w:val="0"/>
        <w:numPr>
          <w:ilvl w:val="0"/>
          <w:numId w:val="0"/>
        </w:numPr>
        <w:adjustRightInd w:val="0"/>
        <w:spacing w:line="500" w:lineRule="exact"/>
        <w:jc w:val="both"/>
        <w:textAlignment w:val="baseline"/>
        <w:rPr>
          <w:rFonts w:hint="eastAsia" w:ascii="仿宋" w:hAnsi="仿宋" w:eastAsia="仿宋" w:cs="仿宋"/>
          <w:b/>
          <w:bCs/>
          <w:color w:val="auto"/>
          <w:spacing w:val="10"/>
          <w:sz w:val="32"/>
          <w:szCs w:val="32"/>
          <w:highlight w:val="none"/>
        </w:rPr>
      </w:pPr>
    </w:p>
    <w:p>
      <w:pPr>
        <w:pStyle w:val="26"/>
        <w:numPr>
          <w:ilvl w:val="0"/>
          <w:numId w:val="0"/>
        </w:numPr>
        <w:snapToGrid w:val="0"/>
        <w:spacing w:before="0" w:line="500" w:lineRule="exact"/>
        <w:ind w:left="737" w:leftChars="0"/>
        <w:rPr>
          <w:rFonts w:hint="eastAsia" w:ascii="仿宋" w:hAnsi="仿宋" w:eastAsia="仿宋" w:cs="仿宋"/>
          <w:color w:val="auto"/>
          <w:spacing w:val="20"/>
          <w:sz w:val="28"/>
          <w:szCs w:val="28"/>
          <w:highlight w:val="none"/>
        </w:rPr>
      </w:pPr>
      <w:bookmarkStart w:id="41" w:name="_Toc26068"/>
      <w:bookmarkStart w:id="42" w:name="_Toc5920"/>
      <w:bookmarkStart w:id="43" w:name="_Toc14887_WPSOffice_Level2"/>
      <w:r>
        <w:rPr>
          <w:rFonts w:hint="eastAsia" w:ascii="仿宋" w:hAnsi="仿宋" w:eastAsia="仿宋" w:cs="仿宋"/>
          <w:color w:val="auto"/>
          <w:spacing w:val="20"/>
          <w:sz w:val="28"/>
          <w:szCs w:val="28"/>
          <w:highlight w:val="none"/>
          <w:lang w:eastAsia="zh-CN"/>
        </w:rPr>
        <w:t>一、</w:t>
      </w:r>
      <w:r>
        <w:rPr>
          <w:rFonts w:hint="eastAsia" w:ascii="仿宋" w:hAnsi="仿宋" w:eastAsia="仿宋" w:cs="仿宋"/>
          <w:color w:val="auto"/>
          <w:spacing w:val="20"/>
          <w:sz w:val="28"/>
          <w:szCs w:val="28"/>
          <w:highlight w:val="none"/>
        </w:rPr>
        <w:t>报价人提交文件须知</w:t>
      </w:r>
      <w:bookmarkEnd w:id="41"/>
      <w:bookmarkEnd w:id="42"/>
      <w:bookmarkEnd w:id="43"/>
    </w:p>
    <w:p>
      <w:pPr>
        <w:pStyle w:val="24"/>
        <w:numPr>
          <w:ilvl w:val="0"/>
          <w:numId w:val="9"/>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报价人应严格按照以下顺序填写和提交下述规定的全部格式文件以及其他有关资料，混乱的编排导致报价文件被误读或查找不到，后果由报价人承担。</w:t>
      </w:r>
    </w:p>
    <w:p>
      <w:pPr>
        <w:pStyle w:val="24"/>
        <w:numPr>
          <w:ilvl w:val="0"/>
          <w:numId w:val="9"/>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所附表格中要求回答的全部问题和信息都必须正面回答。</w:t>
      </w:r>
    </w:p>
    <w:p>
      <w:pPr>
        <w:pStyle w:val="24"/>
        <w:numPr>
          <w:ilvl w:val="0"/>
          <w:numId w:val="9"/>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本资格声明的签字人应保证全部声明和问题的回答是真实的和准确的。</w:t>
      </w:r>
    </w:p>
    <w:p>
      <w:pPr>
        <w:pStyle w:val="24"/>
        <w:numPr>
          <w:ilvl w:val="0"/>
          <w:numId w:val="9"/>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谈判小组将应用报价人提交的资料并根据自己的判断，决定报价人履行合同的合格性及能力。</w:t>
      </w:r>
    </w:p>
    <w:p>
      <w:pPr>
        <w:pStyle w:val="24"/>
        <w:numPr>
          <w:ilvl w:val="0"/>
          <w:numId w:val="9"/>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报价人提交的材料将被妥善保存，但不退还。</w:t>
      </w:r>
    </w:p>
    <w:p>
      <w:pPr>
        <w:pStyle w:val="24"/>
        <w:numPr>
          <w:ilvl w:val="0"/>
          <w:numId w:val="9"/>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全部文件应按报价人须知中规定的语言和份数提交。</w:t>
      </w:r>
    </w:p>
    <w:p>
      <w:pPr>
        <w:pStyle w:val="24"/>
        <w:numPr>
          <w:ilvl w:val="0"/>
          <w:numId w:val="9"/>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lang w:val="en-US" w:eastAsia="zh-CN"/>
        </w:rPr>
        <w:t>投标人自拟目录，目录中所示页码应为实际内容页码一致。</w:t>
      </w:r>
    </w:p>
    <w:p>
      <w:pPr>
        <w:widowControl w:val="0"/>
        <w:numPr>
          <w:ilvl w:val="0"/>
          <w:numId w:val="0"/>
        </w:numPr>
        <w:adjustRightInd w:val="0"/>
        <w:spacing w:line="500" w:lineRule="exact"/>
        <w:jc w:val="both"/>
        <w:textAlignment w:val="baseline"/>
        <w:rPr>
          <w:rFonts w:hint="eastAsia" w:ascii="仿宋" w:hAnsi="仿宋" w:eastAsia="仿宋" w:cs="仿宋"/>
          <w:b/>
          <w:bCs/>
          <w:color w:val="auto"/>
          <w:spacing w:val="10"/>
          <w:sz w:val="32"/>
          <w:szCs w:val="32"/>
          <w:highlight w:val="none"/>
        </w:rPr>
        <w:sectPr>
          <w:pgSz w:w="11906" w:h="16838"/>
          <w:pgMar w:top="1440" w:right="1706" w:bottom="1440" w:left="1800" w:header="851" w:footer="992" w:gutter="0"/>
          <w:pgNumType w:fmt="decimal"/>
          <w:cols w:space="425" w:num="1"/>
          <w:docGrid w:type="lines" w:linePitch="312" w:charSpace="0"/>
        </w:sectPr>
      </w:pPr>
      <w:r>
        <w:rPr>
          <w:rFonts w:hint="eastAsia" w:ascii="仿宋" w:hAnsi="仿宋" w:eastAsia="仿宋" w:cs="仿宋"/>
          <w:color w:val="auto"/>
          <w:spacing w:val="20"/>
          <w:sz w:val="28"/>
          <w:szCs w:val="28"/>
          <w:highlight w:val="none"/>
        </w:rPr>
        <w:br w:type="page"/>
      </w:r>
    </w:p>
    <w:p>
      <w:pPr>
        <w:spacing w:line="500" w:lineRule="exact"/>
        <w:jc w:val="center"/>
        <w:rPr>
          <w:rFonts w:hint="eastAsia" w:ascii="仿宋" w:hAnsi="仿宋" w:eastAsia="仿宋" w:cs="仿宋"/>
          <w:b/>
          <w:bCs/>
          <w:color w:val="auto"/>
          <w:spacing w:val="20"/>
          <w:sz w:val="36"/>
          <w:szCs w:val="36"/>
          <w:highlight w:val="none"/>
          <w:lang w:eastAsia="zh-CN"/>
        </w:rPr>
      </w:pPr>
      <w:bookmarkStart w:id="44" w:name="_Toc307_WPSOffice_Level2"/>
      <w:r>
        <w:rPr>
          <w:rFonts w:hint="eastAsia" w:ascii="仿宋" w:hAnsi="仿宋" w:eastAsia="仿宋" w:cs="仿宋"/>
          <w:b/>
          <w:bCs/>
          <w:color w:val="auto"/>
          <w:spacing w:val="20"/>
          <w:sz w:val="36"/>
          <w:szCs w:val="36"/>
          <w:highlight w:val="none"/>
          <w:lang w:eastAsia="zh-CN"/>
        </w:rPr>
        <w:t>二、报  价  函  （格式）</w:t>
      </w:r>
      <w:bookmarkEnd w:id="44"/>
    </w:p>
    <w:p>
      <w:pPr>
        <w:spacing w:line="500" w:lineRule="exact"/>
        <w:ind w:firstLine="2808" w:firstLineChars="1003"/>
        <w:rPr>
          <w:rFonts w:hint="eastAsia" w:ascii="仿宋" w:hAnsi="仿宋" w:eastAsia="仿宋" w:cs="仿宋"/>
          <w:bCs/>
          <w:color w:val="auto"/>
          <w:sz w:val="28"/>
          <w:szCs w:val="28"/>
          <w:highlight w:val="none"/>
        </w:rPr>
      </w:pPr>
    </w:p>
    <w:p>
      <w:pPr>
        <w:tabs>
          <w:tab w:val="left" w:pos="4860"/>
        </w:tabs>
        <w:spacing w:line="500" w:lineRule="exact"/>
        <w:rPr>
          <w:rFonts w:hint="eastAsia" w:ascii="仿宋" w:hAnsi="仿宋" w:eastAsia="仿宋" w:cs="仿宋"/>
          <w:b/>
          <w:bCs/>
          <w:color w:val="auto"/>
          <w:spacing w:val="20"/>
          <w:sz w:val="28"/>
          <w:szCs w:val="28"/>
          <w:highlight w:val="none"/>
        </w:rPr>
      </w:pPr>
      <w:r>
        <w:rPr>
          <w:rFonts w:hint="eastAsia" w:ascii="仿宋" w:hAnsi="仿宋" w:eastAsia="仿宋" w:cs="仿宋"/>
          <w:b/>
          <w:bCs/>
          <w:color w:val="auto"/>
          <w:spacing w:val="20"/>
          <w:sz w:val="28"/>
          <w:szCs w:val="28"/>
          <w:highlight w:val="none"/>
          <w:lang w:val="en-US" w:eastAsia="zh-CN"/>
        </w:rPr>
        <w:t>XXX（招标人名称）</w:t>
      </w:r>
      <w:r>
        <w:rPr>
          <w:rFonts w:hint="eastAsia" w:ascii="仿宋" w:hAnsi="仿宋" w:eastAsia="仿宋" w:cs="仿宋"/>
          <w:b/>
          <w:bCs/>
          <w:color w:val="auto"/>
          <w:spacing w:val="20"/>
          <w:sz w:val="28"/>
          <w:szCs w:val="28"/>
          <w:highlight w:val="none"/>
        </w:rPr>
        <w:t>：</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(报价人全称)授权</w:t>
      </w: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(报价人代表姓名)</w:t>
      </w: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(职务、职称)为我方代表，参加贵方组织的</w:t>
      </w: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(项目名称、项目编号、包号)谈判的有关活动，并对此项目进行报价。为此：</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1、我方同意在本项目谈判文件中规定的谈判日起的有效期内（见前附表）遵守本报价文件中的承诺且在此期限期满之前均具有约束力。</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2、我方承诺已经具备《中华人民共和国政府采购法》中规定的参加政府采购活动的供应商应当具备的全部条件。</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3、提供谈判须知规定的全部报价文件，包括报价文件正本、副本、报价一览表等。</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4、按谈判文件要求提供和交付的货物和服务的报价详见报价一览表。</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5、我方承诺：完全理解最终报价超过采购预算金额时，报价将被拒绝。</w:t>
      </w:r>
    </w:p>
    <w:p>
      <w:pPr>
        <w:pStyle w:val="24"/>
        <w:tabs>
          <w:tab w:val="left" w:pos="1680"/>
        </w:tabs>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6、保证忠实地执行双方所签订的合同，并承担合同规定的责任和义务。</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7、承诺完全满足和响应谈判文件中的各项商务和技术要求，若有偏差，已在报价文件商务条款偏离表中予以明确特别说明。</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8、保证遵守谈判文件的规定。</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10、我方完全理解贵方不一定接受最低价的报价或收到的任何报价。</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11、我方愿意向贵方提供任何与本项报价有关的数据、情况和技术资料。若贵方需要，我方愿意提供我方做出的一切承诺的证明材料。</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12、我方已详细审核全部谈判文件，包括谈判文件修改书（如有的话）、参考资料及有关附件，确认无误。</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13、我方承诺：采购人若需追加采购本项目谈判文件所列货物及相关服务的，在不改变合同其他实质性条款的前提下，按相同或更优惠的折扣率保证供货。</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14、我方承诺接受谈判文件中《合同范本》的全部条款且无任何异议。</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（1）提供虚假材料谋取中标、成交的；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（2）采取不正当手段诋毁、排挤其他供应商的；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（3）与采购人、其它供应商或者</w:t>
      </w:r>
      <w:r>
        <w:rPr>
          <w:rFonts w:hint="eastAsia" w:ascii="仿宋" w:hAnsi="仿宋" w:eastAsia="仿宋" w:cs="仿宋"/>
          <w:color w:val="auto"/>
          <w:spacing w:val="20"/>
          <w:sz w:val="28"/>
          <w:szCs w:val="28"/>
          <w:highlight w:val="none"/>
          <w:lang w:eastAsia="zh-CN"/>
        </w:rPr>
        <w:t>招标代理机构</w:t>
      </w:r>
      <w:r>
        <w:rPr>
          <w:rFonts w:hint="eastAsia" w:ascii="仿宋" w:hAnsi="仿宋" w:eastAsia="仿宋" w:cs="仿宋"/>
          <w:color w:val="auto"/>
          <w:spacing w:val="20"/>
          <w:sz w:val="28"/>
          <w:szCs w:val="28"/>
          <w:highlight w:val="none"/>
        </w:rPr>
        <w:t>工作人员恶意串通的；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（4）向采购人、</w:t>
      </w:r>
      <w:r>
        <w:rPr>
          <w:rFonts w:hint="eastAsia" w:ascii="仿宋" w:hAnsi="仿宋" w:eastAsia="仿宋" w:cs="仿宋"/>
          <w:color w:val="auto"/>
          <w:spacing w:val="20"/>
          <w:sz w:val="28"/>
          <w:szCs w:val="28"/>
          <w:highlight w:val="none"/>
          <w:lang w:eastAsia="zh-CN"/>
        </w:rPr>
        <w:t>招标代理机构</w:t>
      </w:r>
      <w:r>
        <w:rPr>
          <w:rFonts w:hint="eastAsia" w:ascii="仿宋" w:hAnsi="仿宋" w:eastAsia="仿宋" w:cs="仿宋"/>
          <w:color w:val="auto"/>
          <w:spacing w:val="20"/>
          <w:sz w:val="28"/>
          <w:szCs w:val="28"/>
          <w:highlight w:val="none"/>
        </w:rPr>
        <w:t>工作人员行贿或者提供其他不正当利益的；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（5）在采购过程中与采购人进行协商谈判的；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（6）拒绝有关部门监督检查或提供虚假情况的。</w:t>
      </w:r>
    </w:p>
    <w:p>
      <w:pPr>
        <w:snapToGrid w:val="0"/>
        <w:spacing w:line="500" w:lineRule="exact"/>
        <w:rPr>
          <w:rFonts w:hint="eastAsia" w:ascii="仿宋" w:hAnsi="仿宋" w:eastAsia="仿宋" w:cs="仿宋"/>
          <w:color w:val="auto"/>
          <w:spacing w:val="20"/>
          <w:sz w:val="28"/>
          <w:szCs w:val="28"/>
          <w:highlight w:val="none"/>
        </w:rPr>
      </w:pPr>
    </w:p>
    <w:p>
      <w:pPr>
        <w:snapToGrid w:val="0"/>
        <w:spacing w:line="500" w:lineRule="exact"/>
        <w:rPr>
          <w:rFonts w:hint="eastAsia" w:ascii="仿宋" w:hAnsi="仿宋" w:eastAsia="仿宋" w:cs="仿宋"/>
          <w:color w:val="auto"/>
          <w:spacing w:val="20"/>
          <w:sz w:val="28"/>
          <w:szCs w:val="28"/>
          <w:highlight w:val="none"/>
        </w:rPr>
      </w:pPr>
    </w:p>
    <w:p>
      <w:pPr>
        <w:snapToGrid w:val="0"/>
        <w:spacing w:line="500" w:lineRule="exact"/>
        <w:rPr>
          <w:rFonts w:hint="eastAsia" w:ascii="仿宋" w:hAnsi="仿宋" w:eastAsia="仿宋" w:cs="仿宋"/>
          <w:color w:val="auto"/>
          <w:spacing w:val="20"/>
          <w:sz w:val="28"/>
          <w:szCs w:val="28"/>
          <w:highlight w:val="none"/>
        </w:rPr>
      </w:pPr>
    </w:p>
    <w:p>
      <w:pPr>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所有有关本报价的一切往来联系方式为：</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地址：</w:t>
      </w:r>
      <w:r>
        <w:rPr>
          <w:rFonts w:hint="eastAsia" w:ascii="仿宋" w:hAnsi="仿宋" w:eastAsia="仿宋" w:cs="仿宋"/>
          <w:color w:val="auto"/>
          <w:spacing w:val="20"/>
          <w:sz w:val="28"/>
          <w:szCs w:val="28"/>
          <w:highlight w:val="none"/>
        </w:rPr>
        <w:tab/>
      </w:r>
      <w:r>
        <w:rPr>
          <w:rFonts w:hint="eastAsia" w:ascii="仿宋" w:hAnsi="仿宋" w:eastAsia="仿宋" w:cs="仿宋"/>
          <w:color w:val="auto"/>
          <w:spacing w:val="20"/>
          <w:sz w:val="28"/>
          <w:szCs w:val="28"/>
          <w:highlight w:val="none"/>
        </w:rPr>
        <w:t xml:space="preserve">                            邮编：</w:t>
      </w:r>
      <w:r>
        <w:rPr>
          <w:rFonts w:hint="eastAsia" w:ascii="仿宋" w:hAnsi="仿宋" w:eastAsia="仿宋" w:cs="仿宋"/>
          <w:color w:val="auto"/>
          <w:spacing w:val="20"/>
          <w:sz w:val="28"/>
          <w:szCs w:val="28"/>
          <w:highlight w:val="none"/>
        </w:rPr>
        <w:tab/>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电话：</w:t>
      </w:r>
      <w:r>
        <w:rPr>
          <w:rFonts w:hint="eastAsia" w:ascii="仿宋" w:hAnsi="仿宋" w:eastAsia="仿宋" w:cs="仿宋"/>
          <w:color w:val="auto"/>
          <w:spacing w:val="20"/>
          <w:sz w:val="28"/>
          <w:szCs w:val="28"/>
          <w:highlight w:val="none"/>
        </w:rPr>
        <w:tab/>
      </w:r>
      <w:r>
        <w:rPr>
          <w:rFonts w:hint="eastAsia" w:ascii="仿宋" w:hAnsi="仿宋" w:eastAsia="仿宋" w:cs="仿宋"/>
          <w:color w:val="auto"/>
          <w:spacing w:val="20"/>
          <w:sz w:val="28"/>
          <w:szCs w:val="28"/>
          <w:highlight w:val="none"/>
        </w:rPr>
        <w:t xml:space="preserve">                            传真：</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投标单位代表姓名：</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联系电话：              （办公）           （移动）</w:t>
      </w:r>
    </w:p>
    <w:p>
      <w:pPr>
        <w:tabs>
          <w:tab w:val="left" w:pos="480"/>
        </w:tabs>
        <w:snapToGrid w:val="0"/>
        <w:spacing w:line="500" w:lineRule="exact"/>
        <w:rPr>
          <w:rFonts w:hint="eastAsia" w:ascii="仿宋" w:hAnsi="仿宋" w:eastAsia="仿宋" w:cs="仿宋"/>
          <w:color w:val="auto"/>
          <w:spacing w:val="20"/>
          <w:sz w:val="28"/>
          <w:szCs w:val="28"/>
          <w:highlight w:val="none"/>
        </w:rPr>
      </w:pP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ab/>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投标单位(公章)：</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投标单位代表(签字或签章)：</w:t>
      </w:r>
      <w:r>
        <w:rPr>
          <w:rFonts w:hint="eastAsia" w:ascii="仿宋" w:hAnsi="仿宋" w:eastAsia="仿宋" w:cs="仿宋"/>
          <w:color w:val="auto"/>
          <w:spacing w:val="20"/>
          <w:sz w:val="28"/>
          <w:szCs w:val="28"/>
          <w:highlight w:val="none"/>
        </w:rPr>
        <w:tab/>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日　期：</w:t>
      </w:r>
    </w:p>
    <w:p>
      <w:pPr>
        <w:tabs>
          <w:tab w:val="left" w:pos="480"/>
        </w:tabs>
        <w:snapToGrid w:val="0"/>
        <w:spacing w:line="500" w:lineRule="exact"/>
        <w:rPr>
          <w:rFonts w:hint="eastAsia" w:ascii="仿宋" w:hAnsi="仿宋" w:eastAsia="仿宋" w:cs="仿宋"/>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r>
        <w:rPr>
          <w:rFonts w:hint="eastAsia" w:ascii="仿宋" w:hAnsi="仿宋" w:eastAsia="仿宋" w:cs="仿宋"/>
          <w:b/>
          <w:color w:val="auto"/>
          <w:spacing w:val="20"/>
          <w:sz w:val="28"/>
          <w:szCs w:val="28"/>
          <w:highlight w:val="none"/>
        </w:rPr>
        <w:t>注：除可填报项目外，对本报价函的任何修改将被视为非实质性响应报价，从而导致该报价被拒绝。</w:t>
      </w:r>
    </w:p>
    <w:p>
      <w:pPr>
        <w:snapToGrid w:val="0"/>
        <w:spacing w:line="500" w:lineRule="exact"/>
        <w:ind w:left="640" w:hanging="640" w:hangingChars="200"/>
        <w:jc w:val="center"/>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br w:type="page"/>
      </w:r>
    </w:p>
    <w:p>
      <w:pPr>
        <w:spacing w:line="500" w:lineRule="exact"/>
        <w:jc w:val="center"/>
        <w:rPr>
          <w:rFonts w:hint="eastAsia" w:ascii="仿宋" w:hAnsi="仿宋" w:eastAsia="仿宋" w:cs="仿宋"/>
          <w:b/>
          <w:bCs/>
          <w:color w:val="auto"/>
          <w:spacing w:val="20"/>
          <w:sz w:val="36"/>
          <w:szCs w:val="36"/>
          <w:highlight w:val="none"/>
          <w:lang w:eastAsia="zh-CN"/>
        </w:rPr>
      </w:pPr>
      <w:bookmarkStart w:id="45" w:name="_Toc2610_WPSOffice_Level2"/>
      <w:r>
        <w:rPr>
          <w:rFonts w:hint="eastAsia" w:ascii="仿宋" w:hAnsi="仿宋" w:eastAsia="仿宋" w:cs="仿宋"/>
          <w:b/>
          <w:bCs/>
          <w:color w:val="auto"/>
          <w:spacing w:val="20"/>
          <w:sz w:val="36"/>
          <w:szCs w:val="36"/>
          <w:highlight w:val="none"/>
          <w:lang w:eastAsia="zh-CN"/>
        </w:rPr>
        <w:t>三、法定代表人身份证明书 （格式）</w:t>
      </w:r>
      <w:bookmarkEnd w:id="45"/>
    </w:p>
    <w:p>
      <w:pPr>
        <w:spacing w:line="500" w:lineRule="exact"/>
        <w:ind w:firstLine="570"/>
        <w:jc w:val="center"/>
        <w:rPr>
          <w:rFonts w:hint="eastAsia" w:ascii="仿宋" w:hAnsi="仿宋" w:eastAsia="仿宋" w:cs="仿宋"/>
          <w:b/>
          <w:bCs w:val="0"/>
          <w:color w:val="auto"/>
          <w:spacing w:val="6"/>
          <w:sz w:val="32"/>
          <w:szCs w:val="32"/>
          <w:highlight w:val="none"/>
        </w:rPr>
      </w:pP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bookmarkStart w:id="46" w:name="_Toc86202635"/>
      <w:bookmarkStart w:id="47" w:name="_Toc175644065"/>
      <w:r>
        <w:rPr>
          <w:rFonts w:hint="eastAsia" w:ascii="仿宋" w:hAnsi="仿宋" w:eastAsia="仿宋" w:cs="仿宋"/>
          <w:color w:val="auto"/>
          <w:spacing w:val="20"/>
          <w:sz w:val="28"/>
          <w:szCs w:val="28"/>
          <w:highlight w:val="none"/>
          <w:lang w:eastAsia="zh-CN"/>
        </w:rPr>
        <w:tab/>
      </w:r>
      <w:r>
        <w:rPr>
          <w:rFonts w:hint="eastAsia" w:ascii="仿宋" w:hAnsi="仿宋" w:eastAsia="仿宋" w:cs="仿宋"/>
          <w:color w:val="auto"/>
          <w:spacing w:val="6"/>
          <w:sz w:val="28"/>
          <w:szCs w:val="28"/>
          <w:highlight w:val="none"/>
        </w:rPr>
        <w:t xml:space="preserve"> 单位名称：</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tabs>
          <w:tab w:val="right" w:pos="9014"/>
        </w:tabs>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单位性质</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地    址：</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u w:val="single"/>
        </w:rPr>
      </w:pPr>
      <w:r>
        <w:rPr>
          <w:rFonts w:hint="eastAsia" w:ascii="仿宋" w:hAnsi="仿宋" w:eastAsia="仿宋" w:cs="仿宋"/>
          <w:color w:val="auto"/>
          <w:spacing w:val="6"/>
          <w:sz w:val="28"/>
          <w:szCs w:val="28"/>
          <w:highlight w:val="none"/>
        </w:rPr>
        <w:t xml:space="preserve">    成立时间：</w:t>
      </w:r>
      <w:r>
        <w:rPr>
          <w:rFonts w:hint="eastAsia" w:ascii="仿宋" w:hAnsi="仿宋" w:eastAsia="仿宋" w:cs="仿宋"/>
          <w:color w:val="auto"/>
          <w:spacing w:val="6"/>
          <w:sz w:val="28"/>
          <w:szCs w:val="28"/>
          <w:highlight w:val="none"/>
          <w:u w:val="single"/>
        </w:rPr>
        <w:t xml:space="preserve">    年    月    日</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w:t>
      </w:r>
      <w:r>
        <w:rPr>
          <w:rFonts w:hint="eastAsia" w:ascii="仿宋" w:hAnsi="仿宋" w:eastAsia="仿宋" w:cs="仿宋"/>
          <w:color w:val="auto"/>
          <w:spacing w:val="6"/>
          <w:sz w:val="28"/>
          <w:szCs w:val="28"/>
          <w:highlight w:val="none"/>
          <w:lang w:val="en-US" w:eastAsia="zh-CN"/>
        </w:rPr>
        <w:t xml:space="preserve"> </w:t>
      </w:r>
      <w:r>
        <w:rPr>
          <w:rFonts w:hint="eastAsia" w:ascii="仿宋" w:hAnsi="仿宋" w:eastAsia="仿宋" w:cs="仿宋"/>
          <w:color w:val="auto"/>
          <w:spacing w:val="6"/>
          <w:sz w:val="28"/>
          <w:szCs w:val="28"/>
          <w:highlight w:val="none"/>
        </w:rPr>
        <w:t>经营期限：</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firstLine="555"/>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姓    名：</w:t>
      </w:r>
      <w:r>
        <w:rPr>
          <w:rFonts w:hint="eastAsia" w:ascii="仿宋" w:hAnsi="仿宋" w:eastAsia="仿宋" w:cs="仿宋"/>
          <w:color w:val="auto"/>
          <w:spacing w:val="6"/>
          <w:sz w:val="28"/>
          <w:szCs w:val="28"/>
          <w:highlight w:val="none"/>
          <w:u w:val="single"/>
        </w:rPr>
        <w:t xml:space="preserve">            </w:t>
      </w:r>
      <w:r>
        <w:rPr>
          <w:rFonts w:hint="eastAsia" w:ascii="仿宋" w:hAnsi="仿宋" w:eastAsia="仿宋" w:cs="仿宋"/>
          <w:color w:val="auto"/>
          <w:spacing w:val="6"/>
          <w:sz w:val="28"/>
          <w:szCs w:val="28"/>
          <w:highlight w:val="none"/>
        </w:rPr>
        <w:t xml:space="preserve">  性  别：</w:t>
      </w:r>
      <w:r>
        <w:rPr>
          <w:rFonts w:hint="eastAsia" w:ascii="仿宋" w:hAnsi="仿宋" w:eastAsia="仿宋" w:cs="仿宋"/>
          <w:color w:val="auto"/>
          <w:spacing w:val="6"/>
          <w:sz w:val="28"/>
          <w:szCs w:val="28"/>
          <w:highlight w:val="none"/>
          <w:lang w:val="en-US" w:eastAsia="zh-CN"/>
        </w:rPr>
        <w:t xml:space="preserve"> </w:t>
      </w:r>
      <w:r>
        <w:rPr>
          <w:rFonts w:hint="eastAsia" w:ascii="仿宋" w:hAnsi="仿宋" w:eastAsia="仿宋" w:cs="仿宋"/>
          <w:color w:val="auto"/>
          <w:spacing w:val="6"/>
          <w:sz w:val="28"/>
          <w:szCs w:val="28"/>
          <w:highlight w:val="none"/>
          <w:u w:val="single"/>
          <w:lang w:val="en-US" w:eastAsia="zh-CN"/>
        </w:rPr>
        <w:t xml:space="preserve">                    </w:t>
      </w:r>
      <w:r>
        <w:rPr>
          <w:rFonts w:hint="eastAsia" w:ascii="仿宋" w:hAnsi="仿宋" w:eastAsia="仿宋" w:cs="仿宋"/>
          <w:color w:val="auto"/>
          <w:spacing w:val="6"/>
          <w:sz w:val="28"/>
          <w:szCs w:val="28"/>
          <w:highlight w:val="none"/>
          <w:lang w:val="en-US" w:eastAsia="zh-CN"/>
        </w:rPr>
        <w:t xml:space="preserve">     </w:t>
      </w:r>
      <w:r>
        <w:rPr>
          <w:rFonts w:hint="eastAsia" w:ascii="仿宋" w:hAnsi="仿宋" w:eastAsia="仿宋" w:cs="仿宋"/>
          <w:color w:val="auto"/>
          <w:spacing w:val="6"/>
          <w:sz w:val="28"/>
          <w:szCs w:val="28"/>
          <w:highlight w:val="none"/>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firstLine="555"/>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年    龄：</w:t>
      </w:r>
      <w:r>
        <w:rPr>
          <w:rFonts w:hint="eastAsia" w:ascii="仿宋" w:hAnsi="仿宋" w:eastAsia="仿宋" w:cs="仿宋"/>
          <w:color w:val="auto"/>
          <w:spacing w:val="6"/>
          <w:sz w:val="28"/>
          <w:szCs w:val="28"/>
          <w:highlight w:val="none"/>
          <w:u w:val="single"/>
          <w:lang w:val="en-US" w:eastAsia="zh-CN"/>
        </w:rPr>
        <w:t xml:space="preserve">            </w:t>
      </w:r>
      <w:r>
        <w:rPr>
          <w:rFonts w:hint="eastAsia" w:ascii="仿宋" w:hAnsi="仿宋" w:eastAsia="仿宋" w:cs="仿宋"/>
          <w:color w:val="auto"/>
          <w:spacing w:val="6"/>
          <w:sz w:val="28"/>
          <w:szCs w:val="28"/>
          <w:highlight w:val="none"/>
        </w:rPr>
        <w:t xml:space="preserve">  职  务： </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系  </w:t>
      </w:r>
      <w:r>
        <w:rPr>
          <w:rFonts w:hint="eastAsia" w:ascii="仿宋" w:hAnsi="仿宋" w:eastAsia="仿宋" w:cs="仿宋"/>
          <w:color w:val="auto"/>
          <w:spacing w:val="6"/>
          <w:sz w:val="28"/>
          <w:szCs w:val="28"/>
          <w:highlight w:val="none"/>
          <w:u w:val="single"/>
        </w:rPr>
        <w:t xml:space="preserve">     （报价</w:t>
      </w:r>
      <w:r>
        <w:rPr>
          <w:rFonts w:hint="eastAsia" w:ascii="仿宋" w:hAnsi="仿宋" w:eastAsia="仿宋" w:cs="仿宋"/>
          <w:color w:val="auto"/>
          <w:spacing w:val="6"/>
          <w:sz w:val="28"/>
          <w:szCs w:val="28"/>
          <w:highlight w:val="none"/>
          <w:u w:val="single"/>
          <w:lang w:eastAsia="zh-CN"/>
        </w:rPr>
        <w:t>单位</w:t>
      </w:r>
      <w:r>
        <w:rPr>
          <w:rFonts w:hint="eastAsia" w:ascii="仿宋" w:hAnsi="仿宋" w:eastAsia="仿宋" w:cs="仿宋"/>
          <w:color w:val="auto"/>
          <w:spacing w:val="6"/>
          <w:sz w:val="28"/>
          <w:szCs w:val="28"/>
          <w:highlight w:val="none"/>
          <w:u w:val="single"/>
        </w:rPr>
        <w:t xml:space="preserve">名称）          </w:t>
      </w:r>
      <w:r>
        <w:rPr>
          <w:rFonts w:hint="eastAsia" w:ascii="仿宋" w:hAnsi="仿宋" w:eastAsia="仿宋" w:cs="仿宋"/>
          <w:color w:val="auto"/>
          <w:spacing w:val="6"/>
          <w:sz w:val="28"/>
          <w:szCs w:val="28"/>
          <w:highlight w:val="none"/>
        </w:rPr>
        <w:t>的法定代表人。</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特此证明。</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w:t>
      </w:r>
    </w:p>
    <w:tbl>
      <w:tblPr>
        <w:tblStyle w:val="16"/>
        <w:tblpPr w:leftFromText="180" w:rightFromText="180" w:vertAnchor="text" w:horzAnchor="page" w:tblpX="1658" w:tblpY="76"/>
        <w:tblOverlap w:val="never"/>
        <w:tblW w:w="9038" w:type="dxa"/>
        <w:tblInd w:w="0" w:type="dxa"/>
        <w:tblLayout w:type="fixed"/>
        <w:tblCellMar>
          <w:top w:w="0" w:type="dxa"/>
          <w:left w:w="108" w:type="dxa"/>
          <w:bottom w:w="0" w:type="dxa"/>
          <w:right w:w="108" w:type="dxa"/>
        </w:tblCellMar>
      </w:tblPr>
      <w:tblGrid>
        <w:gridCol w:w="4519"/>
        <w:gridCol w:w="4519"/>
      </w:tblGrid>
      <w:tr>
        <w:tblPrEx>
          <w:tblCellMar>
            <w:top w:w="0" w:type="dxa"/>
            <w:left w:w="108" w:type="dxa"/>
            <w:bottom w:w="0" w:type="dxa"/>
            <w:right w:w="108" w:type="dxa"/>
          </w:tblCellMar>
        </w:tblPrEx>
        <w:trPr>
          <w:trHeight w:val="3622" w:hRule="atLeast"/>
        </w:trPr>
        <w:tc>
          <w:tcPr>
            <w:tcW w:w="4519" w:type="dxa"/>
            <w:vAlign w:val="center"/>
          </w:tcPr>
          <w:p>
            <w:pPr>
              <w:spacing w:line="360" w:lineRule="auto"/>
              <w:rPr>
                <w:rFonts w:hint="eastAsia" w:ascii="仿宋" w:hAnsi="仿宋" w:eastAsia="仿宋" w:cs="仿宋"/>
                <w:color w:val="auto"/>
                <w:sz w:val="24"/>
                <w:szCs w:val="28"/>
                <w:highlight w:val="none"/>
              </w:rPr>
            </w:pPr>
          </w:p>
          <w:p>
            <w:pPr>
              <w:spacing w:line="360" w:lineRule="auto"/>
              <w:rPr>
                <w:rFonts w:hint="eastAsia" w:ascii="仿宋" w:hAnsi="仿宋" w:eastAsia="仿宋" w:cs="仿宋"/>
                <w:color w:val="auto"/>
                <w:sz w:val="24"/>
                <w:szCs w:val="28"/>
                <w:highlight w:val="none"/>
              </w:rPr>
            </w:pPr>
          </w:p>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法定代表人身份证复印件粘贴处</w:t>
            </w:r>
          </w:p>
          <w:p>
            <w:pPr>
              <w:spacing w:line="360" w:lineRule="auto"/>
              <w:jc w:val="center"/>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正面</w:t>
            </w:r>
          </w:p>
          <w:p>
            <w:pPr>
              <w:spacing w:line="360" w:lineRule="auto"/>
              <w:rPr>
                <w:rFonts w:hint="eastAsia" w:ascii="仿宋" w:hAnsi="仿宋" w:eastAsia="仿宋" w:cs="仿宋"/>
                <w:color w:val="auto"/>
                <w:sz w:val="24"/>
                <w:szCs w:val="28"/>
                <w:highlight w:val="none"/>
              </w:rPr>
            </w:pPr>
          </w:p>
        </w:tc>
        <w:tc>
          <w:tcPr>
            <w:tcW w:w="4519" w:type="dxa"/>
            <w:vAlign w:val="center"/>
          </w:tcPr>
          <w:p>
            <w:pPr>
              <w:spacing w:line="360" w:lineRule="auto"/>
              <w:rPr>
                <w:rFonts w:hint="eastAsia" w:ascii="仿宋" w:hAnsi="仿宋" w:eastAsia="仿宋" w:cs="仿宋"/>
                <w:color w:val="auto"/>
                <w:sz w:val="28"/>
                <w:szCs w:val="28"/>
                <w:highlight w:val="none"/>
              </w:rPr>
            </w:pPr>
          </w:p>
          <w:p>
            <w:pPr>
              <w:spacing w:line="360" w:lineRule="auto"/>
              <w:rPr>
                <w:rFonts w:hint="eastAsia" w:ascii="仿宋" w:hAnsi="仿宋" w:eastAsia="仿宋" w:cs="仿宋"/>
                <w:color w:val="auto"/>
                <w:sz w:val="28"/>
                <w:szCs w:val="28"/>
                <w:highlight w:val="none"/>
              </w:rPr>
            </w:pPr>
          </w:p>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法定代表人身份证复印件粘贴处</w:t>
            </w:r>
          </w:p>
          <w:p>
            <w:pPr>
              <w:spacing w:line="360" w:lineRule="auto"/>
              <w:jc w:val="center"/>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反面</w:t>
            </w:r>
          </w:p>
          <w:p>
            <w:pPr>
              <w:spacing w:line="360" w:lineRule="auto"/>
              <w:rPr>
                <w:rFonts w:hint="eastAsia" w:ascii="仿宋" w:hAnsi="仿宋" w:eastAsia="仿宋" w:cs="仿宋"/>
                <w:color w:val="auto"/>
                <w:sz w:val="24"/>
                <w:szCs w:val="28"/>
                <w:highlight w:val="none"/>
              </w:rPr>
            </w:pPr>
          </w:p>
        </w:tc>
      </w:tr>
    </w:tbl>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right="0" w:rightChars="0"/>
        <w:jc w:val="left"/>
        <w:textAlignment w:val="baseline"/>
        <w:outlineLvl w:val="9"/>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lang w:eastAsia="zh-CN"/>
        </w:rPr>
        <w:t>投标单位</w:t>
      </w:r>
      <w:r>
        <w:rPr>
          <w:rFonts w:hint="eastAsia" w:ascii="仿宋" w:hAnsi="仿宋" w:eastAsia="仿宋" w:cs="仿宋"/>
          <w:color w:val="auto"/>
          <w:spacing w:val="20"/>
          <w:sz w:val="28"/>
          <w:szCs w:val="28"/>
          <w:highlight w:val="none"/>
        </w:rPr>
        <w:t>(公章)：</w:t>
      </w: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lang w:eastAsia="zh-CN"/>
        </w:rPr>
        <w:t>投标单位</w:t>
      </w:r>
      <w:r>
        <w:rPr>
          <w:rFonts w:hint="eastAsia" w:ascii="仿宋" w:hAnsi="仿宋" w:eastAsia="仿宋" w:cs="仿宋"/>
          <w:color w:val="auto"/>
          <w:spacing w:val="20"/>
          <w:sz w:val="28"/>
          <w:szCs w:val="28"/>
          <w:highlight w:val="none"/>
        </w:rPr>
        <w:t>代表(签字或签章)：</w:t>
      </w: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日　期：</w:t>
      </w:r>
    </w:p>
    <w:p>
      <w:pPr>
        <w:keepNext w:val="0"/>
        <w:keepLines w:val="0"/>
        <w:pageBreakBefore w:val="0"/>
        <w:widowControl w:val="0"/>
        <w:tabs>
          <w:tab w:val="left" w:pos="480"/>
        </w:tabs>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lang w:eastAsia="zh-CN"/>
        </w:rPr>
      </w:pPr>
    </w:p>
    <w:p>
      <w:pPr>
        <w:spacing w:line="500" w:lineRule="exact"/>
        <w:jc w:val="center"/>
        <w:rPr>
          <w:rFonts w:hint="eastAsia" w:ascii="仿宋" w:hAnsi="仿宋" w:eastAsia="仿宋" w:cs="仿宋"/>
          <w:b/>
          <w:bCs/>
          <w:color w:val="auto"/>
          <w:spacing w:val="20"/>
          <w:sz w:val="36"/>
          <w:szCs w:val="36"/>
          <w:highlight w:val="none"/>
          <w:lang w:eastAsia="zh-CN"/>
        </w:rPr>
      </w:pPr>
      <w:bookmarkStart w:id="48" w:name="_Toc18429_WPSOffice_Level2"/>
      <w:r>
        <w:rPr>
          <w:rFonts w:hint="eastAsia" w:ascii="仿宋" w:hAnsi="仿宋" w:eastAsia="仿宋" w:cs="仿宋"/>
          <w:b/>
          <w:bCs/>
          <w:color w:val="auto"/>
          <w:spacing w:val="20"/>
          <w:sz w:val="36"/>
          <w:szCs w:val="36"/>
          <w:highlight w:val="none"/>
          <w:lang w:eastAsia="zh-CN"/>
        </w:rPr>
        <w:t>四、</w:t>
      </w:r>
      <w:bookmarkEnd w:id="46"/>
      <w:bookmarkEnd w:id="47"/>
      <w:r>
        <w:rPr>
          <w:rFonts w:hint="eastAsia" w:ascii="仿宋" w:hAnsi="仿宋" w:eastAsia="仿宋" w:cs="仿宋"/>
          <w:b/>
          <w:bCs/>
          <w:color w:val="auto"/>
          <w:spacing w:val="20"/>
          <w:sz w:val="36"/>
          <w:szCs w:val="36"/>
          <w:highlight w:val="none"/>
          <w:lang w:eastAsia="zh-CN"/>
        </w:rPr>
        <w:t>法人授权委托书原件  （格式）</w:t>
      </w:r>
      <w:bookmarkEnd w:id="48"/>
    </w:p>
    <w:p>
      <w:pPr>
        <w:snapToGrid w:val="0"/>
        <w:spacing w:line="500" w:lineRule="exact"/>
        <w:rPr>
          <w:rFonts w:hint="eastAsia" w:ascii="仿宋" w:hAnsi="仿宋" w:eastAsia="仿宋" w:cs="仿宋"/>
          <w:b/>
          <w:bCs/>
          <w:color w:val="auto"/>
          <w:sz w:val="32"/>
          <w:szCs w:val="32"/>
          <w:highlight w:val="none"/>
        </w:rPr>
      </w:pPr>
    </w:p>
    <w:p>
      <w:pPr>
        <w:snapToGrid w:val="0"/>
        <w:spacing w:line="500" w:lineRule="exact"/>
        <w:rPr>
          <w:rFonts w:hint="eastAsia" w:ascii="仿宋" w:hAnsi="仿宋" w:eastAsia="仿宋" w:cs="仿宋"/>
          <w:b/>
          <w:color w:val="auto"/>
          <w:spacing w:val="20"/>
          <w:highlight w:val="none"/>
        </w:rPr>
      </w:pPr>
      <w:r>
        <w:rPr>
          <w:rFonts w:hint="eastAsia" w:ascii="仿宋" w:hAnsi="仿宋" w:eastAsia="仿宋" w:cs="仿宋"/>
          <w:b/>
          <w:color w:val="auto"/>
          <w:spacing w:val="20"/>
          <w:highlight w:val="none"/>
          <w:lang w:val="en-US" w:eastAsia="zh-CN"/>
        </w:rPr>
        <w:t>XXX（招标人名称）</w:t>
      </w:r>
      <w:r>
        <w:rPr>
          <w:rFonts w:hint="eastAsia" w:ascii="仿宋" w:hAnsi="仿宋" w:eastAsia="仿宋" w:cs="仿宋"/>
          <w:b/>
          <w:color w:val="auto"/>
          <w:spacing w:val="20"/>
          <w:highlight w:val="none"/>
        </w:rPr>
        <w:t>：</w:t>
      </w:r>
    </w:p>
    <w:p>
      <w:pPr>
        <w:snapToGrid w:val="0"/>
        <w:spacing w:line="500" w:lineRule="exact"/>
        <w:rPr>
          <w:rFonts w:hint="eastAsia" w:ascii="仿宋" w:hAnsi="仿宋" w:eastAsia="仿宋" w:cs="仿宋"/>
          <w:color w:val="auto"/>
          <w:spacing w:val="20"/>
          <w:sz w:val="28"/>
          <w:szCs w:val="21"/>
          <w:highlight w:val="none"/>
        </w:rPr>
      </w:pPr>
      <w:r>
        <w:rPr>
          <w:rFonts w:hint="eastAsia" w:ascii="仿宋" w:hAnsi="仿宋" w:eastAsia="仿宋" w:cs="仿宋"/>
          <w:color w:val="auto"/>
          <w:spacing w:val="20"/>
          <w:highlight w:val="none"/>
        </w:rPr>
        <w:t xml:space="preserve">    </w:t>
      </w:r>
      <w:r>
        <w:rPr>
          <w:rFonts w:hint="eastAsia" w:ascii="仿宋" w:hAnsi="仿宋" w:eastAsia="仿宋" w:cs="仿宋"/>
          <w:color w:val="auto"/>
          <w:spacing w:val="20"/>
          <w:sz w:val="28"/>
          <w:szCs w:val="21"/>
          <w:highlight w:val="none"/>
        </w:rPr>
        <w:t>本授权书声明：注册于</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rPr>
        <w:t>（投标住址）的</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rPr>
        <w:t>（投标名称）法定代表人</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rPr>
        <w:t>（法定代表人姓名、职务）代表本公司授权在下面签字的</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rPr>
        <w:t>（投标代表姓名、职务）为本公司的合法代理人，就贵方组织的</w:t>
      </w:r>
      <w:r>
        <w:rPr>
          <w:rFonts w:hint="eastAsia" w:ascii="仿宋" w:hAnsi="仿宋" w:eastAsia="仿宋" w:cs="仿宋"/>
          <w:b/>
          <w:color w:val="auto"/>
          <w:spacing w:val="20"/>
          <w:sz w:val="28"/>
          <w:szCs w:val="21"/>
          <w:highlight w:val="none"/>
          <w:u w:val="single"/>
        </w:rPr>
        <w:t xml:space="preserve">                 </w:t>
      </w:r>
      <w:r>
        <w:rPr>
          <w:rFonts w:hint="eastAsia" w:ascii="仿宋" w:hAnsi="仿宋" w:eastAsia="仿宋" w:cs="仿宋"/>
          <w:b/>
          <w:color w:val="auto"/>
          <w:spacing w:val="20"/>
          <w:sz w:val="28"/>
          <w:szCs w:val="21"/>
          <w:highlight w:val="none"/>
        </w:rPr>
        <w:t xml:space="preserve"> </w:t>
      </w:r>
      <w:r>
        <w:rPr>
          <w:rFonts w:hint="eastAsia" w:ascii="仿宋" w:hAnsi="仿宋" w:eastAsia="仿宋" w:cs="仿宋"/>
          <w:color w:val="auto"/>
          <w:spacing w:val="20"/>
          <w:sz w:val="28"/>
          <w:szCs w:val="21"/>
          <w:highlight w:val="none"/>
        </w:rPr>
        <w:t>项目，项目编号：</w:t>
      </w:r>
      <w:r>
        <w:rPr>
          <w:rFonts w:hint="eastAsia" w:ascii="仿宋" w:hAnsi="仿宋" w:eastAsia="仿宋" w:cs="仿宋"/>
          <w:b/>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rPr>
        <w:t>，以本公司名义处理一切与之有关的事务。</w:t>
      </w:r>
    </w:p>
    <w:p>
      <w:pPr>
        <w:snapToGrid w:val="0"/>
        <w:spacing w:line="500" w:lineRule="exact"/>
        <w:rPr>
          <w:rFonts w:hint="eastAsia" w:ascii="仿宋" w:hAnsi="仿宋" w:eastAsia="仿宋" w:cs="仿宋"/>
          <w:color w:val="auto"/>
          <w:spacing w:val="20"/>
          <w:sz w:val="28"/>
          <w:szCs w:val="21"/>
          <w:highlight w:val="none"/>
        </w:rPr>
      </w:pPr>
      <w:r>
        <w:rPr>
          <w:rFonts w:hint="eastAsia" w:ascii="仿宋" w:hAnsi="仿宋" w:eastAsia="仿宋" w:cs="仿宋"/>
          <w:color w:val="auto"/>
          <w:spacing w:val="20"/>
          <w:sz w:val="28"/>
          <w:szCs w:val="21"/>
          <w:highlight w:val="none"/>
        </w:rPr>
        <w:t xml:space="preserve">    本授权书于    年  </w:t>
      </w:r>
      <w:r>
        <w:rPr>
          <w:rFonts w:hint="eastAsia" w:ascii="仿宋" w:hAnsi="仿宋" w:eastAsia="仿宋" w:cs="仿宋"/>
          <w:color w:val="auto"/>
          <w:spacing w:val="20"/>
          <w:sz w:val="28"/>
          <w:szCs w:val="21"/>
          <w:highlight w:val="none"/>
          <w:lang w:val="en-US" w:eastAsia="zh-CN"/>
        </w:rPr>
        <w:t xml:space="preserve"> </w:t>
      </w:r>
      <w:r>
        <w:rPr>
          <w:rFonts w:hint="eastAsia" w:ascii="仿宋" w:hAnsi="仿宋" w:eastAsia="仿宋" w:cs="仿宋"/>
          <w:color w:val="auto"/>
          <w:spacing w:val="20"/>
          <w:sz w:val="28"/>
          <w:szCs w:val="21"/>
          <w:highlight w:val="none"/>
        </w:rPr>
        <w:t>月  日签字生效，特此声明。</w:t>
      </w:r>
    </w:p>
    <w:p>
      <w:pPr>
        <w:snapToGrid w:val="0"/>
        <w:spacing w:line="500" w:lineRule="exact"/>
        <w:rPr>
          <w:rFonts w:hint="eastAsia" w:ascii="仿宋" w:hAnsi="仿宋" w:eastAsia="仿宋" w:cs="仿宋"/>
          <w:b/>
          <w:color w:val="auto"/>
          <w:spacing w:val="20"/>
          <w:sz w:val="28"/>
          <w:szCs w:val="21"/>
          <w:highlight w:val="none"/>
        </w:rPr>
      </w:pPr>
      <w:r>
        <w:rPr>
          <w:rFonts w:hint="eastAsia" w:ascii="仿宋" w:hAnsi="仿宋" w:eastAsia="仿宋" w:cs="仿宋"/>
          <w:color w:val="auto"/>
          <w:spacing w:val="20"/>
          <w:sz w:val="28"/>
          <w:szCs w:val="21"/>
          <w:highlight w:val="none"/>
        </w:rPr>
        <w:t xml:space="preserve">   </w:t>
      </w:r>
      <w:r>
        <w:rPr>
          <w:rFonts w:hint="eastAsia" w:ascii="仿宋" w:hAnsi="仿宋" w:eastAsia="仿宋" w:cs="仿宋"/>
          <w:b/>
          <w:color w:val="auto"/>
          <w:spacing w:val="20"/>
          <w:sz w:val="28"/>
          <w:szCs w:val="21"/>
          <w:highlight w:val="none"/>
        </w:rPr>
        <w:t xml:space="preserve"> （附法人及委托人身份证</w:t>
      </w:r>
      <w:r>
        <w:rPr>
          <w:rFonts w:hint="eastAsia" w:ascii="仿宋" w:hAnsi="仿宋" w:eastAsia="仿宋" w:cs="仿宋"/>
          <w:b/>
          <w:color w:val="auto"/>
          <w:spacing w:val="20"/>
          <w:sz w:val="28"/>
          <w:szCs w:val="21"/>
          <w:highlight w:val="none"/>
          <w:lang w:val="en-US" w:eastAsia="zh-CN"/>
        </w:rPr>
        <w:t>正反面</w:t>
      </w:r>
      <w:r>
        <w:rPr>
          <w:rFonts w:hint="eastAsia" w:ascii="仿宋" w:hAnsi="仿宋" w:eastAsia="仿宋" w:cs="仿宋"/>
          <w:b/>
          <w:color w:val="auto"/>
          <w:spacing w:val="20"/>
          <w:sz w:val="28"/>
          <w:szCs w:val="21"/>
          <w:highlight w:val="none"/>
        </w:rPr>
        <w:t>复印件）</w:t>
      </w: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u w:val="single"/>
        </w:rPr>
      </w:pPr>
      <w:r>
        <w:rPr>
          <w:rFonts w:hint="eastAsia" w:ascii="仿宋" w:hAnsi="仿宋" w:eastAsia="仿宋" w:cs="仿宋"/>
          <w:color w:val="auto"/>
          <w:spacing w:val="20"/>
          <w:sz w:val="28"/>
          <w:szCs w:val="21"/>
          <w:highlight w:val="none"/>
        </w:rPr>
        <w:t>投标单位名称（盖章）：</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p>
    <w:p>
      <w:pPr>
        <w:snapToGrid w:val="0"/>
        <w:spacing w:line="500" w:lineRule="exact"/>
        <w:ind w:firstLine="640" w:firstLineChars="200"/>
        <w:rPr>
          <w:rFonts w:hint="eastAsia" w:ascii="仿宋" w:hAnsi="仿宋" w:eastAsia="仿宋" w:cs="仿宋"/>
          <w:color w:val="auto"/>
          <w:spacing w:val="20"/>
          <w:sz w:val="28"/>
          <w:szCs w:val="21"/>
          <w:highlight w:val="none"/>
          <w:u w:val="single"/>
        </w:rPr>
      </w:pPr>
      <w:r>
        <w:rPr>
          <w:rFonts w:hint="eastAsia" w:ascii="仿宋" w:hAnsi="仿宋" w:eastAsia="仿宋" w:cs="仿宋"/>
          <w:color w:val="auto"/>
          <w:spacing w:val="20"/>
          <w:sz w:val="28"/>
          <w:szCs w:val="21"/>
          <w:highlight w:val="none"/>
        </w:rPr>
        <w:t>法定代表人姓名：</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p>
    <w:p>
      <w:pPr>
        <w:snapToGrid w:val="0"/>
        <w:spacing w:line="500" w:lineRule="exact"/>
        <w:ind w:firstLine="640" w:firstLineChars="200"/>
        <w:rPr>
          <w:rFonts w:hint="eastAsia" w:ascii="仿宋" w:hAnsi="仿宋" w:eastAsia="仿宋" w:cs="仿宋"/>
          <w:color w:val="auto"/>
          <w:spacing w:val="20"/>
          <w:sz w:val="28"/>
          <w:szCs w:val="21"/>
          <w:highlight w:val="none"/>
          <w:u w:val="single"/>
        </w:rPr>
      </w:pPr>
      <w:r>
        <w:rPr>
          <w:rFonts w:hint="eastAsia" w:ascii="仿宋" w:hAnsi="仿宋" w:eastAsia="仿宋" w:cs="仿宋"/>
          <w:color w:val="auto"/>
          <w:spacing w:val="20"/>
          <w:sz w:val="28"/>
          <w:szCs w:val="21"/>
          <w:highlight w:val="none"/>
        </w:rPr>
        <w:t>法定代表人身份证号：</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p>
    <w:p>
      <w:pPr>
        <w:snapToGrid w:val="0"/>
        <w:spacing w:line="500" w:lineRule="exact"/>
        <w:ind w:firstLine="640" w:firstLineChars="200"/>
        <w:rPr>
          <w:rFonts w:hint="eastAsia" w:ascii="仿宋" w:hAnsi="仿宋" w:eastAsia="仿宋" w:cs="仿宋"/>
          <w:color w:val="auto"/>
          <w:spacing w:val="20"/>
          <w:sz w:val="28"/>
          <w:szCs w:val="21"/>
          <w:highlight w:val="none"/>
          <w:u w:val="single"/>
        </w:rPr>
      </w:pPr>
      <w:r>
        <w:rPr>
          <w:rFonts w:hint="eastAsia" w:ascii="仿宋" w:hAnsi="仿宋" w:eastAsia="仿宋" w:cs="仿宋"/>
          <w:color w:val="auto"/>
          <w:spacing w:val="20"/>
          <w:sz w:val="28"/>
          <w:szCs w:val="21"/>
          <w:highlight w:val="none"/>
        </w:rPr>
        <w:t>委托人姓名：</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p>
    <w:p>
      <w:pPr>
        <w:snapToGrid w:val="0"/>
        <w:spacing w:line="500" w:lineRule="exact"/>
        <w:ind w:firstLine="640" w:firstLineChars="200"/>
        <w:rPr>
          <w:rFonts w:hint="eastAsia" w:ascii="仿宋" w:hAnsi="仿宋" w:eastAsia="仿宋" w:cs="仿宋"/>
          <w:color w:val="auto"/>
          <w:spacing w:val="20"/>
          <w:sz w:val="28"/>
          <w:szCs w:val="21"/>
          <w:highlight w:val="none"/>
          <w:u w:val="single"/>
        </w:rPr>
      </w:pPr>
      <w:r>
        <w:rPr>
          <w:rFonts w:hint="eastAsia" w:ascii="仿宋" w:hAnsi="仿宋" w:eastAsia="仿宋" w:cs="仿宋"/>
          <w:color w:val="auto"/>
          <w:spacing w:val="20"/>
          <w:sz w:val="28"/>
          <w:szCs w:val="21"/>
          <w:highlight w:val="none"/>
        </w:rPr>
        <w:t>委托人身份证号：</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p>
    <w:p>
      <w:pPr>
        <w:spacing w:line="500" w:lineRule="exact"/>
        <w:jc w:val="center"/>
        <w:rPr>
          <w:rFonts w:hint="eastAsia" w:ascii="仿宋" w:hAnsi="仿宋" w:eastAsia="仿宋" w:cs="仿宋"/>
          <w:color w:val="auto"/>
          <w:spacing w:val="20"/>
          <w:sz w:val="32"/>
          <w:szCs w:val="32"/>
          <w:highlight w:val="none"/>
        </w:rPr>
      </w:pPr>
    </w:p>
    <w:p>
      <w:pPr>
        <w:snapToGrid w:val="0"/>
        <w:spacing w:line="500" w:lineRule="exact"/>
        <w:ind w:left="640" w:hanging="720" w:hangingChars="200"/>
        <w:rPr>
          <w:rFonts w:hint="eastAsia" w:ascii="仿宋" w:hAnsi="仿宋" w:eastAsia="仿宋" w:cs="仿宋"/>
          <w:color w:val="auto"/>
          <w:spacing w:val="20"/>
          <w:sz w:val="32"/>
          <w:szCs w:val="32"/>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r>
        <w:rPr>
          <w:rFonts w:hint="eastAsia" w:ascii="仿宋" w:hAnsi="仿宋" w:eastAsia="仿宋" w:cs="仿宋"/>
          <w:b/>
          <w:color w:val="auto"/>
          <w:spacing w:val="20"/>
          <w:sz w:val="28"/>
          <w:szCs w:val="28"/>
          <w:highlight w:val="none"/>
        </w:rPr>
        <w:t>注：除可填报项目外，对本报价函的任何修改将被视为非实质性响应报价，从而导致该报价被拒绝。</w:t>
      </w:r>
    </w:p>
    <w:p>
      <w:pPr>
        <w:spacing w:line="500" w:lineRule="exact"/>
        <w:jc w:val="center"/>
        <w:rPr>
          <w:rFonts w:hint="eastAsia" w:ascii="仿宋" w:hAnsi="仿宋" w:eastAsia="仿宋" w:cs="仿宋"/>
          <w:color w:val="auto"/>
          <w:spacing w:val="20"/>
          <w:sz w:val="28"/>
          <w:szCs w:val="28"/>
          <w:highlight w:val="none"/>
        </w:rPr>
      </w:pPr>
    </w:p>
    <w:p>
      <w:pPr>
        <w:spacing w:line="500" w:lineRule="exact"/>
        <w:jc w:val="center"/>
        <w:rPr>
          <w:rFonts w:hint="eastAsia" w:ascii="仿宋" w:hAnsi="仿宋" w:eastAsia="仿宋" w:cs="仿宋"/>
          <w:b/>
          <w:bCs/>
          <w:color w:val="auto"/>
          <w:spacing w:val="20"/>
          <w:sz w:val="36"/>
          <w:szCs w:val="36"/>
          <w:highlight w:val="none"/>
          <w:lang w:eastAsia="zh-CN"/>
        </w:rPr>
      </w:pPr>
      <w:bookmarkStart w:id="49" w:name="_Toc27318_WPSOffice_Level2"/>
      <w:r>
        <w:rPr>
          <w:rFonts w:hint="eastAsia" w:ascii="仿宋" w:hAnsi="仿宋" w:eastAsia="仿宋" w:cs="仿宋"/>
          <w:b/>
          <w:bCs/>
          <w:color w:val="auto"/>
          <w:spacing w:val="20"/>
          <w:sz w:val="36"/>
          <w:szCs w:val="36"/>
          <w:highlight w:val="none"/>
          <w:lang w:eastAsia="zh-CN"/>
        </w:rPr>
        <w:t>五、</w:t>
      </w:r>
      <w:r>
        <w:rPr>
          <w:rFonts w:hint="eastAsia" w:ascii="仿宋" w:hAnsi="仿宋" w:eastAsia="仿宋" w:cs="仿宋"/>
          <w:b/>
          <w:bCs/>
          <w:color w:val="auto"/>
          <w:spacing w:val="20"/>
          <w:sz w:val="36"/>
          <w:szCs w:val="36"/>
          <w:highlight w:val="none"/>
          <w:lang w:val="en-US" w:eastAsia="zh-CN"/>
        </w:rPr>
        <w:t>开标</w:t>
      </w:r>
      <w:r>
        <w:rPr>
          <w:rFonts w:hint="eastAsia" w:ascii="仿宋" w:hAnsi="仿宋" w:eastAsia="仿宋" w:cs="仿宋"/>
          <w:b/>
          <w:bCs/>
          <w:color w:val="auto"/>
          <w:spacing w:val="20"/>
          <w:sz w:val="36"/>
          <w:szCs w:val="36"/>
          <w:highlight w:val="none"/>
          <w:lang w:eastAsia="zh-CN"/>
        </w:rPr>
        <w:t>一览表（格式）</w:t>
      </w:r>
      <w:bookmarkEnd w:id="49"/>
    </w:p>
    <w:p>
      <w:pPr>
        <w:spacing w:line="500" w:lineRule="exact"/>
        <w:jc w:val="right"/>
        <w:rPr>
          <w:rFonts w:hint="eastAsia" w:ascii="仿宋" w:hAnsi="仿宋" w:eastAsia="仿宋" w:cs="仿宋"/>
          <w:color w:val="auto"/>
          <w:spacing w:val="20"/>
          <w:sz w:val="28"/>
          <w:szCs w:val="28"/>
          <w:highlight w:val="none"/>
        </w:rPr>
      </w:pPr>
      <w:r>
        <w:rPr>
          <w:rFonts w:hint="eastAsia" w:ascii="仿宋" w:hAnsi="仿宋" w:eastAsia="仿宋" w:cs="仿宋"/>
          <w:bCs/>
          <w:color w:val="auto"/>
          <w:sz w:val="28"/>
          <w:szCs w:val="28"/>
          <w:highlight w:val="none"/>
        </w:rPr>
        <w:t>货币：人民币/元</w:t>
      </w:r>
    </w:p>
    <w:p>
      <w:pPr>
        <w:pStyle w:val="33"/>
        <w:adjustRightInd w:val="0"/>
        <w:snapToGrid w:val="0"/>
        <w:spacing w:line="500" w:lineRule="exact"/>
        <w:ind w:left="0" w:firstLine="0"/>
        <w:rPr>
          <w:rFonts w:ascii="宋体" w:hAnsi="宋体"/>
          <w:szCs w:val="28"/>
          <w:highlight w:val="none"/>
        </w:rPr>
      </w:pPr>
      <w:r>
        <w:rPr>
          <w:rFonts w:hint="eastAsia" w:ascii="宋体" w:hAnsi="宋体"/>
          <w:szCs w:val="28"/>
          <w:highlight w:val="none"/>
        </w:rPr>
        <w:t>项目编号：</w:t>
      </w:r>
      <w:r>
        <w:rPr>
          <w:rFonts w:hint="eastAsia" w:ascii="宋体" w:hAnsi="宋体"/>
          <w:szCs w:val="28"/>
          <w:highlight w:val="none"/>
          <w:u w:val="single"/>
        </w:rPr>
        <w:t xml:space="preserve">                        </w:t>
      </w:r>
      <w:r>
        <w:rPr>
          <w:rFonts w:hint="eastAsia" w:ascii="宋体" w:hAnsi="宋体"/>
          <w:szCs w:val="28"/>
          <w:highlight w:val="none"/>
        </w:rPr>
        <w:t xml:space="preserve">        </w:t>
      </w:r>
    </w:p>
    <w:p>
      <w:pPr>
        <w:pStyle w:val="33"/>
        <w:adjustRightInd w:val="0"/>
        <w:snapToGrid w:val="0"/>
        <w:spacing w:line="500" w:lineRule="exact"/>
        <w:ind w:left="1" w:hanging="1"/>
        <w:rPr>
          <w:rFonts w:hint="eastAsia" w:ascii="宋体" w:hAnsi="宋体"/>
          <w:szCs w:val="28"/>
          <w:highlight w:val="none"/>
          <w:u w:val="single"/>
        </w:rPr>
      </w:pPr>
      <w:r>
        <w:rPr>
          <w:rFonts w:hint="eastAsia" w:ascii="宋体" w:hAnsi="宋体"/>
          <w:szCs w:val="28"/>
          <w:highlight w:val="none"/>
        </w:rPr>
        <w:t>项目名称：</w:t>
      </w:r>
      <w:r>
        <w:rPr>
          <w:rFonts w:hint="eastAsia" w:ascii="宋体" w:hAnsi="宋体"/>
          <w:szCs w:val="28"/>
          <w:highlight w:val="none"/>
          <w:u w:val="single"/>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410" w:type="dxa"/>
            <w:tcBorders>
              <w:bottom w:val="single" w:color="auto" w:sz="4" w:space="0"/>
            </w:tcBorders>
            <w:noWrap w:val="0"/>
            <w:vAlign w:val="center"/>
          </w:tcPr>
          <w:p>
            <w:pPr>
              <w:tabs>
                <w:tab w:val="left" w:pos="1337"/>
              </w:tabs>
              <w:spacing w:line="360" w:lineRule="auto"/>
              <w:jc w:val="center"/>
              <w:rPr>
                <w:rFonts w:hint="eastAsia" w:eastAsia="黑体"/>
                <w:sz w:val="28"/>
                <w:szCs w:val="28"/>
                <w:highlight w:val="none"/>
              </w:rPr>
            </w:pPr>
            <w:r>
              <w:rPr>
                <w:rFonts w:hint="eastAsia" w:ascii="黑体"/>
                <w:bCs/>
                <w:sz w:val="28"/>
                <w:szCs w:val="28"/>
                <w:highlight w:val="none"/>
              </w:rPr>
              <w:t>项目名称</w:t>
            </w:r>
          </w:p>
        </w:tc>
        <w:tc>
          <w:tcPr>
            <w:tcW w:w="6770" w:type="dxa"/>
            <w:tcBorders>
              <w:bottom w:val="single" w:color="auto" w:sz="4" w:space="0"/>
            </w:tcBorders>
            <w:noWrap w:val="0"/>
            <w:vAlign w:val="center"/>
          </w:tcPr>
          <w:p>
            <w:pPr>
              <w:tabs>
                <w:tab w:val="left" w:pos="1337"/>
              </w:tabs>
              <w:spacing w:line="360" w:lineRule="auto"/>
              <w:jc w:val="center"/>
              <w:rPr>
                <w:rFonts w:hint="eastAsia" w:ascii="黑体"/>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5" w:hRule="atLeast"/>
          <w:jc w:val="center"/>
        </w:trPr>
        <w:tc>
          <w:tcPr>
            <w:tcW w:w="2410" w:type="dxa"/>
            <w:noWrap w:val="0"/>
            <w:vAlign w:val="center"/>
          </w:tcPr>
          <w:p>
            <w:pPr>
              <w:tabs>
                <w:tab w:val="left" w:pos="1337"/>
              </w:tabs>
              <w:spacing w:line="360" w:lineRule="auto"/>
              <w:jc w:val="center"/>
              <w:rPr>
                <w:rFonts w:hint="eastAsia"/>
                <w:sz w:val="28"/>
                <w:szCs w:val="28"/>
                <w:highlight w:val="none"/>
              </w:rPr>
            </w:pPr>
            <w:r>
              <w:rPr>
                <w:rFonts w:hint="eastAsia" w:ascii="黑体"/>
                <w:bCs/>
                <w:sz w:val="28"/>
                <w:szCs w:val="28"/>
                <w:highlight w:val="none"/>
              </w:rPr>
              <w:t>投标</w:t>
            </w:r>
            <w:r>
              <w:rPr>
                <w:rFonts w:hint="eastAsia" w:ascii="黑体"/>
                <w:bCs/>
                <w:sz w:val="28"/>
                <w:szCs w:val="28"/>
                <w:highlight w:val="none"/>
                <w:lang w:eastAsia="zh-CN"/>
              </w:rPr>
              <w:t>总</w:t>
            </w:r>
            <w:r>
              <w:rPr>
                <w:rFonts w:hint="eastAsia" w:ascii="黑体"/>
                <w:bCs/>
                <w:sz w:val="28"/>
                <w:szCs w:val="28"/>
                <w:highlight w:val="none"/>
              </w:rPr>
              <w:t>报价</w:t>
            </w:r>
          </w:p>
        </w:tc>
        <w:tc>
          <w:tcPr>
            <w:tcW w:w="6770" w:type="dxa"/>
            <w:noWrap w:val="0"/>
            <w:vAlign w:val="top"/>
          </w:tcPr>
          <w:p>
            <w:pPr>
              <w:tabs>
                <w:tab w:val="left" w:pos="1337"/>
              </w:tabs>
              <w:spacing w:line="360" w:lineRule="auto"/>
              <w:rPr>
                <w:rFonts w:hint="eastAsia" w:ascii="黑体"/>
                <w:bCs/>
                <w:sz w:val="28"/>
                <w:szCs w:val="28"/>
                <w:highlight w:val="none"/>
              </w:rPr>
            </w:pPr>
          </w:p>
          <w:p>
            <w:pPr>
              <w:tabs>
                <w:tab w:val="left" w:pos="1337"/>
              </w:tabs>
              <w:spacing w:line="360" w:lineRule="auto"/>
              <w:rPr>
                <w:rFonts w:hint="eastAsia" w:ascii="黑体"/>
                <w:bCs/>
                <w:sz w:val="28"/>
                <w:szCs w:val="28"/>
                <w:highlight w:val="none"/>
              </w:rPr>
            </w:pPr>
            <w:r>
              <w:rPr>
                <w:rFonts w:hint="eastAsia" w:ascii="黑体"/>
                <w:bCs/>
                <w:sz w:val="28"/>
                <w:szCs w:val="28"/>
                <w:highlight w:val="none"/>
              </w:rPr>
              <w:t>小写：</w:t>
            </w:r>
            <w:r>
              <w:rPr>
                <w:rFonts w:hint="eastAsia" w:ascii="黑体"/>
                <w:bCs/>
                <w:sz w:val="28"/>
                <w:szCs w:val="28"/>
                <w:highlight w:val="none"/>
                <w:u w:val="single"/>
              </w:rPr>
              <w:t xml:space="preserve">                               </w:t>
            </w:r>
          </w:p>
          <w:p>
            <w:pPr>
              <w:tabs>
                <w:tab w:val="left" w:pos="1337"/>
              </w:tabs>
              <w:spacing w:line="360" w:lineRule="auto"/>
              <w:rPr>
                <w:rFonts w:hint="eastAsia" w:ascii="黑体"/>
                <w:bCs/>
                <w:sz w:val="28"/>
                <w:szCs w:val="28"/>
                <w:highlight w:val="none"/>
              </w:rPr>
            </w:pPr>
          </w:p>
          <w:p>
            <w:pPr>
              <w:tabs>
                <w:tab w:val="left" w:pos="1337"/>
              </w:tabs>
              <w:spacing w:line="360" w:lineRule="auto"/>
              <w:rPr>
                <w:rFonts w:hint="eastAsia" w:ascii="黑体"/>
                <w:bCs/>
                <w:sz w:val="28"/>
                <w:szCs w:val="28"/>
                <w:highlight w:val="none"/>
              </w:rPr>
            </w:pPr>
            <w:r>
              <w:rPr>
                <w:rFonts w:hint="eastAsia" w:ascii="黑体"/>
                <w:bCs/>
                <w:sz w:val="28"/>
                <w:szCs w:val="28"/>
                <w:highlight w:val="none"/>
              </w:rPr>
              <w:t>大写：</w:t>
            </w:r>
            <w:r>
              <w:rPr>
                <w:rFonts w:hint="eastAsia" w:ascii="黑体"/>
                <w:bCs/>
                <w:sz w:val="28"/>
                <w:szCs w:val="28"/>
                <w:highlight w:val="none"/>
                <w:u w:val="single"/>
              </w:rPr>
              <w:t xml:space="preserve">                               </w:t>
            </w:r>
          </w:p>
          <w:p>
            <w:pPr>
              <w:tabs>
                <w:tab w:val="left" w:pos="1337"/>
              </w:tabs>
              <w:spacing w:line="360" w:lineRule="auto"/>
              <w:rPr>
                <w:rFonts w:hint="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noWrap w:val="0"/>
            <w:vAlign w:val="top"/>
          </w:tcPr>
          <w:p>
            <w:pPr>
              <w:tabs>
                <w:tab w:val="left" w:pos="1337"/>
              </w:tabs>
              <w:spacing w:line="360" w:lineRule="auto"/>
              <w:jc w:val="center"/>
              <w:rPr>
                <w:rFonts w:hint="eastAsia" w:eastAsia="宋体"/>
                <w:sz w:val="28"/>
                <w:szCs w:val="28"/>
                <w:highlight w:val="none"/>
                <w:lang w:eastAsia="zh-CN"/>
              </w:rPr>
            </w:pPr>
            <w:r>
              <w:rPr>
                <w:rFonts w:hint="eastAsia" w:ascii="黑体"/>
                <w:bCs/>
                <w:sz w:val="28"/>
                <w:szCs w:val="28"/>
                <w:highlight w:val="none"/>
                <w:lang w:val="en-US" w:eastAsia="zh-CN"/>
              </w:rPr>
              <w:t>供货期</w:t>
            </w:r>
          </w:p>
        </w:tc>
        <w:tc>
          <w:tcPr>
            <w:tcW w:w="6770" w:type="dxa"/>
            <w:noWrap w:val="0"/>
            <w:vAlign w:val="top"/>
          </w:tcPr>
          <w:p>
            <w:pPr>
              <w:tabs>
                <w:tab w:val="left" w:pos="1337"/>
              </w:tabs>
              <w:spacing w:line="360" w:lineRule="auto"/>
              <w:rPr>
                <w:rFonts w:hint="eastAsia" w:eastAsia="宋体"/>
                <w:sz w:val="28"/>
                <w:szCs w:val="28"/>
                <w:highlight w:val="none"/>
                <w:u w:val="single"/>
                <w:lang w:val="en-US" w:eastAsia="zh-CN"/>
              </w:rPr>
            </w:pPr>
            <w:r>
              <w:rPr>
                <w:rFonts w:hint="eastAsia"/>
                <w:sz w:val="28"/>
                <w:szCs w:val="28"/>
                <w:highlight w:val="none"/>
                <w:u w:val="single"/>
                <w:lang w:val="en-US" w:eastAsia="zh-CN"/>
              </w:rPr>
              <w:t xml:space="preserve">     </w:t>
            </w:r>
            <w:r>
              <w:rPr>
                <w:rFonts w:hint="eastAsia"/>
                <w:sz w:val="28"/>
                <w:szCs w:val="28"/>
                <w:highlight w:val="none"/>
                <w:u w:val="none"/>
                <w:lang w:val="en-US"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noWrap w:val="0"/>
            <w:vAlign w:val="top"/>
          </w:tcPr>
          <w:p>
            <w:pPr>
              <w:tabs>
                <w:tab w:val="left" w:pos="1337"/>
              </w:tabs>
              <w:spacing w:line="360" w:lineRule="auto"/>
              <w:jc w:val="center"/>
              <w:rPr>
                <w:rFonts w:hint="default" w:ascii="黑体"/>
                <w:bCs/>
                <w:sz w:val="28"/>
                <w:szCs w:val="28"/>
                <w:highlight w:val="none"/>
                <w:lang w:val="en-US" w:eastAsia="zh-CN"/>
              </w:rPr>
            </w:pPr>
            <w:r>
              <w:rPr>
                <w:rFonts w:hint="eastAsia" w:ascii="黑体"/>
                <w:bCs/>
                <w:sz w:val="28"/>
                <w:szCs w:val="28"/>
                <w:highlight w:val="none"/>
                <w:lang w:val="en-US" w:eastAsia="zh-CN"/>
              </w:rPr>
              <w:t>质量标准</w:t>
            </w:r>
          </w:p>
        </w:tc>
        <w:tc>
          <w:tcPr>
            <w:tcW w:w="6770" w:type="dxa"/>
            <w:noWrap w:val="0"/>
            <w:vAlign w:val="top"/>
          </w:tcPr>
          <w:p>
            <w:pPr>
              <w:tabs>
                <w:tab w:val="left" w:pos="1337"/>
              </w:tabs>
              <w:spacing w:line="360" w:lineRule="auto"/>
              <w:rPr>
                <w:rFonts w:hint="eastAsia"/>
                <w:sz w:val="28"/>
                <w:szCs w:val="28"/>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noWrap w:val="0"/>
            <w:vAlign w:val="top"/>
          </w:tcPr>
          <w:p>
            <w:pPr>
              <w:tabs>
                <w:tab w:val="left" w:pos="1337"/>
              </w:tabs>
              <w:spacing w:line="360" w:lineRule="auto"/>
              <w:rPr>
                <w:rFonts w:hint="eastAsia"/>
                <w:sz w:val="28"/>
                <w:szCs w:val="28"/>
                <w:highlight w:val="none"/>
              </w:rPr>
            </w:pPr>
            <w:r>
              <w:rPr>
                <w:rFonts w:hint="eastAsia" w:ascii="黑体"/>
                <w:bCs/>
                <w:sz w:val="28"/>
                <w:szCs w:val="28"/>
                <w:highlight w:val="none"/>
              </w:rPr>
              <w:t>备注：</w:t>
            </w:r>
          </w:p>
        </w:tc>
      </w:tr>
    </w:tbl>
    <w:p>
      <w:pPr>
        <w:pStyle w:val="33"/>
        <w:adjustRightInd w:val="0"/>
        <w:snapToGrid w:val="0"/>
        <w:spacing w:line="400" w:lineRule="exact"/>
        <w:ind w:left="0" w:leftChars="0" w:firstLine="0" w:firstLineChars="0"/>
        <w:rPr>
          <w:rFonts w:hint="eastAsia" w:ascii="宋体" w:hAnsi="宋体"/>
          <w:szCs w:val="28"/>
          <w:highlight w:val="none"/>
        </w:rPr>
      </w:pPr>
      <w:r>
        <w:rPr>
          <w:rFonts w:hint="eastAsia" w:ascii="宋体" w:hAnsi="宋体"/>
          <w:szCs w:val="28"/>
          <w:highlight w:val="none"/>
        </w:rPr>
        <w:t>说明：1．所有价格均用人民币表示，单位为元。</w:t>
      </w:r>
    </w:p>
    <w:p>
      <w:pPr>
        <w:pStyle w:val="33"/>
        <w:spacing w:line="300" w:lineRule="auto"/>
        <w:ind w:left="1152" w:leftChars="304" w:hanging="422" w:hangingChars="151"/>
        <w:rPr>
          <w:rFonts w:hint="eastAsia" w:ascii="宋体" w:hAnsi="宋体"/>
          <w:szCs w:val="28"/>
          <w:highlight w:val="none"/>
        </w:rPr>
      </w:pPr>
      <w:r>
        <w:rPr>
          <w:rFonts w:hint="eastAsia" w:ascii="宋体" w:hAnsi="宋体"/>
          <w:szCs w:val="28"/>
          <w:highlight w:val="none"/>
        </w:rPr>
        <w:t>2、本项目总报价为货款、包装费、运杂费、安装测试费、技术培训费、售后服务开支、风险费、税金、利润等各种应有费用的总和。</w:t>
      </w:r>
    </w:p>
    <w:p>
      <w:pPr>
        <w:pStyle w:val="33"/>
        <w:adjustRightInd w:val="0"/>
        <w:snapToGrid w:val="0"/>
        <w:spacing w:line="500" w:lineRule="exact"/>
        <w:ind w:left="1777" w:leftChars="470" w:hanging="649" w:hangingChars="232"/>
        <w:rPr>
          <w:rFonts w:ascii="宋体" w:hAnsi="宋体"/>
          <w:szCs w:val="28"/>
          <w:highlight w:val="none"/>
          <w:u w:val="single"/>
        </w:rPr>
      </w:pPr>
      <w:r>
        <w:rPr>
          <w:rFonts w:hint="eastAsia" w:ascii="宋体" w:hAnsi="宋体"/>
          <w:szCs w:val="28"/>
          <w:highlight w:val="none"/>
        </w:rPr>
        <w:t>供应商名称（</w:t>
      </w:r>
      <w:r>
        <w:rPr>
          <w:rFonts w:hint="eastAsia" w:ascii="宋体" w:hAnsi="宋体"/>
          <w:szCs w:val="28"/>
          <w:highlight w:val="none"/>
          <w:lang w:eastAsia="zh-CN"/>
        </w:rPr>
        <w:t>公</w:t>
      </w:r>
      <w:r>
        <w:rPr>
          <w:rFonts w:hint="eastAsia" w:ascii="宋体" w:hAnsi="宋体"/>
          <w:szCs w:val="28"/>
          <w:highlight w:val="none"/>
        </w:rPr>
        <w:t>章）：</w:t>
      </w:r>
      <w:r>
        <w:rPr>
          <w:rFonts w:hint="eastAsia" w:ascii="宋体" w:hAnsi="宋体"/>
          <w:szCs w:val="28"/>
          <w:highlight w:val="none"/>
          <w:u w:val="single"/>
        </w:rPr>
        <w:t xml:space="preserve">                       </w:t>
      </w:r>
    </w:p>
    <w:p>
      <w:pPr>
        <w:pStyle w:val="33"/>
        <w:adjustRightInd w:val="0"/>
        <w:snapToGrid w:val="0"/>
        <w:spacing w:line="500" w:lineRule="exact"/>
        <w:ind w:left="1777" w:leftChars="470" w:hanging="649" w:hangingChars="232"/>
        <w:rPr>
          <w:rFonts w:ascii="宋体" w:hAnsi="宋体"/>
          <w:szCs w:val="28"/>
          <w:highlight w:val="none"/>
        </w:rPr>
      </w:pPr>
      <w:r>
        <w:rPr>
          <w:rFonts w:hint="eastAsia" w:ascii="宋体" w:hAnsi="宋体"/>
          <w:szCs w:val="28"/>
          <w:highlight w:val="none"/>
        </w:rPr>
        <w:t>供应商法定代表人</w:t>
      </w:r>
      <w:r>
        <w:rPr>
          <w:rFonts w:hint="eastAsia" w:ascii="宋体" w:hAnsi="宋体"/>
          <w:szCs w:val="28"/>
          <w:highlight w:val="none"/>
          <w:lang w:eastAsia="zh-CN"/>
        </w:rPr>
        <w:t>或授权委托人</w:t>
      </w:r>
      <w:r>
        <w:rPr>
          <w:rFonts w:hint="eastAsia" w:ascii="宋体" w:hAnsi="宋体"/>
          <w:szCs w:val="28"/>
          <w:highlight w:val="none"/>
        </w:rPr>
        <w:t>（</w:t>
      </w:r>
      <w:r>
        <w:rPr>
          <w:rFonts w:hint="eastAsia" w:ascii="宋体" w:hAnsi="宋体"/>
          <w:szCs w:val="28"/>
          <w:highlight w:val="none"/>
          <w:lang w:eastAsia="zh-CN"/>
        </w:rPr>
        <w:t>签字或盖章</w:t>
      </w:r>
      <w:r>
        <w:rPr>
          <w:rFonts w:hint="eastAsia" w:ascii="宋体" w:hAnsi="宋体"/>
          <w:szCs w:val="28"/>
          <w:highlight w:val="none"/>
        </w:rPr>
        <w:t>）：</w:t>
      </w:r>
      <w:r>
        <w:rPr>
          <w:rFonts w:hint="eastAsia" w:ascii="宋体" w:hAnsi="宋体"/>
          <w:szCs w:val="28"/>
          <w:highlight w:val="none"/>
          <w:u w:val="single"/>
        </w:rPr>
        <w:t xml:space="preserve">                 </w:t>
      </w:r>
    </w:p>
    <w:p>
      <w:pPr>
        <w:pStyle w:val="33"/>
        <w:adjustRightInd w:val="0"/>
        <w:snapToGrid w:val="0"/>
        <w:spacing w:line="500" w:lineRule="exact"/>
        <w:ind w:left="1777" w:leftChars="470" w:hanging="649" w:hangingChars="232"/>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 xml:space="preserve"> 月</w:t>
      </w:r>
      <w:r>
        <w:rPr>
          <w:rFonts w:hint="eastAsia" w:ascii="宋体" w:hAnsi="宋体"/>
          <w:szCs w:val="28"/>
          <w:highlight w:val="none"/>
          <w:u w:val="single"/>
        </w:rPr>
        <w:t xml:space="preserve">    </w:t>
      </w:r>
      <w:r>
        <w:rPr>
          <w:rFonts w:hint="eastAsia" w:ascii="宋体" w:hAnsi="宋体"/>
          <w:szCs w:val="28"/>
          <w:highlight w:val="none"/>
        </w:rPr>
        <w:t xml:space="preserve"> 日</w:t>
      </w:r>
    </w:p>
    <w:p>
      <w:pPr>
        <w:spacing w:line="500" w:lineRule="exact"/>
        <w:jc w:val="both"/>
        <w:rPr>
          <w:rFonts w:hint="eastAsia" w:ascii="仿宋" w:hAnsi="仿宋" w:eastAsia="仿宋" w:cs="仿宋"/>
          <w:color w:val="auto"/>
          <w:spacing w:val="20"/>
          <w:sz w:val="28"/>
          <w:szCs w:val="28"/>
          <w:highlight w:val="none"/>
          <w:lang w:eastAsia="zh-CN"/>
        </w:rPr>
      </w:pPr>
    </w:p>
    <w:p>
      <w:pPr>
        <w:spacing w:line="500" w:lineRule="exact"/>
        <w:jc w:val="center"/>
        <w:rPr>
          <w:rFonts w:hint="eastAsia" w:ascii="仿宋" w:hAnsi="仿宋" w:eastAsia="仿宋" w:cs="仿宋"/>
          <w:color w:val="auto"/>
          <w:spacing w:val="20"/>
          <w:sz w:val="28"/>
          <w:szCs w:val="28"/>
          <w:highlight w:val="none"/>
          <w:lang w:eastAsia="zh-CN"/>
        </w:rPr>
      </w:pPr>
    </w:p>
    <w:p>
      <w:pPr>
        <w:spacing w:line="500" w:lineRule="exact"/>
        <w:jc w:val="center"/>
        <w:rPr>
          <w:rFonts w:hint="eastAsia" w:ascii="仿宋" w:hAnsi="仿宋" w:eastAsia="仿宋" w:cs="仿宋"/>
          <w:b/>
          <w:bCs/>
          <w:color w:val="auto"/>
          <w:spacing w:val="20"/>
          <w:sz w:val="36"/>
          <w:szCs w:val="36"/>
          <w:highlight w:val="none"/>
          <w:lang w:eastAsia="zh-CN"/>
        </w:rPr>
      </w:pPr>
      <w:bookmarkStart w:id="50" w:name="_Toc31466_WPSOffice_Level2"/>
      <w:r>
        <w:rPr>
          <w:rFonts w:hint="eastAsia" w:ascii="仿宋" w:hAnsi="仿宋" w:eastAsia="仿宋" w:cs="仿宋"/>
          <w:b/>
          <w:bCs/>
          <w:color w:val="auto"/>
          <w:spacing w:val="20"/>
          <w:sz w:val="36"/>
          <w:szCs w:val="36"/>
          <w:highlight w:val="none"/>
          <w:lang w:eastAsia="zh-CN"/>
        </w:rPr>
        <w:t>六、</w:t>
      </w:r>
      <w:r>
        <w:rPr>
          <w:rFonts w:hint="eastAsia" w:ascii="仿宋" w:hAnsi="仿宋" w:eastAsia="仿宋" w:cs="仿宋"/>
          <w:b/>
          <w:bCs/>
          <w:color w:val="auto"/>
          <w:spacing w:val="20"/>
          <w:sz w:val="36"/>
          <w:szCs w:val="36"/>
          <w:highlight w:val="none"/>
          <w:lang w:val="en-US" w:eastAsia="zh-CN"/>
        </w:rPr>
        <w:t>报价</w:t>
      </w:r>
      <w:r>
        <w:rPr>
          <w:rFonts w:hint="eastAsia" w:ascii="仿宋" w:hAnsi="仿宋" w:eastAsia="仿宋" w:cs="仿宋"/>
          <w:b/>
          <w:bCs/>
          <w:color w:val="auto"/>
          <w:spacing w:val="20"/>
          <w:sz w:val="36"/>
          <w:szCs w:val="36"/>
          <w:highlight w:val="none"/>
          <w:lang w:eastAsia="zh-CN"/>
        </w:rPr>
        <w:t>明细报表</w:t>
      </w:r>
      <w:bookmarkEnd w:id="50"/>
    </w:p>
    <w:p>
      <w:pPr>
        <w:spacing w:line="500" w:lineRule="exact"/>
        <w:jc w:val="right"/>
        <w:rPr>
          <w:rFonts w:hint="eastAsia" w:ascii="宋体" w:hAnsi="宋体"/>
          <w:color w:val="auto"/>
          <w:spacing w:val="20"/>
          <w:sz w:val="28"/>
          <w:szCs w:val="28"/>
          <w:highlight w:val="none"/>
        </w:rPr>
      </w:pPr>
      <w:r>
        <w:rPr>
          <w:rFonts w:hint="eastAsia" w:ascii="宋体" w:hAnsi="宋体"/>
          <w:bCs/>
          <w:color w:val="auto"/>
          <w:sz w:val="28"/>
          <w:szCs w:val="28"/>
          <w:highlight w:val="none"/>
        </w:rPr>
        <w:t>货币：人民币/元</w:t>
      </w:r>
    </w:p>
    <w:p>
      <w:pPr>
        <w:pStyle w:val="33"/>
        <w:adjustRightInd w:val="0"/>
        <w:snapToGrid w:val="0"/>
        <w:spacing w:line="500" w:lineRule="exact"/>
        <w:rPr>
          <w:rFonts w:ascii="宋体" w:hAnsi="宋体"/>
          <w:szCs w:val="28"/>
          <w:highlight w:val="none"/>
        </w:rPr>
      </w:pPr>
      <w:r>
        <w:rPr>
          <w:rFonts w:hint="eastAsia" w:ascii="宋体" w:hAnsi="宋体"/>
          <w:szCs w:val="28"/>
          <w:highlight w:val="none"/>
        </w:rPr>
        <w:t>项目编号：</w:t>
      </w:r>
      <w:r>
        <w:rPr>
          <w:rFonts w:hint="eastAsia" w:ascii="宋体" w:hAnsi="宋体"/>
          <w:szCs w:val="28"/>
          <w:highlight w:val="none"/>
          <w:u w:val="single"/>
        </w:rPr>
        <w:t xml:space="preserve">                          </w:t>
      </w:r>
      <w:r>
        <w:rPr>
          <w:rFonts w:hint="eastAsia" w:ascii="宋体" w:hAnsi="宋体"/>
          <w:szCs w:val="28"/>
          <w:highlight w:val="none"/>
        </w:rPr>
        <w:t xml:space="preserve">         </w:t>
      </w:r>
    </w:p>
    <w:p>
      <w:pPr>
        <w:pStyle w:val="33"/>
        <w:adjustRightInd w:val="0"/>
        <w:snapToGrid w:val="0"/>
        <w:spacing w:line="500" w:lineRule="exact"/>
        <w:rPr>
          <w:rFonts w:hint="eastAsia" w:ascii="宋体" w:hAnsi="宋体"/>
          <w:szCs w:val="28"/>
          <w:highlight w:val="none"/>
          <w:u w:val="single"/>
        </w:rPr>
      </w:pPr>
      <w:r>
        <w:rPr>
          <w:rFonts w:hint="eastAsia" w:ascii="宋体" w:hAnsi="宋体"/>
          <w:szCs w:val="28"/>
          <w:highlight w:val="none"/>
        </w:rPr>
        <w:t>项目名称：</w:t>
      </w:r>
      <w:r>
        <w:rPr>
          <w:rFonts w:hint="eastAsia" w:ascii="宋体" w:hAnsi="宋体"/>
          <w:szCs w:val="28"/>
          <w:highlight w:val="none"/>
          <w:u w:val="single"/>
        </w:rPr>
        <w:t xml:space="preserve">                    </w:t>
      </w:r>
      <w:r>
        <w:rPr>
          <w:rFonts w:hint="eastAsia" w:ascii="宋体" w:hAnsi="宋体"/>
          <w:szCs w:val="28"/>
          <w:highlight w:val="none"/>
          <w:u w:val="single"/>
          <w:lang w:val="en-US" w:eastAsia="zh-CN"/>
        </w:rPr>
        <w:t xml:space="preserve">  </w:t>
      </w:r>
      <w:r>
        <w:rPr>
          <w:rFonts w:hint="eastAsia" w:ascii="宋体" w:hAnsi="宋体"/>
          <w:szCs w:val="28"/>
          <w:highlight w:val="none"/>
          <w:u w:val="single"/>
        </w:rPr>
        <w:t xml:space="preserve">    </w:t>
      </w:r>
    </w:p>
    <w:p>
      <w:pPr>
        <w:pStyle w:val="33"/>
        <w:adjustRightInd w:val="0"/>
        <w:snapToGrid w:val="0"/>
        <w:spacing w:line="500" w:lineRule="exact"/>
        <w:rPr>
          <w:rFonts w:hint="default" w:ascii="宋体" w:hAnsi="宋体"/>
          <w:szCs w:val="28"/>
          <w:highlight w:val="none"/>
          <w:u w:val="none"/>
          <w:lang w:val="en-US" w:eastAsia="zh-CN"/>
        </w:rPr>
      </w:pPr>
      <w:r>
        <w:rPr>
          <w:rFonts w:hint="eastAsia" w:ascii="宋体" w:hAnsi="宋体"/>
          <w:szCs w:val="28"/>
          <w:highlight w:val="none"/>
          <w:u w:val="none"/>
          <w:lang w:val="en-US" w:eastAsia="zh-CN"/>
        </w:rPr>
        <w:t>1.采购清单</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1396"/>
        <w:gridCol w:w="1445"/>
        <w:gridCol w:w="688"/>
        <w:gridCol w:w="779"/>
        <w:gridCol w:w="1077"/>
        <w:gridCol w:w="1077"/>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序号</w:t>
            </w:r>
          </w:p>
        </w:tc>
        <w:tc>
          <w:tcPr>
            <w:tcW w:w="1396"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采购项目名称</w:t>
            </w:r>
          </w:p>
        </w:tc>
        <w:tc>
          <w:tcPr>
            <w:tcW w:w="1445"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规格参数</w:t>
            </w:r>
          </w:p>
        </w:tc>
        <w:tc>
          <w:tcPr>
            <w:tcW w:w="688"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单位</w:t>
            </w:r>
          </w:p>
        </w:tc>
        <w:tc>
          <w:tcPr>
            <w:tcW w:w="779"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数量</w:t>
            </w: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单价（元）</w:t>
            </w: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合计（元）</w:t>
            </w: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1</w:t>
            </w:r>
          </w:p>
        </w:tc>
        <w:tc>
          <w:tcPr>
            <w:tcW w:w="1396" w:type="dxa"/>
          </w:tcPr>
          <w:p>
            <w:pPr>
              <w:pStyle w:val="21"/>
              <w:numPr>
                <w:ilvl w:val="0"/>
                <w:numId w:val="0"/>
              </w:numP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w:t>
            </w:r>
          </w:p>
        </w:tc>
        <w:tc>
          <w:tcPr>
            <w:tcW w:w="1445"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p>
        </w:tc>
        <w:tc>
          <w:tcPr>
            <w:tcW w:w="688"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p>
        </w:tc>
        <w:tc>
          <w:tcPr>
            <w:tcW w:w="779"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2</w:t>
            </w:r>
          </w:p>
        </w:tc>
        <w:tc>
          <w:tcPr>
            <w:tcW w:w="1396"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合计（元）</w:t>
            </w:r>
          </w:p>
        </w:tc>
        <w:tc>
          <w:tcPr>
            <w:tcW w:w="2133" w:type="dxa"/>
            <w:gridSpan w:val="2"/>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小写：</w:t>
            </w:r>
          </w:p>
        </w:tc>
        <w:tc>
          <w:tcPr>
            <w:tcW w:w="1856" w:type="dxa"/>
            <w:gridSpan w:val="2"/>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大写：</w:t>
            </w: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p>
        </w:tc>
      </w:tr>
    </w:tbl>
    <w:p>
      <w:pPr>
        <w:pStyle w:val="33"/>
        <w:widowControl w:val="0"/>
        <w:adjustRightInd w:val="0"/>
        <w:snapToGrid w:val="0"/>
        <w:spacing w:before="0" w:after="0" w:line="500" w:lineRule="exact"/>
        <w:ind w:left="0" w:firstLine="0"/>
        <w:jc w:val="left"/>
        <w:rPr>
          <w:rFonts w:hint="eastAsia" w:ascii="宋体" w:hAnsi="宋体"/>
          <w:szCs w:val="28"/>
          <w:highlight w:val="none"/>
        </w:rPr>
      </w:pPr>
    </w:p>
    <w:p>
      <w:pPr>
        <w:pStyle w:val="33"/>
        <w:widowControl w:val="0"/>
        <w:adjustRightInd w:val="0"/>
        <w:snapToGrid w:val="0"/>
        <w:spacing w:before="0" w:after="0" w:line="500" w:lineRule="exact"/>
        <w:ind w:left="0" w:firstLine="0"/>
        <w:jc w:val="left"/>
        <w:rPr>
          <w:rFonts w:ascii="宋体" w:hAnsi="宋体"/>
          <w:szCs w:val="28"/>
          <w:highlight w:val="none"/>
        </w:rPr>
      </w:pPr>
      <w:r>
        <w:rPr>
          <w:rFonts w:hint="eastAsia" w:ascii="宋体" w:hAnsi="宋体"/>
          <w:szCs w:val="28"/>
          <w:highlight w:val="none"/>
        </w:rPr>
        <w:t>说明：1．所有价格均用人民币表示。</w:t>
      </w:r>
    </w:p>
    <w:p>
      <w:pPr>
        <w:pStyle w:val="33"/>
        <w:widowControl w:val="0"/>
        <w:adjustRightInd w:val="0"/>
        <w:snapToGrid w:val="0"/>
        <w:spacing w:before="0" w:after="0" w:line="500" w:lineRule="exact"/>
        <w:ind w:left="1152" w:leftChars="304" w:hanging="422" w:hangingChars="151"/>
        <w:jc w:val="left"/>
        <w:rPr>
          <w:rFonts w:ascii="宋体" w:hAnsi="宋体"/>
          <w:szCs w:val="28"/>
          <w:highlight w:val="none"/>
        </w:rPr>
      </w:pPr>
      <w:r>
        <w:rPr>
          <w:rFonts w:hint="eastAsia" w:ascii="宋体" w:hAnsi="宋体"/>
          <w:szCs w:val="28"/>
          <w:highlight w:val="none"/>
        </w:rPr>
        <w:t xml:space="preserve">2. </w:t>
      </w:r>
      <w:r>
        <w:rPr>
          <w:rFonts w:hint="eastAsia" w:ascii="宋体" w:hAnsi="宋体"/>
          <w:szCs w:val="28"/>
          <w:highlight w:val="none"/>
          <w:lang w:eastAsia="zh-CN"/>
        </w:rPr>
        <w:t>报价明细表</w:t>
      </w:r>
      <w:r>
        <w:rPr>
          <w:rFonts w:hint="eastAsia" w:ascii="宋体" w:hAnsi="宋体"/>
          <w:szCs w:val="28"/>
          <w:highlight w:val="none"/>
        </w:rPr>
        <w:t>总计价格必须与《</w:t>
      </w:r>
      <w:r>
        <w:rPr>
          <w:rFonts w:hint="eastAsia" w:ascii="宋体" w:hAnsi="宋体" w:cs="Times New Roman"/>
          <w:szCs w:val="28"/>
          <w:highlight w:val="none"/>
          <w:u w:val="none"/>
          <w:lang w:val="en-US" w:eastAsia="zh-CN"/>
        </w:rPr>
        <w:t>工程量清单</w:t>
      </w:r>
      <w:r>
        <w:rPr>
          <w:rFonts w:hint="eastAsia" w:ascii="宋体" w:hAnsi="宋体"/>
          <w:szCs w:val="28"/>
          <w:highlight w:val="none"/>
        </w:rPr>
        <w:t>》</w:t>
      </w:r>
      <w:r>
        <w:rPr>
          <w:rFonts w:hint="eastAsia" w:ascii="宋体" w:hAnsi="宋体"/>
          <w:szCs w:val="28"/>
          <w:highlight w:val="none"/>
          <w:lang w:val="en-US" w:eastAsia="zh-CN"/>
        </w:rPr>
        <w:t>格式</w:t>
      </w:r>
      <w:r>
        <w:rPr>
          <w:rFonts w:hint="eastAsia" w:ascii="宋体" w:hAnsi="宋体"/>
          <w:szCs w:val="28"/>
          <w:highlight w:val="none"/>
        </w:rPr>
        <w:t>一致。</w:t>
      </w:r>
    </w:p>
    <w:p>
      <w:pPr>
        <w:pStyle w:val="33"/>
        <w:widowControl w:val="0"/>
        <w:adjustRightInd w:val="0"/>
        <w:snapToGrid w:val="0"/>
        <w:spacing w:before="0" w:after="0" w:line="500" w:lineRule="exact"/>
        <w:ind w:left="1152" w:leftChars="304" w:hanging="422" w:hangingChars="151"/>
        <w:jc w:val="left"/>
        <w:rPr>
          <w:rFonts w:ascii="宋体" w:hAnsi="宋体"/>
          <w:szCs w:val="28"/>
          <w:highlight w:val="none"/>
        </w:rPr>
      </w:pPr>
      <w:r>
        <w:rPr>
          <w:rFonts w:hint="eastAsia" w:ascii="宋体" w:hAnsi="宋体"/>
          <w:szCs w:val="28"/>
          <w:highlight w:val="none"/>
        </w:rPr>
        <w:t>3. 如果不提供详细的</w:t>
      </w:r>
      <w:r>
        <w:rPr>
          <w:rFonts w:hint="eastAsia" w:ascii="宋体" w:hAnsi="宋体"/>
          <w:szCs w:val="28"/>
          <w:highlight w:val="none"/>
          <w:lang w:eastAsia="zh-CN"/>
        </w:rPr>
        <w:t>报价明细表</w:t>
      </w:r>
      <w:r>
        <w:rPr>
          <w:rFonts w:hint="eastAsia" w:ascii="宋体" w:hAnsi="宋体"/>
          <w:szCs w:val="28"/>
          <w:highlight w:val="none"/>
        </w:rPr>
        <w:t>将被视为没有实质性响应询价</w:t>
      </w:r>
      <w:r>
        <w:rPr>
          <w:rFonts w:hint="eastAsia" w:ascii="宋体" w:hAnsi="宋体"/>
          <w:szCs w:val="28"/>
          <w:highlight w:val="none"/>
          <w:lang w:eastAsia="zh-CN"/>
        </w:rPr>
        <w:t>文件</w:t>
      </w:r>
      <w:r>
        <w:rPr>
          <w:rFonts w:hint="eastAsia" w:ascii="宋体" w:hAnsi="宋体"/>
          <w:szCs w:val="28"/>
          <w:highlight w:val="none"/>
        </w:rPr>
        <w:t>。</w:t>
      </w:r>
    </w:p>
    <w:p>
      <w:pPr>
        <w:pStyle w:val="33"/>
        <w:widowControl w:val="0"/>
        <w:adjustRightInd w:val="0"/>
        <w:snapToGrid w:val="0"/>
        <w:spacing w:before="0" w:after="0" w:line="500" w:lineRule="exact"/>
        <w:ind w:left="1152" w:leftChars="304" w:hanging="422" w:hangingChars="151"/>
        <w:jc w:val="left"/>
        <w:rPr>
          <w:rFonts w:ascii="宋体" w:hAnsi="宋体"/>
          <w:szCs w:val="28"/>
          <w:highlight w:val="none"/>
        </w:rPr>
      </w:pPr>
      <w:r>
        <w:rPr>
          <w:rFonts w:hint="eastAsia" w:ascii="宋体" w:hAnsi="宋体"/>
          <w:szCs w:val="28"/>
          <w:highlight w:val="none"/>
        </w:rPr>
        <w:t>4．供应商必须按此表格式中的对应栏目内容填写，若需增加栏目，请在栏目“其它”中填写，并作详细说明。</w:t>
      </w:r>
    </w:p>
    <w:p>
      <w:pPr>
        <w:pStyle w:val="33"/>
        <w:adjustRightInd w:val="0"/>
        <w:snapToGrid w:val="0"/>
        <w:spacing w:line="500" w:lineRule="exact"/>
        <w:ind w:left="0" w:leftChars="0" w:firstLine="1120" w:firstLineChars="400"/>
        <w:rPr>
          <w:rFonts w:ascii="宋体" w:hAnsi="宋体"/>
          <w:szCs w:val="28"/>
          <w:highlight w:val="none"/>
          <w:u w:val="single"/>
        </w:rPr>
      </w:pPr>
      <w:r>
        <w:rPr>
          <w:rFonts w:hint="eastAsia" w:ascii="宋体" w:hAnsi="宋体"/>
          <w:szCs w:val="28"/>
          <w:highlight w:val="none"/>
        </w:rPr>
        <w:t>供应商名称（</w:t>
      </w:r>
      <w:r>
        <w:rPr>
          <w:rFonts w:hint="eastAsia" w:ascii="宋体" w:hAnsi="宋体"/>
          <w:szCs w:val="28"/>
          <w:highlight w:val="none"/>
          <w:lang w:eastAsia="zh-CN"/>
        </w:rPr>
        <w:t>公</w:t>
      </w:r>
      <w:r>
        <w:rPr>
          <w:rFonts w:hint="eastAsia" w:ascii="宋体" w:hAnsi="宋体"/>
          <w:szCs w:val="28"/>
          <w:highlight w:val="none"/>
        </w:rPr>
        <w:t>章）：</w:t>
      </w:r>
      <w:r>
        <w:rPr>
          <w:rFonts w:hint="eastAsia" w:ascii="宋体" w:hAnsi="宋体"/>
          <w:szCs w:val="28"/>
          <w:highlight w:val="none"/>
          <w:u w:val="single"/>
        </w:rPr>
        <w:t xml:space="preserve">                       </w:t>
      </w:r>
    </w:p>
    <w:p>
      <w:pPr>
        <w:pStyle w:val="33"/>
        <w:adjustRightInd w:val="0"/>
        <w:snapToGrid w:val="0"/>
        <w:spacing w:line="500" w:lineRule="exact"/>
        <w:ind w:left="1777" w:leftChars="470" w:hanging="649" w:hangingChars="232"/>
        <w:rPr>
          <w:rFonts w:ascii="宋体" w:hAnsi="宋体"/>
          <w:szCs w:val="28"/>
          <w:highlight w:val="none"/>
        </w:rPr>
      </w:pPr>
      <w:r>
        <w:rPr>
          <w:rFonts w:hint="eastAsia" w:ascii="宋体" w:hAnsi="宋体"/>
          <w:szCs w:val="28"/>
          <w:highlight w:val="none"/>
        </w:rPr>
        <w:t>供应商法定代表人</w:t>
      </w:r>
      <w:r>
        <w:rPr>
          <w:rFonts w:hint="eastAsia" w:ascii="宋体" w:hAnsi="宋体"/>
          <w:szCs w:val="28"/>
          <w:highlight w:val="none"/>
          <w:lang w:eastAsia="zh-CN"/>
        </w:rPr>
        <w:t>或授权委托人</w:t>
      </w:r>
      <w:r>
        <w:rPr>
          <w:rFonts w:hint="eastAsia" w:ascii="宋体" w:hAnsi="宋体"/>
          <w:szCs w:val="28"/>
          <w:highlight w:val="none"/>
        </w:rPr>
        <w:t>（</w:t>
      </w:r>
      <w:r>
        <w:rPr>
          <w:rFonts w:hint="eastAsia" w:ascii="宋体" w:hAnsi="宋体"/>
          <w:szCs w:val="28"/>
          <w:highlight w:val="none"/>
          <w:lang w:eastAsia="zh-CN"/>
        </w:rPr>
        <w:t>签字或盖章</w:t>
      </w:r>
      <w:r>
        <w:rPr>
          <w:rFonts w:hint="eastAsia" w:ascii="宋体" w:hAnsi="宋体"/>
          <w:szCs w:val="28"/>
          <w:highlight w:val="none"/>
        </w:rPr>
        <w:t>）：</w:t>
      </w:r>
      <w:r>
        <w:rPr>
          <w:rFonts w:hint="eastAsia" w:ascii="宋体" w:hAnsi="宋体"/>
          <w:szCs w:val="28"/>
          <w:highlight w:val="none"/>
          <w:u w:val="single"/>
        </w:rPr>
        <w:t xml:space="preserve">                 </w:t>
      </w:r>
    </w:p>
    <w:p>
      <w:pPr>
        <w:pStyle w:val="33"/>
        <w:adjustRightInd w:val="0"/>
        <w:snapToGrid w:val="0"/>
        <w:spacing w:line="500" w:lineRule="exact"/>
        <w:ind w:left="1777" w:leftChars="470" w:hanging="649" w:hangingChars="232"/>
        <w:rPr>
          <w:rFonts w:hint="eastAsia" w:ascii="宋体" w:hAnsi="宋体"/>
          <w:color w:val="auto"/>
          <w:spacing w:val="20"/>
          <w:sz w:val="28"/>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 xml:space="preserve"> 月</w:t>
      </w:r>
      <w:r>
        <w:rPr>
          <w:rFonts w:hint="eastAsia" w:ascii="宋体" w:hAnsi="宋体"/>
          <w:szCs w:val="28"/>
          <w:highlight w:val="none"/>
          <w:u w:val="single"/>
        </w:rPr>
        <w:t xml:space="preserve">    </w:t>
      </w:r>
      <w:r>
        <w:rPr>
          <w:rFonts w:hint="eastAsia" w:ascii="宋体" w:hAnsi="宋体"/>
          <w:szCs w:val="28"/>
          <w:highlight w:val="none"/>
        </w:rPr>
        <w:t xml:space="preserve"> 日</w:t>
      </w:r>
    </w:p>
    <w:p>
      <w:pPr>
        <w:spacing w:line="500" w:lineRule="exact"/>
        <w:jc w:val="center"/>
        <w:rPr>
          <w:rFonts w:hint="eastAsia" w:ascii="宋体" w:hAnsi="宋体"/>
          <w:b/>
          <w:bCs/>
          <w:color w:val="auto"/>
          <w:spacing w:val="20"/>
          <w:sz w:val="32"/>
          <w:szCs w:val="32"/>
          <w:highlight w:val="none"/>
          <w:lang w:eastAsia="zh-CN"/>
        </w:rPr>
      </w:pPr>
      <w:bookmarkStart w:id="51" w:name="_Toc175644078"/>
      <w:bookmarkStart w:id="52" w:name="_Toc31525_WPSOffice_Level2"/>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仿宋" w:hAnsi="仿宋" w:eastAsia="仿宋" w:cs="仿宋"/>
          <w:b/>
          <w:bCs/>
          <w:color w:val="auto"/>
          <w:spacing w:val="20"/>
          <w:sz w:val="36"/>
          <w:szCs w:val="36"/>
          <w:highlight w:val="none"/>
          <w:lang w:eastAsia="zh-CN"/>
        </w:rPr>
      </w:pPr>
      <w:r>
        <w:rPr>
          <w:rFonts w:hint="eastAsia" w:ascii="仿宋" w:hAnsi="仿宋" w:eastAsia="仿宋" w:cs="仿宋"/>
          <w:b/>
          <w:bCs/>
          <w:color w:val="auto"/>
          <w:spacing w:val="20"/>
          <w:sz w:val="36"/>
          <w:szCs w:val="36"/>
          <w:highlight w:val="none"/>
          <w:lang w:eastAsia="zh-CN"/>
        </w:rPr>
        <w:t>七、技术规范偏离表</w:t>
      </w:r>
      <w:bookmarkEnd w:id="51"/>
      <w:r>
        <w:rPr>
          <w:rFonts w:hint="eastAsia" w:ascii="仿宋" w:hAnsi="仿宋" w:eastAsia="仿宋" w:cs="仿宋"/>
          <w:b/>
          <w:bCs/>
          <w:color w:val="auto"/>
          <w:spacing w:val="20"/>
          <w:sz w:val="36"/>
          <w:szCs w:val="36"/>
          <w:highlight w:val="none"/>
          <w:lang w:eastAsia="zh-CN"/>
        </w:rPr>
        <w:t>（格式）</w:t>
      </w:r>
      <w:bookmarkEnd w:id="52"/>
    </w:p>
    <w:p>
      <w:pPr>
        <w:spacing w:line="500" w:lineRule="exact"/>
        <w:jc w:val="center"/>
        <w:rPr>
          <w:rFonts w:hint="eastAsia" w:ascii="宋体" w:hAnsi="宋体"/>
          <w:color w:val="auto"/>
          <w:sz w:val="28"/>
          <w:szCs w:val="28"/>
          <w:highlight w:val="none"/>
        </w:rPr>
      </w:pPr>
    </w:p>
    <w:tbl>
      <w:tblPr>
        <w:tblStyle w:val="16"/>
        <w:tblW w:w="10300" w:type="dxa"/>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403"/>
        <w:gridCol w:w="2327"/>
        <w:gridCol w:w="2527"/>
        <w:gridCol w:w="2184"/>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800"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序号</w:t>
            </w:r>
          </w:p>
        </w:tc>
        <w:tc>
          <w:tcPr>
            <w:tcW w:w="1403"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名称</w:t>
            </w:r>
          </w:p>
        </w:tc>
        <w:tc>
          <w:tcPr>
            <w:tcW w:w="2327"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谈判文件要求的</w:t>
            </w:r>
            <w:r>
              <w:rPr>
                <w:rFonts w:ascii="宋体" w:hAnsi="宋体" w:cs="Arial"/>
                <w:color w:val="auto"/>
                <w:spacing w:val="20"/>
                <w:sz w:val="28"/>
                <w:szCs w:val="28"/>
                <w:highlight w:val="none"/>
              </w:rPr>
              <w:t>规格</w:t>
            </w:r>
            <w:r>
              <w:rPr>
                <w:rFonts w:hint="eastAsia" w:ascii="宋体" w:hAnsi="宋体"/>
                <w:color w:val="auto"/>
                <w:sz w:val="28"/>
                <w:szCs w:val="28"/>
                <w:highlight w:val="none"/>
              </w:rPr>
              <w:t>、配置、技术参数及性能说明</w:t>
            </w:r>
          </w:p>
        </w:tc>
        <w:tc>
          <w:tcPr>
            <w:tcW w:w="2527"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报价文件的</w:t>
            </w:r>
            <w:r>
              <w:rPr>
                <w:rFonts w:ascii="宋体" w:hAnsi="宋体" w:cs="Arial"/>
                <w:color w:val="auto"/>
                <w:spacing w:val="20"/>
                <w:sz w:val="28"/>
                <w:szCs w:val="28"/>
                <w:highlight w:val="none"/>
              </w:rPr>
              <w:t>规格</w:t>
            </w:r>
            <w:r>
              <w:rPr>
                <w:rFonts w:hint="eastAsia" w:ascii="宋体" w:hAnsi="宋体"/>
                <w:color w:val="auto"/>
                <w:sz w:val="28"/>
                <w:szCs w:val="28"/>
                <w:highlight w:val="none"/>
              </w:rPr>
              <w:t>、配置、技术参数及性能说明</w:t>
            </w:r>
          </w:p>
        </w:tc>
        <w:tc>
          <w:tcPr>
            <w:tcW w:w="2184"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偏离说明</w:t>
            </w:r>
          </w:p>
        </w:tc>
        <w:tc>
          <w:tcPr>
            <w:tcW w:w="1059"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00" w:type="dxa"/>
            <w:vAlign w:val="top"/>
          </w:tcPr>
          <w:p>
            <w:pPr>
              <w:spacing w:line="500" w:lineRule="exact"/>
              <w:rPr>
                <w:rFonts w:hint="eastAsia" w:ascii="宋体" w:hAnsi="宋体"/>
                <w:color w:val="auto"/>
                <w:sz w:val="28"/>
                <w:szCs w:val="28"/>
                <w:highlight w:val="none"/>
              </w:rPr>
            </w:pPr>
          </w:p>
        </w:tc>
        <w:tc>
          <w:tcPr>
            <w:tcW w:w="1403" w:type="dxa"/>
            <w:vAlign w:val="top"/>
          </w:tcPr>
          <w:p>
            <w:pPr>
              <w:spacing w:line="500" w:lineRule="exact"/>
              <w:rPr>
                <w:rFonts w:hint="eastAsia" w:ascii="宋体" w:hAnsi="宋体"/>
                <w:color w:val="auto"/>
                <w:sz w:val="28"/>
                <w:szCs w:val="28"/>
                <w:highlight w:val="none"/>
              </w:rPr>
            </w:pPr>
          </w:p>
        </w:tc>
        <w:tc>
          <w:tcPr>
            <w:tcW w:w="2327"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00" w:type="dxa"/>
            <w:vAlign w:val="top"/>
          </w:tcPr>
          <w:p>
            <w:pPr>
              <w:spacing w:line="500" w:lineRule="exact"/>
              <w:rPr>
                <w:rFonts w:hint="eastAsia" w:ascii="宋体" w:hAnsi="宋体"/>
                <w:color w:val="auto"/>
                <w:sz w:val="28"/>
                <w:szCs w:val="28"/>
                <w:highlight w:val="none"/>
              </w:rPr>
            </w:pPr>
          </w:p>
        </w:tc>
        <w:tc>
          <w:tcPr>
            <w:tcW w:w="1403" w:type="dxa"/>
            <w:vAlign w:val="top"/>
          </w:tcPr>
          <w:p>
            <w:pPr>
              <w:spacing w:line="500" w:lineRule="exact"/>
              <w:rPr>
                <w:rFonts w:hint="eastAsia" w:ascii="宋体" w:hAnsi="宋体"/>
                <w:color w:val="auto"/>
                <w:sz w:val="28"/>
                <w:szCs w:val="28"/>
                <w:highlight w:val="none"/>
              </w:rPr>
            </w:pPr>
          </w:p>
        </w:tc>
        <w:tc>
          <w:tcPr>
            <w:tcW w:w="2327"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00" w:type="dxa"/>
            <w:vAlign w:val="top"/>
          </w:tcPr>
          <w:p>
            <w:pPr>
              <w:spacing w:line="500" w:lineRule="exact"/>
              <w:rPr>
                <w:rFonts w:hint="eastAsia" w:ascii="宋体" w:hAnsi="宋体"/>
                <w:color w:val="auto"/>
                <w:sz w:val="28"/>
                <w:szCs w:val="28"/>
                <w:highlight w:val="none"/>
              </w:rPr>
            </w:pPr>
          </w:p>
        </w:tc>
        <w:tc>
          <w:tcPr>
            <w:tcW w:w="1403" w:type="dxa"/>
            <w:vAlign w:val="top"/>
          </w:tcPr>
          <w:p>
            <w:pPr>
              <w:spacing w:line="500" w:lineRule="exact"/>
              <w:rPr>
                <w:rFonts w:hint="eastAsia" w:ascii="宋体" w:hAnsi="宋体"/>
                <w:color w:val="auto"/>
                <w:sz w:val="28"/>
                <w:szCs w:val="28"/>
                <w:highlight w:val="none"/>
              </w:rPr>
            </w:pPr>
          </w:p>
        </w:tc>
        <w:tc>
          <w:tcPr>
            <w:tcW w:w="2327"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800" w:type="dxa"/>
            <w:vAlign w:val="top"/>
          </w:tcPr>
          <w:p>
            <w:pPr>
              <w:spacing w:line="500" w:lineRule="exact"/>
              <w:rPr>
                <w:rFonts w:hint="eastAsia" w:ascii="宋体" w:hAnsi="宋体"/>
                <w:color w:val="auto"/>
                <w:sz w:val="28"/>
                <w:szCs w:val="28"/>
                <w:highlight w:val="none"/>
              </w:rPr>
            </w:pPr>
          </w:p>
        </w:tc>
        <w:tc>
          <w:tcPr>
            <w:tcW w:w="1403" w:type="dxa"/>
            <w:vAlign w:val="top"/>
          </w:tcPr>
          <w:p>
            <w:pPr>
              <w:spacing w:line="500" w:lineRule="exact"/>
              <w:rPr>
                <w:rFonts w:hint="eastAsia" w:ascii="宋体" w:hAnsi="宋体"/>
                <w:color w:val="auto"/>
                <w:sz w:val="28"/>
                <w:szCs w:val="28"/>
                <w:highlight w:val="none"/>
              </w:rPr>
            </w:pPr>
          </w:p>
        </w:tc>
        <w:tc>
          <w:tcPr>
            <w:tcW w:w="2327"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bl>
    <w:p>
      <w:pPr>
        <w:pStyle w:val="10"/>
        <w:spacing w:line="360" w:lineRule="auto"/>
        <w:jc w:val="both"/>
        <w:rPr>
          <w:rFonts w:hint="eastAsia" w:hAnsi="宋体"/>
          <w:b/>
          <w:bCs/>
          <w:szCs w:val="24"/>
          <w:highlight w:val="none"/>
        </w:rPr>
      </w:pPr>
      <w:r>
        <w:rPr>
          <w:rFonts w:hint="eastAsia" w:hAnsi="宋体"/>
          <w:b/>
          <w:bCs/>
          <w:szCs w:val="24"/>
          <w:highlight w:val="none"/>
        </w:rPr>
        <w:t>注：（1）如无偏离请注明“无”字。</w:t>
      </w:r>
    </w:p>
    <w:p>
      <w:pPr>
        <w:pStyle w:val="10"/>
        <w:adjustRightInd w:val="0"/>
        <w:snapToGrid w:val="0"/>
        <w:spacing w:line="360" w:lineRule="auto"/>
        <w:ind w:firstLine="354" w:firstLineChars="147"/>
        <w:jc w:val="both"/>
        <w:rPr>
          <w:rFonts w:hint="eastAsia" w:hAnsi="宋体"/>
          <w:b/>
          <w:szCs w:val="24"/>
          <w:highlight w:val="none"/>
        </w:rPr>
      </w:pPr>
      <w:r>
        <w:rPr>
          <w:rFonts w:hint="eastAsia" w:hAnsi="宋体"/>
          <w:b/>
          <w:bCs/>
          <w:szCs w:val="24"/>
          <w:highlight w:val="none"/>
        </w:rPr>
        <w:t>（2）如投标在偏离表中无注明，应谈文件与招标文件不一致或差异，以招标文件为准。</w:t>
      </w:r>
    </w:p>
    <w:p>
      <w:pPr>
        <w:snapToGrid w:val="0"/>
        <w:spacing w:line="500" w:lineRule="exact"/>
        <w:rPr>
          <w:rFonts w:hint="eastAsia" w:ascii="宋体" w:hAnsi="宋体"/>
          <w:color w:val="auto"/>
          <w:spacing w:val="20"/>
          <w:sz w:val="28"/>
          <w:szCs w:val="28"/>
          <w:highlight w:val="none"/>
        </w:rPr>
      </w:pPr>
    </w:p>
    <w:p>
      <w:pPr>
        <w:snapToGrid w:val="0"/>
        <w:spacing w:line="500" w:lineRule="exact"/>
        <w:rPr>
          <w:rFonts w:hint="eastAsia" w:ascii="宋体" w:hAnsi="宋体"/>
          <w:color w:val="auto"/>
          <w:spacing w:val="20"/>
          <w:sz w:val="28"/>
          <w:szCs w:val="28"/>
          <w:highlight w:val="none"/>
        </w:rPr>
      </w:pPr>
    </w:p>
    <w:p>
      <w:pPr>
        <w:snapToGrid w:val="0"/>
        <w:spacing w:line="500" w:lineRule="exact"/>
        <w:rPr>
          <w:rFonts w:hint="eastAsia" w:ascii="宋体" w:hAnsi="宋体"/>
          <w:color w:val="auto"/>
          <w:spacing w:val="20"/>
          <w:sz w:val="28"/>
          <w:szCs w:val="28"/>
          <w:highlight w:val="none"/>
        </w:rPr>
      </w:pP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r>
        <w:rPr>
          <w:rFonts w:hint="eastAsia" w:ascii="宋体" w:hAnsi="宋体"/>
          <w:color w:val="auto"/>
          <w:sz w:val="28"/>
          <w:szCs w:val="28"/>
          <w:highlight w:val="none"/>
          <w:lang w:eastAsia="zh-CN"/>
        </w:rPr>
        <w:t>投标单位</w:t>
      </w:r>
      <w:r>
        <w:rPr>
          <w:rFonts w:hint="eastAsia" w:ascii="宋体" w:hAnsi="宋体"/>
          <w:color w:val="auto"/>
          <w:sz w:val="28"/>
          <w:szCs w:val="28"/>
          <w:highlight w:val="none"/>
        </w:rPr>
        <w:t>(公章)：</w:t>
      </w: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r>
        <w:rPr>
          <w:rFonts w:hint="eastAsia" w:ascii="宋体" w:hAnsi="宋体"/>
          <w:color w:val="auto"/>
          <w:sz w:val="28"/>
          <w:szCs w:val="28"/>
          <w:highlight w:val="none"/>
          <w:lang w:eastAsia="zh-CN"/>
        </w:rPr>
        <w:t>投标单位</w:t>
      </w:r>
      <w:r>
        <w:rPr>
          <w:rFonts w:hint="eastAsia" w:ascii="宋体" w:hAnsi="宋体"/>
          <w:color w:val="auto"/>
          <w:sz w:val="28"/>
          <w:szCs w:val="28"/>
          <w:highlight w:val="none"/>
        </w:rPr>
        <w:t>代表(签字或签章)：</w:t>
      </w: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r>
        <w:rPr>
          <w:rFonts w:hint="eastAsia" w:ascii="宋体" w:hAnsi="宋体"/>
          <w:color w:val="auto"/>
          <w:sz w:val="28"/>
          <w:szCs w:val="28"/>
          <w:highlight w:val="none"/>
        </w:rPr>
        <w:t>日　期：</w:t>
      </w: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仿宋" w:hAnsi="仿宋" w:eastAsia="仿宋" w:cs="仿宋"/>
          <w:b/>
          <w:bCs/>
          <w:color w:val="auto"/>
          <w:spacing w:val="20"/>
          <w:sz w:val="36"/>
          <w:szCs w:val="36"/>
          <w:highlight w:val="none"/>
        </w:rPr>
      </w:pPr>
      <w:bookmarkStart w:id="53" w:name="_Toc23071_WPSOffice_Level2"/>
      <w:r>
        <w:rPr>
          <w:rFonts w:hint="eastAsia" w:ascii="仿宋" w:hAnsi="仿宋" w:eastAsia="仿宋" w:cs="仿宋"/>
          <w:b/>
          <w:bCs/>
          <w:color w:val="auto"/>
          <w:spacing w:val="20"/>
          <w:sz w:val="36"/>
          <w:szCs w:val="36"/>
          <w:highlight w:val="none"/>
          <w:lang w:eastAsia="zh-CN"/>
        </w:rPr>
        <w:t>八</w:t>
      </w:r>
      <w:r>
        <w:rPr>
          <w:rFonts w:hint="eastAsia" w:ascii="仿宋" w:hAnsi="仿宋" w:eastAsia="仿宋" w:cs="仿宋"/>
          <w:b/>
          <w:bCs/>
          <w:color w:val="auto"/>
          <w:spacing w:val="20"/>
          <w:sz w:val="36"/>
          <w:szCs w:val="36"/>
          <w:highlight w:val="none"/>
        </w:rPr>
        <w:t>、质量保证和服务承诺</w:t>
      </w:r>
      <w:bookmarkEnd w:id="53"/>
    </w:p>
    <w:p>
      <w:pPr>
        <w:spacing w:line="500" w:lineRule="exact"/>
        <w:jc w:val="center"/>
        <w:rPr>
          <w:rFonts w:hint="eastAsia" w:ascii="宋体" w:hAnsi="宋体"/>
          <w:color w:val="auto"/>
          <w:spacing w:val="20"/>
          <w:sz w:val="28"/>
          <w:szCs w:val="28"/>
          <w:highlight w:val="none"/>
        </w:rPr>
      </w:pPr>
      <w:r>
        <w:rPr>
          <w:rFonts w:hint="eastAsia" w:ascii="宋体" w:hAnsi="宋体"/>
          <w:color w:val="auto"/>
          <w:spacing w:val="20"/>
          <w:sz w:val="28"/>
          <w:szCs w:val="28"/>
          <w:highlight w:val="none"/>
        </w:rPr>
        <w:t>（具体内容自拟）</w:t>
      </w: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(公章)：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代表(签字或签章)：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rPr>
        <w:t>日　期：</w:t>
      </w: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宋体" w:hAnsi="宋体"/>
          <w:color w:val="auto"/>
          <w:spacing w:val="20"/>
          <w:sz w:val="28"/>
          <w:szCs w:val="28"/>
          <w:highlight w:val="none"/>
        </w:rPr>
      </w:pPr>
    </w:p>
    <w:p>
      <w:pPr>
        <w:tabs>
          <w:tab w:val="left" w:pos="5748"/>
        </w:tabs>
        <w:spacing w:line="500" w:lineRule="exact"/>
        <w:jc w:val="left"/>
        <w:rPr>
          <w:rFonts w:hint="eastAsia" w:ascii="宋体" w:hAnsi="宋体" w:eastAsia="宋体"/>
          <w:color w:val="auto"/>
          <w:spacing w:val="20"/>
          <w:sz w:val="28"/>
          <w:szCs w:val="28"/>
          <w:highlight w:val="none"/>
          <w:lang w:eastAsia="zh-CN"/>
        </w:rPr>
      </w:pPr>
      <w:r>
        <w:rPr>
          <w:rFonts w:hint="eastAsia" w:ascii="宋体" w:hAnsi="宋体"/>
          <w:color w:val="auto"/>
          <w:spacing w:val="20"/>
          <w:sz w:val="28"/>
          <w:szCs w:val="28"/>
          <w:highlight w:val="none"/>
          <w:lang w:eastAsia="zh-CN"/>
        </w:rPr>
        <w:tab/>
      </w: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宋体" w:hAnsi="宋体"/>
          <w:color w:val="auto"/>
          <w:spacing w:val="20"/>
          <w:sz w:val="28"/>
          <w:szCs w:val="28"/>
          <w:highlight w:val="none"/>
          <w:lang w:eastAsia="zh-CN"/>
        </w:rPr>
      </w:pPr>
    </w:p>
    <w:p>
      <w:pPr>
        <w:spacing w:line="500" w:lineRule="exact"/>
        <w:jc w:val="center"/>
        <w:rPr>
          <w:rFonts w:hint="eastAsia" w:ascii="宋体" w:hAnsi="宋体"/>
          <w:b/>
          <w:bCs/>
          <w:color w:val="auto"/>
          <w:spacing w:val="20"/>
          <w:sz w:val="32"/>
          <w:szCs w:val="32"/>
          <w:highlight w:val="none"/>
          <w:lang w:eastAsia="zh-CN"/>
        </w:rPr>
      </w:pPr>
      <w:bookmarkStart w:id="54" w:name="_Toc1951_WPSOffice_Level2"/>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仿宋" w:hAnsi="仿宋" w:eastAsia="仿宋" w:cs="仿宋"/>
          <w:b/>
          <w:bCs/>
          <w:color w:val="auto"/>
          <w:spacing w:val="20"/>
          <w:sz w:val="36"/>
          <w:szCs w:val="36"/>
          <w:highlight w:val="none"/>
          <w:lang w:eastAsia="zh-CN"/>
        </w:rPr>
      </w:pPr>
      <w:r>
        <w:rPr>
          <w:rFonts w:hint="eastAsia" w:ascii="仿宋" w:hAnsi="仿宋" w:eastAsia="仿宋" w:cs="仿宋"/>
          <w:b/>
          <w:bCs/>
          <w:color w:val="auto"/>
          <w:spacing w:val="20"/>
          <w:sz w:val="36"/>
          <w:szCs w:val="36"/>
          <w:highlight w:val="none"/>
          <w:lang w:eastAsia="zh-CN"/>
        </w:rPr>
        <w:t>九、项目实施的具体计划及保障措施</w:t>
      </w:r>
      <w:bookmarkEnd w:id="54"/>
    </w:p>
    <w:p>
      <w:pPr>
        <w:spacing w:line="500" w:lineRule="exact"/>
        <w:jc w:val="center"/>
        <w:rPr>
          <w:rFonts w:hint="eastAsia" w:ascii="宋体" w:hAnsi="宋体"/>
          <w:color w:val="auto"/>
          <w:spacing w:val="20"/>
          <w:sz w:val="28"/>
          <w:szCs w:val="28"/>
          <w:highlight w:val="none"/>
        </w:rPr>
      </w:pPr>
      <w:r>
        <w:rPr>
          <w:rFonts w:hint="eastAsia" w:ascii="宋体" w:hAnsi="宋体"/>
          <w:color w:val="auto"/>
          <w:spacing w:val="20"/>
          <w:sz w:val="28"/>
          <w:szCs w:val="28"/>
          <w:highlight w:val="none"/>
        </w:rPr>
        <w:t>（内容自拟）</w:t>
      </w: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(公章)：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代表(签字或签章)：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rPr>
        <w:t>日　期：</w:t>
      </w:r>
    </w:p>
    <w:p>
      <w:pPr>
        <w:spacing w:line="500" w:lineRule="exact"/>
        <w:jc w:val="center"/>
        <w:rPr>
          <w:rFonts w:ascii="宋体" w:hAnsi="宋体"/>
          <w:color w:val="auto"/>
          <w:spacing w:val="20"/>
          <w:sz w:val="28"/>
          <w:szCs w:val="28"/>
          <w:highlight w:val="none"/>
        </w:rPr>
      </w:pPr>
    </w:p>
    <w:p>
      <w:pPr>
        <w:spacing w:line="500" w:lineRule="exact"/>
        <w:jc w:val="center"/>
        <w:rPr>
          <w:rFonts w:hint="eastAsia" w:ascii="仿宋" w:hAnsi="仿宋" w:eastAsia="仿宋" w:cs="仿宋"/>
          <w:color w:val="auto"/>
          <w:spacing w:val="20"/>
          <w:sz w:val="28"/>
          <w:szCs w:val="28"/>
          <w:highlight w:val="none"/>
          <w:lang w:eastAsia="zh-CN"/>
        </w:rPr>
      </w:pPr>
    </w:p>
    <w:p>
      <w:pPr>
        <w:rPr>
          <w:rFonts w:hint="eastAsia" w:ascii="仿宋" w:hAnsi="仿宋" w:eastAsia="仿宋" w:cs="仿宋"/>
          <w:b/>
          <w:bCs/>
          <w:color w:val="auto"/>
          <w:spacing w:val="20"/>
          <w:sz w:val="36"/>
          <w:szCs w:val="36"/>
          <w:highlight w:val="none"/>
        </w:rPr>
      </w:pPr>
      <w:r>
        <w:rPr>
          <w:rFonts w:hint="eastAsia" w:ascii="仿宋" w:hAnsi="仿宋" w:eastAsia="仿宋" w:cs="仿宋"/>
          <w:b/>
          <w:bCs/>
          <w:color w:val="auto"/>
          <w:spacing w:val="20"/>
          <w:sz w:val="36"/>
          <w:szCs w:val="36"/>
          <w:highlight w:val="none"/>
          <w:lang w:eastAsia="zh-CN"/>
        </w:rPr>
        <w:br w:type="page"/>
      </w:r>
    </w:p>
    <w:p>
      <w:pPr>
        <w:spacing w:line="500" w:lineRule="exact"/>
        <w:jc w:val="center"/>
        <w:rPr>
          <w:rFonts w:hint="eastAsia" w:ascii="仿宋" w:hAnsi="仿宋" w:eastAsia="仿宋" w:cs="仿宋"/>
          <w:b/>
          <w:bCs/>
          <w:color w:val="auto"/>
          <w:spacing w:val="20"/>
          <w:sz w:val="36"/>
          <w:szCs w:val="36"/>
          <w:highlight w:val="none"/>
        </w:rPr>
      </w:pPr>
      <w:r>
        <w:rPr>
          <w:rFonts w:hint="eastAsia" w:ascii="仿宋" w:hAnsi="仿宋" w:eastAsia="仿宋" w:cs="仿宋"/>
          <w:b/>
          <w:bCs/>
          <w:color w:val="auto"/>
          <w:spacing w:val="20"/>
          <w:sz w:val="36"/>
          <w:szCs w:val="36"/>
          <w:highlight w:val="none"/>
          <w:lang w:val="en-US" w:eastAsia="zh-CN"/>
        </w:rPr>
        <w:t>十、</w:t>
      </w:r>
      <w:r>
        <w:rPr>
          <w:rFonts w:hint="eastAsia" w:ascii="仿宋" w:hAnsi="仿宋" w:eastAsia="仿宋" w:cs="仿宋"/>
          <w:b/>
          <w:bCs/>
          <w:color w:val="auto"/>
          <w:spacing w:val="20"/>
          <w:sz w:val="36"/>
          <w:szCs w:val="36"/>
          <w:highlight w:val="none"/>
        </w:rPr>
        <w:t>综合说明</w:t>
      </w:r>
    </w:p>
    <w:p>
      <w:pPr>
        <w:spacing w:line="500" w:lineRule="exact"/>
        <w:jc w:val="center"/>
        <w:rPr>
          <w:rFonts w:hint="eastAsia" w:ascii="仿宋" w:hAnsi="仿宋" w:eastAsia="仿宋" w:cs="仿宋"/>
          <w:color w:val="auto"/>
          <w:spacing w:val="20"/>
          <w:sz w:val="28"/>
          <w:szCs w:val="28"/>
          <w:highlight w:val="none"/>
        </w:rPr>
      </w:pP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1、资质证明文件：</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（1）企业法人营业执照副本复印件</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（2）企业组织机构代码证副本复印件</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（3）法定代表人身份证明(身份证复印件)</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（4）法人代表授权书(原件)</w:t>
      </w:r>
    </w:p>
    <w:p>
      <w:pPr>
        <w:spacing w:line="500" w:lineRule="exact"/>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（5）依法缴纳近三个月的社会保险缴纳凭据及税务部门出具的近三个月的完税证明</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（6）信用中国网站、中国政府采购网、国家企业信息系统查询结果截图</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（7）医疗器械生产（经营）许可证、第二类医疗器械经营备案凭证</w:t>
      </w:r>
    </w:p>
    <w:p>
      <w:pPr>
        <w:pStyle w:val="2"/>
        <w:ind w:left="0" w:leftChars="0" w:firstLine="0" w:firstLineChars="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（8）近两年任意一年的财务审计报告（新成立不满十二个月可提供近三个月的银行资信证明）；</w:t>
      </w:r>
    </w:p>
    <w:p>
      <w:pPr>
        <w:pStyle w:val="2"/>
        <w:ind w:left="0" w:leftChars="0" w:firstLine="0" w:firstLineChars="0"/>
        <w:rPr>
          <w:rFonts w:hint="default"/>
          <w:lang w:val="en-US" w:eastAsia="zh-CN"/>
        </w:rPr>
      </w:pP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2、报价人认为需要提供的其他技术材料</w:t>
      </w:r>
    </w:p>
    <w:p>
      <w:pPr>
        <w:spacing w:line="500" w:lineRule="exact"/>
        <w:jc w:val="left"/>
        <w:rPr>
          <w:rFonts w:hint="eastAsia" w:ascii="仿宋" w:hAnsi="仿宋" w:eastAsia="仿宋" w:cs="仿宋"/>
          <w:sz w:val="32"/>
          <w:szCs w:val="32"/>
          <w:highlight w:val="none"/>
          <w:lang w:val="en-US" w:eastAsia="zh-CN"/>
        </w:rPr>
      </w:pPr>
    </w:p>
    <w:p>
      <w:pPr>
        <w:spacing w:line="500" w:lineRule="exact"/>
        <w:jc w:val="left"/>
        <w:rPr>
          <w:rFonts w:hint="eastAsia" w:ascii="宋体" w:hAnsi="宋体"/>
          <w:color w:val="auto"/>
          <w:spacing w:val="20"/>
          <w:sz w:val="28"/>
          <w:szCs w:val="28"/>
          <w:highlight w:val="none"/>
          <w:lang w:val="en-US" w:eastAsia="zh-CN"/>
        </w:rPr>
      </w:pPr>
      <w:r>
        <w:rPr>
          <w:rFonts w:hint="eastAsia" w:ascii="仿宋" w:hAnsi="仿宋" w:eastAsia="仿宋" w:cs="仿宋"/>
          <w:sz w:val="32"/>
          <w:szCs w:val="32"/>
          <w:highlight w:val="none"/>
          <w:lang w:val="en-US" w:eastAsia="zh-CN"/>
        </w:rPr>
        <w:t>注：应谈人根据上述内容（不限于上述内容）要求自行编制</w:t>
      </w:r>
    </w:p>
    <w:sectPr>
      <w:pgSz w:w="11906" w:h="16838"/>
      <w:pgMar w:top="1440" w:right="1706"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2E56E1"/>
    <w:multiLevelType w:val="singleLevel"/>
    <w:tmpl w:val="B92E56E1"/>
    <w:lvl w:ilvl="0" w:tentative="0">
      <w:start w:val="4"/>
      <w:numFmt w:val="chineseCounting"/>
      <w:suff w:val="space"/>
      <w:lvlText w:val="第%1部分"/>
      <w:lvlJc w:val="left"/>
      <w:rPr>
        <w:rFonts w:hint="eastAsia"/>
      </w:rPr>
    </w:lvl>
  </w:abstractNum>
  <w:abstractNum w:abstractNumId="1">
    <w:nsid w:val="0444465B"/>
    <w:multiLevelType w:val="multilevel"/>
    <w:tmpl w:val="0444465B"/>
    <w:lvl w:ilvl="0" w:tentative="0">
      <w:start w:val="2"/>
      <w:numFmt w:val="decimal"/>
      <w:lvlText w:val="%1."/>
      <w:lvlJc w:val="left"/>
      <w:pPr>
        <w:tabs>
          <w:tab w:val="left" w:pos="962"/>
        </w:tabs>
        <w:ind w:left="962" w:hanging="360"/>
      </w:pPr>
      <w:rPr>
        <w:rFonts w:hint="default"/>
      </w:rPr>
    </w:lvl>
    <w:lvl w:ilvl="1" w:tentative="0">
      <w:start w:val="1"/>
      <w:numFmt w:val="lowerLetter"/>
      <w:lvlText w:val="%2)"/>
      <w:lvlJc w:val="left"/>
      <w:pPr>
        <w:tabs>
          <w:tab w:val="left" w:pos="1442"/>
        </w:tabs>
        <w:ind w:left="1442" w:hanging="420"/>
      </w:pPr>
    </w:lvl>
    <w:lvl w:ilvl="2" w:tentative="0">
      <w:start w:val="1"/>
      <w:numFmt w:val="lowerRoman"/>
      <w:lvlText w:val="%3."/>
      <w:lvlJc w:val="right"/>
      <w:pPr>
        <w:tabs>
          <w:tab w:val="left" w:pos="1862"/>
        </w:tabs>
        <w:ind w:left="1862" w:hanging="420"/>
      </w:pPr>
    </w:lvl>
    <w:lvl w:ilvl="3" w:tentative="0">
      <w:start w:val="1"/>
      <w:numFmt w:val="decimal"/>
      <w:lvlText w:val="%4."/>
      <w:lvlJc w:val="left"/>
      <w:pPr>
        <w:tabs>
          <w:tab w:val="left" w:pos="2282"/>
        </w:tabs>
        <w:ind w:left="2282" w:hanging="420"/>
      </w:pPr>
    </w:lvl>
    <w:lvl w:ilvl="4" w:tentative="0">
      <w:start w:val="1"/>
      <w:numFmt w:val="lowerLetter"/>
      <w:lvlText w:val="%5)"/>
      <w:lvlJc w:val="left"/>
      <w:pPr>
        <w:tabs>
          <w:tab w:val="left" w:pos="2702"/>
        </w:tabs>
        <w:ind w:left="2702" w:hanging="420"/>
      </w:pPr>
    </w:lvl>
    <w:lvl w:ilvl="5" w:tentative="0">
      <w:start w:val="1"/>
      <w:numFmt w:val="lowerRoman"/>
      <w:lvlText w:val="%6."/>
      <w:lvlJc w:val="right"/>
      <w:pPr>
        <w:tabs>
          <w:tab w:val="left" w:pos="3122"/>
        </w:tabs>
        <w:ind w:left="3122" w:hanging="420"/>
      </w:pPr>
    </w:lvl>
    <w:lvl w:ilvl="6" w:tentative="0">
      <w:start w:val="1"/>
      <w:numFmt w:val="decimal"/>
      <w:lvlText w:val="%7."/>
      <w:lvlJc w:val="left"/>
      <w:pPr>
        <w:tabs>
          <w:tab w:val="left" w:pos="3542"/>
        </w:tabs>
        <w:ind w:left="3542" w:hanging="420"/>
      </w:pPr>
    </w:lvl>
    <w:lvl w:ilvl="7" w:tentative="0">
      <w:start w:val="1"/>
      <w:numFmt w:val="lowerLetter"/>
      <w:lvlText w:val="%8)"/>
      <w:lvlJc w:val="left"/>
      <w:pPr>
        <w:tabs>
          <w:tab w:val="left" w:pos="3962"/>
        </w:tabs>
        <w:ind w:left="3962" w:hanging="420"/>
      </w:pPr>
    </w:lvl>
    <w:lvl w:ilvl="8" w:tentative="0">
      <w:start w:val="1"/>
      <w:numFmt w:val="lowerRoman"/>
      <w:lvlText w:val="%9."/>
      <w:lvlJc w:val="right"/>
      <w:pPr>
        <w:tabs>
          <w:tab w:val="left" w:pos="4382"/>
        </w:tabs>
        <w:ind w:left="4382" w:hanging="420"/>
      </w:pPr>
    </w:lvl>
  </w:abstractNum>
  <w:abstractNum w:abstractNumId="2">
    <w:nsid w:val="17194461"/>
    <w:multiLevelType w:val="singleLevel"/>
    <w:tmpl w:val="17194461"/>
    <w:lvl w:ilvl="0" w:tentative="0">
      <w:start w:val="1"/>
      <w:numFmt w:val="chineseCounting"/>
      <w:suff w:val="space"/>
      <w:lvlText w:val="第%1部分"/>
      <w:lvlJc w:val="left"/>
      <w:rPr>
        <w:rFonts w:hint="eastAsia"/>
      </w:rPr>
    </w:lvl>
  </w:abstractNum>
  <w:abstractNum w:abstractNumId="3">
    <w:nsid w:val="1A6D7187"/>
    <w:multiLevelType w:val="multilevel"/>
    <w:tmpl w:val="1A6D7187"/>
    <w:lvl w:ilvl="0" w:tentative="0">
      <w:start w:val="1"/>
      <w:numFmt w:val="japaneseCounting"/>
      <w:lvlText w:val="第%1条"/>
      <w:lvlJc w:val="left"/>
      <w:pPr>
        <w:tabs>
          <w:tab w:val="left" w:pos="1140"/>
        </w:tabs>
        <w:ind w:left="1140" w:hanging="1140"/>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8B5B715"/>
    <w:multiLevelType w:val="singleLevel"/>
    <w:tmpl w:val="28B5B715"/>
    <w:lvl w:ilvl="0" w:tentative="0">
      <w:start w:val="1"/>
      <w:numFmt w:val="decimal"/>
      <w:lvlText w:val="%1."/>
      <w:lvlJc w:val="left"/>
      <w:pPr>
        <w:tabs>
          <w:tab w:val="left" w:pos="312"/>
        </w:tabs>
      </w:pPr>
    </w:lvl>
  </w:abstractNum>
  <w:abstractNum w:abstractNumId="5">
    <w:nsid w:val="3FF44759"/>
    <w:multiLevelType w:val="multilevel"/>
    <w:tmpl w:val="3FF44759"/>
    <w:lvl w:ilvl="0" w:tentative="0">
      <w:start w:val="13"/>
      <w:numFmt w:val="decimal"/>
      <w:lvlText w:val="%1."/>
      <w:lvlJc w:val="left"/>
      <w:pPr>
        <w:tabs>
          <w:tab w:val="left" w:pos="1046"/>
        </w:tabs>
        <w:ind w:left="1046" w:hanging="450"/>
      </w:pPr>
      <w:rPr>
        <w:rFonts w:hint="default"/>
      </w:rPr>
    </w:lvl>
    <w:lvl w:ilvl="1" w:tentative="0">
      <w:start w:val="1"/>
      <w:numFmt w:val="lowerLetter"/>
      <w:lvlText w:val="%2)"/>
      <w:lvlJc w:val="left"/>
      <w:pPr>
        <w:tabs>
          <w:tab w:val="left" w:pos="1436"/>
        </w:tabs>
        <w:ind w:left="1436" w:hanging="420"/>
      </w:pPr>
    </w:lvl>
    <w:lvl w:ilvl="2" w:tentative="0">
      <w:start w:val="1"/>
      <w:numFmt w:val="lowerRoman"/>
      <w:lvlText w:val="%3."/>
      <w:lvlJc w:val="right"/>
      <w:pPr>
        <w:tabs>
          <w:tab w:val="left" w:pos="1856"/>
        </w:tabs>
        <w:ind w:left="1856" w:hanging="420"/>
      </w:pPr>
    </w:lvl>
    <w:lvl w:ilvl="3" w:tentative="0">
      <w:start w:val="1"/>
      <w:numFmt w:val="decimal"/>
      <w:lvlText w:val="%4."/>
      <w:lvlJc w:val="left"/>
      <w:pPr>
        <w:tabs>
          <w:tab w:val="left" w:pos="2276"/>
        </w:tabs>
        <w:ind w:left="2276" w:hanging="420"/>
      </w:pPr>
    </w:lvl>
    <w:lvl w:ilvl="4" w:tentative="0">
      <w:start w:val="1"/>
      <w:numFmt w:val="lowerLetter"/>
      <w:lvlText w:val="%5)"/>
      <w:lvlJc w:val="left"/>
      <w:pPr>
        <w:tabs>
          <w:tab w:val="left" w:pos="2696"/>
        </w:tabs>
        <w:ind w:left="2696" w:hanging="420"/>
      </w:pPr>
    </w:lvl>
    <w:lvl w:ilvl="5" w:tentative="0">
      <w:start w:val="1"/>
      <w:numFmt w:val="lowerRoman"/>
      <w:lvlText w:val="%6."/>
      <w:lvlJc w:val="right"/>
      <w:pPr>
        <w:tabs>
          <w:tab w:val="left" w:pos="3116"/>
        </w:tabs>
        <w:ind w:left="3116" w:hanging="420"/>
      </w:pPr>
    </w:lvl>
    <w:lvl w:ilvl="6" w:tentative="0">
      <w:start w:val="1"/>
      <w:numFmt w:val="decimal"/>
      <w:lvlText w:val="%7."/>
      <w:lvlJc w:val="left"/>
      <w:pPr>
        <w:tabs>
          <w:tab w:val="left" w:pos="3536"/>
        </w:tabs>
        <w:ind w:left="3536" w:hanging="420"/>
      </w:pPr>
    </w:lvl>
    <w:lvl w:ilvl="7" w:tentative="0">
      <w:start w:val="1"/>
      <w:numFmt w:val="lowerLetter"/>
      <w:lvlText w:val="%8)"/>
      <w:lvlJc w:val="left"/>
      <w:pPr>
        <w:tabs>
          <w:tab w:val="left" w:pos="3956"/>
        </w:tabs>
        <w:ind w:left="3956" w:hanging="420"/>
      </w:pPr>
    </w:lvl>
    <w:lvl w:ilvl="8" w:tentative="0">
      <w:start w:val="1"/>
      <w:numFmt w:val="lowerRoman"/>
      <w:lvlText w:val="%9."/>
      <w:lvlJc w:val="right"/>
      <w:pPr>
        <w:tabs>
          <w:tab w:val="left" w:pos="4376"/>
        </w:tabs>
        <w:ind w:left="4376" w:hanging="420"/>
      </w:pPr>
    </w:lvl>
  </w:abstractNum>
  <w:abstractNum w:abstractNumId="6">
    <w:nsid w:val="420C153B"/>
    <w:multiLevelType w:val="multilevel"/>
    <w:tmpl w:val="420C153B"/>
    <w:lvl w:ilvl="0" w:tentative="0">
      <w:start w:val="1"/>
      <w:numFmt w:val="decimal"/>
      <w:lvlText w:val="%1."/>
      <w:lvlJc w:val="left"/>
      <w:pPr>
        <w:tabs>
          <w:tab w:val="left" w:pos="737"/>
        </w:tabs>
        <w:ind w:left="0" w:firstLine="737"/>
      </w:pPr>
      <w:rPr>
        <w:rFonts w:hint="eastAsia"/>
      </w:rPr>
    </w:lvl>
    <w:lvl w:ilvl="1" w:tentative="0">
      <w:start w:val="1"/>
      <w:numFmt w:val="decimal"/>
      <w:lvlText w:val="%1.%2"/>
      <w:lvlJc w:val="left"/>
      <w:pPr>
        <w:tabs>
          <w:tab w:val="left" w:pos="567"/>
        </w:tabs>
        <w:ind w:left="0" w:firstLine="737"/>
      </w:pPr>
      <w:rPr>
        <w:rFonts w:hint="eastAsia"/>
      </w:rPr>
    </w:lvl>
    <w:lvl w:ilvl="2" w:tentative="0">
      <w:start w:val="1"/>
      <w:numFmt w:val="decimal"/>
      <w:lvlText w:val="%1.%2.%3"/>
      <w:lvlJc w:val="left"/>
      <w:pPr>
        <w:tabs>
          <w:tab w:val="left" w:pos="709"/>
        </w:tabs>
        <w:ind w:left="0" w:firstLine="737"/>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62E06EA7"/>
    <w:multiLevelType w:val="multilevel"/>
    <w:tmpl w:val="62E06EA7"/>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26"/>
      <w:suff w:val="nothing"/>
      <w:lvlText w:val="%2、"/>
      <w:lvlJc w:val="left"/>
      <w:pPr>
        <w:ind w:left="210" w:firstLine="51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
    <w:nsid w:val="656D6133"/>
    <w:multiLevelType w:val="multilevel"/>
    <w:tmpl w:val="656D6133"/>
    <w:lvl w:ilvl="0" w:tentative="0">
      <w:start w:val="1"/>
      <w:numFmt w:val="chineseCountingThousand"/>
      <w:pStyle w:val="4"/>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36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8"/>
  </w:num>
  <w:num w:numId="2">
    <w:abstractNumId w:val="7"/>
  </w:num>
  <w:num w:numId="3">
    <w:abstractNumId w:val="2"/>
  </w:num>
  <w:num w:numId="4">
    <w:abstractNumId w:val="1"/>
  </w:num>
  <w:num w:numId="5">
    <w:abstractNumId w:val="5"/>
  </w:num>
  <w:num w:numId="6">
    <w:abstractNumId w:val="3"/>
  </w:num>
  <w:num w:numId="7">
    <w:abstractNumId w:val="0"/>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DB663F"/>
    <w:rsid w:val="007149EE"/>
    <w:rsid w:val="00A72874"/>
    <w:rsid w:val="016C1222"/>
    <w:rsid w:val="017056D5"/>
    <w:rsid w:val="01A21C7E"/>
    <w:rsid w:val="01A2536F"/>
    <w:rsid w:val="03436758"/>
    <w:rsid w:val="03BD501B"/>
    <w:rsid w:val="03D23847"/>
    <w:rsid w:val="048604E7"/>
    <w:rsid w:val="049318D6"/>
    <w:rsid w:val="04DA34C6"/>
    <w:rsid w:val="05597645"/>
    <w:rsid w:val="05BD4CAD"/>
    <w:rsid w:val="069A3F14"/>
    <w:rsid w:val="072B473A"/>
    <w:rsid w:val="076810EF"/>
    <w:rsid w:val="082A5803"/>
    <w:rsid w:val="082C31EF"/>
    <w:rsid w:val="082F32CE"/>
    <w:rsid w:val="083B7E60"/>
    <w:rsid w:val="08642E66"/>
    <w:rsid w:val="08881F4A"/>
    <w:rsid w:val="088E2321"/>
    <w:rsid w:val="08A2336C"/>
    <w:rsid w:val="08C07AD1"/>
    <w:rsid w:val="08C2548E"/>
    <w:rsid w:val="08CB7DB1"/>
    <w:rsid w:val="08ED51A9"/>
    <w:rsid w:val="096D2081"/>
    <w:rsid w:val="09964EEB"/>
    <w:rsid w:val="0A000AAD"/>
    <w:rsid w:val="0BE42329"/>
    <w:rsid w:val="0BE83272"/>
    <w:rsid w:val="0C562C87"/>
    <w:rsid w:val="0C7A481C"/>
    <w:rsid w:val="0CDB663F"/>
    <w:rsid w:val="0D141FA2"/>
    <w:rsid w:val="0DFE5677"/>
    <w:rsid w:val="0EB156C9"/>
    <w:rsid w:val="0EC51461"/>
    <w:rsid w:val="0F241D37"/>
    <w:rsid w:val="10396AEB"/>
    <w:rsid w:val="10476266"/>
    <w:rsid w:val="11A351CD"/>
    <w:rsid w:val="134F1C1B"/>
    <w:rsid w:val="141D1D6F"/>
    <w:rsid w:val="147B1C49"/>
    <w:rsid w:val="14D24335"/>
    <w:rsid w:val="150C7C6B"/>
    <w:rsid w:val="15AF28C0"/>
    <w:rsid w:val="15CA6427"/>
    <w:rsid w:val="161C19B9"/>
    <w:rsid w:val="161F5B2D"/>
    <w:rsid w:val="166631F9"/>
    <w:rsid w:val="166B6BCF"/>
    <w:rsid w:val="16776202"/>
    <w:rsid w:val="16BA21CA"/>
    <w:rsid w:val="176D0C70"/>
    <w:rsid w:val="17BD1F85"/>
    <w:rsid w:val="18C94AD3"/>
    <w:rsid w:val="18D951CA"/>
    <w:rsid w:val="18DA4C2C"/>
    <w:rsid w:val="192476B2"/>
    <w:rsid w:val="192A37C4"/>
    <w:rsid w:val="193A5AEC"/>
    <w:rsid w:val="195D1088"/>
    <w:rsid w:val="196B4B95"/>
    <w:rsid w:val="19AB185A"/>
    <w:rsid w:val="1A0D279E"/>
    <w:rsid w:val="1AC76DF0"/>
    <w:rsid w:val="1AFE69B5"/>
    <w:rsid w:val="1B625F8B"/>
    <w:rsid w:val="1B776837"/>
    <w:rsid w:val="1C2E49E1"/>
    <w:rsid w:val="1C2E7A24"/>
    <w:rsid w:val="1D676A0B"/>
    <w:rsid w:val="1D882E55"/>
    <w:rsid w:val="1DB63701"/>
    <w:rsid w:val="1DBF212D"/>
    <w:rsid w:val="1DBF22B8"/>
    <w:rsid w:val="1DDC0F00"/>
    <w:rsid w:val="1E4926B1"/>
    <w:rsid w:val="1E7B08F1"/>
    <w:rsid w:val="1E7F3942"/>
    <w:rsid w:val="1EB23A57"/>
    <w:rsid w:val="1F371CF3"/>
    <w:rsid w:val="1F4D2ACC"/>
    <w:rsid w:val="1F5166B7"/>
    <w:rsid w:val="1FFF0993"/>
    <w:rsid w:val="20967F9F"/>
    <w:rsid w:val="210333DE"/>
    <w:rsid w:val="21821CEE"/>
    <w:rsid w:val="21AC63E1"/>
    <w:rsid w:val="21CA2512"/>
    <w:rsid w:val="22B91D58"/>
    <w:rsid w:val="22D840BA"/>
    <w:rsid w:val="230D5513"/>
    <w:rsid w:val="232B6A28"/>
    <w:rsid w:val="23F34C1B"/>
    <w:rsid w:val="24756C99"/>
    <w:rsid w:val="24924FDB"/>
    <w:rsid w:val="24AF5C5B"/>
    <w:rsid w:val="24F50BBB"/>
    <w:rsid w:val="25A23093"/>
    <w:rsid w:val="25F97379"/>
    <w:rsid w:val="26410AC1"/>
    <w:rsid w:val="26780114"/>
    <w:rsid w:val="273A64AB"/>
    <w:rsid w:val="276C1439"/>
    <w:rsid w:val="27B05D59"/>
    <w:rsid w:val="27B33B42"/>
    <w:rsid w:val="28932E8A"/>
    <w:rsid w:val="28DD33B5"/>
    <w:rsid w:val="28F62E6C"/>
    <w:rsid w:val="2917789B"/>
    <w:rsid w:val="29B53EDF"/>
    <w:rsid w:val="2A0065D8"/>
    <w:rsid w:val="2A037239"/>
    <w:rsid w:val="2A2D3541"/>
    <w:rsid w:val="2A930558"/>
    <w:rsid w:val="2B163C40"/>
    <w:rsid w:val="2B6451D7"/>
    <w:rsid w:val="2B845962"/>
    <w:rsid w:val="2BA35A37"/>
    <w:rsid w:val="2C123D20"/>
    <w:rsid w:val="2C3D0E13"/>
    <w:rsid w:val="2D492FC5"/>
    <w:rsid w:val="2D6F38F0"/>
    <w:rsid w:val="2DBA14F0"/>
    <w:rsid w:val="2DC1126D"/>
    <w:rsid w:val="2DFD5800"/>
    <w:rsid w:val="2EE83CE2"/>
    <w:rsid w:val="2EF2020D"/>
    <w:rsid w:val="2F27355D"/>
    <w:rsid w:val="2F672DDD"/>
    <w:rsid w:val="2F8F3D46"/>
    <w:rsid w:val="2F9A05DE"/>
    <w:rsid w:val="305F0360"/>
    <w:rsid w:val="30DA5678"/>
    <w:rsid w:val="30ED689F"/>
    <w:rsid w:val="30F12CEA"/>
    <w:rsid w:val="313B7114"/>
    <w:rsid w:val="31D00019"/>
    <w:rsid w:val="328032E2"/>
    <w:rsid w:val="32EC0D02"/>
    <w:rsid w:val="33372F15"/>
    <w:rsid w:val="334B460B"/>
    <w:rsid w:val="336A280F"/>
    <w:rsid w:val="336E1014"/>
    <w:rsid w:val="33B93FF5"/>
    <w:rsid w:val="35487054"/>
    <w:rsid w:val="359E724C"/>
    <w:rsid w:val="35CB3AA4"/>
    <w:rsid w:val="363132B6"/>
    <w:rsid w:val="37265207"/>
    <w:rsid w:val="378E5D83"/>
    <w:rsid w:val="37943882"/>
    <w:rsid w:val="37BA7652"/>
    <w:rsid w:val="37F4321E"/>
    <w:rsid w:val="382A05C1"/>
    <w:rsid w:val="387B504A"/>
    <w:rsid w:val="3903314B"/>
    <w:rsid w:val="39631353"/>
    <w:rsid w:val="396947FD"/>
    <w:rsid w:val="39736669"/>
    <w:rsid w:val="39F471F4"/>
    <w:rsid w:val="3A634590"/>
    <w:rsid w:val="3A797CAF"/>
    <w:rsid w:val="3ABD2CAF"/>
    <w:rsid w:val="3AD435F7"/>
    <w:rsid w:val="3B3F02D6"/>
    <w:rsid w:val="3B725780"/>
    <w:rsid w:val="3BB5760A"/>
    <w:rsid w:val="3BED3E82"/>
    <w:rsid w:val="3D352AE8"/>
    <w:rsid w:val="3D3E23F8"/>
    <w:rsid w:val="3E2977ED"/>
    <w:rsid w:val="3F0C679F"/>
    <w:rsid w:val="3F1E5503"/>
    <w:rsid w:val="3F434A92"/>
    <w:rsid w:val="3F4C23E8"/>
    <w:rsid w:val="3F587B83"/>
    <w:rsid w:val="3F862D76"/>
    <w:rsid w:val="3FB520AB"/>
    <w:rsid w:val="41292919"/>
    <w:rsid w:val="416A44B8"/>
    <w:rsid w:val="41A342D9"/>
    <w:rsid w:val="41D7787B"/>
    <w:rsid w:val="42192127"/>
    <w:rsid w:val="42786286"/>
    <w:rsid w:val="435646C2"/>
    <w:rsid w:val="43BB718C"/>
    <w:rsid w:val="43D54C75"/>
    <w:rsid w:val="44785723"/>
    <w:rsid w:val="44A32EE2"/>
    <w:rsid w:val="44BA306C"/>
    <w:rsid w:val="44D4232C"/>
    <w:rsid w:val="44EC107E"/>
    <w:rsid w:val="453F0AFE"/>
    <w:rsid w:val="458A3789"/>
    <w:rsid w:val="459923B0"/>
    <w:rsid w:val="45D90E95"/>
    <w:rsid w:val="465667B6"/>
    <w:rsid w:val="46966D69"/>
    <w:rsid w:val="47171C1C"/>
    <w:rsid w:val="47A22DE1"/>
    <w:rsid w:val="47CF760D"/>
    <w:rsid w:val="48142F58"/>
    <w:rsid w:val="481A41F1"/>
    <w:rsid w:val="49396F88"/>
    <w:rsid w:val="4A9813B6"/>
    <w:rsid w:val="4AA519B9"/>
    <w:rsid w:val="4B386D93"/>
    <w:rsid w:val="4B894E13"/>
    <w:rsid w:val="4C917296"/>
    <w:rsid w:val="4C9B3800"/>
    <w:rsid w:val="4D2A4CDF"/>
    <w:rsid w:val="4DAD6245"/>
    <w:rsid w:val="4E3A2999"/>
    <w:rsid w:val="4EA676D8"/>
    <w:rsid w:val="4EA812F6"/>
    <w:rsid w:val="4EDC56E9"/>
    <w:rsid w:val="4F20506F"/>
    <w:rsid w:val="509D1C24"/>
    <w:rsid w:val="50E74CB4"/>
    <w:rsid w:val="51BC4505"/>
    <w:rsid w:val="51D331CE"/>
    <w:rsid w:val="52037BB1"/>
    <w:rsid w:val="523C182C"/>
    <w:rsid w:val="539F266A"/>
    <w:rsid w:val="53DA1367"/>
    <w:rsid w:val="549748F0"/>
    <w:rsid w:val="550F6538"/>
    <w:rsid w:val="55517E87"/>
    <w:rsid w:val="55FE5756"/>
    <w:rsid w:val="56046C15"/>
    <w:rsid w:val="56112E69"/>
    <w:rsid w:val="561E1385"/>
    <w:rsid w:val="5633273E"/>
    <w:rsid w:val="568A233C"/>
    <w:rsid w:val="57014DC2"/>
    <w:rsid w:val="57C617C9"/>
    <w:rsid w:val="57D23087"/>
    <w:rsid w:val="58856201"/>
    <w:rsid w:val="589D52F9"/>
    <w:rsid w:val="58D2465D"/>
    <w:rsid w:val="58E379D1"/>
    <w:rsid w:val="58E6255C"/>
    <w:rsid w:val="596C503B"/>
    <w:rsid w:val="59D6795E"/>
    <w:rsid w:val="5A0E5B06"/>
    <w:rsid w:val="5A332F93"/>
    <w:rsid w:val="5AE61AEC"/>
    <w:rsid w:val="5CBD119B"/>
    <w:rsid w:val="5D7C1D13"/>
    <w:rsid w:val="5D8E5A76"/>
    <w:rsid w:val="5DF56086"/>
    <w:rsid w:val="5DFA7307"/>
    <w:rsid w:val="5E2B2D38"/>
    <w:rsid w:val="5E3D7315"/>
    <w:rsid w:val="5E703611"/>
    <w:rsid w:val="5F5238D8"/>
    <w:rsid w:val="5FB32D4E"/>
    <w:rsid w:val="60326445"/>
    <w:rsid w:val="60462887"/>
    <w:rsid w:val="60A46997"/>
    <w:rsid w:val="60A934ED"/>
    <w:rsid w:val="60BD0047"/>
    <w:rsid w:val="61076123"/>
    <w:rsid w:val="615A41A4"/>
    <w:rsid w:val="61A05176"/>
    <w:rsid w:val="61F56C97"/>
    <w:rsid w:val="61F570C4"/>
    <w:rsid w:val="62072CE6"/>
    <w:rsid w:val="63054908"/>
    <w:rsid w:val="63302271"/>
    <w:rsid w:val="63922F7C"/>
    <w:rsid w:val="639C6075"/>
    <w:rsid w:val="63B557F6"/>
    <w:rsid w:val="63F47880"/>
    <w:rsid w:val="64872D90"/>
    <w:rsid w:val="64C7212E"/>
    <w:rsid w:val="64D63D1D"/>
    <w:rsid w:val="654E2C69"/>
    <w:rsid w:val="655F5252"/>
    <w:rsid w:val="657D078A"/>
    <w:rsid w:val="65DC7A38"/>
    <w:rsid w:val="66193ECB"/>
    <w:rsid w:val="66526EDF"/>
    <w:rsid w:val="66E75F45"/>
    <w:rsid w:val="67DD3747"/>
    <w:rsid w:val="68DE215D"/>
    <w:rsid w:val="69A51335"/>
    <w:rsid w:val="6A756DC2"/>
    <w:rsid w:val="6A8477FC"/>
    <w:rsid w:val="6AE325F5"/>
    <w:rsid w:val="6B2C2F1B"/>
    <w:rsid w:val="6C175565"/>
    <w:rsid w:val="6C6C0E5A"/>
    <w:rsid w:val="6C815E1C"/>
    <w:rsid w:val="6D535020"/>
    <w:rsid w:val="6E7B5AAF"/>
    <w:rsid w:val="6E7D54F5"/>
    <w:rsid w:val="6E8478F8"/>
    <w:rsid w:val="6EA54E26"/>
    <w:rsid w:val="6EEA2046"/>
    <w:rsid w:val="6F294D44"/>
    <w:rsid w:val="6F945D1A"/>
    <w:rsid w:val="6FF425FC"/>
    <w:rsid w:val="7025698A"/>
    <w:rsid w:val="70407812"/>
    <w:rsid w:val="70815E0A"/>
    <w:rsid w:val="70A9663D"/>
    <w:rsid w:val="70B45608"/>
    <w:rsid w:val="70B70735"/>
    <w:rsid w:val="70DD71AB"/>
    <w:rsid w:val="70EB5104"/>
    <w:rsid w:val="71C96711"/>
    <w:rsid w:val="720228B8"/>
    <w:rsid w:val="729E355A"/>
    <w:rsid w:val="72EB0AFA"/>
    <w:rsid w:val="72F9194B"/>
    <w:rsid w:val="7309550F"/>
    <w:rsid w:val="731000D1"/>
    <w:rsid w:val="73D66716"/>
    <w:rsid w:val="73F156A9"/>
    <w:rsid w:val="74150C80"/>
    <w:rsid w:val="74E94D66"/>
    <w:rsid w:val="75251FC5"/>
    <w:rsid w:val="75C35001"/>
    <w:rsid w:val="762A663E"/>
    <w:rsid w:val="768E1655"/>
    <w:rsid w:val="77C456D5"/>
    <w:rsid w:val="781463B8"/>
    <w:rsid w:val="781F6BCC"/>
    <w:rsid w:val="78226904"/>
    <w:rsid w:val="78365965"/>
    <w:rsid w:val="79222D41"/>
    <w:rsid w:val="7927578D"/>
    <w:rsid w:val="795E7360"/>
    <w:rsid w:val="7A2623EA"/>
    <w:rsid w:val="7A6F2493"/>
    <w:rsid w:val="7AB57B42"/>
    <w:rsid w:val="7AB93EF7"/>
    <w:rsid w:val="7B971768"/>
    <w:rsid w:val="7BBE7E9D"/>
    <w:rsid w:val="7C181AE8"/>
    <w:rsid w:val="7C851C07"/>
    <w:rsid w:val="7C8617DD"/>
    <w:rsid w:val="7D485987"/>
    <w:rsid w:val="7DAD59C6"/>
    <w:rsid w:val="7E0528B5"/>
    <w:rsid w:val="7E5D0F05"/>
    <w:rsid w:val="7E773F31"/>
    <w:rsid w:val="7E941F8F"/>
    <w:rsid w:val="7EBB79EA"/>
    <w:rsid w:val="7F0F7807"/>
    <w:rsid w:val="7F395792"/>
    <w:rsid w:val="7F5F76AC"/>
    <w:rsid w:val="7F61582D"/>
    <w:rsid w:val="7FCA2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4">
    <w:name w:val="heading 1"/>
    <w:basedOn w:val="1"/>
    <w:next w:val="1"/>
    <w:qFormat/>
    <w:uiPriority w:val="0"/>
    <w:pPr>
      <w:keepNext/>
      <w:keepLines/>
      <w:numPr>
        <w:ilvl w:val="0"/>
        <w:numId w:val="1"/>
      </w:numPr>
      <w:spacing w:before="340" w:after="330" w:line="578" w:lineRule="atLeast"/>
      <w:outlineLvl w:val="0"/>
    </w:pPr>
    <w:rPr>
      <w:b/>
      <w:bCs/>
      <w:kern w:val="44"/>
      <w:sz w:val="44"/>
      <w:szCs w:val="44"/>
    </w:rPr>
  </w:style>
  <w:style w:type="paragraph" w:styleId="5">
    <w:name w:val="heading 3"/>
    <w:basedOn w:val="1"/>
    <w:next w:val="1"/>
    <w:qFormat/>
    <w:uiPriority w:val="0"/>
    <w:pPr>
      <w:keepNext/>
      <w:keepLines/>
      <w:widowControl w:val="0"/>
      <w:spacing w:before="120" w:after="120" w:line="360" w:lineRule="auto"/>
      <w:jc w:val="both"/>
      <w:outlineLvl w:val="2"/>
    </w:pPr>
    <w:rPr>
      <w:b/>
      <w:bCs/>
      <w:sz w:val="28"/>
      <w:szCs w:val="18"/>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440" w:lineRule="exact"/>
      <w:ind w:firstLine="480" w:firstLineChars="200"/>
    </w:pPr>
    <w:rPr>
      <w:sz w:val="24"/>
    </w:rPr>
  </w:style>
  <w:style w:type="paragraph" w:styleId="7">
    <w:name w:val="Normal Indent"/>
    <w:basedOn w:val="1"/>
    <w:unhideWhenUsed/>
    <w:qFormat/>
    <w:uiPriority w:val="0"/>
    <w:pPr>
      <w:ind w:firstLine="420" w:firstLineChars="200"/>
    </w:pPr>
    <w:rPr>
      <w:rFonts w:ascii="Calibri" w:hAnsi="Calibri"/>
    </w:rPr>
  </w:style>
  <w:style w:type="paragraph" w:styleId="8">
    <w:name w:val="annotation text"/>
    <w:basedOn w:val="1"/>
    <w:qFormat/>
    <w:uiPriority w:val="0"/>
    <w:pPr>
      <w:jc w:val="left"/>
    </w:pPr>
  </w:style>
  <w:style w:type="paragraph" w:styleId="9">
    <w:name w:val="Body Text"/>
    <w:basedOn w:val="1"/>
    <w:qFormat/>
    <w:uiPriority w:val="0"/>
    <w:pPr>
      <w:spacing w:after="120"/>
    </w:pPr>
    <w:rPr>
      <w:rFonts w:ascii="Times New Roman" w:hAnsi="Times New Roman"/>
      <w:szCs w:val="24"/>
    </w:rPr>
  </w:style>
  <w:style w:type="paragraph" w:styleId="10">
    <w:name w:val="Plain Text"/>
    <w:basedOn w:val="1"/>
    <w:qFormat/>
    <w:uiPriority w:val="0"/>
    <w:rPr>
      <w:rFonts w:ascii="宋体" w:hAnsi="Courier New"/>
      <w:sz w:val="24"/>
      <w:szCs w:val="20"/>
    </w:rPr>
  </w:style>
  <w:style w:type="paragraph" w:styleId="11">
    <w:name w:val="footer"/>
    <w:basedOn w:val="1"/>
    <w:qFormat/>
    <w:uiPriority w:val="0"/>
    <w:pPr>
      <w:tabs>
        <w:tab w:val="center" w:pos="4153"/>
        <w:tab w:val="right" w:pos="8306"/>
      </w:tabs>
      <w:spacing w:line="240" w:lineRule="atLeast"/>
    </w:pPr>
    <w:rPr>
      <w:sz w:val="18"/>
    </w:rPr>
  </w:style>
  <w:style w:type="paragraph" w:styleId="12">
    <w:name w:val="header"/>
    <w:basedOn w:val="1"/>
    <w:qFormat/>
    <w:uiPriority w:val="99"/>
    <w:pPr>
      <w:pBdr>
        <w:bottom w:val="single" w:color="auto" w:sz="6" w:space="1"/>
      </w:pBdr>
      <w:tabs>
        <w:tab w:val="center" w:pos="4153"/>
        <w:tab w:val="right" w:pos="8306"/>
      </w:tabs>
      <w:spacing w:line="240" w:lineRule="atLeast"/>
      <w:jc w:val="center"/>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TML Sample"/>
    <w:basedOn w:val="18"/>
    <w:qFormat/>
    <w:uiPriority w:val="0"/>
    <w:rPr>
      <w:rFonts w:ascii="Courier New" w:hAnsi="Courier New"/>
    </w:rPr>
  </w:style>
  <w:style w:type="paragraph" w:styleId="21">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2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3">
    <w:name w:val="样式 标题 1 + 四号 居中 段前: 12 磅 段后: 12 磅 行距: 单倍行距"/>
    <w:basedOn w:val="4"/>
    <w:qFormat/>
    <w:uiPriority w:val="0"/>
    <w:pPr>
      <w:spacing w:before="240" w:after="240" w:line="240" w:lineRule="auto"/>
      <w:jc w:val="center"/>
    </w:pPr>
    <w:rPr>
      <w:rFonts w:cs="宋体"/>
      <w:sz w:val="28"/>
      <w:szCs w:val="20"/>
    </w:rPr>
  </w:style>
  <w:style w:type="paragraph" w:customStyle="1" w:styleId="24">
    <w:name w:val="样式1"/>
    <w:basedOn w:val="1"/>
    <w:qFormat/>
    <w:uiPriority w:val="0"/>
    <w:pPr>
      <w:spacing w:line="240" w:lineRule="auto"/>
      <w:jc w:val="both"/>
    </w:pPr>
    <w:rPr>
      <w:rFonts w:ascii="宋体" w:hAnsi="宋体"/>
      <w:sz w:val="21"/>
      <w:szCs w:val="21"/>
    </w:rPr>
  </w:style>
  <w:style w:type="character" w:customStyle="1" w:styleId="25">
    <w:name w:val="px_10"/>
    <w:basedOn w:val="18"/>
    <w:qFormat/>
    <w:uiPriority w:val="0"/>
  </w:style>
  <w:style w:type="paragraph" w:customStyle="1" w:styleId="26">
    <w:name w:val="样式 样式 样式 样式 标题 2 + 宋体 五号 非加粗 黑色 + 段前: 6 磅 段后: 0 磅 行距: 单倍行距 + 段前:..."/>
    <w:basedOn w:val="1"/>
    <w:qFormat/>
    <w:uiPriority w:val="0"/>
    <w:pPr>
      <w:keepNext/>
      <w:keepLines/>
      <w:numPr>
        <w:ilvl w:val="1"/>
        <w:numId w:val="2"/>
      </w:numPr>
      <w:spacing w:before="240" w:line="240" w:lineRule="auto"/>
      <w:outlineLvl w:val="1"/>
    </w:pPr>
    <w:rPr>
      <w:rFonts w:ascii="宋体" w:hAnsi="宋体" w:cs="宋体"/>
      <w:b/>
      <w:bCs/>
      <w:color w:val="000000"/>
      <w:sz w:val="21"/>
    </w:rPr>
  </w:style>
  <w:style w:type="paragraph" w:customStyle="1" w:styleId="27">
    <w:name w:val="WPSOffice手动目录 1"/>
    <w:qFormat/>
    <w:uiPriority w:val="0"/>
    <w:pPr>
      <w:ind w:leftChars="0"/>
    </w:pPr>
    <w:rPr>
      <w:rFonts w:ascii="Times New Roman" w:hAnsi="Times New Roman" w:eastAsia="宋体" w:cs="Times New Roman"/>
      <w:sz w:val="20"/>
      <w:szCs w:val="20"/>
    </w:rPr>
  </w:style>
  <w:style w:type="paragraph" w:customStyle="1" w:styleId="28">
    <w:name w:val="WPSOffice手动目录 2"/>
    <w:qFormat/>
    <w:uiPriority w:val="0"/>
    <w:pPr>
      <w:ind w:leftChars="200"/>
    </w:pPr>
    <w:rPr>
      <w:rFonts w:ascii="Times New Roman" w:hAnsi="Times New Roman" w:eastAsia="宋体" w:cs="Times New Roman"/>
      <w:sz w:val="20"/>
      <w:szCs w:val="20"/>
    </w:rPr>
  </w:style>
  <w:style w:type="character" w:customStyle="1" w:styleId="29">
    <w:name w:val="font51"/>
    <w:basedOn w:val="18"/>
    <w:qFormat/>
    <w:uiPriority w:val="0"/>
    <w:rPr>
      <w:rFonts w:hint="default" w:ascii="Tahoma" w:hAnsi="Tahoma" w:eastAsia="Tahoma" w:cs="Tahoma"/>
      <w:color w:val="000000"/>
      <w:sz w:val="20"/>
      <w:szCs w:val="20"/>
      <w:u w:val="none"/>
    </w:rPr>
  </w:style>
  <w:style w:type="character" w:customStyle="1" w:styleId="30">
    <w:name w:val="font61"/>
    <w:basedOn w:val="18"/>
    <w:qFormat/>
    <w:uiPriority w:val="0"/>
    <w:rPr>
      <w:rFonts w:hint="eastAsia" w:ascii="宋体" w:hAnsi="宋体" w:eastAsia="宋体" w:cs="宋体"/>
      <w:color w:val="000000"/>
      <w:sz w:val="20"/>
      <w:szCs w:val="20"/>
      <w:u w:val="none"/>
    </w:rPr>
  </w:style>
  <w:style w:type="character" w:customStyle="1" w:styleId="31">
    <w:name w:val="font71"/>
    <w:basedOn w:val="18"/>
    <w:qFormat/>
    <w:uiPriority w:val="0"/>
    <w:rPr>
      <w:rFonts w:hint="default" w:ascii="Tahoma" w:hAnsi="Tahoma" w:eastAsia="Tahoma" w:cs="Tahoma"/>
      <w:color w:val="000000"/>
      <w:sz w:val="20"/>
      <w:szCs w:val="20"/>
      <w:u w:val="none"/>
    </w:rPr>
  </w:style>
  <w:style w:type="character" w:customStyle="1" w:styleId="32">
    <w:name w:val="font31"/>
    <w:basedOn w:val="18"/>
    <w:qFormat/>
    <w:uiPriority w:val="0"/>
    <w:rPr>
      <w:rFonts w:hint="eastAsia" w:ascii="宋体" w:hAnsi="宋体" w:eastAsia="宋体" w:cs="宋体"/>
      <w:color w:val="000000"/>
      <w:sz w:val="20"/>
      <w:szCs w:val="20"/>
      <w:u w:val="none"/>
    </w:rPr>
  </w:style>
  <w:style w:type="paragraph" w:customStyle="1" w:styleId="33">
    <w:name w:val="正文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2018-09-14T08:45:00Z</dcterms:created>
  <dc:creator>Administrator</dc:creator>
  <cp:lastModifiedBy>WPS_988063007</cp:lastModifiedBy>
  <cp:lastPrinted>2021-08-07T06:02:00Z</cp:lastPrinted>
  <dcterms:modified xsi:type="dcterms:W3CDTF">2021-12-07T15:32:39Z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F3563A52178346EBA429468F402ED213</vt:lpwstr>
  </property>
</Properties>
</file>