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center"/>
        <w:rPr>
          <w:rFonts w:ascii="微软雅黑" w:hAnsi="微软雅黑" w:eastAsia="微软雅黑" w:cs="微软雅黑"/>
          <w:b/>
          <w:color w:val="auto"/>
          <w:sz w:val="52"/>
          <w:szCs w:val="52"/>
          <w:highlight w:val="none"/>
        </w:rPr>
      </w:pPr>
      <w:r>
        <w:rPr>
          <w:rFonts w:hint="eastAsia" w:ascii="微软雅黑" w:hAnsi="微软雅黑" w:eastAsia="微软雅黑" w:cs="微软雅黑"/>
          <w:b/>
          <w:color w:val="auto"/>
          <w:sz w:val="52"/>
          <w:szCs w:val="52"/>
          <w:highlight w:val="none"/>
        </w:rPr>
        <w:t>疏勒县乡村振兴平台</w:t>
      </w:r>
    </w:p>
    <w:p>
      <w:pPr>
        <w:rPr>
          <w:rFonts w:ascii="微软雅黑" w:hAnsi="微软雅黑" w:eastAsia="微软雅黑" w:cs="微软雅黑"/>
          <w:color w:val="auto"/>
          <w:highlight w:val="none"/>
        </w:rPr>
      </w:pPr>
    </w:p>
    <w:p>
      <w:pPr>
        <w:pStyle w:val="25"/>
        <w:rPr>
          <w:rFonts w:ascii="微软雅黑" w:hAnsi="微软雅黑" w:eastAsia="微软雅黑" w:cs="微软雅黑"/>
          <w:color w:val="auto"/>
          <w:highlight w:val="none"/>
        </w:rPr>
      </w:pPr>
    </w:p>
    <w:p>
      <w:pPr>
        <w:pStyle w:val="25"/>
        <w:rPr>
          <w:rFonts w:ascii="微软雅黑" w:hAnsi="微软雅黑" w:eastAsia="微软雅黑" w:cs="微软雅黑"/>
          <w:color w:val="auto"/>
          <w:highlight w:val="none"/>
        </w:rPr>
      </w:pPr>
    </w:p>
    <w:p>
      <w:pPr>
        <w:pStyle w:val="25"/>
        <w:rPr>
          <w:rFonts w:ascii="微软雅黑" w:hAnsi="微软雅黑" w:eastAsia="微软雅黑" w:cs="微软雅黑"/>
          <w:color w:val="auto"/>
          <w:highlight w:val="none"/>
        </w:rPr>
      </w:pPr>
    </w:p>
    <w:p>
      <w:pPr>
        <w:pStyle w:val="25"/>
        <w:rPr>
          <w:rFonts w:ascii="微软雅黑" w:hAnsi="微软雅黑" w:eastAsia="微软雅黑" w:cs="微软雅黑"/>
          <w:color w:val="auto"/>
          <w:highlight w:val="none"/>
        </w:rPr>
      </w:pPr>
    </w:p>
    <w:p>
      <w:pPr>
        <w:spacing w:line="240" w:lineRule="atLeast"/>
        <w:jc w:val="center"/>
        <w:rPr>
          <w:rFonts w:ascii="微软雅黑" w:hAnsi="微软雅黑" w:eastAsia="微软雅黑" w:cs="微软雅黑"/>
          <w:b/>
          <w:color w:val="auto"/>
          <w:sz w:val="96"/>
          <w:szCs w:val="96"/>
          <w:highlight w:val="none"/>
        </w:rPr>
      </w:pPr>
      <w:r>
        <w:rPr>
          <w:rFonts w:hint="eastAsia" w:ascii="微软雅黑" w:hAnsi="微软雅黑" w:eastAsia="微软雅黑" w:cs="微软雅黑"/>
          <w:b/>
          <w:color w:val="auto"/>
          <w:sz w:val="96"/>
          <w:szCs w:val="96"/>
          <w:highlight w:val="none"/>
        </w:rPr>
        <w:t>招 标 文 件</w:t>
      </w:r>
    </w:p>
    <w:p>
      <w:pPr>
        <w:pStyle w:val="25"/>
        <w:rPr>
          <w:rFonts w:ascii="微软雅黑" w:hAnsi="微软雅黑" w:eastAsia="微软雅黑" w:cs="微软雅黑"/>
          <w:color w:val="auto"/>
          <w:highlight w:val="none"/>
        </w:rPr>
      </w:pPr>
    </w:p>
    <w:p>
      <w:pPr>
        <w:spacing w:line="240" w:lineRule="atLeast"/>
        <w:jc w:val="center"/>
        <w:rPr>
          <w:rFonts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rPr>
        <w:t>项目编号：XJZH-（GKZB）007</w:t>
      </w:r>
    </w:p>
    <w:p>
      <w:pPr>
        <w:spacing w:line="240" w:lineRule="atLeast"/>
        <w:jc w:val="center"/>
        <w:rPr>
          <w:rFonts w:ascii="微软雅黑" w:hAnsi="微软雅黑" w:eastAsia="微软雅黑" w:cs="微软雅黑"/>
          <w:b/>
          <w:color w:val="auto"/>
          <w:sz w:val="32"/>
          <w:highlight w:val="none"/>
        </w:rPr>
      </w:pPr>
    </w:p>
    <w:p>
      <w:pPr>
        <w:spacing w:line="240" w:lineRule="atLeast"/>
        <w:jc w:val="center"/>
        <w:rPr>
          <w:rFonts w:ascii="微软雅黑" w:hAnsi="微软雅黑" w:eastAsia="微软雅黑" w:cs="微软雅黑"/>
          <w:b/>
          <w:color w:val="auto"/>
          <w:sz w:val="32"/>
          <w:highlight w:val="none"/>
        </w:rPr>
      </w:pPr>
    </w:p>
    <w:p>
      <w:pPr>
        <w:spacing w:line="240" w:lineRule="atLeast"/>
        <w:jc w:val="center"/>
        <w:rPr>
          <w:rFonts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rPr>
        <w:t xml:space="preserve">  </w:t>
      </w:r>
    </w:p>
    <w:p>
      <w:pPr>
        <w:tabs>
          <w:tab w:val="left" w:pos="7560"/>
          <w:tab w:val="left" w:pos="7770"/>
          <w:tab w:val="left" w:pos="7980"/>
        </w:tabs>
        <w:spacing w:line="240" w:lineRule="atLeast"/>
        <w:ind w:firstLine="560" w:firstLineChars="200"/>
        <w:rPr>
          <w:rFonts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 xml:space="preserve">采购单位名称： </w:t>
      </w:r>
      <w:r>
        <w:rPr>
          <w:rFonts w:hint="eastAsia" w:ascii="微软雅黑" w:hAnsi="微软雅黑" w:eastAsia="微软雅黑" w:cs="微软雅黑"/>
          <w:b/>
          <w:color w:val="auto"/>
          <w:sz w:val="28"/>
          <w:szCs w:val="28"/>
          <w:highlight w:val="none"/>
          <w:u w:val="single"/>
        </w:rPr>
        <w:t xml:space="preserve">      中共疏勒县委员会组织部       </w:t>
      </w:r>
      <w:r>
        <w:rPr>
          <w:rFonts w:hint="eastAsia" w:ascii="微软雅黑" w:hAnsi="微软雅黑" w:eastAsia="微软雅黑" w:cs="微软雅黑"/>
          <w:b/>
          <w:color w:val="auto"/>
          <w:sz w:val="28"/>
          <w:szCs w:val="28"/>
          <w:highlight w:val="none"/>
        </w:rPr>
        <w:t xml:space="preserve">    </w:t>
      </w:r>
    </w:p>
    <w:p>
      <w:pPr>
        <w:tabs>
          <w:tab w:val="left" w:pos="7560"/>
          <w:tab w:val="left" w:pos="7770"/>
          <w:tab w:val="left" w:pos="7980"/>
        </w:tabs>
        <w:ind w:firstLine="560" w:firstLineChars="200"/>
        <w:rPr>
          <w:rFonts w:ascii="微软雅黑" w:hAnsi="微软雅黑" w:eastAsia="微软雅黑" w:cs="微软雅黑"/>
          <w:b/>
          <w:color w:val="auto"/>
          <w:sz w:val="28"/>
          <w:szCs w:val="28"/>
          <w:highlight w:val="none"/>
          <w:u w:val="single"/>
        </w:rPr>
      </w:pPr>
      <w:r>
        <w:rPr>
          <w:rFonts w:hint="eastAsia" w:ascii="微软雅黑" w:hAnsi="微软雅黑" w:eastAsia="微软雅黑" w:cs="微软雅黑"/>
          <w:b/>
          <w:color w:val="auto"/>
          <w:sz w:val="28"/>
          <w:szCs w:val="28"/>
          <w:highlight w:val="none"/>
        </w:rPr>
        <w:t xml:space="preserve">联   系   人： </w:t>
      </w:r>
      <w:r>
        <w:rPr>
          <w:rFonts w:hint="eastAsia" w:ascii="微软雅黑" w:hAnsi="微软雅黑" w:eastAsia="微软雅黑" w:cs="微软雅黑"/>
          <w:b/>
          <w:color w:val="auto"/>
          <w:sz w:val="28"/>
          <w:szCs w:val="28"/>
          <w:highlight w:val="none"/>
          <w:u w:val="single"/>
        </w:rPr>
        <w:t xml:space="preserve">          姑丽扎尔·胡吉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rPr>
        <w:t xml:space="preserve">    </w:t>
      </w:r>
    </w:p>
    <w:p>
      <w:pPr>
        <w:spacing w:line="360" w:lineRule="auto"/>
        <w:ind w:firstLine="560" w:firstLineChars="200"/>
        <w:rPr>
          <w:rFonts w:ascii="微软雅黑" w:hAnsi="微软雅黑" w:eastAsia="微软雅黑" w:cs="微软雅黑"/>
          <w:b/>
          <w:color w:val="auto"/>
          <w:sz w:val="28"/>
          <w:szCs w:val="28"/>
          <w:highlight w:val="none"/>
          <w:u w:val="single"/>
        </w:rPr>
      </w:pPr>
      <w:r>
        <w:rPr>
          <w:rFonts w:hint="eastAsia" w:ascii="微软雅黑" w:hAnsi="微软雅黑" w:eastAsia="微软雅黑" w:cs="微软雅黑"/>
          <w:b/>
          <w:color w:val="auto"/>
          <w:sz w:val="28"/>
          <w:szCs w:val="28"/>
          <w:highlight w:val="none"/>
        </w:rPr>
        <w:t xml:space="preserve">联 系 电  话： </w:t>
      </w:r>
      <w:r>
        <w:rPr>
          <w:rFonts w:hint="eastAsia" w:ascii="微软雅黑" w:hAnsi="微软雅黑" w:eastAsia="微软雅黑" w:cs="微软雅黑"/>
          <w:b/>
          <w:color w:val="auto"/>
          <w:sz w:val="28"/>
          <w:szCs w:val="28"/>
          <w:highlight w:val="none"/>
          <w:u w:val="single"/>
        </w:rPr>
        <w:t xml:space="preserve">      15770118767               </w:t>
      </w:r>
    </w:p>
    <w:p>
      <w:pPr>
        <w:spacing w:line="240" w:lineRule="atLeast"/>
        <w:jc w:val="center"/>
        <w:rPr>
          <w:rFonts w:ascii="微软雅黑" w:hAnsi="微软雅黑" w:eastAsia="微软雅黑" w:cs="微软雅黑"/>
          <w:b/>
          <w:color w:val="auto"/>
          <w:sz w:val="28"/>
          <w:szCs w:val="28"/>
          <w:highlight w:val="none"/>
        </w:rPr>
      </w:pPr>
    </w:p>
    <w:p>
      <w:pPr>
        <w:pStyle w:val="25"/>
        <w:rPr>
          <w:rFonts w:ascii="微软雅黑" w:hAnsi="微软雅黑" w:eastAsia="微软雅黑" w:cs="微软雅黑"/>
          <w:color w:val="auto"/>
          <w:highlight w:val="none"/>
        </w:rPr>
      </w:pPr>
    </w:p>
    <w:p>
      <w:pPr>
        <w:pStyle w:val="2"/>
        <w:rPr>
          <w:rFonts w:ascii="微软雅黑" w:hAnsi="微软雅黑" w:eastAsia="微软雅黑" w:cs="微软雅黑"/>
          <w:color w:val="auto"/>
          <w:sz w:val="28"/>
          <w:szCs w:val="28"/>
          <w:highlight w:val="none"/>
        </w:rPr>
      </w:pPr>
    </w:p>
    <w:p>
      <w:pPr>
        <w:tabs>
          <w:tab w:val="left" w:pos="7560"/>
        </w:tabs>
        <w:spacing w:line="240" w:lineRule="atLeast"/>
        <w:ind w:firstLine="560" w:firstLineChars="200"/>
        <w:rPr>
          <w:rFonts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 xml:space="preserve">代理机构名称： </w:t>
      </w:r>
      <w:r>
        <w:rPr>
          <w:rFonts w:hint="eastAsia" w:ascii="微软雅黑" w:hAnsi="微软雅黑" w:eastAsia="微软雅黑" w:cs="微软雅黑"/>
          <w:b/>
          <w:color w:val="auto"/>
          <w:sz w:val="28"/>
          <w:szCs w:val="28"/>
          <w:highlight w:val="none"/>
          <w:u w:val="single"/>
        </w:rPr>
        <w:t xml:space="preserve">  新疆众恒项目管理咨询有限公司     </w:t>
      </w:r>
      <w:r>
        <w:rPr>
          <w:rFonts w:hint="eastAsia" w:ascii="微软雅黑" w:hAnsi="微软雅黑" w:eastAsia="微软雅黑" w:cs="微软雅黑"/>
          <w:b/>
          <w:color w:val="auto"/>
          <w:sz w:val="28"/>
          <w:szCs w:val="28"/>
          <w:highlight w:val="none"/>
        </w:rPr>
        <w:t xml:space="preserve">  </w:t>
      </w:r>
    </w:p>
    <w:p>
      <w:pPr>
        <w:spacing w:line="240" w:lineRule="atLeast"/>
        <w:ind w:firstLine="560" w:firstLineChars="200"/>
        <w:rPr>
          <w:rFonts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 xml:space="preserve">联   系   人： </w:t>
      </w:r>
      <w:r>
        <w:rPr>
          <w:rFonts w:hint="eastAsia" w:ascii="微软雅黑" w:hAnsi="微软雅黑" w:eastAsia="微软雅黑" w:cs="微软雅黑"/>
          <w:b/>
          <w:color w:val="auto"/>
          <w:sz w:val="28"/>
          <w:szCs w:val="28"/>
          <w:highlight w:val="none"/>
          <w:u w:val="single"/>
        </w:rPr>
        <w:t xml:space="preserve">         奉文玲                    </w:t>
      </w:r>
      <w:r>
        <w:rPr>
          <w:rFonts w:hint="eastAsia" w:ascii="微软雅黑" w:hAnsi="微软雅黑" w:eastAsia="微软雅黑" w:cs="微软雅黑"/>
          <w:b/>
          <w:color w:val="auto"/>
          <w:sz w:val="28"/>
          <w:szCs w:val="28"/>
          <w:highlight w:val="none"/>
        </w:rPr>
        <w:t xml:space="preserve">       </w:t>
      </w:r>
    </w:p>
    <w:p>
      <w:pPr>
        <w:tabs>
          <w:tab w:val="left" w:pos="7560"/>
        </w:tabs>
        <w:spacing w:line="240" w:lineRule="atLeast"/>
        <w:ind w:firstLine="560" w:firstLineChars="200"/>
        <w:rPr>
          <w:rFonts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 xml:space="preserve">联 系 电 话 ： </w:t>
      </w:r>
      <w:r>
        <w:rPr>
          <w:rFonts w:hint="eastAsia" w:ascii="微软雅黑" w:hAnsi="微软雅黑" w:eastAsia="微软雅黑" w:cs="微软雅黑"/>
          <w:b/>
          <w:color w:val="auto"/>
          <w:sz w:val="28"/>
          <w:szCs w:val="28"/>
          <w:highlight w:val="none"/>
          <w:u w:val="single"/>
        </w:rPr>
        <w:t xml:space="preserve">       18799897728              </w:t>
      </w:r>
      <w:r>
        <w:rPr>
          <w:rFonts w:hint="eastAsia" w:ascii="微软雅黑" w:hAnsi="微软雅黑" w:eastAsia="微软雅黑" w:cs="微软雅黑"/>
          <w:b/>
          <w:color w:val="auto"/>
          <w:sz w:val="28"/>
          <w:szCs w:val="28"/>
          <w:highlight w:val="none"/>
        </w:rPr>
        <w:t xml:space="preserve">   </w:t>
      </w:r>
    </w:p>
    <w:p>
      <w:pPr>
        <w:pStyle w:val="2"/>
        <w:ind w:firstLine="0"/>
        <w:rPr>
          <w:rFonts w:ascii="微软雅黑" w:hAnsi="微软雅黑" w:eastAsia="微软雅黑" w:cs="微软雅黑"/>
          <w:color w:val="auto"/>
          <w:sz w:val="28"/>
          <w:szCs w:val="28"/>
          <w:highlight w:val="none"/>
        </w:rPr>
      </w:pPr>
    </w:p>
    <w:p>
      <w:pPr>
        <w:spacing w:line="240" w:lineRule="atLeast"/>
        <w:jc w:val="center"/>
        <w:rPr>
          <w:rFonts w:ascii="微软雅黑" w:hAnsi="微软雅黑" w:eastAsia="微软雅黑" w:cs="微软雅黑"/>
          <w:b/>
          <w:color w:val="auto"/>
          <w:sz w:val="28"/>
          <w:szCs w:val="28"/>
          <w:highlight w:val="none"/>
        </w:rPr>
        <w:sectPr>
          <w:headerReference r:id="rId3" w:type="default"/>
          <w:footerReference r:id="rId4" w:type="default"/>
          <w:pgSz w:w="11906" w:h="16838"/>
          <w:pgMar w:top="1440" w:right="1489" w:bottom="1440" w:left="1797" w:header="851" w:footer="992" w:gutter="0"/>
          <w:pgNumType w:start="1"/>
          <w:cols w:space="720" w:num="1"/>
          <w:docGrid w:type="linesAndChars" w:linePitch="312" w:charSpace="0"/>
        </w:sectPr>
      </w:pPr>
      <w:r>
        <w:rPr>
          <w:rFonts w:hint="eastAsia" w:ascii="微软雅黑" w:hAnsi="微软雅黑" w:eastAsia="微软雅黑" w:cs="微软雅黑"/>
          <w:b/>
          <w:color w:val="auto"/>
          <w:sz w:val="28"/>
          <w:szCs w:val="28"/>
          <w:highlight w:val="none"/>
        </w:rPr>
        <w:t>日期：2021 年11月</w:t>
      </w:r>
    </w:p>
    <w:p>
      <w:pPr>
        <w:jc w:val="center"/>
        <w:rPr>
          <w:rFonts w:ascii="微软雅黑" w:hAnsi="微软雅黑" w:eastAsia="微软雅黑" w:cs="微软雅黑"/>
          <w:b/>
          <w:bCs/>
          <w:color w:val="auto"/>
          <w:sz w:val="40"/>
          <w:szCs w:val="48"/>
          <w:highlight w:val="none"/>
        </w:rPr>
      </w:pPr>
      <w:r>
        <w:rPr>
          <w:rFonts w:hint="eastAsia" w:ascii="微软雅黑" w:hAnsi="微软雅黑" w:eastAsia="微软雅黑" w:cs="微软雅黑"/>
          <w:b/>
          <w:bCs/>
          <w:color w:val="auto"/>
          <w:sz w:val="40"/>
          <w:szCs w:val="48"/>
          <w:highlight w:val="none"/>
        </w:rPr>
        <w:t>目录</w:t>
      </w:r>
    </w:p>
    <w:p>
      <w:pPr>
        <w:pStyle w:val="2"/>
        <w:rPr>
          <w:rFonts w:ascii="微软雅黑" w:hAnsi="微软雅黑" w:eastAsia="微软雅黑" w:cs="微软雅黑"/>
          <w:color w:val="auto"/>
          <w:highlight w:val="none"/>
        </w:rPr>
      </w:pPr>
    </w:p>
    <w:p>
      <w:pPr>
        <w:pStyle w:val="21"/>
        <w:tabs>
          <w:tab w:val="right" w:leader="dot" w:pos="8312"/>
        </w:tabs>
        <w:spacing w:line="520" w:lineRule="exact"/>
        <w:rPr>
          <w:rFonts w:ascii="微软雅黑" w:hAnsi="微软雅黑" w:eastAsia="微软雅黑" w:cs="微软雅黑"/>
          <w:color w:val="auto"/>
          <w:highlight w:val="none"/>
        </w:rPr>
      </w:pPr>
      <w:r>
        <w:rPr>
          <w:rFonts w:hint="eastAsia" w:ascii="微软雅黑" w:hAnsi="微软雅黑" w:eastAsia="微软雅黑" w:cs="微软雅黑"/>
          <w:color w:val="auto"/>
          <w:kern w:val="0"/>
          <w:szCs w:val="21"/>
          <w:highlight w:val="none"/>
        </w:rPr>
        <w:fldChar w:fldCharType="begin"/>
      </w:r>
      <w:r>
        <w:rPr>
          <w:rFonts w:hint="eastAsia" w:ascii="微软雅黑" w:hAnsi="微软雅黑" w:eastAsia="微软雅黑" w:cs="微软雅黑"/>
          <w:color w:val="auto"/>
          <w:kern w:val="0"/>
          <w:szCs w:val="21"/>
          <w:highlight w:val="none"/>
        </w:rPr>
        <w:instrText xml:space="preserve">TOC \o "1-2" \h \u </w:instrText>
      </w:r>
      <w:r>
        <w:rPr>
          <w:rFonts w:hint="eastAsia" w:ascii="微软雅黑" w:hAnsi="微软雅黑" w:eastAsia="微软雅黑" w:cs="微软雅黑"/>
          <w:color w:val="auto"/>
          <w:kern w:val="0"/>
          <w:szCs w:val="21"/>
          <w:highlight w:val="none"/>
        </w:rPr>
        <w:fldChar w:fldCharType="separate"/>
      </w:r>
      <w:r>
        <w:rPr>
          <w:color w:val="auto"/>
          <w:highlight w:val="none"/>
        </w:rPr>
        <w:fldChar w:fldCharType="begin"/>
      </w:r>
      <w:r>
        <w:rPr>
          <w:color w:val="auto"/>
          <w:highlight w:val="none"/>
        </w:rPr>
        <w:instrText xml:space="preserve"> HYPERLINK \l "_Toc15762" </w:instrText>
      </w:r>
      <w:r>
        <w:rPr>
          <w:color w:val="auto"/>
          <w:highlight w:val="none"/>
        </w:rPr>
        <w:fldChar w:fldCharType="separate"/>
      </w:r>
      <w:r>
        <w:rPr>
          <w:rFonts w:hint="eastAsia" w:ascii="微软雅黑" w:hAnsi="微软雅黑" w:eastAsia="微软雅黑" w:cs="微软雅黑"/>
          <w:color w:val="auto"/>
          <w:highlight w:val="none"/>
        </w:rPr>
        <w:t>第1章   投标人须知</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_Toc15762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2</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8"/>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"_Toc8788" </w:instrText>
      </w:r>
      <w:r>
        <w:rPr>
          <w:color w:val="auto"/>
          <w:highlight w:val="none"/>
        </w:rPr>
        <w:fldChar w:fldCharType="separate"/>
      </w:r>
      <w:r>
        <w:rPr>
          <w:rFonts w:hint="eastAsia" w:ascii="微软雅黑" w:hAnsi="微软雅黑" w:eastAsia="微软雅黑" w:cs="微软雅黑"/>
          <w:color w:val="auto"/>
          <w:highlight w:val="none"/>
        </w:rPr>
        <w:t>一   总 则</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_Toc8788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2</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8"/>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"_Toc7404" </w:instrText>
      </w:r>
      <w:r>
        <w:rPr>
          <w:color w:val="auto"/>
          <w:highlight w:val="none"/>
        </w:rPr>
        <w:fldChar w:fldCharType="separate"/>
      </w:r>
      <w:r>
        <w:rPr>
          <w:rFonts w:hint="eastAsia" w:ascii="微软雅黑" w:hAnsi="微软雅黑" w:eastAsia="微软雅黑" w:cs="微软雅黑"/>
          <w:color w:val="auto"/>
          <w:szCs w:val="21"/>
          <w:highlight w:val="none"/>
        </w:rPr>
        <w:t>二   招标文件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_Toc7404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4</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8"/>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"_Toc17591" </w:instrText>
      </w:r>
      <w:r>
        <w:rPr>
          <w:color w:val="auto"/>
          <w:highlight w:val="none"/>
        </w:rPr>
        <w:fldChar w:fldCharType="separate"/>
      </w:r>
      <w:r>
        <w:rPr>
          <w:rFonts w:hint="eastAsia" w:ascii="微软雅黑" w:hAnsi="微软雅黑" w:eastAsia="微软雅黑" w:cs="微软雅黑"/>
          <w:color w:val="auto"/>
          <w:szCs w:val="21"/>
          <w:highlight w:val="none"/>
        </w:rPr>
        <w:t>三   投标文件的编制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_Toc17591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5</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8"/>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"_Toc4108" </w:instrText>
      </w:r>
      <w:r>
        <w:rPr>
          <w:color w:val="auto"/>
          <w:highlight w:val="none"/>
        </w:rPr>
        <w:fldChar w:fldCharType="separate"/>
      </w:r>
      <w:r>
        <w:rPr>
          <w:rFonts w:hint="eastAsia" w:ascii="微软雅黑" w:hAnsi="微软雅黑" w:eastAsia="微软雅黑" w:cs="微软雅黑"/>
          <w:color w:val="auto"/>
          <w:szCs w:val="21"/>
          <w:highlight w:val="none"/>
        </w:rPr>
        <w:t>四   投标文件的递交</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_Toc4108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8</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8"/>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"_Toc2463" </w:instrText>
      </w:r>
      <w:r>
        <w:rPr>
          <w:color w:val="auto"/>
          <w:highlight w:val="none"/>
        </w:rPr>
        <w:fldChar w:fldCharType="separate"/>
      </w:r>
      <w:r>
        <w:rPr>
          <w:rFonts w:hint="eastAsia" w:ascii="微软雅黑" w:hAnsi="微软雅黑" w:eastAsia="微软雅黑" w:cs="微软雅黑"/>
          <w:color w:val="auto"/>
          <w:szCs w:val="21"/>
          <w:highlight w:val="none"/>
        </w:rPr>
        <w:t>五   开标及评标</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_Toc2463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9</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8"/>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"_Toc24355" </w:instrText>
      </w:r>
      <w:r>
        <w:rPr>
          <w:color w:val="auto"/>
          <w:highlight w:val="none"/>
        </w:rPr>
        <w:fldChar w:fldCharType="separate"/>
      </w:r>
      <w:r>
        <w:rPr>
          <w:rFonts w:hint="eastAsia" w:ascii="微软雅黑" w:hAnsi="微软雅黑" w:eastAsia="微软雅黑" w:cs="微软雅黑"/>
          <w:color w:val="auto"/>
          <w:szCs w:val="21"/>
          <w:highlight w:val="none"/>
        </w:rPr>
        <w:t>六   确定中标</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_Toc24355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14</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1"/>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"_Toc10401" </w:instrText>
      </w:r>
      <w:r>
        <w:rPr>
          <w:color w:val="auto"/>
          <w:highlight w:val="none"/>
        </w:rPr>
        <w:fldChar w:fldCharType="separate"/>
      </w:r>
      <w:r>
        <w:rPr>
          <w:rFonts w:hint="eastAsia" w:ascii="微软雅黑" w:hAnsi="微软雅黑" w:eastAsia="微软雅黑" w:cs="微软雅黑"/>
          <w:color w:val="auto"/>
          <w:szCs w:val="21"/>
          <w:highlight w:val="none"/>
        </w:rPr>
        <w:t>第2章   投标文件格式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_Toc10401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25</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8"/>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"_Toc13130" </w:instrText>
      </w:r>
      <w:r>
        <w:rPr>
          <w:color w:val="auto"/>
          <w:highlight w:val="none"/>
        </w:rPr>
        <w:fldChar w:fldCharType="separate"/>
      </w:r>
      <w:r>
        <w:rPr>
          <w:rFonts w:hint="eastAsia" w:ascii="微软雅黑" w:hAnsi="微软雅黑" w:eastAsia="微软雅黑" w:cs="微软雅黑"/>
          <w:color w:val="auto"/>
          <w:szCs w:val="21"/>
          <w:highlight w:val="none"/>
        </w:rPr>
        <w:t>第一部分 开标一览表及资格证明文件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_Toc13130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25</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8"/>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"_Toc26287" </w:instrText>
      </w:r>
      <w:r>
        <w:rPr>
          <w:color w:val="auto"/>
          <w:highlight w:val="none"/>
        </w:rPr>
        <w:fldChar w:fldCharType="separate"/>
      </w:r>
      <w:r>
        <w:rPr>
          <w:rFonts w:hint="eastAsia" w:ascii="微软雅黑" w:hAnsi="微软雅黑" w:eastAsia="微软雅黑" w:cs="微软雅黑"/>
          <w:color w:val="auto"/>
          <w:szCs w:val="21"/>
          <w:highlight w:val="none"/>
        </w:rPr>
        <w:t>第二部分 商务及技术文件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_Toc26287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31</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1"/>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"_Toc19204" </w:instrText>
      </w:r>
      <w:r>
        <w:rPr>
          <w:color w:val="auto"/>
          <w:highlight w:val="none"/>
        </w:rPr>
        <w:fldChar w:fldCharType="separate"/>
      </w:r>
      <w:r>
        <w:rPr>
          <w:rFonts w:hint="eastAsia" w:ascii="微软雅黑" w:hAnsi="微软雅黑" w:eastAsia="微软雅黑" w:cs="微软雅黑"/>
          <w:color w:val="auto"/>
          <w:highlight w:val="none"/>
        </w:rPr>
        <w:t>第3章  投标邀请</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_Toc19204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39</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1"/>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"_Toc18586" </w:instrText>
      </w:r>
      <w:r>
        <w:rPr>
          <w:color w:val="auto"/>
          <w:highlight w:val="none"/>
        </w:rPr>
        <w:fldChar w:fldCharType="separate"/>
      </w:r>
      <w:r>
        <w:rPr>
          <w:rFonts w:hint="eastAsia" w:ascii="微软雅黑" w:hAnsi="微软雅黑" w:eastAsia="微软雅黑" w:cs="微软雅黑"/>
          <w:color w:val="auto"/>
          <w:highlight w:val="none"/>
        </w:rPr>
        <w:t>第4章  投标人须知资料表</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_Toc18586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46</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1"/>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"_Toc23209" </w:instrText>
      </w:r>
      <w:r>
        <w:rPr>
          <w:color w:val="auto"/>
          <w:highlight w:val="none"/>
        </w:rPr>
        <w:fldChar w:fldCharType="separate"/>
      </w:r>
      <w:r>
        <w:rPr>
          <w:rFonts w:hint="eastAsia" w:ascii="微软雅黑" w:hAnsi="微软雅黑" w:eastAsia="微软雅黑" w:cs="微软雅黑"/>
          <w:color w:val="auto"/>
          <w:highlight w:val="none"/>
        </w:rPr>
        <w:t>第5章  需求一览表及技术规格</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_Toc23209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50</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1"/>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"_Toc9146" </w:instrText>
      </w:r>
      <w:r>
        <w:rPr>
          <w:color w:val="auto"/>
          <w:highlight w:val="none"/>
        </w:rPr>
        <w:fldChar w:fldCharType="separate"/>
      </w:r>
      <w:r>
        <w:rPr>
          <w:rFonts w:hint="eastAsia" w:ascii="微软雅黑" w:hAnsi="微软雅黑" w:eastAsia="微软雅黑" w:cs="微软雅黑"/>
          <w:color w:val="auto"/>
          <w:highlight w:val="none"/>
        </w:rPr>
        <w:t>第6章  评标方法和标准</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_Toc9146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52</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21"/>
        <w:tabs>
          <w:tab w:val="right" w:leader="dot" w:pos="8312"/>
        </w:tabs>
        <w:spacing w:line="520" w:lineRule="exact"/>
        <w:rPr>
          <w:rFonts w:ascii="微软雅黑" w:hAnsi="微软雅黑" w:eastAsia="微软雅黑" w:cs="微软雅黑"/>
          <w:color w:val="auto"/>
          <w:highlight w:val="none"/>
        </w:rPr>
      </w:pPr>
      <w:r>
        <w:rPr>
          <w:color w:val="auto"/>
          <w:highlight w:val="none"/>
        </w:rPr>
        <w:fldChar w:fldCharType="begin"/>
      </w:r>
      <w:r>
        <w:rPr>
          <w:color w:val="auto"/>
          <w:highlight w:val="none"/>
        </w:rPr>
        <w:instrText xml:space="preserve"> HYPERLINK \l "_Toc10018" </w:instrText>
      </w:r>
      <w:r>
        <w:rPr>
          <w:color w:val="auto"/>
          <w:highlight w:val="none"/>
        </w:rPr>
        <w:fldChar w:fldCharType="separate"/>
      </w:r>
      <w:r>
        <w:rPr>
          <w:rFonts w:hint="eastAsia" w:ascii="微软雅黑" w:hAnsi="微软雅黑" w:eastAsia="微软雅黑" w:cs="微软雅黑"/>
          <w:color w:val="auto"/>
          <w:highlight w:val="none"/>
        </w:rPr>
        <w:t>第7章  政府采购合同</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_Toc10018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94</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p>
    <w:p>
      <w:pPr>
        <w:pStyle w:val="3"/>
        <w:tabs>
          <w:tab w:val="left" w:pos="0"/>
        </w:tabs>
        <w:spacing w:before="0" w:after="0" w:line="520" w:lineRule="exact"/>
        <w:jc w:val="both"/>
        <w:rPr>
          <w:rFonts w:hAnsi="宋体" w:cs="宋体"/>
          <w:color w:val="auto"/>
          <w:kern w:val="0"/>
          <w:szCs w:val="21"/>
          <w:highlight w:val="none"/>
        </w:rPr>
      </w:pPr>
      <w:r>
        <w:rPr>
          <w:rFonts w:hint="eastAsia" w:ascii="微软雅黑" w:hAnsi="微软雅黑" w:eastAsia="微软雅黑" w:cs="微软雅黑"/>
          <w:color w:val="auto"/>
          <w:kern w:val="0"/>
          <w:szCs w:val="21"/>
          <w:highlight w:val="none"/>
        </w:rPr>
        <w:fldChar w:fldCharType="end"/>
      </w:r>
    </w:p>
    <w:p>
      <w:pPr>
        <w:rPr>
          <w:rFonts w:hAnsi="宋体" w:cs="宋体"/>
          <w:color w:val="auto"/>
          <w:kern w:val="0"/>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2"/>
        <w:rPr>
          <w:rFonts w:hAnsi="宋体" w:cs="宋体"/>
          <w:color w:val="auto"/>
          <w:szCs w:val="21"/>
          <w:highlight w:val="none"/>
        </w:rPr>
      </w:pPr>
    </w:p>
    <w:p>
      <w:pPr>
        <w:pStyle w:val="3"/>
        <w:tabs>
          <w:tab w:val="left" w:pos="0"/>
        </w:tabs>
        <w:spacing w:before="0" w:after="0" w:line="440" w:lineRule="exact"/>
        <w:rPr>
          <w:rFonts w:ascii="微软雅黑" w:hAnsi="微软雅黑" w:eastAsia="微软雅黑" w:cs="微软雅黑"/>
          <w:color w:val="auto"/>
          <w:sz w:val="24"/>
          <w:szCs w:val="24"/>
          <w:highlight w:val="none"/>
        </w:rPr>
      </w:pPr>
      <w:bookmarkStart w:id="0" w:name="_Toc15762"/>
      <w:r>
        <w:rPr>
          <w:rFonts w:hint="eastAsia" w:ascii="微软雅黑" w:hAnsi="微软雅黑" w:eastAsia="微软雅黑" w:cs="微软雅黑"/>
          <w:color w:val="auto"/>
          <w:sz w:val="24"/>
          <w:szCs w:val="24"/>
          <w:highlight w:val="none"/>
        </w:rPr>
        <w:t>第1章投标人须知</w:t>
      </w:r>
      <w:bookmarkEnd w:id="0"/>
    </w:p>
    <w:p>
      <w:pPr>
        <w:pStyle w:val="4"/>
        <w:spacing w:before="0" w:line="440" w:lineRule="exact"/>
        <w:ind w:left="1258" w:leftChars="599" w:firstLine="2500" w:firstLineChars="1042"/>
        <w:jc w:val="both"/>
        <w:rPr>
          <w:rFonts w:ascii="微软雅黑" w:hAnsi="微软雅黑" w:eastAsia="微软雅黑" w:cs="微软雅黑"/>
          <w:color w:val="auto"/>
          <w:sz w:val="24"/>
          <w:szCs w:val="24"/>
          <w:highlight w:val="none"/>
        </w:rPr>
      </w:pPr>
      <w:bookmarkStart w:id="1" w:name="_Toc216582805"/>
      <w:bookmarkStart w:id="2" w:name="_Toc520356143"/>
      <w:bookmarkStart w:id="3" w:name="_Toc515647757"/>
      <w:bookmarkStart w:id="4" w:name="_Toc21015"/>
      <w:bookmarkStart w:id="5" w:name="_Toc21215"/>
      <w:bookmarkStart w:id="6" w:name="_Toc5597"/>
      <w:bookmarkStart w:id="7" w:name="_Toc8788"/>
      <w:r>
        <w:rPr>
          <w:rFonts w:hint="eastAsia" w:ascii="微软雅黑" w:hAnsi="微软雅黑" w:eastAsia="微软雅黑" w:cs="微软雅黑"/>
          <w:color w:val="auto"/>
          <w:sz w:val="24"/>
          <w:szCs w:val="24"/>
          <w:highlight w:val="none"/>
        </w:rPr>
        <w:t xml:space="preserve">一 </w:t>
      </w:r>
      <w:bookmarkEnd w:id="1"/>
      <w:bookmarkEnd w:id="2"/>
      <w:bookmarkEnd w:id="3"/>
      <w:r>
        <w:rPr>
          <w:rFonts w:hint="eastAsia" w:ascii="微软雅黑" w:hAnsi="微软雅黑" w:eastAsia="微软雅黑" w:cs="微软雅黑"/>
          <w:color w:val="auto"/>
          <w:sz w:val="24"/>
          <w:szCs w:val="24"/>
          <w:highlight w:val="none"/>
        </w:rPr>
        <w:t>总 则</w:t>
      </w:r>
      <w:bookmarkEnd w:id="4"/>
      <w:bookmarkEnd w:id="5"/>
      <w:bookmarkEnd w:id="6"/>
      <w:bookmarkEnd w:id="7"/>
    </w:p>
    <w:p>
      <w:pPr>
        <w:pStyle w:val="5"/>
        <w:spacing w:before="0" w:after="0" w:line="440" w:lineRule="exact"/>
        <w:ind w:firstLine="480" w:firstLineChars="200"/>
        <w:rPr>
          <w:rFonts w:ascii="微软雅黑" w:hAnsi="微软雅黑" w:eastAsia="微软雅黑" w:cs="微软雅黑"/>
          <w:color w:val="auto"/>
          <w:szCs w:val="24"/>
          <w:highlight w:val="none"/>
          <w:u w:val="none"/>
        </w:rPr>
      </w:pPr>
      <w:bookmarkStart w:id="8" w:name="_Toc520356144"/>
      <w:bookmarkStart w:id="9" w:name="_Toc515647758"/>
      <w:bookmarkStart w:id="10" w:name="_Toc1120"/>
      <w:bookmarkStart w:id="11" w:name="_Toc32623"/>
      <w:bookmarkStart w:id="12" w:name="_Toc32189"/>
      <w:r>
        <w:rPr>
          <w:rFonts w:hint="eastAsia" w:ascii="微软雅黑" w:hAnsi="微软雅黑" w:eastAsia="微软雅黑" w:cs="微软雅黑"/>
          <w:color w:val="auto"/>
          <w:szCs w:val="24"/>
          <w:highlight w:val="none"/>
          <w:u w:val="none"/>
        </w:rPr>
        <w:t>1.采购人、采购代理机构及</w:t>
      </w:r>
      <w:bookmarkEnd w:id="8"/>
      <w:r>
        <w:rPr>
          <w:rFonts w:hint="eastAsia" w:ascii="微软雅黑" w:hAnsi="微软雅黑" w:eastAsia="微软雅黑" w:cs="微软雅黑"/>
          <w:color w:val="auto"/>
          <w:szCs w:val="24"/>
          <w:highlight w:val="none"/>
          <w:u w:val="none"/>
        </w:rPr>
        <w:t>投标人</w:t>
      </w:r>
      <w:bookmarkEnd w:id="9"/>
      <w:bookmarkEnd w:id="10"/>
      <w:bookmarkEnd w:id="11"/>
      <w:bookmarkEnd w:id="12"/>
    </w:p>
    <w:p>
      <w:pPr>
        <w:numPr>
          <w:ilvl w:val="1"/>
          <w:numId w:val="1"/>
        </w:numPr>
        <w:tabs>
          <w:tab w:val="left" w:pos="0"/>
          <w:tab w:val="clear" w:pos="900"/>
        </w:tabs>
        <w:spacing w:line="440" w:lineRule="exact"/>
        <w:ind w:hanging="898"/>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采购人：是指依法开展政府采购活动的国家机关、事业单位、团体组织。</w:t>
      </w:r>
    </w:p>
    <w:p>
      <w:pPr>
        <w:tabs>
          <w:tab w:val="left" w:pos="0"/>
        </w:tabs>
        <w:spacing w:line="440" w:lineRule="exact"/>
        <w:ind w:left="9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w:t>
      </w:r>
    </w:p>
    <w:p>
      <w:pPr>
        <w:numPr>
          <w:ilvl w:val="1"/>
          <w:numId w:val="1"/>
        </w:numPr>
        <w:tabs>
          <w:tab w:val="left" w:pos="0"/>
          <w:tab w:val="clear" w:pos="900"/>
        </w:tabs>
        <w:spacing w:line="440" w:lineRule="exact"/>
        <w:ind w:hanging="898"/>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采购代理机构：是指从事采购代理业务的社会中介机构。本项目的采购代理机构见</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w:t>
      </w:r>
    </w:p>
    <w:p>
      <w:pPr>
        <w:numPr>
          <w:ilvl w:val="1"/>
          <w:numId w:val="1"/>
        </w:numPr>
        <w:spacing w:line="440" w:lineRule="exact"/>
        <w:ind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投标人：是指向采购人提供货物、工程或者服务的法人、非法人组织或者自然人。本项目的投标人及其投标产品须满足以下条件：</w:t>
      </w:r>
    </w:p>
    <w:p>
      <w:pPr>
        <w:spacing w:line="440" w:lineRule="exact"/>
        <w:ind w:left="850" w:hanging="849" w:hangingChars="354"/>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  具备《中华人民共和国政府采购法》第二十二条关于供应商条件的规定，遵守本项目采购人本级和上级财政部门政府采购的有关规定。</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   以采购代理机构认可的方式获得了本项目的招标文件。</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   符合</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中规定的其他要求。</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   若</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中写明允许采购进口产品，投标人应保证所投产品可履行合法报通关手续进入中国关境内。</w:t>
      </w:r>
    </w:p>
    <w:p>
      <w:pPr>
        <w:spacing w:line="440" w:lineRule="exact"/>
        <w:ind w:left="899" w:leftChars="428"/>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若</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中未写明允许采购进口产品，投标人所投产品为进口产品，其投标将被认定为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840" w:hanging="840" w:hangingChars="35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1.3.6  若</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中写明专门面向中小企业采购的，投标人为非中小企业且所投产品为非中小企业产品，其投标将被认定为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     如</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中允许联合体投标，对联合体规定如下：</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两个以上供应商可以组成一个投标联合体，以一个投标人的身份投标。</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联合体各方均应符合《中华人民共和国政府采购法》第二十二条规定的条件。</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采购人根据采购项目对投标人的特殊要求，联合体中至少应当有一方符合相关规定。</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   联合体各方应签订共同投标协议，明确约定联合体各方承担的工作和相应的责任，并将共同投标协议连同作为投标文件第一部分的内容提交。</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联合体中有同类资质的供应商按照联合体分工承担相同工作的，按照较低的资质等级确定联合体的资质等级。</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   对联合体投标的其他资格要求见</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投标人在投标过程中不得向采购人提供、给予任何有价值的物品，影响其正常决策行为。一经发现，其将被认定为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5"/>
        <w:spacing w:before="0" w:after="0" w:line="440" w:lineRule="exact"/>
        <w:rPr>
          <w:rFonts w:ascii="微软雅黑" w:hAnsi="微软雅黑" w:eastAsia="微软雅黑" w:cs="微软雅黑"/>
          <w:color w:val="auto"/>
          <w:szCs w:val="24"/>
          <w:highlight w:val="none"/>
          <w:u w:val="none"/>
        </w:rPr>
      </w:pPr>
      <w:bookmarkStart w:id="13" w:name="_Toc515647759"/>
      <w:bookmarkStart w:id="14" w:name="_Toc5286"/>
      <w:bookmarkStart w:id="15" w:name="_Toc12139"/>
      <w:bookmarkStart w:id="16" w:name="_Toc4067"/>
      <w:r>
        <w:rPr>
          <w:rFonts w:hint="eastAsia" w:ascii="微软雅黑" w:hAnsi="微软雅黑" w:eastAsia="微软雅黑" w:cs="微软雅黑"/>
          <w:color w:val="auto"/>
          <w:szCs w:val="24"/>
          <w:highlight w:val="none"/>
          <w:u w:val="none"/>
        </w:rPr>
        <w:t>2.资金来源</w:t>
      </w:r>
      <w:bookmarkEnd w:id="13"/>
      <w:bookmarkEnd w:id="14"/>
      <w:bookmarkEnd w:id="15"/>
      <w:bookmarkEnd w:id="16"/>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本项目的采购人已获得足以支付本次招标后所签订的合同项下的资金（包括财政性资金和本项目采购中无法与财政性资金分割的非财政性资金）。</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    项目预算金额和分项或分包最高限价</w:t>
      </w:r>
      <w:r>
        <w:rPr>
          <w:rFonts w:hint="eastAsia" w:ascii="微软雅黑" w:hAnsi="微软雅黑" w:eastAsia="微软雅黑" w:cs="微软雅黑"/>
          <w:color w:val="auto"/>
          <w:sz w:val="24"/>
          <w:highlight w:val="none"/>
          <w:u w:val="single"/>
        </w:rPr>
        <w:t>见投标人须知资料表</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    投标人报价超过招标文件规定的预算金额或者分项、分包最高限价的，其投标将被认定为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5"/>
        <w:spacing w:before="0" w:after="0" w:line="440" w:lineRule="exact"/>
        <w:rPr>
          <w:rFonts w:ascii="微软雅黑" w:hAnsi="微软雅黑" w:eastAsia="微软雅黑" w:cs="微软雅黑"/>
          <w:color w:val="auto"/>
          <w:szCs w:val="24"/>
          <w:highlight w:val="none"/>
          <w:u w:val="none"/>
        </w:rPr>
      </w:pPr>
      <w:bookmarkStart w:id="17" w:name="_Toc515647760"/>
      <w:bookmarkStart w:id="18" w:name="_Toc20526"/>
      <w:bookmarkStart w:id="19" w:name="_Toc15936"/>
      <w:bookmarkStart w:id="20" w:name="_Toc520356145"/>
      <w:bookmarkStart w:id="21" w:name="_Toc4840"/>
      <w:r>
        <w:rPr>
          <w:rFonts w:hint="eastAsia" w:ascii="微软雅黑" w:hAnsi="微软雅黑" w:eastAsia="微软雅黑" w:cs="微软雅黑"/>
          <w:color w:val="auto"/>
          <w:szCs w:val="24"/>
          <w:highlight w:val="none"/>
          <w:u w:val="none"/>
        </w:rPr>
        <w:t>3.投标费用</w:t>
      </w:r>
      <w:bookmarkEnd w:id="17"/>
      <w:bookmarkEnd w:id="18"/>
      <w:bookmarkEnd w:id="19"/>
      <w:bookmarkEnd w:id="20"/>
      <w:bookmarkEnd w:id="21"/>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不论投标的结果如何，投标人应承担所有与准备和参加投标有关的费用。</w:t>
      </w:r>
    </w:p>
    <w:p>
      <w:pPr>
        <w:pStyle w:val="5"/>
        <w:spacing w:before="0" w:after="0" w:line="440" w:lineRule="exact"/>
        <w:rPr>
          <w:rFonts w:ascii="微软雅黑" w:hAnsi="微软雅黑" w:eastAsia="微软雅黑" w:cs="微软雅黑"/>
          <w:color w:val="auto"/>
          <w:szCs w:val="24"/>
          <w:highlight w:val="none"/>
          <w:u w:val="none"/>
        </w:rPr>
      </w:pPr>
      <w:bookmarkStart w:id="22" w:name="_Toc22810"/>
      <w:bookmarkStart w:id="23" w:name="_Toc4463"/>
      <w:bookmarkStart w:id="24" w:name="_Toc515647761"/>
      <w:bookmarkStart w:id="25" w:name="_Toc6116"/>
      <w:r>
        <w:rPr>
          <w:rFonts w:hint="eastAsia" w:ascii="微软雅黑" w:hAnsi="微软雅黑" w:eastAsia="微软雅黑" w:cs="微软雅黑"/>
          <w:color w:val="auto"/>
          <w:szCs w:val="24"/>
          <w:highlight w:val="none"/>
          <w:u w:val="none"/>
        </w:rPr>
        <w:t>4.适用法律</w:t>
      </w:r>
      <w:bookmarkEnd w:id="22"/>
      <w:bookmarkEnd w:id="23"/>
      <w:bookmarkEnd w:id="24"/>
      <w:bookmarkEnd w:id="25"/>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rPr>
          <w:rFonts w:ascii="微软雅黑" w:hAnsi="微软雅黑" w:eastAsia="微软雅黑" w:cs="微软雅黑"/>
          <w:color w:val="auto"/>
          <w:sz w:val="24"/>
          <w:highlight w:val="none"/>
        </w:rPr>
      </w:pPr>
      <w:bookmarkStart w:id="26" w:name="_Toc520356146"/>
      <w:bookmarkStart w:id="27" w:name="_Toc7404"/>
      <w:bookmarkStart w:id="28" w:name="_Toc515647762"/>
      <w:bookmarkStart w:id="29" w:name="_Toc6382"/>
      <w:bookmarkStart w:id="30" w:name="_Toc21566"/>
      <w:bookmarkStart w:id="31" w:name="_Toc216582806"/>
      <w:bookmarkStart w:id="32" w:name="_Toc4365"/>
      <w:r>
        <w:rPr>
          <w:rFonts w:hint="eastAsia" w:ascii="微软雅黑" w:hAnsi="微软雅黑" w:eastAsia="微软雅黑" w:cs="微软雅黑"/>
          <w:color w:val="auto"/>
          <w:sz w:val="24"/>
          <w:highlight w:val="none"/>
        </w:rPr>
        <w:br w:type="page"/>
      </w:r>
    </w:p>
    <w:p>
      <w:pPr>
        <w:pStyle w:val="4"/>
        <w:spacing w:before="0"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   招标文件</w:t>
      </w:r>
      <w:bookmarkEnd w:id="26"/>
      <w:bookmarkEnd w:id="27"/>
      <w:bookmarkEnd w:id="28"/>
      <w:bookmarkEnd w:id="29"/>
      <w:bookmarkEnd w:id="30"/>
      <w:bookmarkEnd w:id="31"/>
      <w:bookmarkEnd w:id="32"/>
    </w:p>
    <w:p>
      <w:pPr>
        <w:pStyle w:val="5"/>
        <w:spacing w:before="0" w:after="0" w:line="440" w:lineRule="exact"/>
        <w:rPr>
          <w:rFonts w:ascii="微软雅黑" w:hAnsi="微软雅黑" w:eastAsia="微软雅黑" w:cs="微软雅黑"/>
          <w:color w:val="auto"/>
          <w:szCs w:val="24"/>
          <w:highlight w:val="none"/>
          <w:u w:val="none"/>
        </w:rPr>
      </w:pPr>
      <w:bookmarkStart w:id="33" w:name="_Toc25000"/>
      <w:bookmarkStart w:id="34" w:name="_Toc520356147"/>
      <w:bookmarkStart w:id="35" w:name="_Toc14084"/>
      <w:bookmarkStart w:id="36" w:name="_Toc515647763"/>
      <w:bookmarkStart w:id="37" w:name="_Toc25743"/>
      <w:r>
        <w:rPr>
          <w:rFonts w:hint="eastAsia" w:ascii="微软雅黑" w:hAnsi="微软雅黑" w:eastAsia="微软雅黑" w:cs="微软雅黑"/>
          <w:color w:val="auto"/>
          <w:szCs w:val="24"/>
          <w:highlight w:val="none"/>
          <w:u w:val="none"/>
        </w:rPr>
        <w:t>5.招标文件构成</w:t>
      </w:r>
      <w:bookmarkEnd w:id="33"/>
      <w:bookmarkEnd w:id="34"/>
      <w:bookmarkEnd w:id="35"/>
      <w:bookmarkEnd w:id="36"/>
      <w:bookmarkEnd w:id="37"/>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招标文件分为7章，内容如下：</w:t>
      </w:r>
    </w:p>
    <w:p>
      <w:pPr>
        <w:numPr>
          <w:ilvl w:val="0"/>
          <w:numId w:val="2"/>
        </w:numPr>
        <w:tabs>
          <w:tab w:val="left" w:pos="0"/>
        </w:tabs>
        <w:spacing w:line="440" w:lineRule="exact"/>
        <w:ind w:hanging="829"/>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投标人须知</w:t>
      </w:r>
    </w:p>
    <w:p>
      <w:pPr>
        <w:numPr>
          <w:ilvl w:val="0"/>
          <w:numId w:val="2"/>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投标文件格式</w:t>
      </w:r>
    </w:p>
    <w:p>
      <w:pPr>
        <w:numPr>
          <w:ilvl w:val="0"/>
          <w:numId w:val="2"/>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投标邀请</w:t>
      </w:r>
    </w:p>
    <w:p>
      <w:pPr>
        <w:numPr>
          <w:ilvl w:val="0"/>
          <w:numId w:val="2"/>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投标人须知资料表</w:t>
      </w:r>
    </w:p>
    <w:p>
      <w:pPr>
        <w:numPr>
          <w:ilvl w:val="0"/>
          <w:numId w:val="2"/>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需求一览表及技术规格</w:t>
      </w:r>
    </w:p>
    <w:p>
      <w:pPr>
        <w:numPr>
          <w:ilvl w:val="0"/>
          <w:numId w:val="2"/>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评标方法和标准</w:t>
      </w:r>
    </w:p>
    <w:p>
      <w:pPr>
        <w:spacing w:line="440" w:lineRule="exact"/>
        <w:ind w:left="928" w:leftChars="442"/>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第7章 政府采购合同格式</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如本文件的前后内容不一致，以最后描述为准。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5"/>
        <w:spacing w:before="0" w:after="0" w:line="440" w:lineRule="exact"/>
        <w:rPr>
          <w:rFonts w:ascii="微软雅黑" w:hAnsi="微软雅黑" w:eastAsia="微软雅黑" w:cs="微软雅黑"/>
          <w:color w:val="auto"/>
          <w:szCs w:val="24"/>
          <w:highlight w:val="none"/>
          <w:u w:val="none"/>
        </w:rPr>
      </w:pPr>
      <w:bookmarkStart w:id="38" w:name="_Toc515904805"/>
      <w:bookmarkStart w:id="39" w:name="_Toc520356148"/>
      <w:bookmarkStart w:id="40" w:name="_Toc9232"/>
      <w:bookmarkStart w:id="41" w:name="_Toc26044"/>
      <w:bookmarkStart w:id="42" w:name="_Toc28810"/>
      <w:r>
        <w:rPr>
          <w:rFonts w:hint="eastAsia" w:ascii="微软雅黑" w:hAnsi="微软雅黑" w:eastAsia="微软雅黑" w:cs="微软雅黑"/>
          <w:color w:val="auto"/>
          <w:szCs w:val="24"/>
          <w:highlight w:val="none"/>
          <w:u w:val="none"/>
        </w:rPr>
        <w:t>6.招标文件的澄清</w:t>
      </w:r>
      <w:bookmarkEnd w:id="38"/>
      <w:bookmarkEnd w:id="39"/>
      <w:r>
        <w:rPr>
          <w:rFonts w:hint="eastAsia" w:ascii="微软雅黑" w:hAnsi="微软雅黑" w:eastAsia="微软雅黑" w:cs="微软雅黑"/>
          <w:color w:val="auto"/>
          <w:szCs w:val="24"/>
          <w:highlight w:val="none"/>
          <w:u w:val="none"/>
        </w:rPr>
        <w:t>与修改</w:t>
      </w:r>
      <w:bookmarkEnd w:id="40"/>
      <w:bookmarkEnd w:id="41"/>
      <w:bookmarkEnd w:id="42"/>
    </w:p>
    <w:p>
      <w:pPr>
        <w:pStyle w:val="2"/>
        <w:spacing w:line="440" w:lineRule="exact"/>
        <w:ind w:left="840" w:hanging="840" w:hangingChars="350"/>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    为了保证对招标文件的澄清和修改满足法律的时限要求，任何要求对招标文件进行澄清的投标人，均应在投标截止期十日前，以书面形式将澄清要求通知采购人或采购代理机构。</w:t>
      </w:r>
    </w:p>
    <w:p>
      <w:pPr>
        <w:pStyle w:val="2"/>
        <w:spacing w:line="440" w:lineRule="exact"/>
        <w:ind w:left="840" w:hanging="840" w:hangingChars="350"/>
        <w:rPr>
          <w:rFonts w:ascii="微软雅黑" w:hAnsi="微软雅黑" w:eastAsia="微软雅黑" w:cs="微软雅黑"/>
          <w:color w:val="auto"/>
          <w:szCs w:val="24"/>
          <w:highlight w:val="none"/>
        </w:rPr>
      </w:pPr>
      <w:bookmarkStart w:id="43" w:name="_Ref467378678"/>
      <w:bookmarkStart w:id="44" w:name="_Toc520356149"/>
      <w:bookmarkStart w:id="45" w:name="_Toc515904806"/>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2"/>
        <w:spacing w:line="440" w:lineRule="exact"/>
        <w:ind w:left="840" w:hanging="840" w:hangingChars="350"/>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440" w:lineRule="exact"/>
        <w:rPr>
          <w:rFonts w:ascii="微软雅黑" w:hAnsi="微软雅黑" w:eastAsia="微软雅黑" w:cs="微软雅黑"/>
          <w:color w:val="auto"/>
          <w:szCs w:val="24"/>
          <w:highlight w:val="none"/>
          <w:u w:val="none"/>
        </w:rPr>
      </w:pPr>
      <w:bookmarkStart w:id="46" w:name="_Toc14569"/>
      <w:bookmarkStart w:id="47" w:name="_Toc17311"/>
      <w:bookmarkStart w:id="48" w:name="_Toc25635"/>
      <w:r>
        <w:rPr>
          <w:rFonts w:hint="eastAsia" w:ascii="微软雅黑" w:hAnsi="微软雅黑" w:eastAsia="微软雅黑" w:cs="微软雅黑"/>
          <w:color w:val="auto"/>
          <w:szCs w:val="24"/>
          <w:highlight w:val="none"/>
          <w:u w:val="none"/>
        </w:rPr>
        <w:t>7</w:t>
      </w:r>
      <w:bookmarkEnd w:id="43"/>
      <w:bookmarkEnd w:id="44"/>
      <w:bookmarkEnd w:id="45"/>
      <w:r>
        <w:rPr>
          <w:rFonts w:hint="eastAsia" w:ascii="微软雅黑" w:hAnsi="微软雅黑" w:eastAsia="微软雅黑" w:cs="微软雅黑"/>
          <w:color w:val="auto"/>
          <w:szCs w:val="24"/>
          <w:highlight w:val="none"/>
          <w:u w:val="none"/>
        </w:rPr>
        <w:t>.投标截止时间的顺延</w:t>
      </w:r>
      <w:bookmarkEnd w:id="46"/>
      <w:bookmarkEnd w:id="47"/>
      <w:bookmarkEnd w:id="48"/>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为使投标人准备投标时有足够的时间对招标文件的澄清或者修改部分进行研究，采购人将依法决定是否顺延投标截止时间。</w:t>
      </w:r>
    </w:p>
    <w:p>
      <w:pPr>
        <w:rPr>
          <w:rFonts w:ascii="微软雅黑" w:hAnsi="微软雅黑" w:eastAsia="微软雅黑" w:cs="微软雅黑"/>
          <w:color w:val="auto"/>
          <w:sz w:val="24"/>
          <w:highlight w:val="none"/>
        </w:rPr>
      </w:pPr>
      <w:bookmarkStart w:id="49" w:name="_Toc516367020"/>
      <w:bookmarkStart w:id="50" w:name="_Toc23138"/>
      <w:bookmarkStart w:id="51" w:name="_Toc17591"/>
      <w:bookmarkStart w:id="52" w:name="_Toc7636"/>
      <w:bookmarkStart w:id="53" w:name="_Toc30808"/>
      <w:bookmarkStart w:id="54" w:name="_Toc216582807"/>
      <w:bookmarkStart w:id="55" w:name="_Toc515647766"/>
      <w:bookmarkStart w:id="56" w:name="_Toc520356150"/>
      <w:r>
        <w:rPr>
          <w:rFonts w:hint="eastAsia" w:ascii="微软雅黑" w:hAnsi="微软雅黑" w:eastAsia="微软雅黑" w:cs="微软雅黑"/>
          <w:color w:val="auto"/>
          <w:sz w:val="24"/>
          <w:highlight w:val="none"/>
        </w:rPr>
        <w:br w:type="page"/>
      </w:r>
    </w:p>
    <w:p>
      <w:pPr>
        <w:pStyle w:val="4"/>
        <w:tabs>
          <w:tab w:val="left" w:pos="900"/>
        </w:tabs>
        <w:spacing w:before="0"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   投标文件</w:t>
      </w:r>
      <w:bookmarkEnd w:id="49"/>
      <w:r>
        <w:rPr>
          <w:rFonts w:hint="eastAsia" w:ascii="微软雅黑" w:hAnsi="微软雅黑" w:eastAsia="微软雅黑" w:cs="微软雅黑"/>
          <w:color w:val="auto"/>
          <w:sz w:val="24"/>
          <w:szCs w:val="24"/>
          <w:highlight w:val="none"/>
        </w:rPr>
        <w:t>的编制</w:t>
      </w:r>
      <w:bookmarkEnd w:id="50"/>
      <w:bookmarkEnd w:id="51"/>
      <w:bookmarkEnd w:id="52"/>
      <w:bookmarkEnd w:id="53"/>
      <w:bookmarkEnd w:id="54"/>
      <w:bookmarkEnd w:id="55"/>
      <w:bookmarkEnd w:id="56"/>
    </w:p>
    <w:p>
      <w:pPr>
        <w:pStyle w:val="5"/>
        <w:tabs>
          <w:tab w:val="left" w:pos="900"/>
        </w:tabs>
        <w:spacing w:before="0" w:after="0" w:line="440" w:lineRule="exact"/>
        <w:rPr>
          <w:rFonts w:ascii="微软雅黑" w:hAnsi="微软雅黑" w:eastAsia="微软雅黑" w:cs="微软雅黑"/>
          <w:color w:val="auto"/>
          <w:szCs w:val="24"/>
          <w:highlight w:val="none"/>
          <w:u w:val="none"/>
        </w:rPr>
      </w:pPr>
      <w:bookmarkStart w:id="57" w:name="_Toc520356151"/>
      <w:bookmarkStart w:id="58" w:name="_Toc30852"/>
      <w:bookmarkStart w:id="59" w:name="_Toc515647767"/>
      <w:bookmarkStart w:id="60" w:name="_Toc3553"/>
      <w:bookmarkStart w:id="61" w:name="_Toc7786"/>
      <w:bookmarkStart w:id="62" w:name="_Toc516367021"/>
      <w:r>
        <w:rPr>
          <w:rFonts w:hint="eastAsia" w:ascii="微软雅黑" w:hAnsi="微软雅黑" w:eastAsia="微软雅黑" w:cs="微软雅黑"/>
          <w:color w:val="auto"/>
          <w:szCs w:val="24"/>
          <w:highlight w:val="none"/>
          <w:u w:val="none"/>
        </w:rPr>
        <w:t>8.</w:t>
      </w:r>
      <w:r>
        <w:rPr>
          <w:rFonts w:hint="eastAsia" w:ascii="微软雅黑" w:hAnsi="微软雅黑" w:eastAsia="微软雅黑" w:cs="微软雅黑"/>
          <w:color w:val="auto"/>
          <w:szCs w:val="24"/>
          <w:highlight w:val="none"/>
          <w:u w:val="none"/>
        </w:rPr>
        <w:tab/>
      </w:r>
      <w:r>
        <w:rPr>
          <w:rFonts w:hint="eastAsia" w:ascii="微软雅黑" w:hAnsi="微软雅黑" w:eastAsia="微软雅黑" w:cs="微软雅黑"/>
          <w:color w:val="auto"/>
          <w:szCs w:val="24"/>
          <w:highlight w:val="none"/>
          <w:u w:val="none"/>
        </w:rPr>
        <w:t>投标范围及投标文件中标准和计量单位的使用</w:t>
      </w:r>
      <w:bookmarkEnd w:id="57"/>
      <w:bookmarkEnd w:id="58"/>
      <w:bookmarkEnd w:id="59"/>
      <w:bookmarkEnd w:id="60"/>
      <w:bookmarkEnd w:id="61"/>
      <w:bookmarkEnd w:id="62"/>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项目有分包的，投标人可对招标文件其中某一个或几个分包货物进行投标，除非在</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中另有规定。</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8.2     投标人应当对所投分包招标文件中“服务需求”所列的所有内容进行投标，如仅响应某一包中的部分内容，其该包投标将被认定为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     无论招标文件第5章技术需求一览表及技术规格中是否要求，投标人所投货物均应符合国家强制性标准。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8.4     除招标文件中有特殊要求外，投标文件中所使用的计量单位，应采用中华人民共和国法定计量单位。</w:t>
      </w:r>
    </w:p>
    <w:p>
      <w:pPr>
        <w:pStyle w:val="5"/>
        <w:tabs>
          <w:tab w:val="left" w:pos="900"/>
        </w:tabs>
        <w:spacing w:before="0" w:after="0" w:line="440" w:lineRule="exact"/>
        <w:rPr>
          <w:rFonts w:ascii="微软雅黑" w:hAnsi="微软雅黑" w:eastAsia="微软雅黑" w:cs="微软雅黑"/>
          <w:color w:val="auto"/>
          <w:szCs w:val="24"/>
          <w:highlight w:val="none"/>
          <w:u w:val="none"/>
        </w:rPr>
      </w:pPr>
      <w:bookmarkStart w:id="63" w:name="_Toc516367022"/>
      <w:bookmarkStart w:id="64" w:name="_Ref467306676"/>
      <w:bookmarkStart w:id="65" w:name="_Ref467306195"/>
      <w:bookmarkStart w:id="66" w:name="_Toc10364"/>
      <w:bookmarkStart w:id="67" w:name="_Toc32655"/>
      <w:bookmarkStart w:id="68" w:name="_Toc520356152"/>
      <w:bookmarkStart w:id="69" w:name="_Toc28307"/>
      <w:bookmarkStart w:id="70" w:name="_Toc515647768"/>
      <w:bookmarkStart w:id="71" w:name="_Toc27659"/>
      <w:bookmarkStart w:id="72" w:name="_Toc515647769"/>
      <w:bookmarkStart w:id="73" w:name="_Toc4601"/>
      <w:bookmarkStart w:id="74" w:name="_Toc516367023"/>
      <w:bookmarkStart w:id="75" w:name="_Toc10379"/>
      <w:bookmarkStart w:id="76" w:name="_Toc520356153"/>
      <w:r>
        <w:rPr>
          <w:rFonts w:hint="eastAsia" w:ascii="微软雅黑" w:hAnsi="微软雅黑" w:eastAsia="微软雅黑" w:cs="微软雅黑"/>
          <w:color w:val="auto"/>
          <w:szCs w:val="24"/>
          <w:highlight w:val="none"/>
          <w:u w:val="none"/>
        </w:rPr>
        <w:t>9.投标文件</w:t>
      </w:r>
      <w:bookmarkEnd w:id="63"/>
      <w:bookmarkEnd w:id="64"/>
      <w:bookmarkEnd w:id="65"/>
      <w:r>
        <w:rPr>
          <w:rFonts w:hint="eastAsia" w:ascii="微软雅黑" w:hAnsi="微软雅黑" w:eastAsia="微软雅黑" w:cs="微软雅黑"/>
          <w:color w:val="auto"/>
          <w:szCs w:val="24"/>
          <w:highlight w:val="none"/>
          <w:u w:val="none"/>
        </w:rPr>
        <w:t>构成</w:t>
      </w:r>
      <w:bookmarkEnd w:id="66"/>
      <w:bookmarkEnd w:id="67"/>
      <w:bookmarkEnd w:id="68"/>
      <w:bookmarkEnd w:id="69"/>
      <w:bookmarkEnd w:id="70"/>
    </w:p>
    <w:p>
      <w:pPr>
        <w:tabs>
          <w:tab w:val="left" w:pos="900"/>
          <w:tab w:val="left" w:pos="5580"/>
        </w:tabs>
        <w:spacing w:line="440" w:lineRule="exact"/>
        <w:ind w:left="960" w:hanging="960" w:hangingChars="400"/>
        <w:jc w:val="left"/>
        <w:rPr>
          <w:rFonts w:ascii="微软雅黑" w:hAnsi="微软雅黑" w:eastAsia="微软雅黑" w:cs="微软雅黑"/>
          <w:color w:val="auto"/>
          <w:sz w:val="24"/>
          <w:highlight w:val="none"/>
          <w:u w:val="single"/>
        </w:rPr>
      </w:pPr>
      <w:bookmarkStart w:id="77" w:name="_Ref467052588"/>
      <w:r>
        <w:rPr>
          <w:rFonts w:hint="eastAsia" w:ascii="微软雅黑" w:hAnsi="微软雅黑" w:eastAsia="微软雅黑" w:cs="微软雅黑"/>
          <w:color w:val="auto"/>
          <w:sz w:val="24"/>
          <w:highlight w:val="none"/>
        </w:rPr>
        <w:t xml:space="preserve">9.1     </w:t>
      </w:r>
      <w:r>
        <w:rPr>
          <w:rFonts w:hint="eastAsia" w:ascii="微软雅黑" w:hAnsi="微软雅黑" w:eastAsia="微软雅黑" w:cs="微软雅黑"/>
          <w:b/>
          <w:bCs/>
          <w:color w:val="auto"/>
          <w:sz w:val="24"/>
          <w:highlight w:val="none"/>
          <w:u w:val="single"/>
        </w:rPr>
        <w:t>投标人应完整地按招标文件提供的投标文件格式及要求遍写投标文件，投标文件应包括“开标一览表及资格证明文件”和“商务及技术文件”两部分，两部分合订成一册，密封递交。投标人应承担封装失误产生的任何后果。</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    上述文件应按照招标文件规定的格式填写、签署和盖章。</w:t>
      </w:r>
    </w:p>
    <w:bookmarkEnd w:id="71"/>
    <w:bookmarkEnd w:id="72"/>
    <w:bookmarkEnd w:id="73"/>
    <w:bookmarkEnd w:id="74"/>
    <w:bookmarkEnd w:id="75"/>
    <w:bookmarkEnd w:id="76"/>
    <w:bookmarkEnd w:id="77"/>
    <w:p>
      <w:pPr>
        <w:pStyle w:val="5"/>
        <w:tabs>
          <w:tab w:val="left" w:pos="900"/>
        </w:tabs>
        <w:spacing w:before="0" w:after="0" w:line="440" w:lineRule="exact"/>
        <w:rPr>
          <w:rFonts w:ascii="微软雅黑" w:hAnsi="微软雅黑" w:eastAsia="微软雅黑" w:cs="微软雅黑"/>
          <w:color w:val="auto"/>
          <w:szCs w:val="24"/>
          <w:highlight w:val="none"/>
          <w:u w:val="none"/>
        </w:rPr>
      </w:pPr>
      <w:bookmarkStart w:id="78" w:name="_Toc515647770"/>
      <w:bookmarkStart w:id="79" w:name="_Toc2248"/>
      <w:bookmarkStart w:id="80" w:name="_Toc520356155"/>
      <w:bookmarkStart w:id="81" w:name="_Toc28654"/>
      <w:bookmarkStart w:id="82" w:name="_Toc23231"/>
      <w:r>
        <w:rPr>
          <w:rFonts w:hint="eastAsia" w:ascii="微软雅黑" w:hAnsi="微软雅黑" w:eastAsia="微软雅黑" w:cs="微软雅黑"/>
          <w:color w:val="auto"/>
          <w:szCs w:val="24"/>
          <w:highlight w:val="none"/>
          <w:u w:val="none"/>
        </w:rPr>
        <w:t>10.</w:t>
      </w:r>
      <w:r>
        <w:rPr>
          <w:rFonts w:hint="eastAsia" w:ascii="微软雅黑" w:hAnsi="微软雅黑" w:eastAsia="微软雅黑" w:cs="微软雅黑"/>
          <w:color w:val="auto"/>
          <w:szCs w:val="24"/>
          <w:highlight w:val="none"/>
          <w:u w:val="none"/>
        </w:rPr>
        <w:tab/>
      </w:r>
      <w:r>
        <w:rPr>
          <w:rFonts w:hint="eastAsia" w:ascii="微软雅黑" w:hAnsi="微软雅黑" w:eastAsia="微软雅黑" w:cs="微软雅黑"/>
          <w:color w:val="auto"/>
          <w:szCs w:val="24"/>
          <w:highlight w:val="none"/>
          <w:u w:val="none"/>
        </w:rPr>
        <w:t>证明投标标的的合格性和符合招标文件规定的技术文件</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投标人应提交证明文件，证明其投标内容符合招标文件规定。该证明文件是投标文件的一部分。</w:t>
      </w:r>
    </w:p>
    <w:p>
      <w:pPr>
        <w:spacing w:line="440" w:lineRule="exact"/>
        <w:ind w:left="900" w:hanging="900" w:hangingChars="375"/>
        <w:rPr>
          <w:rFonts w:ascii="微软雅黑" w:hAnsi="微软雅黑" w:eastAsia="微软雅黑" w:cs="微软雅黑"/>
          <w:color w:val="auto"/>
          <w:sz w:val="24"/>
          <w:highlight w:val="none"/>
        </w:rPr>
      </w:pPr>
      <w:bookmarkStart w:id="83"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上款所述的证明文件，可以是文字资料、图纸和数据，</w:t>
      </w:r>
      <w:bookmarkEnd w:id="83"/>
      <w:r>
        <w:rPr>
          <w:rFonts w:hint="eastAsia" w:ascii="微软雅黑" w:hAnsi="微软雅黑" w:eastAsia="微软雅黑" w:cs="微软雅黑"/>
          <w:color w:val="auto"/>
          <w:sz w:val="24"/>
          <w:highlight w:val="none"/>
        </w:rPr>
        <w:t>它包括：</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货物主要技术指标和性能的详细说明；</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货物从买方开始使用至招标文件规定的保质期内正常、连续地使用所必须的备件和专用工具清单，包括备件和专用工具的货源及现行价格；</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对照招标文件技术规格，逐条说明所提供货物及伴随的工程和服务已对招标文件的技术规格做出了实质性的响应，或申明与技术规格条文的偏差和例外。</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bookmarkEnd w:id="78"/>
    <w:bookmarkEnd w:id="79"/>
    <w:bookmarkEnd w:id="80"/>
    <w:bookmarkEnd w:id="81"/>
    <w:bookmarkEnd w:id="82"/>
    <w:p>
      <w:pPr>
        <w:pStyle w:val="5"/>
        <w:spacing w:before="0" w:after="0" w:line="440" w:lineRule="exact"/>
        <w:rPr>
          <w:rFonts w:ascii="微软雅黑" w:hAnsi="微软雅黑" w:eastAsia="微软雅黑" w:cs="微软雅黑"/>
          <w:color w:val="auto"/>
          <w:szCs w:val="24"/>
          <w:highlight w:val="none"/>
          <w:u w:val="none"/>
        </w:rPr>
      </w:pPr>
      <w:bookmarkStart w:id="84" w:name="_Toc17788"/>
      <w:bookmarkStart w:id="85" w:name="_Toc515647771"/>
      <w:bookmarkStart w:id="86" w:name="_Ref467306513"/>
      <w:bookmarkStart w:id="87" w:name="_Toc23985"/>
      <w:bookmarkStart w:id="88" w:name="_Toc520356156"/>
      <w:bookmarkStart w:id="89" w:name="_Toc11514"/>
      <w:r>
        <w:rPr>
          <w:rFonts w:hint="eastAsia" w:ascii="微软雅黑" w:hAnsi="微软雅黑" w:eastAsia="微软雅黑" w:cs="微软雅黑"/>
          <w:color w:val="auto"/>
          <w:szCs w:val="24"/>
          <w:highlight w:val="none"/>
          <w:u w:val="none"/>
        </w:rPr>
        <w:t>11.投标报价</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投标人应在投标分项报价表上标明投标产品及相关服务的单价（如适用）和总价，并由法定代表人（负责人）或其授权代表签署。</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投标分项报价表上的价格应按下列方式填写：</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11.3.1  </w:t>
      </w:r>
      <w:r>
        <w:rPr>
          <w:rFonts w:hint="eastAsia" w:ascii="微软雅黑" w:hAnsi="微软雅黑" w:eastAsia="微软雅黑" w:cs="微软雅黑"/>
          <w:b/>
          <w:bCs/>
          <w:color w:val="auto"/>
          <w:sz w:val="24"/>
          <w:highlight w:val="none"/>
        </w:rPr>
        <w:t>投标货物（包括备品备件、专用工具等）的出厂价（包括已在中国国内的进口货物完税后的仓库交货价、展室交货价或货架交货价），投标货物安装、调试、检验、技术服务和培训等费用；</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11.3.2  货物运至最终目的地的运输费和保险费用。</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每种货物只能有一个投标报价。采购人不接受具有附加条件的报价。</w:t>
      </w:r>
    </w:p>
    <w:p>
      <w:pPr>
        <w:pStyle w:val="5"/>
        <w:spacing w:before="0" w:after="0" w:line="440" w:lineRule="exact"/>
        <w:rPr>
          <w:rFonts w:ascii="微软雅黑" w:hAnsi="微软雅黑" w:eastAsia="微软雅黑" w:cs="微软雅黑"/>
          <w:color w:val="auto"/>
          <w:szCs w:val="24"/>
          <w:highlight w:val="none"/>
          <w:u w:val="none"/>
        </w:rPr>
      </w:pPr>
      <w:r>
        <w:rPr>
          <w:rFonts w:hint="eastAsia" w:ascii="微软雅黑" w:hAnsi="微软雅黑" w:eastAsia="微软雅黑" w:cs="微软雅黑"/>
          <w:color w:val="auto"/>
          <w:szCs w:val="24"/>
          <w:highlight w:val="none"/>
          <w:u w:val="none"/>
        </w:rPr>
        <w:t>12.投标保证金</w:t>
      </w:r>
      <w:bookmarkEnd w:id="84"/>
      <w:bookmarkEnd w:id="85"/>
      <w:bookmarkEnd w:id="86"/>
      <w:bookmarkEnd w:id="87"/>
      <w:bookmarkEnd w:id="88"/>
      <w:bookmarkEnd w:id="89"/>
    </w:p>
    <w:p>
      <w:pPr>
        <w:spacing w:line="440" w:lineRule="exact"/>
        <w:ind w:left="900" w:hanging="900" w:hangingChars="375"/>
        <w:rPr>
          <w:rFonts w:ascii="微软雅黑" w:hAnsi="微软雅黑" w:eastAsia="微软雅黑" w:cs="微软雅黑"/>
          <w:color w:val="auto"/>
          <w:sz w:val="24"/>
          <w:highlight w:val="none"/>
        </w:rPr>
      </w:pPr>
      <w:bookmarkStart w:id="90"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投标人应提交</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中规定的投标保证金</w:t>
      </w:r>
      <w:bookmarkEnd w:id="90"/>
      <w:r>
        <w:rPr>
          <w:rFonts w:hint="eastAsia" w:ascii="微软雅黑" w:hAnsi="微软雅黑" w:eastAsia="微软雅黑" w:cs="微软雅黑"/>
          <w:color w:val="auto"/>
          <w:sz w:val="24"/>
          <w:highlight w:val="none"/>
        </w:rPr>
        <w:t>，并作为其投标的一部分。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投标人存在下列情形的，投标保证金不予退还：</w:t>
      </w:r>
    </w:p>
    <w:p>
      <w:pPr>
        <w:pStyle w:val="14"/>
        <w:tabs>
          <w:tab w:val="left" w:pos="2240"/>
        </w:tabs>
        <w:spacing w:line="440" w:lineRule="exact"/>
        <w:ind w:left="1079" w:leftChars="371" w:hanging="300" w:hangingChars="12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（1）在投标有效期内，撤销投标的；</w:t>
      </w:r>
    </w:p>
    <w:p>
      <w:pPr>
        <w:pStyle w:val="14"/>
        <w:tabs>
          <w:tab w:val="left" w:pos="2240"/>
        </w:tabs>
        <w:spacing w:line="440" w:lineRule="exact"/>
        <w:ind w:left="1079" w:leftChars="371" w:hanging="300" w:hangingChars="12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（2）中标后不按本须知第30条的规定与采购人签订合同的；</w:t>
      </w:r>
    </w:p>
    <w:p>
      <w:pPr>
        <w:pStyle w:val="14"/>
        <w:tabs>
          <w:tab w:val="left" w:pos="2240"/>
        </w:tabs>
        <w:spacing w:line="440" w:lineRule="exact"/>
        <w:ind w:left="1079" w:leftChars="371" w:hanging="300" w:hangingChars="12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（3）中标后不按本须知第31条的规定提交履约保证金的；</w:t>
      </w:r>
    </w:p>
    <w:p>
      <w:pPr>
        <w:pStyle w:val="14"/>
        <w:tabs>
          <w:tab w:val="left" w:pos="2240"/>
        </w:tabs>
        <w:spacing w:line="440" w:lineRule="exact"/>
        <w:ind w:left="1079" w:leftChars="371" w:hanging="300" w:hangingChars="12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（4）中标后不按本须知第32条的规定缴纳中标服务费的；</w:t>
      </w:r>
    </w:p>
    <w:p>
      <w:pPr>
        <w:pStyle w:val="14"/>
        <w:tabs>
          <w:tab w:val="left" w:pos="2240"/>
        </w:tabs>
        <w:spacing w:line="440" w:lineRule="exact"/>
        <w:ind w:left="1079" w:leftChars="371" w:hanging="300" w:hangingChars="12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（5）存在其他违法违规行为的。</w:t>
      </w:r>
    </w:p>
    <w:p>
      <w:pPr>
        <w:spacing w:line="440" w:lineRule="exact"/>
        <w:ind w:left="900" w:hanging="900" w:hangingChars="375"/>
        <w:rPr>
          <w:rFonts w:ascii="微软雅黑" w:hAnsi="微软雅黑" w:eastAsia="微软雅黑" w:cs="微软雅黑"/>
          <w:color w:val="auto"/>
          <w:sz w:val="24"/>
          <w:highlight w:val="none"/>
        </w:rPr>
      </w:pPr>
      <w:bookmarkStart w:id="91"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91"/>
      <w:r>
        <w:rPr>
          <w:rFonts w:hint="eastAsia" w:ascii="微软雅黑" w:hAnsi="微软雅黑" w:eastAsia="微软雅黑" w:cs="微软雅黑"/>
          <w:color w:val="auto"/>
          <w:sz w:val="24"/>
          <w:highlight w:val="none"/>
        </w:rPr>
        <w:t>政府采购信用担保试点范围内的项目，接受符合财政部门规定的政府采购投标担保函原件。</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投标人未按本须知第12.1和12.3条规定提交投标保证金的，其投标将被认定为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  采用电汇形式的，一般可以实时入账。</w:t>
      </w:r>
    </w:p>
    <w:p>
      <w:pPr>
        <w:spacing w:line="440" w:lineRule="exact"/>
        <w:ind w:left="960" w:hanging="960" w:hangingChars="4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   联合体投标的，可以由联合体中的一方或者共同提交投标保证金。以一方名义提交投标保证金的，对联合体各方均具有约束力。</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投标保证金的退还</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  中标人应在与采购人签订合同之日起5个工作日内，及时联系保证金收受机构办理投标保证金无息退还手续。</w:t>
      </w:r>
    </w:p>
    <w:p>
      <w:pPr>
        <w:spacing w:line="440" w:lineRule="exact"/>
        <w:ind w:left="960" w:hanging="960" w:hangingChars="4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12.6.3  政府采购投标担保函不予退回。</w:t>
      </w:r>
    </w:p>
    <w:p>
      <w:pPr>
        <w:spacing w:line="440" w:lineRule="exact"/>
        <w:ind w:left="960" w:hanging="960" w:hangingChars="4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    因投标人自身原因导致无法及时退还的，采购人或采购代理机构将不承担相应责任。</w:t>
      </w:r>
    </w:p>
    <w:p>
      <w:pPr>
        <w:pStyle w:val="5"/>
        <w:spacing w:before="0" w:after="0" w:line="440" w:lineRule="exact"/>
        <w:rPr>
          <w:rFonts w:ascii="微软雅黑" w:hAnsi="微软雅黑" w:eastAsia="微软雅黑" w:cs="微软雅黑"/>
          <w:color w:val="auto"/>
          <w:szCs w:val="24"/>
          <w:highlight w:val="none"/>
          <w:u w:val="none"/>
        </w:rPr>
      </w:pPr>
      <w:bookmarkStart w:id="92" w:name="_Toc26580"/>
      <w:bookmarkStart w:id="93" w:name="_Toc32569"/>
      <w:bookmarkStart w:id="94" w:name="_Toc520356157"/>
      <w:bookmarkStart w:id="95" w:name="_Toc515647772"/>
      <w:bookmarkStart w:id="96" w:name="_Toc23590"/>
      <w:r>
        <w:rPr>
          <w:rFonts w:hint="eastAsia" w:ascii="微软雅黑" w:hAnsi="微软雅黑" w:eastAsia="微软雅黑" w:cs="微软雅黑"/>
          <w:color w:val="auto"/>
          <w:szCs w:val="24"/>
          <w:highlight w:val="none"/>
          <w:u w:val="none"/>
        </w:rPr>
        <w:t>13.投标有效期</w:t>
      </w:r>
      <w:bookmarkEnd w:id="92"/>
      <w:bookmarkEnd w:id="93"/>
      <w:bookmarkEnd w:id="94"/>
      <w:bookmarkEnd w:id="95"/>
      <w:bookmarkEnd w:id="96"/>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投标应在</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中规定时间内保持有效。投标有效期不满足要求的投标，其投标将被认定为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pacing w:before="0" w:after="0" w:line="440" w:lineRule="exact"/>
        <w:rPr>
          <w:rFonts w:ascii="微软雅黑" w:hAnsi="微软雅黑" w:eastAsia="微软雅黑" w:cs="微软雅黑"/>
          <w:color w:val="auto"/>
          <w:szCs w:val="24"/>
          <w:highlight w:val="none"/>
          <w:u w:val="none"/>
        </w:rPr>
      </w:pPr>
      <w:bookmarkStart w:id="97" w:name="_Toc520356158"/>
      <w:bookmarkStart w:id="98" w:name="_Toc515647773"/>
      <w:bookmarkStart w:id="99" w:name="_Toc17074"/>
      <w:bookmarkStart w:id="100" w:name="_Toc20503"/>
      <w:bookmarkStart w:id="101" w:name="_Toc493"/>
      <w:r>
        <w:rPr>
          <w:rFonts w:hint="eastAsia" w:ascii="微软雅黑" w:hAnsi="微软雅黑" w:eastAsia="微软雅黑" w:cs="微软雅黑"/>
          <w:color w:val="auto"/>
          <w:szCs w:val="24"/>
          <w:highlight w:val="none"/>
          <w:u w:val="none"/>
        </w:rPr>
        <w:t>14.投标文件的签署</w:t>
      </w:r>
      <w:bookmarkEnd w:id="97"/>
      <w:r>
        <w:rPr>
          <w:rFonts w:hint="eastAsia" w:ascii="微软雅黑" w:hAnsi="微软雅黑" w:eastAsia="微软雅黑" w:cs="微软雅黑"/>
          <w:color w:val="auto"/>
          <w:szCs w:val="24"/>
          <w:highlight w:val="none"/>
          <w:u w:val="none"/>
        </w:rPr>
        <w:t>及规定</w:t>
      </w:r>
      <w:bookmarkEnd w:id="98"/>
      <w:bookmarkEnd w:id="99"/>
      <w:bookmarkEnd w:id="100"/>
      <w:bookmarkEnd w:id="101"/>
    </w:p>
    <w:p>
      <w:pPr>
        <w:spacing w:line="440" w:lineRule="exact"/>
        <w:ind w:left="900" w:hanging="900" w:hangingChars="375"/>
        <w:rPr>
          <w:rFonts w:ascii="微软雅黑" w:hAnsi="微软雅黑" w:eastAsia="微软雅黑" w:cs="微软雅黑"/>
          <w:color w:val="auto"/>
          <w:sz w:val="24"/>
          <w:highlight w:val="none"/>
        </w:rPr>
      </w:pPr>
      <w:bookmarkStart w:id="102" w:name="_Toc9840"/>
      <w:bookmarkStart w:id="103" w:name="_Toc515647776"/>
      <w:bookmarkStart w:id="104" w:name="_Toc520356161"/>
      <w:bookmarkStart w:id="105" w:name="_Toc12751"/>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投标人应按投标人须知资料表中的规定，准备和递交投标文件，每份纸质版投标文件封皮须清楚地标明“正本”或“副本”。若正本和副本不符，以正本为准。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投标文件的正本需打印或用不褪色墨水书写，并由投标人的法定代表人（负责人）或经其正式委托代理人按招标文件规定在投标文件上签字并加盖单位印章。委托代理人须持有书面的“法定代表人（负责人）授权委托书”，并将其附在投标文件中。如对投标文件进行了修改，则应由投标人的法定代表人（负责人）或其委托代理人在每一修改处签字。投标文件的副本可采用正本的复印件。</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所有投标文件采用不可拆装的胶订方式装订，否则其投标文件将被认定为无效。</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投标文件因字迹潦草、表达不清或装订不当所引起的后果由供应商负责。</w:t>
      </w:r>
    </w:p>
    <w:p>
      <w:pPr>
        <w:pStyle w:val="2"/>
        <w:spacing w:line="440" w:lineRule="exact"/>
        <w:ind w:firstLine="0"/>
        <w:rPr>
          <w:rFonts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14.5    投标文件必须制作目录及页码，页码必须连续并与目录相对应。</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未按本须知规定编制、密封、标记及签署盖章的投标文件将被认定为无效。</w:t>
      </w:r>
    </w:p>
    <w:p>
      <w:pPr>
        <w:pStyle w:val="4"/>
        <w:spacing w:before="0" w:line="440" w:lineRule="exact"/>
        <w:ind w:left="1080" w:leftChars="257" w:hanging="540"/>
        <w:rPr>
          <w:rFonts w:ascii="微软雅黑" w:hAnsi="微软雅黑" w:eastAsia="微软雅黑" w:cs="微软雅黑"/>
          <w:bCs/>
          <w:color w:val="auto"/>
          <w:sz w:val="24"/>
          <w:szCs w:val="24"/>
          <w:highlight w:val="none"/>
        </w:rPr>
      </w:pPr>
      <w:bookmarkStart w:id="106" w:name="_Toc4108"/>
      <w:bookmarkStart w:id="107" w:name="_Toc16504"/>
      <w:r>
        <w:rPr>
          <w:rFonts w:hint="eastAsia" w:ascii="微软雅黑" w:hAnsi="微软雅黑" w:eastAsia="微软雅黑" w:cs="微软雅黑"/>
          <w:bCs/>
          <w:color w:val="auto"/>
          <w:sz w:val="24"/>
          <w:szCs w:val="24"/>
          <w:highlight w:val="none"/>
        </w:rPr>
        <w:t>四   投标文件的递交</w:t>
      </w:r>
      <w:bookmarkEnd w:id="106"/>
      <w:bookmarkEnd w:id="107"/>
    </w:p>
    <w:p>
      <w:pPr>
        <w:pStyle w:val="5"/>
        <w:spacing w:before="0" w:after="0" w:line="440" w:lineRule="exact"/>
        <w:rPr>
          <w:rFonts w:ascii="微软雅黑" w:hAnsi="微软雅黑" w:eastAsia="微软雅黑" w:cs="微软雅黑"/>
          <w:color w:val="auto"/>
          <w:szCs w:val="24"/>
          <w:highlight w:val="none"/>
          <w:u w:val="none"/>
        </w:rPr>
      </w:pPr>
      <w:bookmarkStart w:id="108" w:name="_Toc520356160"/>
      <w:bookmarkStart w:id="109" w:name="_Toc28066_WPSOffice_Level2"/>
      <w:bookmarkStart w:id="110" w:name="_Toc32337"/>
      <w:bookmarkStart w:id="111" w:name="_Toc515647775"/>
      <w:bookmarkStart w:id="112" w:name="_Toc31822"/>
      <w:bookmarkStart w:id="113" w:name="_Toc21645"/>
      <w:bookmarkStart w:id="114" w:name="_Toc25849_WPSOffice_Level2"/>
      <w:r>
        <w:rPr>
          <w:rFonts w:hint="eastAsia" w:ascii="微软雅黑" w:hAnsi="微软雅黑" w:eastAsia="微软雅黑" w:cs="微软雅黑"/>
          <w:color w:val="auto"/>
          <w:szCs w:val="24"/>
          <w:highlight w:val="none"/>
          <w:u w:val="none"/>
        </w:rPr>
        <w:t>15.投标文件的密封和标记</w:t>
      </w:r>
      <w:bookmarkEnd w:id="108"/>
      <w:bookmarkEnd w:id="109"/>
      <w:bookmarkEnd w:id="110"/>
      <w:bookmarkEnd w:id="111"/>
      <w:bookmarkEnd w:id="112"/>
      <w:bookmarkEnd w:id="113"/>
      <w:bookmarkEnd w:id="114"/>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15.1   为方便谈判开启及进行资格审查，供应商应将投标文件第一部分和第二部分的内容合订成一册密封提交，并在封皮正面标明“投标文件”字样。</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所有包装封皮和信封上均应：</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（1）注明采购公告或谈判邀请书中指明的项目名称、采购编号、供应商名称和“在（投标报价开启时间）之前不得启封”的字样。</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  </w:t>
      </w:r>
      <w:r>
        <w:rPr>
          <w:rFonts w:hint="eastAsia" w:ascii="微软雅黑" w:hAnsi="微软雅黑" w:eastAsia="微软雅黑" w:cs="微软雅黑"/>
          <w:b/>
          <w:bCs/>
          <w:color w:val="auto"/>
          <w:sz w:val="24"/>
          <w:highlight w:val="none"/>
        </w:rPr>
        <w:t>在封口处加盖投标人单位章，或由法定代表人（负责人）（或其委托代理人）签字或盖章。</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    如果供应商未按上述要求密封标记的，将被拒绝接收。</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15.4    未按投标文件的密封和标记制作及签署盖章的投标文件将被认定为无效。</w:t>
      </w:r>
    </w:p>
    <w:p>
      <w:pPr>
        <w:pStyle w:val="5"/>
        <w:spacing w:before="0" w:after="0" w:line="440" w:lineRule="exact"/>
        <w:rPr>
          <w:rFonts w:ascii="微软雅黑" w:hAnsi="微软雅黑" w:eastAsia="微软雅黑" w:cs="微软雅黑"/>
          <w:color w:val="auto"/>
          <w:szCs w:val="24"/>
          <w:highlight w:val="none"/>
          <w:u w:val="none"/>
        </w:rPr>
      </w:pPr>
      <w:r>
        <w:rPr>
          <w:rFonts w:hint="eastAsia" w:ascii="微软雅黑" w:hAnsi="微软雅黑" w:eastAsia="微软雅黑" w:cs="微软雅黑"/>
          <w:color w:val="auto"/>
          <w:szCs w:val="24"/>
          <w:highlight w:val="none"/>
          <w:u w:val="none"/>
        </w:rPr>
        <w:t>16.投标截止</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投标人应在</w:t>
      </w:r>
      <w:r>
        <w:rPr>
          <w:rFonts w:hint="eastAsia" w:ascii="微软雅黑" w:hAnsi="微软雅黑" w:eastAsia="微软雅黑" w:cs="微软雅黑"/>
          <w:color w:val="auto"/>
          <w:sz w:val="24"/>
          <w:highlight w:val="none"/>
          <w:u w:val="single"/>
        </w:rPr>
        <w:t>投标人须知资料表中</w:t>
      </w:r>
      <w:r>
        <w:rPr>
          <w:rFonts w:hint="eastAsia" w:ascii="微软雅黑" w:hAnsi="微软雅黑" w:eastAsia="微软雅黑" w:cs="微软雅黑"/>
          <w:color w:val="auto"/>
          <w:sz w:val="24"/>
          <w:highlight w:val="none"/>
        </w:rPr>
        <w:t>规定的截止时间前，将投标文件递交到招标公告中规定的地点。</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采购人和采购代理机构将拒绝接收在投标截止时间后送达的投标文件。</w:t>
      </w:r>
    </w:p>
    <w:p>
      <w:pPr>
        <w:pStyle w:val="4"/>
        <w:spacing w:before="0" w:line="440" w:lineRule="exact"/>
        <w:ind w:left="1080" w:leftChars="257" w:hanging="540"/>
        <w:rPr>
          <w:rFonts w:ascii="微软雅黑" w:hAnsi="微软雅黑" w:eastAsia="微软雅黑" w:cs="微软雅黑"/>
          <w:color w:val="auto"/>
          <w:sz w:val="24"/>
          <w:szCs w:val="24"/>
          <w:highlight w:val="none"/>
        </w:rPr>
      </w:pPr>
      <w:bookmarkStart w:id="115" w:name="_Toc28398"/>
      <w:bookmarkStart w:id="116" w:name="_Toc515647778"/>
      <w:bookmarkStart w:id="117" w:name="_Toc520356163"/>
      <w:bookmarkStart w:id="118" w:name="_Toc12436"/>
      <w:bookmarkStart w:id="119" w:name="_Toc216582809"/>
      <w:bookmarkStart w:id="120" w:name="_Toc28397"/>
      <w:bookmarkStart w:id="121" w:name="_Toc2463"/>
      <w:r>
        <w:rPr>
          <w:rFonts w:hint="eastAsia" w:ascii="微软雅黑" w:hAnsi="微软雅黑" w:eastAsia="微软雅黑" w:cs="微软雅黑"/>
          <w:color w:val="auto"/>
          <w:sz w:val="24"/>
          <w:szCs w:val="24"/>
          <w:highlight w:val="none"/>
        </w:rPr>
        <w:t>五   开标及评标</w:t>
      </w:r>
      <w:bookmarkEnd w:id="115"/>
      <w:bookmarkEnd w:id="116"/>
      <w:bookmarkEnd w:id="117"/>
      <w:bookmarkEnd w:id="118"/>
      <w:bookmarkEnd w:id="119"/>
      <w:bookmarkEnd w:id="120"/>
      <w:bookmarkEnd w:id="121"/>
    </w:p>
    <w:p>
      <w:pPr>
        <w:pStyle w:val="5"/>
        <w:numPr>
          <w:ilvl w:val="0"/>
          <w:numId w:val="3"/>
        </w:numPr>
        <w:spacing w:line="440" w:lineRule="exact"/>
        <w:rPr>
          <w:rFonts w:ascii="微软雅黑" w:hAnsi="微软雅黑" w:eastAsia="微软雅黑" w:cs="微软雅黑"/>
          <w:color w:val="auto"/>
          <w:szCs w:val="24"/>
          <w:highlight w:val="none"/>
        </w:rPr>
      </w:pPr>
      <w:bookmarkStart w:id="122" w:name="_Toc520356164"/>
      <w:bookmarkStart w:id="123" w:name="_Toc25345"/>
      <w:bookmarkStart w:id="124" w:name="_Toc31842"/>
      <w:bookmarkStart w:id="125" w:name="_Toc7186"/>
      <w:bookmarkStart w:id="126" w:name="_Toc515647779"/>
      <w:r>
        <w:rPr>
          <w:rFonts w:hint="eastAsia" w:ascii="微软雅黑" w:hAnsi="微软雅黑" w:eastAsia="微软雅黑" w:cs="微软雅黑"/>
          <w:color w:val="auto"/>
          <w:szCs w:val="24"/>
          <w:highlight w:val="none"/>
          <w:u w:val="none"/>
        </w:rPr>
        <w:t>开标</w:t>
      </w:r>
      <w:bookmarkEnd w:id="122"/>
      <w:bookmarkEnd w:id="123"/>
      <w:bookmarkEnd w:id="124"/>
      <w:bookmarkEnd w:id="125"/>
      <w:bookmarkEnd w:id="126"/>
    </w:p>
    <w:p>
      <w:pPr>
        <w:numPr>
          <w:ilvl w:val="1"/>
          <w:numId w:val="3"/>
        </w:num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采购人和采购代理机构将按</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中规定的开标时间和地点组织公开开标并邀请所有投标人代表参加。</w:t>
      </w:r>
    </w:p>
    <w:p>
      <w:pPr>
        <w:spacing w:line="440" w:lineRule="exact"/>
        <w:ind w:left="735" w:leftChars="350" w:firstLine="120" w:firstLineChars="5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投标人不足3家的，不得开标。</w:t>
      </w:r>
    </w:p>
    <w:p>
      <w:pPr>
        <w:spacing w:line="440" w:lineRule="exact"/>
        <w:ind w:left="720" w:hanging="720" w:hanging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18.2   开标时，由投标人或其推选的代表检查自己或所代表的投标文件的密封标记情况，经记录后，由采购人或采购代理机构当众拆封投标文件第一部分，宣读投标人名称、投标价格及招标文件规定的内容。对于投标人在投标截止期前递交的投标声明，在开标时当众宣读，评标时有效。</w:t>
      </w:r>
    </w:p>
    <w:p>
      <w:pPr>
        <w:spacing w:line="440" w:lineRule="exact"/>
        <w:ind w:left="1079" w:leftChars="428" w:hanging="180" w:hangingChars="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未宣读投标价格、价格折扣等实质内容，评标时不予承认。</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18.3    采购人或采购代理机构将对开标过程进行记录</w:t>
      </w:r>
      <w:bookmarkStart w:id="127" w:name="_Toc520356165"/>
      <w:r>
        <w:rPr>
          <w:rFonts w:hint="eastAsia" w:ascii="微软雅黑" w:hAnsi="微软雅黑" w:eastAsia="微软雅黑" w:cs="微软雅黑"/>
          <w:color w:val="auto"/>
          <w:sz w:val="24"/>
          <w:highlight w:val="none"/>
        </w:rPr>
        <w:t>，由参加开标的各投标人代表和相关工作人员签字确认，并存档备查。</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18.4    投标人代表对开标过程和开标记录有疑义，以及认为采购人、采购代理机构相关工作人员有需要回避的情形的，应当场提出询问或者回避申请。</w:t>
      </w:r>
      <w:bookmarkEnd w:id="127"/>
    </w:p>
    <w:p>
      <w:pPr>
        <w:pStyle w:val="5"/>
        <w:spacing w:before="0" w:after="0" w:line="440" w:lineRule="exact"/>
        <w:rPr>
          <w:rFonts w:ascii="微软雅黑" w:hAnsi="微软雅黑" w:eastAsia="微软雅黑" w:cs="微软雅黑"/>
          <w:color w:val="auto"/>
          <w:szCs w:val="24"/>
          <w:highlight w:val="none"/>
          <w:u w:val="none"/>
        </w:rPr>
      </w:pPr>
      <w:bookmarkStart w:id="128" w:name="_Toc19296"/>
      <w:bookmarkStart w:id="129" w:name="_Toc14136"/>
      <w:bookmarkStart w:id="130" w:name="_Toc515647780"/>
      <w:bookmarkStart w:id="131" w:name="_Toc21372"/>
      <w:bookmarkStart w:id="132" w:name="_Toc18574"/>
      <w:r>
        <w:rPr>
          <w:rFonts w:hint="eastAsia" w:ascii="微软雅黑" w:hAnsi="微软雅黑" w:eastAsia="微软雅黑" w:cs="微软雅黑"/>
          <w:color w:val="auto"/>
          <w:szCs w:val="24"/>
          <w:highlight w:val="none"/>
          <w:u w:val="none"/>
        </w:rPr>
        <w:t>19.资格审查及组建评标委员会</w:t>
      </w:r>
      <w:bookmarkEnd w:id="128"/>
      <w:bookmarkEnd w:id="129"/>
      <w:bookmarkEnd w:id="130"/>
      <w:bookmarkEnd w:id="131"/>
    </w:p>
    <w:p>
      <w:pPr>
        <w:spacing w:line="440" w:lineRule="exact"/>
        <w:ind w:left="960" w:hanging="960" w:hangingChars="400"/>
        <w:rPr>
          <w:rFonts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19.1    采购人或采购代理机构依据法律法规和招标文件中规定的内容，对投标人及其货物的资格进行审查，</w:t>
      </w:r>
      <w:r>
        <w:rPr>
          <w:rFonts w:hint="eastAsia" w:ascii="微软雅黑" w:hAnsi="微软雅黑" w:eastAsia="微软雅黑" w:cs="微软雅黑"/>
          <w:b/>
          <w:bCs/>
          <w:color w:val="auto"/>
          <w:sz w:val="24"/>
          <w:highlight w:val="none"/>
        </w:rPr>
        <w:t>本项目审查原件内容如下（开标时需携带以下证件原件或国家认可的可扫描二维码的复印件加盖公章）：</w:t>
      </w:r>
    </w:p>
    <w:p>
      <w:pPr>
        <w:spacing w:line="440" w:lineRule="exact"/>
        <w:ind w:left="958" w:leftChars="456"/>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(1)法人、非法人组织或者自然人资格证明文件；</w:t>
      </w:r>
    </w:p>
    <w:p>
      <w:pPr>
        <w:spacing w:line="440" w:lineRule="exact"/>
        <w:ind w:left="958" w:leftChars="456"/>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授权委托人投标的需提供法人（负责人）代表资格证明书及授权委托书、被授权人身份证；法定代表人（负责人）投标的需提供法人（负责人）代表资格证明书及法人（负责人）身份证；授权委托人需提供本人在本单位近三个月单位社保缴费凭证和个人明细表；</w:t>
      </w:r>
    </w:p>
    <w:p>
      <w:pPr>
        <w:spacing w:line="440" w:lineRule="exact"/>
        <w:ind w:left="958" w:leftChars="456"/>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(3)2020年度财务审计报告（新公司或其他组织和自然人提供银行出具的资信证明）；</w:t>
      </w:r>
    </w:p>
    <w:p>
      <w:pPr>
        <w:spacing w:line="440" w:lineRule="exact"/>
        <w:ind w:left="958" w:leftChars="456"/>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(4)未被“信用中国”（www.creditchina.gov.cn）列入失信被执行人和重大税收违法案件当事人名单，未被“中国政府采购网”（www.ccgp.gov.cn） 列入政府采购严重违法失信行为记录名单，未在财政部门或行业主管部门禁止参加政府采购活动时间及地域范围内；(5)提供本单位在参加政府采购活动中前三年内无重大违法记录的承诺书；</w:t>
      </w:r>
    </w:p>
    <w:p>
      <w:pPr>
        <w:numPr>
          <w:ilvl w:val="0"/>
          <w:numId w:val="4"/>
        </w:numPr>
        <w:spacing w:line="440" w:lineRule="exact"/>
        <w:ind w:left="958" w:leftChars="456"/>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提供针对本次采购项目《反商业贿赂承诺书》；</w:t>
      </w:r>
    </w:p>
    <w:p>
      <w:pPr>
        <w:numPr>
          <w:ilvl w:val="0"/>
          <w:numId w:val="4"/>
        </w:numPr>
        <w:spacing w:line="440" w:lineRule="exact"/>
        <w:ind w:left="958" w:leftChars="456"/>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提供税务部门出具的近三个月的完税证明（或申报记录）；</w:t>
      </w:r>
    </w:p>
    <w:p>
      <w:pPr>
        <w:numPr>
          <w:ilvl w:val="0"/>
          <w:numId w:val="4"/>
        </w:numPr>
        <w:spacing w:line="440" w:lineRule="exact"/>
        <w:ind w:left="958" w:leftChars="456"/>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缴纳投标保证金收据及银行转账/电汇回执单。       </w:t>
      </w:r>
    </w:p>
    <w:p>
      <w:pPr>
        <w:spacing w:line="440" w:lineRule="exact"/>
        <w:ind w:left="958" w:leftChars="456"/>
        <w:rPr>
          <w:rFonts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未通过资格审查的投标人不进入评标；通过资格审查的投标人少于不足三家的，不得评标。</w:t>
      </w:r>
    </w:p>
    <w:p>
      <w:pPr>
        <w:spacing w:line="440" w:lineRule="exact"/>
        <w:ind w:left="857" w:leftChars="2" w:hanging="853"/>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   采购人或采购代理机构将在开标前1个工作日至投标截止后1小时的期间内查询投标人的信用记录。投标人存在不良信用记录的，其投标将被认定为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857" w:leftChars="2" w:hanging="853"/>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19.2.1 不良信用记录指：</w:t>
      </w:r>
      <w:r>
        <w:rPr>
          <w:rFonts w:hint="eastAsia" w:ascii="微软雅黑" w:hAnsi="微软雅黑" w:eastAsia="微软雅黑" w:cs="微软雅黑"/>
          <w:b/>
          <w:bCs/>
          <w:color w:val="auto"/>
          <w:sz w:val="24"/>
          <w:highlight w:val="none"/>
        </w:rPr>
        <w:t>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40" w:lineRule="exact"/>
        <w:ind w:left="849" w:leftChars="401" w:hanging="7" w:hangingChars="3"/>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2"/>
        <w:spacing w:line="440" w:lineRule="exact"/>
        <w:ind w:left="850" w:hanging="849" w:hangingChars="354"/>
        <w:jc w:val="both"/>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19.2.2 查询及记录方式：采购人或采购代理机构经办人将查询网页打印、签字并存档备查。投标人不良信用记录以采购人或采购代理机构查询结果为准。在本招标文件规定的查询时间之后，网站信息发生的任何变更均不再作为评标依据。</w:t>
      </w:r>
    </w:p>
    <w:p>
      <w:pPr>
        <w:pStyle w:val="2"/>
        <w:spacing w:line="440" w:lineRule="exact"/>
        <w:ind w:firstLine="720" w:firstLineChars="300"/>
        <w:jc w:val="both"/>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投标人自行提供的与网站信息不一致的其他证明材料亦不作为资格审查依据。</w:t>
      </w:r>
    </w:p>
    <w:p>
      <w:pPr>
        <w:spacing w:line="440" w:lineRule="exact"/>
        <w:ind w:left="850" w:hanging="849" w:hangingChars="354"/>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19.3   按照《中华人民共和国政府采购法》、《中华人民共和国政府采购法实施条例》及本项目本级和上级财政部门的有关规定依法组建的评标委员会，负责评标工作。</w:t>
      </w:r>
    </w:p>
    <w:bookmarkEnd w:id="102"/>
    <w:bookmarkEnd w:id="103"/>
    <w:bookmarkEnd w:id="104"/>
    <w:bookmarkEnd w:id="105"/>
    <w:bookmarkEnd w:id="132"/>
    <w:p>
      <w:pPr>
        <w:pStyle w:val="5"/>
        <w:spacing w:before="0" w:after="0" w:line="440" w:lineRule="exact"/>
        <w:rPr>
          <w:rFonts w:ascii="微软雅黑" w:hAnsi="微软雅黑" w:eastAsia="微软雅黑" w:cs="微软雅黑"/>
          <w:b w:val="0"/>
          <w:bCs/>
          <w:color w:val="auto"/>
          <w:szCs w:val="24"/>
          <w:highlight w:val="none"/>
          <w:bdr w:val="single" w:color="auto" w:sz="4" w:space="0"/>
        </w:rPr>
      </w:pPr>
      <w:bookmarkStart w:id="133" w:name="_Toc520356166"/>
      <w:bookmarkStart w:id="134" w:name="_Toc28479"/>
      <w:bookmarkStart w:id="135" w:name="_Toc19949"/>
      <w:bookmarkStart w:id="136" w:name="_Toc25607"/>
      <w:bookmarkStart w:id="137" w:name="_Toc515647781"/>
      <w:r>
        <w:rPr>
          <w:rFonts w:hint="eastAsia" w:ascii="微软雅黑" w:hAnsi="微软雅黑" w:eastAsia="微软雅黑" w:cs="微软雅黑"/>
          <w:color w:val="auto"/>
          <w:szCs w:val="24"/>
          <w:highlight w:val="none"/>
          <w:u w:val="none"/>
        </w:rPr>
        <w:t>20.投标文件</w:t>
      </w:r>
      <w:bookmarkEnd w:id="133"/>
      <w:r>
        <w:rPr>
          <w:rFonts w:hint="eastAsia" w:ascii="微软雅黑" w:hAnsi="微软雅黑" w:eastAsia="微软雅黑" w:cs="微软雅黑"/>
          <w:color w:val="auto"/>
          <w:szCs w:val="24"/>
          <w:highlight w:val="none"/>
          <w:u w:val="none"/>
        </w:rPr>
        <w:t>符合性审查与澄清</w:t>
      </w:r>
      <w:bookmarkEnd w:id="134"/>
      <w:bookmarkEnd w:id="135"/>
      <w:bookmarkEnd w:id="136"/>
      <w:bookmarkEnd w:id="137"/>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   符合性审查是指依据招标文件的规定，从投标文件的有效性和完整性对招标文件的响应程度进行审查，以确定是否对招标文件的实质性要求做出响应。</w:t>
      </w:r>
      <w:bookmarkStart w:id="138" w:name="_Hlt522424701"/>
      <w:bookmarkEnd w:id="138"/>
      <w:bookmarkStart w:id="139" w:name="_Toc520356167"/>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投标文件的澄清</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20.2.2  投标人的的澄清、说明或补正将作为投标文件的一部分。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  投标文件报价出现前后不一致的，按照下列规定修正：</w:t>
      </w:r>
    </w:p>
    <w:p>
      <w:pPr>
        <w:spacing w:line="440" w:lineRule="exact"/>
        <w:ind w:left="1020" w:hanging="1020" w:hangingChars="42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（一）投标文件中开标一览表（报价表）内容与投标文件中相应内容不一致的，以开标一览表（报价表）为准；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（二）大写金额和小写金额不一致的，以大写金额为准；</w:t>
      </w:r>
    </w:p>
    <w:p>
      <w:pPr>
        <w:spacing w:line="440" w:lineRule="exact"/>
        <w:ind w:left="1020" w:hanging="1020" w:hangingChars="42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（三）单价金额小数点或者百分比有明显错位的，以开标一览表的总价为准，并修改单价；</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（四）总价金额与按单价汇总金额不一致的，以单价金额计算结果为准。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735" w:leftChars="350" w:firstLine="120" w:firstLineChars="5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对不同文字文本投标文件的解释发生异议的，以中文文本为准。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   如一个分包内只有一种产品，不同投标人所投产品为同一品牌的，按如下方式处理：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20.5   如一个分包内包含多种产品的，采购人或采购代理机构将在</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中载明核心产品，多家投标人提供的核心产品品牌相同的，按第20.4条规定处理。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5"/>
        <w:spacing w:before="0" w:after="0" w:line="440" w:lineRule="exact"/>
        <w:rPr>
          <w:rFonts w:ascii="微软雅黑" w:hAnsi="微软雅黑" w:eastAsia="微软雅黑" w:cs="微软雅黑"/>
          <w:color w:val="auto"/>
          <w:szCs w:val="24"/>
          <w:highlight w:val="none"/>
          <w:u w:val="none"/>
        </w:rPr>
      </w:pPr>
      <w:bookmarkStart w:id="140" w:name="_Toc515647782"/>
      <w:bookmarkStart w:id="141" w:name="_Toc28888"/>
      <w:bookmarkStart w:id="142" w:name="_Toc6364"/>
      <w:bookmarkStart w:id="143" w:name="_Toc9469"/>
      <w:r>
        <w:rPr>
          <w:rFonts w:hint="eastAsia" w:ascii="微软雅黑" w:hAnsi="微软雅黑" w:eastAsia="微软雅黑" w:cs="微软雅黑"/>
          <w:color w:val="auto"/>
          <w:szCs w:val="24"/>
          <w:highlight w:val="none"/>
          <w:u w:val="none"/>
        </w:rPr>
        <w:t>21.投标偏离</w:t>
      </w:r>
      <w:bookmarkEnd w:id="140"/>
      <w:bookmarkEnd w:id="141"/>
      <w:bookmarkEnd w:id="142"/>
      <w:bookmarkEnd w:id="143"/>
    </w:p>
    <w:p>
      <w:pPr>
        <w:spacing w:line="440" w:lineRule="exact"/>
        <w:ind w:left="848" w:leftChars="99" w:hanging="640" w:hangingChars="267"/>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评标委员会可以接受投标文件中不构成实质性偏离的不正规或不一致。</w:t>
      </w:r>
      <w:bookmarkStart w:id="144" w:name="_Toc515647783"/>
      <w:bookmarkStart w:id="145" w:name="_Toc4950"/>
      <w:bookmarkStart w:id="146" w:name="_Toc6092"/>
    </w:p>
    <w:p>
      <w:pPr>
        <w:pStyle w:val="5"/>
        <w:spacing w:before="0" w:after="0" w:line="440" w:lineRule="exact"/>
        <w:rPr>
          <w:rFonts w:ascii="微软雅黑" w:hAnsi="微软雅黑" w:eastAsia="微软雅黑" w:cs="微软雅黑"/>
          <w:color w:val="auto"/>
          <w:szCs w:val="24"/>
          <w:highlight w:val="none"/>
          <w:u w:val="none"/>
        </w:rPr>
      </w:pPr>
      <w:bookmarkStart w:id="147" w:name="_Toc20254"/>
      <w:r>
        <w:rPr>
          <w:rFonts w:hint="eastAsia" w:ascii="微软雅黑" w:hAnsi="微软雅黑" w:eastAsia="微软雅黑" w:cs="微软雅黑"/>
          <w:color w:val="auto"/>
          <w:szCs w:val="24"/>
          <w:highlight w:val="none"/>
          <w:u w:val="none"/>
        </w:rPr>
        <w:t>22.投标</w:t>
      </w:r>
      <w:bookmarkEnd w:id="144"/>
      <w:r>
        <w:rPr>
          <w:rFonts w:hint="eastAsia" w:ascii="微软雅黑" w:hAnsi="微软雅黑" w:eastAsia="微软雅黑" w:cs="微软雅黑"/>
          <w:color w:val="auto"/>
          <w:szCs w:val="24"/>
          <w:highlight w:val="none"/>
          <w:u w:val="none"/>
        </w:rPr>
        <w:t>无效</w:t>
      </w:r>
      <w:bookmarkEnd w:id="145"/>
      <w:bookmarkEnd w:id="146"/>
      <w:bookmarkEnd w:id="147"/>
    </w:p>
    <w:p>
      <w:pPr>
        <w:spacing w:line="440" w:lineRule="exact"/>
        <w:ind w:left="852" w:leftChars="-23"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。投标人不得通过修正或撤销不符合要求的偏离，从而使其投标成为实质上响应的投标。</w:t>
      </w:r>
    </w:p>
    <w:p>
      <w:pPr>
        <w:spacing w:line="440" w:lineRule="exact"/>
        <w:ind w:left="792" w:leftChars="377"/>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评标委员会决定投标的响应性只根据招标文件要求、投标文件内容及财政主管部门指定相关信息发布媒体。</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如发现下列情况之一的，其投标将被认定为投标无效</w:t>
      </w:r>
      <w:r>
        <w:rPr>
          <w:rFonts w:hint="eastAsia" w:ascii="微软雅黑" w:hAnsi="微软雅黑" w:eastAsia="微软雅黑" w:cs="微软雅黑"/>
          <w:color w:val="auto"/>
          <w:sz w:val="24"/>
          <w:highlight w:val="none"/>
        </w:rPr>
        <w:t>：</w:t>
      </w:r>
    </w:p>
    <w:p>
      <w:pPr>
        <w:numPr>
          <w:ilvl w:val="0"/>
          <w:numId w:val="5"/>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未按招标文件规定的形式和金额提交投标保证金的；</w:t>
      </w:r>
    </w:p>
    <w:p>
      <w:pPr>
        <w:numPr>
          <w:ilvl w:val="0"/>
          <w:numId w:val="5"/>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未按照招标文件规定要求签署、盖章的；</w:t>
      </w:r>
    </w:p>
    <w:p>
      <w:pPr>
        <w:numPr>
          <w:ilvl w:val="0"/>
          <w:numId w:val="5"/>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未满足招标文件中技术条款的实质性要求；</w:t>
      </w:r>
    </w:p>
    <w:p>
      <w:pPr>
        <w:numPr>
          <w:ilvl w:val="0"/>
          <w:numId w:val="5"/>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与其他投标人串通投标，或者与招标人串通投标；</w:t>
      </w:r>
    </w:p>
    <w:p>
      <w:pPr>
        <w:numPr>
          <w:ilvl w:val="0"/>
          <w:numId w:val="5"/>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属于招标文件规定的其他投标无效情形；</w:t>
      </w:r>
    </w:p>
    <w:p>
      <w:pPr>
        <w:numPr>
          <w:ilvl w:val="0"/>
          <w:numId w:val="5"/>
        </w:numPr>
        <w:spacing w:line="440" w:lineRule="exact"/>
        <w:ind w:left="1081" w:leftChars="429" w:hanging="18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评标委员会认为投标人的报价明显低于其他通过符合性检查投标人的报价，有可能影响履约的，且投标人未按照规定证明其报价合理性的；</w:t>
      </w:r>
    </w:p>
    <w:p>
      <w:pPr>
        <w:numPr>
          <w:ilvl w:val="0"/>
          <w:numId w:val="5"/>
        </w:numPr>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投标文件含有采购人不能接受的附加条件的；</w:t>
      </w:r>
    </w:p>
    <w:p>
      <w:pPr>
        <w:numPr>
          <w:ilvl w:val="0"/>
          <w:numId w:val="5"/>
        </w:numPr>
        <w:tabs>
          <w:tab w:val="left" w:pos="0"/>
        </w:tabs>
        <w:spacing w:line="440" w:lineRule="exact"/>
        <w:ind w:left="1081" w:leftChars="429" w:hanging="1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不符合法规和招标文件中规定的其他实质性要求的。</w:t>
      </w:r>
    </w:p>
    <w:p>
      <w:pPr>
        <w:spacing w:line="440" w:lineRule="exact"/>
        <w:outlineLvl w:val="2"/>
        <w:rPr>
          <w:rFonts w:ascii="微软雅黑" w:hAnsi="微软雅黑" w:eastAsia="微软雅黑" w:cs="微软雅黑"/>
          <w:b/>
          <w:bCs/>
          <w:color w:val="auto"/>
          <w:sz w:val="24"/>
          <w:highlight w:val="none"/>
        </w:rPr>
      </w:pPr>
      <w:bookmarkStart w:id="148" w:name="_Toc515647784"/>
      <w:bookmarkStart w:id="149" w:name="_Toc10960"/>
      <w:bookmarkStart w:id="150" w:name="_Toc22941"/>
      <w:bookmarkStart w:id="151" w:name="_Toc13652"/>
      <w:r>
        <w:rPr>
          <w:rFonts w:hint="eastAsia" w:ascii="微软雅黑" w:hAnsi="微软雅黑" w:eastAsia="微软雅黑" w:cs="微软雅黑"/>
          <w:b/>
          <w:bCs/>
          <w:color w:val="auto"/>
          <w:sz w:val="24"/>
          <w:highlight w:val="none"/>
        </w:rPr>
        <w:t>23.</w:t>
      </w:r>
      <w:bookmarkEnd w:id="139"/>
      <w:r>
        <w:rPr>
          <w:rFonts w:hint="eastAsia" w:ascii="微软雅黑" w:hAnsi="微软雅黑" w:eastAsia="微软雅黑" w:cs="微软雅黑"/>
          <w:b/>
          <w:bCs/>
          <w:color w:val="auto"/>
          <w:sz w:val="24"/>
          <w:highlight w:val="none"/>
        </w:rPr>
        <w:t>比较与评价</w:t>
      </w:r>
      <w:bookmarkEnd w:id="148"/>
      <w:bookmarkEnd w:id="149"/>
      <w:bookmarkEnd w:id="150"/>
      <w:bookmarkEnd w:id="151"/>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经符合性审查合格的投标文件，评标委员会将根据招标文件确定的评标方法和标准，对其技术部分和商务部分作进一步的比较和评价</w:t>
      </w:r>
      <w:r>
        <w:rPr>
          <w:rFonts w:hint="eastAsia" w:ascii="微软雅黑" w:hAnsi="微软雅黑" w:eastAsia="微软雅黑" w:cs="微软雅黑"/>
          <w:color w:val="auto"/>
          <w:sz w:val="24"/>
          <w:highlight w:val="none"/>
        </w:rPr>
        <w:t>。</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23.2  </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评标严格按照招标文件的要求和条件进行。根据实际情况，在</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中规定采用下列一种评标方法，详细评标标准见招标文件第六章：</w:t>
      </w:r>
    </w:p>
    <w:p>
      <w:pPr>
        <w:pStyle w:val="14"/>
        <w:spacing w:line="440" w:lineRule="exact"/>
        <w:ind w:left="899" w:leftChars="342" w:hanging="181"/>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最低评标价法，是指投标文件满足招标文件全部实质性要求，且投标报价最低的投标人为中标候选人的评标方法。</w:t>
      </w:r>
    </w:p>
    <w:p>
      <w:pPr>
        <w:pStyle w:val="14"/>
        <w:spacing w:line="440" w:lineRule="exact"/>
        <w:ind w:left="898" w:leftChars="342" w:hanging="18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 综合评分法，是指投标文件满足招标文件全部实质性要求，且按照评审因素的量化指标评审得分最高的投标人为中标候选人的评标方法。</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23.3   根据《政府采购促进中小企业发展暂行办法》（财库【2020】46号）、《财政部司法部关于政府采购支持监狱企业发展有关问题的通知》（财库【2014】68号）和《三部门联合发布关于促进残疾人就业政府采购政策的通知》（</w:t>
      </w:r>
      <w:bookmarkStart w:id="152" w:name="sendNo"/>
      <w:r>
        <w:rPr>
          <w:rFonts w:hint="eastAsia" w:ascii="微软雅黑" w:hAnsi="微软雅黑" w:eastAsia="微软雅黑" w:cs="微软雅黑"/>
          <w:color w:val="auto"/>
          <w:sz w:val="24"/>
          <w:highlight w:val="none"/>
        </w:rPr>
        <w:t>财库〔</w:t>
      </w:r>
      <w:bookmarkEnd w:id="152"/>
      <w:r>
        <w:rPr>
          <w:rFonts w:hint="eastAsia" w:ascii="微软雅黑" w:hAnsi="微软雅黑" w:eastAsia="微软雅黑" w:cs="微软雅黑"/>
          <w:color w:val="auto"/>
          <w:sz w:val="24"/>
          <w:highlight w:val="none"/>
        </w:rPr>
        <w:t>2017〕141号）的规定，对满足价格扣除条件且在投标文件中提交了《投标人企业类型声明函》或省级以上监狱管理局、戒毒管理局（含新疆生产建设兵团）出具的属于监狱企业的证明文件的投标人，其投标报价扣除6-10%后参与评审。</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23.4   根据《政府采购促进中小企业发展暂行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 </w:t>
      </w:r>
    </w:p>
    <w:p>
      <w:pPr>
        <w:pStyle w:val="5"/>
        <w:spacing w:before="0" w:after="0" w:line="440" w:lineRule="exact"/>
        <w:rPr>
          <w:rFonts w:ascii="微软雅黑" w:hAnsi="微软雅黑" w:eastAsia="微软雅黑" w:cs="微软雅黑"/>
          <w:color w:val="auto"/>
          <w:szCs w:val="24"/>
          <w:highlight w:val="none"/>
          <w:u w:val="none"/>
        </w:rPr>
      </w:pPr>
      <w:bookmarkStart w:id="153" w:name="_Toc520356168"/>
      <w:bookmarkStart w:id="154" w:name="_Toc26143"/>
      <w:bookmarkStart w:id="155" w:name="_Toc9378"/>
      <w:bookmarkStart w:id="156" w:name="_Toc515647785"/>
      <w:bookmarkStart w:id="157" w:name="_Toc20227"/>
      <w:r>
        <w:rPr>
          <w:rFonts w:hint="eastAsia" w:ascii="微软雅黑" w:hAnsi="微软雅黑" w:eastAsia="微软雅黑" w:cs="微软雅黑"/>
          <w:color w:val="auto"/>
          <w:szCs w:val="24"/>
          <w:highlight w:val="none"/>
          <w:u w:val="none"/>
        </w:rPr>
        <w:t>24</w:t>
      </w:r>
      <w:bookmarkEnd w:id="153"/>
      <w:r>
        <w:rPr>
          <w:rFonts w:hint="eastAsia" w:ascii="微软雅黑" w:hAnsi="微软雅黑" w:eastAsia="微软雅黑" w:cs="微软雅黑"/>
          <w:color w:val="auto"/>
          <w:szCs w:val="24"/>
          <w:highlight w:val="none"/>
          <w:u w:val="none"/>
        </w:rPr>
        <w:t>.废标</w:t>
      </w:r>
      <w:bookmarkEnd w:id="154"/>
      <w:bookmarkEnd w:id="155"/>
      <w:bookmarkEnd w:id="156"/>
      <w:bookmarkEnd w:id="157"/>
    </w:p>
    <w:p>
      <w:pPr>
        <w:spacing w:line="440" w:lineRule="exact"/>
        <w:ind w:left="898" w:leftChars="399" w:hanging="60" w:hangingChars="25"/>
        <w:rPr>
          <w:rFonts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出现下列情形之一，将导致项目废标：</w:t>
      </w:r>
      <w:r>
        <w:rPr>
          <w:rFonts w:hint="eastAsia" w:ascii="微软雅黑" w:hAnsi="微软雅黑" w:eastAsia="微软雅黑" w:cs="微软雅黑"/>
          <w:color w:val="auto"/>
          <w:sz w:val="24"/>
          <w:highlight w:val="none"/>
        </w:rPr>
        <w:t xml:space="preserve"> </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（1）符合专业条件的供应商或者对招标文件做实质性响应的供应商不足三家；</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（2）出现影响采购公正的违法、违规行为的；</w:t>
      </w:r>
    </w:p>
    <w:p>
      <w:pPr>
        <w:spacing w:line="440" w:lineRule="exact"/>
        <w:ind w:firstLine="960" w:firstLineChars="4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（3）投标人的报价均超过了采购预算，采购人不能支付的；</w:t>
      </w:r>
    </w:p>
    <w:p>
      <w:pPr>
        <w:spacing w:line="440" w:lineRule="exact"/>
        <w:ind w:firstLine="960" w:firstLineChars="4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（4）因重大变故，采购任务取消的。   </w:t>
      </w:r>
    </w:p>
    <w:p>
      <w:pPr>
        <w:pStyle w:val="5"/>
        <w:spacing w:before="0" w:after="0" w:line="440" w:lineRule="exact"/>
        <w:rPr>
          <w:rFonts w:ascii="微软雅黑" w:hAnsi="微软雅黑" w:eastAsia="微软雅黑" w:cs="微软雅黑"/>
          <w:color w:val="auto"/>
          <w:szCs w:val="24"/>
          <w:highlight w:val="none"/>
          <w:u w:val="none"/>
        </w:rPr>
      </w:pPr>
      <w:bookmarkStart w:id="158" w:name="_Toc31289"/>
      <w:bookmarkStart w:id="159" w:name="_Toc29491"/>
      <w:bookmarkStart w:id="160" w:name="_Toc24972"/>
      <w:bookmarkStart w:id="161" w:name="_Toc515647786"/>
      <w:bookmarkStart w:id="162" w:name="_Toc520356169"/>
      <w:r>
        <w:rPr>
          <w:rFonts w:hint="eastAsia" w:ascii="微软雅黑" w:hAnsi="微软雅黑" w:eastAsia="微软雅黑" w:cs="微软雅黑"/>
          <w:color w:val="auto"/>
          <w:szCs w:val="24"/>
          <w:highlight w:val="none"/>
          <w:u w:val="none"/>
        </w:rPr>
        <w:t>25.保密原则</w:t>
      </w:r>
      <w:bookmarkEnd w:id="158"/>
      <w:bookmarkEnd w:id="159"/>
      <w:bookmarkEnd w:id="160"/>
      <w:bookmarkEnd w:id="161"/>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评标将在严格保密的情况下进行。</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bookmarkStart w:id="163" w:name="_Toc216582810"/>
      <w:bookmarkStart w:id="164" w:name="_Toc20578"/>
      <w:bookmarkStart w:id="165" w:name="_Toc12143"/>
      <w:bookmarkStart w:id="166" w:name="_Toc515647787"/>
      <w:bookmarkStart w:id="167" w:name="_Toc23904"/>
      <w:bookmarkStart w:id="168" w:name="_Toc24355"/>
    </w:p>
    <w:p>
      <w:pPr>
        <w:pStyle w:val="4"/>
        <w:spacing w:before="0"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六   </w:t>
      </w:r>
      <w:bookmarkEnd w:id="162"/>
      <w:r>
        <w:rPr>
          <w:rFonts w:hint="eastAsia" w:ascii="微软雅黑" w:hAnsi="微软雅黑" w:eastAsia="微软雅黑" w:cs="微软雅黑"/>
          <w:color w:val="auto"/>
          <w:sz w:val="24"/>
          <w:szCs w:val="24"/>
          <w:highlight w:val="none"/>
        </w:rPr>
        <w:t>确定中标</w:t>
      </w:r>
      <w:bookmarkEnd w:id="163"/>
      <w:bookmarkEnd w:id="164"/>
      <w:bookmarkEnd w:id="165"/>
      <w:bookmarkEnd w:id="166"/>
      <w:bookmarkEnd w:id="167"/>
      <w:bookmarkEnd w:id="168"/>
    </w:p>
    <w:p>
      <w:pPr>
        <w:pStyle w:val="2"/>
        <w:spacing w:line="440" w:lineRule="exact"/>
        <w:rPr>
          <w:rFonts w:ascii="微软雅黑" w:hAnsi="微软雅黑" w:eastAsia="微软雅黑" w:cs="微软雅黑"/>
          <w:color w:val="auto"/>
          <w:szCs w:val="24"/>
          <w:highlight w:val="none"/>
        </w:rPr>
      </w:pPr>
    </w:p>
    <w:p>
      <w:pPr>
        <w:pStyle w:val="5"/>
        <w:spacing w:before="0" w:after="0" w:line="440" w:lineRule="exact"/>
        <w:rPr>
          <w:rFonts w:ascii="微软雅黑" w:hAnsi="微软雅黑" w:eastAsia="微软雅黑" w:cs="微软雅黑"/>
          <w:color w:val="auto"/>
          <w:szCs w:val="24"/>
          <w:highlight w:val="none"/>
          <w:u w:val="none"/>
        </w:rPr>
      </w:pPr>
      <w:bookmarkStart w:id="169" w:name="_Toc515647788"/>
      <w:bookmarkStart w:id="170" w:name="_Toc520356170"/>
      <w:bookmarkStart w:id="171" w:name="_Toc10050"/>
      <w:bookmarkStart w:id="172" w:name="_Ref467307010"/>
      <w:bookmarkStart w:id="173" w:name="_Toc23617"/>
      <w:bookmarkStart w:id="174" w:name="_Toc23762"/>
      <w:r>
        <w:rPr>
          <w:rFonts w:hint="eastAsia" w:ascii="微软雅黑" w:hAnsi="微软雅黑" w:eastAsia="微软雅黑" w:cs="微软雅黑"/>
          <w:color w:val="auto"/>
          <w:szCs w:val="24"/>
          <w:highlight w:val="none"/>
          <w:u w:val="none"/>
        </w:rPr>
        <w:t>26.中标候选人的确定原则及标准</w:t>
      </w:r>
      <w:bookmarkEnd w:id="169"/>
      <w:bookmarkEnd w:id="170"/>
      <w:bookmarkEnd w:id="171"/>
      <w:bookmarkEnd w:id="172"/>
      <w:bookmarkEnd w:id="173"/>
      <w:bookmarkEnd w:id="174"/>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除第28条规定外，对实质上响应招标文件的投标人按下列方法进行排序，确定投标候选人：</w:t>
      </w:r>
    </w:p>
    <w:p>
      <w:pPr>
        <w:spacing w:line="440" w:lineRule="exact"/>
        <w:ind w:left="901"/>
        <w:rPr>
          <w:rFonts w:ascii="微软雅黑" w:hAnsi="微软雅黑" w:eastAsia="微软雅黑" w:cs="微软雅黑"/>
          <w:color w:val="auto"/>
          <w:sz w:val="24"/>
          <w:highlight w:val="none"/>
        </w:rPr>
      </w:pPr>
      <w:bookmarkStart w:id="175" w:name="_Toc520356171"/>
      <w:bookmarkStart w:id="176" w:name="_Toc515647789"/>
      <w:r>
        <w:rPr>
          <w:rFonts w:hint="eastAsia" w:ascii="微软雅黑" w:hAnsi="微软雅黑" w:eastAsia="微软雅黑" w:cs="微软雅黑"/>
          <w:color w:val="auto"/>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440" w:lineRule="exact"/>
        <w:ind w:left="901"/>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5"/>
        <w:tabs>
          <w:tab w:val="left" w:pos="900"/>
        </w:tabs>
        <w:spacing w:before="0" w:after="0" w:line="440" w:lineRule="exact"/>
        <w:rPr>
          <w:rFonts w:ascii="微软雅黑" w:hAnsi="微软雅黑" w:eastAsia="微软雅黑" w:cs="微软雅黑"/>
          <w:color w:val="auto"/>
          <w:szCs w:val="24"/>
          <w:highlight w:val="none"/>
          <w:u w:val="none"/>
        </w:rPr>
      </w:pPr>
      <w:bookmarkStart w:id="177" w:name="_Toc23951"/>
      <w:bookmarkStart w:id="178" w:name="_Toc9653"/>
      <w:bookmarkStart w:id="179" w:name="_Toc9286"/>
      <w:r>
        <w:rPr>
          <w:rFonts w:hint="eastAsia" w:ascii="微软雅黑" w:hAnsi="微软雅黑" w:eastAsia="微软雅黑" w:cs="微软雅黑"/>
          <w:color w:val="auto"/>
          <w:szCs w:val="24"/>
          <w:highlight w:val="none"/>
          <w:u w:val="none"/>
        </w:rPr>
        <w:t>27</w:t>
      </w:r>
      <w:bookmarkEnd w:id="175"/>
      <w:r>
        <w:rPr>
          <w:rFonts w:hint="eastAsia" w:ascii="微软雅黑" w:hAnsi="微软雅黑" w:eastAsia="微软雅黑" w:cs="微软雅黑"/>
          <w:color w:val="auto"/>
          <w:szCs w:val="24"/>
          <w:highlight w:val="none"/>
          <w:u w:val="none"/>
        </w:rPr>
        <w:t>.确定中标候选人和中标人</w:t>
      </w:r>
      <w:bookmarkEnd w:id="176"/>
      <w:bookmarkEnd w:id="177"/>
      <w:bookmarkEnd w:id="178"/>
      <w:bookmarkEnd w:id="179"/>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评标委员会将根据评标标准，按</w:t>
      </w:r>
      <w:r>
        <w:rPr>
          <w:rFonts w:hint="eastAsia" w:ascii="微软雅黑" w:hAnsi="微软雅黑" w:eastAsia="微软雅黑" w:cs="微软雅黑"/>
          <w:color w:val="auto"/>
          <w:sz w:val="24"/>
          <w:highlight w:val="none"/>
          <w:u w:val="single"/>
        </w:rPr>
        <w:t>投标人须知资料表中</w:t>
      </w:r>
      <w:r>
        <w:rPr>
          <w:rFonts w:hint="eastAsia" w:ascii="微软雅黑" w:hAnsi="微软雅黑" w:eastAsia="微软雅黑" w:cs="微软雅黑"/>
          <w:color w:val="auto"/>
          <w:sz w:val="24"/>
          <w:highlight w:val="none"/>
        </w:rPr>
        <w:t>规定数量推荐中标候选人；或根据采购人的委托，直接确定中标人。</w:t>
      </w:r>
    </w:p>
    <w:p>
      <w:pPr>
        <w:pStyle w:val="5"/>
        <w:tabs>
          <w:tab w:val="left" w:pos="900"/>
        </w:tabs>
        <w:spacing w:before="0" w:after="0" w:line="440" w:lineRule="exact"/>
        <w:rPr>
          <w:rFonts w:ascii="微软雅黑" w:hAnsi="微软雅黑" w:eastAsia="微软雅黑" w:cs="微软雅黑"/>
          <w:color w:val="auto"/>
          <w:szCs w:val="24"/>
          <w:highlight w:val="none"/>
          <w:u w:val="none"/>
        </w:rPr>
      </w:pPr>
      <w:bookmarkStart w:id="180" w:name="_Toc520356173"/>
      <w:bookmarkStart w:id="181" w:name="_Ref467306874"/>
      <w:bookmarkStart w:id="182" w:name="_Toc380"/>
      <w:bookmarkStart w:id="183" w:name="_Toc515647790"/>
      <w:bookmarkStart w:id="184" w:name="_Toc28562"/>
      <w:bookmarkStart w:id="185" w:name="_Toc8389"/>
      <w:r>
        <w:rPr>
          <w:rFonts w:hint="eastAsia" w:ascii="微软雅黑" w:hAnsi="微软雅黑" w:eastAsia="微软雅黑" w:cs="微软雅黑"/>
          <w:color w:val="auto"/>
          <w:szCs w:val="24"/>
          <w:highlight w:val="none"/>
          <w:u w:val="none"/>
        </w:rPr>
        <w:t>28.</w:t>
      </w:r>
      <w:bookmarkEnd w:id="180"/>
      <w:bookmarkEnd w:id="181"/>
      <w:r>
        <w:rPr>
          <w:rFonts w:hint="eastAsia" w:ascii="微软雅黑" w:hAnsi="微软雅黑" w:eastAsia="微软雅黑" w:cs="微软雅黑"/>
          <w:color w:val="auto"/>
          <w:szCs w:val="24"/>
          <w:highlight w:val="none"/>
          <w:u w:val="none"/>
        </w:rPr>
        <w:t>采购任务取消</w:t>
      </w:r>
      <w:bookmarkEnd w:id="182"/>
      <w:bookmarkEnd w:id="183"/>
      <w:bookmarkEnd w:id="184"/>
      <w:bookmarkEnd w:id="185"/>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因重大变故采购任务取消时，采购人有权拒绝任何投标人中标，且对受影响的投标人不承担任何责任。</w:t>
      </w:r>
      <w:bookmarkStart w:id="186" w:name="_Toc520356174"/>
    </w:p>
    <w:p>
      <w:pPr>
        <w:pStyle w:val="5"/>
        <w:spacing w:before="0" w:after="0" w:line="440" w:lineRule="exact"/>
        <w:rPr>
          <w:rFonts w:ascii="微软雅黑" w:hAnsi="微软雅黑" w:eastAsia="微软雅黑" w:cs="微软雅黑"/>
          <w:color w:val="auto"/>
          <w:szCs w:val="24"/>
          <w:highlight w:val="none"/>
          <w:u w:val="none"/>
        </w:rPr>
      </w:pPr>
      <w:bookmarkStart w:id="187" w:name="_Toc8579"/>
      <w:bookmarkStart w:id="188" w:name="_Toc31099"/>
      <w:bookmarkStart w:id="189" w:name="_Toc30170"/>
      <w:bookmarkStart w:id="190" w:name="_Toc515647791"/>
      <w:r>
        <w:rPr>
          <w:rFonts w:hint="eastAsia" w:ascii="微软雅黑" w:hAnsi="微软雅黑" w:eastAsia="微软雅黑" w:cs="微软雅黑"/>
          <w:color w:val="auto"/>
          <w:szCs w:val="24"/>
          <w:highlight w:val="none"/>
          <w:u w:val="none"/>
        </w:rPr>
        <w:t>29.中标通知书</w:t>
      </w:r>
      <w:bookmarkEnd w:id="186"/>
      <w:r>
        <w:rPr>
          <w:rFonts w:hint="eastAsia" w:ascii="微软雅黑" w:hAnsi="微软雅黑" w:eastAsia="微软雅黑" w:cs="微软雅黑"/>
          <w:color w:val="auto"/>
          <w:szCs w:val="24"/>
          <w:highlight w:val="none"/>
          <w:u w:val="none"/>
        </w:rPr>
        <w:t>和招标结果通知书</w:t>
      </w:r>
      <w:bookmarkEnd w:id="187"/>
      <w:bookmarkEnd w:id="188"/>
      <w:bookmarkEnd w:id="189"/>
      <w:bookmarkEnd w:id="190"/>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在投标有效期内，中标人确定后，采购人或者采购代理机构发布中标公告，同时以书面形式向中标人发出中标通知书。</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中标通知书是合同的组成部分。</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440" w:lineRule="exact"/>
        <w:rPr>
          <w:rFonts w:ascii="微软雅黑" w:hAnsi="微软雅黑" w:eastAsia="微软雅黑" w:cs="微软雅黑"/>
          <w:color w:val="auto"/>
          <w:szCs w:val="24"/>
          <w:highlight w:val="none"/>
          <w:u w:val="none"/>
        </w:rPr>
      </w:pPr>
      <w:bookmarkStart w:id="191" w:name="_Toc7779"/>
      <w:bookmarkStart w:id="192" w:name="_Ref467307204"/>
      <w:bookmarkStart w:id="193" w:name="_Ref467306978"/>
      <w:bookmarkStart w:id="194" w:name="_Toc520356175"/>
      <w:bookmarkStart w:id="195" w:name="_Ref467307062"/>
      <w:bookmarkStart w:id="196" w:name="_Toc790"/>
      <w:bookmarkStart w:id="197" w:name="_Ref467306377"/>
      <w:bookmarkStart w:id="198" w:name="_Toc515647792"/>
      <w:bookmarkStart w:id="199" w:name="_Toc15653"/>
      <w:r>
        <w:rPr>
          <w:rFonts w:hint="eastAsia" w:ascii="微软雅黑" w:hAnsi="微软雅黑" w:eastAsia="微软雅黑" w:cs="微软雅黑"/>
          <w:color w:val="auto"/>
          <w:szCs w:val="24"/>
          <w:highlight w:val="none"/>
          <w:u w:val="none"/>
        </w:rPr>
        <w:t>30.签订合同</w:t>
      </w:r>
      <w:bookmarkEnd w:id="191"/>
      <w:bookmarkEnd w:id="192"/>
      <w:bookmarkEnd w:id="193"/>
      <w:bookmarkEnd w:id="194"/>
      <w:bookmarkEnd w:id="195"/>
      <w:bookmarkEnd w:id="196"/>
      <w:bookmarkEnd w:id="197"/>
      <w:bookmarkEnd w:id="198"/>
      <w:bookmarkEnd w:id="199"/>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中标人应当自发出中标通知书之日起30日内，与采购人签订合同。</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200" w:name="_Ref467307090"/>
      <w:bookmarkStart w:id="201" w:name="_Toc520356176"/>
      <w:bookmarkStart w:id="202" w:name="_Ref467306425"/>
      <w:r>
        <w:rPr>
          <w:rFonts w:hint="eastAsia" w:ascii="微软雅黑" w:hAnsi="微软雅黑" w:eastAsia="微软雅黑" w:cs="微软雅黑"/>
          <w:color w:val="auto"/>
          <w:sz w:val="24"/>
          <w:highlight w:val="none"/>
        </w:rPr>
        <w:t>招标文件、中标人的投标文件及其澄清文件等，均为签订合同的依据。</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   中标人拒绝与采购人签订合同的，采购人可以按照评审报告推荐的中标候选人名单排序，确定下一中标候选人为中标人，也可以重新开展政府采购活动。</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   当出现法规规定的</w:t>
      </w:r>
      <w:r>
        <w:rPr>
          <w:rFonts w:hint="eastAsia" w:ascii="微软雅黑" w:hAnsi="微软雅黑" w:eastAsia="微软雅黑" w:cs="微软雅黑"/>
          <w:b/>
          <w:color w:val="auto"/>
          <w:sz w:val="24"/>
          <w:highlight w:val="none"/>
        </w:rPr>
        <w:t>中标无效或中标结果无效</w:t>
      </w:r>
      <w:r>
        <w:rPr>
          <w:rFonts w:hint="eastAsia" w:ascii="微软雅黑" w:hAnsi="微软雅黑" w:eastAsia="微软雅黑" w:cs="微软雅黑"/>
          <w:color w:val="auto"/>
          <w:sz w:val="24"/>
          <w:highlight w:val="none"/>
        </w:rPr>
        <w:t>情形时，采购人可与排名下一位的中标候选人另行签订合同，或依法重新开展采购活动。</w:t>
      </w:r>
    </w:p>
    <w:p>
      <w:pPr>
        <w:pStyle w:val="5"/>
        <w:spacing w:before="0" w:after="0" w:line="440" w:lineRule="exact"/>
        <w:rPr>
          <w:rFonts w:ascii="微软雅黑" w:hAnsi="微软雅黑" w:eastAsia="微软雅黑" w:cs="微软雅黑"/>
          <w:color w:val="auto"/>
          <w:szCs w:val="24"/>
          <w:highlight w:val="none"/>
          <w:u w:val="none"/>
        </w:rPr>
      </w:pPr>
      <w:bookmarkStart w:id="203" w:name="_Toc515647793"/>
      <w:bookmarkStart w:id="204" w:name="_Toc14080"/>
      <w:bookmarkStart w:id="205" w:name="_Toc20240"/>
      <w:bookmarkStart w:id="206" w:name="_Toc22555"/>
      <w:r>
        <w:rPr>
          <w:rFonts w:hint="eastAsia" w:ascii="微软雅黑" w:hAnsi="微软雅黑" w:eastAsia="微软雅黑" w:cs="微软雅黑"/>
          <w:color w:val="auto"/>
          <w:szCs w:val="24"/>
          <w:highlight w:val="none"/>
          <w:u w:val="none"/>
        </w:rPr>
        <w:t>31.履约保证金</w:t>
      </w:r>
      <w:bookmarkEnd w:id="200"/>
      <w:bookmarkEnd w:id="201"/>
      <w:bookmarkEnd w:id="202"/>
      <w:bookmarkEnd w:id="203"/>
      <w:bookmarkEnd w:id="204"/>
      <w:bookmarkEnd w:id="205"/>
      <w:bookmarkEnd w:id="206"/>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中标人应按照</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规定向采购人缴纳履约保证金（如采用保函形式，格式见本章附件1）。</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政府采购利用担保试点范围内的项目，除31.1规定的情形外，中标人也可以按照财政部门的规定，向采购人提供合格的履约担保函（格式见本章附件2）。</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440" w:lineRule="exact"/>
        <w:rPr>
          <w:rFonts w:ascii="微软雅黑" w:hAnsi="微软雅黑" w:eastAsia="微软雅黑" w:cs="微软雅黑"/>
          <w:color w:val="auto"/>
          <w:szCs w:val="24"/>
          <w:highlight w:val="none"/>
          <w:u w:val="none"/>
        </w:rPr>
      </w:pPr>
      <w:bookmarkStart w:id="207" w:name="_Toc3090"/>
      <w:bookmarkStart w:id="208" w:name="_Toc8972"/>
      <w:bookmarkStart w:id="209" w:name="_Toc515647794"/>
      <w:bookmarkStart w:id="210" w:name="_Toc29408"/>
      <w:r>
        <w:rPr>
          <w:rFonts w:hint="eastAsia" w:ascii="微软雅黑" w:hAnsi="微软雅黑" w:eastAsia="微软雅黑" w:cs="微软雅黑"/>
          <w:color w:val="auto"/>
          <w:szCs w:val="24"/>
          <w:highlight w:val="none"/>
          <w:u w:val="none"/>
        </w:rPr>
        <w:t>32.中标服务费</w:t>
      </w:r>
      <w:bookmarkEnd w:id="207"/>
      <w:bookmarkEnd w:id="208"/>
      <w:bookmarkEnd w:id="209"/>
      <w:bookmarkEnd w:id="210"/>
    </w:p>
    <w:p>
      <w:pPr>
        <w:spacing w:line="440" w:lineRule="exact"/>
        <w:ind w:left="840" w:leftChars="200" w:hanging="420" w:hangingChars="1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中标人须按照</w:t>
      </w:r>
      <w:r>
        <w:rPr>
          <w:rFonts w:hint="eastAsia" w:ascii="微软雅黑" w:hAnsi="微软雅黑" w:eastAsia="微软雅黑" w:cs="微软雅黑"/>
          <w:color w:val="auto"/>
          <w:sz w:val="24"/>
          <w:highlight w:val="none"/>
          <w:u w:val="single"/>
        </w:rPr>
        <w:t>投标须知资料表</w:t>
      </w:r>
      <w:r>
        <w:rPr>
          <w:rFonts w:hint="eastAsia" w:ascii="微软雅黑" w:hAnsi="微软雅黑" w:eastAsia="微软雅黑" w:cs="微软雅黑"/>
          <w:color w:val="auto"/>
          <w:sz w:val="24"/>
          <w:highlight w:val="none"/>
        </w:rPr>
        <w:t>规定，向采购代理机构支付中标服务费。</w:t>
      </w:r>
    </w:p>
    <w:p>
      <w:pPr>
        <w:pStyle w:val="5"/>
        <w:spacing w:before="0" w:after="0" w:line="440" w:lineRule="exact"/>
        <w:rPr>
          <w:rFonts w:ascii="微软雅黑" w:hAnsi="微软雅黑" w:eastAsia="微软雅黑" w:cs="微软雅黑"/>
          <w:color w:val="auto"/>
          <w:szCs w:val="24"/>
          <w:highlight w:val="none"/>
          <w:u w:val="none"/>
        </w:rPr>
      </w:pPr>
      <w:bookmarkStart w:id="211" w:name="_Toc6923"/>
      <w:bookmarkStart w:id="212" w:name="_Toc515647795"/>
      <w:bookmarkStart w:id="213" w:name="_Toc7049"/>
      <w:bookmarkStart w:id="214" w:name="_Toc8524"/>
      <w:r>
        <w:rPr>
          <w:rFonts w:hint="eastAsia" w:ascii="微软雅黑" w:hAnsi="微软雅黑" w:eastAsia="微软雅黑" w:cs="微软雅黑"/>
          <w:color w:val="auto"/>
          <w:szCs w:val="24"/>
          <w:highlight w:val="none"/>
          <w:u w:val="none"/>
        </w:rPr>
        <w:t>33.政府采购信用担保</w:t>
      </w:r>
      <w:bookmarkEnd w:id="211"/>
      <w:bookmarkEnd w:id="212"/>
      <w:bookmarkEnd w:id="213"/>
      <w:bookmarkEnd w:id="214"/>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   本项目是否属于信用担保试点范围见</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w:t>
      </w:r>
    </w:p>
    <w:p>
      <w:pPr>
        <w:spacing w:line="440" w:lineRule="exact"/>
        <w:ind w:left="850" w:hanging="849" w:hangingChars="354"/>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   如属于政府采购信用担保试点范围内，中小型企业投标人可以自由按照财政部门的规定，采用投标担保、履约担保和融资担保。</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33.2.1 投标人递交的投标担保函和履约担保函应符合本招标文件的规定。</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 中标人可以采取融资担保的形式为政府采购项目履约进行融资。</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 合格的政府采购专业信用担保机构名单见</w:t>
      </w:r>
      <w:r>
        <w:rPr>
          <w:rFonts w:hint="eastAsia" w:ascii="微软雅黑" w:hAnsi="微软雅黑" w:eastAsia="微软雅黑" w:cs="微软雅黑"/>
          <w:color w:val="auto"/>
          <w:sz w:val="24"/>
          <w:highlight w:val="none"/>
          <w:u w:val="single"/>
        </w:rPr>
        <w:t>投标人须知资料表</w:t>
      </w:r>
      <w:r>
        <w:rPr>
          <w:rFonts w:hint="eastAsia" w:ascii="微软雅黑" w:hAnsi="微软雅黑" w:eastAsia="微软雅黑" w:cs="微软雅黑"/>
          <w:color w:val="auto"/>
          <w:sz w:val="24"/>
          <w:highlight w:val="none"/>
        </w:rPr>
        <w:t>。</w:t>
      </w:r>
    </w:p>
    <w:p>
      <w:pPr>
        <w:pStyle w:val="5"/>
        <w:spacing w:before="0" w:after="0" w:line="440" w:lineRule="exact"/>
        <w:rPr>
          <w:rFonts w:ascii="微软雅黑" w:hAnsi="微软雅黑" w:eastAsia="微软雅黑" w:cs="微软雅黑"/>
          <w:color w:val="auto"/>
          <w:szCs w:val="24"/>
          <w:highlight w:val="none"/>
          <w:u w:val="none"/>
        </w:rPr>
      </w:pPr>
      <w:bookmarkStart w:id="215" w:name="_Toc12709"/>
      <w:bookmarkStart w:id="216" w:name="_Toc2133"/>
      <w:bookmarkStart w:id="217" w:name="_Toc23999"/>
      <w:bookmarkStart w:id="218" w:name="_Toc515647796"/>
      <w:r>
        <w:rPr>
          <w:rFonts w:hint="eastAsia" w:ascii="微软雅黑" w:hAnsi="微软雅黑" w:eastAsia="微软雅黑" w:cs="微软雅黑"/>
          <w:color w:val="auto"/>
          <w:szCs w:val="24"/>
          <w:highlight w:val="none"/>
          <w:u w:val="none"/>
        </w:rPr>
        <w:t>34.廉洁自律规定</w:t>
      </w:r>
      <w:bookmarkEnd w:id="215"/>
      <w:bookmarkEnd w:id="216"/>
      <w:bookmarkEnd w:id="217"/>
      <w:bookmarkEnd w:id="218"/>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   采购代理机构工作人员不得以不正当手段获取政府采购代理业务，不得与采购人、供应商恶意串通操纵政府采购活动。</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   采购代理机构工作人员不得接受采购人或者供应商组织的宴请、旅游、娱乐，不得收受礼品、现金、有价证券等，不得向采购人或者供应商报销应当由个人承担的费用。</w:t>
      </w:r>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34.3   为强化采购代理机构内部监督机制，供应商可按</w:t>
      </w:r>
      <w:r>
        <w:rPr>
          <w:rFonts w:hint="eastAsia" w:ascii="微软雅黑" w:hAnsi="微软雅黑" w:eastAsia="微软雅黑" w:cs="微软雅黑"/>
          <w:color w:val="auto"/>
          <w:sz w:val="24"/>
          <w:highlight w:val="none"/>
          <w:u w:val="single"/>
        </w:rPr>
        <w:t>投标人须知资料表中的</w:t>
      </w:r>
      <w:r>
        <w:rPr>
          <w:rFonts w:hint="eastAsia" w:ascii="微软雅黑" w:hAnsi="微软雅黑" w:eastAsia="微软雅黑" w:cs="微软雅黑"/>
          <w:color w:val="auto"/>
          <w:sz w:val="24"/>
          <w:highlight w:val="none"/>
        </w:rPr>
        <w:t>监督电话和邮箱，反映采购代理机构的廉洁自律等问题。</w:t>
      </w:r>
    </w:p>
    <w:p>
      <w:pPr>
        <w:pStyle w:val="5"/>
        <w:spacing w:before="0" w:after="0" w:line="440" w:lineRule="exact"/>
        <w:rPr>
          <w:rFonts w:ascii="微软雅黑" w:hAnsi="微软雅黑" w:eastAsia="微软雅黑" w:cs="微软雅黑"/>
          <w:color w:val="auto"/>
          <w:szCs w:val="24"/>
          <w:highlight w:val="none"/>
          <w:u w:val="none"/>
        </w:rPr>
      </w:pPr>
      <w:bookmarkStart w:id="219" w:name="_Toc12865"/>
      <w:bookmarkStart w:id="220" w:name="_Toc25480"/>
      <w:bookmarkStart w:id="221" w:name="_Toc11586"/>
      <w:bookmarkStart w:id="222" w:name="_Toc515647797"/>
      <w:r>
        <w:rPr>
          <w:rFonts w:hint="eastAsia" w:ascii="微软雅黑" w:hAnsi="微软雅黑" w:eastAsia="微软雅黑" w:cs="微软雅黑"/>
          <w:color w:val="auto"/>
          <w:szCs w:val="24"/>
          <w:highlight w:val="none"/>
          <w:u w:val="none"/>
        </w:rPr>
        <w:t>35.人员回避</w:t>
      </w:r>
      <w:bookmarkEnd w:id="219"/>
      <w:bookmarkEnd w:id="220"/>
      <w:bookmarkEnd w:id="221"/>
      <w:bookmarkEnd w:id="222"/>
    </w:p>
    <w:p>
      <w:pPr>
        <w:spacing w:line="440" w:lineRule="exact"/>
        <w:ind w:left="900" w:hanging="900" w:hangingChars="375"/>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投标人认为采购人员及其相关人员有法律法规所列与其他供应商有利害关系的，可以向采购人或采购代理机构书面提出回避申请，并说明理由。</w:t>
      </w:r>
    </w:p>
    <w:p>
      <w:pPr>
        <w:spacing w:line="440" w:lineRule="exact"/>
        <w:ind w:left="900" w:hanging="900" w:hangingChars="375"/>
        <w:jc w:val="left"/>
        <w:outlineLvl w:val="2"/>
        <w:rPr>
          <w:rFonts w:ascii="微软雅黑" w:hAnsi="微软雅黑" w:eastAsia="微软雅黑" w:cs="微软雅黑"/>
          <w:b/>
          <w:bCs/>
          <w:color w:val="auto"/>
          <w:sz w:val="24"/>
          <w:highlight w:val="none"/>
        </w:rPr>
      </w:pPr>
      <w:bookmarkStart w:id="223" w:name="_Toc21748"/>
      <w:bookmarkStart w:id="224" w:name="_Toc16186"/>
      <w:bookmarkStart w:id="225" w:name="_Toc515647799"/>
      <w:r>
        <w:rPr>
          <w:rFonts w:hint="eastAsia" w:ascii="微软雅黑" w:hAnsi="微软雅黑" w:eastAsia="微软雅黑" w:cs="微软雅黑"/>
          <w:b/>
          <w:bCs/>
          <w:color w:val="auto"/>
          <w:sz w:val="24"/>
          <w:highlight w:val="none"/>
        </w:rPr>
        <w:t>36.质疑与接收</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440" w:lineRule="exact"/>
        <w:ind w:left="958" w:leftChars="456" w:firstLine="60" w:firstLineChars="2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超出法定质疑期的、重复提出的、分次提出的或内容、形式不符合《政府采购质疑和投诉办法》的，质疑供应商将依法承担不利后果。</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36.3    采购代理机构质疑函接收部门、联系电话和通讯地址, 见投标人须知资料表。</w:t>
      </w:r>
    </w:p>
    <w:p>
      <w:pPr>
        <w:spacing w:line="440" w:lineRule="exact"/>
        <w:ind w:left="900" w:hanging="900" w:hangingChars="375"/>
        <w:jc w:val="left"/>
        <w:rPr>
          <w:rFonts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36.4、</w:t>
      </w:r>
      <w:r>
        <w:rPr>
          <w:rFonts w:hint="eastAsia" w:ascii="微软雅黑" w:hAnsi="微软雅黑" w:eastAsia="微软雅黑" w:cs="微软雅黑"/>
          <w:b/>
          <w:bCs/>
          <w:color w:val="auto"/>
          <w:sz w:val="24"/>
          <w:highlight w:val="none"/>
        </w:rPr>
        <w:t>质疑的提出</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本采购文件中所称质疑及答复，是指参加本次采购活动的供应商对政府采购活动中的采购文件、采购过程和成交结果向采购方提出质疑，采购方答复质疑的行为。</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pPr>
        <w:spacing w:line="440" w:lineRule="exact"/>
        <w:ind w:firstLine="720" w:firstLineChars="3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（三）对成交结果提出质疑的，为成交结果公告期限届满之日。</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   提出质疑应当符合下列条件：</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40.1   质疑人所提供的证明材料应当具有真实性、合法性以及与质疑事项的关联性和证明力，否则不能作为认定该质疑事项成立的依据。</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40.2   质疑人提出质疑时应当提交质疑函。质疑函包括下列内容：</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pPr>
        <w:spacing w:line="440" w:lineRule="exact"/>
        <w:ind w:left="958" w:leftChars="456" w:firstLine="60" w:firstLineChars="2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40.3    质疑人可以委托代理人进行质疑。代理人应当提交授权委托书。授权委托书应当载明委托代理的具体权限、期限和相关事项。</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40.4、  质疑的审查和受理</w:t>
      </w:r>
    </w:p>
    <w:p>
      <w:pPr>
        <w:spacing w:line="440" w:lineRule="exact"/>
        <w:ind w:left="958" w:leftChars="456" w:firstLine="60" w:firstLineChars="2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40.5    对不符合质疑受理条件的，分别按照下列不同情形予以处理：</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pPr>
        <w:spacing w:line="440" w:lineRule="exact"/>
        <w:ind w:left="898" w:leftChars="342" w:hanging="180" w:hangingChars="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40.6、 质疑的处理和答复</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40.7   采购方受理质疑后，将及时把质疑函发送给被质疑人，并要求其在一定限期内提交书面答复，同时提供有关证据、依据和相关材料。</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40.8    对于质疑事项中涉及的问题较多、情况比较复杂的，为了全面查清事实、取得充分的证据，采购方认为有必要时，可以进行调查取证或者组织质证。</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40.9    对评审过程、成交结果提出质疑的，采购方可以组织原评审委员会协助答复质疑。</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    质疑处理过程中，质疑人书面申请撤回质疑的，将终止质疑处理程序。</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spacing w:line="440" w:lineRule="exact"/>
        <w:ind w:left="900" w:hanging="900" w:hangingChars="375"/>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41.2   采购方将在正式受理质疑后7个工作日内作出答复。</w:t>
      </w: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41.3   质疑答复应当包括下列内容：</w:t>
      </w: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（一）质疑人的姓名或者名称；</w:t>
      </w: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（二）收到质疑函的日期、质疑项目名称及编号；</w:t>
      </w: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（三）质疑事项、质疑答复的具体内容、事实依据和法律依据；</w:t>
      </w: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（四）告知质疑供应商依法投诉的权利；</w:t>
      </w:r>
    </w:p>
    <w:p>
      <w:pPr>
        <w:pStyle w:val="57"/>
        <w:spacing w:line="440" w:lineRule="exact"/>
        <w:ind w:firstLine="960" w:firstLineChars="4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pPr>
        <w:spacing w:line="440" w:lineRule="exact"/>
        <w:ind w:left="718" w:leftChars="342" w:firstLine="240" w:firstLineChars="1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（六）答复质疑的日期。</w:t>
      </w:r>
    </w:p>
    <w:p>
      <w:pPr>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br w:type="page"/>
      </w:r>
    </w:p>
    <w:p>
      <w:pPr>
        <w:spacing w:line="440" w:lineRule="exact"/>
        <w:jc w:val="center"/>
        <w:outlineLvl w:val="1"/>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质疑函范本</w:t>
      </w:r>
    </w:p>
    <w:p>
      <w:pPr>
        <w:adjustRightInd w:val="0"/>
        <w:snapToGrid w:val="0"/>
        <w:spacing w:beforeLines="100" w:line="440" w:lineRule="exact"/>
        <w:outlineLvl w:val="1"/>
        <w:rPr>
          <w:rFonts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一、质疑供应商基本信息</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 xml:space="preserve"> </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地址： </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outlineLvl w:val="1"/>
        <w:rPr>
          <w:rFonts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二、质疑项目基本情况</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采购文件获取日期：</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outlineLvl w:val="1"/>
        <w:rPr>
          <w:rFonts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三、质疑事项具体内容</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u w:val="dotted"/>
        </w:rPr>
        <w:t xml:space="preserve">                                                                       </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p>
    <w:p>
      <w:pPr>
        <w:adjustRightInd w:val="0"/>
        <w:snapToGri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pPr>
        <w:adjustRightInd w:val="0"/>
        <w:snapToGrid w:val="0"/>
        <w:spacing w:line="440" w:lineRule="exact"/>
        <w:outlineLvl w:val="1"/>
        <w:rPr>
          <w:rFonts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四、与质疑事项相关的质疑请求</w:t>
      </w:r>
    </w:p>
    <w:p>
      <w:pPr>
        <w:adjustRightInd w:val="0"/>
        <w:snapToGrid w:val="0"/>
        <w:spacing w:line="440" w:lineRule="exact"/>
        <w:rPr>
          <w:rFonts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dotted"/>
        </w:rPr>
        <w:t xml:space="preserve">                                               </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pPr>
        <w:adjustRightInd w:val="0"/>
        <w:snapToGrid w:val="0"/>
        <w:spacing w:line="360" w:lineRule="auto"/>
        <w:rPr>
          <w:rFonts w:ascii="微软雅黑" w:hAnsi="微软雅黑" w:eastAsia="微软雅黑" w:cs="微软雅黑"/>
          <w:color w:val="auto"/>
          <w:sz w:val="24"/>
          <w:highlight w:val="none"/>
        </w:rPr>
      </w:pPr>
    </w:p>
    <w:p>
      <w:pP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pPr>
        <w:pStyle w:val="2"/>
        <w:rPr>
          <w:color w:val="auto"/>
          <w:highlight w:val="none"/>
        </w:rPr>
      </w:pPr>
    </w:p>
    <w:p>
      <w:pPr>
        <w:spacing w:line="440" w:lineRule="exact"/>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pPr>
        <w:widowControl/>
        <w:spacing w:line="440" w:lineRule="exact"/>
        <w:ind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pPr>
        <w:widowControl/>
        <w:spacing w:line="440" w:lineRule="exact"/>
        <w:ind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pPr>
        <w:widowControl/>
        <w:spacing w:line="440" w:lineRule="exact"/>
        <w:ind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pPr>
        <w:widowControl/>
        <w:spacing w:line="440" w:lineRule="exact"/>
        <w:ind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pPr>
        <w:widowControl/>
        <w:spacing w:line="440" w:lineRule="exact"/>
        <w:ind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pPr>
        <w:widowControl/>
        <w:spacing w:line="440" w:lineRule="exact"/>
        <w:ind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6.质疑供应商为自然人的，质疑函应由本人签字；质疑供应商为法人或者其他组织的，质疑函应由法定代表人、主要负责人，或者其授权代表签字或者盖章，并加盖公章。</w:t>
      </w:r>
    </w:p>
    <w:p>
      <w:pPr>
        <w:spacing w:line="400" w:lineRule="exact"/>
        <w:ind w:left="900" w:hanging="900" w:hangingChars="375"/>
        <w:rPr>
          <w:rFonts w:ascii="微软雅黑" w:hAnsi="微软雅黑" w:eastAsia="微软雅黑" w:cs="微软雅黑"/>
          <w:color w:val="auto"/>
          <w:sz w:val="24"/>
          <w:highlight w:val="none"/>
        </w:rPr>
      </w:pPr>
    </w:p>
    <w:p>
      <w:pPr>
        <w:pStyle w:val="2"/>
        <w:rPr>
          <w:rFonts w:ascii="微软雅黑" w:hAnsi="微软雅黑" w:eastAsia="微软雅黑" w:cs="微软雅黑"/>
          <w:color w:val="auto"/>
          <w:szCs w:val="24"/>
          <w:highlight w:val="none"/>
        </w:rPr>
      </w:pPr>
    </w:p>
    <w:p>
      <w:pPr>
        <w:rPr>
          <w:color w:val="auto"/>
          <w:highlight w:val="none"/>
        </w:rPr>
      </w:pPr>
      <w:r>
        <w:rPr>
          <w:rFonts w:hint="eastAsia"/>
          <w:color w:val="auto"/>
          <w:highlight w:val="none"/>
        </w:rPr>
        <w:br w:type="page"/>
      </w:r>
    </w:p>
    <w:p>
      <w:pPr>
        <w:pStyle w:val="2"/>
        <w:rPr>
          <w:color w:val="auto"/>
          <w:highlight w:val="none"/>
        </w:rPr>
      </w:pPr>
    </w:p>
    <w:p>
      <w:pPr>
        <w:pStyle w:val="4"/>
        <w:spacing w:before="0" w:line="240" w:lineRule="atLeast"/>
        <w:ind w:left="1080" w:leftChars="257" w:hanging="540"/>
        <w:rPr>
          <w:rFonts w:ascii="微软雅黑" w:hAnsi="微软雅黑" w:eastAsia="微软雅黑" w:cs="微软雅黑"/>
          <w:color w:val="auto"/>
          <w:sz w:val="24"/>
          <w:szCs w:val="24"/>
          <w:highlight w:val="none"/>
        </w:rPr>
      </w:pPr>
      <w:bookmarkStart w:id="226" w:name="_Toc350"/>
      <w:bookmarkStart w:id="227" w:name="_Toc18045"/>
      <w:bookmarkStart w:id="228" w:name="_Toc22796"/>
      <w:bookmarkStart w:id="229" w:name="_Toc9538"/>
      <w:bookmarkStart w:id="230" w:name="_Toc26168"/>
      <w:r>
        <w:rPr>
          <w:rFonts w:hint="eastAsia" w:ascii="微软雅黑" w:hAnsi="微软雅黑" w:eastAsia="微软雅黑" w:cs="微软雅黑"/>
          <w:color w:val="auto"/>
          <w:sz w:val="24"/>
          <w:szCs w:val="24"/>
          <w:highlight w:val="none"/>
        </w:rPr>
        <w:t>附件1：履约保证金保函（格式）</w:t>
      </w:r>
      <w:bookmarkEnd w:id="223"/>
      <w:bookmarkEnd w:id="224"/>
      <w:bookmarkEnd w:id="225"/>
      <w:bookmarkEnd w:id="226"/>
      <w:bookmarkEnd w:id="227"/>
      <w:bookmarkEnd w:id="228"/>
      <w:bookmarkEnd w:id="229"/>
      <w:bookmarkEnd w:id="230"/>
    </w:p>
    <w:p>
      <w:pPr>
        <w:pStyle w:val="14"/>
        <w:spacing w:line="240" w:lineRule="atLeast"/>
        <w:ind w:left="1080" w:leftChars="257" w:hanging="540"/>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（中标后开具）</w:t>
      </w:r>
    </w:p>
    <w:p>
      <w:pPr>
        <w:pStyle w:val="14"/>
        <w:spacing w:line="44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 (</w:t>
      </w:r>
      <w:r>
        <w:rPr>
          <w:rFonts w:hint="eastAsia" w:ascii="微软雅黑" w:hAnsi="微软雅黑" w:eastAsia="微软雅黑" w:cs="微软雅黑"/>
          <w:i/>
          <w:color w:val="auto"/>
          <w:sz w:val="24"/>
          <w:szCs w:val="24"/>
          <w:highlight w:val="none"/>
          <w:u w:val="single"/>
        </w:rPr>
        <w:t>买方名称</w:t>
      </w:r>
      <w:r>
        <w:rPr>
          <w:rFonts w:hint="eastAsia" w:ascii="微软雅黑" w:hAnsi="微软雅黑" w:eastAsia="微软雅黑" w:cs="微软雅黑"/>
          <w:color w:val="auto"/>
          <w:sz w:val="24"/>
          <w:szCs w:val="24"/>
          <w:highlight w:val="none"/>
        </w:rPr>
        <w:t>)</w:t>
      </w:r>
    </w:p>
    <w:p>
      <w:pPr>
        <w:pStyle w:val="14"/>
        <w:spacing w:line="440" w:lineRule="exact"/>
        <w:ind w:left="1080" w:leftChars="257" w:hanging="540"/>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号合同履约保函</w:t>
      </w:r>
    </w:p>
    <w:p>
      <w:pPr>
        <w:pStyle w:val="14"/>
        <w:spacing w:line="440" w:lineRule="exact"/>
        <w:ind w:firstLine="600" w:firstLineChars="2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本保函作为贵方与(</w:t>
      </w:r>
      <w:r>
        <w:rPr>
          <w:rFonts w:hint="eastAsia" w:ascii="微软雅黑" w:hAnsi="微软雅黑" w:eastAsia="微软雅黑" w:cs="微软雅黑"/>
          <w:i/>
          <w:color w:val="auto"/>
          <w:sz w:val="24"/>
          <w:szCs w:val="24"/>
          <w:highlight w:val="none"/>
          <w:u w:val="single"/>
        </w:rPr>
        <w:t>卖方名称</w:t>
      </w:r>
      <w:r>
        <w:rPr>
          <w:rFonts w:hint="eastAsia" w:ascii="微软雅黑" w:hAnsi="微软雅黑" w:eastAsia="微软雅黑" w:cs="微软雅黑"/>
          <w:color w:val="auto"/>
          <w:sz w:val="24"/>
          <w:szCs w:val="24"/>
          <w:highlight w:val="none"/>
        </w:rPr>
        <w:t>)(以下简称卖方)于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日就</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项目(以下简称项目)项下提供(</w:t>
      </w:r>
      <w:r>
        <w:rPr>
          <w:rFonts w:hint="eastAsia" w:ascii="微软雅黑" w:hAnsi="微软雅黑" w:eastAsia="微软雅黑" w:cs="微软雅黑"/>
          <w:i/>
          <w:color w:val="auto"/>
          <w:sz w:val="24"/>
          <w:szCs w:val="24"/>
          <w:highlight w:val="none"/>
          <w:u w:val="single"/>
        </w:rPr>
        <w:t>货物名称</w:t>
      </w:r>
      <w:r>
        <w:rPr>
          <w:rFonts w:hint="eastAsia" w:ascii="微软雅黑" w:hAnsi="微软雅黑" w:eastAsia="微软雅黑" w:cs="微软雅黑"/>
          <w:color w:val="auto"/>
          <w:sz w:val="24"/>
          <w:szCs w:val="24"/>
          <w:highlight w:val="none"/>
        </w:rPr>
        <w:t>)(以下简称货物)签订的(</w:t>
      </w:r>
      <w:r>
        <w:rPr>
          <w:rFonts w:hint="eastAsia" w:ascii="微软雅黑" w:hAnsi="微软雅黑" w:eastAsia="微软雅黑" w:cs="微软雅黑"/>
          <w:i/>
          <w:color w:val="auto"/>
          <w:sz w:val="24"/>
          <w:szCs w:val="24"/>
          <w:highlight w:val="none"/>
          <w:u w:val="single"/>
        </w:rPr>
        <w:t>合同号</w:t>
      </w:r>
      <w:r>
        <w:rPr>
          <w:rFonts w:hint="eastAsia" w:ascii="微软雅黑" w:hAnsi="微软雅黑" w:eastAsia="微软雅黑" w:cs="微软雅黑"/>
          <w:color w:val="auto"/>
          <w:sz w:val="24"/>
          <w:szCs w:val="24"/>
          <w:highlight w:val="none"/>
        </w:rPr>
        <w:t>)号合同的履约保函。</w:t>
      </w:r>
    </w:p>
    <w:p>
      <w:pPr>
        <w:pStyle w:val="14"/>
        <w:spacing w:line="440" w:lineRule="exact"/>
        <w:ind w:firstLine="540" w:firstLineChars="22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i/>
          <w:color w:val="auto"/>
          <w:sz w:val="24"/>
          <w:szCs w:val="24"/>
          <w:highlight w:val="none"/>
          <w:u w:val="single"/>
        </w:rPr>
        <w:t>出具保函的银行名称</w:t>
      </w:r>
      <w:r>
        <w:rPr>
          <w:rFonts w:hint="eastAsia" w:ascii="微软雅黑" w:hAnsi="微软雅黑" w:eastAsia="微软雅黑" w:cs="微软雅黑"/>
          <w:color w:val="auto"/>
          <w:sz w:val="24"/>
          <w:szCs w:val="24"/>
          <w:highlight w:val="none"/>
        </w:rPr>
        <w:t>)(以下简称银行)无条件地、不可撤销地具结保证本行、其继承人和受让人无追索地向贵方以(</w:t>
      </w:r>
      <w:r>
        <w:rPr>
          <w:rFonts w:hint="eastAsia" w:ascii="微软雅黑" w:hAnsi="微软雅黑" w:eastAsia="微软雅黑" w:cs="微软雅黑"/>
          <w:i/>
          <w:color w:val="auto"/>
          <w:sz w:val="24"/>
          <w:szCs w:val="24"/>
          <w:highlight w:val="none"/>
          <w:u w:val="single"/>
        </w:rPr>
        <w:t>货币名称</w:t>
      </w:r>
      <w:r>
        <w:rPr>
          <w:rFonts w:hint="eastAsia" w:ascii="微软雅黑" w:hAnsi="微软雅黑" w:eastAsia="微软雅黑" w:cs="微软雅黑"/>
          <w:color w:val="auto"/>
          <w:sz w:val="24"/>
          <w:szCs w:val="24"/>
          <w:highlight w:val="none"/>
        </w:rPr>
        <w:t>)支付总额不超过(</w:t>
      </w:r>
      <w:r>
        <w:rPr>
          <w:rFonts w:hint="eastAsia" w:ascii="微软雅黑" w:hAnsi="微软雅黑" w:eastAsia="微软雅黑" w:cs="微软雅黑"/>
          <w:i/>
          <w:color w:val="auto"/>
          <w:sz w:val="24"/>
          <w:szCs w:val="24"/>
          <w:highlight w:val="none"/>
          <w:u w:val="single"/>
        </w:rPr>
        <w:t>货币数量</w:t>
      </w:r>
      <w:r>
        <w:rPr>
          <w:rFonts w:hint="eastAsia" w:ascii="微软雅黑" w:hAnsi="微软雅黑" w:eastAsia="微软雅黑" w:cs="微软雅黑"/>
          <w:color w:val="auto"/>
          <w:sz w:val="24"/>
          <w:szCs w:val="24"/>
          <w:highlight w:val="none"/>
        </w:rPr>
        <w:t>),即相当于合同价格的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%,并以此约定如下:</w:t>
      </w:r>
    </w:p>
    <w:p>
      <w:pPr>
        <w:pStyle w:val="14"/>
        <w:spacing w:line="440" w:lineRule="exact"/>
        <w:ind w:left="540" w:leftChars="257"/>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4"/>
        <w:spacing w:line="440" w:lineRule="exact"/>
        <w:ind w:left="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2.本保函项下的任何支付应为免税和净值。对于现有或将来的税收、关税、收费、费用扣减或预提税款，不论这些款项是何种性质和由谁征收，都不应从本保函项下的支付中扣除。</w:t>
      </w:r>
    </w:p>
    <w:p>
      <w:pPr>
        <w:pStyle w:val="14"/>
        <w:spacing w:line="440" w:lineRule="exact"/>
        <w:ind w:left="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4.本保函在本合同规定的保证期期满前完全有效。</w:t>
      </w: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谨启</w:t>
      </w: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出具保函银行名称：</w:t>
      </w:r>
      <w:r>
        <w:rPr>
          <w:rFonts w:hint="eastAsia" w:ascii="微软雅黑" w:hAnsi="微软雅黑" w:eastAsia="微软雅黑" w:cs="微软雅黑"/>
          <w:color w:val="auto"/>
          <w:sz w:val="24"/>
          <w:szCs w:val="24"/>
          <w:highlight w:val="none"/>
          <w:u w:val="single"/>
        </w:rPr>
        <w:t xml:space="preserve">                             </w:t>
      </w:r>
    </w:p>
    <w:p>
      <w:pPr>
        <w:pStyle w:val="14"/>
        <w:spacing w:line="440" w:lineRule="exact"/>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签字人姓名和职务：</w:t>
      </w:r>
      <w:r>
        <w:rPr>
          <w:rFonts w:hint="eastAsia" w:ascii="微软雅黑" w:hAnsi="微软雅黑" w:eastAsia="微软雅黑" w:cs="微软雅黑"/>
          <w:color w:val="auto"/>
          <w:sz w:val="24"/>
          <w:szCs w:val="24"/>
          <w:highlight w:val="none"/>
          <w:u w:val="single"/>
        </w:rPr>
        <w:t xml:space="preserve">                             </w:t>
      </w: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签字人签名：</w:t>
      </w:r>
      <w:r>
        <w:rPr>
          <w:rFonts w:hint="eastAsia" w:ascii="微软雅黑" w:hAnsi="微软雅黑" w:eastAsia="微软雅黑" w:cs="微软雅黑"/>
          <w:color w:val="auto"/>
          <w:sz w:val="24"/>
          <w:szCs w:val="24"/>
          <w:highlight w:val="none"/>
          <w:u w:val="single"/>
        </w:rPr>
        <w:t xml:space="preserve">                                   </w:t>
      </w:r>
    </w:p>
    <w:p>
      <w:pPr>
        <w:pStyle w:val="14"/>
        <w:spacing w:line="440" w:lineRule="exact"/>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 xml:space="preserve">                                         </w:t>
      </w:r>
    </w:p>
    <w:p>
      <w:pPr>
        <w:pStyle w:val="4"/>
        <w:spacing w:before="0"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bookmarkStart w:id="231" w:name="_Toc515647800"/>
      <w:bookmarkStart w:id="232" w:name="_Toc6548"/>
      <w:bookmarkStart w:id="233" w:name="_Toc10951"/>
      <w:bookmarkStart w:id="234" w:name="_Toc25280"/>
      <w:bookmarkStart w:id="235" w:name="_Toc218"/>
      <w:bookmarkStart w:id="236" w:name="_Toc7938"/>
      <w:bookmarkStart w:id="237" w:name="_Toc30821"/>
      <w:bookmarkStart w:id="238" w:name="_Toc32401"/>
      <w:r>
        <w:rPr>
          <w:rFonts w:hint="eastAsia" w:ascii="微软雅黑" w:hAnsi="微软雅黑" w:eastAsia="微软雅黑" w:cs="微软雅黑"/>
          <w:color w:val="auto"/>
          <w:sz w:val="24"/>
          <w:szCs w:val="24"/>
          <w:highlight w:val="none"/>
        </w:rPr>
        <w:t>附件2：履约担保函格式</w:t>
      </w:r>
      <w:bookmarkEnd w:id="231"/>
      <w:bookmarkEnd w:id="232"/>
      <w:bookmarkEnd w:id="233"/>
      <w:r>
        <w:rPr>
          <w:rFonts w:hint="eastAsia" w:ascii="微软雅黑" w:hAnsi="微软雅黑" w:eastAsia="微软雅黑" w:cs="微软雅黑"/>
          <w:color w:val="auto"/>
          <w:sz w:val="24"/>
          <w:szCs w:val="24"/>
          <w:highlight w:val="none"/>
        </w:rPr>
        <w:t xml:space="preserve"> 本项目不适用</w:t>
      </w:r>
      <w:bookmarkEnd w:id="234"/>
      <w:bookmarkEnd w:id="235"/>
      <w:bookmarkEnd w:id="236"/>
      <w:bookmarkEnd w:id="237"/>
      <w:bookmarkEnd w:id="238"/>
      <w:bookmarkStart w:id="239" w:name="_Toc11129"/>
      <w:bookmarkStart w:id="240" w:name="_Toc515647801"/>
      <w:bookmarkStart w:id="241" w:name="_Toc162"/>
      <w:bookmarkStart w:id="242" w:name="_Toc10315"/>
      <w:bookmarkStart w:id="243" w:name="_Toc23195"/>
      <w:bookmarkStart w:id="244" w:name="_Toc13962"/>
      <w:bookmarkStart w:id="245" w:name="_Toc22578"/>
      <w:bookmarkStart w:id="246" w:name="_Toc15824"/>
    </w:p>
    <w:p>
      <w:pPr>
        <w:pStyle w:val="4"/>
        <w:spacing w:before="0" w:line="440" w:lineRule="exact"/>
        <w:ind w:left="1080" w:leftChars="257" w:hanging="540"/>
        <w:rPr>
          <w:rFonts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（采用政府采购信用担保形式时使用）</w:t>
      </w:r>
      <w:bookmarkEnd w:id="239"/>
      <w:bookmarkEnd w:id="240"/>
      <w:bookmarkEnd w:id="241"/>
      <w:bookmarkEnd w:id="242"/>
      <w:bookmarkEnd w:id="243"/>
      <w:bookmarkEnd w:id="244"/>
      <w:bookmarkEnd w:id="245"/>
      <w:bookmarkEnd w:id="246"/>
    </w:p>
    <w:p>
      <w:pPr>
        <w:spacing w:line="44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政府采购履约担保函（项目用）</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编号：</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（采购人）：</w:t>
      </w:r>
    </w:p>
    <w:p>
      <w:pPr>
        <w:spacing w:line="440" w:lineRule="exact"/>
        <w:ind w:firstLine="480" w:firstLineChars="200"/>
        <w:rPr>
          <w:rFonts w:ascii="微软雅黑" w:hAnsi="微软雅黑" w:eastAsia="微软雅黑" w:cs="微软雅黑"/>
          <w:color w:val="auto"/>
          <w:sz w:val="24"/>
          <w:highlight w:val="none"/>
        </w:rPr>
      </w:pP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鉴于你方与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（以下简称供应商）于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日签定编号为   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政府采购合同》（以下简称主合同），且依据该合同的约定，供应商应在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日前向你方交纳履约保证金，且可以履约担保函的形式交纳履约保证金。应供应商的申请，我方以保证的方式向你方提供如下履约保证金担保：</w:t>
      </w:r>
    </w:p>
    <w:p>
      <w:pPr>
        <w:spacing w:line="440" w:lineRule="exact"/>
        <w:ind w:firstLine="480" w:firstLineChars="200"/>
        <w:outlineLvl w:val="0"/>
        <w:rPr>
          <w:rFonts w:ascii="微软雅黑" w:hAnsi="微软雅黑" w:eastAsia="微软雅黑" w:cs="微软雅黑"/>
          <w:color w:val="auto"/>
          <w:sz w:val="24"/>
          <w:highlight w:val="none"/>
        </w:rPr>
      </w:pPr>
      <w:bookmarkStart w:id="247" w:name="_Toc30096"/>
      <w:bookmarkStart w:id="248" w:name="_Toc3247"/>
      <w:bookmarkStart w:id="249" w:name="_Toc32218"/>
      <w:bookmarkStart w:id="250" w:name="_Toc25371"/>
      <w:r>
        <w:rPr>
          <w:rFonts w:hint="eastAsia" w:ascii="微软雅黑" w:hAnsi="微软雅黑" w:eastAsia="微软雅黑" w:cs="微软雅黑"/>
          <w:color w:val="auto"/>
          <w:sz w:val="24"/>
          <w:highlight w:val="none"/>
        </w:rPr>
        <w:t>一、保证责任的情形及保证金额</w:t>
      </w:r>
      <w:bookmarkEnd w:id="247"/>
      <w:bookmarkEnd w:id="248"/>
      <w:bookmarkEnd w:id="249"/>
      <w:bookmarkEnd w:id="250"/>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（一）在供应商出现下列情形之一时，我方承担保证责任：</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1．将中标项目转让给他人，或者在投标文件中未说明，且未经采购招标机构人同意，将中标项目分包给他人的；</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2．主合同约定的应当缴纳履约保证金的情形: </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（1）未按主合同约定的质量、数量和期限供应货物/提供服务/完成工程的；</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（二）我方的保证范围是主合同约定的合同价款总额的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%数额为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元（大写</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），币种为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。（即主合同履约保证金金额）</w:t>
      </w:r>
    </w:p>
    <w:p>
      <w:pPr>
        <w:spacing w:line="440" w:lineRule="exact"/>
        <w:ind w:firstLine="480" w:firstLineChars="200"/>
        <w:outlineLvl w:val="0"/>
        <w:rPr>
          <w:rFonts w:ascii="微软雅黑" w:hAnsi="微软雅黑" w:eastAsia="微软雅黑" w:cs="微软雅黑"/>
          <w:color w:val="auto"/>
          <w:sz w:val="24"/>
          <w:highlight w:val="none"/>
        </w:rPr>
      </w:pPr>
      <w:bookmarkStart w:id="251" w:name="_Toc2714"/>
      <w:bookmarkStart w:id="252" w:name="_Toc13003"/>
      <w:bookmarkStart w:id="253" w:name="_Toc8329"/>
      <w:bookmarkStart w:id="254" w:name="_Toc11625"/>
      <w:r>
        <w:rPr>
          <w:rFonts w:hint="eastAsia" w:ascii="微软雅黑" w:hAnsi="微软雅黑" w:eastAsia="微软雅黑" w:cs="微软雅黑"/>
          <w:color w:val="auto"/>
          <w:sz w:val="24"/>
          <w:highlight w:val="none"/>
        </w:rPr>
        <w:t>二、保证的方式及保证期间</w:t>
      </w:r>
      <w:bookmarkEnd w:id="251"/>
      <w:bookmarkEnd w:id="252"/>
      <w:bookmarkEnd w:id="253"/>
      <w:bookmarkEnd w:id="254"/>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我方保证的方式为：连带责任保证。</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我方保证的期间为：自本合同生效之日起至供应商按照主合同约定的供货/完工期限届满后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日内。</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如果供应商未按主合同约定向贵方供应货物/提供服务/完成工程的，由我方在保证金额内向你方支付上述款项。</w:t>
      </w:r>
    </w:p>
    <w:p>
      <w:pPr>
        <w:spacing w:line="440" w:lineRule="exact"/>
        <w:ind w:firstLine="480" w:firstLineChars="200"/>
        <w:outlineLvl w:val="0"/>
        <w:rPr>
          <w:rFonts w:ascii="微软雅黑" w:hAnsi="微软雅黑" w:eastAsia="微软雅黑" w:cs="微软雅黑"/>
          <w:color w:val="auto"/>
          <w:sz w:val="24"/>
          <w:highlight w:val="none"/>
        </w:rPr>
      </w:pPr>
      <w:bookmarkStart w:id="255" w:name="_Toc27427"/>
      <w:bookmarkStart w:id="256" w:name="_Toc7341"/>
      <w:bookmarkStart w:id="257" w:name="_Toc25720"/>
      <w:bookmarkStart w:id="258" w:name="_Toc10132"/>
      <w:r>
        <w:rPr>
          <w:rFonts w:hint="eastAsia" w:ascii="微软雅黑" w:hAnsi="微软雅黑" w:eastAsia="微软雅黑" w:cs="微软雅黑"/>
          <w:color w:val="auto"/>
          <w:sz w:val="24"/>
          <w:highlight w:val="none"/>
        </w:rPr>
        <w:t>三、承担保证责任的程序</w:t>
      </w:r>
      <w:bookmarkEnd w:id="255"/>
      <w:bookmarkEnd w:id="256"/>
      <w:bookmarkEnd w:id="257"/>
      <w:bookmarkEnd w:id="258"/>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如果你方与供应商因货物质量问题产生争议，你方还需同时提供</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部门出具的质量检测报告，或经诉讼（仲裁）程序裁决后的裁决书、调解书，本保证人即按照检测结果或裁决书、调解书决定是否承担保证责任。</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 我方收到你方的书面索赔通知及相应证明材料，在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工作日内进行核定后按照本保函的承诺承担保证责任。</w:t>
      </w:r>
    </w:p>
    <w:p>
      <w:pPr>
        <w:spacing w:line="440" w:lineRule="exact"/>
        <w:ind w:firstLine="480" w:firstLineChars="200"/>
        <w:outlineLvl w:val="0"/>
        <w:rPr>
          <w:rFonts w:ascii="微软雅黑" w:hAnsi="微软雅黑" w:eastAsia="微软雅黑" w:cs="微软雅黑"/>
          <w:color w:val="auto"/>
          <w:sz w:val="24"/>
          <w:highlight w:val="none"/>
        </w:rPr>
      </w:pPr>
      <w:bookmarkStart w:id="259" w:name="_Toc4574"/>
      <w:bookmarkStart w:id="260" w:name="_Toc8026"/>
      <w:bookmarkStart w:id="261" w:name="_Toc3818"/>
      <w:bookmarkStart w:id="262" w:name="_Toc15833"/>
      <w:r>
        <w:rPr>
          <w:rFonts w:hint="eastAsia" w:ascii="微软雅黑" w:hAnsi="微软雅黑" w:eastAsia="微软雅黑" w:cs="微软雅黑"/>
          <w:color w:val="auto"/>
          <w:sz w:val="24"/>
          <w:highlight w:val="none"/>
        </w:rPr>
        <w:t>四、保证责任的终止</w:t>
      </w:r>
      <w:bookmarkEnd w:id="259"/>
      <w:bookmarkEnd w:id="260"/>
      <w:bookmarkEnd w:id="261"/>
      <w:bookmarkEnd w:id="262"/>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2．我方按照本保函向你方履行了保证责任后，自我方向你方支付款项（支付款项从我方账户划出）之日起，保证责任即终止。</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3．按照法律法规的规定或出现应终止我方保证责任的其它情形的，我方在本保函项下的保证责任亦终止。</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440" w:lineRule="exact"/>
        <w:ind w:firstLine="480" w:firstLineChars="200"/>
        <w:outlineLvl w:val="0"/>
        <w:rPr>
          <w:rFonts w:ascii="微软雅黑" w:hAnsi="微软雅黑" w:eastAsia="微软雅黑" w:cs="微软雅黑"/>
          <w:color w:val="auto"/>
          <w:sz w:val="24"/>
          <w:highlight w:val="none"/>
        </w:rPr>
      </w:pPr>
      <w:bookmarkStart w:id="263" w:name="_Toc6003"/>
      <w:bookmarkStart w:id="264" w:name="_Toc11285"/>
      <w:bookmarkStart w:id="265" w:name="_Toc3766"/>
      <w:bookmarkStart w:id="266" w:name="_Toc20173"/>
      <w:r>
        <w:rPr>
          <w:rFonts w:hint="eastAsia" w:ascii="微软雅黑" w:hAnsi="微软雅黑" w:eastAsia="微软雅黑" w:cs="微软雅黑"/>
          <w:color w:val="auto"/>
          <w:sz w:val="24"/>
          <w:highlight w:val="none"/>
        </w:rPr>
        <w:t>五、免责条款</w:t>
      </w:r>
      <w:bookmarkEnd w:id="263"/>
      <w:bookmarkEnd w:id="264"/>
      <w:bookmarkEnd w:id="265"/>
      <w:bookmarkEnd w:id="266"/>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1．因你方违反主合同约定致使供应商不能履行义务的，我方不承担保证责任。</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2．依照法律法规的规定或你方与供应商的另行约定，全部或者部分免除供应商应缴纳的保证金义务的，我方亦免除相应的保证责任。</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3．因不可抗力造成供应商不能履行供货义务的，我方不承担保证责任。</w:t>
      </w:r>
    </w:p>
    <w:p>
      <w:pPr>
        <w:spacing w:line="440" w:lineRule="exact"/>
        <w:ind w:firstLine="480" w:firstLineChars="200"/>
        <w:outlineLvl w:val="0"/>
        <w:rPr>
          <w:rFonts w:ascii="微软雅黑" w:hAnsi="微软雅黑" w:eastAsia="微软雅黑" w:cs="微软雅黑"/>
          <w:color w:val="auto"/>
          <w:sz w:val="24"/>
          <w:highlight w:val="none"/>
        </w:rPr>
      </w:pPr>
      <w:bookmarkStart w:id="267" w:name="_Toc3926"/>
      <w:bookmarkStart w:id="268" w:name="_Toc11837"/>
      <w:bookmarkStart w:id="269" w:name="_Toc21003"/>
      <w:bookmarkStart w:id="270" w:name="_Toc15993"/>
      <w:r>
        <w:rPr>
          <w:rFonts w:hint="eastAsia" w:ascii="微软雅黑" w:hAnsi="微软雅黑" w:eastAsia="微软雅黑" w:cs="微软雅黑"/>
          <w:color w:val="auto"/>
          <w:sz w:val="24"/>
          <w:highlight w:val="none"/>
        </w:rPr>
        <w:t>六、争议的解决</w:t>
      </w:r>
      <w:bookmarkEnd w:id="267"/>
      <w:bookmarkEnd w:id="268"/>
      <w:bookmarkEnd w:id="269"/>
      <w:bookmarkEnd w:id="270"/>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因本保函发生的纠纷，由你我双方协商解决，协商不成的，通过诉讼程序解决，诉讼管辖地法院为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法院。</w:t>
      </w:r>
    </w:p>
    <w:p>
      <w:pPr>
        <w:spacing w:line="440" w:lineRule="exact"/>
        <w:ind w:firstLine="480" w:firstLineChars="200"/>
        <w:outlineLvl w:val="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七、保函的生效</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本保函自我方加盖公章之日起生效。</w:t>
      </w:r>
    </w:p>
    <w:p>
      <w:pPr>
        <w:spacing w:line="440" w:lineRule="exact"/>
        <w:jc w:val="righ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保证人：（公章）</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年     月      日</w:t>
      </w:r>
    </w:p>
    <w:p>
      <w:pPr>
        <w:pStyle w:val="7"/>
        <w:rPr>
          <w:rFonts w:ascii="宋体" w:hAnsi="宋体" w:cs="宋体"/>
          <w:color w:val="auto"/>
          <w:sz w:val="21"/>
          <w:szCs w:val="21"/>
          <w:highlight w:val="none"/>
        </w:rPr>
      </w:pPr>
    </w:p>
    <w:p>
      <w:pPr>
        <w:pStyle w:val="7"/>
        <w:rPr>
          <w:color w:val="auto"/>
          <w:highlight w:val="none"/>
        </w:rPr>
      </w:pPr>
    </w:p>
    <w:p>
      <w:pPr>
        <w:pStyle w:val="3"/>
        <w:spacing w:before="0" w:after="0" w:line="240" w:lineRule="atLeast"/>
        <w:rPr>
          <w:rFonts w:ascii="微软雅黑" w:hAnsi="微软雅黑" w:eastAsia="微软雅黑" w:cs="微软雅黑"/>
          <w:color w:val="auto"/>
          <w:sz w:val="24"/>
          <w:szCs w:val="24"/>
          <w:highlight w:val="none"/>
        </w:rPr>
      </w:pPr>
      <w:bookmarkStart w:id="271" w:name="_Toc216582812"/>
      <w:bookmarkStart w:id="272" w:name="_Toc728"/>
      <w:bookmarkStart w:id="273" w:name="_Toc29770"/>
      <w:bookmarkStart w:id="274" w:name="_Toc515647802"/>
      <w:bookmarkStart w:id="275" w:name="_Toc10401"/>
      <w:bookmarkStart w:id="276" w:name="_Toc702"/>
      <w:bookmarkStart w:id="277" w:name="_Toc22572"/>
      <w:bookmarkStart w:id="278" w:name="_Toc13130"/>
      <w:bookmarkStart w:id="279" w:name="_Toc18694"/>
      <w:bookmarkStart w:id="280" w:name="_Toc515647803"/>
      <w:bookmarkStart w:id="281" w:name="_Toc18974"/>
      <w:bookmarkStart w:id="282" w:name="_Toc19768"/>
      <w:bookmarkStart w:id="283" w:name="_Toc2369"/>
      <w:bookmarkStart w:id="284" w:name="_Toc11366"/>
      <w:bookmarkStart w:id="285" w:name="_Toc20963"/>
      <w:r>
        <w:rPr>
          <w:rFonts w:hint="eastAsia" w:ascii="微软雅黑" w:hAnsi="微软雅黑" w:eastAsia="微软雅黑" w:cs="微软雅黑"/>
          <w:color w:val="auto"/>
          <w:sz w:val="24"/>
          <w:szCs w:val="24"/>
          <w:highlight w:val="none"/>
        </w:rPr>
        <w:t>第2章   投标文件格式</w:t>
      </w:r>
      <w:bookmarkEnd w:id="271"/>
      <w:bookmarkEnd w:id="272"/>
      <w:bookmarkEnd w:id="273"/>
      <w:bookmarkEnd w:id="274"/>
      <w:bookmarkEnd w:id="275"/>
      <w:bookmarkEnd w:id="276"/>
    </w:p>
    <w:p>
      <w:pPr>
        <w:pStyle w:val="4"/>
        <w:spacing w:before="0" w:line="240" w:lineRule="atLeas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第一部分 开标一览表及资格证明文件</w:t>
      </w:r>
      <w:bookmarkEnd w:id="277"/>
      <w:bookmarkEnd w:id="278"/>
      <w:bookmarkEnd w:id="279"/>
      <w:bookmarkEnd w:id="280"/>
      <w:bookmarkEnd w:id="281"/>
    </w:p>
    <w:p>
      <w:pPr>
        <w:tabs>
          <w:tab w:val="left" w:pos="5580"/>
        </w:tabs>
        <w:spacing w:line="400" w:lineRule="exact"/>
        <w:ind w:firstLine="48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1、开标一览表;</w:t>
      </w:r>
    </w:p>
    <w:p>
      <w:pPr>
        <w:pStyle w:val="7"/>
        <w:spacing w:line="400" w:lineRule="exact"/>
        <w:ind w:left="479" w:leftChars="228"/>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2、法人、非法人组织或者自然人资格证明文件；（加盖公章）</w:t>
      </w:r>
    </w:p>
    <w:p>
      <w:pPr>
        <w:pStyle w:val="7"/>
        <w:spacing w:line="400" w:lineRule="exact"/>
        <w:ind w:left="479" w:leftChars="228"/>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授权委托人投标的需提供法人（负责人）代表资格证明书及授权委托书、被授权人身份证；法定代表人（负责人）投标的需提供法人（负责人）代表资格证明书及法人（负责人）身份证；授权委托人需提供本人在本单位近三个月单位社保缴费凭证和个人明细表；（加盖公章）</w:t>
      </w:r>
    </w:p>
    <w:p>
      <w:pPr>
        <w:pStyle w:val="7"/>
        <w:spacing w:line="400" w:lineRule="exact"/>
        <w:ind w:left="479" w:leftChars="228"/>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4、2020年度财务审计报告（（新公司或其他组织和自然人提供银行出具的资信证明））（加盖公章）；</w:t>
      </w:r>
    </w:p>
    <w:p>
      <w:pPr>
        <w:pStyle w:val="7"/>
        <w:spacing w:line="400" w:lineRule="exact"/>
        <w:ind w:left="479" w:leftChars="228"/>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5、未被“信用中国”（www.creditchina.gov.cn）列入失信被执行人和重大税收违法案件当事人名单，未被“中国政府采购网”（www.ccgp.gov.cn） 列入政府采购严重违法失信行为记录名单，未在财政部门或行业主管部门禁止参加政府采购活动时间及地域范围内（相关查询截图加盖公章）；</w:t>
      </w:r>
    </w:p>
    <w:p>
      <w:pPr>
        <w:pStyle w:val="7"/>
        <w:spacing w:line="400" w:lineRule="exact"/>
        <w:ind w:left="479" w:leftChars="228"/>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6、提供本单位在参加政府采购活动中前三年内无重大违法记录的承诺书（加盖公章）；</w:t>
      </w:r>
    </w:p>
    <w:p>
      <w:pPr>
        <w:pStyle w:val="7"/>
        <w:spacing w:line="400" w:lineRule="exact"/>
        <w:ind w:firstLine="48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7、提供针对本次采购项目《反商业贿赂承诺书》（加盖公章）；</w:t>
      </w:r>
    </w:p>
    <w:p>
      <w:pPr>
        <w:pStyle w:val="7"/>
        <w:spacing w:line="400" w:lineRule="exact"/>
        <w:ind w:firstLine="48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8、提供税务部门出具的近三个月的完税证明（或申报记录）（加盖公章）；</w:t>
      </w:r>
    </w:p>
    <w:p>
      <w:pPr>
        <w:pStyle w:val="7"/>
        <w:spacing w:line="400" w:lineRule="exact"/>
        <w:ind w:firstLine="48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9、缴纳投标保证金收据及银行转账/电汇回执单复印件（加盖公章）；</w:t>
      </w:r>
    </w:p>
    <w:p>
      <w:pPr>
        <w:pStyle w:val="7"/>
        <w:spacing w:line="400" w:lineRule="exact"/>
        <w:ind w:firstLine="48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10、提供有利于投标的其他证明材料。</w:t>
      </w:r>
    </w:p>
    <w:p>
      <w:pPr>
        <w:pStyle w:val="7"/>
        <w:rPr>
          <w:rFonts w:ascii="微软雅黑" w:hAnsi="微软雅黑" w:eastAsia="微软雅黑" w:cs="微软雅黑"/>
          <w:color w:val="auto"/>
          <w:highlight w:val="none"/>
        </w:rPr>
      </w:pPr>
    </w:p>
    <w:p>
      <w:pPr>
        <w:pStyle w:val="2"/>
        <w:rPr>
          <w:rFonts w:ascii="微软雅黑" w:hAnsi="微软雅黑" w:eastAsia="微软雅黑" w:cs="微软雅黑"/>
          <w:color w:val="auto"/>
          <w:szCs w:val="24"/>
          <w:highlight w:val="none"/>
        </w:rPr>
      </w:pPr>
    </w:p>
    <w:p>
      <w:pPr>
        <w:pStyle w:val="2"/>
        <w:rPr>
          <w:rFonts w:hAnsi="宋体" w:cs="宋体"/>
          <w:color w:val="auto"/>
          <w:sz w:val="21"/>
          <w:szCs w:val="21"/>
          <w:highlight w:val="none"/>
        </w:rPr>
      </w:pPr>
    </w:p>
    <w:p>
      <w:pPr>
        <w:pStyle w:val="2"/>
        <w:rPr>
          <w:rFonts w:hAnsi="宋体" w:cs="宋体"/>
          <w:color w:val="auto"/>
          <w:sz w:val="21"/>
          <w:szCs w:val="21"/>
          <w:highlight w:val="none"/>
        </w:rPr>
      </w:pPr>
    </w:p>
    <w:p>
      <w:pPr>
        <w:pStyle w:val="2"/>
        <w:rPr>
          <w:rFonts w:hAnsi="宋体" w:cs="宋体"/>
          <w:color w:val="auto"/>
          <w:sz w:val="21"/>
          <w:szCs w:val="21"/>
          <w:highlight w:val="none"/>
        </w:rPr>
      </w:pPr>
    </w:p>
    <w:p>
      <w:pPr>
        <w:pStyle w:val="2"/>
        <w:rPr>
          <w:rFonts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rPr>
          <w:color w:val="auto"/>
          <w:highlight w:val="none"/>
        </w:rPr>
      </w:pPr>
    </w:p>
    <w:bookmarkEnd w:id="282"/>
    <w:bookmarkEnd w:id="283"/>
    <w:bookmarkEnd w:id="284"/>
    <w:bookmarkEnd w:id="285"/>
    <w:p>
      <w:pPr>
        <w:pStyle w:val="4"/>
        <w:spacing w:before="0" w:line="240" w:lineRule="atLeast"/>
        <w:ind w:left="1080" w:leftChars="257" w:hanging="540"/>
        <w:rPr>
          <w:rFonts w:ascii="微软雅黑" w:hAnsi="微软雅黑" w:eastAsia="微软雅黑" w:cs="微软雅黑"/>
          <w:b/>
          <w:bCs/>
          <w:color w:val="auto"/>
          <w:sz w:val="24"/>
          <w:szCs w:val="24"/>
          <w:highlight w:val="none"/>
        </w:rPr>
      </w:pPr>
      <w:bookmarkStart w:id="286" w:name="_Toc10957"/>
      <w:bookmarkStart w:id="287" w:name="_Toc30524"/>
      <w:bookmarkStart w:id="288" w:name="_Toc15286"/>
      <w:bookmarkStart w:id="289" w:name="_Toc515647804"/>
      <w:bookmarkStart w:id="290" w:name="_Toc16568"/>
      <w:r>
        <w:rPr>
          <w:rFonts w:hint="eastAsia" w:ascii="微软雅黑" w:hAnsi="微软雅黑" w:eastAsia="微软雅黑" w:cs="微软雅黑"/>
          <w:b/>
          <w:bCs/>
          <w:color w:val="auto"/>
          <w:sz w:val="24"/>
          <w:szCs w:val="24"/>
          <w:highlight w:val="none"/>
        </w:rPr>
        <w:t>1  开标一览表</w:t>
      </w:r>
      <w:bookmarkEnd w:id="286"/>
      <w:bookmarkEnd w:id="287"/>
      <w:bookmarkEnd w:id="288"/>
      <w:bookmarkEnd w:id="289"/>
      <w:bookmarkEnd w:id="290"/>
    </w:p>
    <w:p>
      <w:pPr>
        <w:pStyle w:val="2"/>
        <w:tabs>
          <w:tab w:val="left" w:pos="5580"/>
        </w:tabs>
        <w:spacing w:line="240" w:lineRule="atLeast"/>
        <w:ind w:left="1080" w:leftChars="257" w:hanging="540"/>
        <w:jc w:val="center"/>
        <w:rPr>
          <w:rFonts w:ascii="仿宋" w:hAnsi="仿宋" w:eastAsia="仿宋" w:cs="仿宋"/>
          <w:color w:val="auto"/>
          <w:highlight w:val="none"/>
        </w:rPr>
      </w:pPr>
      <w:bookmarkStart w:id="291" w:name="_Hlt520356241"/>
      <w:bookmarkEnd w:id="291"/>
      <w:bookmarkStart w:id="292" w:name="_Toc31862"/>
      <w:bookmarkStart w:id="293" w:name="_Toc520356217"/>
      <w:bookmarkStart w:id="294" w:name="_Toc216582813"/>
      <w:bookmarkStart w:id="295" w:name="_Ref467988698"/>
      <w:bookmarkStart w:id="296" w:name="_Toc480942349"/>
      <w:r>
        <w:rPr>
          <w:rFonts w:hint="eastAsia" w:ascii="微软雅黑" w:hAnsi="微软雅黑" w:eastAsia="微软雅黑" w:cs="微软雅黑"/>
          <w:b/>
          <w:color w:val="auto"/>
          <w:szCs w:val="24"/>
          <w:highlight w:val="none"/>
        </w:rPr>
        <w:t>开标一览表</w:t>
      </w:r>
    </w:p>
    <w:p>
      <w:pPr>
        <w:tabs>
          <w:tab w:val="left" w:pos="1800"/>
          <w:tab w:val="left" w:pos="5580"/>
        </w:tabs>
        <w:spacing w:line="400" w:lineRule="exact"/>
        <w:ind w:left="1080" w:leftChars="257" w:right="-867" w:rightChars="-413" w:hanging="54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p>
    <w:p>
      <w:pPr>
        <w:tabs>
          <w:tab w:val="left" w:pos="1800"/>
          <w:tab w:val="left" w:pos="5580"/>
        </w:tabs>
        <w:spacing w:line="400" w:lineRule="exact"/>
        <w:ind w:left="1080" w:leftChars="257" w:right="-867" w:rightChars="-413" w:hanging="54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项目编号：</w:t>
      </w:r>
    </w:p>
    <w:tbl>
      <w:tblPr>
        <w:tblStyle w:val="35"/>
        <w:tblW w:w="4998" w:type="pct"/>
        <w:tblInd w:w="0" w:type="dxa"/>
        <w:tblLayout w:type="fixed"/>
        <w:tblCellMar>
          <w:top w:w="0" w:type="dxa"/>
          <w:left w:w="108" w:type="dxa"/>
          <w:bottom w:w="0" w:type="dxa"/>
          <w:right w:w="108" w:type="dxa"/>
        </w:tblCellMar>
      </w:tblPr>
      <w:tblGrid>
        <w:gridCol w:w="881"/>
        <w:gridCol w:w="1540"/>
        <w:gridCol w:w="1482"/>
        <w:gridCol w:w="1130"/>
        <w:gridCol w:w="1200"/>
        <w:gridCol w:w="1298"/>
        <w:gridCol w:w="994"/>
      </w:tblGrid>
      <w:tr>
        <w:tblPrEx>
          <w:tblCellMar>
            <w:top w:w="0" w:type="dxa"/>
            <w:left w:w="108" w:type="dxa"/>
            <w:bottom w:w="0" w:type="dxa"/>
            <w:right w:w="108" w:type="dxa"/>
          </w:tblCellMar>
        </w:tblPrEx>
        <w:trPr>
          <w:trHeight w:val="330" w:hRule="atLeast"/>
        </w:trPr>
        <w:tc>
          <w:tcPr>
            <w:tcW w:w="516" w:type="pct"/>
            <w:vMerge w:val="restart"/>
            <w:tcBorders>
              <w:top w:val="double" w:color="000000" w:sz="4"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序号</w:t>
            </w:r>
          </w:p>
        </w:tc>
        <w:tc>
          <w:tcPr>
            <w:tcW w:w="903" w:type="pct"/>
            <w:vMerge w:val="restart"/>
            <w:tcBorders>
              <w:top w:val="doub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物资名称</w:t>
            </w:r>
          </w:p>
        </w:tc>
        <w:tc>
          <w:tcPr>
            <w:tcW w:w="869" w:type="pct"/>
            <w:vMerge w:val="restart"/>
            <w:tcBorders>
              <w:top w:val="doub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规格型号参数</w:t>
            </w:r>
          </w:p>
        </w:tc>
        <w:tc>
          <w:tcPr>
            <w:tcW w:w="663" w:type="pct"/>
            <w:vMerge w:val="restart"/>
            <w:tcBorders>
              <w:top w:val="double" w:color="000000" w:sz="4" w:space="0"/>
              <w:left w:val="single" w:color="000000" w:sz="8" w:space="0"/>
              <w:bottom w:val="single" w:color="000000" w:sz="8" w:space="0"/>
              <w:right w:val="double" w:color="000000" w:sz="4"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计量单位</w:t>
            </w:r>
          </w:p>
        </w:tc>
        <w:tc>
          <w:tcPr>
            <w:tcW w:w="704" w:type="pct"/>
            <w:vMerge w:val="restart"/>
            <w:tcBorders>
              <w:top w:val="double" w:color="000000" w:sz="4" w:space="0"/>
              <w:left w:val="single" w:color="000000" w:sz="8" w:space="0"/>
              <w:bottom w:val="single" w:color="000000" w:sz="8" w:space="0"/>
              <w:right w:val="double" w:color="000000" w:sz="4"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采购数量</w:t>
            </w:r>
          </w:p>
        </w:tc>
        <w:tc>
          <w:tcPr>
            <w:tcW w:w="761" w:type="pct"/>
            <w:vMerge w:val="restart"/>
            <w:tcBorders>
              <w:top w:val="double" w:color="000000" w:sz="4" w:space="0"/>
              <w:left w:val="single" w:color="000000" w:sz="8" w:space="0"/>
              <w:bottom w:val="single" w:color="000000" w:sz="8" w:space="0"/>
              <w:right w:val="double" w:color="000000" w:sz="4"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单价（元）</w:t>
            </w:r>
          </w:p>
        </w:tc>
        <w:tc>
          <w:tcPr>
            <w:tcW w:w="582" w:type="pct"/>
            <w:vMerge w:val="restart"/>
            <w:tcBorders>
              <w:top w:val="double" w:color="000000" w:sz="4" w:space="0"/>
              <w:left w:val="single" w:color="000000" w:sz="8" w:space="0"/>
              <w:bottom w:val="single" w:color="000000" w:sz="8" w:space="0"/>
              <w:right w:val="double" w:color="000000" w:sz="4"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合价（元）</w:t>
            </w:r>
          </w:p>
        </w:tc>
      </w:tr>
      <w:tr>
        <w:tblPrEx>
          <w:tblCellMar>
            <w:top w:w="0" w:type="dxa"/>
            <w:left w:w="108" w:type="dxa"/>
            <w:bottom w:w="0" w:type="dxa"/>
            <w:right w:w="108" w:type="dxa"/>
          </w:tblCellMar>
        </w:tblPrEx>
        <w:trPr>
          <w:trHeight w:val="300" w:hRule="atLeast"/>
        </w:trPr>
        <w:tc>
          <w:tcPr>
            <w:tcW w:w="516" w:type="pct"/>
            <w:vMerge w:val="continue"/>
            <w:tcBorders>
              <w:top w:val="double" w:color="000000" w:sz="4" w:space="0"/>
              <w:left w:val="double" w:color="000000" w:sz="4"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903" w:type="pct"/>
            <w:vMerge w:val="continue"/>
            <w:tcBorders>
              <w:top w:val="double" w:color="000000" w:sz="4"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869" w:type="pct"/>
            <w:vMerge w:val="continue"/>
            <w:tcBorders>
              <w:top w:val="double" w:color="000000" w:sz="4"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663" w:type="pct"/>
            <w:vMerge w:val="continue"/>
            <w:tcBorders>
              <w:top w:val="double" w:color="000000" w:sz="4"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c>
          <w:tcPr>
            <w:tcW w:w="704" w:type="pct"/>
            <w:vMerge w:val="continue"/>
            <w:tcBorders>
              <w:top w:val="double" w:color="000000" w:sz="4"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c>
          <w:tcPr>
            <w:tcW w:w="761" w:type="pct"/>
            <w:vMerge w:val="continue"/>
            <w:tcBorders>
              <w:top w:val="double" w:color="000000" w:sz="4"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c>
          <w:tcPr>
            <w:tcW w:w="582" w:type="pct"/>
            <w:vMerge w:val="continue"/>
            <w:tcBorders>
              <w:top w:val="double" w:color="000000" w:sz="4"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780" w:hRule="atLeast"/>
        </w:trPr>
        <w:tc>
          <w:tcPr>
            <w:tcW w:w="516" w:type="pct"/>
            <w:tcBorders>
              <w:top w:val="single" w:color="000000" w:sz="8"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1</w:t>
            </w:r>
          </w:p>
        </w:tc>
        <w:tc>
          <w:tcPr>
            <w:tcW w:w="90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乡村振兴管理平台</w:t>
            </w: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统一门户、大数据驾驶舱</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1</w:t>
            </w:r>
          </w:p>
        </w:tc>
        <w:tc>
          <w:tcPr>
            <w:tcW w:w="76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90" w:hRule="atLeast"/>
        </w:trPr>
        <w:tc>
          <w:tcPr>
            <w:tcW w:w="516" w:type="pct"/>
            <w:tcBorders>
              <w:top w:val="single" w:color="000000" w:sz="8"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2</w:t>
            </w:r>
          </w:p>
        </w:tc>
        <w:tc>
          <w:tcPr>
            <w:tcW w:w="90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乡村治理</w:t>
            </w: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智慧党建、政务管理、平安家园、积分管理、事项管理、数字门牌、三农服务、三农数据管理</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1</w:t>
            </w:r>
          </w:p>
        </w:tc>
        <w:tc>
          <w:tcPr>
            <w:tcW w:w="76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540" w:hRule="atLeast"/>
        </w:trPr>
        <w:tc>
          <w:tcPr>
            <w:tcW w:w="516" w:type="pct"/>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3</w:t>
            </w:r>
          </w:p>
        </w:tc>
        <w:tc>
          <w:tcPr>
            <w:tcW w:w="90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健康小屋</w:t>
            </w:r>
          </w:p>
        </w:tc>
        <w:tc>
          <w:tcPr>
            <w:tcW w:w="869" w:type="pc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智能检测模块</w:t>
            </w:r>
          </w:p>
        </w:tc>
        <w:tc>
          <w:tcPr>
            <w:tcW w:w="66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5</w:t>
            </w:r>
          </w:p>
        </w:tc>
        <w:tc>
          <w:tcPr>
            <w:tcW w:w="76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vMerge w:val="restar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285" w:hRule="atLeast"/>
        </w:trPr>
        <w:tc>
          <w:tcPr>
            <w:tcW w:w="516" w:type="pct"/>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9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869" w:type="pct"/>
            <w:tcBorders>
              <w:top w:val="nil"/>
              <w:left w:val="single" w:color="000000" w:sz="8" w:space="0"/>
              <w:bottom w:val="nil"/>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耗材配件</w:t>
            </w:r>
          </w:p>
        </w:tc>
        <w:tc>
          <w:tcPr>
            <w:tcW w:w="6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70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76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vMerge w:val="continue"/>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285" w:hRule="atLeast"/>
        </w:trPr>
        <w:tc>
          <w:tcPr>
            <w:tcW w:w="516" w:type="pct"/>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9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装饰设计</w:t>
            </w:r>
          </w:p>
        </w:tc>
        <w:tc>
          <w:tcPr>
            <w:tcW w:w="6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70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76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vMerge w:val="continue"/>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1965" w:hRule="atLeast"/>
        </w:trPr>
        <w:tc>
          <w:tcPr>
            <w:tcW w:w="516" w:type="pct"/>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9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实名认证、帮助中心、身体数据测量、中医体质辨识、智能导诊、健康测试、健康宣教</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1</w:t>
            </w:r>
          </w:p>
        </w:tc>
        <w:tc>
          <w:tcPr>
            <w:tcW w:w="76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525" w:hRule="atLeast"/>
        </w:trPr>
        <w:tc>
          <w:tcPr>
            <w:tcW w:w="516" w:type="pct"/>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9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产品使用培训</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ascii="黑体" w:hAnsi="宋体" w:eastAsia="黑体" w:cs="黑体"/>
                <w:b/>
                <w:bCs/>
                <w:color w:val="auto"/>
                <w:kern w:val="0"/>
                <w:szCs w:val="21"/>
                <w:highlight w:val="none"/>
              </w:rPr>
              <w:t>1</w:t>
            </w:r>
          </w:p>
        </w:tc>
        <w:tc>
          <w:tcPr>
            <w:tcW w:w="76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1625" w:hRule="atLeast"/>
        </w:trPr>
        <w:tc>
          <w:tcPr>
            <w:tcW w:w="516" w:type="pct"/>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4</w:t>
            </w:r>
          </w:p>
        </w:tc>
        <w:tc>
          <w:tcPr>
            <w:tcW w:w="90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5G应急救援</w:t>
            </w: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5G应急救援系统服务，远程急救车载服务，车载多媒体服务，车载音视频服务等</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5</w:t>
            </w:r>
          </w:p>
        </w:tc>
        <w:tc>
          <w:tcPr>
            <w:tcW w:w="76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1185" w:hRule="atLeast"/>
        </w:trPr>
        <w:tc>
          <w:tcPr>
            <w:tcW w:w="516" w:type="pct"/>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9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院内指挥中心远程急救指导服务，远程指导音视频服务</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1</w:t>
            </w:r>
          </w:p>
        </w:tc>
        <w:tc>
          <w:tcPr>
            <w:tcW w:w="76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1290" w:hRule="atLeast"/>
        </w:trPr>
        <w:tc>
          <w:tcPr>
            <w:tcW w:w="516" w:type="pct"/>
            <w:tcBorders>
              <w:top w:val="single" w:color="000000" w:sz="8"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5</w:t>
            </w:r>
          </w:p>
        </w:tc>
        <w:tc>
          <w:tcPr>
            <w:tcW w:w="90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VR静态全景展示</w:t>
            </w: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地拍全景制作、航拍全景制作、单次现场服务</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1</w:t>
            </w:r>
          </w:p>
        </w:tc>
        <w:tc>
          <w:tcPr>
            <w:tcW w:w="76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1035" w:hRule="atLeast"/>
        </w:trPr>
        <w:tc>
          <w:tcPr>
            <w:tcW w:w="516" w:type="pct"/>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rPr>
              <w:t>6</w:t>
            </w:r>
          </w:p>
        </w:tc>
        <w:tc>
          <w:tcPr>
            <w:tcW w:w="90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基层治理</w:t>
            </w:r>
          </w:p>
        </w:tc>
        <w:tc>
          <w:tcPr>
            <w:tcW w:w="869" w:type="pc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核心板块：智慧综治、智慧民生、智慧党建、智慧安防；</w:t>
            </w:r>
          </w:p>
        </w:tc>
        <w:tc>
          <w:tcPr>
            <w:tcW w:w="66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1</w:t>
            </w:r>
          </w:p>
        </w:tc>
        <w:tc>
          <w:tcPr>
            <w:tcW w:w="76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vMerge w:val="restar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2025" w:hRule="atLeast"/>
        </w:trPr>
        <w:tc>
          <w:tcPr>
            <w:tcW w:w="516" w:type="pct"/>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9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特色功能：全域信息概览、智能决策分析、智慧档案管理、身份安全识别、电子签到统计、线上积分商城、数据安全管理</w:t>
            </w:r>
          </w:p>
        </w:tc>
        <w:tc>
          <w:tcPr>
            <w:tcW w:w="6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70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76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vMerge w:val="continue"/>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1745" w:hRule="atLeast"/>
        </w:trPr>
        <w:tc>
          <w:tcPr>
            <w:tcW w:w="516" w:type="pct"/>
            <w:vMerge w:val="restart"/>
            <w:tcBorders>
              <w:top w:val="single" w:color="000000" w:sz="8"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kern w:val="0"/>
                <w:szCs w:val="21"/>
                <w:highlight w:val="none"/>
              </w:rPr>
            </w:pPr>
            <w:r>
              <w:rPr>
                <w:rFonts w:hint="eastAsia" w:ascii="黑体" w:hAnsi="宋体" w:eastAsia="黑体" w:cs="黑体"/>
                <w:b/>
                <w:bCs/>
                <w:color w:val="auto"/>
                <w:kern w:val="0"/>
                <w:szCs w:val="21"/>
                <w:highlight w:val="none"/>
              </w:rPr>
              <w:t>7</w:t>
            </w:r>
          </w:p>
        </w:tc>
        <w:tc>
          <w:tcPr>
            <w:tcW w:w="90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智慧停车</w:t>
            </w: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停车云管理平台：统一身份认证、数据中心、车辆管理；智慧车牌识别一体机</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1</w:t>
            </w:r>
          </w:p>
        </w:tc>
        <w:tc>
          <w:tcPr>
            <w:tcW w:w="76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single" w:color="000000" w:sz="8" w:space="0"/>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780" w:hRule="atLeast"/>
        </w:trPr>
        <w:tc>
          <w:tcPr>
            <w:tcW w:w="516" w:type="pct"/>
            <w:vMerge w:val="continue"/>
            <w:tcBorders>
              <w:top w:val="single" w:color="000000" w:sz="8" w:space="0"/>
              <w:left w:val="double" w:color="000000" w:sz="4"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b/>
                <w:bCs/>
                <w:color w:val="auto"/>
                <w:kern w:val="0"/>
                <w:szCs w:val="21"/>
                <w:highlight w:val="none"/>
              </w:rPr>
            </w:pPr>
          </w:p>
        </w:tc>
        <w:tc>
          <w:tcPr>
            <w:tcW w:w="9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黑体" w:hAnsi="宋体" w:eastAsia="黑体" w:cs="黑体"/>
                <w:b/>
                <w:bCs/>
                <w:color w:val="auto"/>
                <w:szCs w:val="21"/>
                <w:highlight w:val="none"/>
              </w:rPr>
            </w:pPr>
          </w:p>
        </w:tc>
        <w:tc>
          <w:tcPr>
            <w:tcW w:w="869" w:type="pc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智慧车牌识别一体机服务</w:t>
            </w:r>
          </w:p>
        </w:tc>
        <w:tc>
          <w:tcPr>
            <w:tcW w:w="663" w:type="pc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套</w:t>
            </w:r>
          </w:p>
        </w:tc>
        <w:tc>
          <w:tcPr>
            <w:tcW w:w="704" w:type="pc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黑体" w:hAnsi="宋体" w:eastAsia="黑体" w:cs="黑体"/>
                <w:b/>
                <w:bCs/>
                <w:color w:val="auto"/>
                <w:szCs w:val="21"/>
                <w:highlight w:val="none"/>
              </w:rPr>
            </w:pPr>
            <w:r>
              <w:rPr>
                <w:rFonts w:hint="eastAsia" w:ascii="黑体" w:hAnsi="宋体" w:eastAsia="黑体" w:cs="黑体"/>
                <w:b/>
                <w:bCs/>
                <w:color w:val="auto"/>
                <w:kern w:val="0"/>
                <w:szCs w:val="21"/>
                <w:highlight w:val="none"/>
              </w:rPr>
              <w:t>140</w:t>
            </w:r>
          </w:p>
        </w:tc>
        <w:tc>
          <w:tcPr>
            <w:tcW w:w="761" w:type="pct"/>
            <w:tcBorders>
              <w:top w:val="single" w:color="000000" w:sz="8" w:space="0"/>
              <w:left w:val="single" w:color="000000" w:sz="8" w:space="0"/>
              <w:bottom w:val="nil"/>
              <w:right w:val="single" w:color="000000" w:sz="8" w:space="0"/>
            </w:tcBorders>
            <w:shd w:val="clear" w:color="auto" w:fill="auto"/>
            <w:vAlign w:val="center"/>
          </w:tcPr>
          <w:p>
            <w:pPr>
              <w:jc w:val="center"/>
              <w:rPr>
                <w:rFonts w:ascii="黑体" w:hAnsi="宋体" w:eastAsia="黑体" w:cs="黑体"/>
                <w:color w:val="auto"/>
                <w:szCs w:val="21"/>
                <w:highlight w:val="none"/>
              </w:rPr>
            </w:pPr>
          </w:p>
        </w:tc>
        <w:tc>
          <w:tcPr>
            <w:tcW w:w="582" w:type="pct"/>
            <w:tcBorders>
              <w:top w:val="single" w:color="000000" w:sz="8" w:space="0"/>
              <w:left w:val="single" w:color="000000" w:sz="8" w:space="0"/>
              <w:bottom w:val="nil"/>
              <w:right w:val="double" w:color="000000" w:sz="4" w:space="0"/>
            </w:tcBorders>
            <w:shd w:val="clear" w:color="auto" w:fill="auto"/>
            <w:vAlign w:val="center"/>
          </w:tcPr>
          <w:p>
            <w:pPr>
              <w:jc w:val="center"/>
              <w:rPr>
                <w:rFonts w:ascii="黑体" w:hAnsi="宋体" w:eastAsia="黑体" w:cs="黑体"/>
                <w:color w:val="auto"/>
                <w:szCs w:val="21"/>
                <w:highlight w:val="none"/>
              </w:rPr>
            </w:pPr>
          </w:p>
        </w:tc>
      </w:tr>
      <w:tr>
        <w:tblPrEx>
          <w:tblCellMar>
            <w:top w:w="0" w:type="dxa"/>
            <w:left w:w="108" w:type="dxa"/>
            <w:bottom w:w="0" w:type="dxa"/>
            <w:right w:w="108" w:type="dxa"/>
          </w:tblCellMar>
        </w:tblPrEx>
        <w:trPr>
          <w:trHeight w:val="585" w:hRule="atLeast"/>
        </w:trPr>
        <w:tc>
          <w:tcPr>
            <w:tcW w:w="516" w:type="pct"/>
            <w:tcBorders>
              <w:top w:val="nil"/>
              <w:left w:val="double" w:color="000000" w:sz="4" w:space="0"/>
              <w:bottom w:val="nil"/>
              <w:right w:val="nil"/>
            </w:tcBorders>
            <w:shd w:val="clear" w:color="auto" w:fill="auto"/>
            <w:vAlign w:val="center"/>
          </w:tcPr>
          <w:p>
            <w:pPr>
              <w:widowControl/>
              <w:jc w:val="center"/>
              <w:textAlignment w:val="center"/>
              <w:rPr>
                <w:rFonts w:ascii="黑体" w:hAnsi="宋体" w:eastAsia="黑体" w:cs="黑体"/>
                <w:b/>
                <w:bCs/>
                <w:color w:val="auto"/>
                <w:kern w:val="0"/>
                <w:szCs w:val="21"/>
                <w:highlight w:val="none"/>
              </w:rPr>
            </w:pPr>
            <w:r>
              <w:rPr>
                <w:rFonts w:hint="eastAsia" w:ascii="黑体" w:hAnsi="宋体" w:eastAsia="黑体" w:cs="黑体"/>
                <w:b/>
                <w:bCs/>
                <w:color w:val="auto"/>
                <w:kern w:val="0"/>
                <w:szCs w:val="21"/>
                <w:highlight w:val="none"/>
              </w:rPr>
              <w:t>合计（元）</w:t>
            </w:r>
          </w:p>
        </w:tc>
        <w:tc>
          <w:tcPr>
            <w:tcW w:w="4483" w:type="pct"/>
            <w:gridSpan w:val="6"/>
            <w:tcBorders>
              <w:top w:val="single" w:color="000000" w:sz="4" w:space="0"/>
              <w:left w:val="single" w:color="000000" w:sz="4" w:space="0"/>
              <w:bottom w:val="single" w:color="000000" w:sz="4" w:space="0"/>
              <w:right w:val="double" w:color="000000" w:sz="4" w:space="0"/>
            </w:tcBorders>
            <w:shd w:val="clear" w:color="auto" w:fill="auto"/>
            <w:noWrap/>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585" w:hRule="atLeast"/>
        </w:trPr>
        <w:tc>
          <w:tcPr>
            <w:tcW w:w="516" w:type="pct"/>
            <w:tcBorders>
              <w:top w:val="nil"/>
              <w:left w:val="double" w:color="000000" w:sz="4" w:space="0"/>
              <w:bottom w:val="double" w:color="000000" w:sz="4" w:space="0"/>
              <w:right w:val="nil"/>
            </w:tcBorders>
            <w:shd w:val="clear" w:color="auto" w:fill="auto"/>
            <w:vAlign w:val="center"/>
          </w:tcPr>
          <w:p>
            <w:pPr>
              <w:widowControl/>
              <w:jc w:val="center"/>
              <w:textAlignment w:val="center"/>
              <w:rPr>
                <w:rFonts w:hint="eastAsia" w:ascii="黑体" w:hAnsi="宋体" w:eastAsia="黑体" w:cs="黑体"/>
                <w:b/>
                <w:bCs/>
                <w:color w:val="0000FF"/>
                <w:kern w:val="0"/>
                <w:szCs w:val="21"/>
                <w:highlight w:val="none"/>
                <w:lang w:val="en-US" w:eastAsia="zh-CN"/>
              </w:rPr>
            </w:pPr>
            <w:r>
              <w:rPr>
                <w:rFonts w:hint="eastAsia" w:ascii="黑体" w:hAnsi="宋体" w:eastAsia="黑体" w:cs="黑体"/>
                <w:b/>
                <w:bCs/>
                <w:color w:val="0000FF"/>
                <w:kern w:val="0"/>
                <w:szCs w:val="21"/>
                <w:highlight w:val="none"/>
                <w:lang w:val="en-US" w:eastAsia="zh-CN"/>
              </w:rPr>
              <w:t>完成</w:t>
            </w:r>
          </w:p>
          <w:p>
            <w:pPr>
              <w:widowControl/>
              <w:jc w:val="center"/>
              <w:textAlignment w:val="center"/>
              <w:rPr>
                <w:rFonts w:hint="eastAsia" w:ascii="黑体" w:hAnsi="宋体" w:eastAsia="黑体" w:cs="黑体"/>
                <w:b/>
                <w:bCs/>
                <w:color w:val="auto"/>
                <w:kern w:val="0"/>
                <w:szCs w:val="21"/>
                <w:highlight w:val="none"/>
                <w:lang w:val="en-US" w:eastAsia="zh-CN"/>
              </w:rPr>
            </w:pPr>
            <w:r>
              <w:rPr>
                <w:rFonts w:hint="eastAsia" w:ascii="黑体" w:hAnsi="宋体" w:eastAsia="黑体" w:cs="黑体"/>
                <w:b/>
                <w:bCs/>
                <w:color w:val="0000FF"/>
                <w:kern w:val="0"/>
                <w:szCs w:val="21"/>
                <w:highlight w:val="none"/>
                <w:lang w:val="en-US" w:eastAsia="zh-CN"/>
              </w:rPr>
              <w:t>期限</w:t>
            </w:r>
          </w:p>
        </w:tc>
        <w:tc>
          <w:tcPr>
            <w:tcW w:w="4483" w:type="pct"/>
            <w:gridSpan w:val="6"/>
            <w:tcBorders>
              <w:top w:val="single" w:color="000000" w:sz="4" w:space="0"/>
              <w:left w:val="single" w:color="000000" w:sz="4" w:space="0"/>
              <w:bottom w:val="double" w:color="000000" w:sz="4" w:space="0"/>
              <w:right w:val="double" w:color="000000" w:sz="4" w:space="0"/>
            </w:tcBorders>
            <w:shd w:val="clear" w:color="auto" w:fill="auto"/>
            <w:noWrap/>
            <w:vAlign w:val="center"/>
          </w:tcPr>
          <w:p>
            <w:pPr>
              <w:jc w:val="center"/>
              <w:rPr>
                <w:rFonts w:ascii="宋体" w:hAnsi="宋体" w:cs="宋体"/>
                <w:color w:val="auto"/>
                <w:sz w:val="22"/>
                <w:szCs w:val="22"/>
                <w:highlight w:val="none"/>
              </w:rPr>
            </w:pPr>
          </w:p>
        </w:tc>
      </w:tr>
    </w:tbl>
    <w:p>
      <w:pPr>
        <w:pStyle w:val="2"/>
        <w:ind w:firstLine="0"/>
        <w:rPr>
          <w:rFonts w:ascii="Times New Roman"/>
          <w:b/>
          <w:bCs/>
          <w:color w:val="auto"/>
          <w:kern w:val="2"/>
          <w:sz w:val="21"/>
          <w:szCs w:val="24"/>
          <w:highlight w:val="none"/>
        </w:rPr>
      </w:pPr>
      <w:r>
        <w:rPr>
          <w:rFonts w:hint="eastAsia" w:ascii="Times New Roman"/>
          <w:b/>
          <w:bCs/>
          <w:color w:val="auto"/>
          <w:kern w:val="2"/>
          <w:sz w:val="21"/>
          <w:szCs w:val="24"/>
          <w:highlight w:val="none"/>
        </w:rPr>
        <w:t>说明：</w:t>
      </w:r>
    </w:p>
    <w:p>
      <w:pPr>
        <w:numPr>
          <w:ilvl w:val="0"/>
          <w:numId w:val="6"/>
        </w:numPr>
        <w:rPr>
          <w:b/>
          <w:bCs/>
          <w:color w:val="auto"/>
          <w:highlight w:val="none"/>
        </w:rPr>
      </w:pPr>
      <w:r>
        <w:rPr>
          <w:rFonts w:hint="eastAsia"/>
          <w:b/>
          <w:bCs/>
          <w:color w:val="auto"/>
          <w:highlight w:val="none"/>
        </w:rPr>
        <w:t>上述报价为含税报价，税率</w:t>
      </w:r>
      <w:r>
        <w:rPr>
          <w:b/>
          <w:bCs/>
          <w:color w:val="auto"/>
          <w:highlight w:val="none"/>
        </w:rPr>
        <w:t>6%</w:t>
      </w:r>
      <w:r>
        <w:rPr>
          <w:rFonts w:hint="eastAsia"/>
          <w:b/>
          <w:bCs/>
          <w:color w:val="auto"/>
          <w:highlight w:val="none"/>
        </w:rPr>
        <w:t>；</w:t>
      </w:r>
    </w:p>
    <w:p>
      <w:pPr>
        <w:numPr>
          <w:ilvl w:val="0"/>
          <w:numId w:val="6"/>
        </w:numPr>
        <w:rPr>
          <w:b/>
          <w:bCs/>
          <w:color w:val="auto"/>
          <w:highlight w:val="none"/>
        </w:rPr>
      </w:pPr>
      <w:r>
        <w:rPr>
          <w:rFonts w:hint="eastAsia"/>
          <w:b/>
          <w:bCs/>
          <w:color w:val="auto"/>
          <w:highlight w:val="none"/>
        </w:rPr>
        <w:t>上述报价含集成安装服务、三年运维服务；</w:t>
      </w:r>
    </w:p>
    <w:p>
      <w:pPr>
        <w:numPr>
          <w:ilvl w:val="0"/>
          <w:numId w:val="6"/>
        </w:numPr>
        <w:rPr>
          <w:b/>
          <w:bCs/>
          <w:color w:val="auto"/>
          <w:highlight w:val="none"/>
        </w:rPr>
      </w:pPr>
      <w:r>
        <w:rPr>
          <w:rFonts w:hint="eastAsia"/>
          <w:b/>
          <w:bCs/>
          <w:color w:val="auto"/>
          <w:highlight w:val="none"/>
        </w:rPr>
        <w:t>乡村振兴管理平台含一年内容运营服务（图文资讯的编辑、发布一年）</w:t>
      </w:r>
    </w:p>
    <w:p>
      <w:pPr>
        <w:pStyle w:val="2"/>
        <w:rPr>
          <w:color w:val="auto"/>
          <w:highlight w:val="none"/>
        </w:rPr>
      </w:pPr>
    </w:p>
    <w:p>
      <w:pPr>
        <w:tabs>
          <w:tab w:val="left" w:pos="1800"/>
          <w:tab w:val="left" w:pos="5580"/>
        </w:tabs>
        <w:spacing w:line="400" w:lineRule="exact"/>
        <w:ind w:left="1080" w:leftChars="257" w:right="-867" w:rightChars="-413" w:hanging="54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pPr>
        <w:pStyle w:val="14"/>
        <w:tabs>
          <w:tab w:val="left" w:pos="5580"/>
        </w:tabs>
        <w:spacing w:line="400" w:lineRule="exact"/>
        <w:rPr>
          <w:rFonts w:ascii="微软雅黑" w:hAnsi="微软雅黑" w:eastAsia="微软雅黑" w:cs="微软雅黑"/>
          <w:color w:val="auto"/>
          <w:sz w:val="24"/>
          <w:szCs w:val="24"/>
          <w:highlight w:val="none"/>
          <w:u w:val="single"/>
        </w:rPr>
      </w:pPr>
    </w:p>
    <w:p>
      <w:pPr>
        <w:pStyle w:val="14"/>
        <w:tabs>
          <w:tab w:val="left" w:pos="5580"/>
        </w:tabs>
        <w:spacing w:line="40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投标人名称（单位盖章）：</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法定代表人（负责人）或委托代理(签字):</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rPr>
          <w:rFonts w:ascii="微软雅黑" w:hAnsi="微软雅黑" w:eastAsia="微软雅黑" w:cs="微软雅黑"/>
          <w:color w:val="auto"/>
          <w:sz w:val="24"/>
          <w:szCs w:val="24"/>
          <w:highlight w:val="none"/>
          <w:u w:val="single"/>
        </w:rPr>
      </w:pPr>
    </w:p>
    <w:p>
      <w:pPr>
        <w:pStyle w:val="14"/>
        <w:tabs>
          <w:tab w:val="left" w:pos="5580"/>
        </w:tabs>
        <w:spacing w:line="400" w:lineRule="exact"/>
        <w:ind w:left="1080" w:leftChars="257" w:hanging="540"/>
        <w:rPr>
          <w:rFonts w:ascii="微软雅黑" w:hAnsi="微软雅黑" w:eastAsia="微软雅黑" w:cs="微软雅黑"/>
          <w:color w:val="auto"/>
          <w:sz w:val="24"/>
          <w:szCs w:val="24"/>
          <w:highlight w:val="none"/>
          <w:u w:val="single"/>
        </w:rPr>
      </w:pPr>
    </w:p>
    <w:p>
      <w:pPr>
        <w:spacing w:line="400" w:lineRule="exact"/>
        <w:ind w:firstLine="360" w:firstLineChars="15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注:此表应按投标人须知的规定装订密封；</w:t>
      </w:r>
    </w:p>
    <w:p>
      <w:pPr>
        <w:rPr>
          <w:rFonts w:ascii="仿宋_GB2312" w:hAnsi="宋体" w:eastAsia="仿宋_GB2312"/>
          <w:color w:val="auto"/>
          <w:sz w:val="24"/>
          <w:highlight w:val="none"/>
        </w:rPr>
      </w:pPr>
    </w:p>
    <w:p>
      <w:pPr>
        <w:pStyle w:val="2"/>
        <w:rPr>
          <w:rFonts w:ascii="仿宋_GB2312" w:hAnsi="宋体" w:eastAsia="仿宋_GB2312"/>
          <w:color w:val="auto"/>
          <w:highlight w:val="none"/>
        </w:rPr>
      </w:pPr>
    </w:p>
    <w:p>
      <w:pPr>
        <w:rPr>
          <w:color w:val="auto"/>
          <w:highlight w:val="none"/>
        </w:rPr>
      </w:pPr>
      <w:r>
        <w:rPr>
          <w:rFonts w:hint="eastAsia"/>
          <w:color w:val="auto"/>
          <w:highlight w:val="none"/>
        </w:rPr>
        <w:br w:type="page"/>
      </w:r>
    </w:p>
    <w:bookmarkEnd w:id="292"/>
    <w:p>
      <w:pPr>
        <w:pStyle w:val="14"/>
        <w:tabs>
          <w:tab w:val="left" w:pos="5580"/>
        </w:tabs>
        <w:spacing w:line="240" w:lineRule="atLeast"/>
        <w:outlineLvl w:val="1"/>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2、法人、非法人组织或者自然人资格证明文件；（加盖公章）；</w:t>
      </w:r>
    </w:p>
    <w:p>
      <w:pPr>
        <w:pStyle w:val="14"/>
        <w:tabs>
          <w:tab w:val="left" w:pos="5580"/>
        </w:tabs>
        <w:spacing w:line="240" w:lineRule="atLeast"/>
        <w:outlineLvl w:val="1"/>
        <w:rPr>
          <w:rFonts w:ascii="微软雅黑" w:hAnsi="微软雅黑" w:eastAsia="微软雅黑" w:cs="微软雅黑"/>
          <w:b/>
          <w:color w:val="auto"/>
          <w:kern w:val="0"/>
          <w:sz w:val="24"/>
          <w:szCs w:val="24"/>
          <w:highlight w:val="none"/>
        </w:rPr>
      </w:pPr>
    </w:p>
    <w:p>
      <w:pPr>
        <w:pStyle w:val="14"/>
        <w:tabs>
          <w:tab w:val="left" w:pos="5580"/>
        </w:tabs>
        <w:spacing w:line="240" w:lineRule="atLeast"/>
        <w:outlineLvl w:val="1"/>
        <w:rPr>
          <w:rFonts w:ascii="微软雅黑" w:hAnsi="微软雅黑" w:eastAsia="微软雅黑" w:cs="微软雅黑"/>
          <w:b/>
          <w:color w:val="auto"/>
          <w:kern w:val="0"/>
          <w:sz w:val="24"/>
          <w:szCs w:val="24"/>
          <w:highlight w:val="none"/>
        </w:rPr>
      </w:pPr>
    </w:p>
    <w:p>
      <w:pPr>
        <w:pStyle w:val="14"/>
        <w:tabs>
          <w:tab w:val="left" w:pos="5580"/>
        </w:tabs>
        <w:spacing w:line="240" w:lineRule="atLeast"/>
        <w:outlineLvl w:val="1"/>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3、授权委托人投标的需提供法人（负责人）代表资格证明书及授权委托书、被授权人身份证；法定代表人（负责人）投标的需提供法人（负责人）代表资格证明书及法人（负责人）身份证；授权委托人需提供本人在本单位近三个月单位社保缴费凭证和个人明细表；（加盖公章）；</w:t>
      </w:r>
    </w:p>
    <w:p>
      <w:pPr>
        <w:rPr>
          <w:rFonts w:ascii="微软雅黑" w:hAnsi="微软雅黑" w:eastAsia="微软雅黑" w:cs="微软雅黑"/>
          <w:color w:val="auto"/>
          <w:sz w:val="24"/>
          <w:highlight w:val="none"/>
        </w:rPr>
      </w:pPr>
      <w:r>
        <w:rPr>
          <w:rFonts w:hint="eastAsia" w:ascii="微软雅黑" w:hAnsi="微软雅黑" w:eastAsia="微软雅黑" w:cs="微软雅黑"/>
          <w:b/>
          <w:color w:val="auto"/>
          <w:sz w:val="24"/>
          <w:highlight w:val="none"/>
        </w:rPr>
        <w:t>（一）法定代表人（负责人）身份证明</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同志，现任我单位</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职务，为法定代表人（负责人），特此证明。</w:t>
      </w:r>
    </w:p>
    <w:p>
      <w:pPr>
        <w:spacing w:line="400" w:lineRule="exac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签发日期：                  单位：           （盖章）</w:t>
      </w:r>
    </w:p>
    <w:p>
      <w:pPr>
        <w:spacing w:line="400" w:lineRule="exac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附：代表人（负责人）性别：            年龄：           身份证号码：</w:t>
      </w:r>
    </w:p>
    <w:p>
      <w:pPr>
        <w:spacing w:line="400" w:lineRule="exac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pPr>
        <w:spacing w:line="400" w:lineRule="exac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营业执照号码：              经济性质：</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pPr>
        <w:spacing w:line="400" w:lineRule="exac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1、法定代表人（负责人）为企业事业单位、国家机关、社会团体的主要行政负责人。</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2、内容必须填写真实、清楚、涂改无效，不得转让。</w:t>
      </w:r>
    </w:p>
    <w:p>
      <w:pPr>
        <w:spacing w:line="400" w:lineRule="exac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3、将此证明书原件提交采购代理机构作为投标文件附件。</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(为避免投标无效，请投标人务必提供本附件)</w:t>
      </w:r>
    </w:p>
    <w:p>
      <w:pPr>
        <w:spacing w:line="400" w:lineRule="exact"/>
        <w:rPr>
          <w:rFonts w:ascii="微软雅黑" w:hAnsi="微软雅黑" w:eastAsia="微软雅黑" w:cs="微软雅黑"/>
          <w:color w:val="auto"/>
          <w:sz w:val="24"/>
          <w:highlight w:val="none"/>
        </w:rPr>
      </w:pPr>
      <w:r>
        <w:rPr>
          <w:rFonts w:ascii="微软雅黑" w:hAnsi="微软雅黑" w:eastAsia="微软雅黑" w:cs="微软雅黑"/>
          <w:color w:val="auto"/>
          <w:sz w:val="24"/>
          <w:highlight w:val="none"/>
        </w:rPr>
        <w:pict>
          <v:roundrect id="_x0000_s1026" o:spid="_x0000_s1026" o:spt="2" style="position:absolute;left:0pt;margin-left:12.6pt;margin-top:4.65pt;height:122.6pt;width:205.5pt;z-index:251664384;mso-width-relative:page;mso-height-relative:page;" stroked="t" coordsize="21600,21600" arcsize="0.166666666666667" o:gfxdata="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Xze29kAAAAIAQAADwAAAAAAAAABACAAAAAiAAAAZHJzL2Rvd25y&#10;ZXYueG1sUEsBAhQAFAAAAAgAh07iQKIo4002AgAAdgQAAA4AAAAAAAAAAQAgAAAAKAEAAGRycy9l&#10;Mm9Eb2MueG1sUEsFBgAAAAAGAAYAWQEAANAFAAAAAA==&#10;">
            <v:path/>
            <v:fill focussize="0,0"/>
            <v:stroke weight="1.25pt" color="#808080"/>
            <v:imagedata o:title=""/>
            <o:lock v:ext="edit"/>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法人（负责人）身份证复印件正面</w:t>
                  </w:r>
                </w:p>
                <w:p/>
                <w:p>
                  <w:pPr>
                    <w:pStyle w:val="2"/>
                  </w:pPr>
                </w:p>
                <w:p>
                  <w:pPr>
                    <w:pStyle w:val="2"/>
                  </w:pPr>
                </w:p>
                <w:p>
                  <w:pPr>
                    <w:pStyle w:val="2"/>
                  </w:pPr>
                </w:p>
                <w:p>
                  <w:pPr>
                    <w:pStyle w:val="2"/>
                  </w:pPr>
                </w:p>
              </w:txbxContent>
            </v:textbox>
          </v:roundrect>
        </w:pict>
      </w:r>
      <w:r>
        <w:rPr>
          <w:rFonts w:ascii="微软雅黑" w:hAnsi="微软雅黑" w:eastAsia="微软雅黑" w:cs="微软雅黑"/>
          <w:color w:val="auto"/>
          <w:sz w:val="24"/>
          <w:highlight w:val="none"/>
        </w:rPr>
        <w:pict>
          <v:roundrect id="_x0000_s1033" o:spid="_x0000_s1033" o:spt="2" style="position:absolute;left:0pt;margin-left:229.8pt;margin-top:2.25pt;height:122.6pt;width:205.5pt;z-index:251659264;mso-width-relative:page;mso-height-relative:page;"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path/>
            <v:fill focussize="0,0"/>
            <v:stroke weight="1.25pt" color="#808080"/>
            <v:imagedata o:title=""/>
            <o:lock v:ext="edit"/>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法人（负责人）身份证复印件反面</w:t>
                  </w:r>
                </w:p>
                <w:p/>
                <w:p>
                  <w:pPr>
                    <w:pStyle w:val="2"/>
                  </w:pPr>
                </w:p>
                <w:p>
                  <w:pPr>
                    <w:pStyle w:val="2"/>
                  </w:pPr>
                </w:p>
                <w:p>
                  <w:pPr>
                    <w:pStyle w:val="2"/>
                  </w:pPr>
                </w:p>
                <w:p>
                  <w:pPr>
                    <w:pStyle w:val="2"/>
                  </w:pPr>
                </w:p>
              </w:txbxContent>
            </v:textbox>
          </v:roundrect>
        </w:pict>
      </w:r>
    </w:p>
    <w:p>
      <w:pPr>
        <w:spacing w:line="400" w:lineRule="exact"/>
        <w:rPr>
          <w:rFonts w:ascii="微软雅黑" w:hAnsi="微软雅黑" w:eastAsia="微软雅黑" w:cs="微软雅黑"/>
          <w:color w:val="auto"/>
          <w:sz w:val="24"/>
          <w:highlight w:val="none"/>
        </w:rPr>
      </w:pPr>
    </w:p>
    <w:p>
      <w:pPr>
        <w:spacing w:line="400" w:lineRule="exact"/>
        <w:rPr>
          <w:rFonts w:ascii="微软雅黑" w:hAnsi="微软雅黑" w:eastAsia="微软雅黑" w:cs="微软雅黑"/>
          <w:color w:val="auto"/>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400" w:lineRule="exact"/>
        <w:rPr>
          <w:rFonts w:ascii="微软雅黑" w:hAnsi="微软雅黑" w:eastAsia="微软雅黑" w:cs="微软雅黑"/>
          <w:color w:val="auto"/>
          <w:sz w:val="24"/>
          <w:highlight w:val="none"/>
        </w:rPr>
      </w:pPr>
    </w:p>
    <w:p>
      <w:pPr>
        <w:autoSpaceDE w:val="0"/>
        <w:autoSpaceDN w:val="0"/>
        <w:adjustRightInd w:val="0"/>
        <w:spacing w:line="400" w:lineRule="exact"/>
        <w:ind w:right="246"/>
        <w:rPr>
          <w:rFonts w:ascii="微软雅黑" w:hAnsi="微软雅黑" w:eastAsia="微软雅黑" w:cs="微软雅黑"/>
          <w:color w:val="auto"/>
          <w:kern w:val="0"/>
          <w:sz w:val="24"/>
          <w:highlight w:val="none"/>
        </w:rPr>
      </w:pPr>
    </w:p>
    <w:p>
      <w:pPr>
        <w:autoSpaceDE w:val="0"/>
        <w:autoSpaceDN w:val="0"/>
        <w:adjustRightInd w:val="0"/>
        <w:spacing w:line="400" w:lineRule="exact"/>
        <w:ind w:right="246"/>
        <w:rPr>
          <w:rFonts w:ascii="微软雅黑" w:hAnsi="微软雅黑" w:eastAsia="微软雅黑" w:cs="微软雅黑"/>
          <w:color w:val="auto"/>
          <w:kern w:val="0"/>
          <w:sz w:val="24"/>
          <w:highlight w:val="none"/>
        </w:rPr>
      </w:pPr>
    </w:p>
    <w:p>
      <w:pPr>
        <w:autoSpaceDE w:val="0"/>
        <w:autoSpaceDN w:val="0"/>
        <w:adjustRightInd w:val="0"/>
        <w:spacing w:line="400" w:lineRule="exact"/>
        <w:ind w:right="246" w:firstLine="784" w:firstLineChars="327"/>
        <w:rPr>
          <w:rFonts w:ascii="微软雅黑" w:hAnsi="微软雅黑" w:eastAsia="微软雅黑" w:cs="微软雅黑"/>
          <w:color w:val="auto"/>
          <w:kern w:val="0"/>
          <w:sz w:val="24"/>
          <w:highlight w:val="none"/>
        </w:rPr>
      </w:pPr>
    </w:p>
    <w:p>
      <w:pPr>
        <w:autoSpaceDE w:val="0"/>
        <w:autoSpaceDN w:val="0"/>
        <w:adjustRightInd w:val="0"/>
        <w:spacing w:line="400" w:lineRule="exact"/>
        <w:ind w:right="246" w:firstLine="784" w:firstLineChars="327"/>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投标人（盖章）：</w:t>
      </w:r>
      <w:r>
        <w:rPr>
          <w:rFonts w:hint="eastAsia" w:ascii="微软雅黑" w:hAnsi="微软雅黑" w:eastAsia="微软雅黑" w:cs="微软雅黑"/>
          <w:color w:val="auto"/>
          <w:kern w:val="0"/>
          <w:sz w:val="24"/>
          <w:highlight w:val="none"/>
          <w:u w:val="single"/>
        </w:rPr>
        <w:t xml:space="preserve">                             </w:t>
      </w:r>
      <w:r>
        <w:rPr>
          <w:rFonts w:hint="eastAsia" w:ascii="微软雅黑" w:hAnsi="微软雅黑" w:eastAsia="微软雅黑" w:cs="微软雅黑"/>
          <w:color w:val="auto"/>
          <w:kern w:val="0"/>
          <w:sz w:val="24"/>
          <w:highlight w:val="none"/>
        </w:rPr>
        <w:t xml:space="preserve"> </w:t>
      </w:r>
    </w:p>
    <w:p>
      <w:pPr>
        <w:adjustRightInd w:val="0"/>
        <w:snapToGrid w:val="0"/>
        <w:spacing w:line="400" w:lineRule="exact"/>
        <w:ind w:firstLine="784" w:firstLineChars="327"/>
        <w:rPr>
          <w:rFonts w:ascii="微软雅黑" w:hAnsi="微软雅黑" w:eastAsia="微软雅黑" w:cs="微软雅黑"/>
          <w:color w:val="auto"/>
          <w:sz w:val="24"/>
          <w:highlight w:val="none"/>
        </w:rPr>
      </w:pPr>
    </w:p>
    <w:p>
      <w:pPr>
        <w:adjustRightInd w:val="0"/>
        <w:snapToGrid w:val="0"/>
        <w:spacing w:line="400" w:lineRule="exact"/>
        <w:ind w:firstLine="784" w:firstLineChars="327"/>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法定代表人（负责人）签字或盖章：</w:t>
      </w:r>
      <w:r>
        <w:rPr>
          <w:rFonts w:hint="eastAsia" w:ascii="微软雅黑" w:hAnsi="微软雅黑" w:eastAsia="微软雅黑" w:cs="微软雅黑"/>
          <w:color w:val="auto"/>
          <w:sz w:val="24"/>
          <w:highlight w:val="none"/>
          <w:u w:val="single"/>
        </w:rPr>
        <w:t xml:space="preserve">            </w:t>
      </w:r>
    </w:p>
    <w:p>
      <w:pPr>
        <w:adjustRightInd w:val="0"/>
        <w:snapToGrid w:val="0"/>
        <w:spacing w:line="400" w:lineRule="exact"/>
        <w:ind w:firstLine="784" w:firstLineChars="327"/>
        <w:rPr>
          <w:rFonts w:ascii="微软雅黑" w:hAnsi="微软雅黑" w:eastAsia="微软雅黑" w:cs="微软雅黑"/>
          <w:color w:val="auto"/>
          <w:sz w:val="24"/>
          <w:highlight w:val="none"/>
        </w:rPr>
      </w:pPr>
    </w:p>
    <w:p>
      <w:pPr>
        <w:adjustRightInd w:val="0"/>
        <w:snapToGrid w:val="0"/>
        <w:spacing w:line="400" w:lineRule="exact"/>
        <w:ind w:firstLine="784" w:firstLineChars="327"/>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日期：</w:t>
      </w:r>
      <w:r>
        <w:rPr>
          <w:rFonts w:hint="eastAsia" w:ascii="微软雅黑" w:hAnsi="微软雅黑" w:eastAsia="微软雅黑" w:cs="微软雅黑"/>
          <w:color w:val="auto"/>
          <w:sz w:val="24"/>
          <w:highlight w:val="none"/>
          <w:u w:val="single"/>
        </w:rPr>
        <w:t xml:space="preserve">                                       </w:t>
      </w:r>
      <w:bookmarkStart w:id="297" w:name="_Toc22472"/>
      <w:bookmarkStart w:id="298" w:name="_Toc1083"/>
      <w:bookmarkStart w:id="299" w:name="_Toc515647807"/>
    </w:p>
    <w:p>
      <w:pPr>
        <w:pStyle w:val="2"/>
        <w:rPr>
          <w:rFonts w:ascii="微软雅黑" w:hAnsi="微软雅黑" w:eastAsia="微软雅黑" w:cs="微软雅黑"/>
          <w:color w:val="auto"/>
          <w:szCs w:val="24"/>
          <w:highlight w:val="none"/>
          <w:u w:val="single"/>
        </w:rPr>
      </w:pPr>
    </w:p>
    <w:p>
      <w:pPr>
        <w:pStyle w:val="2"/>
        <w:rPr>
          <w:rFonts w:ascii="微软雅黑" w:hAnsi="微软雅黑" w:eastAsia="微软雅黑" w:cs="微软雅黑"/>
          <w:color w:val="auto"/>
          <w:szCs w:val="24"/>
          <w:highlight w:val="none"/>
          <w:u w:val="single"/>
        </w:rPr>
      </w:pPr>
    </w:p>
    <w:p>
      <w:pPr>
        <w:rPr>
          <w:rFonts w:ascii="微软雅黑" w:hAnsi="微软雅黑" w:eastAsia="微软雅黑" w:cs="微软雅黑"/>
          <w:b/>
          <w:bCs/>
          <w:color w:val="auto"/>
          <w:sz w:val="24"/>
          <w:highlight w:val="none"/>
          <w:u w:val="single"/>
        </w:rPr>
      </w:pPr>
      <w:r>
        <w:rPr>
          <w:rFonts w:hint="eastAsia"/>
          <w:color w:val="auto"/>
          <w:highlight w:val="none"/>
        </w:rPr>
        <w:br w:type="page"/>
      </w:r>
      <w:r>
        <w:rPr>
          <w:rFonts w:hint="eastAsia" w:ascii="微软雅黑" w:hAnsi="微软雅黑" w:eastAsia="微软雅黑" w:cs="微软雅黑"/>
          <w:b/>
          <w:bCs/>
          <w:color w:val="auto"/>
          <w:sz w:val="24"/>
          <w:highlight w:val="none"/>
        </w:rPr>
        <w:t>（二）法定代表人（负责人）授权委托书</w:t>
      </w:r>
      <w:bookmarkEnd w:id="297"/>
      <w:bookmarkEnd w:id="298"/>
      <w:bookmarkEnd w:id="299"/>
    </w:p>
    <w:p>
      <w:pPr>
        <w:pStyle w:val="14"/>
        <w:tabs>
          <w:tab w:val="left" w:pos="5580"/>
        </w:tabs>
        <w:spacing w:line="36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本授权书声明：注册于</w:t>
      </w:r>
      <w:r>
        <w:rPr>
          <w:rFonts w:hint="eastAsia" w:ascii="微软雅黑" w:hAnsi="微软雅黑" w:eastAsia="微软雅黑" w:cs="微软雅黑"/>
          <w:color w:val="auto"/>
          <w:sz w:val="24"/>
          <w:szCs w:val="24"/>
          <w:highlight w:val="none"/>
          <w:u w:val="single"/>
        </w:rPr>
        <w:t>（国家或地区的名称）</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投标人</w:t>
      </w:r>
      <w:r>
        <w:rPr>
          <w:rFonts w:hint="eastAsia" w:ascii="微软雅黑" w:hAnsi="微软雅黑" w:eastAsia="微软雅黑" w:cs="微软雅黑"/>
          <w:color w:val="auto"/>
          <w:sz w:val="24"/>
          <w:szCs w:val="24"/>
          <w:highlight w:val="none"/>
        </w:rPr>
        <w:t>）的在下面签字的（</w:t>
      </w:r>
      <w:r>
        <w:rPr>
          <w:rFonts w:hint="eastAsia" w:ascii="微软雅黑" w:hAnsi="微软雅黑" w:eastAsia="微软雅黑" w:cs="微软雅黑"/>
          <w:color w:val="auto"/>
          <w:sz w:val="24"/>
          <w:szCs w:val="24"/>
          <w:highlight w:val="none"/>
          <w:u w:val="single"/>
        </w:rPr>
        <w:t>法人（负责人）代表姓名、职务</w:t>
      </w:r>
      <w:r>
        <w:rPr>
          <w:rFonts w:hint="eastAsia" w:ascii="微软雅黑" w:hAnsi="微软雅黑" w:eastAsia="微软雅黑" w:cs="微软雅黑"/>
          <w:color w:val="auto"/>
          <w:sz w:val="24"/>
          <w:szCs w:val="24"/>
          <w:highlight w:val="none"/>
        </w:rPr>
        <w:t>）代表我单位授权（</w:t>
      </w:r>
      <w:r>
        <w:rPr>
          <w:rFonts w:hint="eastAsia" w:ascii="微软雅黑" w:hAnsi="微软雅黑" w:eastAsia="微软雅黑" w:cs="微软雅黑"/>
          <w:color w:val="auto"/>
          <w:sz w:val="24"/>
          <w:szCs w:val="24"/>
          <w:highlight w:val="none"/>
          <w:u w:val="single"/>
        </w:rPr>
        <w:t>单位名称</w:t>
      </w:r>
      <w:r>
        <w:rPr>
          <w:rFonts w:hint="eastAsia" w:ascii="微软雅黑" w:hAnsi="微软雅黑" w:eastAsia="微软雅黑" w:cs="微软雅黑"/>
          <w:color w:val="auto"/>
          <w:sz w:val="24"/>
          <w:szCs w:val="24"/>
          <w:highlight w:val="none"/>
        </w:rPr>
        <w:t>）的在下面签字的（</w:t>
      </w:r>
      <w:r>
        <w:rPr>
          <w:rFonts w:hint="eastAsia" w:ascii="微软雅黑" w:hAnsi="微软雅黑" w:eastAsia="微软雅黑" w:cs="微软雅黑"/>
          <w:color w:val="auto"/>
          <w:sz w:val="24"/>
          <w:szCs w:val="24"/>
          <w:highlight w:val="none"/>
          <w:u w:val="single"/>
        </w:rPr>
        <w:t>被授权人的姓名、职务</w:t>
      </w:r>
      <w:r>
        <w:rPr>
          <w:rFonts w:hint="eastAsia" w:ascii="微软雅黑" w:hAnsi="微软雅黑" w:eastAsia="微软雅黑" w:cs="微软雅黑"/>
          <w:color w:val="auto"/>
          <w:sz w:val="24"/>
          <w:szCs w:val="24"/>
          <w:highlight w:val="none"/>
        </w:rPr>
        <w:t>）为我单位的合法代理人，就（</w:t>
      </w:r>
      <w:r>
        <w:rPr>
          <w:rFonts w:hint="eastAsia" w:ascii="微软雅黑" w:hAnsi="微软雅黑" w:eastAsia="微软雅黑" w:cs="微软雅黑"/>
          <w:color w:val="auto"/>
          <w:sz w:val="24"/>
          <w:szCs w:val="24"/>
          <w:highlight w:val="none"/>
          <w:u w:val="single"/>
        </w:rPr>
        <w:t>项目名称</w:t>
      </w:r>
      <w:r>
        <w:rPr>
          <w:rFonts w:hint="eastAsia" w:ascii="微软雅黑" w:hAnsi="微软雅黑" w:eastAsia="微软雅黑" w:cs="微软雅黑"/>
          <w:color w:val="auto"/>
          <w:sz w:val="24"/>
          <w:szCs w:val="24"/>
          <w:highlight w:val="none"/>
        </w:rPr>
        <w:t>）的投标，以我单位名义处理一切与之有关的事务。</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w:t>
      </w:r>
    </w:p>
    <w:p>
      <w:pPr>
        <w:pStyle w:val="14"/>
        <w:tabs>
          <w:tab w:val="left" w:pos="5580"/>
        </w:tabs>
        <w:spacing w:line="360" w:lineRule="exact"/>
        <w:ind w:left="-540" w:leftChars="-257" w:firstLine="900" w:firstLineChars="37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日签字生效,特此声明。</w:t>
      </w:r>
      <w:r>
        <w:rPr>
          <w:rFonts w:hint="eastAsia" w:ascii="微软雅黑" w:hAnsi="微软雅黑" w:eastAsia="微软雅黑" w:cs="微软雅黑"/>
          <w:color w:val="auto"/>
          <w:sz w:val="24"/>
          <w:szCs w:val="24"/>
          <w:highlight w:val="none"/>
        </w:rPr>
        <w:cr/>
      </w:r>
    </w:p>
    <w:p>
      <w:pPr>
        <w:pStyle w:val="14"/>
        <w:tabs>
          <w:tab w:val="left" w:pos="5580"/>
        </w:tabs>
        <w:spacing w:line="240" w:lineRule="atLeast"/>
        <w:ind w:left="-540" w:leftChars="-257" w:firstLine="900" w:firstLineChars="375"/>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pict>
          <v:roundrect id="自选图形 5" o:spid="_x0000_s1032" o:spt="2" style="position:absolute;left:0pt;margin-left:234.8pt;margin-top:5.7pt;height:111.45pt;width:184.7pt;z-index:251661312;mso-width-relative:page;mso-height-relative:page;" stroked="t" coordsize="21600,21600" arcsize="0.166666666666667" o:gfxdata="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pT32wAAAAoBAAAPAAAAAAAAAAEAIAAAACIAAABkcnMvZG93bnJldi54bWxQ&#10;SwECFAAUAAAACACHTuJAhiYBbC0CAABmBAAADgAAAAAAAAABACAAAAAqAQAAZHJzL2Uyb0RvYy54&#10;bWxQSwUGAAAAAAYABgBZAQAAyQUAAAAA&#10;">
            <v:path/>
            <v:fill focussize="0,0"/>
            <v:stroke weight="1.25pt" color="#808080"/>
            <v:imagedata o:title=""/>
            <o:lock v:ext="edit"/>
            <v:textbox>
              <w:txbxContent>
                <w:p>
                  <w:pPr>
                    <w:rPr>
                      <w:rFonts w:hAnsi="宋体"/>
                    </w:rPr>
                  </w:pPr>
                </w:p>
                <w:p>
                  <w:pPr>
                    <w:rPr>
                      <w:rFonts w:hAnsi="宋体"/>
                    </w:rPr>
                  </w:pPr>
                </w:p>
                <w:p>
                  <w:r>
                    <w:rPr>
                      <w:rFonts w:hint="eastAsia" w:hAnsi="宋体"/>
                    </w:rPr>
                    <w:t>授权委托人身份证复印件反面</w:t>
                  </w:r>
                </w:p>
                <w:p/>
              </w:txbxContent>
            </v:textbox>
          </v:roundrect>
        </w:pict>
      </w:r>
      <w:r>
        <w:rPr>
          <w:rFonts w:ascii="微软雅黑" w:hAnsi="微软雅黑" w:eastAsia="微软雅黑" w:cs="微软雅黑"/>
          <w:color w:val="auto"/>
          <w:sz w:val="24"/>
          <w:szCs w:val="24"/>
          <w:highlight w:val="none"/>
        </w:rPr>
        <w:pict>
          <v:shape id="自选图形 6" o:spid="_x0000_s1031" o:spt="176" type="#_x0000_t176" style="position:absolute;left:0pt;margin-left:1.65pt;margin-top:10.7pt;height:108pt;width:198.25pt;z-index:251660288;mso-width-relative:page;mso-height-relative:page;" coordsize="21600,21600" o:gfxdata="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MbMotcAAAAIAQAADwAAAAAAAAABACAAAAAiAAAAZHJzL2Rvd25yZXYueG1sUEsBAhQAFAAAAAgA&#10;h07iQHr1q9smAgAAUwQAAA4AAAAAAAAAAQAgAAAAJgEAAGRycy9lMm9Eb2MueG1sUEsFBgAAAAAG&#10;AAYAWQEAAL4FAAAAAA==&#10;">
            <v:path/>
            <v:fill focussize="0,0"/>
            <v:stroke joinstyle="miter"/>
            <v:imagedata o:title=""/>
            <o:lock v:ext="edit"/>
            <v:textbox>
              <w:txbxContent>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w:r>
    </w:p>
    <w:p>
      <w:pPr>
        <w:spacing w:line="360" w:lineRule="auto"/>
        <w:ind w:firstLine="240" w:firstLineChars="100"/>
        <w:rPr>
          <w:rFonts w:ascii="微软雅黑" w:hAnsi="微软雅黑" w:eastAsia="微软雅黑" w:cs="微软雅黑"/>
          <w:color w:val="auto"/>
          <w:sz w:val="24"/>
          <w:highlight w:val="none"/>
        </w:rPr>
      </w:pPr>
    </w:p>
    <w:p>
      <w:pPr>
        <w:spacing w:line="360" w:lineRule="auto"/>
        <w:ind w:firstLine="240" w:firstLineChars="100"/>
        <w:rPr>
          <w:rFonts w:ascii="微软雅黑" w:hAnsi="微软雅黑" w:eastAsia="微软雅黑" w:cs="微软雅黑"/>
          <w:color w:val="auto"/>
          <w:sz w:val="24"/>
          <w:highlight w:val="none"/>
        </w:rPr>
      </w:pPr>
    </w:p>
    <w:p>
      <w:pPr>
        <w:spacing w:line="360" w:lineRule="auto"/>
        <w:rPr>
          <w:rFonts w:ascii="微软雅黑" w:hAnsi="微软雅黑" w:eastAsia="微软雅黑" w:cs="微软雅黑"/>
          <w:color w:val="auto"/>
          <w:sz w:val="24"/>
          <w:highlight w:val="none"/>
        </w:rPr>
      </w:pPr>
    </w:p>
    <w:p>
      <w:pPr>
        <w:spacing w:line="360" w:lineRule="auto"/>
        <w:ind w:firstLine="240" w:firstLineChars="100"/>
        <w:rPr>
          <w:rFonts w:ascii="微软雅黑" w:hAnsi="微软雅黑" w:eastAsia="微软雅黑" w:cs="微软雅黑"/>
          <w:color w:val="auto"/>
          <w:sz w:val="24"/>
          <w:highlight w:val="none"/>
        </w:rPr>
      </w:pPr>
      <w:r>
        <w:rPr>
          <w:rFonts w:ascii="微软雅黑" w:hAnsi="微软雅黑" w:eastAsia="微软雅黑" w:cs="微软雅黑"/>
          <w:color w:val="auto"/>
          <w:sz w:val="24"/>
          <w:highlight w:val="none"/>
        </w:rPr>
        <w:pict>
          <v:roundrect id="自选图形 7" o:spid="_x0000_s1030" o:spt="2" style="position:absolute;left:0pt;margin-left:238.4pt;margin-top:12.85pt;height:111.9pt;width:186.25pt;z-index:251663360;mso-width-relative:page;mso-height-relative:page;" stroked="t" coordsize="21600,21600" arcsize="0.166666666666667" o:gfxdata="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tuI23AAAAAoBAAAPAAAAAAAAAAEAIAAAACIAAABkcnMvZG93bnJldi54&#10;bWxQSwECFAAUAAAACACHTuJAcnz0my8CAABmBAAADgAAAAAAAAABACAAAAArAQAAZHJzL2Uyb0Rv&#10;Yy54bWxQSwUGAAAAAAYABgBZAQAAzAUAAAAA&#10;">
            <v:path/>
            <v:fill focussize="0,0"/>
            <v:stroke weight="1.25pt" color="#808080"/>
            <v:imagedata o:title=""/>
            <o:lock v:ext="edit"/>
            <v:textbox>
              <w:txbxContent>
                <w:p>
                  <w:pPr>
                    <w:jc w:val="center"/>
                    <w:rPr>
                      <w:rFonts w:hAnsi="宋体"/>
                    </w:rPr>
                  </w:pPr>
                  <w:r>
                    <w:rPr>
                      <w:rFonts w:hint="eastAsia" w:hAnsi="宋体"/>
                    </w:rPr>
                    <w:t xml:space="preserve"> </w:t>
                  </w:r>
                </w:p>
                <w:p>
                  <w:pPr>
                    <w:rPr>
                      <w:rFonts w:hAnsi="宋体"/>
                    </w:rPr>
                  </w:pPr>
                </w:p>
                <w:p>
                  <w:pPr>
                    <w:jc w:val="center"/>
                    <w:rPr>
                      <w:rFonts w:hint="eastAsia" w:ascii="Times New Roman" w:hAnsi="宋体" w:cs="Times New Roman"/>
                    </w:rPr>
                  </w:pPr>
                  <w:r>
                    <w:rPr>
                      <w:rFonts w:hint="eastAsia" w:hAnsi="宋体"/>
                      <w:highlight w:val="none"/>
                    </w:rPr>
                    <w:t>法人（负责人）</w:t>
                  </w:r>
                  <w:r>
                    <w:rPr>
                      <w:rFonts w:hint="eastAsia" w:ascii="Times New Roman" w:hAnsi="宋体" w:cs="Times New Roman"/>
                      <w:highlight w:val="none"/>
                    </w:rPr>
                    <w:t>身</w:t>
                  </w:r>
                  <w:r>
                    <w:rPr>
                      <w:rFonts w:hint="eastAsia" w:ascii="Times New Roman" w:hAnsi="宋体" w:cs="Times New Roman"/>
                    </w:rPr>
                    <w:t>份证复印件反面</w:t>
                  </w:r>
                </w:p>
                <w:p/>
              </w:txbxContent>
            </v:textbox>
          </v:roundrect>
        </w:pict>
      </w:r>
      <w:r>
        <w:rPr>
          <w:rFonts w:ascii="微软雅黑" w:hAnsi="微软雅黑" w:eastAsia="微软雅黑" w:cs="微软雅黑"/>
          <w:color w:val="auto"/>
          <w:sz w:val="24"/>
          <w:highlight w:val="none"/>
        </w:rPr>
        <w:pict>
          <v:roundrect id="自选图形 8" o:spid="_x0000_s1029" o:spt="2" style="position:absolute;left:0pt;margin-left:-0.1pt;margin-top:15.8pt;height:104.7pt;width:201.2pt;z-index:251662336;mso-width-relative:page;mso-height-relative:page;" stroked="t" coordsize="21600,21600" arcsize="0.166666666666667" o:gfxdata="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tBYx2QAAAAgBAAAPAAAAAAAAAAEAIAAAACIAAABkcnMvZG93bnJldi54bWxQ&#10;SwECFAAUAAAACACHTuJAKeM80C8CAABmBAAADgAAAAAAAAABACAAAAAoAQAAZHJzL2Uyb0RvYy54&#10;bWxQSwUGAAAAAAYABgBZAQAAyQUAAAAA&#10;">
            <v:path/>
            <v:fill focussize="0,0"/>
            <v:stroke weight="1.25pt" color="#808080"/>
            <v:imagedata o:title=""/>
            <o:lock v:ext="edit"/>
            <v:textbox>
              <w:txbxContent>
                <w:p>
                  <w:pPr>
                    <w:jc w:val="center"/>
                    <w:rPr>
                      <w:rFonts w:hAnsi="宋体"/>
                    </w:rPr>
                  </w:pPr>
                </w:p>
                <w:p>
                  <w:pPr>
                    <w:rPr>
                      <w:rFonts w:hAnsi="宋体"/>
                    </w:rPr>
                  </w:pPr>
                </w:p>
                <w:p>
                  <w:pPr>
                    <w:jc w:val="center"/>
                  </w:pPr>
                  <w:r>
                    <w:rPr>
                      <w:rFonts w:hint="eastAsia" w:hAnsi="宋体"/>
                      <w:highlight w:val="none"/>
                    </w:rPr>
                    <w:t>法人（负责人）身份</w:t>
                  </w:r>
                  <w:r>
                    <w:rPr>
                      <w:rFonts w:hint="eastAsia" w:hAnsi="宋体"/>
                    </w:rPr>
                    <w:t>证复印件正面</w:t>
                  </w:r>
                </w:p>
                <w:p/>
              </w:txbxContent>
            </v:textbox>
          </v:roundrect>
        </w:pict>
      </w:r>
    </w:p>
    <w:p>
      <w:pPr>
        <w:spacing w:line="360" w:lineRule="auto"/>
        <w:ind w:firstLine="240" w:firstLineChars="100"/>
        <w:rPr>
          <w:rFonts w:ascii="微软雅黑" w:hAnsi="微软雅黑" w:eastAsia="微软雅黑" w:cs="微软雅黑"/>
          <w:color w:val="auto"/>
          <w:sz w:val="24"/>
          <w:highlight w:val="none"/>
        </w:rPr>
      </w:pPr>
    </w:p>
    <w:p>
      <w:pPr>
        <w:spacing w:line="360" w:lineRule="auto"/>
        <w:rPr>
          <w:rFonts w:ascii="微软雅黑" w:hAnsi="微软雅黑" w:eastAsia="微软雅黑" w:cs="微软雅黑"/>
          <w:color w:val="auto"/>
          <w:sz w:val="24"/>
          <w:highlight w:val="none"/>
        </w:rPr>
      </w:pP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rPr>
      </w:pP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rPr>
      </w:pPr>
    </w:p>
    <w:p>
      <w:pPr>
        <w:pStyle w:val="14"/>
        <w:tabs>
          <w:tab w:val="left" w:pos="5580"/>
          <w:tab w:val="left" w:pos="5880"/>
          <w:tab w:val="left" w:pos="6090"/>
        </w:tabs>
        <w:spacing w:line="400" w:lineRule="exact"/>
        <w:ind w:firstLine="480" w:firstLineChars="2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投标人（盖单位章）;</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法定代表人（负责人）（签字或签章）：</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color="EEECE1"/>
        </w:rPr>
        <w:t>身份证号码</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委托代理人（签字或签章）：</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详细通讯地址：</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 政 编 码 ：</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p>
    <w:p>
      <w:pPr>
        <w:spacing w:line="400" w:lineRule="exact"/>
        <w:ind w:firstLine="480" w:firstLineChars="200"/>
        <w:jc w:val="right"/>
        <w:rPr>
          <w:rFonts w:ascii="微软雅黑" w:hAnsi="微软雅黑" w:eastAsia="微软雅黑" w:cs="微软雅黑"/>
          <w:color w:val="auto"/>
          <w:sz w:val="24"/>
          <w:highlight w:val="none"/>
        </w:rPr>
      </w:pPr>
    </w:p>
    <w:p>
      <w:pPr>
        <w:spacing w:line="400" w:lineRule="exact"/>
        <w:ind w:firstLine="480" w:firstLineChars="200"/>
        <w:jc w:val="righ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年   月   日 </w:t>
      </w:r>
    </w:p>
    <w:p>
      <w:pPr>
        <w:pStyle w:val="2"/>
        <w:ind w:firstLine="0"/>
        <w:rPr>
          <w:color w:val="auto"/>
          <w:highlight w:val="none"/>
        </w:rPr>
      </w:pPr>
      <w:bookmarkStart w:id="300" w:name="_Toc32670"/>
      <w:bookmarkStart w:id="301" w:name="_Toc24428"/>
      <w:bookmarkStart w:id="302" w:name="_Toc515647811"/>
    </w:p>
    <w:p>
      <w:pPr>
        <w:rPr>
          <w:color w:val="auto"/>
          <w:highlight w:val="none"/>
        </w:rPr>
      </w:pPr>
    </w:p>
    <w:p>
      <w:pPr>
        <w:tabs>
          <w:tab w:val="left" w:pos="5580"/>
        </w:tabs>
        <w:spacing w:line="400" w:lineRule="atLeast"/>
        <w:outlineLvl w:val="1"/>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4、2020年度财务审计报告（（新公司或其他组织和自然人提供银行出具的资信证明））（加盖公章）；</w:t>
      </w:r>
    </w:p>
    <w:p>
      <w:pPr>
        <w:tabs>
          <w:tab w:val="left" w:pos="5580"/>
        </w:tabs>
        <w:spacing w:line="400" w:lineRule="atLeast"/>
        <w:rPr>
          <w:rFonts w:ascii="微软雅黑" w:hAnsi="微软雅黑" w:eastAsia="微软雅黑" w:cs="微软雅黑"/>
          <w:b/>
          <w:bCs/>
          <w:color w:val="auto"/>
          <w:sz w:val="24"/>
          <w:highlight w:val="none"/>
        </w:rPr>
      </w:pPr>
    </w:p>
    <w:p>
      <w:pPr>
        <w:pStyle w:val="7"/>
        <w:outlineLvl w:val="1"/>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5、未被“信用中国”（www.creditchina.gov.cn）列入失信被执行人和重大税收违法案件当事人名单，未被“中国政府采购网”（www.ccgp.gov.cn） 列入政府采购严重违法失信行为记录名单，未在财政部门或行业主管部门禁止参加政府采购活动时间及地域范围内（相关查询截图加盖公章）；</w:t>
      </w:r>
    </w:p>
    <w:p>
      <w:pPr>
        <w:pStyle w:val="7"/>
        <w:rPr>
          <w:rFonts w:ascii="微软雅黑" w:hAnsi="微软雅黑" w:eastAsia="微软雅黑" w:cs="微软雅黑"/>
          <w:color w:val="auto"/>
          <w:highlight w:val="none"/>
        </w:rPr>
      </w:pPr>
    </w:p>
    <w:p>
      <w:pPr>
        <w:outlineLvl w:val="1"/>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w:t>
      </w:r>
      <w:bookmarkStart w:id="303" w:name="_Toc6890"/>
      <w:r>
        <w:rPr>
          <w:rFonts w:hint="eastAsia" w:ascii="微软雅黑" w:hAnsi="微软雅黑" w:eastAsia="微软雅黑" w:cs="微软雅黑"/>
          <w:b/>
          <w:bCs/>
          <w:color w:val="auto"/>
          <w:sz w:val="24"/>
          <w:highlight w:val="none"/>
        </w:rPr>
        <w:t>提供本单位在参加政府采购活动中前三年内无重大违法记录的承诺书（加盖公章）；</w:t>
      </w:r>
    </w:p>
    <w:p>
      <w:pPr>
        <w:pStyle w:val="2"/>
        <w:ind w:firstLine="0"/>
        <w:rPr>
          <w:rFonts w:ascii="微软雅黑" w:hAnsi="微软雅黑" w:eastAsia="微软雅黑" w:cs="微软雅黑"/>
          <w:color w:val="auto"/>
          <w:szCs w:val="24"/>
          <w:highlight w:val="none"/>
        </w:rPr>
      </w:pPr>
    </w:p>
    <w:bookmarkEnd w:id="303"/>
    <w:p>
      <w:pPr>
        <w:pStyle w:val="2"/>
        <w:numPr>
          <w:ilvl w:val="0"/>
          <w:numId w:val="7"/>
        </w:numPr>
        <w:ind w:firstLine="0"/>
        <w:outlineLvl w:val="1"/>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提供针对本次采购项目《反商业贿赂承诺书》（加盖公章）；</w:t>
      </w:r>
    </w:p>
    <w:p>
      <w:pPr>
        <w:rPr>
          <w:color w:val="auto"/>
          <w:highlight w:val="none"/>
        </w:rPr>
      </w:pPr>
    </w:p>
    <w:p>
      <w:pPr>
        <w:numPr>
          <w:ilvl w:val="0"/>
          <w:numId w:val="7"/>
        </w:numP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提供税务部门出具的近三个月的完税证明（或申报记录）（加盖公章）；</w:t>
      </w:r>
    </w:p>
    <w:p>
      <w:pPr>
        <w:rPr>
          <w:color w:val="auto"/>
          <w:highlight w:val="none"/>
        </w:rPr>
      </w:pPr>
    </w:p>
    <w:p>
      <w:pPr>
        <w:pStyle w:val="2"/>
        <w:numPr>
          <w:ilvl w:val="0"/>
          <w:numId w:val="7"/>
        </w:numPr>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缴纳投标保证金收据及银行转账/电汇回执单复印件（加盖公章）；</w:t>
      </w:r>
    </w:p>
    <w:p>
      <w:pPr>
        <w:rPr>
          <w:rFonts w:ascii="微软雅黑" w:hAnsi="微软雅黑" w:eastAsia="微软雅黑" w:cs="微软雅黑"/>
          <w:b/>
          <w:bCs/>
          <w:color w:val="auto"/>
          <w:sz w:val="24"/>
          <w:highlight w:val="none"/>
        </w:rPr>
      </w:pPr>
      <w:r>
        <w:rPr>
          <w:rFonts w:ascii="微软雅黑" w:hAnsi="微软雅黑" w:eastAsia="微软雅黑" w:cs="微软雅黑"/>
          <w:color w:val="auto"/>
          <w:sz w:val="24"/>
          <w:highlight w:val="none"/>
        </w:rPr>
        <w:pict>
          <v:roundrect id="_x0000_s1028" o:spid="_x0000_s1028" o:spt="2" style="position:absolute;left:0pt;margin-left:19.4pt;margin-top:18.5pt;height:122.6pt;width:205.5pt;z-index:251666432;mso-width-relative:page;mso-height-relative:page;" stroked="t" coordsize="21600,21600" arcsize="0.166666666666667" o:gfxdata="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UGOtc2wAAAAkBAAAPAAAAAAAAAAEAIAAAACIAAABkcnMvZG93&#10;bnJldi54bWxQSwECFAAUAAAACACHTuJA/T6cazYCAAB2BAAADgAAAAAAAAABACAAAAAqAQAAZHJz&#10;L2Uyb0RvYy54bWxQSwUGAAAAAAYABgBZAQAA0gUAAAAA&#10;">
            <v:path/>
            <v:fill focussize="0,0"/>
            <v:stroke weight="1.25pt" color="#808080"/>
            <v:imagedata o:title=""/>
            <o:lock v:ext="edit"/>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pPr>
                  <w:r>
                    <w:rPr>
                      <w:rFonts w:hint="eastAsia"/>
                    </w:rPr>
                    <w:t>缴纳投标保证金收据</w:t>
                  </w:r>
                </w:p>
                <w:p>
                  <w:pPr>
                    <w:pStyle w:val="2"/>
                  </w:pPr>
                </w:p>
                <w:p>
                  <w:pPr>
                    <w:pStyle w:val="2"/>
                  </w:pPr>
                </w:p>
                <w:p>
                  <w:pPr>
                    <w:pStyle w:val="2"/>
                  </w:pPr>
                </w:p>
                <w:p>
                  <w:pPr>
                    <w:pStyle w:val="2"/>
                  </w:pPr>
                </w:p>
              </w:txbxContent>
            </v:textbox>
          </v:roundrect>
        </w:pict>
      </w:r>
    </w:p>
    <w:p>
      <w:pPr>
        <w:pStyle w:val="2"/>
        <w:rPr>
          <w:rFonts w:ascii="微软雅黑" w:hAnsi="微软雅黑" w:eastAsia="微软雅黑" w:cs="微软雅黑"/>
          <w:b/>
          <w:bCs/>
          <w:color w:val="auto"/>
          <w:kern w:val="2"/>
          <w:szCs w:val="24"/>
          <w:highlight w:val="none"/>
        </w:rPr>
      </w:pPr>
    </w:p>
    <w:p>
      <w:pPr>
        <w:rPr>
          <w:rFonts w:ascii="微软雅黑" w:hAnsi="微软雅黑" w:eastAsia="微软雅黑" w:cs="微软雅黑"/>
          <w:b/>
          <w:bCs/>
          <w:color w:val="auto"/>
          <w:sz w:val="24"/>
          <w:highlight w:val="none"/>
        </w:rPr>
      </w:pPr>
    </w:p>
    <w:p>
      <w:pPr>
        <w:pStyle w:val="2"/>
        <w:rPr>
          <w:rFonts w:ascii="微软雅黑" w:hAnsi="微软雅黑" w:eastAsia="微软雅黑" w:cs="微软雅黑"/>
          <w:b/>
          <w:bCs/>
          <w:color w:val="auto"/>
          <w:kern w:val="2"/>
          <w:szCs w:val="24"/>
          <w:highlight w:val="none"/>
        </w:rPr>
      </w:pPr>
    </w:p>
    <w:p>
      <w:pPr>
        <w:rPr>
          <w:rFonts w:ascii="微软雅黑" w:hAnsi="微软雅黑" w:eastAsia="微软雅黑" w:cs="微软雅黑"/>
          <w:b/>
          <w:bCs/>
          <w:color w:val="auto"/>
          <w:sz w:val="24"/>
          <w:highlight w:val="none"/>
        </w:rPr>
      </w:pPr>
    </w:p>
    <w:p>
      <w:pPr>
        <w:pStyle w:val="2"/>
        <w:rPr>
          <w:rFonts w:ascii="微软雅黑" w:hAnsi="微软雅黑" w:eastAsia="微软雅黑" w:cs="微软雅黑"/>
          <w:b/>
          <w:bCs/>
          <w:color w:val="auto"/>
          <w:kern w:val="2"/>
          <w:szCs w:val="24"/>
          <w:highlight w:val="none"/>
        </w:rPr>
      </w:pPr>
    </w:p>
    <w:p>
      <w:pPr>
        <w:rPr>
          <w:color w:val="auto"/>
          <w:highlight w:val="none"/>
        </w:rPr>
      </w:pPr>
    </w:p>
    <w:p>
      <w:pPr>
        <w:rPr>
          <w:color w:val="auto"/>
          <w:highlight w:val="none"/>
        </w:rPr>
      </w:pPr>
    </w:p>
    <w:p>
      <w:pPr>
        <w:pStyle w:val="2"/>
        <w:rPr>
          <w:color w:val="auto"/>
          <w:highlight w:val="none"/>
        </w:rPr>
      </w:pPr>
      <w:r>
        <w:rPr>
          <w:rFonts w:ascii="微软雅黑" w:hAnsi="微软雅黑" w:eastAsia="微软雅黑" w:cs="微软雅黑"/>
          <w:color w:val="auto"/>
          <w:szCs w:val="24"/>
          <w:highlight w:val="none"/>
        </w:rPr>
        <w:pict>
          <v:roundrect id="_x0000_s1027" o:spid="_x0000_s1027" o:spt="2" style="position:absolute;left:0pt;margin-left:15.05pt;margin-top:4.4pt;height:122.6pt;width:205.5pt;z-index:251667456;mso-width-relative:page;mso-height-relative:page;" stroked="t" coordsize="21600,21600" arcsize="0.166666666666667" o:gfxdata="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2lt6tkAAAAIAQAADwAAAAAAAAABACAAAAAiAAAAZHJzL2Rvd25y&#10;ZXYueG1sUEsBAhQAFAAAAAgAh07iQNUx4Ac2AgAAdgQAAA4AAAAAAAAAAQAgAAAAKAEAAGRycy9l&#10;Mm9Eb2MueG1sUEsFBgAAAAAGAAYAWQEAANAFAAAAAA==&#10;">
            <v:path/>
            <v:fill focussize="0,0"/>
            <v:stroke weight="1.25pt" color="#808080"/>
            <v:imagedata o:title=""/>
            <o:lock v:ext="edit"/>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r>
                    <w:rPr>
                      <w:rFonts w:hint="eastAsia" w:hAnsi="宋体"/>
                      <w:szCs w:val="21"/>
                    </w:rPr>
                    <w:t>银行转账/电汇回执单复印件</w:t>
                  </w:r>
                </w:p>
                <w:p>
                  <w:pPr>
                    <w:pStyle w:val="2"/>
                  </w:pPr>
                </w:p>
                <w:p>
                  <w:pPr>
                    <w:pStyle w:val="2"/>
                  </w:pPr>
                </w:p>
                <w:p>
                  <w:pPr>
                    <w:pStyle w:val="2"/>
                  </w:pPr>
                </w:p>
                <w:p>
                  <w:pPr>
                    <w:pStyle w:val="2"/>
                  </w:pPr>
                </w:p>
              </w:txbxContent>
            </v:textbox>
          </v:roundrect>
        </w:pict>
      </w: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rPr>
          <w:rFonts w:ascii="微软雅黑" w:hAnsi="微软雅黑" w:eastAsia="微软雅黑" w:cs="微软雅黑"/>
          <w:b/>
          <w:bCs/>
          <w:color w:val="auto"/>
          <w:sz w:val="24"/>
          <w:highlight w:val="none"/>
        </w:rPr>
      </w:pPr>
    </w:p>
    <w:p>
      <w:pPr>
        <w:rPr>
          <w:rFonts w:ascii="微软雅黑" w:hAnsi="微软雅黑" w:eastAsia="微软雅黑" w:cs="微软雅黑"/>
          <w:b/>
          <w:bCs/>
          <w:color w:val="auto"/>
          <w:sz w:val="24"/>
          <w:highlight w:val="none"/>
        </w:rPr>
      </w:pPr>
    </w:p>
    <w:p>
      <w:pP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10、提供有利于投标的其他证明材料。</w:t>
      </w:r>
    </w:p>
    <w:p>
      <w:pPr>
        <w:pStyle w:val="2"/>
        <w:rPr>
          <w:rFonts w:ascii="微软雅黑" w:hAnsi="微软雅黑" w:eastAsia="微软雅黑" w:cs="微软雅黑"/>
          <w:color w:val="auto"/>
          <w:szCs w:val="24"/>
          <w:highlight w:val="none"/>
        </w:rPr>
      </w:pPr>
    </w:p>
    <w:p>
      <w:pPr>
        <w:rPr>
          <w:rFonts w:ascii="微软雅黑" w:hAnsi="微软雅黑" w:eastAsia="微软雅黑" w:cs="微软雅黑"/>
          <w:color w:val="auto"/>
          <w:sz w:val="24"/>
          <w:highlight w:val="none"/>
        </w:rPr>
      </w:pPr>
    </w:p>
    <w:p>
      <w:pP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br w:type="page"/>
      </w:r>
    </w:p>
    <w:bookmarkEnd w:id="300"/>
    <w:bookmarkEnd w:id="301"/>
    <w:bookmarkEnd w:id="302"/>
    <w:p>
      <w:pPr>
        <w:rPr>
          <w:rFonts w:ascii="微软雅黑" w:hAnsi="微软雅黑" w:eastAsia="微软雅黑" w:cs="微软雅黑"/>
          <w:b/>
          <w:bCs/>
          <w:color w:val="auto"/>
          <w:sz w:val="24"/>
          <w:highlight w:val="none"/>
        </w:rPr>
      </w:pPr>
      <w:bookmarkStart w:id="304" w:name="_Toc26287"/>
      <w:bookmarkStart w:id="305" w:name="_Toc22967"/>
      <w:bookmarkStart w:id="306" w:name="_Toc11180"/>
      <w:bookmarkStart w:id="307" w:name="_Toc30653"/>
      <w:bookmarkStart w:id="308" w:name="_Toc515647816"/>
    </w:p>
    <w:p>
      <w:pPr>
        <w:pStyle w:val="4"/>
        <w:spacing w:before="0" w:line="240" w:lineRule="atLeast"/>
        <w:ind w:left="1080" w:leftChars="257" w:hanging="54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第二部分  商务及技术文件</w:t>
      </w:r>
      <w:bookmarkEnd w:id="304"/>
      <w:bookmarkEnd w:id="305"/>
      <w:bookmarkEnd w:id="306"/>
      <w:bookmarkEnd w:id="307"/>
      <w:bookmarkEnd w:id="308"/>
    </w:p>
    <w:p>
      <w:pPr>
        <w:pStyle w:val="14"/>
        <w:tabs>
          <w:tab w:val="left" w:pos="5580"/>
        </w:tabs>
        <w:spacing w:line="240" w:lineRule="atLeast"/>
        <w:rPr>
          <w:rFonts w:ascii="微软雅黑" w:hAnsi="微软雅黑" w:eastAsia="微软雅黑" w:cs="微软雅黑"/>
          <w:color w:val="auto"/>
          <w:sz w:val="24"/>
          <w:szCs w:val="24"/>
          <w:highlight w:val="none"/>
        </w:rPr>
      </w:pPr>
      <w:bookmarkStart w:id="309" w:name="_Toc2041"/>
      <w:bookmarkStart w:id="310" w:name="_Toc14915"/>
      <w:bookmarkStart w:id="311" w:name="_Toc515647817"/>
      <w:r>
        <w:rPr>
          <w:rFonts w:hint="eastAsia" w:ascii="微软雅黑" w:hAnsi="微软雅黑" w:eastAsia="微软雅黑" w:cs="微软雅黑"/>
          <w:color w:val="auto"/>
          <w:sz w:val="24"/>
          <w:szCs w:val="24"/>
          <w:highlight w:val="none"/>
        </w:rPr>
        <w:t>1、投标书</w:t>
      </w:r>
    </w:p>
    <w:p>
      <w:pPr>
        <w:pStyle w:val="14"/>
        <w:tabs>
          <w:tab w:val="left" w:pos="5580"/>
        </w:tabs>
        <w:spacing w:line="240" w:lineRule="atLeas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 投标分项明细报价表</w:t>
      </w:r>
    </w:p>
    <w:p>
      <w:pPr>
        <w:pStyle w:val="14"/>
        <w:tabs>
          <w:tab w:val="left" w:pos="5580"/>
        </w:tabs>
        <w:spacing w:line="240" w:lineRule="atLeas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2、业绩一览表</w:t>
      </w:r>
    </w:p>
    <w:p>
      <w:pPr>
        <w:pStyle w:val="14"/>
        <w:tabs>
          <w:tab w:val="left" w:pos="5580"/>
        </w:tabs>
        <w:spacing w:line="240" w:lineRule="atLeas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3、商务条款偏离表</w:t>
      </w:r>
    </w:p>
    <w:p>
      <w:pPr>
        <w:pStyle w:val="14"/>
        <w:tabs>
          <w:tab w:val="left" w:pos="5580"/>
        </w:tabs>
        <w:spacing w:line="240" w:lineRule="atLeas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4、投标申明书</w:t>
      </w:r>
    </w:p>
    <w:p>
      <w:pPr>
        <w:pStyle w:val="14"/>
        <w:tabs>
          <w:tab w:val="left" w:pos="5580"/>
        </w:tabs>
        <w:spacing w:line="240" w:lineRule="atLeas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5、投标人可提供有利于投标的其他资格证明材料</w:t>
      </w:r>
    </w:p>
    <w:p>
      <w:pPr>
        <w:pStyle w:val="14"/>
        <w:tabs>
          <w:tab w:val="left" w:pos="5580"/>
        </w:tabs>
        <w:spacing w:line="240" w:lineRule="atLeas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6、投标文件格式范本</w:t>
      </w:r>
    </w:p>
    <w:p>
      <w:pPr>
        <w:pStyle w:val="14"/>
        <w:tabs>
          <w:tab w:val="left" w:pos="5580"/>
        </w:tabs>
        <w:spacing w:line="240" w:lineRule="atLeast"/>
        <w:rPr>
          <w:rFonts w:ascii="微软雅黑" w:hAnsi="微软雅黑" w:eastAsia="微软雅黑" w:cs="微软雅黑"/>
          <w:color w:val="auto"/>
          <w:sz w:val="24"/>
          <w:szCs w:val="24"/>
          <w:highlight w:val="none"/>
        </w:rPr>
      </w:pPr>
    </w:p>
    <w:p>
      <w:pPr>
        <w:spacing w:line="360" w:lineRule="auto"/>
        <w:rPr>
          <w:rFonts w:ascii="微软雅黑" w:hAnsi="微软雅黑" w:eastAsia="微软雅黑" w:cs="微软雅黑"/>
          <w:b/>
          <w:bCs/>
          <w:color w:val="auto"/>
          <w:sz w:val="24"/>
          <w:highlight w:val="none"/>
        </w:rPr>
      </w:pPr>
    </w:p>
    <w:p>
      <w:pPr>
        <w:pStyle w:val="2"/>
        <w:rPr>
          <w:rFonts w:ascii="微软雅黑" w:hAnsi="微软雅黑" w:eastAsia="微软雅黑" w:cs="微软雅黑"/>
          <w:b/>
          <w:bCs/>
          <w:color w:val="auto"/>
          <w:szCs w:val="24"/>
          <w:highlight w:val="none"/>
        </w:rPr>
      </w:pPr>
    </w:p>
    <w:p>
      <w:pPr>
        <w:pStyle w:val="2"/>
        <w:rPr>
          <w:rFonts w:ascii="微软雅黑" w:hAnsi="微软雅黑" w:eastAsia="微软雅黑" w:cs="微软雅黑"/>
          <w:b/>
          <w:bCs/>
          <w:color w:val="auto"/>
          <w:szCs w:val="24"/>
          <w:highlight w:val="none"/>
        </w:rPr>
      </w:pPr>
    </w:p>
    <w:p>
      <w:pPr>
        <w:rPr>
          <w:rFonts w:ascii="微软雅黑" w:hAnsi="微软雅黑" w:eastAsia="微软雅黑" w:cs="微软雅黑"/>
          <w:b/>
          <w:bCs/>
          <w:color w:val="auto"/>
          <w:sz w:val="24"/>
          <w:highlight w:val="none"/>
        </w:rPr>
      </w:pPr>
    </w:p>
    <w:p>
      <w:pPr>
        <w:pStyle w:val="2"/>
        <w:rPr>
          <w:rFonts w:ascii="微软雅黑" w:hAnsi="微软雅黑" w:eastAsia="微软雅黑" w:cs="微软雅黑"/>
          <w:b/>
          <w:bCs/>
          <w:color w:val="auto"/>
          <w:szCs w:val="24"/>
          <w:highlight w:val="none"/>
        </w:rPr>
      </w:pPr>
    </w:p>
    <w:p>
      <w:pPr>
        <w:rPr>
          <w:color w:val="auto"/>
          <w:highlight w:val="none"/>
        </w:rPr>
      </w:pPr>
    </w:p>
    <w:p>
      <w:pPr>
        <w:pStyle w:val="2"/>
        <w:rPr>
          <w:rFonts w:ascii="微软雅黑" w:hAnsi="微软雅黑" w:eastAsia="微软雅黑" w:cs="微软雅黑"/>
          <w:b/>
          <w:bCs/>
          <w:color w:val="auto"/>
          <w:szCs w:val="24"/>
          <w:highlight w:val="none"/>
        </w:rPr>
      </w:pPr>
    </w:p>
    <w:p>
      <w:pPr>
        <w:pStyle w:val="2"/>
        <w:rPr>
          <w:rFonts w:hAnsi="宋体"/>
          <w:b/>
          <w:bCs/>
          <w:color w:val="auto"/>
          <w:highlight w:val="none"/>
        </w:rPr>
      </w:pPr>
    </w:p>
    <w:p>
      <w:pPr>
        <w:pStyle w:val="2"/>
        <w:rPr>
          <w:rFonts w:hAnsi="宋体"/>
          <w:b/>
          <w:bCs/>
          <w:color w:val="auto"/>
          <w:highlight w:val="none"/>
        </w:rPr>
      </w:pPr>
    </w:p>
    <w:p>
      <w:pPr>
        <w:pStyle w:val="2"/>
        <w:rPr>
          <w:rFonts w:hAnsi="宋体"/>
          <w:b/>
          <w:bCs/>
          <w:color w:val="auto"/>
          <w:highlight w:val="none"/>
        </w:rPr>
      </w:pPr>
    </w:p>
    <w:p>
      <w:pPr>
        <w:rPr>
          <w:color w:val="auto"/>
          <w:highlight w:val="none"/>
        </w:rPr>
      </w:pPr>
    </w:p>
    <w:p>
      <w:pPr>
        <w:pStyle w:val="14"/>
        <w:tabs>
          <w:tab w:val="left" w:pos="5580"/>
        </w:tabs>
        <w:spacing w:line="240" w:lineRule="atLeast"/>
        <w:rPr>
          <w:rFonts w:hAnsi="宋体" w:cs="宋体"/>
          <w:color w:val="auto"/>
          <w:szCs w:val="21"/>
          <w:highlight w:val="none"/>
        </w:rPr>
      </w:pPr>
    </w:p>
    <w:p>
      <w:pPr>
        <w:pStyle w:val="14"/>
        <w:tabs>
          <w:tab w:val="left" w:pos="5580"/>
        </w:tabs>
        <w:spacing w:line="240" w:lineRule="atLeast"/>
        <w:rPr>
          <w:rFonts w:hAnsi="宋体" w:cs="宋体"/>
          <w:color w:val="auto"/>
          <w:szCs w:val="21"/>
          <w:highlight w:val="none"/>
        </w:rPr>
      </w:pPr>
    </w:p>
    <w:p>
      <w:pPr>
        <w:rPr>
          <w:rFonts w:hAnsi="宋体" w:cs="宋体"/>
          <w:color w:val="auto"/>
          <w:szCs w:val="21"/>
          <w:highlight w:val="none"/>
        </w:rPr>
      </w:pPr>
      <w:r>
        <w:rPr>
          <w:rFonts w:hint="eastAsia" w:hAnsi="宋体" w:cs="宋体"/>
          <w:color w:val="auto"/>
          <w:szCs w:val="21"/>
          <w:highlight w:val="none"/>
        </w:rPr>
        <w:br w:type="page"/>
      </w:r>
    </w:p>
    <w:p>
      <w:pPr>
        <w:pStyle w:val="14"/>
        <w:tabs>
          <w:tab w:val="left" w:pos="5580"/>
        </w:tabs>
        <w:spacing w:line="240" w:lineRule="atLeast"/>
        <w:rPr>
          <w:rFonts w:hAnsi="宋体" w:cs="宋体"/>
          <w:color w:val="auto"/>
          <w:szCs w:val="21"/>
          <w:highlight w:val="none"/>
        </w:rPr>
      </w:pPr>
    </w:p>
    <w:bookmarkEnd w:id="293"/>
    <w:bookmarkEnd w:id="294"/>
    <w:bookmarkEnd w:id="295"/>
    <w:bookmarkEnd w:id="296"/>
    <w:bookmarkEnd w:id="309"/>
    <w:bookmarkEnd w:id="310"/>
    <w:bookmarkEnd w:id="311"/>
    <w:p>
      <w:pPr>
        <w:pStyle w:val="14"/>
        <w:tabs>
          <w:tab w:val="left" w:pos="5580"/>
        </w:tabs>
        <w:spacing w:line="440" w:lineRule="exact"/>
        <w:ind w:firstLine="2881" w:firstLineChars="1200"/>
        <w:outlineLvl w:val="1"/>
        <w:rPr>
          <w:rFonts w:ascii="微软雅黑" w:hAnsi="微软雅黑" w:eastAsia="微软雅黑" w:cs="微软雅黑"/>
          <w:b/>
          <w:bCs/>
          <w:color w:val="auto"/>
          <w:sz w:val="24"/>
          <w:szCs w:val="24"/>
          <w:highlight w:val="none"/>
        </w:rPr>
      </w:pPr>
      <w:bookmarkStart w:id="312" w:name="_Toc5222"/>
      <w:bookmarkStart w:id="313" w:name="_Toc15419"/>
      <w:bookmarkStart w:id="314" w:name="_Toc17215"/>
      <w:bookmarkStart w:id="315" w:name="_Toc30408"/>
      <w:bookmarkStart w:id="316" w:name="_Toc19009"/>
      <w:r>
        <w:rPr>
          <w:rFonts w:hint="eastAsia" w:ascii="微软雅黑" w:hAnsi="微软雅黑" w:eastAsia="微软雅黑" w:cs="微软雅黑"/>
          <w:b/>
          <w:bCs/>
          <w:color w:val="auto"/>
          <w:sz w:val="24"/>
          <w:szCs w:val="24"/>
          <w:highlight w:val="none"/>
        </w:rPr>
        <w:t>1 投标书</w:t>
      </w:r>
      <w:bookmarkEnd w:id="312"/>
      <w:bookmarkEnd w:id="313"/>
      <w:bookmarkEnd w:id="314"/>
      <w:bookmarkEnd w:id="315"/>
    </w:p>
    <w:p>
      <w:pPr>
        <w:spacing w:line="440" w:lineRule="exact"/>
        <w:rPr>
          <w:rFonts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 xml:space="preserve"> </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根据贵方</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（项目名称）招标公告（项目编号：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），签字代表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（全名）经正式授权并代表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（投标人名称）提交投标文件正本</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份、副本</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份。</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据此函，签字代表宣布同意如下：</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bCs/>
          <w:color w:val="auto"/>
          <w:sz w:val="24"/>
          <w:highlight w:val="none"/>
        </w:rPr>
        <w:t>．</w:t>
      </w:r>
      <w:r>
        <w:rPr>
          <w:rFonts w:hint="eastAsia" w:ascii="微软雅黑" w:hAnsi="微软雅黑" w:eastAsia="微软雅黑" w:cs="微软雅黑"/>
          <w:color w:val="auto"/>
          <w:sz w:val="24"/>
          <w:highlight w:val="none"/>
        </w:rPr>
        <w:t>投标人已详细审查全部“招标文件”，包括修改文件（如有的话）以及全部参考资料和有关附件，已经了解我方对于招标文件、招评标过程、采购结果有依法进行询问、质疑、投诉的权利及相关渠道和要求。</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bCs/>
          <w:color w:val="auto"/>
          <w:sz w:val="24"/>
          <w:highlight w:val="none"/>
        </w:rPr>
        <w:t>．</w:t>
      </w:r>
      <w:r>
        <w:rPr>
          <w:rFonts w:hint="eastAsia" w:ascii="微软雅黑" w:hAnsi="微软雅黑" w:eastAsia="微软雅黑" w:cs="微软雅黑"/>
          <w:color w:val="auto"/>
          <w:sz w:val="24"/>
          <w:highlight w:val="none"/>
        </w:rPr>
        <w:t>投标人在投标之前已经与贵方进行了充分的沟通，完全理解并接受招标文件的各项规定和要求，对招标文件的合理性、合法性不再有异议。</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bCs/>
          <w:color w:val="auto"/>
          <w:sz w:val="24"/>
          <w:highlight w:val="none"/>
        </w:rPr>
        <w:t>．</w:t>
      </w:r>
      <w:r>
        <w:rPr>
          <w:rFonts w:hint="eastAsia" w:ascii="微软雅黑" w:hAnsi="微软雅黑" w:eastAsia="微软雅黑" w:cs="微软雅黑"/>
          <w:color w:val="auto"/>
          <w:sz w:val="24"/>
          <w:highlight w:val="none"/>
        </w:rPr>
        <w:t>本投标有效期自投标截止日起60日。</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bCs/>
          <w:color w:val="auto"/>
          <w:sz w:val="24"/>
          <w:highlight w:val="none"/>
        </w:rPr>
        <w:t>．</w:t>
      </w:r>
      <w:r>
        <w:rPr>
          <w:rFonts w:hint="eastAsia" w:ascii="微软雅黑" w:hAnsi="微软雅黑" w:eastAsia="微软雅黑" w:cs="微软雅黑"/>
          <w:color w:val="auto"/>
          <w:sz w:val="24"/>
          <w:highlight w:val="none"/>
        </w:rPr>
        <w:t>如中标，本投标文件至本项目合同履行完毕止均保持有效，本投标人将按“招标文件”及政府采购法律、法规的规定履行合同责任和义务。</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r>
        <w:rPr>
          <w:rFonts w:hint="eastAsia" w:ascii="微软雅黑" w:hAnsi="微软雅黑" w:eastAsia="微软雅黑" w:cs="微软雅黑"/>
          <w:bCs/>
          <w:color w:val="auto"/>
          <w:sz w:val="24"/>
          <w:highlight w:val="none"/>
        </w:rPr>
        <w:t>．</w:t>
      </w:r>
      <w:r>
        <w:rPr>
          <w:rFonts w:hint="eastAsia" w:ascii="微软雅黑" w:hAnsi="微软雅黑" w:eastAsia="微软雅黑" w:cs="微软雅黑"/>
          <w:color w:val="auto"/>
          <w:sz w:val="24"/>
          <w:highlight w:val="none"/>
        </w:rPr>
        <w:t>投标人同意按照贵方要求提供与投标有关的一切数据或资料。</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r>
        <w:rPr>
          <w:rFonts w:hint="eastAsia" w:ascii="微软雅黑" w:hAnsi="微软雅黑" w:eastAsia="微软雅黑" w:cs="微软雅黑"/>
          <w:bCs/>
          <w:color w:val="auto"/>
          <w:sz w:val="24"/>
          <w:highlight w:val="none"/>
        </w:rPr>
        <w:t>．</w:t>
      </w:r>
      <w:r>
        <w:rPr>
          <w:rFonts w:hint="eastAsia" w:ascii="微软雅黑" w:hAnsi="微软雅黑" w:eastAsia="微软雅黑" w:cs="微软雅黑"/>
          <w:color w:val="auto"/>
          <w:sz w:val="24"/>
          <w:highlight w:val="none"/>
        </w:rPr>
        <w:t>与本投标有关的一切正式往来信函请寄：</w:t>
      </w:r>
    </w:p>
    <w:p>
      <w:pPr>
        <w:spacing w:line="440" w:lineRule="exact"/>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                         邮编：                 电话：</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传真：                 投标人代表姓名：               职务：</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开户银行：</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银行帐号：</w:t>
      </w:r>
    </w:p>
    <w:p>
      <w:pPr>
        <w:spacing w:line="440" w:lineRule="exact"/>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投标单位（公章）</w:t>
      </w:r>
      <w:r>
        <w:rPr>
          <w:rFonts w:hint="eastAsia" w:ascii="微软雅黑" w:hAnsi="微软雅黑" w:eastAsia="微软雅黑" w:cs="微软雅黑"/>
          <w:color w:val="auto"/>
          <w:sz w:val="24"/>
          <w:highlight w:val="none"/>
          <w:u w:val="single"/>
        </w:rPr>
        <w:t xml:space="preserve">                    </w:t>
      </w:r>
    </w:p>
    <w:p>
      <w:pPr>
        <w:spacing w:line="440" w:lineRule="exact"/>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法定代表人（负责人）或授权委托代理人（签/章）</w:t>
      </w:r>
      <w:r>
        <w:rPr>
          <w:rFonts w:hint="eastAsia" w:ascii="微软雅黑" w:hAnsi="微软雅黑" w:eastAsia="微软雅黑" w:cs="微软雅黑"/>
          <w:color w:val="auto"/>
          <w:sz w:val="24"/>
          <w:highlight w:val="none"/>
          <w:u w:val="single"/>
        </w:rPr>
        <w:t xml:space="preserve">                     </w:t>
      </w:r>
    </w:p>
    <w:p>
      <w:pPr>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           年   月   日</w:t>
      </w:r>
    </w:p>
    <w:p>
      <w:pPr>
        <w:pStyle w:val="25"/>
        <w:spacing w:line="440" w:lineRule="exact"/>
        <w:rPr>
          <w:rFonts w:ascii="微软雅黑" w:hAnsi="微软雅黑" w:eastAsia="微软雅黑" w:cs="微软雅黑"/>
          <w:color w:val="auto"/>
          <w:sz w:val="24"/>
          <w:highlight w:val="none"/>
        </w:rPr>
      </w:pPr>
    </w:p>
    <w:p>
      <w:pPr>
        <w:pStyle w:val="25"/>
        <w:spacing w:line="440" w:lineRule="exact"/>
        <w:rPr>
          <w:rFonts w:ascii="微软雅黑" w:hAnsi="微软雅黑" w:eastAsia="微软雅黑" w:cs="微软雅黑"/>
          <w:color w:val="auto"/>
          <w:sz w:val="24"/>
          <w:highlight w:val="none"/>
        </w:rPr>
      </w:pPr>
    </w:p>
    <w:p>
      <w:pPr>
        <w:pStyle w:val="25"/>
        <w:spacing w:line="440" w:lineRule="exact"/>
        <w:rPr>
          <w:rFonts w:ascii="微软雅黑" w:hAnsi="微软雅黑" w:eastAsia="微软雅黑" w:cs="微软雅黑"/>
          <w:color w:val="auto"/>
          <w:sz w:val="24"/>
          <w:highlight w:val="none"/>
        </w:rPr>
      </w:pPr>
    </w:p>
    <w:p>
      <w:pPr>
        <w:pStyle w:val="25"/>
        <w:spacing w:line="440" w:lineRule="exact"/>
        <w:rPr>
          <w:rFonts w:ascii="微软雅黑" w:hAnsi="微软雅黑" w:eastAsia="微软雅黑" w:cs="微软雅黑"/>
          <w:color w:val="auto"/>
          <w:sz w:val="24"/>
          <w:highlight w:val="none"/>
        </w:rPr>
      </w:pPr>
    </w:p>
    <w:p>
      <w:pPr>
        <w:pStyle w:val="25"/>
        <w:spacing w:line="440" w:lineRule="exact"/>
        <w:rPr>
          <w:rFonts w:ascii="微软雅黑" w:hAnsi="微软雅黑" w:eastAsia="微软雅黑" w:cs="微软雅黑"/>
          <w:color w:val="auto"/>
          <w:sz w:val="24"/>
          <w:highlight w:val="none"/>
        </w:rPr>
      </w:pPr>
    </w:p>
    <w:p>
      <w:pPr>
        <w:tabs>
          <w:tab w:val="left" w:pos="5580"/>
        </w:tabs>
        <w:spacing w:line="440" w:lineRule="exact"/>
        <w:ind w:left="1080" w:hanging="1080"/>
        <w:rPr>
          <w:rFonts w:ascii="微软雅黑" w:hAnsi="微软雅黑" w:eastAsia="微软雅黑" w:cs="微软雅黑"/>
          <w:b/>
          <w:bCs/>
          <w:color w:val="auto"/>
          <w:sz w:val="24"/>
          <w:highlight w:val="none"/>
        </w:rPr>
      </w:pPr>
    </w:p>
    <w:p>
      <w:pPr>
        <w:spacing w:line="440" w:lineRule="exact"/>
        <w:rPr>
          <w:rFonts w:ascii="微软雅黑" w:hAnsi="微软雅黑" w:eastAsia="微软雅黑" w:cs="微软雅黑"/>
          <w:color w:val="auto"/>
          <w:sz w:val="24"/>
          <w:highlight w:val="none"/>
        </w:rPr>
      </w:pPr>
    </w:p>
    <w:p>
      <w:pPr>
        <w:rPr>
          <w:rFonts w:ascii="微软雅黑" w:hAnsi="微软雅黑" w:eastAsia="微软雅黑" w:cs="微软雅黑"/>
          <w:b/>
          <w:bCs/>
          <w:color w:val="auto"/>
          <w:sz w:val="24"/>
          <w:highlight w:val="none"/>
        </w:rPr>
      </w:pPr>
      <w:bookmarkStart w:id="317" w:name="_Hlt520355938"/>
      <w:bookmarkEnd w:id="317"/>
      <w:bookmarkStart w:id="318" w:name="_Hlt520356243"/>
      <w:bookmarkEnd w:id="318"/>
      <w:bookmarkStart w:id="319" w:name="_Toc216582817"/>
      <w:bookmarkStart w:id="320" w:name="_Toc515647820"/>
      <w:bookmarkStart w:id="321" w:name="_Toc22563"/>
      <w:bookmarkStart w:id="322" w:name="_Toc28959"/>
      <w:bookmarkStart w:id="323" w:name="_Toc29728"/>
      <w:r>
        <w:rPr>
          <w:rFonts w:hint="eastAsia" w:ascii="微软雅黑" w:hAnsi="微软雅黑" w:eastAsia="微软雅黑" w:cs="微软雅黑"/>
          <w:b/>
          <w:bCs/>
          <w:color w:val="auto"/>
          <w:sz w:val="24"/>
          <w:highlight w:val="none"/>
        </w:rPr>
        <w:t>1.1投标分项明细报价表</w:t>
      </w:r>
    </w:p>
    <w:p>
      <w:pPr>
        <w:jc w:val="center"/>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分项明细报价表</w:t>
      </w:r>
    </w:p>
    <w:p>
      <w:pPr>
        <w:tabs>
          <w:tab w:val="left" w:pos="1800"/>
          <w:tab w:val="left" w:pos="5580"/>
        </w:tabs>
        <w:spacing w:line="400" w:lineRule="exact"/>
        <w:ind w:left="1080" w:leftChars="257" w:right="-867" w:rightChars="-413" w:hanging="54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                                 项目编号：</w:t>
      </w:r>
    </w:p>
    <w:p>
      <w:pPr>
        <w:tabs>
          <w:tab w:val="left" w:pos="1800"/>
          <w:tab w:val="left" w:pos="5580"/>
        </w:tabs>
        <w:spacing w:line="400" w:lineRule="exact"/>
        <w:ind w:left="1080" w:leftChars="257" w:right="-867" w:rightChars="-413" w:hanging="540"/>
        <w:jc w:val="righ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货币单位：人民币（元）</w:t>
      </w:r>
    </w:p>
    <w:tbl>
      <w:tblPr>
        <w:tblStyle w:val="35"/>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8"/>
        <w:gridCol w:w="1395"/>
        <w:gridCol w:w="889"/>
        <w:gridCol w:w="1323"/>
        <w:gridCol w:w="832"/>
        <w:gridCol w:w="1142"/>
        <w:gridCol w:w="1142"/>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exact"/>
          <w:jc w:val="center"/>
        </w:trPr>
        <w:tc>
          <w:tcPr>
            <w:tcW w:w="587" w:type="dxa"/>
            <w:vAlign w:val="center"/>
          </w:tcPr>
          <w:p>
            <w:pPr>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sz w:val="24"/>
                <w:highlight w:val="none"/>
              </w:rPr>
              <w:br w:type="page"/>
            </w:r>
            <w:r>
              <w:rPr>
                <w:rFonts w:hint="eastAsia" w:ascii="微软雅黑" w:hAnsi="微软雅黑" w:eastAsia="微软雅黑" w:cs="微软雅黑"/>
                <w:color w:val="auto"/>
                <w:position w:val="10"/>
                <w:sz w:val="24"/>
                <w:highlight w:val="none"/>
              </w:rPr>
              <w:t>序号</w:t>
            </w:r>
          </w:p>
        </w:tc>
        <w:tc>
          <w:tcPr>
            <w:tcW w:w="1098" w:type="dxa"/>
            <w:vAlign w:val="center"/>
          </w:tcPr>
          <w:p>
            <w:pPr>
              <w:spacing w:line="600" w:lineRule="exact"/>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position w:val="10"/>
                <w:sz w:val="24"/>
                <w:highlight w:val="none"/>
              </w:rPr>
              <w:t>产品名称</w:t>
            </w:r>
          </w:p>
        </w:tc>
        <w:tc>
          <w:tcPr>
            <w:tcW w:w="1395" w:type="dxa"/>
            <w:vAlign w:val="center"/>
          </w:tcPr>
          <w:p>
            <w:pPr>
              <w:spacing w:line="600" w:lineRule="exact"/>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position w:val="10"/>
                <w:sz w:val="24"/>
                <w:highlight w:val="none"/>
              </w:rPr>
              <w:t>品牌/产地/产权所有者</w:t>
            </w:r>
          </w:p>
        </w:tc>
        <w:tc>
          <w:tcPr>
            <w:tcW w:w="889" w:type="dxa"/>
            <w:vAlign w:val="center"/>
          </w:tcPr>
          <w:p>
            <w:pPr>
              <w:spacing w:line="600" w:lineRule="exact"/>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position w:val="10"/>
                <w:sz w:val="24"/>
                <w:highlight w:val="none"/>
              </w:rPr>
              <w:t>型号/版本号</w:t>
            </w:r>
          </w:p>
        </w:tc>
        <w:tc>
          <w:tcPr>
            <w:tcW w:w="1323" w:type="dxa"/>
            <w:vAlign w:val="center"/>
          </w:tcPr>
          <w:p>
            <w:pPr>
              <w:spacing w:line="600" w:lineRule="exact"/>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position w:val="10"/>
                <w:sz w:val="24"/>
                <w:highlight w:val="none"/>
              </w:rPr>
              <w:t>配置参数/性能描述</w:t>
            </w:r>
          </w:p>
        </w:tc>
        <w:tc>
          <w:tcPr>
            <w:tcW w:w="832" w:type="dxa"/>
            <w:vAlign w:val="center"/>
          </w:tcPr>
          <w:p>
            <w:pPr>
              <w:spacing w:line="600" w:lineRule="exact"/>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position w:val="10"/>
                <w:sz w:val="24"/>
                <w:highlight w:val="none"/>
              </w:rPr>
              <w:t>数量</w:t>
            </w:r>
          </w:p>
        </w:tc>
        <w:tc>
          <w:tcPr>
            <w:tcW w:w="1142" w:type="dxa"/>
            <w:vAlign w:val="center"/>
          </w:tcPr>
          <w:p>
            <w:pPr>
              <w:spacing w:line="600" w:lineRule="exact"/>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position w:val="10"/>
                <w:sz w:val="24"/>
                <w:highlight w:val="none"/>
              </w:rPr>
              <w:t>单价</w:t>
            </w:r>
          </w:p>
        </w:tc>
        <w:tc>
          <w:tcPr>
            <w:tcW w:w="1142" w:type="dxa"/>
            <w:vAlign w:val="center"/>
          </w:tcPr>
          <w:p>
            <w:pPr>
              <w:spacing w:line="600" w:lineRule="exact"/>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position w:val="10"/>
                <w:sz w:val="24"/>
                <w:highlight w:val="none"/>
              </w:rPr>
              <w:t>合价</w:t>
            </w:r>
          </w:p>
        </w:tc>
        <w:tc>
          <w:tcPr>
            <w:tcW w:w="1131" w:type="dxa"/>
            <w:vAlign w:val="center"/>
          </w:tcPr>
          <w:p>
            <w:pPr>
              <w:spacing w:line="600" w:lineRule="exact"/>
              <w:jc w:val="center"/>
              <w:rPr>
                <w:rFonts w:ascii="微软雅黑" w:hAnsi="微软雅黑" w:eastAsia="微软雅黑" w:cs="微软雅黑"/>
                <w:color w:val="auto"/>
                <w:position w:val="10"/>
                <w:sz w:val="24"/>
                <w:highlight w:val="none"/>
              </w:rPr>
            </w:pPr>
            <w:r>
              <w:rPr>
                <w:rFonts w:hint="eastAsia" w:ascii="微软雅黑" w:hAnsi="微软雅黑" w:eastAsia="微软雅黑" w:cs="微软雅黑"/>
                <w:color w:val="auto"/>
                <w:position w:val="1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587" w:type="dxa"/>
            <w:vAlign w:val="center"/>
          </w:tcPr>
          <w:p>
            <w:pPr>
              <w:spacing w:line="520" w:lineRule="atLeas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1098" w:type="dxa"/>
            <w:vAlign w:val="center"/>
          </w:tcPr>
          <w:p>
            <w:pPr>
              <w:pStyle w:val="27"/>
              <w:spacing w:line="440" w:lineRule="exact"/>
              <w:ind w:firstLine="0"/>
              <w:jc w:val="center"/>
              <w:rPr>
                <w:rFonts w:ascii="微软雅黑" w:hAnsi="微软雅黑" w:eastAsia="微软雅黑" w:cs="微软雅黑"/>
                <w:color w:val="auto"/>
                <w:kern w:val="2"/>
                <w:szCs w:val="24"/>
                <w:highlight w:val="none"/>
              </w:rPr>
            </w:pPr>
          </w:p>
        </w:tc>
        <w:tc>
          <w:tcPr>
            <w:tcW w:w="1395" w:type="dxa"/>
            <w:vAlign w:val="center"/>
          </w:tcPr>
          <w:p>
            <w:pPr>
              <w:spacing w:line="520" w:lineRule="atLeast"/>
              <w:jc w:val="center"/>
              <w:rPr>
                <w:rFonts w:ascii="微软雅黑" w:hAnsi="微软雅黑" w:eastAsia="微软雅黑" w:cs="微软雅黑"/>
                <w:color w:val="auto"/>
                <w:sz w:val="24"/>
                <w:highlight w:val="none"/>
              </w:rPr>
            </w:pPr>
          </w:p>
        </w:tc>
        <w:tc>
          <w:tcPr>
            <w:tcW w:w="889" w:type="dxa"/>
            <w:vAlign w:val="center"/>
          </w:tcPr>
          <w:p>
            <w:pPr>
              <w:spacing w:line="520" w:lineRule="atLeast"/>
              <w:jc w:val="center"/>
              <w:rPr>
                <w:rFonts w:ascii="微软雅黑" w:hAnsi="微软雅黑" w:eastAsia="微软雅黑" w:cs="微软雅黑"/>
                <w:color w:val="auto"/>
                <w:sz w:val="24"/>
                <w:highlight w:val="none"/>
              </w:rPr>
            </w:pPr>
          </w:p>
        </w:tc>
        <w:tc>
          <w:tcPr>
            <w:tcW w:w="1323" w:type="dxa"/>
            <w:vAlign w:val="center"/>
          </w:tcPr>
          <w:p>
            <w:pPr>
              <w:spacing w:line="520" w:lineRule="atLeast"/>
              <w:jc w:val="center"/>
              <w:rPr>
                <w:rFonts w:ascii="微软雅黑" w:hAnsi="微软雅黑" w:eastAsia="微软雅黑" w:cs="微软雅黑"/>
                <w:color w:val="auto"/>
                <w:sz w:val="24"/>
                <w:highlight w:val="none"/>
              </w:rPr>
            </w:pPr>
          </w:p>
        </w:tc>
        <w:tc>
          <w:tcPr>
            <w:tcW w:w="832" w:type="dxa"/>
          </w:tcPr>
          <w:p>
            <w:pPr>
              <w:spacing w:line="520" w:lineRule="atLeast"/>
              <w:jc w:val="center"/>
              <w:rPr>
                <w:rFonts w:ascii="微软雅黑" w:hAnsi="微软雅黑" w:eastAsia="微软雅黑" w:cs="微软雅黑"/>
                <w:color w:val="auto"/>
                <w:sz w:val="24"/>
                <w:highlight w:val="none"/>
              </w:rPr>
            </w:pPr>
          </w:p>
        </w:tc>
        <w:tc>
          <w:tcPr>
            <w:tcW w:w="1142" w:type="dxa"/>
            <w:vAlign w:val="center"/>
          </w:tcPr>
          <w:p>
            <w:pPr>
              <w:spacing w:line="520" w:lineRule="atLeast"/>
              <w:jc w:val="center"/>
              <w:rPr>
                <w:rFonts w:ascii="微软雅黑" w:hAnsi="微软雅黑" w:eastAsia="微软雅黑" w:cs="微软雅黑"/>
                <w:color w:val="auto"/>
                <w:sz w:val="24"/>
                <w:highlight w:val="none"/>
              </w:rPr>
            </w:pPr>
          </w:p>
        </w:tc>
        <w:tc>
          <w:tcPr>
            <w:tcW w:w="1142" w:type="dxa"/>
          </w:tcPr>
          <w:p>
            <w:pPr>
              <w:spacing w:line="520" w:lineRule="atLeast"/>
              <w:jc w:val="center"/>
              <w:rPr>
                <w:rFonts w:ascii="微软雅黑" w:hAnsi="微软雅黑" w:eastAsia="微软雅黑" w:cs="微软雅黑"/>
                <w:color w:val="auto"/>
                <w:sz w:val="24"/>
                <w:highlight w:val="none"/>
              </w:rPr>
            </w:pPr>
          </w:p>
        </w:tc>
        <w:tc>
          <w:tcPr>
            <w:tcW w:w="1131" w:type="dxa"/>
          </w:tcPr>
          <w:p>
            <w:pPr>
              <w:spacing w:line="520" w:lineRule="atLeast"/>
              <w:jc w:val="center"/>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587" w:type="dxa"/>
            <w:vAlign w:val="center"/>
          </w:tcPr>
          <w:p>
            <w:pPr>
              <w:spacing w:line="520" w:lineRule="atLeas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1098" w:type="dxa"/>
            <w:vAlign w:val="center"/>
          </w:tcPr>
          <w:p>
            <w:pPr>
              <w:pStyle w:val="27"/>
              <w:spacing w:line="440" w:lineRule="exact"/>
              <w:ind w:firstLine="0"/>
              <w:jc w:val="center"/>
              <w:rPr>
                <w:rFonts w:ascii="微软雅黑" w:hAnsi="微软雅黑" w:eastAsia="微软雅黑" w:cs="微软雅黑"/>
                <w:color w:val="auto"/>
                <w:kern w:val="2"/>
                <w:szCs w:val="24"/>
                <w:highlight w:val="none"/>
              </w:rPr>
            </w:pPr>
          </w:p>
        </w:tc>
        <w:tc>
          <w:tcPr>
            <w:tcW w:w="1395" w:type="dxa"/>
            <w:vAlign w:val="center"/>
          </w:tcPr>
          <w:p>
            <w:pPr>
              <w:spacing w:line="520" w:lineRule="atLeast"/>
              <w:jc w:val="center"/>
              <w:rPr>
                <w:rFonts w:ascii="微软雅黑" w:hAnsi="微软雅黑" w:eastAsia="微软雅黑" w:cs="微软雅黑"/>
                <w:color w:val="auto"/>
                <w:sz w:val="24"/>
                <w:highlight w:val="none"/>
              </w:rPr>
            </w:pPr>
          </w:p>
        </w:tc>
        <w:tc>
          <w:tcPr>
            <w:tcW w:w="889" w:type="dxa"/>
            <w:vAlign w:val="center"/>
          </w:tcPr>
          <w:p>
            <w:pPr>
              <w:spacing w:line="520" w:lineRule="atLeast"/>
              <w:jc w:val="center"/>
              <w:rPr>
                <w:rFonts w:ascii="微软雅黑" w:hAnsi="微软雅黑" w:eastAsia="微软雅黑" w:cs="微软雅黑"/>
                <w:color w:val="auto"/>
                <w:sz w:val="24"/>
                <w:highlight w:val="none"/>
              </w:rPr>
            </w:pPr>
          </w:p>
        </w:tc>
        <w:tc>
          <w:tcPr>
            <w:tcW w:w="1323" w:type="dxa"/>
            <w:vAlign w:val="center"/>
          </w:tcPr>
          <w:p>
            <w:pPr>
              <w:spacing w:line="520" w:lineRule="atLeast"/>
              <w:jc w:val="center"/>
              <w:rPr>
                <w:rFonts w:ascii="微软雅黑" w:hAnsi="微软雅黑" w:eastAsia="微软雅黑" w:cs="微软雅黑"/>
                <w:color w:val="auto"/>
                <w:sz w:val="24"/>
                <w:highlight w:val="none"/>
              </w:rPr>
            </w:pPr>
          </w:p>
        </w:tc>
        <w:tc>
          <w:tcPr>
            <w:tcW w:w="832" w:type="dxa"/>
          </w:tcPr>
          <w:p>
            <w:pPr>
              <w:spacing w:line="520" w:lineRule="atLeast"/>
              <w:jc w:val="center"/>
              <w:rPr>
                <w:rFonts w:ascii="微软雅黑" w:hAnsi="微软雅黑" w:eastAsia="微软雅黑" w:cs="微软雅黑"/>
                <w:color w:val="auto"/>
                <w:sz w:val="24"/>
                <w:highlight w:val="none"/>
              </w:rPr>
            </w:pPr>
          </w:p>
        </w:tc>
        <w:tc>
          <w:tcPr>
            <w:tcW w:w="1142" w:type="dxa"/>
            <w:vAlign w:val="center"/>
          </w:tcPr>
          <w:p>
            <w:pPr>
              <w:spacing w:line="520" w:lineRule="atLeast"/>
              <w:jc w:val="center"/>
              <w:rPr>
                <w:rFonts w:ascii="微软雅黑" w:hAnsi="微软雅黑" w:eastAsia="微软雅黑" w:cs="微软雅黑"/>
                <w:color w:val="auto"/>
                <w:sz w:val="24"/>
                <w:highlight w:val="none"/>
              </w:rPr>
            </w:pPr>
          </w:p>
        </w:tc>
        <w:tc>
          <w:tcPr>
            <w:tcW w:w="1142" w:type="dxa"/>
          </w:tcPr>
          <w:p>
            <w:pPr>
              <w:spacing w:line="520" w:lineRule="atLeast"/>
              <w:jc w:val="center"/>
              <w:rPr>
                <w:rFonts w:ascii="微软雅黑" w:hAnsi="微软雅黑" w:eastAsia="微软雅黑" w:cs="微软雅黑"/>
                <w:color w:val="auto"/>
                <w:sz w:val="24"/>
                <w:highlight w:val="none"/>
              </w:rPr>
            </w:pPr>
          </w:p>
        </w:tc>
        <w:tc>
          <w:tcPr>
            <w:tcW w:w="1131" w:type="dxa"/>
          </w:tcPr>
          <w:p>
            <w:pPr>
              <w:spacing w:line="520" w:lineRule="atLeast"/>
              <w:jc w:val="center"/>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587" w:type="dxa"/>
            <w:vAlign w:val="center"/>
          </w:tcPr>
          <w:p>
            <w:pPr>
              <w:spacing w:line="520" w:lineRule="atLeast"/>
              <w:ind w:firstLine="240" w:firstLineChars="1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tc>
        <w:tc>
          <w:tcPr>
            <w:tcW w:w="1098" w:type="dxa"/>
            <w:vAlign w:val="center"/>
          </w:tcPr>
          <w:p>
            <w:pPr>
              <w:pStyle w:val="27"/>
              <w:spacing w:line="440" w:lineRule="exact"/>
              <w:ind w:firstLine="0"/>
              <w:jc w:val="center"/>
              <w:rPr>
                <w:rFonts w:ascii="微软雅黑" w:hAnsi="微软雅黑" w:eastAsia="微软雅黑" w:cs="微软雅黑"/>
                <w:color w:val="auto"/>
                <w:kern w:val="2"/>
                <w:szCs w:val="24"/>
                <w:highlight w:val="none"/>
              </w:rPr>
            </w:pPr>
          </w:p>
        </w:tc>
        <w:tc>
          <w:tcPr>
            <w:tcW w:w="1395" w:type="dxa"/>
            <w:vAlign w:val="center"/>
          </w:tcPr>
          <w:p>
            <w:pPr>
              <w:spacing w:line="520" w:lineRule="atLeast"/>
              <w:jc w:val="center"/>
              <w:rPr>
                <w:rFonts w:ascii="微软雅黑" w:hAnsi="微软雅黑" w:eastAsia="微软雅黑" w:cs="微软雅黑"/>
                <w:color w:val="auto"/>
                <w:sz w:val="24"/>
                <w:highlight w:val="none"/>
              </w:rPr>
            </w:pPr>
          </w:p>
        </w:tc>
        <w:tc>
          <w:tcPr>
            <w:tcW w:w="889" w:type="dxa"/>
            <w:vAlign w:val="center"/>
          </w:tcPr>
          <w:p>
            <w:pPr>
              <w:spacing w:line="520" w:lineRule="atLeast"/>
              <w:jc w:val="center"/>
              <w:rPr>
                <w:rFonts w:ascii="微软雅黑" w:hAnsi="微软雅黑" w:eastAsia="微软雅黑" w:cs="微软雅黑"/>
                <w:color w:val="auto"/>
                <w:sz w:val="24"/>
                <w:highlight w:val="none"/>
              </w:rPr>
            </w:pPr>
          </w:p>
        </w:tc>
        <w:tc>
          <w:tcPr>
            <w:tcW w:w="1323" w:type="dxa"/>
            <w:vAlign w:val="center"/>
          </w:tcPr>
          <w:p>
            <w:pPr>
              <w:spacing w:line="520" w:lineRule="atLeast"/>
              <w:jc w:val="center"/>
              <w:rPr>
                <w:rFonts w:ascii="微软雅黑" w:hAnsi="微软雅黑" w:eastAsia="微软雅黑" w:cs="微软雅黑"/>
                <w:color w:val="auto"/>
                <w:sz w:val="24"/>
                <w:highlight w:val="none"/>
              </w:rPr>
            </w:pPr>
          </w:p>
        </w:tc>
        <w:tc>
          <w:tcPr>
            <w:tcW w:w="832" w:type="dxa"/>
          </w:tcPr>
          <w:p>
            <w:pPr>
              <w:spacing w:line="520" w:lineRule="atLeast"/>
              <w:jc w:val="center"/>
              <w:rPr>
                <w:rFonts w:ascii="微软雅黑" w:hAnsi="微软雅黑" w:eastAsia="微软雅黑" w:cs="微软雅黑"/>
                <w:color w:val="auto"/>
                <w:sz w:val="24"/>
                <w:highlight w:val="none"/>
              </w:rPr>
            </w:pPr>
          </w:p>
        </w:tc>
        <w:tc>
          <w:tcPr>
            <w:tcW w:w="1142" w:type="dxa"/>
            <w:vAlign w:val="center"/>
          </w:tcPr>
          <w:p>
            <w:pPr>
              <w:spacing w:line="520" w:lineRule="atLeast"/>
              <w:jc w:val="center"/>
              <w:rPr>
                <w:rFonts w:ascii="微软雅黑" w:hAnsi="微软雅黑" w:eastAsia="微软雅黑" w:cs="微软雅黑"/>
                <w:color w:val="auto"/>
                <w:sz w:val="24"/>
                <w:highlight w:val="none"/>
              </w:rPr>
            </w:pPr>
          </w:p>
        </w:tc>
        <w:tc>
          <w:tcPr>
            <w:tcW w:w="1142" w:type="dxa"/>
          </w:tcPr>
          <w:p>
            <w:pPr>
              <w:spacing w:line="520" w:lineRule="atLeast"/>
              <w:jc w:val="center"/>
              <w:rPr>
                <w:rFonts w:ascii="微软雅黑" w:hAnsi="微软雅黑" w:eastAsia="微软雅黑" w:cs="微软雅黑"/>
                <w:color w:val="auto"/>
                <w:sz w:val="24"/>
                <w:highlight w:val="none"/>
              </w:rPr>
            </w:pPr>
          </w:p>
        </w:tc>
        <w:tc>
          <w:tcPr>
            <w:tcW w:w="1131" w:type="dxa"/>
          </w:tcPr>
          <w:p>
            <w:pPr>
              <w:spacing w:line="520" w:lineRule="atLeast"/>
              <w:jc w:val="center"/>
              <w:rPr>
                <w:rFonts w:ascii="微软雅黑" w:hAnsi="微软雅黑" w:eastAsia="微软雅黑" w:cs="微软雅黑"/>
                <w:color w:val="auto"/>
                <w:sz w:val="24"/>
                <w:highlight w:val="none"/>
              </w:rPr>
            </w:pPr>
          </w:p>
        </w:tc>
      </w:tr>
    </w:tbl>
    <w:p>
      <w:pPr>
        <w:rPr>
          <w:rFonts w:ascii="微软雅黑" w:hAnsi="微软雅黑" w:eastAsia="微软雅黑"/>
          <w:color w:val="auto"/>
          <w:sz w:val="24"/>
          <w:highlight w:val="none"/>
        </w:rPr>
      </w:pPr>
      <w:r>
        <w:rPr>
          <w:rFonts w:hint="eastAsia" w:ascii="微软雅黑" w:hAnsi="微软雅黑" w:eastAsia="微软雅黑"/>
          <w:color w:val="auto"/>
          <w:sz w:val="24"/>
          <w:highlight w:val="none"/>
        </w:rPr>
        <w:t>注：1.明细报价表必须认真填写，包括产品的品牌、型号、配置参数、价格、数量、质保、培训、项目实施时间等详细说明。</w:t>
      </w:r>
    </w:p>
    <w:p>
      <w:pPr>
        <w:rPr>
          <w:rFonts w:ascii="微软雅黑" w:hAnsi="微软雅黑" w:eastAsia="微软雅黑"/>
          <w:color w:val="auto"/>
          <w:sz w:val="24"/>
          <w:highlight w:val="none"/>
        </w:rPr>
      </w:pPr>
      <w:r>
        <w:rPr>
          <w:rFonts w:hint="eastAsia" w:ascii="微软雅黑" w:hAnsi="微软雅黑" w:eastAsia="微软雅黑"/>
          <w:color w:val="auto"/>
          <w:sz w:val="24"/>
          <w:highlight w:val="none"/>
        </w:rPr>
        <w:t>2.单价应包括装、卸、运、安装调试等费用，以及已支付或将支付的营业税和其它税费。</w:t>
      </w:r>
    </w:p>
    <w:p>
      <w:pPr>
        <w:rPr>
          <w:rFonts w:ascii="微软雅黑" w:hAnsi="微软雅黑" w:eastAsia="微软雅黑"/>
          <w:color w:val="auto"/>
          <w:sz w:val="24"/>
          <w:highlight w:val="none"/>
        </w:rPr>
      </w:pPr>
      <w:r>
        <w:rPr>
          <w:rFonts w:hint="eastAsia" w:ascii="微软雅黑" w:hAnsi="微软雅黑" w:eastAsia="微软雅黑"/>
          <w:color w:val="auto"/>
          <w:sz w:val="24"/>
          <w:highlight w:val="none"/>
        </w:rPr>
        <w:t xml:space="preserve">3.请提供本招标文件要求产品详细的配置清单及分项报价，包括标准件、选购件及个性化定制单价。 </w:t>
      </w:r>
    </w:p>
    <w:p>
      <w:pPr>
        <w:pStyle w:val="2"/>
        <w:ind w:firstLine="0"/>
        <w:rPr>
          <w:rFonts w:ascii="微软雅黑" w:hAnsi="微软雅黑" w:eastAsia="微软雅黑"/>
          <w:color w:val="auto"/>
          <w:kern w:val="2"/>
          <w:szCs w:val="24"/>
          <w:highlight w:val="none"/>
        </w:rPr>
      </w:pPr>
      <w:r>
        <w:rPr>
          <w:rFonts w:hint="eastAsia" w:ascii="微软雅黑" w:hAnsi="微软雅黑" w:eastAsia="微软雅黑"/>
          <w:color w:val="auto"/>
          <w:kern w:val="2"/>
          <w:szCs w:val="24"/>
          <w:highlight w:val="none"/>
        </w:rPr>
        <w:t>4.分项明细报价表投标人可自行增加行，但不可增加列。</w:t>
      </w:r>
    </w:p>
    <w:p>
      <w:pPr>
        <w:pStyle w:val="57"/>
        <w:spacing w:line="440" w:lineRule="exact"/>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投标单位（公章）</w:t>
      </w:r>
      <w:r>
        <w:rPr>
          <w:rFonts w:hint="eastAsia" w:ascii="微软雅黑" w:hAnsi="微软雅黑" w:eastAsia="微软雅黑" w:cs="微软雅黑"/>
          <w:color w:val="auto"/>
          <w:highlight w:val="none"/>
          <w:u w:val="single"/>
        </w:rPr>
        <w:t xml:space="preserve">                           </w:t>
      </w:r>
    </w:p>
    <w:p>
      <w:pPr>
        <w:pStyle w:val="57"/>
        <w:spacing w:line="440" w:lineRule="exact"/>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法定代表人（负责人）或授权委托代理人（签/章）</w:t>
      </w:r>
      <w:r>
        <w:rPr>
          <w:rFonts w:hint="eastAsia" w:ascii="微软雅黑" w:hAnsi="微软雅黑" w:eastAsia="微软雅黑" w:cs="微软雅黑"/>
          <w:color w:val="auto"/>
          <w:highlight w:val="none"/>
          <w:u w:val="single"/>
        </w:rPr>
        <w:t xml:space="preserve">                    </w:t>
      </w: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日期：     年    月   日</w:t>
      </w:r>
    </w:p>
    <w:p>
      <w:pPr>
        <w:pStyle w:val="2"/>
        <w:rPr>
          <w:color w:val="auto"/>
          <w:highlight w:val="none"/>
        </w:rPr>
      </w:pPr>
    </w:p>
    <w:p>
      <w:pPr>
        <w:pStyle w:val="2"/>
        <w:rPr>
          <w:color w:val="auto"/>
          <w:highlight w:val="none"/>
        </w:rPr>
      </w:pPr>
      <w:r>
        <w:rPr>
          <w:color w:val="auto"/>
          <w:highlight w:val="none"/>
        </w:rPr>
        <w:br w:type="page"/>
      </w:r>
    </w:p>
    <w:p>
      <w:pPr>
        <w:rPr>
          <w:rFonts w:ascii="微软雅黑" w:hAnsi="微软雅黑" w:eastAsia="微软雅黑" w:cs="微软雅黑"/>
          <w:b/>
          <w:bCs/>
          <w:color w:val="auto"/>
          <w:sz w:val="24"/>
          <w:highlight w:val="none"/>
        </w:rPr>
      </w:pPr>
    </w:p>
    <w:p>
      <w:pPr>
        <w:pStyle w:val="14"/>
        <w:tabs>
          <w:tab w:val="left" w:pos="5580"/>
        </w:tabs>
        <w:spacing w:line="440" w:lineRule="exact"/>
        <w:ind w:firstLine="2881" w:firstLineChars="1200"/>
        <w:outlineLvl w:val="1"/>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 xml:space="preserve">2   </w:t>
      </w:r>
      <w:bookmarkEnd w:id="319"/>
      <w:bookmarkEnd w:id="320"/>
      <w:bookmarkEnd w:id="321"/>
      <w:bookmarkEnd w:id="322"/>
      <w:bookmarkStart w:id="324" w:name="_Toc216582818"/>
      <w:bookmarkStart w:id="325" w:name="_Toc515647821"/>
      <w:bookmarkStart w:id="326" w:name="_Toc31439"/>
      <w:bookmarkStart w:id="327" w:name="_Toc1980"/>
      <w:bookmarkStart w:id="328" w:name="_Toc23"/>
      <w:r>
        <w:rPr>
          <w:rFonts w:hint="eastAsia" w:ascii="微软雅黑" w:hAnsi="微软雅黑" w:eastAsia="微软雅黑" w:cs="微软雅黑"/>
          <w:b/>
          <w:bCs/>
          <w:color w:val="auto"/>
          <w:sz w:val="24"/>
          <w:szCs w:val="24"/>
          <w:highlight w:val="none"/>
        </w:rPr>
        <w:t>业绩一览表</w:t>
      </w:r>
      <w:bookmarkEnd w:id="323"/>
    </w:p>
    <w:p>
      <w:pPr>
        <w:pStyle w:val="14"/>
        <w:tabs>
          <w:tab w:val="left" w:pos="5580"/>
        </w:tabs>
        <w:spacing w:line="440" w:lineRule="exact"/>
        <w:ind w:firstLine="2881" w:firstLineChars="1200"/>
        <w:outlineLvl w:val="1"/>
        <w:rPr>
          <w:rFonts w:ascii="微软雅黑" w:hAnsi="微软雅黑" w:eastAsia="微软雅黑" w:cs="微软雅黑"/>
          <w:b/>
          <w:bCs/>
          <w:color w:val="auto"/>
          <w:sz w:val="24"/>
          <w:szCs w:val="24"/>
          <w:highlight w:val="none"/>
        </w:rPr>
      </w:pP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2.1、业绩一览表</w:t>
      </w:r>
    </w:p>
    <w:tbl>
      <w:tblPr>
        <w:tblStyle w:val="3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149"/>
        <w:gridCol w:w="2537"/>
        <w:gridCol w:w="1947"/>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7" w:type="dxa"/>
            <w:shd w:val="clear" w:color="auto" w:fill="FFFFFF"/>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序号</w:t>
            </w:r>
          </w:p>
        </w:tc>
        <w:tc>
          <w:tcPr>
            <w:tcW w:w="2149" w:type="dxa"/>
            <w:shd w:val="clear" w:color="auto" w:fill="FFFFFF"/>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合同名称</w:t>
            </w:r>
          </w:p>
        </w:tc>
        <w:tc>
          <w:tcPr>
            <w:tcW w:w="2537" w:type="dxa"/>
            <w:shd w:val="clear" w:color="auto" w:fill="FFFFFF"/>
            <w:vAlign w:val="center"/>
          </w:tcPr>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业主单位</w:t>
            </w:r>
          </w:p>
        </w:tc>
        <w:tc>
          <w:tcPr>
            <w:tcW w:w="1947" w:type="dxa"/>
            <w:shd w:val="clear" w:color="auto" w:fill="FFFFFF"/>
            <w:vAlign w:val="center"/>
          </w:tcPr>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中标金额</w:t>
            </w:r>
          </w:p>
        </w:tc>
        <w:tc>
          <w:tcPr>
            <w:tcW w:w="1947" w:type="dxa"/>
            <w:shd w:val="clear" w:color="auto" w:fill="FFFFFF"/>
            <w:vAlign w:val="center"/>
          </w:tcPr>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7" w:type="dxa"/>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149" w:type="dxa"/>
            <w:vAlign w:val="center"/>
          </w:tcPr>
          <w:p>
            <w:pPr>
              <w:pStyle w:val="57"/>
              <w:spacing w:line="440" w:lineRule="exact"/>
              <w:jc w:val="center"/>
              <w:rPr>
                <w:rFonts w:ascii="微软雅黑" w:hAnsi="微软雅黑" w:eastAsia="微软雅黑" w:cs="微软雅黑"/>
                <w:color w:val="auto"/>
                <w:highlight w:val="none"/>
              </w:rPr>
            </w:pPr>
          </w:p>
        </w:tc>
        <w:tc>
          <w:tcPr>
            <w:tcW w:w="253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7" w:type="dxa"/>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w:t>
            </w:r>
          </w:p>
        </w:tc>
        <w:tc>
          <w:tcPr>
            <w:tcW w:w="2149" w:type="dxa"/>
            <w:vAlign w:val="center"/>
          </w:tcPr>
          <w:p>
            <w:pPr>
              <w:pStyle w:val="57"/>
              <w:spacing w:line="440" w:lineRule="exact"/>
              <w:jc w:val="center"/>
              <w:rPr>
                <w:rFonts w:ascii="微软雅黑" w:hAnsi="微软雅黑" w:eastAsia="微软雅黑" w:cs="微软雅黑"/>
                <w:color w:val="auto"/>
                <w:highlight w:val="none"/>
              </w:rPr>
            </w:pPr>
          </w:p>
        </w:tc>
        <w:tc>
          <w:tcPr>
            <w:tcW w:w="253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7" w:type="dxa"/>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w:t>
            </w:r>
          </w:p>
        </w:tc>
        <w:tc>
          <w:tcPr>
            <w:tcW w:w="2149" w:type="dxa"/>
            <w:vAlign w:val="center"/>
          </w:tcPr>
          <w:p>
            <w:pPr>
              <w:pStyle w:val="57"/>
              <w:spacing w:line="440" w:lineRule="exact"/>
              <w:jc w:val="center"/>
              <w:rPr>
                <w:rFonts w:ascii="微软雅黑" w:hAnsi="微软雅黑" w:eastAsia="微软雅黑" w:cs="微软雅黑"/>
                <w:color w:val="auto"/>
                <w:highlight w:val="none"/>
              </w:rPr>
            </w:pPr>
          </w:p>
        </w:tc>
        <w:tc>
          <w:tcPr>
            <w:tcW w:w="253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7" w:type="dxa"/>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4</w:t>
            </w:r>
          </w:p>
        </w:tc>
        <w:tc>
          <w:tcPr>
            <w:tcW w:w="2149" w:type="dxa"/>
            <w:vAlign w:val="center"/>
          </w:tcPr>
          <w:p>
            <w:pPr>
              <w:pStyle w:val="57"/>
              <w:spacing w:line="440" w:lineRule="exact"/>
              <w:jc w:val="center"/>
              <w:rPr>
                <w:rFonts w:ascii="微软雅黑" w:hAnsi="微软雅黑" w:eastAsia="微软雅黑" w:cs="微软雅黑"/>
                <w:color w:val="auto"/>
                <w:highlight w:val="none"/>
              </w:rPr>
            </w:pPr>
          </w:p>
        </w:tc>
        <w:tc>
          <w:tcPr>
            <w:tcW w:w="253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7" w:type="dxa"/>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5</w:t>
            </w:r>
          </w:p>
        </w:tc>
        <w:tc>
          <w:tcPr>
            <w:tcW w:w="2149" w:type="dxa"/>
            <w:vAlign w:val="center"/>
          </w:tcPr>
          <w:p>
            <w:pPr>
              <w:pStyle w:val="57"/>
              <w:spacing w:line="440" w:lineRule="exact"/>
              <w:jc w:val="center"/>
              <w:rPr>
                <w:rFonts w:ascii="微软雅黑" w:hAnsi="微软雅黑" w:eastAsia="微软雅黑" w:cs="微软雅黑"/>
                <w:color w:val="auto"/>
                <w:highlight w:val="none"/>
              </w:rPr>
            </w:pPr>
          </w:p>
        </w:tc>
        <w:tc>
          <w:tcPr>
            <w:tcW w:w="253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7" w:type="dxa"/>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6</w:t>
            </w:r>
          </w:p>
        </w:tc>
        <w:tc>
          <w:tcPr>
            <w:tcW w:w="2149" w:type="dxa"/>
            <w:vAlign w:val="center"/>
          </w:tcPr>
          <w:p>
            <w:pPr>
              <w:pStyle w:val="57"/>
              <w:spacing w:line="440" w:lineRule="exact"/>
              <w:jc w:val="center"/>
              <w:rPr>
                <w:rFonts w:ascii="微软雅黑" w:hAnsi="微软雅黑" w:eastAsia="微软雅黑" w:cs="微软雅黑"/>
                <w:color w:val="auto"/>
                <w:highlight w:val="none"/>
              </w:rPr>
            </w:pPr>
          </w:p>
        </w:tc>
        <w:tc>
          <w:tcPr>
            <w:tcW w:w="253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57" w:type="dxa"/>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7</w:t>
            </w:r>
          </w:p>
        </w:tc>
        <w:tc>
          <w:tcPr>
            <w:tcW w:w="2149" w:type="dxa"/>
            <w:vAlign w:val="center"/>
          </w:tcPr>
          <w:p>
            <w:pPr>
              <w:pStyle w:val="57"/>
              <w:spacing w:line="440" w:lineRule="exact"/>
              <w:jc w:val="center"/>
              <w:rPr>
                <w:rFonts w:ascii="微软雅黑" w:hAnsi="微软雅黑" w:eastAsia="微软雅黑" w:cs="微软雅黑"/>
                <w:color w:val="auto"/>
                <w:highlight w:val="none"/>
              </w:rPr>
            </w:pPr>
          </w:p>
        </w:tc>
        <w:tc>
          <w:tcPr>
            <w:tcW w:w="253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57" w:type="dxa"/>
            <w:vAlign w:val="center"/>
          </w:tcPr>
          <w:p>
            <w:pPr>
              <w:pStyle w:val="57"/>
              <w:spacing w:line="440" w:lineRule="exact"/>
              <w:jc w:val="cente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8</w:t>
            </w:r>
          </w:p>
        </w:tc>
        <w:tc>
          <w:tcPr>
            <w:tcW w:w="2149" w:type="dxa"/>
            <w:vAlign w:val="center"/>
          </w:tcPr>
          <w:p>
            <w:pPr>
              <w:pStyle w:val="57"/>
              <w:spacing w:line="440" w:lineRule="exact"/>
              <w:jc w:val="center"/>
              <w:rPr>
                <w:rFonts w:ascii="微软雅黑" w:hAnsi="微软雅黑" w:eastAsia="微软雅黑" w:cs="微软雅黑"/>
                <w:color w:val="auto"/>
                <w:highlight w:val="none"/>
              </w:rPr>
            </w:pPr>
          </w:p>
        </w:tc>
        <w:tc>
          <w:tcPr>
            <w:tcW w:w="253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c>
          <w:tcPr>
            <w:tcW w:w="1947" w:type="dxa"/>
            <w:vAlign w:val="center"/>
          </w:tcPr>
          <w:p>
            <w:pPr>
              <w:pStyle w:val="57"/>
              <w:spacing w:line="440" w:lineRule="exact"/>
              <w:rPr>
                <w:rFonts w:ascii="微软雅黑" w:hAnsi="微软雅黑" w:eastAsia="微软雅黑" w:cs="微软雅黑"/>
                <w:color w:val="auto"/>
                <w:highlight w:val="none"/>
              </w:rPr>
            </w:pPr>
          </w:p>
        </w:tc>
      </w:tr>
    </w:tbl>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注：1．投标人应随此表附上合同复印件；</w:t>
      </w:r>
    </w:p>
    <w:p>
      <w:pPr>
        <w:pStyle w:val="57"/>
        <w:spacing w:line="440" w:lineRule="exact"/>
        <w:ind w:firstLine="48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2．如有多个类似项目，可按此表格扩展；</w:t>
      </w:r>
    </w:p>
    <w:p>
      <w:pPr>
        <w:pStyle w:val="57"/>
        <w:spacing w:line="440" w:lineRule="exact"/>
        <w:ind w:firstLine="48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3．2019年1月1日起的合同为有效。</w:t>
      </w:r>
    </w:p>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投标单位（公章）</w:t>
      </w:r>
      <w:r>
        <w:rPr>
          <w:rFonts w:hint="eastAsia" w:ascii="微软雅黑" w:hAnsi="微软雅黑" w:eastAsia="微软雅黑" w:cs="微软雅黑"/>
          <w:color w:val="auto"/>
          <w:highlight w:val="none"/>
          <w:u w:val="single"/>
        </w:rPr>
        <w:t xml:space="preserve">                           </w:t>
      </w:r>
    </w:p>
    <w:p>
      <w:pPr>
        <w:pStyle w:val="57"/>
        <w:spacing w:line="440" w:lineRule="exact"/>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法定代表人（负责人）或授权委托代理人（签/章）</w:t>
      </w:r>
      <w:r>
        <w:rPr>
          <w:rFonts w:hint="eastAsia" w:ascii="微软雅黑" w:hAnsi="微软雅黑" w:eastAsia="微软雅黑" w:cs="微软雅黑"/>
          <w:color w:val="auto"/>
          <w:highlight w:val="none"/>
          <w:u w:val="single"/>
        </w:rPr>
        <w:t xml:space="preserve">                    </w:t>
      </w:r>
    </w:p>
    <w:p>
      <w:pPr>
        <w:pStyle w:val="57"/>
        <w:spacing w:line="44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日期：     年    月   日</w:t>
      </w:r>
    </w:p>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rPr>
      </w:pPr>
    </w:p>
    <w:p>
      <w:pPr>
        <w:pStyle w:val="57"/>
        <w:spacing w:line="440" w:lineRule="exact"/>
        <w:rPr>
          <w:rFonts w:ascii="微软雅黑" w:hAnsi="微软雅黑" w:eastAsia="微软雅黑" w:cs="微软雅黑"/>
          <w:color w:val="auto"/>
          <w:highlight w:val="none"/>
        </w:rPr>
      </w:pPr>
    </w:p>
    <w:p>
      <w:pPr>
        <w:pStyle w:val="14"/>
        <w:tabs>
          <w:tab w:val="left" w:pos="5580"/>
        </w:tabs>
        <w:spacing w:line="440" w:lineRule="exact"/>
        <w:jc w:val="center"/>
        <w:outlineLvl w:val="1"/>
        <w:rPr>
          <w:rFonts w:ascii="微软雅黑" w:hAnsi="微软雅黑" w:eastAsia="微软雅黑" w:cs="微软雅黑"/>
          <w:b/>
          <w:bCs/>
          <w:color w:val="auto"/>
          <w:sz w:val="24"/>
          <w:szCs w:val="24"/>
          <w:highlight w:val="none"/>
        </w:rPr>
      </w:pPr>
      <w:bookmarkStart w:id="329" w:name="_Toc5588"/>
      <w:bookmarkStart w:id="330" w:name="_Toc27213"/>
      <w:bookmarkStart w:id="331" w:name="_Toc18010"/>
      <w:r>
        <w:rPr>
          <w:rFonts w:hint="eastAsia" w:ascii="微软雅黑" w:hAnsi="微软雅黑" w:eastAsia="微软雅黑" w:cs="微软雅黑"/>
          <w:b/>
          <w:bCs/>
          <w:color w:val="auto"/>
          <w:sz w:val="24"/>
          <w:szCs w:val="24"/>
          <w:highlight w:val="none"/>
        </w:rPr>
        <w:t>3   商务条款偏离表</w:t>
      </w:r>
      <w:bookmarkEnd w:id="324"/>
      <w:bookmarkEnd w:id="325"/>
      <w:bookmarkEnd w:id="326"/>
      <w:bookmarkEnd w:id="327"/>
      <w:bookmarkEnd w:id="328"/>
      <w:bookmarkEnd w:id="329"/>
      <w:bookmarkEnd w:id="330"/>
      <w:bookmarkEnd w:id="331"/>
    </w:p>
    <w:p>
      <w:pPr>
        <w:pStyle w:val="14"/>
        <w:spacing w:line="440" w:lineRule="exact"/>
        <w:ind w:left="1080" w:leftChars="257" w:hanging="540"/>
        <w:rPr>
          <w:rFonts w:ascii="微软雅黑" w:hAnsi="微软雅黑" w:eastAsia="微软雅黑" w:cs="微软雅黑"/>
          <w:color w:val="auto"/>
          <w:sz w:val="24"/>
          <w:szCs w:val="24"/>
          <w:highlight w:val="none"/>
        </w:rPr>
      </w:pP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                      招标编号:             包号:</w:t>
      </w:r>
    </w:p>
    <w:p>
      <w:pPr>
        <w:pStyle w:val="14"/>
        <w:spacing w:line="440" w:lineRule="exact"/>
        <w:ind w:left="1080" w:leftChars="257" w:hanging="540"/>
        <w:rPr>
          <w:rFonts w:ascii="微软雅黑" w:hAnsi="微软雅黑" w:eastAsia="微软雅黑" w:cs="微软雅黑"/>
          <w:color w:val="auto"/>
          <w:sz w:val="24"/>
          <w:szCs w:val="24"/>
          <w:highlight w:val="none"/>
        </w:rPr>
      </w:pPr>
    </w:p>
    <w:tbl>
      <w:tblPr>
        <w:tblStyle w:val="35"/>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97"/>
        <w:gridCol w:w="1988"/>
        <w:gridCol w:w="2332"/>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90"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597"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988"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332"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2009"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jc w:val="center"/>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jc w:val="center"/>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9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597"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98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332"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09"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bl>
    <w:p>
      <w:pPr>
        <w:pStyle w:val="14"/>
        <w:spacing w:line="44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注：1.若本表为空，则表示投标人“全部满足”采购人相应要求。</w:t>
      </w:r>
    </w:p>
    <w:p>
      <w:pPr>
        <w:pStyle w:val="14"/>
        <w:spacing w:line="44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★2.即使本表为空，也需在投标文件中提供。</w:t>
      </w:r>
    </w:p>
    <w:p>
      <w:pPr>
        <w:pStyle w:val="14"/>
        <w:spacing w:line="44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3.若投标人在《商务条款偏离表》中投标情况说明为“全部满足”，但有额外的负向附加解释或说明，视为对该条款的偏离。</w:t>
      </w:r>
    </w:p>
    <w:p>
      <w:pPr>
        <w:pStyle w:val="14"/>
        <w:spacing w:line="44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如果“投标情况说明”为“不满足”或是“部分满足”，请在“招标文件的商务条款”列，列明“不满足”或是“部分满足”的“具体招标文件条款内容”（仅可增加行），同时在“投标文件的商务条款”列，列明“不满足”或是“部分满足”的“具体投标文件的偏离条款”。</w:t>
      </w: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投标单位(公章):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法定代表人（负责人）或授权委托代理人（签/章）: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57"/>
        <w:spacing w:line="440" w:lineRule="exact"/>
        <w:ind w:firstLine="48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日期：     年    月   日</w:t>
      </w:r>
    </w:p>
    <w:p>
      <w:pPr>
        <w:pStyle w:val="2"/>
        <w:spacing w:line="440" w:lineRule="exact"/>
        <w:rPr>
          <w:rFonts w:ascii="微软雅黑" w:hAnsi="微软雅黑" w:eastAsia="微软雅黑" w:cs="微软雅黑"/>
          <w:color w:val="auto"/>
          <w:szCs w:val="24"/>
          <w:highlight w:val="none"/>
        </w:rPr>
      </w:pPr>
    </w:p>
    <w:p>
      <w:pPr>
        <w:pStyle w:val="4"/>
        <w:spacing w:before="0" w:line="440" w:lineRule="exact"/>
        <w:rPr>
          <w:rFonts w:ascii="微软雅黑" w:hAnsi="微软雅黑" w:eastAsia="微软雅黑" w:cs="微软雅黑"/>
          <w:color w:val="auto"/>
          <w:sz w:val="24"/>
          <w:szCs w:val="24"/>
          <w:highlight w:val="none"/>
        </w:rPr>
      </w:pPr>
      <w:bookmarkStart w:id="332" w:name="_Toc6604"/>
      <w:r>
        <w:rPr>
          <w:rFonts w:hint="eastAsia" w:ascii="微软雅黑" w:hAnsi="微软雅黑" w:eastAsia="微软雅黑" w:cs="微软雅黑"/>
          <w:color w:val="auto"/>
          <w:sz w:val="24"/>
          <w:szCs w:val="24"/>
          <w:highlight w:val="none"/>
        </w:rPr>
        <w:t>技术条款偏离表</w:t>
      </w:r>
    </w:p>
    <w:p>
      <w:pPr>
        <w:rPr>
          <w:color w:val="auto"/>
          <w:highlight w:val="none"/>
        </w:rPr>
      </w:pP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                      招标编号:             包号:</w:t>
      </w:r>
    </w:p>
    <w:p>
      <w:pPr>
        <w:pStyle w:val="14"/>
        <w:spacing w:line="440" w:lineRule="exact"/>
        <w:ind w:left="1080" w:leftChars="257" w:hanging="540"/>
        <w:rPr>
          <w:rFonts w:ascii="微软雅黑" w:hAnsi="微软雅黑" w:eastAsia="微软雅黑" w:cs="微软雅黑"/>
          <w:color w:val="auto"/>
          <w:sz w:val="24"/>
          <w:szCs w:val="24"/>
          <w:highlight w:val="none"/>
        </w:rPr>
      </w:pPr>
    </w:p>
    <w:tbl>
      <w:tblPr>
        <w:tblStyle w:val="3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040"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520"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招标文件的技术条款</w:t>
            </w:r>
          </w:p>
        </w:tc>
        <w:tc>
          <w:tcPr>
            <w:tcW w:w="2520"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投标文件的技术条款</w:t>
            </w:r>
          </w:p>
        </w:tc>
        <w:tc>
          <w:tcPr>
            <w:tcW w:w="1014" w:type="dxa"/>
          </w:tcPr>
          <w:p>
            <w:pPr>
              <w:pStyle w:val="14"/>
              <w:spacing w:line="440" w:lineRule="exact"/>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jc w:val="center"/>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jc w:val="center"/>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04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2520"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c>
          <w:tcPr>
            <w:tcW w:w="1014" w:type="dxa"/>
          </w:tcPr>
          <w:p>
            <w:pPr>
              <w:pStyle w:val="14"/>
              <w:spacing w:line="440" w:lineRule="exact"/>
              <w:ind w:left="1080" w:leftChars="257" w:hanging="540"/>
              <w:rPr>
                <w:rFonts w:ascii="微软雅黑" w:hAnsi="微软雅黑" w:eastAsia="微软雅黑" w:cs="微软雅黑"/>
                <w:color w:val="auto"/>
                <w:sz w:val="24"/>
                <w:szCs w:val="24"/>
                <w:highlight w:val="none"/>
              </w:rPr>
            </w:pPr>
          </w:p>
        </w:tc>
      </w:tr>
    </w:tbl>
    <w:p>
      <w:pPr>
        <w:pStyle w:val="14"/>
        <w:spacing w:line="44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注：1.若本表为空，则表示投标人“全部满足”采购人相应要求。</w:t>
      </w:r>
    </w:p>
    <w:p>
      <w:pPr>
        <w:pStyle w:val="14"/>
        <w:spacing w:line="44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★2.即使本表为空，也需在投标文件中提供。</w:t>
      </w:r>
    </w:p>
    <w:p>
      <w:pPr>
        <w:pStyle w:val="14"/>
        <w:spacing w:line="44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3.若投标人在《技术条款偏离表》中投标情况说明为“全部满足”，但有额外的负向附加解释或说明，视为对该条款的偏离。</w:t>
      </w:r>
    </w:p>
    <w:p>
      <w:pPr>
        <w:pStyle w:val="14"/>
        <w:spacing w:line="44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如果“投标情况说明”为“不满足”或是“部分满足”，请在“招标文件的技术条款”列，列明“不满足”或是“部分满足”的“具体招标文件条款内容”（仅可增加行），同时在“投标文件的技术条款”列，列明“不满足”或是“部分满足”的“具体投标文件的偏离条款”。</w:t>
      </w: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投标单位(公章):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4"/>
        <w:spacing w:line="440" w:lineRule="exact"/>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法定代表人（负责人）或授权委托代理人（签/章）: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57"/>
        <w:spacing w:line="440" w:lineRule="exact"/>
        <w:ind w:firstLine="48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日期：     年    月   日</w:t>
      </w:r>
    </w:p>
    <w:p>
      <w:pP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br w:type="page"/>
      </w:r>
      <w:r>
        <w:rPr>
          <w:rFonts w:hint="eastAsia" w:ascii="微软雅黑" w:hAnsi="微软雅黑" w:eastAsia="微软雅黑" w:cs="微软雅黑"/>
          <w:b/>
          <w:bCs/>
          <w:color w:val="auto"/>
          <w:sz w:val="24"/>
          <w:highlight w:val="none"/>
        </w:rPr>
        <w:t>4、投标申明书</w:t>
      </w:r>
      <w:bookmarkEnd w:id="332"/>
    </w:p>
    <w:p>
      <w:pPr>
        <w:pStyle w:val="2"/>
        <w:spacing w:line="440" w:lineRule="exact"/>
        <w:rPr>
          <w:rFonts w:ascii="微软雅黑" w:hAnsi="微软雅黑" w:eastAsia="微软雅黑" w:cs="微软雅黑"/>
          <w:color w:val="auto"/>
          <w:szCs w:val="24"/>
          <w:highlight w:val="none"/>
        </w:rPr>
      </w:pPr>
    </w:p>
    <w:p>
      <w:pPr>
        <w:pStyle w:val="2"/>
        <w:spacing w:line="440" w:lineRule="exact"/>
        <w:rPr>
          <w:rFonts w:ascii="微软雅黑" w:hAnsi="微软雅黑" w:eastAsia="微软雅黑" w:cs="微软雅黑"/>
          <w:color w:val="auto"/>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u w:val="single"/>
        </w:rPr>
        <w:t xml:space="preserve">                  </w:t>
      </w:r>
      <w:r>
        <w:rPr>
          <w:rFonts w:hint="eastAsia" w:ascii="微软雅黑" w:hAnsi="微软雅黑" w:eastAsia="微软雅黑" w:cs="微软雅黑"/>
          <w:color w:val="auto"/>
          <w:szCs w:val="24"/>
          <w:highlight w:val="none"/>
        </w:rPr>
        <w:t>（投标单位名称）系中华人民共和国合法企业，经营地址：</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 xml:space="preserve"> 。</w:t>
      </w:r>
    </w:p>
    <w:p>
      <w:pPr>
        <w:pStyle w:val="2"/>
        <w:spacing w:line="440" w:lineRule="exact"/>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我</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（姓名）系</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（投标单位名称）的法定代表人（负责人），我方愿意参加贵方组织的</w:t>
      </w:r>
      <w:r>
        <w:rPr>
          <w:rFonts w:hint="eastAsia" w:ascii="微软雅黑" w:hAnsi="微软雅黑" w:eastAsia="微软雅黑" w:cs="微软雅黑"/>
          <w:b/>
          <w:bCs/>
          <w:color w:val="auto"/>
          <w:szCs w:val="24"/>
          <w:highlight w:val="none"/>
          <w:u w:val="single"/>
        </w:rPr>
        <w:t>疏勒县乡村振兴平台</w:t>
      </w:r>
      <w:r>
        <w:rPr>
          <w:rFonts w:hint="eastAsia" w:ascii="微软雅黑" w:hAnsi="微软雅黑" w:eastAsia="微软雅黑" w:cs="微软雅黑"/>
          <w:color w:val="auto"/>
          <w:szCs w:val="24"/>
          <w:highlight w:val="none"/>
        </w:rPr>
        <w:t>的投标，为便于贵方公正、择优地确定中标方及其投标服务，我方就本次投标有关事项郑重声明如下：</w:t>
      </w:r>
    </w:p>
    <w:p>
      <w:pPr>
        <w:pStyle w:val="2"/>
        <w:spacing w:line="440" w:lineRule="exact"/>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1．我方向贵方提交的所有投标文件、资料都是准确的和真实的；</w:t>
      </w:r>
    </w:p>
    <w:p>
      <w:pPr>
        <w:pStyle w:val="2"/>
        <w:spacing w:line="440" w:lineRule="exact"/>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2．我方与政府行政机关没有隶属关系或者其他利益关系；</w:t>
      </w:r>
    </w:p>
    <w:p>
      <w:pPr>
        <w:pStyle w:val="2"/>
        <w:spacing w:line="440" w:lineRule="exact"/>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3．我方最近三年内没有被公开披露或查处的违法违规行为；</w:t>
      </w:r>
    </w:p>
    <w:p>
      <w:pPr>
        <w:pStyle w:val="2"/>
        <w:spacing w:line="440" w:lineRule="exact"/>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4．以上事项如有虚假或隐瞒，我方愿意承担一切后果和责任。</w:t>
      </w:r>
    </w:p>
    <w:p>
      <w:pPr>
        <w:pStyle w:val="2"/>
        <w:spacing w:line="440" w:lineRule="exact"/>
        <w:rPr>
          <w:rFonts w:ascii="微软雅黑" w:hAnsi="微软雅黑" w:eastAsia="微软雅黑" w:cs="微软雅黑"/>
          <w:color w:val="auto"/>
          <w:szCs w:val="24"/>
          <w:highlight w:val="none"/>
        </w:rPr>
      </w:pPr>
    </w:p>
    <w:p>
      <w:pPr>
        <w:pStyle w:val="2"/>
        <w:spacing w:line="440" w:lineRule="exact"/>
        <w:rPr>
          <w:rFonts w:ascii="微软雅黑" w:hAnsi="微软雅黑" w:eastAsia="微软雅黑" w:cs="微软雅黑"/>
          <w:color w:val="auto"/>
          <w:szCs w:val="24"/>
          <w:highlight w:val="none"/>
        </w:rPr>
      </w:pPr>
    </w:p>
    <w:p>
      <w:pPr>
        <w:pStyle w:val="2"/>
        <w:spacing w:line="440" w:lineRule="exact"/>
        <w:rPr>
          <w:rFonts w:ascii="微软雅黑" w:hAnsi="微软雅黑" w:eastAsia="微软雅黑" w:cs="微软雅黑"/>
          <w:color w:val="auto"/>
          <w:szCs w:val="24"/>
          <w:highlight w:val="none"/>
          <w:u w:val="single"/>
        </w:rPr>
      </w:pPr>
      <w:r>
        <w:rPr>
          <w:rFonts w:hint="eastAsia" w:ascii="微软雅黑" w:hAnsi="微软雅黑" w:eastAsia="微软雅黑" w:cs="微软雅黑"/>
          <w:color w:val="auto"/>
          <w:szCs w:val="24"/>
          <w:highlight w:val="none"/>
        </w:rPr>
        <w:t xml:space="preserve">投标单位（公章） </w:t>
      </w:r>
      <w:r>
        <w:rPr>
          <w:rFonts w:hint="eastAsia" w:ascii="微软雅黑" w:hAnsi="微软雅黑" w:eastAsia="微软雅黑" w:cs="微软雅黑"/>
          <w:color w:val="auto"/>
          <w:szCs w:val="24"/>
          <w:highlight w:val="none"/>
          <w:u w:val="single"/>
        </w:rPr>
        <w:t xml:space="preserve">                                            </w:t>
      </w:r>
    </w:p>
    <w:p>
      <w:pPr>
        <w:pStyle w:val="2"/>
        <w:spacing w:line="440" w:lineRule="exact"/>
        <w:rPr>
          <w:rFonts w:ascii="微软雅黑" w:hAnsi="微软雅黑" w:eastAsia="微软雅黑" w:cs="微软雅黑"/>
          <w:color w:val="auto"/>
          <w:szCs w:val="24"/>
          <w:highlight w:val="none"/>
          <w:u w:val="single"/>
        </w:rPr>
      </w:pPr>
      <w:r>
        <w:rPr>
          <w:rFonts w:hint="eastAsia" w:ascii="微软雅黑" w:hAnsi="微软雅黑" w:eastAsia="微软雅黑" w:cs="微软雅黑"/>
          <w:color w:val="auto"/>
          <w:szCs w:val="24"/>
          <w:highlight w:val="none"/>
        </w:rPr>
        <w:t>法定代表人（负责人）或授权委托人（签/章）</w:t>
      </w:r>
      <w:r>
        <w:rPr>
          <w:rFonts w:hint="eastAsia" w:ascii="微软雅黑" w:hAnsi="微软雅黑" w:eastAsia="微软雅黑" w:cs="微软雅黑"/>
          <w:color w:val="auto"/>
          <w:szCs w:val="24"/>
          <w:highlight w:val="none"/>
          <w:u w:val="single"/>
        </w:rPr>
        <w:t xml:space="preserve">                    </w:t>
      </w:r>
    </w:p>
    <w:p>
      <w:pPr>
        <w:pStyle w:val="2"/>
        <w:spacing w:line="440" w:lineRule="exact"/>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日期：    年   月   日</w:t>
      </w:r>
    </w:p>
    <w:p>
      <w:pPr>
        <w:pStyle w:val="2"/>
        <w:spacing w:line="440" w:lineRule="exact"/>
        <w:rPr>
          <w:rFonts w:ascii="微软雅黑" w:hAnsi="微软雅黑" w:eastAsia="微软雅黑" w:cs="微软雅黑"/>
          <w:color w:val="auto"/>
          <w:szCs w:val="24"/>
          <w:highlight w:val="none"/>
        </w:rPr>
      </w:pPr>
    </w:p>
    <w:p>
      <w:pPr>
        <w:pStyle w:val="2"/>
        <w:rPr>
          <w:rFonts w:ascii="微软雅黑" w:hAnsi="微软雅黑" w:eastAsia="微软雅黑" w:cs="微软雅黑"/>
          <w:color w:val="auto"/>
          <w:szCs w:val="24"/>
          <w:highlight w:val="none"/>
        </w:rPr>
      </w:pPr>
    </w:p>
    <w:p>
      <w:pPr>
        <w:pStyle w:val="14"/>
        <w:numPr>
          <w:ilvl w:val="0"/>
          <w:numId w:val="8"/>
        </w:numPr>
        <w:tabs>
          <w:tab w:val="left" w:pos="5580"/>
        </w:tabs>
        <w:spacing w:line="440" w:lineRule="exact"/>
        <w:jc w:val="center"/>
        <w:outlineLvl w:val="1"/>
        <w:rPr>
          <w:rFonts w:ascii="微软雅黑" w:hAnsi="微软雅黑" w:eastAsia="微软雅黑" w:cs="微软雅黑"/>
          <w:b/>
          <w:bCs/>
          <w:color w:val="auto"/>
          <w:sz w:val="24"/>
          <w:szCs w:val="24"/>
          <w:highlight w:val="none"/>
        </w:rPr>
      </w:pPr>
      <w:bookmarkStart w:id="333" w:name="_Toc21321"/>
      <w:r>
        <w:rPr>
          <w:rFonts w:hint="eastAsia" w:ascii="微软雅黑" w:hAnsi="微软雅黑" w:eastAsia="微软雅黑" w:cs="微软雅黑"/>
          <w:b/>
          <w:bCs/>
          <w:color w:val="auto"/>
          <w:sz w:val="24"/>
          <w:szCs w:val="24"/>
          <w:highlight w:val="none"/>
        </w:rPr>
        <w:t>投标人可提供有利于投标的其他资格证明材料</w:t>
      </w:r>
      <w:bookmarkEnd w:id="333"/>
    </w:p>
    <w:p>
      <w:pPr>
        <w:pStyle w:val="14"/>
        <w:tabs>
          <w:tab w:val="left" w:pos="5580"/>
        </w:tabs>
        <w:spacing w:line="440" w:lineRule="exact"/>
        <w:ind w:firstLine="480" w:firstLineChars="200"/>
        <w:outlineLvl w:val="1"/>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供应商应提交证明文件，证明其投标内容符合招标文件规定，该证明文件是投标文件的一部分。证明文件，可以是文字资料、图纸和数据等。</w:t>
      </w:r>
    </w:p>
    <w:p>
      <w:pPr>
        <w:pStyle w:val="2"/>
        <w:spacing w:line="440" w:lineRule="exact"/>
        <w:rPr>
          <w:rFonts w:ascii="微软雅黑" w:hAnsi="微软雅黑" w:eastAsia="微软雅黑" w:cs="微软雅黑"/>
          <w:color w:val="auto"/>
          <w:szCs w:val="24"/>
          <w:highlight w:val="none"/>
        </w:rPr>
      </w:pPr>
    </w:p>
    <w:p>
      <w:pPr>
        <w:pStyle w:val="57"/>
        <w:spacing w:line="440" w:lineRule="exact"/>
        <w:rPr>
          <w:rFonts w:ascii="微软雅黑" w:hAnsi="微软雅黑" w:eastAsia="微软雅黑" w:cs="微软雅黑"/>
          <w:color w:val="auto"/>
          <w:highlight w:val="none"/>
        </w:rPr>
      </w:pPr>
    </w:p>
    <w:p>
      <w:pPr>
        <w:pStyle w:val="57"/>
        <w:rPr>
          <w:rFonts w:hAnsi="宋体"/>
          <w:color w:val="auto"/>
          <w:highlight w:val="none"/>
        </w:rPr>
      </w:pPr>
    </w:p>
    <w:p>
      <w:pPr>
        <w:spacing w:line="240" w:lineRule="atLeast"/>
        <w:ind w:left="1080" w:leftChars="257" w:hanging="540"/>
        <w:jc w:val="center"/>
        <w:rPr>
          <w:rFonts w:ascii="宋体" w:hAnsi="宋体" w:cs="宋体"/>
          <w:color w:val="auto"/>
          <w:sz w:val="24"/>
          <w:highlight w:val="none"/>
        </w:rPr>
      </w:pPr>
    </w:p>
    <w:p>
      <w:pP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br w:type="page"/>
      </w:r>
    </w:p>
    <w:p>
      <w:pPr>
        <w:spacing w:line="240" w:lineRule="atLeast"/>
        <w:outlineLvl w:val="1"/>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    投标文件格式范本</w:t>
      </w:r>
      <w:bookmarkEnd w:id="316"/>
    </w:p>
    <w:tbl>
      <w:tblPr>
        <w:tblStyle w:val="35"/>
        <w:tblpPr w:leftFromText="180" w:rightFromText="180" w:vertAnchor="text" w:horzAnchor="page" w:tblpX="1380" w:tblpY="440"/>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9520" w:type="dxa"/>
            <w:shd w:val="clear" w:color="auto" w:fill="auto"/>
          </w:tcPr>
          <w:p>
            <w:pPr>
              <w:pStyle w:val="9"/>
              <w:jc w:val="center"/>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（正本/副本）</w:t>
            </w:r>
          </w:p>
          <w:p>
            <w:pPr>
              <w:pStyle w:val="9"/>
              <w:ind w:firstLine="4202" w:firstLineChars="1500"/>
              <w:rPr>
                <w:rFonts w:ascii="微软雅黑" w:hAnsi="微软雅黑" w:eastAsia="微软雅黑" w:cs="微软雅黑"/>
                <w:b/>
                <w:bCs/>
                <w:color w:val="auto"/>
                <w:sz w:val="28"/>
                <w:szCs w:val="28"/>
                <w:highlight w:val="none"/>
              </w:rPr>
            </w:pPr>
          </w:p>
          <w:p>
            <w:pPr>
              <w:pStyle w:val="9"/>
              <w:rPr>
                <w:rFonts w:ascii="微软雅黑" w:hAnsi="微软雅黑" w:eastAsia="微软雅黑" w:cs="微软雅黑"/>
                <w:b/>
                <w:bCs/>
                <w:color w:val="auto"/>
                <w:sz w:val="28"/>
                <w:szCs w:val="28"/>
                <w:highlight w:val="none"/>
              </w:rPr>
            </w:pPr>
          </w:p>
          <w:p>
            <w:pPr>
              <w:pStyle w:val="9"/>
              <w:ind w:firstLine="2521" w:firstLineChars="900"/>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pPr>
              <w:pStyle w:val="9"/>
              <w:jc w:val="center"/>
              <w:rPr>
                <w:rFonts w:ascii="微软雅黑" w:hAnsi="微软雅黑" w:eastAsia="微软雅黑" w:cs="微软雅黑"/>
                <w:b/>
                <w:bCs/>
                <w:color w:val="auto"/>
                <w:sz w:val="21"/>
                <w:szCs w:val="21"/>
                <w:highlight w:val="none"/>
              </w:rPr>
            </w:pPr>
          </w:p>
          <w:p>
            <w:pPr>
              <w:pStyle w:val="9"/>
              <w:jc w:val="center"/>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 xml:space="preserve">项目编号＊＊＊＊＊＊    </w:t>
            </w:r>
          </w:p>
          <w:p>
            <w:pPr>
              <w:pStyle w:val="9"/>
              <w:jc w:val="center"/>
              <w:rPr>
                <w:rFonts w:ascii="微软雅黑" w:hAnsi="微软雅黑" w:eastAsia="微软雅黑" w:cs="微软雅黑"/>
                <w:b/>
                <w:bCs/>
                <w:color w:val="auto"/>
                <w:sz w:val="48"/>
                <w:highlight w:val="none"/>
              </w:rPr>
            </w:pPr>
          </w:p>
          <w:p>
            <w:pPr>
              <w:pStyle w:val="9"/>
              <w:jc w:val="center"/>
              <w:rPr>
                <w:rFonts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rPr>
              <w:t>投 标 文 件</w:t>
            </w:r>
          </w:p>
          <w:p>
            <w:pPr>
              <w:jc w:val="center"/>
              <w:rPr>
                <w:rFonts w:ascii="微软雅黑" w:hAnsi="微软雅黑" w:eastAsia="微软雅黑" w:cs="微软雅黑"/>
                <w:b/>
                <w:color w:val="auto"/>
                <w:sz w:val="32"/>
                <w:highlight w:val="none"/>
              </w:rPr>
            </w:pPr>
          </w:p>
          <w:p>
            <w:pPr>
              <w:pStyle w:val="2"/>
              <w:rPr>
                <w:rFonts w:ascii="微软雅黑" w:hAnsi="微软雅黑" w:eastAsia="微软雅黑" w:cs="微软雅黑"/>
                <w:b/>
                <w:color w:val="auto"/>
                <w:sz w:val="32"/>
                <w:highlight w:val="none"/>
              </w:rPr>
            </w:pPr>
          </w:p>
          <w:p>
            <w:pPr>
              <w:pStyle w:val="2"/>
              <w:rPr>
                <w:rFonts w:ascii="微软雅黑" w:hAnsi="微软雅黑" w:eastAsia="微软雅黑" w:cs="微软雅黑"/>
                <w:b/>
                <w:color w:val="auto"/>
                <w:sz w:val="32"/>
                <w:highlight w:val="none"/>
              </w:rPr>
            </w:pPr>
          </w:p>
          <w:p>
            <w:pPr>
              <w:spacing w:line="360" w:lineRule="auto"/>
              <w:ind w:left="176" w:leftChars="84" w:firstLine="840" w:firstLineChars="4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投 标 单位：</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（公章）</w:t>
            </w:r>
          </w:p>
          <w:p>
            <w:pPr>
              <w:spacing w:line="360" w:lineRule="auto"/>
              <w:ind w:left="176" w:leftChars="84" w:firstLine="840" w:firstLineChars="400"/>
              <w:rPr>
                <w:rFonts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项目名称：</w:t>
            </w:r>
            <w:r>
              <w:rPr>
                <w:rFonts w:hint="eastAsia" w:ascii="微软雅黑" w:hAnsi="微软雅黑" w:eastAsia="微软雅黑" w:cs="微软雅黑"/>
                <w:color w:val="auto"/>
                <w:szCs w:val="21"/>
                <w:highlight w:val="none"/>
                <w:u w:val="single"/>
              </w:rPr>
              <w:t xml:space="preserve">                                          </w:t>
            </w:r>
          </w:p>
          <w:p>
            <w:pPr>
              <w:spacing w:line="360" w:lineRule="auto"/>
              <w:ind w:left="176" w:leftChars="84" w:firstLine="840" w:firstLineChars="400"/>
              <w:rPr>
                <w:rFonts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项目编号：</w:t>
            </w:r>
            <w:r>
              <w:rPr>
                <w:rFonts w:hint="eastAsia" w:ascii="微软雅黑" w:hAnsi="微软雅黑" w:eastAsia="微软雅黑" w:cs="微软雅黑"/>
                <w:color w:val="auto"/>
                <w:szCs w:val="21"/>
                <w:highlight w:val="none"/>
                <w:u w:val="single"/>
              </w:rPr>
              <w:t xml:space="preserve">                                        </w:t>
            </w:r>
          </w:p>
          <w:p>
            <w:pPr>
              <w:spacing w:line="360" w:lineRule="auto"/>
              <w:ind w:left="176" w:leftChars="84" w:firstLine="840" w:firstLineChars="400"/>
              <w:rPr>
                <w:rFonts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联 系 人：</w:t>
            </w:r>
            <w:r>
              <w:rPr>
                <w:rFonts w:hint="eastAsia" w:ascii="微软雅黑" w:hAnsi="微软雅黑" w:eastAsia="微软雅黑" w:cs="微软雅黑"/>
                <w:color w:val="auto"/>
                <w:szCs w:val="21"/>
                <w:highlight w:val="none"/>
                <w:u w:val="single"/>
              </w:rPr>
              <w:t xml:space="preserve">                                        </w:t>
            </w:r>
          </w:p>
          <w:p>
            <w:pPr>
              <w:spacing w:line="360" w:lineRule="auto"/>
              <w:ind w:left="176" w:leftChars="84" w:firstLine="840" w:firstLineChars="4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    话：</w:t>
            </w:r>
            <w:r>
              <w:rPr>
                <w:rFonts w:hint="eastAsia" w:ascii="微软雅黑" w:hAnsi="微软雅黑" w:eastAsia="微软雅黑" w:cs="微软雅黑"/>
                <w:color w:val="auto"/>
                <w:szCs w:val="21"/>
                <w:highlight w:val="none"/>
                <w:u w:val="single"/>
              </w:rPr>
              <w:t xml:space="preserve">                                        </w:t>
            </w:r>
          </w:p>
          <w:p>
            <w:pPr>
              <w:spacing w:line="360" w:lineRule="auto"/>
              <w:ind w:left="176" w:leftChars="84" w:firstLine="840" w:firstLineChars="400"/>
              <w:rPr>
                <w:rFonts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 xml:space="preserve">地    址  ：  </w:t>
            </w:r>
            <w:r>
              <w:rPr>
                <w:rFonts w:hint="eastAsia" w:ascii="微软雅黑" w:hAnsi="微软雅黑" w:eastAsia="微软雅黑" w:cs="微软雅黑"/>
                <w:color w:val="auto"/>
                <w:szCs w:val="21"/>
                <w:highlight w:val="none"/>
                <w:u w:val="single"/>
              </w:rPr>
              <w:t xml:space="preserve">                                    </w:t>
            </w:r>
          </w:p>
          <w:p>
            <w:pPr>
              <w:spacing w:line="360" w:lineRule="auto"/>
              <w:ind w:left="176" w:leftChars="84" w:firstLine="960" w:firstLineChars="400"/>
              <w:rPr>
                <w:rFonts w:ascii="微软雅黑" w:hAnsi="微软雅黑" w:eastAsia="微软雅黑" w:cs="微软雅黑"/>
                <w:color w:val="auto"/>
                <w:sz w:val="24"/>
                <w:highlight w:val="none"/>
              </w:rPr>
            </w:pPr>
          </w:p>
          <w:p>
            <w:pPr>
              <w:jc w:val="center"/>
              <w:rPr>
                <w:rFonts w:ascii="微软雅黑" w:hAnsi="微软雅黑" w:eastAsia="微软雅黑" w:cs="微软雅黑"/>
                <w:b/>
                <w:bCs/>
                <w:color w:val="auto"/>
                <w:highlight w:val="none"/>
              </w:rPr>
            </w:pPr>
          </w:p>
          <w:p>
            <w:pPr>
              <w:jc w:val="center"/>
              <w:rPr>
                <w:rFonts w:ascii="微软雅黑" w:hAnsi="微软雅黑" w:eastAsia="微软雅黑" w:cs="微软雅黑"/>
                <w:b/>
                <w:bCs/>
                <w:color w:val="auto"/>
                <w:highlight w:val="none"/>
              </w:rPr>
            </w:pPr>
          </w:p>
          <w:p>
            <w:pPr>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   在2021年   月  日 *午   之前不得启封</w:t>
            </w:r>
          </w:p>
          <w:p>
            <w:pPr>
              <w:jc w:val="center"/>
              <w:rPr>
                <w:rFonts w:ascii="微软雅黑" w:hAnsi="微软雅黑" w:eastAsia="微软雅黑" w:cs="微软雅黑"/>
                <w:b/>
                <w:bCs/>
                <w:color w:val="auto"/>
                <w:highlight w:val="none"/>
              </w:rPr>
            </w:pPr>
          </w:p>
        </w:tc>
      </w:tr>
    </w:tbl>
    <w:p>
      <w:pPr>
        <w:spacing w:line="240" w:lineRule="atLeast"/>
        <w:jc w:val="center"/>
        <w:rPr>
          <w:color w:val="auto"/>
          <w:highlight w:val="none"/>
        </w:rPr>
        <w:sectPr>
          <w:headerReference r:id="rId5" w:type="default"/>
          <w:footerReference r:id="rId6" w:type="default"/>
          <w:pgSz w:w="11906" w:h="16838"/>
          <w:pgMar w:top="1440" w:right="1797" w:bottom="1440" w:left="1797" w:header="851" w:footer="992" w:gutter="0"/>
          <w:pgNumType w:start="1"/>
          <w:cols w:space="720" w:num="1"/>
          <w:docGrid w:linePitch="312" w:charSpace="0"/>
        </w:sectPr>
      </w:pPr>
      <w:r>
        <w:rPr>
          <w:rFonts w:hint="eastAsia" w:ascii="宋体" w:hAnsi="宋体" w:cs="宋体"/>
          <w:color w:val="auto"/>
          <w:sz w:val="24"/>
          <w:highlight w:val="none"/>
        </w:rPr>
        <w:br w:type="page"/>
      </w:r>
    </w:p>
    <w:p>
      <w:pPr>
        <w:widowControl/>
        <w:spacing w:before="100" w:beforeAutospacing="1" w:after="100" w:afterAutospacing="1" w:line="500" w:lineRule="exact"/>
        <w:jc w:val="center"/>
        <w:rPr>
          <w:rFonts w:ascii="微软雅黑" w:hAnsi="微软雅黑" w:eastAsia="微软雅黑" w:cs="微软雅黑"/>
          <w:b/>
          <w:bCs/>
          <w:color w:val="auto"/>
          <w:sz w:val="28"/>
          <w:szCs w:val="28"/>
          <w:highlight w:val="none"/>
        </w:rPr>
      </w:pPr>
      <w:bookmarkStart w:id="334" w:name="_Toc28765"/>
      <w:bookmarkStart w:id="335" w:name="_Toc218935350"/>
      <w:bookmarkStart w:id="336" w:name="_Toc16370"/>
      <w:bookmarkStart w:id="337" w:name="_Toc216582822"/>
      <w:bookmarkStart w:id="338" w:name="_Toc219175634"/>
      <w:bookmarkStart w:id="339" w:name="_Toc515647829"/>
      <w:bookmarkStart w:id="340" w:name="_Toc29715"/>
      <w:bookmarkStart w:id="341" w:name="_Toc19204"/>
      <w:bookmarkStart w:id="342" w:name="_Toc507399902"/>
      <w:r>
        <w:rPr>
          <w:rFonts w:hint="eastAsia" w:ascii="微软雅黑" w:hAnsi="微软雅黑" w:eastAsia="微软雅黑" w:cs="微软雅黑"/>
          <w:b/>
          <w:bCs/>
          <w:color w:val="auto"/>
          <w:sz w:val="28"/>
          <w:szCs w:val="28"/>
          <w:highlight w:val="none"/>
        </w:rPr>
        <w:t>中小企业声明函（货物）</w:t>
      </w:r>
    </w:p>
    <w:p>
      <w:pPr>
        <w:spacing w:line="5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（供应商符合条件时填写，不符合时可不附此函）</w:t>
      </w:r>
    </w:p>
    <w:p>
      <w:pPr>
        <w:pStyle w:val="2"/>
        <w:autoSpaceDE/>
        <w:autoSpaceDN/>
        <w:adjustRightInd/>
        <w:spacing w:line="500" w:lineRule="exact"/>
        <w:rPr>
          <w:rFonts w:ascii="微软雅黑" w:hAnsi="微软雅黑" w:eastAsia="微软雅黑" w:cs="微软雅黑"/>
          <w:color w:val="auto"/>
          <w:highlight w:val="none"/>
        </w:rPr>
      </w:pPr>
    </w:p>
    <w:p>
      <w:pPr>
        <w:spacing w:line="5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本公司（联合体）郑重声明，根据《政府采购促进中小企业发展管理办法》（财库﹝2020﹞46 号）的规定，本公司 （联合体）参加</w:t>
      </w:r>
      <w:r>
        <w:rPr>
          <w:rFonts w:hint="eastAsia" w:ascii="微软雅黑" w:hAnsi="微软雅黑" w:eastAsia="微软雅黑" w:cs="微软雅黑"/>
          <w:i/>
          <w:iCs/>
          <w:color w:val="auto"/>
          <w:sz w:val="24"/>
          <w:highlight w:val="none"/>
          <w:u w:val="single"/>
        </w:rPr>
        <w:t>（单位名称）</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i/>
          <w:iCs/>
          <w:color w:val="auto"/>
          <w:sz w:val="24"/>
          <w:highlight w:val="none"/>
          <w:u w:val="single"/>
        </w:rPr>
        <w:t>（项目名称）</w:t>
      </w:r>
      <w:r>
        <w:rPr>
          <w:rFonts w:hint="eastAsia" w:ascii="微软雅黑" w:hAnsi="微软雅黑" w:eastAsia="微软雅黑" w:cs="微软雅黑"/>
          <w:color w:val="auto"/>
          <w:sz w:val="24"/>
          <w:highlight w:val="none"/>
        </w:rPr>
        <w:t xml:space="preserve">采购活动，提供的货物全部由符合政策要求的中小企业制造。相关企业 （含联合体中的中小企业、签订分包意向协议的中小企业） 的具体情况如下： </w:t>
      </w:r>
    </w:p>
    <w:p>
      <w:pPr>
        <w:numPr>
          <w:ilvl w:val="0"/>
          <w:numId w:val="9"/>
        </w:numPr>
        <w:spacing w:line="5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i/>
          <w:iCs/>
          <w:color w:val="auto"/>
          <w:sz w:val="24"/>
          <w:highlight w:val="none"/>
          <w:u w:val="single"/>
        </w:rPr>
        <w:t>（标的名称）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，属于</w:t>
      </w:r>
      <w:r>
        <w:rPr>
          <w:rFonts w:hint="eastAsia" w:ascii="微软雅黑" w:hAnsi="微软雅黑" w:eastAsia="微软雅黑" w:cs="微软雅黑"/>
          <w:i/>
          <w:iCs/>
          <w:color w:val="auto"/>
          <w:sz w:val="24"/>
          <w:highlight w:val="none"/>
          <w:u w:val="single"/>
        </w:rPr>
        <w:t>（采购文件中明确的所属行业）</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行业；制造商为</w:t>
      </w:r>
      <w:r>
        <w:rPr>
          <w:rFonts w:hint="eastAsia" w:ascii="微软雅黑" w:hAnsi="微软雅黑" w:eastAsia="微软雅黑" w:cs="微软雅黑"/>
          <w:i/>
          <w:iCs/>
          <w:color w:val="auto"/>
          <w:sz w:val="24"/>
          <w:highlight w:val="none"/>
          <w:u w:val="single"/>
        </w:rPr>
        <w:t>（企业名称）</w:t>
      </w:r>
      <w:r>
        <w:rPr>
          <w:rFonts w:hint="eastAsia" w:ascii="微软雅黑" w:hAnsi="微软雅黑" w:eastAsia="微软雅黑" w:cs="微软雅黑"/>
          <w:color w:val="auto"/>
          <w:sz w:val="24"/>
          <w:highlight w:val="none"/>
        </w:rPr>
        <w:t>，从业人员</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人，营业收入为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万元，资产总额为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万元</w:t>
      </w:r>
      <w:r>
        <w:rPr>
          <w:rFonts w:hint="eastAsia" w:ascii="微软雅黑" w:hAnsi="微软雅黑" w:eastAsia="微软雅黑" w:cs="微软雅黑"/>
          <w:color w:val="auto"/>
          <w:sz w:val="24"/>
          <w:highlight w:val="none"/>
          <w:vertAlign w:val="superscript"/>
        </w:rPr>
        <w:t>1</w:t>
      </w:r>
      <w:r>
        <w:rPr>
          <w:rFonts w:hint="eastAsia" w:ascii="微软雅黑" w:hAnsi="微软雅黑" w:eastAsia="微软雅黑" w:cs="微软雅黑"/>
          <w:color w:val="auto"/>
          <w:sz w:val="24"/>
          <w:highlight w:val="none"/>
        </w:rPr>
        <w:t>，属于</w:t>
      </w:r>
      <w:r>
        <w:rPr>
          <w:rFonts w:hint="eastAsia" w:ascii="微软雅黑" w:hAnsi="微软雅黑" w:eastAsia="微软雅黑" w:cs="微软雅黑"/>
          <w:i/>
          <w:iCs/>
          <w:color w:val="auto"/>
          <w:sz w:val="24"/>
          <w:highlight w:val="none"/>
          <w:u w:val="single"/>
        </w:rPr>
        <w:t>（中型企业、小 型企业、微型企业）</w:t>
      </w:r>
      <w:r>
        <w:rPr>
          <w:rFonts w:hint="eastAsia" w:ascii="微软雅黑" w:hAnsi="微软雅黑" w:eastAsia="微软雅黑" w:cs="微软雅黑"/>
          <w:color w:val="auto"/>
          <w:sz w:val="24"/>
          <w:highlight w:val="none"/>
        </w:rPr>
        <w:t>；</w:t>
      </w:r>
    </w:p>
    <w:p>
      <w:pPr>
        <w:numPr>
          <w:ilvl w:val="0"/>
          <w:numId w:val="9"/>
        </w:numPr>
        <w:spacing w:line="5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i/>
          <w:iCs/>
          <w:color w:val="auto"/>
          <w:sz w:val="24"/>
          <w:highlight w:val="none"/>
          <w:u w:val="single"/>
        </w:rPr>
        <w:t>（标的名称</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rPr>
        <w:t>，属于</w:t>
      </w:r>
      <w:r>
        <w:rPr>
          <w:rFonts w:hint="eastAsia" w:ascii="微软雅黑" w:hAnsi="微软雅黑" w:eastAsia="微软雅黑" w:cs="微软雅黑"/>
          <w:i/>
          <w:iCs/>
          <w:color w:val="auto"/>
          <w:sz w:val="24"/>
          <w:highlight w:val="none"/>
          <w:u w:val="single"/>
        </w:rPr>
        <w:t>（采购文件中明确的所属行业）</w:t>
      </w:r>
      <w:r>
        <w:rPr>
          <w:rFonts w:hint="eastAsia" w:ascii="微软雅黑" w:hAnsi="微软雅黑" w:eastAsia="微软雅黑" w:cs="微软雅黑"/>
          <w:color w:val="auto"/>
          <w:sz w:val="24"/>
          <w:highlight w:val="none"/>
        </w:rPr>
        <w:t xml:space="preserve"> 行业；制造商为</w:t>
      </w:r>
      <w:r>
        <w:rPr>
          <w:rFonts w:hint="eastAsia" w:ascii="微软雅黑" w:hAnsi="微软雅黑" w:eastAsia="微软雅黑" w:cs="微软雅黑"/>
          <w:i/>
          <w:iCs/>
          <w:color w:val="auto"/>
          <w:sz w:val="24"/>
          <w:highlight w:val="none"/>
          <w:u w:val="single"/>
        </w:rPr>
        <w:t>（企业名称）</w:t>
      </w:r>
      <w:r>
        <w:rPr>
          <w:rFonts w:hint="eastAsia" w:ascii="微软雅黑" w:hAnsi="微软雅黑" w:eastAsia="微软雅黑" w:cs="微软雅黑"/>
          <w:color w:val="auto"/>
          <w:sz w:val="24"/>
          <w:highlight w:val="none"/>
        </w:rPr>
        <w:t>，从业人员</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人，营业收入为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万元，资产总额为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万元，属于</w:t>
      </w:r>
      <w:r>
        <w:rPr>
          <w:rFonts w:hint="eastAsia" w:ascii="微软雅黑" w:hAnsi="微软雅黑" w:eastAsia="微软雅黑" w:cs="微软雅黑"/>
          <w:i/>
          <w:iCs/>
          <w:color w:val="auto"/>
          <w:sz w:val="24"/>
          <w:highlight w:val="none"/>
          <w:u w:val="single"/>
        </w:rPr>
        <w:t>（中型企业、小型 企业、微型企业）</w:t>
      </w:r>
      <w:r>
        <w:rPr>
          <w:rFonts w:hint="eastAsia" w:ascii="微软雅黑" w:hAnsi="微软雅黑" w:eastAsia="微软雅黑" w:cs="微软雅黑"/>
          <w:color w:val="auto"/>
          <w:sz w:val="24"/>
          <w:highlight w:val="none"/>
        </w:rPr>
        <w:t xml:space="preserve">； </w:t>
      </w:r>
    </w:p>
    <w:p>
      <w:pPr>
        <w:spacing w:line="500" w:lineRule="exact"/>
        <w:ind w:left="420" w:left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pPr>
        <w:spacing w:line="5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以上企业，不属于大企业的分支机构，不存在控股股东 为大企业的情形，也不存在与大企业的负责人为同一人的情 形。</w:t>
      </w:r>
    </w:p>
    <w:p>
      <w:pPr>
        <w:spacing w:line="50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本企业对上述声明内容的真实性负责。如有虚假，将依法承担相应责任。 </w:t>
      </w:r>
    </w:p>
    <w:p>
      <w:pPr>
        <w:spacing w:line="500" w:lineRule="exact"/>
        <w:ind w:firstLine="480" w:firstLineChars="200"/>
        <w:rPr>
          <w:rFonts w:ascii="微软雅黑" w:hAnsi="微软雅黑" w:eastAsia="微软雅黑" w:cs="微软雅黑"/>
          <w:color w:val="auto"/>
          <w:sz w:val="24"/>
          <w:highlight w:val="none"/>
        </w:rPr>
      </w:pPr>
    </w:p>
    <w:p>
      <w:pPr>
        <w:spacing w:line="500" w:lineRule="exact"/>
        <w:ind w:firstLine="4080" w:firstLineChars="17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企业名称（盖章）： </w:t>
      </w:r>
    </w:p>
    <w:p>
      <w:pPr>
        <w:spacing w:line="500" w:lineRule="exact"/>
        <w:ind w:firstLine="4080" w:firstLineChars="17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 期：</w:t>
      </w:r>
    </w:p>
    <w:p>
      <w:pPr>
        <w:spacing w:line="500" w:lineRule="exact"/>
        <w:ind w:firstLine="480" w:firstLineChars="200"/>
        <w:rPr>
          <w:rFonts w:ascii="微软雅黑" w:hAnsi="微软雅黑" w:eastAsia="微软雅黑" w:cs="微软雅黑"/>
          <w:color w:val="auto"/>
          <w:sz w:val="24"/>
          <w:highlight w:val="none"/>
        </w:rPr>
      </w:pPr>
    </w:p>
    <w:p>
      <w:pPr>
        <w:spacing w:line="500" w:lineRule="exact"/>
        <w:ind w:firstLine="480" w:firstLineChars="200"/>
        <w:rPr>
          <w:rFonts w:ascii="微软雅黑" w:hAnsi="微软雅黑" w:eastAsia="微软雅黑" w:cs="微软雅黑"/>
          <w:color w:val="auto"/>
          <w:sz w:val="24"/>
          <w:highlight w:val="none"/>
        </w:rPr>
      </w:pPr>
    </w:p>
    <w:p>
      <w:pPr>
        <w:spacing w:line="500" w:lineRule="exact"/>
        <w:ind w:firstLine="480" w:firstLineChars="200"/>
        <w:rPr>
          <w:rFonts w:ascii="微软雅黑" w:hAnsi="微软雅黑" w:eastAsia="微软雅黑" w:cs="微软雅黑"/>
          <w:color w:val="auto"/>
          <w:sz w:val="24"/>
          <w:highlight w:val="none"/>
        </w:rPr>
      </w:pPr>
    </w:p>
    <w:p>
      <w:pPr>
        <w:spacing w:line="500" w:lineRule="exact"/>
        <w:ind w:firstLine="480" w:firstLineChars="20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 从业人员、营业收入、资产总额填报上一年度数据，无上一年度数据的新成立企业可不填报。</w:t>
      </w:r>
    </w:p>
    <w:p>
      <w:pPr>
        <w:rPr>
          <w:rFonts w:ascii="微软雅黑" w:hAnsi="微软雅黑" w:eastAsia="微软雅黑" w:cs="微软雅黑"/>
          <w:color w:val="auto"/>
          <w:highlight w:val="none"/>
        </w:rPr>
      </w:pPr>
    </w:p>
    <w:p>
      <w:pPr>
        <w:widowControl/>
        <w:spacing w:before="100" w:beforeAutospacing="1" w:after="100" w:afterAutospacing="1" w:line="500" w:lineRule="exact"/>
        <w:jc w:val="center"/>
        <w:rPr>
          <w:rFonts w:ascii="微软雅黑" w:hAnsi="微软雅黑" w:eastAsia="微软雅黑" w:cs="微软雅黑"/>
          <w:b/>
          <w:bCs/>
          <w:color w:val="auto"/>
          <w:sz w:val="28"/>
          <w:szCs w:val="28"/>
          <w:highlight w:val="none"/>
        </w:rPr>
      </w:pPr>
      <w:bookmarkStart w:id="343" w:name="_Toc19284"/>
      <w:bookmarkStart w:id="344" w:name="OLE_LINK13"/>
      <w:bookmarkStart w:id="345" w:name="_Toc23068"/>
      <w:bookmarkStart w:id="346" w:name="_Toc515647825"/>
      <w:bookmarkStart w:id="347" w:name="_Toc18205"/>
      <w:bookmarkStart w:id="348" w:name="OLE_LINK14"/>
      <w:r>
        <w:rPr>
          <w:rFonts w:hint="eastAsia" w:ascii="微软雅黑" w:hAnsi="微软雅黑" w:eastAsia="微软雅黑" w:cs="微软雅黑"/>
          <w:b/>
          <w:bCs/>
          <w:color w:val="auto"/>
          <w:sz w:val="28"/>
          <w:szCs w:val="28"/>
          <w:highlight w:val="none"/>
        </w:rPr>
        <w:t>残疾人福利性单位声明函</w:t>
      </w:r>
      <w:bookmarkEnd w:id="343"/>
      <w:bookmarkEnd w:id="344"/>
      <w:bookmarkEnd w:id="345"/>
      <w:bookmarkEnd w:id="346"/>
      <w:bookmarkEnd w:id="347"/>
      <w:bookmarkEnd w:id="348"/>
    </w:p>
    <w:p>
      <w:pPr>
        <w:spacing w:line="5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（供应商符合条件时填写，不符合时可不附此函）</w:t>
      </w:r>
    </w:p>
    <w:p>
      <w:pPr>
        <w:rPr>
          <w:rFonts w:ascii="微软雅黑" w:hAnsi="微软雅黑" w:eastAsia="微软雅黑" w:cs="微软雅黑"/>
          <w:color w:val="auto"/>
          <w:highlight w:val="none"/>
        </w:rPr>
      </w:pPr>
    </w:p>
    <w:p>
      <w:pPr>
        <w:spacing w:line="560" w:lineRule="exact"/>
        <w:ind w:firstLine="567"/>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服务，或者提供其他残疾人福利性单位制造的服务（不包括使用非残疾人福利性单位注册商标的服务）。</w:t>
      </w:r>
    </w:p>
    <w:p>
      <w:pPr>
        <w:spacing w:line="560" w:lineRule="exact"/>
        <w:ind w:left="1080" w:leftChars="257" w:hanging="540"/>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本单位对上述声明的真实性负责。如有虚假，将依法承担相应责任。</w:t>
      </w:r>
    </w:p>
    <w:p>
      <w:pPr>
        <w:spacing w:line="560" w:lineRule="exact"/>
        <w:ind w:left="1080" w:leftChars="257" w:hanging="540"/>
        <w:jc w:val="center"/>
        <w:rPr>
          <w:rFonts w:ascii="微软雅黑" w:hAnsi="微软雅黑" w:eastAsia="微软雅黑" w:cs="微软雅黑"/>
          <w:color w:val="auto"/>
          <w:kern w:val="0"/>
          <w:sz w:val="24"/>
          <w:highlight w:val="none"/>
        </w:rPr>
      </w:pPr>
    </w:p>
    <w:p>
      <w:pPr>
        <w:spacing w:line="560" w:lineRule="exact"/>
        <w:ind w:left="1080" w:leftChars="257" w:hanging="540"/>
        <w:jc w:val="center"/>
        <w:rPr>
          <w:rFonts w:ascii="微软雅黑" w:hAnsi="微软雅黑" w:eastAsia="微软雅黑" w:cs="微软雅黑"/>
          <w:color w:val="auto"/>
          <w:kern w:val="0"/>
          <w:sz w:val="24"/>
          <w:highlight w:val="none"/>
        </w:rPr>
      </w:pPr>
    </w:p>
    <w:p>
      <w:pPr>
        <w:spacing w:line="560" w:lineRule="exact"/>
        <w:ind w:left="1080" w:leftChars="257" w:hanging="540"/>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残疾人福利性单位名称（盖单位章）：</w:t>
      </w:r>
    </w:p>
    <w:p>
      <w:pPr>
        <w:spacing w:line="560" w:lineRule="exact"/>
        <w:ind w:left="1080" w:leftChars="257" w:hanging="540"/>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日  期：</w:t>
      </w:r>
    </w:p>
    <w:p>
      <w:pPr>
        <w:spacing w:line="560" w:lineRule="exact"/>
        <w:ind w:left="1080" w:leftChars="257" w:hanging="540"/>
        <w:jc w:val="center"/>
        <w:rPr>
          <w:rFonts w:ascii="微软雅黑" w:hAnsi="微软雅黑" w:eastAsia="微软雅黑" w:cs="微软雅黑"/>
          <w:b/>
          <w:color w:val="auto"/>
          <w:kern w:val="0"/>
          <w:sz w:val="24"/>
          <w:highlight w:val="none"/>
        </w:rPr>
      </w:pPr>
    </w:p>
    <w:p>
      <w:pPr>
        <w:spacing w:line="560" w:lineRule="exact"/>
        <w:ind w:left="1080" w:leftChars="257" w:hanging="540"/>
        <w:jc w:val="center"/>
        <w:rPr>
          <w:rFonts w:ascii="微软雅黑" w:hAnsi="微软雅黑" w:eastAsia="微软雅黑" w:cs="微软雅黑"/>
          <w:b/>
          <w:color w:val="auto"/>
          <w:kern w:val="0"/>
          <w:sz w:val="24"/>
          <w:highlight w:val="none"/>
        </w:rPr>
      </w:pPr>
    </w:p>
    <w:p>
      <w:pPr>
        <w:spacing w:line="560" w:lineRule="exact"/>
        <w:ind w:left="1080" w:leftChars="257" w:hanging="540"/>
        <w:jc w:val="center"/>
        <w:rPr>
          <w:rFonts w:ascii="微软雅黑" w:hAnsi="微软雅黑" w:eastAsia="微软雅黑" w:cs="微软雅黑"/>
          <w:b/>
          <w:color w:val="auto"/>
          <w:kern w:val="0"/>
          <w:sz w:val="24"/>
          <w:highlight w:val="none"/>
        </w:rPr>
      </w:pPr>
    </w:p>
    <w:p>
      <w:pPr>
        <w:spacing w:line="560" w:lineRule="exact"/>
        <w:ind w:left="1080" w:leftChars="257" w:hanging="540"/>
        <w:jc w:val="center"/>
        <w:rPr>
          <w:rFonts w:ascii="微软雅黑" w:hAnsi="微软雅黑" w:eastAsia="微软雅黑" w:cs="微软雅黑"/>
          <w:b/>
          <w:color w:val="auto"/>
          <w:kern w:val="0"/>
          <w:sz w:val="24"/>
          <w:highlight w:val="none"/>
        </w:rPr>
      </w:pPr>
    </w:p>
    <w:p>
      <w:pPr>
        <w:spacing w:line="560" w:lineRule="exact"/>
        <w:rPr>
          <w:rFonts w:ascii="微软雅黑" w:hAnsi="微软雅黑" w:eastAsia="微软雅黑" w:cs="微软雅黑"/>
          <w:b/>
          <w:color w:val="auto"/>
          <w:kern w:val="0"/>
          <w:sz w:val="24"/>
          <w:highlight w:val="none"/>
        </w:rPr>
      </w:pPr>
    </w:p>
    <w:p>
      <w:pPr>
        <w:spacing w:line="560" w:lineRule="exact"/>
        <w:ind w:left="1080" w:leftChars="257" w:hanging="540"/>
        <w:jc w:val="center"/>
        <w:rPr>
          <w:rFonts w:ascii="微软雅黑" w:hAnsi="微软雅黑" w:eastAsia="微软雅黑" w:cs="微软雅黑"/>
          <w:b/>
          <w:color w:val="auto"/>
          <w:kern w:val="0"/>
          <w:sz w:val="24"/>
          <w:highlight w:val="none"/>
        </w:rPr>
      </w:pPr>
    </w:p>
    <w:p>
      <w:pPr>
        <w:pStyle w:val="2"/>
        <w:spacing w:line="560" w:lineRule="exact"/>
        <w:rPr>
          <w:rFonts w:ascii="微软雅黑" w:hAnsi="微软雅黑" w:eastAsia="微软雅黑" w:cs="微软雅黑"/>
          <w:color w:val="auto"/>
          <w:szCs w:val="24"/>
          <w:highlight w:val="none"/>
        </w:rPr>
      </w:pPr>
    </w:p>
    <w:p>
      <w:pPr>
        <w:rPr>
          <w:rFonts w:ascii="微软雅黑" w:hAnsi="微软雅黑" w:eastAsia="微软雅黑" w:cs="微软雅黑"/>
          <w:color w:val="auto"/>
          <w:sz w:val="24"/>
          <w:highlight w:val="none"/>
        </w:rPr>
      </w:pPr>
      <w:bookmarkStart w:id="349" w:name="_Toc515647827"/>
      <w:bookmarkStart w:id="350" w:name="_Toc27193"/>
      <w:bookmarkStart w:id="351" w:name="_Toc30795"/>
      <w:bookmarkStart w:id="352" w:name="_Toc28099"/>
      <w:r>
        <w:rPr>
          <w:rFonts w:hint="eastAsia" w:ascii="微软雅黑" w:hAnsi="微软雅黑" w:eastAsia="微软雅黑" w:cs="微软雅黑"/>
          <w:color w:val="auto"/>
          <w:sz w:val="24"/>
          <w:highlight w:val="none"/>
        </w:rPr>
        <w:br w:type="page"/>
      </w:r>
    </w:p>
    <w:p>
      <w:pPr>
        <w:widowControl/>
        <w:spacing w:before="100" w:beforeAutospacing="1" w:after="100" w:afterAutospacing="1" w:line="500" w:lineRule="exact"/>
        <w:jc w:val="center"/>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投标人关联单位的说明</w:t>
      </w:r>
      <w:bookmarkEnd w:id="349"/>
      <w:bookmarkEnd w:id="350"/>
      <w:bookmarkEnd w:id="351"/>
      <w:bookmarkEnd w:id="352"/>
    </w:p>
    <w:p>
      <w:pPr>
        <w:spacing w:line="5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（供应商有此情况时填写，无此情况时可不附此说明）</w:t>
      </w:r>
    </w:p>
    <w:p>
      <w:pPr>
        <w:pStyle w:val="2"/>
        <w:spacing w:line="560" w:lineRule="exact"/>
        <w:jc w:val="center"/>
        <w:rPr>
          <w:rFonts w:ascii="微软雅黑" w:hAnsi="微软雅黑" w:eastAsia="微软雅黑" w:cs="微软雅黑"/>
          <w:color w:val="auto"/>
          <w:szCs w:val="24"/>
          <w:highlight w:val="none"/>
        </w:rPr>
      </w:pPr>
    </w:p>
    <w:p>
      <w:pPr>
        <w:pStyle w:val="2"/>
        <w:spacing w:line="560" w:lineRule="exact"/>
        <w:ind w:firstLine="480" w:firstLineChars="200"/>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说明：投标人应当如实披露与本单位存在下列关联关系的单位名称：</w:t>
      </w:r>
    </w:p>
    <w:p>
      <w:pPr>
        <w:pStyle w:val="2"/>
        <w:numPr>
          <w:ilvl w:val="0"/>
          <w:numId w:val="10"/>
        </w:numPr>
        <w:spacing w:line="560" w:lineRule="exact"/>
        <w:ind w:firstLine="480" w:firstLineChars="200"/>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与投标人单位负责人为同一人的其他单位；</w:t>
      </w:r>
      <w:r>
        <w:rPr>
          <w:rFonts w:hint="eastAsia" w:ascii="微软雅黑" w:hAnsi="微软雅黑" w:eastAsia="微软雅黑" w:cs="微软雅黑"/>
          <w:color w:val="auto"/>
          <w:szCs w:val="24"/>
          <w:highlight w:val="none"/>
        </w:rPr>
        <w:br w:type="textWrapping"/>
      </w:r>
      <w:r>
        <w:rPr>
          <w:rFonts w:hint="eastAsia" w:ascii="微软雅黑" w:hAnsi="微软雅黑" w:eastAsia="微软雅黑" w:cs="微软雅黑"/>
          <w:color w:val="auto"/>
          <w:szCs w:val="24"/>
          <w:highlight w:val="none"/>
        </w:rPr>
        <w:t xml:space="preserve">    （2）与投标人存在直接控股、管理关系的其他单位。</w:t>
      </w:r>
    </w:p>
    <w:p>
      <w:p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pPr>
        <w:pStyle w:val="3"/>
        <w:tabs>
          <w:tab w:val="left" w:pos="0"/>
        </w:tabs>
        <w:spacing w:before="0" w:after="0" w:line="360" w:lineRule="auto"/>
        <w:rPr>
          <w:rFonts w:hAnsi="宋体" w:cs="宋体"/>
          <w:color w:val="auto"/>
          <w:highlight w:val="none"/>
        </w:rPr>
      </w:pPr>
      <w:r>
        <w:rPr>
          <w:rFonts w:hint="eastAsia" w:ascii="微软雅黑" w:hAnsi="微软雅黑" w:eastAsia="微软雅黑" w:cs="微软雅黑"/>
          <w:color w:val="auto"/>
          <w:highlight w:val="none"/>
        </w:rPr>
        <w:t>第3章  投标邀请</w:t>
      </w:r>
      <w:bookmarkEnd w:id="334"/>
      <w:bookmarkEnd w:id="335"/>
      <w:bookmarkEnd w:id="336"/>
      <w:bookmarkEnd w:id="337"/>
      <w:bookmarkEnd w:id="338"/>
      <w:bookmarkEnd w:id="339"/>
      <w:bookmarkEnd w:id="340"/>
      <w:bookmarkEnd w:id="341"/>
      <w:bookmarkEnd w:id="342"/>
      <w:bookmarkStart w:id="353" w:name="_Toc515647830"/>
      <w:bookmarkStart w:id="354" w:name="_Toc31583"/>
      <w:bookmarkStart w:id="355" w:name="_Toc5272"/>
      <w:bookmarkStart w:id="356" w:name="_Toc507399903"/>
      <w:bookmarkStart w:id="357" w:name="_Toc10488"/>
      <w:bookmarkStart w:id="358" w:name="_Toc216582823"/>
      <w:bookmarkStart w:id="359" w:name="_Toc512937850"/>
    </w:p>
    <w:p>
      <w:pPr>
        <w:pStyle w:val="3"/>
        <w:tabs>
          <w:tab w:val="left" w:pos="0"/>
        </w:tabs>
        <w:spacing w:line="560" w:lineRule="exact"/>
        <w:rPr>
          <w:rFonts w:ascii="微软雅黑" w:hAnsi="微软雅黑" w:eastAsia="微软雅黑" w:cs="微软雅黑"/>
          <w:bCs/>
          <w:color w:val="auto"/>
          <w:sz w:val="24"/>
          <w:szCs w:val="24"/>
          <w:highlight w:val="none"/>
        </w:rPr>
      </w:pPr>
      <w:bookmarkStart w:id="360" w:name="_Toc28359011"/>
      <w:bookmarkStart w:id="361" w:name="_Toc35393797"/>
      <w:r>
        <w:rPr>
          <w:rFonts w:hint="eastAsia" w:ascii="微软雅黑" w:hAnsi="微软雅黑" w:eastAsia="微软雅黑" w:cs="微软雅黑"/>
          <w:bCs/>
          <w:color w:val="auto"/>
          <w:sz w:val="24"/>
          <w:szCs w:val="24"/>
          <w:highlight w:val="none"/>
        </w:rPr>
        <w:t>疏勒县乡村振兴平台</w:t>
      </w:r>
    </w:p>
    <w:p>
      <w:pPr>
        <w:pStyle w:val="3"/>
        <w:tabs>
          <w:tab w:val="left" w:pos="0"/>
        </w:tabs>
        <w:spacing w:line="56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招标</w:t>
      </w:r>
      <w:r>
        <w:rPr>
          <w:rFonts w:hint="eastAsia" w:ascii="微软雅黑" w:hAnsi="微软雅黑" w:eastAsia="微软雅黑" w:cs="微软雅黑"/>
          <w:color w:val="auto"/>
          <w:sz w:val="24"/>
          <w:szCs w:val="24"/>
          <w:highlight w:val="none"/>
        </w:rPr>
        <w:t>公告</w:t>
      </w:r>
      <w:bookmarkEnd w:id="360"/>
      <w:bookmarkEnd w:id="361"/>
    </w:p>
    <w:p>
      <w:pPr>
        <w:pBdr>
          <w:top w:val="single" w:color="auto" w:sz="4" w:space="1"/>
          <w:left w:val="single" w:color="auto" w:sz="4" w:space="4"/>
          <w:bottom w:val="single" w:color="auto" w:sz="4" w:space="1"/>
          <w:right w:val="single" w:color="auto" w:sz="4" w:space="4"/>
        </w:pBdr>
        <w:spacing w:line="5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项目概况</w:t>
      </w:r>
    </w:p>
    <w:p>
      <w:pPr>
        <w:pBdr>
          <w:top w:val="single" w:color="auto" w:sz="4" w:space="1"/>
          <w:left w:val="single" w:color="auto" w:sz="4" w:space="4"/>
          <w:bottom w:val="single" w:color="auto" w:sz="4" w:space="1"/>
          <w:right w:val="single" w:color="auto" w:sz="4" w:space="4"/>
        </w:pBd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shd w:val="clear" w:color="auto" w:fill="FFFFFF"/>
        </w:rPr>
        <w:t> </w:t>
      </w:r>
      <w:r>
        <w:rPr>
          <w:rFonts w:hint="eastAsia" w:ascii="微软雅黑" w:hAnsi="微软雅黑" w:eastAsia="微软雅黑" w:cs="微软雅黑"/>
          <w:b/>
          <w:bCs/>
          <w:color w:val="auto"/>
          <w:sz w:val="24"/>
          <w:highlight w:val="none"/>
          <w:u w:val="single"/>
        </w:rPr>
        <w:t>疏勒县乡村振兴平台</w:t>
      </w:r>
      <w:r>
        <w:rPr>
          <w:rFonts w:hint="eastAsia" w:ascii="微软雅黑" w:hAnsi="微软雅黑" w:eastAsia="微软雅黑" w:cs="微软雅黑"/>
          <w:color w:val="auto"/>
          <w:sz w:val="24"/>
          <w:highlight w:val="none"/>
          <w:shd w:val="clear" w:color="auto" w:fill="FFFFFF"/>
        </w:rPr>
        <w:t>的潜在投标人应在新疆政府采购网获取招标文件，并于</w:t>
      </w:r>
      <w:r>
        <w:rPr>
          <w:rFonts w:hint="eastAsia" w:ascii="微软雅黑" w:hAnsi="微软雅黑" w:eastAsia="微软雅黑" w:cs="微软雅黑"/>
          <w:color w:val="auto"/>
          <w:sz w:val="24"/>
          <w:highlight w:val="none"/>
        </w:rPr>
        <w:t>2021年12月1</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日11点00分</w:t>
      </w:r>
      <w:r>
        <w:rPr>
          <w:rFonts w:hint="eastAsia" w:ascii="微软雅黑" w:hAnsi="微软雅黑" w:eastAsia="微软雅黑" w:cs="微软雅黑"/>
          <w:color w:val="auto"/>
          <w:sz w:val="24"/>
          <w:highlight w:val="none"/>
          <w:shd w:val="clear" w:color="auto" w:fill="FFFFFF"/>
        </w:rPr>
        <w:t>（北京时间）前递交投标文件。</w:t>
      </w:r>
    </w:p>
    <w:p>
      <w:pPr>
        <w:pStyle w:val="4"/>
        <w:autoSpaceDE/>
        <w:autoSpaceDN/>
        <w:adjustRightInd/>
        <w:spacing w:line="560" w:lineRule="exact"/>
        <w:jc w:val="both"/>
        <w:rPr>
          <w:rFonts w:ascii="微软雅黑" w:hAnsi="微软雅黑" w:eastAsia="微软雅黑" w:cs="微软雅黑"/>
          <w:b/>
          <w:bCs/>
          <w:color w:val="auto"/>
          <w:sz w:val="24"/>
          <w:szCs w:val="24"/>
          <w:highlight w:val="none"/>
        </w:rPr>
      </w:pPr>
      <w:bookmarkStart w:id="362" w:name="_Toc28359012"/>
      <w:bookmarkStart w:id="363" w:name="_Toc35393798"/>
      <w:bookmarkStart w:id="364" w:name="_Toc28359089"/>
      <w:bookmarkStart w:id="365" w:name="_Toc35393629"/>
      <w:r>
        <w:rPr>
          <w:rFonts w:hint="eastAsia" w:ascii="微软雅黑" w:hAnsi="微软雅黑" w:eastAsia="微软雅黑" w:cs="微软雅黑"/>
          <w:b/>
          <w:bCs/>
          <w:color w:val="auto"/>
          <w:sz w:val="24"/>
          <w:szCs w:val="24"/>
          <w:highlight w:val="none"/>
        </w:rPr>
        <w:t>一、项目基本情况</w:t>
      </w:r>
      <w:bookmarkEnd w:id="362"/>
      <w:bookmarkEnd w:id="363"/>
      <w:bookmarkEnd w:id="364"/>
      <w:bookmarkEnd w:id="365"/>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项目编号：XJZH-（GKZB）007</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项目名称：疏勒县乡村振兴平台</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采购方式：公开招标 </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预算金额: 1030万元（人民币）</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最高限价：1030万元（人民币）</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采购需求：1、采购标的名称：疏勒县乡村振兴平台。2、采购标的内容： 疏勒县乡村振兴平台（具体详见招标文件采购需求）。3、供货时间：合同签订并接到采购人通知后 </w:t>
      </w:r>
      <w:r>
        <w:rPr>
          <w:rFonts w:hint="eastAsia" w:ascii="微软雅黑" w:hAnsi="微软雅黑" w:eastAsia="微软雅黑" w:cs="微软雅黑"/>
          <w:b/>
          <w:bCs/>
          <w:color w:val="auto"/>
          <w:sz w:val="24"/>
          <w:highlight w:val="none"/>
        </w:rPr>
        <w:t>60</w:t>
      </w:r>
      <w:r>
        <w:rPr>
          <w:rFonts w:hint="eastAsia" w:ascii="微软雅黑" w:hAnsi="微软雅黑" w:eastAsia="微软雅黑" w:cs="微软雅黑"/>
          <w:color w:val="auto"/>
          <w:sz w:val="24"/>
          <w:highlight w:val="none"/>
        </w:rPr>
        <w:t>日历天内软、硬供货并调试验收完毕。4、服务地点：采购人指定位置。5、质保期：自验收合格后提供3年的免费质量保证</w:t>
      </w:r>
      <w:r>
        <w:rPr>
          <w:rFonts w:hint="eastAsia" w:ascii="微软雅黑" w:hAnsi="微软雅黑" w:eastAsia="微软雅黑" w:cs="微软雅黑"/>
          <w:b/>
          <w:bCs/>
          <w:color w:val="auto"/>
          <w:sz w:val="24"/>
          <w:highlight w:val="none"/>
        </w:rPr>
        <w:t>并提供3年的系统维护服务</w:t>
      </w:r>
      <w:r>
        <w:rPr>
          <w:rFonts w:hint="eastAsia" w:ascii="微软雅黑" w:hAnsi="微软雅黑" w:eastAsia="微软雅黑" w:cs="微软雅黑"/>
          <w:color w:val="auto"/>
          <w:sz w:val="24"/>
          <w:highlight w:val="none"/>
        </w:rPr>
        <w:t>（若国家规定或行业标准高于长于以上要求的，执行国家规定或行业标准）。6、服务要求：①质保期内，供货方需对所供货物免费进行维修、维护，供货方在收到用户的维修服务要求后1小时内需做出回应，</w:t>
      </w:r>
      <w:r>
        <w:rPr>
          <w:rFonts w:ascii="微软雅黑" w:hAnsi="微软雅黑" w:eastAsia="微软雅黑" w:cs="微软雅黑"/>
          <w:color w:val="auto"/>
          <w:sz w:val="24"/>
          <w:highlight w:val="none"/>
        </w:rPr>
        <w:t>6</w:t>
      </w:r>
      <w:r>
        <w:rPr>
          <w:rFonts w:hint="eastAsia" w:ascii="微软雅黑" w:hAnsi="微软雅黑" w:eastAsia="微软雅黑" w:cs="微软雅黑"/>
          <w:color w:val="auto"/>
          <w:sz w:val="24"/>
          <w:highlight w:val="none"/>
        </w:rPr>
        <w:t>小时内到达用户现场进行维修。供货方应向采购人提供免费平台使用培训服务。②维修零配件要求：供货方安装的任何零配件，必须是其原设备厂商生产，且未经使用和未经修复的。</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合同履行期限：合同签订之日起至质保期结束。</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本项目不接受联合体</w:t>
      </w:r>
      <w:bookmarkStart w:id="366" w:name="_Toc28359013"/>
      <w:bookmarkStart w:id="367" w:name="_Toc28359090"/>
      <w:bookmarkStart w:id="368" w:name="_Toc35393630"/>
      <w:bookmarkStart w:id="369" w:name="_Toc35393799"/>
      <w:r>
        <w:rPr>
          <w:rFonts w:hint="eastAsia" w:ascii="微软雅黑" w:hAnsi="微软雅黑" w:eastAsia="微软雅黑" w:cs="微软雅黑"/>
          <w:color w:val="auto"/>
          <w:sz w:val="24"/>
          <w:highlight w:val="none"/>
        </w:rPr>
        <w:t>。</w:t>
      </w:r>
    </w:p>
    <w:p>
      <w:pPr>
        <w:numPr>
          <w:ilvl w:val="0"/>
          <w:numId w:val="11"/>
        </w:numPr>
        <w:spacing w:line="56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申请人的资格要求：</w:t>
      </w:r>
      <w:bookmarkEnd w:id="366"/>
      <w:bookmarkEnd w:id="367"/>
      <w:bookmarkEnd w:id="368"/>
      <w:bookmarkEnd w:id="369"/>
      <w:bookmarkStart w:id="370" w:name="_Toc35393631"/>
      <w:bookmarkStart w:id="371" w:name="_Toc35393800"/>
      <w:bookmarkStart w:id="372" w:name="_Toc28359091"/>
      <w:bookmarkStart w:id="373" w:name="_Toc28359014"/>
    </w:p>
    <w:p>
      <w:pPr>
        <w:pStyle w:val="2"/>
        <w:spacing w:line="560" w:lineRule="exact"/>
        <w:ind w:firstLine="480" w:firstLineChars="200"/>
        <w:rPr>
          <w:rFonts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1.满足《中华人民共和国政府采购法》第二十二条规定；</w:t>
      </w:r>
    </w:p>
    <w:p>
      <w:pPr>
        <w:pStyle w:val="2"/>
        <w:spacing w:line="560" w:lineRule="exact"/>
        <w:ind w:firstLine="480" w:firstLineChars="200"/>
        <w:rPr>
          <w:rFonts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2.落实政府采购政策需满足的资格要求：根据《政府采购促进中小企业发展暂行办法》（财库【2020】46号）、《财政部司法部关于政府采购支持监狱企业发展有关问题的通知》（财库【2014】68号）和《三部门联合发布关于促进残疾人就业政府采购政策的通知》（财库〔2017〕141号）的规定，对满足条件且在投标文件中提交了《投标人企业类型声明函》或省级以上监狱管理局、戒毒管理局（含新疆生产建设兵团）出具的属于监狱企业的证明文件的投标人，享受政府采购政策；</w:t>
      </w:r>
    </w:p>
    <w:p>
      <w:pPr>
        <w:pStyle w:val="2"/>
        <w:spacing w:line="560" w:lineRule="exact"/>
        <w:ind w:firstLine="480" w:firstLineChars="200"/>
        <w:rPr>
          <w:rFonts w:ascii="微软雅黑" w:hAnsi="微软雅黑" w:eastAsia="微软雅黑" w:cs="微软雅黑"/>
          <w:color w:val="auto"/>
          <w:szCs w:val="24"/>
          <w:highlight w:val="none"/>
        </w:rPr>
      </w:pPr>
      <w:r>
        <w:rPr>
          <w:rFonts w:hint="eastAsia" w:ascii="微软雅黑" w:hAnsi="微软雅黑" w:eastAsia="微软雅黑" w:cs="微软雅黑"/>
          <w:color w:val="auto"/>
          <w:kern w:val="2"/>
          <w:szCs w:val="24"/>
          <w:highlight w:val="none"/>
        </w:rPr>
        <w:t>3.本项目的特定资格要求：①在“信用中国”（www.creditchina.gov.cn）和中国政府采购网（www.ccgp.gov.cn）网站上未被列入失信被执行人、重大税收违法案件当事人名单、政府采购严重违法失信行为记录名单（财库[2016]125号）（需提供网站查询截图并加盖公章）；②本项目不接受进口产品。</w:t>
      </w:r>
    </w:p>
    <w:p>
      <w:pPr>
        <w:spacing w:line="56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三、获取采购文件</w:t>
      </w:r>
      <w:bookmarkEnd w:id="370"/>
      <w:bookmarkEnd w:id="371"/>
      <w:bookmarkEnd w:id="372"/>
      <w:bookmarkEnd w:id="373"/>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1、时间：2021年11月2</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日至2021年</w:t>
      </w:r>
      <w:r>
        <w:rPr>
          <w:rFonts w:hint="eastAsia" w:ascii="微软雅黑" w:hAnsi="微软雅黑" w:eastAsia="微软雅黑" w:cs="微软雅黑"/>
          <w:color w:val="auto"/>
          <w:sz w:val="24"/>
          <w:highlight w:val="none"/>
          <w:lang w:val="en-US" w:eastAsia="zh-CN"/>
        </w:rPr>
        <w:t>12</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01</w:t>
      </w:r>
      <w:r>
        <w:rPr>
          <w:rFonts w:hint="eastAsia" w:ascii="微软雅黑" w:hAnsi="微软雅黑" w:eastAsia="微软雅黑" w:cs="微软雅黑"/>
          <w:color w:val="auto"/>
          <w:sz w:val="24"/>
          <w:highlight w:val="none"/>
        </w:rPr>
        <w:t>日，每天10:00至14:00，下午15:30至19:30（北京时间，法定节假日除外）。</w:t>
      </w:r>
      <w:bookmarkStart w:id="730" w:name="_GoBack"/>
      <w:bookmarkEnd w:id="730"/>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2、地点：新疆政府采购网线上获取。</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3、招标文件售价：0元（人民币）。</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4、招标文件获取方式：投标人应登陆新疆政府采购网政采云平台http://www.ccgp-xinjiang.gov.cn/，在线申请获取招标文件（登录政府采购云平台→ 项目采购 → 获取招标文件→申请，审核通过后可下载招标文件，如有操作性问题，可与政采云在线客服进行咨询，咨询电话：400-881-7190）。</w:t>
      </w:r>
    </w:p>
    <w:p>
      <w:pPr>
        <w:pStyle w:val="34"/>
        <w:spacing w:line="560" w:lineRule="exact"/>
        <w:ind w:firstLine="480"/>
        <w:jc w:val="lef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5、获取招标文件需提供资料原件：(1)企业法人或企业负责人或事业法人或其他组织或自然人资格证明文件；(2)授权委托人投标的需提供法人（负责人）代表资格证明书及授权委托书、被授权人身份证；法定代表人（负责人）投标的需提供法人（负责人）代表资格证明书及法人（负责人）身份证；授权委托人需提供本人在本单位近三个月单位社保缴费凭证和个人明细表；(3)2020年度财务审计报告（新公司或其他组织和自然人提供银行出具的资信证明）；(4)未被“信用中国”（www.creditchina.gov.cn）列入失信被执行人和重大税收违法案件当事人名单，未被“中国政府采购网”（www.ccgp.gov.cn） 列入政府采购严重违法失信行为记录名单，未在财政部门或行业主管部门禁止参加政府采购活动时间及地域范围内；（5）提供本单位在参加政府采购活动中前三年内无重大违法记录的承诺书；（6）提供针对本次采购项目《反商业贿赂承诺书》；（7）提供税务部门出具的近三个月的完税证明（或申报记录）。</w:t>
      </w:r>
    </w:p>
    <w:p>
      <w:pPr>
        <w:pStyle w:val="4"/>
        <w:autoSpaceDE/>
        <w:autoSpaceDN/>
        <w:adjustRightInd/>
        <w:spacing w:line="560" w:lineRule="exact"/>
        <w:jc w:val="both"/>
        <w:rPr>
          <w:rFonts w:ascii="微软雅黑" w:hAnsi="微软雅黑" w:eastAsia="微软雅黑" w:cs="微软雅黑"/>
          <w:b/>
          <w:bCs/>
          <w:color w:val="auto"/>
          <w:sz w:val="24"/>
          <w:szCs w:val="24"/>
          <w:highlight w:val="none"/>
        </w:rPr>
      </w:pPr>
      <w:bookmarkStart w:id="374" w:name="_Toc28359092"/>
      <w:bookmarkStart w:id="375" w:name="_Toc28359015"/>
      <w:bookmarkStart w:id="376" w:name="_Toc35393801"/>
      <w:bookmarkStart w:id="377" w:name="_Toc35393632"/>
      <w:r>
        <w:rPr>
          <w:rFonts w:hint="eastAsia" w:ascii="微软雅黑" w:hAnsi="微软雅黑" w:eastAsia="微软雅黑" w:cs="微软雅黑"/>
          <w:b/>
          <w:bCs/>
          <w:color w:val="auto"/>
          <w:sz w:val="24"/>
          <w:szCs w:val="24"/>
          <w:highlight w:val="none"/>
        </w:rPr>
        <w:t>四、</w:t>
      </w:r>
      <w:bookmarkEnd w:id="374"/>
      <w:bookmarkEnd w:id="375"/>
      <w:bookmarkEnd w:id="376"/>
      <w:bookmarkEnd w:id="377"/>
      <w:r>
        <w:rPr>
          <w:rFonts w:hint="eastAsia" w:ascii="微软雅黑" w:hAnsi="微软雅黑" w:eastAsia="微软雅黑" w:cs="微软雅黑"/>
          <w:b/>
          <w:bCs/>
          <w:color w:val="auto"/>
          <w:sz w:val="24"/>
          <w:szCs w:val="24"/>
          <w:highlight w:val="none"/>
        </w:rPr>
        <w:t>提交投标文件截止时间、开标时间和地点</w:t>
      </w:r>
    </w:p>
    <w:p>
      <w:pPr>
        <w:spacing w:line="56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提交投标文件截止时间：</w:t>
      </w:r>
      <w:r>
        <w:rPr>
          <w:rFonts w:hint="eastAsia" w:ascii="微软雅黑" w:hAnsi="微软雅黑" w:eastAsia="微软雅黑" w:cs="微软雅黑"/>
          <w:color w:val="auto"/>
          <w:sz w:val="24"/>
          <w:highlight w:val="none"/>
          <w:u w:val="single"/>
        </w:rPr>
        <w:t>2021年12月1</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rPr>
        <w:t>日11点00分（</w:t>
      </w:r>
      <w:r>
        <w:rPr>
          <w:rFonts w:hint="eastAsia" w:ascii="微软雅黑" w:hAnsi="微软雅黑" w:eastAsia="微软雅黑" w:cs="微软雅黑"/>
          <w:color w:val="auto"/>
          <w:sz w:val="24"/>
          <w:highlight w:val="none"/>
        </w:rPr>
        <w:t>北京时间）</w:t>
      </w:r>
    </w:p>
    <w:p>
      <w:pPr>
        <w:pStyle w:val="2"/>
        <w:autoSpaceDE/>
        <w:autoSpaceDN/>
        <w:adjustRightInd/>
        <w:spacing w:line="560" w:lineRule="exact"/>
        <w:ind w:firstLine="480" w:firstLineChars="200"/>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开标时间：</w:t>
      </w:r>
      <w:r>
        <w:rPr>
          <w:rFonts w:hint="eastAsia" w:ascii="微软雅黑" w:hAnsi="微软雅黑" w:eastAsia="微软雅黑" w:cs="微软雅黑"/>
          <w:color w:val="auto"/>
          <w:kern w:val="2"/>
          <w:szCs w:val="24"/>
          <w:highlight w:val="none"/>
          <w:u w:val="single"/>
        </w:rPr>
        <w:t>2021年12月1</w:t>
      </w:r>
      <w:r>
        <w:rPr>
          <w:rFonts w:hint="eastAsia" w:ascii="微软雅黑" w:hAnsi="微软雅黑" w:eastAsia="微软雅黑" w:cs="微软雅黑"/>
          <w:color w:val="auto"/>
          <w:kern w:val="2"/>
          <w:szCs w:val="24"/>
          <w:highlight w:val="none"/>
          <w:u w:val="single"/>
          <w:lang w:val="en-US" w:eastAsia="zh-CN"/>
        </w:rPr>
        <w:t>5</w:t>
      </w:r>
      <w:r>
        <w:rPr>
          <w:rFonts w:hint="eastAsia" w:ascii="微软雅黑" w:hAnsi="微软雅黑" w:eastAsia="微软雅黑" w:cs="微软雅黑"/>
          <w:color w:val="auto"/>
          <w:kern w:val="2"/>
          <w:szCs w:val="24"/>
          <w:highlight w:val="none"/>
          <w:u w:val="single"/>
        </w:rPr>
        <w:t>日11点00分</w:t>
      </w:r>
      <w:r>
        <w:rPr>
          <w:rFonts w:hint="eastAsia" w:ascii="微软雅黑" w:hAnsi="微软雅黑" w:eastAsia="微软雅黑" w:cs="微软雅黑"/>
          <w:color w:val="auto"/>
          <w:szCs w:val="24"/>
          <w:highlight w:val="none"/>
        </w:rPr>
        <w:t>（北京时间）</w:t>
      </w:r>
    </w:p>
    <w:p>
      <w:pPr>
        <w:widowControl/>
        <w:spacing w:line="560" w:lineRule="exact"/>
        <w:ind w:firstLine="480" w:firstLineChars="200"/>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点：喀什市人民西路199号前海宾馆 3 楼会议室</w:t>
      </w:r>
    </w:p>
    <w:p>
      <w:pPr>
        <w:pStyle w:val="4"/>
        <w:autoSpaceDE/>
        <w:autoSpaceDN/>
        <w:adjustRightInd/>
        <w:spacing w:line="560" w:lineRule="exact"/>
        <w:jc w:val="left"/>
        <w:rPr>
          <w:rFonts w:ascii="微软雅黑" w:hAnsi="微软雅黑" w:eastAsia="微软雅黑" w:cs="微软雅黑"/>
          <w:b/>
          <w:bCs/>
          <w:color w:val="auto"/>
          <w:sz w:val="24"/>
          <w:szCs w:val="24"/>
          <w:highlight w:val="none"/>
        </w:rPr>
      </w:pPr>
      <w:bookmarkStart w:id="378" w:name="_Toc35393634"/>
      <w:bookmarkStart w:id="379" w:name="_Toc28359017"/>
      <w:bookmarkStart w:id="380" w:name="_Toc28359094"/>
      <w:bookmarkStart w:id="381" w:name="_Toc35393803"/>
      <w:r>
        <w:rPr>
          <w:rFonts w:hint="eastAsia" w:ascii="微软雅黑" w:hAnsi="微软雅黑" w:eastAsia="微软雅黑" w:cs="微软雅黑"/>
          <w:b/>
          <w:bCs/>
          <w:color w:val="auto"/>
          <w:sz w:val="24"/>
          <w:szCs w:val="24"/>
          <w:highlight w:val="none"/>
        </w:rPr>
        <w:t>五、公告期限</w:t>
      </w:r>
      <w:bookmarkEnd w:id="378"/>
      <w:bookmarkEnd w:id="379"/>
      <w:bookmarkEnd w:id="380"/>
      <w:bookmarkEnd w:id="381"/>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自本公告发布之日起5个工作日。</w:t>
      </w:r>
      <w:bookmarkStart w:id="382" w:name="_Toc35393804"/>
      <w:bookmarkStart w:id="383" w:name="_Toc35393635"/>
    </w:p>
    <w:p>
      <w:pPr>
        <w:pStyle w:val="2"/>
        <w:numPr>
          <w:ilvl w:val="0"/>
          <w:numId w:val="12"/>
        </w:numPr>
        <w:spacing w:line="560" w:lineRule="exact"/>
        <w:ind w:firstLine="0"/>
        <w:rPr>
          <w:rFonts w:ascii="微软雅黑" w:hAnsi="微软雅黑" w:eastAsia="微软雅黑" w:cs="微软雅黑"/>
          <w:b/>
          <w:bCs/>
          <w:color w:val="auto"/>
          <w:szCs w:val="24"/>
          <w:highlight w:val="none"/>
        </w:rPr>
      </w:pPr>
      <w:r>
        <w:rPr>
          <w:rFonts w:hint="eastAsia" w:ascii="微软雅黑" w:hAnsi="微软雅黑" w:eastAsia="微软雅黑" w:cs="微软雅黑"/>
          <w:b/>
          <w:bCs/>
          <w:color w:val="auto"/>
          <w:szCs w:val="24"/>
          <w:highlight w:val="none"/>
        </w:rPr>
        <w:t>其他补充事宜</w:t>
      </w:r>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为严格落实党中央、国务院以及自治区相关工作部署，参加开标会的人员均须遵守《关于进一步明确责任加强新型冠状病毒感染的肺炎预防控制工作的通知》及《中华人民共和国传染病防治法》相关要求，做好个人防护，佩戴口罩，提前 30 分钟到达会场配合工作人员进行体温监测和人员信息登记，并签订承诺书。未按规定做好个人防护、不配合防疫工作，近期行程及接触史不符合防疫要求的，工作人员有权拒绝其进入开标会场，造成无法投标等后果自负。）</w:t>
      </w:r>
    </w:p>
    <w:bookmarkEnd w:id="382"/>
    <w:bookmarkEnd w:id="383"/>
    <w:p>
      <w:pPr>
        <w:pStyle w:val="4"/>
        <w:autoSpaceDE/>
        <w:autoSpaceDN/>
        <w:adjustRightInd/>
        <w:spacing w:line="560" w:lineRule="exact"/>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七、对本次招标提出询问，请按以下方式联系。</w:t>
      </w:r>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1、采购人信息：</w:t>
      </w:r>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名称：中共疏勒县委员会组织部</w:t>
      </w:r>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地址：中共疏勒县委员会组织部</w:t>
      </w:r>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kern w:val="0"/>
          <w:sz w:val="24"/>
          <w:highlight w:val="none"/>
          <w:lang w:eastAsia="zh-CN"/>
        </w:rPr>
        <w:t>姑丽扎尔·胡吉</w:t>
      </w:r>
      <w:r>
        <w:rPr>
          <w:rFonts w:hint="eastAsia" w:ascii="微软雅黑" w:hAnsi="微软雅黑" w:eastAsia="微软雅黑" w:cs="微软雅黑"/>
          <w:color w:val="auto"/>
          <w:kern w:val="0"/>
          <w:sz w:val="24"/>
          <w:highlight w:val="none"/>
        </w:rPr>
        <w:t xml:space="preserve"> 15770118767</w:t>
      </w:r>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2、采购代理机构信息：</w:t>
      </w:r>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名称：新疆众恒项目管理咨询有限公司</w:t>
      </w:r>
    </w:p>
    <w:p>
      <w:pPr>
        <w:spacing w:line="560" w:lineRule="exact"/>
        <w:ind w:firstLine="480" w:firstLineChars="200"/>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地址：喀什市人民东路105号二幢二楼201室</w:t>
      </w:r>
    </w:p>
    <w:p>
      <w:pPr>
        <w:spacing w:line="560" w:lineRule="exact"/>
        <w:ind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联系方式：奉文玲 18799897728</w:t>
      </w:r>
    </w:p>
    <w:p>
      <w:pPr>
        <w:rPr>
          <w:rFonts w:ascii="微软雅黑" w:hAnsi="微软雅黑" w:eastAsia="微软雅黑" w:cs="微软雅黑"/>
          <w:color w:val="auto"/>
          <w:sz w:val="22"/>
          <w:szCs w:val="28"/>
          <w:highlight w:val="none"/>
        </w:rPr>
      </w:pPr>
    </w:p>
    <w:p>
      <w:pPr>
        <w:pStyle w:val="57"/>
        <w:rPr>
          <w:rFonts w:hAnsi="宋体"/>
          <w:color w:val="auto"/>
          <w:highlight w:val="none"/>
        </w:rPr>
      </w:pPr>
    </w:p>
    <w:p>
      <w:pPr>
        <w:rPr>
          <w:rFonts w:hAnsi="宋体" w:cs="宋体"/>
          <w:color w:val="auto"/>
          <w:highlight w:val="none"/>
        </w:rPr>
      </w:pPr>
    </w:p>
    <w:p>
      <w:pPr>
        <w:rPr>
          <w:rFonts w:ascii="微软雅黑" w:hAnsi="微软雅黑" w:eastAsia="微软雅黑" w:cs="微软雅黑"/>
          <w:color w:val="auto"/>
          <w:sz w:val="24"/>
          <w:highlight w:val="none"/>
        </w:rPr>
      </w:pPr>
      <w:bookmarkStart w:id="384" w:name="_Toc18586"/>
      <w:r>
        <w:rPr>
          <w:rFonts w:hint="eastAsia" w:ascii="微软雅黑" w:hAnsi="微软雅黑" w:eastAsia="微软雅黑" w:cs="微软雅黑"/>
          <w:color w:val="auto"/>
          <w:sz w:val="24"/>
          <w:highlight w:val="none"/>
        </w:rPr>
        <w:br w:type="page"/>
      </w:r>
    </w:p>
    <w:p>
      <w:pPr>
        <w:pStyle w:val="3"/>
        <w:tabs>
          <w:tab w:val="left" w:pos="0"/>
        </w:tabs>
        <w:spacing w:before="0" w:after="0" w:line="400" w:lineRule="exact"/>
        <w:rPr>
          <w:rFonts w:ascii="微软雅黑" w:hAnsi="微软雅黑" w:eastAsia="微软雅黑" w:cs="微软雅黑"/>
          <w:b w:val="0"/>
          <w:color w:val="auto"/>
          <w:sz w:val="24"/>
          <w:szCs w:val="24"/>
          <w:highlight w:val="none"/>
        </w:rPr>
      </w:pPr>
      <w:r>
        <w:rPr>
          <w:rFonts w:hint="eastAsia" w:ascii="微软雅黑" w:hAnsi="微软雅黑" w:eastAsia="微软雅黑" w:cs="微软雅黑"/>
          <w:color w:val="auto"/>
          <w:sz w:val="24"/>
          <w:szCs w:val="24"/>
          <w:highlight w:val="none"/>
        </w:rPr>
        <w:t>第4章  投标人须知资料表</w:t>
      </w:r>
      <w:bookmarkEnd w:id="353"/>
      <w:bookmarkEnd w:id="354"/>
      <w:bookmarkEnd w:id="355"/>
      <w:bookmarkEnd w:id="356"/>
      <w:bookmarkEnd w:id="357"/>
      <w:bookmarkEnd w:id="358"/>
      <w:bookmarkEnd w:id="384"/>
    </w:p>
    <w:bookmarkEnd w:id="359"/>
    <w:p>
      <w:pPr>
        <w:spacing w:line="400" w:lineRule="exact"/>
        <w:ind w:firstLine="360" w:firstLineChars="15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本表是本招标项目的具体资料，是对投标人须知的具体补充和修改，如有矛盾，应以本资料表为准。</w:t>
      </w:r>
    </w:p>
    <w:tbl>
      <w:tblPr>
        <w:tblStyle w:val="35"/>
        <w:tblW w:w="9367"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7"/>
        <w:gridCol w:w="8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条款号</w:t>
            </w:r>
          </w:p>
        </w:tc>
        <w:tc>
          <w:tcPr>
            <w:tcW w:w="8500" w:type="dxa"/>
            <w:vAlign w:val="center"/>
          </w:tcPr>
          <w:p>
            <w:pPr>
              <w:spacing w:line="400" w:lineRule="exact"/>
              <w:jc w:val="center"/>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采购人：中共疏勒县委员会组织部</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lang w:eastAsia="zh-CN"/>
              </w:rPr>
              <w:t>姑丽扎尔·胡吉</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kern w:val="0"/>
                <w:sz w:val="24"/>
                <w:highlight w:val="none"/>
              </w:rPr>
              <w:t xml:space="preserve"> </w:t>
            </w:r>
            <w:r>
              <w:rPr>
                <w:rFonts w:hint="eastAsia" w:ascii="微软雅黑" w:hAnsi="微软雅黑" w:eastAsia="微软雅黑" w:cs="微软雅黑"/>
                <w:color w:val="auto"/>
                <w:sz w:val="24"/>
                <w:highlight w:val="none"/>
              </w:rPr>
              <w:t xml:space="preserve">        联系电话：15770118767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2"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采购代理机构： 新疆众恒项目管理咨询有限公司 </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地  址：喀什市人民东路105号二幢二楼201室 </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业务联系人：奉文玲　   联系电话： 18799897728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51"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w:t>
            </w:r>
          </w:p>
        </w:tc>
        <w:tc>
          <w:tcPr>
            <w:tcW w:w="8500" w:type="dxa"/>
            <w:vAlign w:val="center"/>
          </w:tcPr>
          <w:p>
            <w:pPr>
              <w:spacing w:line="400" w:lineRule="exact"/>
              <w:rPr>
                <w:rFonts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合格投标人的其他资格要求</w:t>
            </w:r>
            <w:r>
              <w:rPr>
                <w:rFonts w:hint="eastAsia" w:ascii="微软雅黑" w:hAnsi="微软雅黑" w:eastAsia="微软雅黑" w:cs="微软雅黑"/>
                <w:b/>
                <w:bCs/>
                <w:color w:val="auto"/>
                <w:sz w:val="24"/>
                <w:highlight w:val="none"/>
              </w:rPr>
              <w:t>（开标时须携带资格条件证明原件或国家认可的可扫描二维码的复印件加盖公章）</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(1)法人、非法人组织或者自然人资格证明文件；</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(2)授权委托人投标的需提供法人（负责人）代表资格证明书及授权委托书、被授权人身份证；法定代表人（负责人）投标的需提供法人（负责人）代表资格证明书及法人（负责人）身份证；授权委托人需提供本人在本单位近三个月单位社保缴费凭证和个人明细表；</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(3)2020年度财务审计报告（新公司或其他组织和自然人提供银行出具的资信证明）；</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(4)未被“信用中国”（www.creditchina.gov.cn）列入失信被执行人和重大税收违法案件当事人名单，未被“中国政府采购网”（www.ccgp.gov.cn） 列入政府采购严重违法失信行为记录名单，未在财政部门或行业主管部门禁止参加政府采购活动时间及地域范围内；</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(5)提供本单位在参加政府采购活动中前三年内无重大违法记录的承诺书；</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(6)提供针对本次采购项目《反商业贿赂承诺书》；</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(7)提供税务部门出具的近三个月的完税证明（或申报记录）；</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 xml:space="preserve">(8)缴纳投标保证金收据及银行转账/电汇回执单复印件。     </w:t>
            </w:r>
          </w:p>
          <w:p>
            <w:pPr>
              <w:pStyle w:val="2"/>
              <w:spacing w:line="400" w:lineRule="exact"/>
              <w:ind w:firstLine="0"/>
              <w:rPr>
                <w:rFonts w:ascii="微软雅黑" w:hAnsi="微软雅黑" w:eastAsia="微软雅黑" w:cs="微软雅黑"/>
                <w:color w:val="auto"/>
                <w:szCs w:val="24"/>
                <w:highlight w:val="none"/>
              </w:rPr>
            </w:pPr>
            <w:r>
              <w:rPr>
                <w:rFonts w:hint="eastAsia" w:ascii="微软雅黑" w:hAnsi="微软雅黑" w:eastAsia="微软雅黑" w:cs="微软雅黑"/>
                <w:b/>
                <w:bCs/>
                <w:color w:val="auto"/>
                <w:kern w:val="2"/>
                <w:szCs w:val="24"/>
                <w:highlight w:val="none"/>
              </w:rPr>
              <w:t>注：以上所提供证件齐全、合格有效，满足要求的投标人为有效投标人，并与投标文件中所提供的相一致，证件不全将导致投标无效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1.3.5   </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是否允许采购进口产品：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1.3.6</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是否为专门面向中小企业采购：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w:t>
            </w:r>
          </w:p>
        </w:tc>
        <w:tc>
          <w:tcPr>
            <w:tcW w:w="8500" w:type="dxa"/>
            <w:vAlign w:val="center"/>
          </w:tcPr>
          <w:p>
            <w:pPr>
              <w:spacing w:line="400" w:lineRule="exact"/>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项目预算金额：1030万元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8"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w:t>
            </w:r>
          </w:p>
        </w:tc>
        <w:tc>
          <w:tcPr>
            <w:tcW w:w="8500" w:type="dxa"/>
            <w:vAlign w:val="center"/>
          </w:tcPr>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投标保证金形式：□保函  ☑电汇  □支票   ☑对公转账   </w:t>
            </w:r>
          </w:p>
          <w:p>
            <w:pPr>
              <w:pStyle w:val="2"/>
              <w:spacing w:line="400" w:lineRule="exact"/>
              <w:ind w:firstLine="0"/>
              <w:rPr>
                <w:rFonts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szCs w:val="24"/>
                <w:highlight w:val="none"/>
              </w:rPr>
              <w:t>保证金金额：</w:t>
            </w:r>
            <w:r>
              <w:rPr>
                <w:rFonts w:hint="eastAsia" w:ascii="微软雅黑" w:hAnsi="微软雅黑" w:eastAsia="微软雅黑" w:cs="微软雅黑"/>
                <w:b/>
                <w:bCs/>
                <w:color w:val="auto"/>
                <w:kern w:val="2"/>
                <w:szCs w:val="24"/>
                <w:highlight w:val="none"/>
              </w:rPr>
              <w:t>¥100000元（人民币壹拾万元整）</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保证金收款人：</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收款单位：新疆众恒项目管理咨询有限公司</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开户银行：中国农业银行股份有限公司喀什人民西路（兵团）第一支行</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账号：30785601040003754</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（电汇时请在汇款备注栏注明项目名称及编号、包号（如有），并注明是投标保证金）财务室联系人及联系方式：郑祖芬 0998-2533338</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保证金缴纳要求：</w:t>
            </w:r>
            <w:r>
              <w:rPr>
                <w:rFonts w:hint="eastAsia" w:ascii="微软雅黑" w:hAnsi="微软雅黑" w:eastAsia="微软雅黑" w:cs="微软雅黑"/>
                <w:b/>
                <w:bCs/>
                <w:color w:val="auto"/>
                <w:sz w:val="24"/>
                <w:highlight w:val="none"/>
              </w:rPr>
              <w:t>保证金在开标前一天18:30须从投标供应商的基本账户一次性汇入指定账户，不接受现金、支票及任何个人汇款</w:t>
            </w:r>
            <w:r>
              <w:rPr>
                <w:rFonts w:hint="eastAsia" w:ascii="微软雅黑" w:hAnsi="微软雅黑" w:eastAsia="微软雅黑" w:cs="微软雅黑"/>
                <w:color w:val="auto"/>
                <w:sz w:val="24"/>
                <w:highlight w:val="none"/>
              </w:rPr>
              <w:t>。确认到帐后，持银行缴款单和银行开户许可证复印件加盖公章到代理公司换取收据，开标现场持投标保证金收据原件，标书内放置收据复印件及打款回执单复印件，</w:t>
            </w:r>
            <w:r>
              <w:rPr>
                <w:rFonts w:hint="eastAsia" w:ascii="微软雅黑" w:hAnsi="微软雅黑" w:eastAsia="微软雅黑" w:cs="微软雅黑"/>
                <w:b/>
                <w:bCs/>
                <w:color w:val="auto"/>
                <w:sz w:val="24"/>
                <w:highlight w:val="none"/>
              </w:rPr>
              <w:t>投标文件内未放置收据复印件及打款回执单复印件将做无效投标处理。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p>
        </w:tc>
        <w:tc>
          <w:tcPr>
            <w:tcW w:w="8500" w:type="dxa"/>
            <w:vAlign w:val="center"/>
          </w:tcPr>
          <w:p>
            <w:pPr>
              <w:spacing w:line="400" w:lineRule="exact"/>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投标有效期：</w:t>
            </w:r>
            <w:r>
              <w:rPr>
                <w:rFonts w:hint="eastAsia" w:ascii="微软雅黑" w:hAnsi="微软雅黑" w:eastAsia="微软雅黑" w:cs="微软雅黑"/>
                <w:color w:val="auto"/>
                <w:sz w:val="24"/>
                <w:highlight w:val="none"/>
                <w:u w:val="single"/>
              </w:rPr>
              <w:t>　60　</w:t>
            </w:r>
            <w:r>
              <w:rPr>
                <w:rFonts w:hint="eastAsia" w:ascii="微软雅黑" w:hAnsi="微软雅黑" w:eastAsia="微软雅黑" w:cs="微软雅黑"/>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6"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p>
        </w:tc>
        <w:tc>
          <w:tcPr>
            <w:tcW w:w="8500" w:type="dxa"/>
            <w:vAlign w:val="center"/>
          </w:tcPr>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投标文件：正本：壹份；</w:t>
            </w:r>
          </w:p>
          <w:p>
            <w:pPr>
              <w:spacing w:line="400" w:lineRule="exact"/>
              <w:ind w:firstLine="1200" w:firstLineChars="5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副本：陆份；</w:t>
            </w:r>
          </w:p>
          <w:p>
            <w:pPr>
              <w:spacing w:line="400" w:lineRule="exact"/>
              <w:ind w:firstLine="1200" w:firstLineChars="5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开标一览表：壹份；</w:t>
            </w:r>
          </w:p>
          <w:p>
            <w:pPr>
              <w:spacing w:line="400" w:lineRule="exact"/>
              <w:ind w:firstLine="1200" w:firstLineChars="5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电子版投标文件：壹份。</w:t>
            </w:r>
          </w:p>
          <w:p>
            <w:pPr>
              <w:numPr>
                <w:ilvl w:val="0"/>
                <w:numId w:val="13"/>
              </w:num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正、副本可单独密封提交、也可合并密封提交，密封袋封面右上角标明“正本”、“副本”字样。</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2、“开标一览表”1份，单独密封提交，并在密封袋上标明“开标一览表”的字样。不按要求标注或不单独提交开标一览表，其投标将被拒绝。</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电子版投标文件”1份，单独密封提交。电子版投标文件必须是正本扫描件，制作成与正本完全一致PDF格式文本。并在密封袋上标明“电子版投标文件”字样。不按要求标注或不单独提交电子版投标文件，其投标将被拒绝。</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投标文件使用A4，胶装，每册装订应牢固、不易拆散和换页，不得采用活页装订。</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投标文件的签署及规定：</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投标人应按投标人须知资料表中的规定，准备和递交投标文件正本、副本、开标一览表和电子版投标文件，每份纸质投标文件封皮须清楚地标明“正本”或“副本”。若正本与副本不符，以正本为准。</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文件的正本需打印或用不褪色墨水书写，并由投标人的法定代表人（负责人）或经其正式委托代理人按招标文件规定在投标文件上签字并加盖单位印章。如对投标文件进行了修改，则应由投标人的法定代表人（负责人）或其委托代理人在每一修改处签字。投标文件的副本可采用正本的复印件。（清晰可辨认）</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所有包装封皮或密封袋上均应注明招标公告中指明的项目名称、招标编号、投标人名称和“在（开标时间）之前不得启封”的字样。</w:t>
            </w:r>
          </w:p>
          <w:p>
            <w:pPr>
              <w:spacing w:line="400" w:lineRule="exact"/>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在封口处加盖供应商单位公章，或由法定代表人（负责人）（或其委托代理人）签字或盖章。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投标截止时间：2021年12月</w:t>
            </w:r>
            <w:r>
              <w:rPr>
                <w:rFonts w:hint="eastAsia" w:ascii="微软雅黑" w:hAnsi="微软雅黑" w:eastAsia="微软雅黑" w:cs="微软雅黑"/>
                <w:color w:val="auto"/>
                <w:sz w:val="24"/>
                <w:highlight w:val="none"/>
                <w:lang w:val="en-US" w:eastAsia="zh-CN"/>
              </w:rPr>
              <w:t>15</w:t>
            </w:r>
            <w:r>
              <w:rPr>
                <w:rFonts w:hint="eastAsia" w:ascii="微软雅黑" w:hAnsi="微软雅黑" w:eastAsia="微软雅黑" w:cs="微软雅黑"/>
                <w:color w:val="auto"/>
                <w:sz w:val="24"/>
                <w:highlight w:val="none"/>
              </w:rPr>
              <w:t>日上午11:00；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开标时间：2021年12月</w:t>
            </w:r>
            <w:r>
              <w:rPr>
                <w:rFonts w:hint="eastAsia" w:ascii="微软雅黑" w:hAnsi="微软雅黑" w:eastAsia="微软雅黑" w:cs="微软雅黑"/>
                <w:color w:val="auto"/>
                <w:sz w:val="24"/>
                <w:highlight w:val="none"/>
                <w:lang w:val="en-US" w:eastAsia="zh-CN"/>
              </w:rPr>
              <w:t>15</w:t>
            </w:r>
            <w:r>
              <w:rPr>
                <w:rFonts w:hint="eastAsia" w:ascii="微软雅黑" w:hAnsi="微软雅黑" w:eastAsia="微软雅黑" w:cs="微软雅黑"/>
                <w:color w:val="auto"/>
                <w:sz w:val="24"/>
                <w:highlight w:val="none"/>
              </w:rPr>
              <w:t>日上午11:00；</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开标地点：喀什市人民西路199号前海宾馆 3 楼会议室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p>
        </w:tc>
        <w:tc>
          <w:tcPr>
            <w:tcW w:w="8500" w:type="dxa"/>
            <w:vAlign w:val="center"/>
          </w:tcPr>
          <w:p>
            <w:pPr>
              <w:spacing w:line="400" w:lineRule="exact"/>
              <w:rPr>
                <w:rFonts w:ascii="微软雅黑" w:hAnsi="微软雅黑" w:eastAsia="微软雅黑" w:cs="微软雅黑"/>
                <w:i/>
                <w:color w:val="auto"/>
                <w:sz w:val="24"/>
                <w:highlight w:val="none"/>
              </w:rPr>
            </w:pPr>
            <w:r>
              <w:rPr>
                <w:rFonts w:hint="eastAsia" w:ascii="微软雅黑" w:hAnsi="微软雅黑" w:eastAsia="微软雅黑" w:cs="微软雅黑"/>
                <w:color w:val="auto"/>
                <w:sz w:val="24"/>
                <w:highlight w:val="none"/>
              </w:rPr>
              <w:t>评标方法：适用</w:t>
            </w:r>
            <w:r>
              <w:rPr>
                <w:rFonts w:hint="eastAsia" w:ascii="微软雅黑" w:hAnsi="微软雅黑" w:eastAsia="微软雅黑" w:cs="微软雅黑"/>
                <w:color w:val="auto"/>
                <w:sz w:val="24"/>
                <w:highlight w:val="none"/>
                <w:u w:val="single"/>
              </w:rPr>
              <w:t>　综合评分法　</w:t>
            </w:r>
            <w:r>
              <w:rPr>
                <w:rFonts w:hint="eastAsia" w:ascii="微软雅黑" w:hAnsi="微软雅黑" w:eastAsia="微软雅黑" w:cs="微软雅黑"/>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招标人是否委托评标委员会直接确定中标人：</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8"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中标服务费：参照原国家计委计价格【2002】1980号文和国家发改委发改办价格【2003】857号文的计算方法收取由中标人支付。</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支付形式：对公转账 、电汇、网银</w:t>
            </w:r>
          </w:p>
          <w:p>
            <w:pP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w:t>
            </w:r>
          </w:p>
        </w:tc>
        <w:tc>
          <w:tcPr>
            <w:tcW w:w="8500" w:type="dxa"/>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本项目是否属于信用担保试点范围：</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9367" w:type="dxa"/>
            <w:gridSpan w:val="2"/>
          </w:tcPr>
          <w:p>
            <w:pPr>
              <w:spacing w:line="400" w:lineRule="exact"/>
              <w:rPr>
                <w:rFonts w:ascii="微软雅黑" w:hAnsi="微软雅黑" w:eastAsia="微软雅黑" w:cs="微软雅黑"/>
                <w:color w:val="auto"/>
                <w:sz w:val="24"/>
                <w:highlight w:val="none"/>
              </w:rPr>
            </w:pPr>
          </w:p>
        </w:tc>
      </w:tr>
    </w:tbl>
    <w:p>
      <w:pPr>
        <w:spacing w:line="400" w:lineRule="exact"/>
        <w:ind w:left="1080" w:leftChars="257" w:hanging="540"/>
        <w:rPr>
          <w:rFonts w:ascii="微软雅黑" w:hAnsi="微软雅黑" w:eastAsia="微软雅黑" w:cs="微软雅黑"/>
          <w:color w:val="auto"/>
          <w:sz w:val="24"/>
          <w:highlight w:val="none"/>
        </w:rPr>
      </w:pPr>
    </w:p>
    <w:p>
      <w:pPr>
        <w:pStyle w:val="2"/>
        <w:spacing w:line="400" w:lineRule="exact"/>
        <w:rPr>
          <w:rFonts w:ascii="微软雅黑" w:hAnsi="微软雅黑" w:eastAsia="微软雅黑" w:cs="微软雅黑"/>
          <w:color w:val="auto"/>
          <w:szCs w:val="24"/>
          <w:highlight w:val="none"/>
        </w:rPr>
      </w:pPr>
    </w:p>
    <w:p>
      <w:pPr>
        <w:rPr>
          <w:rFonts w:ascii="宋体" w:hAnsi="宋体" w:cs="宋体"/>
          <w:color w:val="auto"/>
          <w:sz w:val="24"/>
          <w:highlight w:val="none"/>
        </w:rPr>
      </w:pPr>
    </w:p>
    <w:p>
      <w:pPr>
        <w:rPr>
          <w:color w:val="auto"/>
          <w:highlight w:val="none"/>
        </w:rPr>
      </w:pPr>
    </w:p>
    <w:p>
      <w:pPr>
        <w:pStyle w:val="2"/>
        <w:rPr>
          <w:rFonts w:hAnsi="宋体" w:cs="宋体"/>
          <w:color w:val="auto"/>
          <w:highlight w:val="none"/>
        </w:rPr>
      </w:pPr>
    </w:p>
    <w:p>
      <w:pPr>
        <w:pStyle w:val="2"/>
        <w:rPr>
          <w:rFonts w:hAnsi="宋体" w:cs="宋体"/>
          <w:color w:val="auto"/>
          <w:highlight w:val="none"/>
        </w:rPr>
      </w:pPr>
    </w:p>
    <w:p>
      <w:pPr>
        <w:pStyle w:val="2"/>
        <w:ind w:firstLine="0"/>
        <w:rPr>
          <w:rFonts w:hAnsi="宋体" w:cs="宋体"/>
          <w:color w:val="auto"/>
          <w:highlight w:val="none"/>
        </w:rPr>
        <w:sectPr>
          <w:pgSz w:w="11906" w:h="16838"/>
          <w:pgMar w:top="1440" w:right="1797" w:bottom="1440" w:left="1797" w:header="851" w:footer="992" w:gutter="0"/>
          <w:cols w:space="720" w:num="1"/>
          <w:docGrid w:linePitch="312" w:charSpace="0"/>
        </w:sectPr>
      </w:pPr>
    </w:p>
    <w:tbl>
      <w:tblPr>
        <w:tblStyle w:val="35"/>
        <w:tblpPr w:leftFromText="180" w:rightFromText="180" w:vertAnchor="text" w:horzAnchor="page" w:tblpXSpec="center" w:tblpY="433"/>
        <w:tblOverlap w:val="never"/>
        <w:tblW w:w="15152" w:type="dxa"/>
        <w:jc w:val="center"/>
        <w:tblLayout w:type="fixed"/>
        <w:tblCellMar>
          <w:top w:w="0" w:type="dxa"/>
          <w:left w:w="108" w:type="dxa"/>
          <w:bottom w:w="0" w:type="dxa"/>
          <w:right w:w="108" w:type="dxa"/>
        </w:tblCellMar>
      </w:tblPr>
      <w:tblGrid>
        <w:gridCol w:w="867"/>
        <w:gridCol w:w="1665"/>
        <w:gridCol w:w="2220"/>
        <w:gridCol w:w="1350"/>
        <w:gridCol w:w="2190"/>
        <w:gridCol w:w="885"/>
        <w:gridCol w:w="915"/>
        <w:gridCol w:w="1140"/>
        <w:gridCol w:w="1080"/>
        <w:gridCol w:w="825"/>
        <w:gridCol w:w="551"/>
        <w:gridCol w:w="1464"/>
      </w:tblGrid>
      <w:tr>
        <w:tblPrEx>
          <w:tblCellMar>
            <w:top w:w="0" w:type="dxa"/>
            <w:left w:w="108" w:type="dxa"/>
            <w:bottom w:w="0" w:type="dxa"/>
            <w:right w:w="108" w:type="dxa"/>
          </w:tblCellMar>
        </w:tblPrEx>
        <w:trPr>
          <w:trHeight w:val="365" w:hRule="atLeast"/>
          <w:jc w:val="center"/>
        </w:trPr>
        <w:tc>
          <w:tcPr>
            <w:tcW w:w="8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投标人名称</w:t>
            </w:r>
          </w:p>
        </w:tc>
        <w:tc>
          <w:tcPr>
            <w:tcW w:w="12821" w:type="dxa"/>
            <w:gridSpan w:val="10"/>
            <w:tcBorders>
              <w:top w:val="single" w:color="auto" w:sz="4" w:space="0"/>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审查项目</w:t>
            </w:r>
          </w:p>
        </w:tc>
        <w:tc>
          <w:tcPr>
            <w:tcW w:w="1464"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结论</w:t>
            </w:r>
          </w:p>
          <w:p>
            <w:pPr>
              <w:widowControl/>
              <w:spacing w:line="360" w:lineRule="exact"/>
              <w:jc w:val="center"/>
              <w:rPr>
                <w:rFonts w:ascii="微软雅黑" w:hAnsi="微软雅黑" w:eastAsia="微软雅黑" w:cs="微软雅黑"/>
                <w:color w:val="auto"/>
                <w:kern w:val="0"/>
                <w:sz w:val="22"/>
                <w:szCs w:val="22"/>
                <w:highlight w:val="none"/>
              </w:rPr>
            </w:pPr>
          </w:p>
          <w:p>
            <w:pPr>
              <w:widowControl/>
              <w:spacing w:line="360" w:lineRule="exact"/>
              <w:jc w:val="center"/>
              <w:rPr>
                <w:rFonts w:ascii="微软雅黑" w:hAnsi="微软雅黑" w:eastAsia="微软雅黑" w:cs="微软雅黑"/>
                <w:i/>
                <w:iCs/>
                <w:color w:val="auto"/>
                <w:kern w:val="0"/>
                <w:sz w:val="22"/>
                <w:szCs w:val="22"/>
                <w:highlight w:val="none"/>
              </w:rPr>
            </w:pPr>
          </w:p>
        </w:tc>
      </w:tr>
      <w:tr>
        <w:tblPrEx>
          <w:tblCellMar>
            <w:top w:w="0" w:type="dxa"/>
            <w:left w:w="108" w:type="dxa"/>
            <w:bottom w:w="0" w:type="dxa"/>
            <w:right w:w="108" w:type="dxa"/>
          </w:tblCellMar>
        </w:tblPrEx>
        <w:trPr>
          <w:trHeight w:val="3940" w:hRule="atLeast"/>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1665" w:type="dxa"/>
            <w:tcBorders>
              <w:top w:val="nil"/>
              <w:left w:val="nil"/>
              <w:bottom w:val="single" w:color="auto" w:sz="4" w:space="0"/>
              <w:right w:val="single" w:color="auto" w:sz="4" w:space="0"/>
            </w:tcBorders>
            <w:vAlign w:val="center"/>
          </w:tcPr>
          <w:p>
            <w:pPr>
              <w:widowControl/>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法人、非法人组织或者自然人资格证明文件（原件或国家认可的可扫描二维码的复印件加盖公章）</w:t>
            </w:r>
          </w:p>
        </w:tc>
        <w:tc>
          <w:tcPr>
            <w:tcW w:w="2220" w:type="dxa"/>
            <w:tcBorders>
              <w:top w:val="nil"/>
              <w:left w:val="nil"/>
              <w:bottom w:val="single" w:color="auto" w:sz="4" w:space="0"/>
              <w:right w:val="single" w:color="auto" w:sz="4" w:space="0"/>
            </w:tcBorders>
            <w:vAlign w:val="center"/>
          </w:tcPr>
          <w:p>
            <w:pPr>
              <w:widowControl/>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授权委托人投标的需提供法人（负责人）代表资格证明书及授权委托书、被授权人身份证；法定代表人（负责人）投标的需提供法人（负责人）代表资格证明书及法人（负责人）身份证；授权委托人需提供本人在本单位近三个月单位社保缴费凭证和个人明细表</w:t>
            </w:r>
          </w:p>
        </w:tc>
        <w:tc>
          <w:tcPr>
            <w:tcW w:w="1350" w:type="dxa"/>
            <w:tcBorders>
              <w:top w:val="nil"/>
              <w:left w:val="nil"/>
              <w:bottom w:val="single" w:color="auto" w:sz="4" w:space="0"/>
              <w:right w:val="single" w:color="auto" w:sz="4" w:space="0"/>
            </w:tcBorders>
            <w:vAlign w:val="center"/>
          </w:tcPr>
          <w:p>
            <w:pPr>
              <w:widowControl/>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2020年度财务审计报告（新公司或其他组织和自然人提供银行出具的资信证明）</w:t>
            </w:r>
          </w:p>
        </w:tc>
        <w:tc>
          <w:tcPr>
            <w:tcW w:w="2190" w:type="dxa"/>
            <w:tcBorders>
              <w:top w:val="nil"/>
              <w:left w:val="nil"/>
              <w:bottom w:val="single" w:color="auto" w:sz="4" w:space="0"/>
              <w:right w:val="single" w:color="auto" w:sz="4" w:space="0"/>
            </w:tcBorders>
            <w:vAlign w:val="center"/>
          </w:tcPr>
          <w:p>
            <w:pPr>
              <w:widowControl/>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未被“信用中国”（www.creditchina.gov.cn）列入失信被执行人和重大税收违法案件当事人名单，未被“中国政府采购网”（www.ccgp.gov.cn） 列入政府采购严重违法失信行为记录名单，未在财政部门或行业主管部门禁止参加政府采购活动时间及地域范围内</w:t>
            </w:r>
          </w:p>
        </w:tc>
        <w:tc>
          <w:tcPr>
            <w:tcW w:w="885" w:type="dxa"/>
            <w:tcBorders>
              <w:top w:val="nil"/>
              <w:left w:val="nil"/>
              <w:bottom w:val="single" w:color="auto" w:sz="4" w:space="0"/>
              <w:right w:val="single" w:color="auto" w:sz="4" w:space="0"/>
            </w:tcBorders>
            <w:vAlign w:val="center"/>
          </w:tcPr>
          <w:p>
            <w:pPr>
              <w:widowControl/>
              <w:spacing w:line="360" w:lineRule="exac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提供本单位在参加政府采购活动中前三年内无重大违法记录的承诺书</w:t>
            </w:r>
          </w:p>
        </w:tc>
        <w:tc>
          <w:tcPr>
            <w:tcW w:w="915" w:type="dxa"/>
            <w:tcBorders>
              <w:top w:val="nil"/>
              <w:left w:val="nil"/>
              <w:bottom w:val="single" w:color="auto" w:sz="4" w:space="0"/>
              <w:right w:val="single" w:color="auto" w:sz="4" w:space="0"/>
            </w:tcBorders>
            <w:vAlign w:val="center"/>
          </w:tcPr>
          <w:p>
            <w:pPr>
              <w:widowControl/>
              <w:spacing w:line="360" w:lineRule="exac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提供针对本次采购项目《反商业贿赂承诺书》</w:t>
            </w:r>
          </w:p>
        </w:tc>
        <w:tc>
          <w:tcPr>
            <w:tcW w:w="1140"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提供税务部门出具的近三个月的完税证明（或申报记录）</w:t>
            </w:r>
          </w:p>
        </w:tc>
        <w:tc>
          <w:tcPr>
            <w:tcW w:w="1080" w:type="dxa"/>
            <w:tcBorders>
              <w:top w:val="nil"/>
              <w:left w:val="nil"/>
              <w:bottom w:val="single" w:color="auto" w:sz="4" w:space="0"/>
              <w:right w:val="single" w:color="auto" w:sz="4" w:space="0"/>
            </w:tcBorders>
            <w:vAlign w:val="center"/>
          </w:tcPr>
          <w:p>
            <w:pPr>
              <w:widowControl/>
              <w:spacing w:line="360" w:lineRule="exac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缴纳投标保证金收据及银行转账/电汇回执单复印件</w:t>
            </w:r>
          </w:p>
        </w:tc>
        <w:tc>
          <w:tcPr>
            <w:tcW w:w="825"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标书密封情况</w:t>
            </w:r>
          </w:p>
        </w:tc>
        <w:tc>
          <w:tcPr>
            <w:tcW w:w="551" w:type="dxa"/>
            <w:tcBorders>
              <w:top w:val="nil"/>
              <w:left w:val="nil"/>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投标代表签字确认</w:t>
            </w:r>
          </w:p>
        </w:tc>
        <w:tc>
          <w:tcPr>
            <w:tcW w:w="1464"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微软雅黑" w:hAnsi="微软雅黑" w:eastAsia="微软雅黑" w:cs="微软雅黑"/>
                <w:i/>
                <w:iCs/>
                <w:color w:val="auto"/>
                <w:kern w:val="0"/>
                <w:sz w:val="22"/>
                <w:szCs w:val="22"/>
                <w:highlight w:val="none"/>
              </w:rPr>
            </w:pPr>
          </w:p>
        </w:tc>
      </w:tr>
      <w:tr>
        <w:tblPrEx>
          <w:tblCellMar>
            <w:top w:w="0" w:type="dxa"/>
            <w:left w:w="108" w:type="dxa"/>
            <w:bottom w:w="0" w:type="dxa"/>
            <w:right w:w="108" w:type="dxa"/>
          </w:tblCellMar>
        </w:tblPrEx>
        <w:trPr>
          <w:trHeight w:val="719" w:hRule="atLeast"/>
          <w:jc w:val="center"/>
        </w:trPr>
        <w:tc>
          <w:tcPr>
            <w:tcW w:w="86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w:t>
            </w:r>
          </w:p>
        </w:tc>
        <w:tc>
          <w:tcPr>
            <w:tcW w:w="166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22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135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219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88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91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14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08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82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551"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1464"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728" w:hRule="atLeast"/>
          <w:jc w:val="center"/>
        </w:trPr>
        <w:tc>
          <w:tcPr>
            <w:tcW w:w="867"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w:t>
            </w:r>
          </w:p>
        </w:tc>
        <w:tc>
          <w:tcPr>
            <w:tcW w:w="166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222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135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219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88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91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114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1080"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825"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551"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c>
          <w:tcPr>
            <w:tcW w:w="1464" w:type="dxa"/>
            <w:tcBorders>
              <w:top w:val="nil"/>
              <w:left w:val="nil"/>
              <w:bottom w:val="single" w:color="auto" w:sz="4" w:space="0"/>
              <w:right w:val="single" w:color="auto" w:sz="4" w:space="0"/>
            </w:tcBorders>
            <w:vAlign w:val="center"/>
          </w:tcPr>
          <w:p>
            <w:pPr>
              <w:widowControl/>
              <w:spacing w:line="360" w:lineRule="exact"/>
              <w:jc w:val="left"/>
              <w:rPr>
                <w:rFonts w:ascii="微软雅黑" w:hAnsi="微软雅黑" w:eastAsia="微软雅黑" w:cs="微软雅黑"/>
                <w:color w:val="auto"/>
                <w:kern w:val="0"/>
                <w:sz w:val="22"/>
                <w:szCs w:val="22"/>
                <w:highlight w:val="none"/>
              </w:rPr>
            </w:pPr>
          </w:p>
        </w:tc>
      </w:tr>
    </w:tbl>
    <w:p>
      <w:pPr>
        <w:widowControl/>
        <w:spacing w:line="360" w:lineRule="exact"/>
        <w:jc w:val="center"/>
        <w:rPr>
          <w:rFonts w:ascii="宋体" w:hAnsi="宋体" w:cs="宋体"/>
          <w:color w:val="auto"/>
          <w:sz w:val="24"/>
          <w:highlight w:val="none"/>
        </w:rPr>
      </w:pPr>
      <w:r>
        <w:rPr>
          <w:rFonts w:hint="eastAsia" w:ascii="微软雅黑" w:hAnsi="微软雅黑" w:eastAsia="微软雅黑" w:cs="微软雅黑"/>
          <w:b/>
          <w:color w:val="auto"/>
          <w:kern w:val="0"/>
          <w:sz w:val="28"/>
          <w:szCs w:val="28"/>
          <w:highlight w:val="none"/>
        </w:rPr>
        <w:t>进场资格审查表</w:t>
      </w:r>
    </w:p>
    <w:p>
      <w:pPr>
        <w:pStyle w:val="2"/>
        <w:ind w:firstLine="0"/>
        <w:rPr>
          <w:rFonts w:hAnsi="宋体" w:cs="宋体"/>
          <w:color w:val="auto"/>
          <w:highlight w:val="none"/>
        </w:rPr>
      </w:pPr>
    </w:p>
    <w:p>
      <w:pPr>
        <w:tabs>
          <w:tab w:val="left" w:pos="827"/>
        </w:tabs>
        <w:jc w:val="left"/>
        <w:rPr>
          <w:color w:val="auto"/>
          <w:highlight w:val="none"/>
        </w:rPr>
        <w:sectPr>
          <w:pgSz w:w="16838" w:h="11905" w:orient="landscape"/>
          <w:pgMar w:top="1797" w:right="1440" w:bottom="1797" w:left="1440" w:header="851" w:footer="992" w:gutter="0"/>
          <w:cols w:space="0" w:num="1"/>
          <w:docGrid w:linePitch="312" w:charSpace="0"/>
        </w:sectPr>
      </w:pPr>
      <w:r>
        <w:rPr>
          <w:rFonts w:hint="eastAsia"/>
          <w:color w:val="auto"/>
          <w:highlight w:val="none"/>
        </w:rPr>
        <w:tab/>
      </w:r>
      <w:r>
        <w:rPr>
          <w:rFonts w:hint="eastAsia"/>
          <w:color w:val="auto"/>
          <w:highlight w:val="none"/>
        </w:rPr>
        <w:t>招标人（签字）：         监督人（签字）：         日期：   年  月  日</w:t>
      </w:r>
    </w:p>
    <w:p>
      <w:pPr>
        <w:pStyle w:val="3"/>
        <w:tabs>
          <w:tab w:val="left" w:pos="0"/>
        </w:tabs>
        <w:spacing w:before="0" w:after="0" w:line="240" w:lineRule="atLeast"/>
        <w:rPr>
          <w:rFonts w:ascii="微软雅黑" w:hAnsi="微软雅黑" w:eastAsia="微软雅黑" w:cs="微软雅黑"/>
          <w:color w:val="auto"/>
          <w:highlight w:val="none"/>
        </w:rPr>
      </w:pPr>
      <w:bookmarkStart w:id="385" w:name="_Toc9887"/>
      <w:bookmarkStart w:id="386" w:name="_Toc9032"/>
      <w:bookmarkStart w:id="387" w:name="_Toc218935354"/>
      <w:bookmarkStart w:id="388" w:name="_Toc515647831"/>
      <w:bookmarkStart w:id="389" w:name="_Toc512937852"/>
      <w:bookmarkStart w:id="390" w:name="_Toc216582825"/>
      <w:bookmarkStart w:id="391" w:name="_Toc507399906"/>
      <w:bookmarkStart w:id="392" w:name="_Toc219175638"/>
      <w:r>
        <w:rPr>
          <w:rFonts w:hint="eastAsia" w:ascii="微软雅黑" w:hAnsi="微软雅黑" w:eastAsia="微软雅黑" w:cs="微软雅黑"/>
          <w:color w:val="auto"/>
          <w:highlight w:val="none"/>
        </w:rPr>
        <w:t xml:space="preserve">第5章 </w:t>
      </w:r>
      <w:bookmarkStart w:id="393" w:name="_Toc27439"/>
      <w:bookmarkStart w:id="394" w:name="_Toc23209"/>
      <w:r>
        <w:rPr>
          <w:rFonts w:hint="eastAsia" w:ascii="微软雅黑" w:hAnsi="微软雅黑" w:eastAsia="微软雅黑" w:cs="微软雅黑"/>
          <w:color w:val="auto"/>
          <w:highlight w:val="none"/>
        </w:rPr>
        <w:t>需求一览表及</w:t>
      </w:r>
      <w:bookmarkEnd w:id="385"/>
      <w:bookmarkEnd w:id="386"/>
      <w:bookmarkEnd w:id="387"/>
      <w:bookmarkEnd w:id="388"/>
      <w:bookmarkEnd w:id="389"/>
      <w:bookmarkEnd w:id="390"/>
      <w:bookmarkEnd w:id="391"/>
      <w:bookmarkEnd w:id="392"/>
      <w:bookmarkEnd w:id="393"/>
      <w:bookmarkEnd w:id="394"/>
      <w:bookmarkStart w:id="395" w:name="_Toc216582826"/>
      <w:bookmarkStart w:id="396" w:name="_Toc515647832"/>
      <w:bookmarkStart w:id="397" w:name="_Toc7971"/>
      <w:bookmarkStart w:id="398" w:name="_Toc32647"/>
      <w:bookmarkStart w:id="399" w:name="_Toc219175639"/>
      <w:bookmarkStart w:id="400" w:name="_Toc218935355"/>
      <w:bookmarkStart w:id="401" w:name="_Toc507399907"/>
      <w:r>
        <w:rPr>
          <w:rFonts w:hint="eastAsia" w:ascii="微软雅黑" w:hAnsi="微软雅黑" w:eastAsia="微软雅黑" w:cs="微软雅黑"/>
          <w:color w:val="auto"/>
          <w:highlight w:val="none"/>
        </w:rPr>
        <w:t>技术规格</w:t>
      </w:r>
    </w:p>
    <w:p>
      <w:pPr>
        <w:jc w:val="center"/>
        <w:rPr>
          <w:rFonts w:ascii="微软雅黑" w:hAnsi="微软雅黑" w:eastAsia="微软雅黑" w:cs="微软雅黑"/>
          <w:color w:val="auto"/>
          <w:highlight w:val="none"/>
        </w:rPr>
      </w:pPr>
    </w:p>
    <w:p>
      <w:pPr>
        <w:pStyle w:val="2"/>
        <w:jc w:val="center"/>
        <w:rPr>
          <w:rFonts w:ascii="微软雅黑" w:hAnsi="微软雅黑" w:eastAsia="微软雅黑" w:cs="微软雅黑"/>
          <w:b/>
          <w:color w:val="auto"/>
          <w:kern w:val="44"/>
          <w:sz w:val="32"/>
          <w:highlight w:val="none"/>
        </w:rPr>
      </w:pPr>
      <w:r>
        <w:rPr>
          <w:rFonts w:hint="eastAsia" w:ascii="微软雅黑" w:hAnsi="微软雅黑" w:eastAsia="微软雅黑" w:cs="微软雅黑"/>
          <w:b/>
          <w:color w:val="auto"/>
          <w:kern w:val="44"/>
          <w:sz w:val="32"/>
          <w:highlight w:val="none"/>
        </w:rPr>
        <w:t>采购需求计划表</w:t>
      </w:r>
    </w:p>
    <w:tbl>
      <w:tblPr>
        <w:tblStyle w:val="35"/>
        <w:tblpPr w:leftFromText="180" w:rightFromText="180" w:vertAnchor="text" w:horzAnchor="page" w:tblpX="1690" w:tblpY="238"/>
        <w:tblOverlap w:val="never"/>
        <w:tblW w:w="844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24"/>
        <w:gridCol w:w="994"/>
        <w:gridCol w:w="1335"/>
        <w:gridCol w:w="2488"/>
        <w:gridCol w:w="690"/>
        <w:gridCol w:w="480"/>
        <w:gridCol w:w="720"/>
        <w:gridCol w:w="10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272" w:hRule="exact"/>
        </w:trPr>
        <w:tc>
          <w:tcPr>
            <w:tcW w:w="72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序号</w:t>
            </w:r>
          </w:p>
        </w:tc>
        <w:tc>
          <w:tcPr>
            <w:tcW w:w="99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物资名称</w:t>
            </w: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分类</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规格型号参数</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计量</w:t>
            </w:r>
          </w:p>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单位</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采购</w:t>
            </w:r>
          </w:p>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数量</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单价</w:t>
            </w:r>
          </w:p>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（元）</w:t>
            </w: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合价（元）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34" w:hRule="exact"/>
        </w:trPr>
        <w:tc>
          <w:tcPr>
            <w:tcW w:w="72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99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乡村振兴管理平台</w:t>
            </w: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软件部分</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统一门户、大数据驾驶舱</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535" w:hRule="exact"/>
        </w:trPr>
        <w:tc>
          <w:tcPr>
            <w:tcW w:w="72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2</w:t>
            </w:r>
          </w:p>
        </w:tc>
        <w:tc>
          <w:tcPr>
            <w:tcW w:w="99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乡村治理</w:t>
            </w: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软件部分</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智慧党建、政务管理、平安家园、积分管理、事项管理、数字门牌、三农服务、三农数据管理</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34" w:hRule="exact"/>
        </w:trPr>
        <w:tc>
          <w:tcPr>
            <w:tcW w:w="724" w:type="dxa"/>
            <w:vMerge w:val="restart"/>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3</w:t>
            </w:r>
          </w:p>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994" w:type="dxa"/>
            <w:vMerge w:val="restart"/>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健康小屋</w:t>
            </w: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硬件部分</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智能检测模块</w:t>
            </w:r>
            <w:r>
              <w:rPr>
                <w:rFonts w:hint="eastAsia" w:ascii="黑体" w:hAnsi="黑体" w:eastAsia="黑体"/>
                <w:color w:val="auto"/>
                <w:szCs w:val="21"/>
                <w:highlight w:val="none"/>
              </w:rPr>
              <w:br w:type="textWrapping"/>
            </w:r>
            <w:r>
              <w:rPr>
                <w:rFonts w:hint="eastAsia" w:ascii="黑体" w:hAnsi="黑体" w:eastAsia="黑体"/>
                <w:color w:val="auto"/>
                <w:szCs w:val="21"/>
                <w:highlight w:val="none"/>
              </w:rPr>
              <w:t>耗材配件</w:t>
            </w:r>
            <w:r>
              <w:rPr>
                <w:rFonts w:hint="eastAsia" w:ascii="黑体" w:hAnsi="黑体" w:eastAsia="黑体"/>
                <w:color w:val="auto"/>
                <w:szCs w:val="21"/>
                <w:highlight w:val="none"/>
              </w:rPr>
              <w:br w:type="textWrapping"/>
            </w:r>
            <w:r>
              <w:rPr>
                <w:rFonts w:hint="eastAsia" w:ascii="黑体" w:hAnsi="黑体" w:eastAsia="黑体"/>
                <w:color w:val="auto"/>
                <w:szCs w:val="21"/>
                <w:highlight w:val="none"/>
              </w:rPr>
              <w:t>装饰设计</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5</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509" w:hRule="exact"/>
        </w:trPr>
        <w:tc>
          <w:tcPr>
            <w:tcW w:w="724" w:type="dxa"/>
            <w:vMerge w:val="continue"/>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994" w:type="dxa"/>
            <w:vMerge w:val="continue"/>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软件部分</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实名认证、帮助中心、身体数据测量、中医体质辨识、智能导诊、健康测试、健康宣教</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34" w:hRule="exact"/>
        </w:trPr>
        <w:tc>
          <w:tcPr>
            <w:tcW w:w="724" w:type="dxa"/>
            <w:vMerge w:val="continue"/>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994" w:type="dxa"/>
            <w:vMerge w:val="continue"/>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产品使用培训</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产品使用培训</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34" w:hRule="exact"/>
        </w:trPr>
        <w:tc>
          <w:tcPr>
            <w:tcW w:w="724" w:type="dxa"/>
            <w:vMerge w:val="restart"/>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4</w:t>
            </w:r>
          </w:p>
        </w:tc>
        <w:tc>
          <w:tcPr>
            <w:tcW w:w="994" w:type="dxa"/>
            <w:vMerge w:val="restart"/>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5G应急救援</w:t>
            </w: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车载急救服务</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5G应急救援系统服务，远程急救车载服务，车载多媒体服务，车载音视频服务等</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5</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34" w:hRule="exact"/>
        </w:trPr>
        <w:tc>
          <w:tcPr>
            <w:tcW w:w="724" w:type="dxa"/>
            <w:vMerge w:val="continue"/>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994" w:type="dxa"/>
            <w:vMerge w:val="continue"/>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院内急救服务</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院内指挥中心远程急救指导服务，远程指导音视频服务</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34" w:hRule="exact"/>
        </w:trPr>
        <w:tc>
          <w:tcPr>
            <w:tcW w:w="72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5</w:t>
            </w:r>
          </w:p>
        </w:tc>
        <w:tc>
          <w:tcPr>
            <w:tcW w:w="99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VR静态全景展示</w:t>
            </w: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服务</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地拍全景制作、航拍全景制作、单次现场服务</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319" w:hRule="exact"/>
        </w:trPr>
        <w:tc>
          <w:tcPr>
            <w:tcW w:w="72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6</w:t>
            </w:r>
          </w:p>
        </w:tc>
        <w:tc>
          <w:tcPr>
            <w:tcW w:w="994"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基层治理</w:t>
            </w: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软件部分</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核心板块：智慧综治、智慧民生、智慧党建、智慧安防；</w:t>
            </w:r>
            <w:r>
              <w:rPr>
                <w:rFonts w:hint="eastAsia" w:ascii="黑体" w:hAnsi="黑体" w:eastAsia="黑体"/>
                <w:color w:val="auto"/>
                <w:szCs w:val="21"/>
                <w:highlight w:val="none"/>
              </w:rPr>
              <w:br w:type="textWrapping"/>
            </w:r>
            <w:r>
              <w:rPr>
                <w:rFonts w:hint="eastAsia" w:ascii="黑体" w:hAnsi="黑体" w:eastAsia="黑体"/>
                <w:color w:val="auto"/>
                <w:szCs w:val="21"/>
                <w:highlight w:val="none"/>
              </w:rPr>
              <w:t>特色功能：全域信息概览、智能决策分析、智慧档案管理、身份安全识别、电子签到统计、线上积分商城、数据安全管理</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017" w:hRule="exact"/>
        </w:trPr>
        <w:tc>
          <w:tcPr>
            <w:tcW w:w="724" w:type="dxa"/>
            <w:vMerge w:val="restart"/>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7</w:t>
            </w:r>
          </w:p>
        </w:tc>
        <w:tc>
          <w:tcPr>
            <w:tcW w:w="994" w:type="dxa"/>
            <w:vMerge w:val="restart"/>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智慧停车</w:t>
            </w:r>
          </w:p>
        </w:tc>
        <w:tc>
          <w:tcPr>
            <w:tcW w:w="133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软件部分</w:t>
            </w:r>
          </w:p>
        </w:tc>
        <w:tc>
          <w:tcPr>
            <w:tcW w:w="2488"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停车云管理平台：统一身份认证、数据中心、车辆管理；智慧车牌识别一体机</w:t>
            </w:r>
          </w:p>
        </w:tc>
        <w:tc>
          <w:tcPr>
            <w:tcW w:w="69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r>
              <w:rPr>
                <w:rFonts w:hint="eastAsia" w:ascii="黑体" w:hAnsi="黑体" w:eastAsia="黑体"/>
                <w:color w:val="auto"/>
                <w:szCs w:val="21"/>
                <w:highlight w:val="none"/>
              </w:rPr>
              <w:t>1</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052" w:hRule="exact"/>
        </w:trPr>
        <w:tc>
          <w:tcPr>
            <w:tcW w:w="724" w:type="dxa"/>
            <w:vMerge w:val="continue"/>
            <w:tcBorders>
              <w:tl2br w:val="nil"/>
              <w:tr2bl w:val="nil"/>
            </w:tcBorders>
            <w:vAlign w:val="center"/>
          </w:tcPr>
          <w:p>
            <w:pPr>
              <w:jc w:val="center"/>
              <w:rPr>
                <w:rFonts w:ascii="黑体" w:hAnsi="黑体" w:eastAsia="黑体"/>
                <w:color w:val="auto"/>
                <w:szCs w:val="21"/>
                <w:highlight w:val="none"/>
              </w:rPr>
            </w:pPr>
          </w:p>
        </w:tc>
        <w:tc>
          <w:tcPr>
            <w:tcW w:w="994" w:type="dxa"/>
            <w:vMerge w:val="continue"/>
            <w:tcBorders>
              <w:tl2br w:val="nil"/>
              <w:tr2bl w:val="nil"/>
            </w:tcBorders>
            <w:vAlign w:val="center"/>
          </w:tcPr>
          <w:p>
            <w:pPr>
              <w:jc w:val="center"/>
              <w:rPr>
                <w:rFonts w:ascii="黑体" w:hAnsi="黑体" w:eastAsia="黑体"/>
                <w:color w:val="auto"/>
                <w:szCs w:val="21"/>
                <w:highlight w:val="none"/>
              </w:rPr>
            </w:pPr>
          </w:p>
        </w:tc>
        <w:tc>
          <w:tcPr>
            <w:tcW w:w="1335" w:type="dxa"/>
            <w:tcBorders>
              <w:tl2br w:val="nil"/>
              <w:tr2bl w:val="nil"/>
            </w:tcBorders>
            <w:vAlign w:val="center"/>
          </w:tcPr>
          <w:p>
            <w:pPr>
              <w:widowControl/>
              <w:jc w:val="center"/>
              <w:textAlignment w:val="center"/>
              <w:rPr>
                <w:rFonts w:ascii="黑体" w:hAnsi="黑体" w:eastAsia="黑体"/>
                <w:color w:val="auto"/>
                <w:szCs w:val="21"/>
                <w:highlight w:val="none"/>
              </w:rPr>
            </w:pPr>
            <w:r>
              <w:rPr>
                <w:rFonts w:hint="eastAsia" w:ascii="黑体" w:hAnsi="黑体" w:eastAsia="黑体"/>
                <w:color w:val="auto"/>
                <w:szCs w:val="21"/>
                <w:highlight w:val="none"/>
              </w:rPr>
              <w:t>硬件部分</w:t>
            </w:r>
          </w:p>
        </w:tc>
        <w:tc>
          <w:tcPr>
            <w:tcW w:w="2488" w:type="dxa"/>
            <w:tcBorders>
              <w:tl2br w:val="nil"/>
              <w:tr2bl w:val="nil"/>
            </w:tcBorders>
            <w:vAlign w:val="center"/>
          </w:tcPr>
          <w:p>
            <w:pPr>
              <w:widowControl/>
              <w:jc w:val="center"/>
              <w:textAlignment w:val="center"/>
              <w:rPr>
                <w:rFonts w:ascii="黑体" w:hAnsi="黑体" w:eastAsia="黑体"/>
                <w:color w:val="auto"/>
                <w:szCs w:val="21"/>
                <w:highlight w:val="none"/>
              </w:rPr>
            </w:pPr>
            <w:r>
              <w:rPr>
                <w:rFonts w:hint="eastAsia" w:ascii="黑体" w:hAnsi="黑体" w:eastAsia="黑体"/>
                <w:color w:val="auto"/>
                <w:szCs w:val="21"/>
                <w:highlight w:val="none"/>
              </w:rPr>
              <w:t>智慧车牌识别一体机</w:t>
            </w:r>
          </w:p>
        </w:tc>
        <w:tc>
          <w:tcPr>
            <w:tcW w:w="690" w:type="dxa"/>
            <w:tcBorders>
              <w:tl2br w:val="nil"/>
              <w:tr2bl w:val="nil"/>
            </w:tcBorders>
            <w:vAlign w:val="center"/>
          </w:tcPr>
          <w:p>
            <w:pPr>
              <w:widowControl/>
              <w:jc w:val="center"/>
              <w:textAlignment w:val="center"/>
              <w:rPr>
                <w:rFonts w:ascii="黑体" w:hAnsi="黑体" w:eastAsia="黑体"/>
                <w:color w:val="auto"/>
                <w:szCs w:val="21"/>
                <w:highlight w:val="none"/>
              </w:rPr>
            </w:pPr>
            <w:r>
              <w:rPr>
                <w:rFonts w:hint="eastAsia" w:ascii="黑体" w:hAnsi="黑体" w:eastAsia="黑体"/>
                <w:color w:val="auto"/>
                <w:szCs w:val="21"/>
                <w:highlight w:val="none"/>
              </w:rPr>
              <w:t>套</w:t>
            </w:r>
          </w:p>
        </w:tc>
        <w:tc>
          <w:tcPr>
            <w:tcW w:w="480" w:type="dxa"/>
            <w:tcBorders>
              <w:tl2br w:val="nil"/>
              <w:tr2bl w:val="nil"/>
            </w:tcBorders>
            <w:vAlign w:val="center"/>
          </w:tcPr>
          <w:p>
            <w:pPr>
              <w:widowControl/>
              <w:jc w:val="center"/>
              <w:textAlignment w:val="center"/>
              <w:rPr>
                <w:rFonts w:ascii="黑体" w:hAnsi="黑体" w:eastAsia="黑体"/>
                <w:color w:val="auto"/>
                <w:szCs w:val="21"/>
                <w:highlight w:val="none"/>
              </w:rPr>
            </w:pPr>
            <w:r>
              <w:rPr>
                <w:rFonts w:hint="eastAsia" w:ascii="黑体" w:hAnsi="黑体" w:eastAsia="黑体"/>
                <w:color w:val="auto"/>
                <w:szCs w:val="21"/>
                <w:highlight w:val="none"/>
              </w:rPr>
              <w:t>140</w:t>
            </w:r>
          </w:p>
        </w:tc>
        <w:tc>
          <w:tcPr>
            <w:tcW w:w="720"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c>
          <w:tcPr>
            <w:tcW w:w="1015" w:type="dxa"/>
            <w:tcBorders>
              <w:tl2br w:val="nil"/>
              <w:tr2bl w:val="nil"/>
            </w:tcBorders>
            <w:vAlign w:val="center"/>
          </w:tcPr>
          <w:p>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300" w:lineRule="exact"/>
              <w:jc w:val="center"/>
              <w:rPr>
                <w:rFonts w:ascii="黑体" w:hAnsi="黑体" w:eastAsia="黑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250" w:hRule="exact"/>
        </w:trPr>
        <w:tc>
          <w:tcPr>
            <w:tcW w:w="724" w:type="dxa"/>
            <w:tcBorders>
              <w:tl2br w:val="nil"/>
              <w:tr2bl w:val="nil"/>
            </w:tcBorders>
            <w:vAlign w:val="center"/>
          </w:tcPr>
          <w:p>
            <w:pPr>
              <w:widowControl/>
              <w:jc w:val="center"/>
              <w:textAlignment w:val="center"/>
              <w:rPr>
                <w:rFonts w:ascii="黑体" w:hAnsi="黑体" w:eastAsia="黑体"/>
                <w:color w:val="auto"/>
                <w:szCs w:val="21"/>
                <w:highlight w:val="none"/>
              </w:rPr>
            </w:pPr>
            <w:r>
              <w:rPr>
                <w:rFonts w:hint="eastAsia" w:ascii="黑体" w:hAnsi="黑体" w:eastAsia="黑体"/>
                <w:color w:val="auto"/>
                <w:szCs w:val="21"/>
                <w:highlight w:val="none"/>
              </w:rPr>
              <w:t>说明</w:t>
            </w:r>
          </w:p>
        </w:tc>
        <w:tc>
          <w:tcPr>
            <w:tcW w:w="7722" w:type="dxa"/>
            <w:gridSpan w:val="7"/>
            <w:tcBorders>
              <w:tl2br w:val="nil"/>
              <w:tr2bl w:val="nil"/>
            </w:tcBorders>
            <w:vAlign w:val="center"/>
          </w:tcPr>
          <w:p>
            <w:pPr>
              <w:widowControl/>
              <w:jc w:val="center"/>
              <w:textAlignment w:val="center"/>
              <w:rPr>
                <w:rFonts w:ascii="黑体" w:hAnsi="黑体" w:eastAsia="黑体"/>
                <w:color w:val="auto"/>
                <w:szCs w:val="21"/>
                <w:highlight w:val="none"/>
              </w:rPr>
            </w:pPr>
            <w:r>
              <w:rPr>
                <w:rFonts w:hint="eastAsia" w:ascii="黑体" w:hAnsi="黑体" w:eastAsia="黑体"/>
                <w:color w:val="auto"/>
                <w:szCs w:val="21"/>
                <w:highlight w:val="none"/>
              </w:rPr>
              <w:t>上述产品应包含系统集成安装服务、三年系统维护服务。</w:t>
            </w:r>
          </w:p>
          <w:p>
            <w:pPr>
              <w:widowControl/>
              <w:jc w:val="center"/>
              <w:textAlignment w:val="center"/>
              <w:rPr>
                <w:rFonts w:ascii="黑体" w:hAnsi="黑体" w:eastAsia="黑体"/>
                <w:color w:val="auto"/>
                <w:szCs w:val="21"/>
                <w:highlight w:val="none"/>
              </w:rPr>
            </w:pPr>
            <w:r>
              <w:rPr>
                <w:rFonts w:hint="eastAsia" w:ascii="黑体" w:hAnsi="黑体" w:eastAsia="黑体"/>
                <w:color w:val="auto"/>
                <w:szCs w:val="21"/>
                <w:highlight w:val="none"/>
              </w:rPr>
              <w:t>乡村振兴管理平台含一年内容运营服务（图文资讯的编辑、发布一年）。</w:t>
            </w:r>
          </w:p>
        </w:tc>
      </w:tr>
    </w:tbl>
    <w:p>
      <w:pPr>
        <w:rPr>
          <w:color w:val="auto"/>
          <w:highlight w:val="none"/>
        </w:rPr>
      </w:pPr>
    </w:p>
    <w:p>
      <w:pPr>
        <w:pStyle w:val="25"/>
        <w:rPr>
          <w:color w:val="auto"/>
          <w:highlight w:val="none"/>
        </w:rPr>
      </w:pPr>
      <w:r>
        <w:rPr>
          <w:rFonts w:hint="eastAsia" w:ascii="微软雅黑" w:hAnsi="微软雅黑" w:eastAsia="微软雅黑" w:cs="微软雅黑"/>
          <w:b/>
          <w:color w:val="auto"/>
          <w:sz w:val="24"/>
          <w:highlight w:val="none"/>
        </w:rPr>
        <w:br w:type="page"/>
      </w:r>
    </w:p>
    <w:p>
      <w:pPr>
        <w:rPr>
          <w:color w:val="auto"/>
          <w:highlight w:val="none"/>
        </w:rPr>
      </w:pPr>
    </w:p>
    <w:p>
      <w:pPr>
        <w:pStyle w:val="4"/>
        <w:spacing w:beforeLines="100"/>
        <w:rPr>
          <w:rFonts w:ascii="微软雅黑" w:hAnsi="微软雅黑" w:eastAsia="微软雅黑" w:cs="微软雅黑"/>
          <w:b/>
          <w:color w:val="auto"/>
          <w:kern w:val="44"/>
          <w:sz w:val="32"/>
          <w:highlight w:val="none"/>
        </w:rPr>
      </w:pPr>
      <w:bookmarkStart w:id="402" w:name="_Toc11259"/>
      <w:bookmarkStart w:id="403" w:name="_Toc9146"/>
      <w:r>
        <w:rPr>
          <w:rFonts w:hint="eastAsia" w:ascii="微软雅黑" w:hAnsi="微软雅黑" w:eastAsia="微软雅黑" w:cs="微软雅黑"/>
          <w:b/>
          <w:color w:val="auto"/>
          <w:kern w:val="44"/>
          <w:sz w:val="32"/>
          <w:highlight w:val="none"/>
        </w:rPr>
        <w:t>采购需求</w:t>
      </w:r>
    </w:p>
    <w:p>
      <w:pPr>
        <w:pStyle w:val="4"/>
        <w:spacing w:before="0" w:line="480" w:lineRule="exact"/>
        <w:jc w:val="both"/>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（一）、</w:t>
      </w:r>
      <w:r>
        <w:rPr>
          <w:rFonts w:hint="eastAsia" w:ascii="微软雅黑" w:hAnsi="微软雅黑" w:eastAsia="微软雅黑" w:cs="微软雅黑"/>
          <w:bCs/>
          <w:color w:val="auto"/>
          <w:kern w:val="0"/>
          <w:sz w:val="21"/>
          <w:szCs w:val="21"/>
          <w:highlight w:val="none"/>
          <w:lang w:val="en-US" w:eastAsia="zh-CN" w:bidi="ar-SA"/>
        </w:rPr>
        <w:t>统一门户</w:t>
      </w:r>
    </w:p>
    <w:p>
      <w:pPr>
        <w:pStyle w:val="23"/>
        <w:spacing w:before="0" w:after="0"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1、功能要求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功能模块</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1、管理员角色权限管理</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★1.管理员平台总览：</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功能包括（但不限于）系统内用户、角色、应用、租户等信息的统计；最近访问应用列表；产品中心应用目录等。（需提供产品功能截图或演示视频）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2.管理员账号管理：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功能包括管理员用户的新增、修改、删除、查看、启用禁用、重置密码等。</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3.管理员角色管理：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功能包括管理员角色的新增、修改、删除、查看、权限配置等。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2、租户角色权限管理</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1.租户管理：</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可以对租户的基本信息进行新增、修改、删除和查看，确保每个区域只能有一个租户。</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★2.租户菜单权限管理：</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可针对该租户的菜单权限进行配置，包括租户关联的驾驶舱版本。（需提供产品功能截图或演示视频）</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3.租户应用管理：</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可针对该租户开通所属应用，不同租户间的应用可以物理隔离，可以对已开通应用进行编辑、启用、禁用、删除等操作。</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★4.租户平台总览：</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功能包括（但不限于）租户内用户、角色、应用等信息的统计；最近访问应用列表；我的应用等。（需提供产品功能截图或演示视频）</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5.租户账号管理：</w:t>
            </w:r>
            <w:r>
              <w:rPr>
                <w:rFonts w:hint="eastAsia" w:ascii="微软雅黑" w:hAnsi="微软雅黑" w:eastAsia="微软雅黑" w:cs="微软雅黑"/>
                <w:bCs/>
                <w:color w:val="auto"/>
                <w:kern w:val="0"/>
                <w:highlight w:val="none"/>
              </w:rPr>
              <w:tab/>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功能包括租户内用户的新增、修改、删除、查看、启用禁用、重置密码等。</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6.租户角色管理：</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功能包括租户内角色的新增、修改、删除、查看、权限配置等。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3、系统对接</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制定第三方系统或应用接入规范和接口标准，以实现第三方系统或应用方便快捷接入本平台。</w:t>
            </w:r>
          </w:p>
        </w:tc>
      </w:tr>
    </w:tbl>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2、技术要求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技术要求</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1、技术架构要求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采用Java语言编写，微服务设计，Spring Boot+Spring Cloud架构，平台可以分布式部署，使用Nacos作为服务注册中心、配置中心，要求实现模块化，组件化。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2、系统安全要求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1.不允许明文存储用户的密码信息，不允许使用可逆算法存储用户密码信息。</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2.算法需能够按需调整加密强度，避免未来计算机算力的增强而导致密文存储不可靠。</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3.系统需支持https协议访问。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3、系统性能要求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1.支持1万以上注册用户，接口平均响应时间不超过3s。</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2.系统能够不间断运行，运行正常率达99%以上。</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3.页面打开时间不应超过3s。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4、系统集成要求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应用单点对接接口需使用签名等方式保证双方数据传输可靠、互信。</w:t>
            </w:r>
          </w:p>
        </w:tc>
      </w:tr>
    </w:tbl>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p>
    <w:p>
      <w:pPr>
        <w:pStyle w:val="4"/>
        <w:spacing w:before="0" w:line="480" w:lineRule="exact"/>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bCs/>
          <w:color w:val="auto"/>
          <w:sz w:val="21"/>
          <w:szCs w:val="21"/>
          <w:highlight w:val="none"/>
        </w:rPr>
        <w:br w:type="page"/>
      </w:r>
      <w:r>
        <w:rPr>
          <w:rFonts w:hint="eastAsia" w:ascii="微软雅黑" w:hAnsi="微软雅黑" w:eastAsia="微软雅黑" w:cs="微软雅黑"/>
          <w:b/>
          <w:bCs/>
          <w:color w:val="auto"/>
          <w:sz w:val="21"/>
          <w:szCs w:val="21"/>
          <w:highlight w:val="none"/>
        </w:rPr>
        <w:t>（二）、大数据驾驶舱</w:t>
      </w:r>
    </w:p>
    <w:p>
      <w:pPr>
        <w:pStyle w:val="23"/>
        <w:spacing w:before="0" w:after="0"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1、功能要求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功能模块</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1、可视化大屏</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按照产业兴旺、生态宜居、乡风文明、治理有效、生活富裕五大振兴考核要求，对各地区的乡村振兴关键指标数据进行可视化呈现。</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★1.产业兴旺指数大屏：</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支持按地区展示产业兴旺的各级指标，包括农业生产条件、农业生产效率、农业产业化水平、农产品质量安全、耕地保有率、农作物耕种收综合机械化率等。（需提供产品功能截图或演示视频）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★2.生态宜居指数大屏：</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支持按地区展示生态宜居的各级指标，包括生态禀赋、生产防污、生活防污、节能减排、饮水安全、厕所革命、农业生产污染物投放强度、生活污染防治水平等。（需提供产品功能截图或演示视频）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★3.乡风文明指数大屏：</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支持按地区展示乡风文明的各级指标，包括文明创建、公共教育、文娱支出、义务教育巩固率、文明村和乡镇占比等。（需提供产品功能截图或演示视频）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★4.治理有效指数大屏：</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支持按地区展示治理有效的各级指标，包括人力资本水平、集体产权制度改革指数、公众参与水平、治理效果指数、集体经济强村占比等。（需提供产品功能截图或演示视频）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★5.生活富裕指数大屏：</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支持按地区展示生活富裕的各级指标，包括农民收入水平、消费结构指数、交通可达性、社会保障水平、村通公路占比、铺设路灯的村庄占比等。（需提供产品功能截图或演示视频）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2、指数设置</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1.支持每个地区自定义灵活配置各项考核指标与分数计算权重。</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★2.支持系统根据配置数据用以公式自动计算出振兴考核指数并作实时展示。（需提供产品功能截图或演示视频）</w:t>
            </w:r>
          </w:p>
          <w:p>
            <w:pPr>
              <w:pStyle w:val="54"/>
              <w:autoSpaceDN w:val="0"/>
              <w:spacing w:line="480" w:lineRule="exact"/>
              <w:ind w:firstLine="0" w:firstLineChars="0"/>
              <w:contextualSpacing/>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3.支持上级区域可以查看下级区域的指数大屏。</w:t>
            </w:r>
          </w:p>
        </w:tc>
      </w:tr>
    </w:tbl>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2、技术要求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技术要求</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1、技术架构要求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采用前后端分离的开发方式。前端采用VUE技术框架，基于VUE + Element-UI + Axios + Echart5技术栈进行开发，后端采用Java技术框架，基于Spring MVC + Spring + Mybatis架构，Spring版本需在4.0.0(含)以上。平台基于分布式系统部署，要求实现模块化、组件化，通过组件化的功能及功能板块，可以方便地组装成为个性化的模块。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2、系统安全要求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系统需要提供基于从数据、操作、访问、管理等一体化的安全服务机制。</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1.系统提供身份认证服务，只有合法的用户才能访问系统。</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2.系统能从功能、数据、操作三方面进行授权管理。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3.系统提供操作日志查询，能记录管理员对于数据的操作记录。</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4.防止DDos攻击、CXRF攻击、SQL注入、跨站脚本攻击。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3、系统性能要求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1.平台至少支持1000用户并发访问。</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2.指标设置页面平均响应时间不超过3秒，可视化大屏页面平均响应时间不超过5秒。</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3.系统全年7*24小时不间断运行。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4、系统升级要求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系统应具有平滑升级的能力，在发布产品新版本时，需要提前两周告知甲方升级内容并协同甲方确定升级的影响，经甲方评估确认后选择是否更新为新版本，且更新的产品新版本不能影响已完成的功能；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5、运行环境要求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1.采用 SaaS 化的部署方式，通过互联网浏览器或 Web 程序连接的形式为用户提供服务。</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2.平台部署的物理环境应采用云化部署，建议采用主流公有云。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3.稳定性：要求实例可用性达到99.95%。</w:t>
            </w:r>
          </w:p>
        </w:tc>
      </w:tr>
    </w:tbl>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3、指标运营需求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项目</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1、批量设置能力</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支持按租户进行批量设置可视化大屏的评级、权重和目标值。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2、指标数据批量导入/导出能力</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★支持按租户进行批量导入和导出五大振兴指数可视化大屏的指标数据。（需提供产品功能截图或演示视频）</w:t>
            </w:r>
          </w:p>
        </w:tc>
      </w:tr>
    </w:tbl>
    <w:p>
      <w:pPr>
        <w:spacing w:line="480" w:lineRule="exact"/>
        <w:rPr>
          <w:rFonts w:ascii="微软雅黑" w:hAnsi="微软雅黑" w:eastAsia="微软雅黑" w:cs="微软雅黑"/>
          <w:color w:val="auto"/>
          <w:szCs w:val="21"/>
          <w:highlight w:val="none"/>
        </w:rPr>
      </w:pPr>
    </w:p>
    <w:p>
      <w:pPr>
        <w:pStyle w:val="4"/>
        <w:spacing w:before="0" w:line="480" w:lineRule="exact"/>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br w:type="page"/>
      </w:r>
      <w:r>
        <w:rPr>
          <w:rFonts w:hint="eastAsia" w:ascii="微软雅黑" w:hAnsi="微软雅黑" w:eastAsia="微软雅黑" w:cs="微软雅黑"/>
          <w:b/>
          <w:bCs/>
          <w:color w:val="auto"/>
          <w:sz w:val="21"/>
          <w:szCs w:val="21"/>
          <w:highlight w:val="none"/>
        </w:rPr>
        <w:t>（三）、乡村治理</w:t>
      </w:r>
    </w:p>
    <w:p>
      <w:pPr>
        <w:pStyle w:val="23"/>
        <w:spacing w:before="0" w:after="0"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1、功能要求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功能模块</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1、智慧党建</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1.党建动态：</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提供党建动态的展示功能。管理员可通过后台进行党建动态信息的发布、删除、修改和查看（支持图片、文字等内容上传），支持定时公开。用户可通过移动端（小程序）查看党建动态。</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2.组织架构：</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党员专用。管理员端可对组织架构进行发布、删除、修改和查看，党员用户可通过移动端（小程序）查看自己所属党的组织架构，根据绑定的党员信息，可查询党委、支部信息，并支持所属支部组织架构下的所有党员基础信息查看。</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3.三会一课：</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党员专用。管理员可通过后台管理端发起会议预告（支持通过移动端和短信通知），选择参会人员，制定签到打卡时间；普通党员可通过移动端（小程序）和网页端查看会议预告，完成在线签到，上传打卡定位和签到时间；会议完成后，用户可在移动端发布会议心得，管理员可查看党员打卡统计和填写心得统计数据。</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4.党政考试：</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党员专用。后台管理员可自定义考试试题（试题类型包括选择题、填空题和判断题），并发起在线考试，指定参考党员；党员用户通过移动端（小程序）进行在线答题，且用户可以重复答题，系统将自动阅卷并记录用户在该场考试的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2、政务管理</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1.阳光村务：</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提供村务信息的发布、删除、修改和查看（支持图片、文字等内容上传），支持定时公开。村民可通过移动端（小程序）查看村务通知。</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2.我有话说：</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村民通过移动端（小程序）提交诉求、求助、建议、举报等信息，支持政府人员查看村民提交的问题并进行在线回复。</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3.灾情上报：</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用户可通过移动端上报疫情线索信息和灾情信息，如新冠、禽流感、洪水、干旱等，后台搜集信息。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3、平安家园</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1.乡村网格：</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网格员专用。政府人员可以通过管理后台对村民进行网格划分并设置网格管理员，网格员可以通过移动端（小程序）查询网格员的信息。</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2.上路巡查：</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网格员专用。提供网格员巡查数据的录入及展示，包括巡察轨迹、时间、人员等，网格员可通过移动端记录巡察数据。</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3.事件上报：</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支网格员专用。网格员可通过移动端对突发事件进行上报（支持治安、环境等自定义分类）。</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4.事件处理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网格员专用。网格员对突发事件进行上报后，网格员可以对本事件进行处理，也可上报上级管理员进行处理和监督。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4、积分管理</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1.查询积分：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积分管理人员可在后台管理系统与移动端查看用户积分与用户积分明细。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2.积分发放：</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积分管理人员可在后台管理系统与移动端进行个体与批量用户积分发放，积分管理人员可通过录入及扫一扫用户获取积分二维码，填写发放积分数量及备注原因，即可进行积分发放。</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★3.积分兑换：</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积分管理人员可在后台管理系统与移动端进行用户积分兑换，积分管理人员通过移动端积分管理录入及扫一扫功能扫描用户积分兑换二维码，填写积分数量及备注原因，即可进行积分兑换。（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4.积分明细：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积分管理人员可在后台管理系统与移动端查看积分明细，用户亦可在移动端查看自己的积分明细。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5.积分规则：</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积分管理人员可在后台管理系统设置积分有效期，包括长期有效及限时有效，添加积分规则文本，用户在移动端可查看相应积分规则。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5、事项管理</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1.事项列表：</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查询本乡镇的所有事项，支持按事项类型、我创建的、我负责的、今天、最近7天、最近30天进行筛选；支持更新时间、创建时间、截止时间、创建人进行排序，支持显示或隐藏已结束的事项。</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★2.创建事项：</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根据领导布置的任务和村民申请的服务信息，基层干部创建待办事项，支持编辑事项标题、事项描述、图片、事项类型、服务对象、责任人、截止日期、获得积分等，事项的初始状态为“进行中”。注意，只有乡镇领导可以设置获得积分。（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3.更新进度：</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事项的责任人在完成事项的过程中随时更新进度，反馈事项的当前进展。</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4.完成事项：</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事项的责任人确认完成事项并指定本次服务的对象。</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5.结束事项：</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事项的创建人可以结束事项，事项状态设置为“已结束”。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6、数字门牌</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1.二维码管理：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管理员对门牌二维码进行管理，按户生成农户的二维码，支持二维码图片的下载。</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★2.扫码查看：</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管理员、村民使用手机扫描二维码查看门牌户的详情信息，包括户主信息、家庭积分等信息，不同角色的用户查看的信息不一样，管理员能看到所有信息，村民只能看到积分、荣誉称号等信息。（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★3.扫码考核：</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管理员使用手机对每户的二维码进行扫码考核，支持对村民庭院、房前、屋后的环境卫生进行评分，并根据评分自动发放积分。（需提供产品功能截图或演示视频）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4.扫码采集：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管理员通过手机扫描二维码，可以帮助村民录入采集信息，包括人口、耕地、就业、补贴等信息。通过数据传输服务，采集的数据汇总到三农大数据平台，作为基层政府“以房管人”的基础数据。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7、三农服务</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1.办事指南：</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提供办事指南的录入及查看功能，支持通过管理后台录入与发布办事指南，支持轮播，置顶和定时公开。用户可通过移动端（小程序）查看办事指南。</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2.法律普及：</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提供法律科普知识的展示功能，管理员可通过管理后台进行法律科普知识的发布、删除、修改和查看（支持图片、文字等内容上传），支持定时公开。用户可通过移动端（小程序）查看法律科普知识。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3.农技百科：</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提供农技知识、农技资讯等信息及资源的录入及展示功能。管理员可自定义上传农技信息及资源，包括但不限于视频、文字、图片、文档等，用户可通过移动端（小程序）查看。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8、三农数据管理</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1.农村管理：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建立行政村库、网格库和房屋库，行政村库包含行政村名称、耕地面积、山林面积、专业合作社、总户数、总人口数、务农人数、常年外出务工人数等数据，网格库包含网格名称、网格长、状态等数据，房屋库包含门牌号、宅基地面积、经纬度等数据，支持查看/新增/删除/修改（不支持新增/删除行政村），过滤（支持按照不同筛选条件进行过滤搜索），导入（支持通过模板表格导入），导出（支持导出列表内容）。</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2.农民管理：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建立户信息库和人口库，户信息库包含户类型、是否为低保户等数据，人口库包含姓名、证件号码、户编号、与户主关系、性别、年龄、民族、政治面貌等数据，支持查看/新增/删除/修改，过滤（支持按照不同筛选条件进行过滤搜索），导入（支持通过模板表格导入），导出（支持导出列表内容）。</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3.农业管理：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建立农业生产库，以农户为单位维护每户的种植、养殖等数据，种植业包括小麦、大豆、马铃薯、胡麻、青贮玉米、水果玉米等，养殖业包括牛、羊、猪、鸡、蜂等，支持查看/新增/删除/修改，过滤（支持按照不同筛选条件进行过滤搜索），导入（支持通过模板表格导入），导出（支持导出列表内容）。</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4.标签和品类管理：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标签管理、农业生产品类管理。政府人员可以维护三农数据库中使用的户、人口标签，通过标签实现户、人口的分组分类。政府人员可以设置用于农业生产数据采集的农业生产品类，支持启用/禁用，支持设置采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9、系统设置</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numPr>
                <w:ilvl w:val="0"/>
                <w:numId w:val="14"/>
              </w:numPr>
              <w:autoSpaceDN w:val="0"/>
              <w:spacing w:line="480" w:lineRule="exact"/>
              <w:ind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菜单列表：</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提供系统所有菜单、子菜单、层级、展示属性的配置及管理。</w:t>
            </w:r>
          </w:p>
          <w:p>
            <w:pPr>
              <w:pStyle w:val="54"/>
              <w:numPr>
                <w:ilvl w:val="0"/>
                <w:numId w:val="14"/>
              </w:numPr>
              <w:autoSpaceDN w:val="0"/>
              <w:spacing w:line="480" w:lineRule="exact"/>
              <w:ind w:left="420" w:hanging="42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角色管理：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提供系统账号角色的展示、增删改查，及权限配置。</w:t>
            </w:r>
          </w:p>
          <w:p>
            <w:pPr>
              <w:pStyle w:val="54"/>
              <w:numPr>
                <w:ilvl w:val="0"/>
                <w:numId w:val="14"/>
              </w:numPr>
              <w:autoSpaceDN w:val="0"/>
              <w:spacing w:line="480" w:lineRule="exact"/>
              <w:ind w:left="420" w:hanging="42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用户管理：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提供用户账号的展示、增删改查，及权限配置。</w:t>
            </w:r>
          </w:p>
          <w:p>
            <w:pPr>
              <w:pStyle w:val="54"/>
              <w:numPr>
                <w:ilvl w:val="0"/>
                <w:numId w:val="14"/>
              </w:numPr>
              <w:autoSpaceDN w:val="0"/>
              <w:spacing w:line="480" w:lineRule="exact"/>
              <w:ind w:left="420" w:hanging="42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区域管理：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提供用户账号的区域设置和管理。</w:t>
            </w:r>
          </w:p>
          <w:p>
            <w:pPr>
              <w:pStyle w:val="54"/>
              <w:numPr>
                <w:ilvl w:val="0"/>
                <w:numId w:val="14"/>
              </w:numPr>
              <w:autoSpaceDN w:val="0"/>
              <w:spacing w:line="480" w:lineRule="exact"/>
              <w:ind w:left="420" w:hanging="42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登录日志：</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提供登录日志记录及展示，便于管理员查询用户登录情况。</w:t>
            </w:r>
          </w:p>
          <w:p>
            <w:pPr>
              <w:pStyle w:val="54"/>
              <w:numPr>
                <w:ilvl w:val="0"/>
                <w:numId w:val="14"/>
              </w:numPr>
              <w:autoSpaceDN w:val="0"/>
              <w:spacing w:line="480" w:lineRule="exact"/>
              <w:ind w:left="420" w:hanging="42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操作日志：</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提供操作日志记录及展示，便于管理员查询用户操作情况。</w:t>
            </w:r>
          </w:p>
          <w:p>
            <w:pPr>
              <w:pStyle w:val="54"/>
              <w:numPr>
                <w:ilvl w:val="0"/>
                <w:numId w:val="14"/>
              </w:numPr>
              <w:autoSpaceDN w:val="0"/>
              <w:spacing w:line="480" w:lineRule="exact"/>
              <w:ind w:left="420" w:hanging="42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模块管理：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提供部分可配置功能模块的增减配置及属性修改。</w:t>
            </w:r>
          </w:p>
          <w:p>
            <w:pPr>
              <w:pStyle w:val="54"/>
              <w:numPr>
                <w:ilvl w:val="0"/>
                <w:numId w:val="14"/>
              </w:numPr>
              <w:autoSpaceDN w:val="0"/>
              <w:spacing w:line="480" w:lineRule="exact"/>
              <w:ind w:left="420" w:hanging="42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版本管理：</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提供APP版本上传、更新、发布管理；APP端提供版本升级、自动检测更新、版本描述查询等功能。</w:t>
            </w:r>
          </w:p>
          <w:p>
            <w:pPr>
              <w:pStyle w:val="54"/>
              <w:numPr>
                <w:ilvl w:val="0"/>
                <w:numId w:val="14"/>
              </w:numPr>
              <w:autoSpaceDN w:val="0"/>
              <w:spacing w:line="480" w:lineRule="exact"/>
              <w:ind w:left="420" w:hanging="42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字典属性：</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提供系统基础字段的字典表设置。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10、个人中心</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numPr>
                <w:ilvl w:val="0"/>
                <w:numId w:val="15"/>
              </w:numPr>
              <w:autoSpaceDN w:val="0"/>
              <w:spacing w:line="480" w:lineRule="exact"/>
              <w:ind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个人信息：</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可对个人头像、昵称、手机号码、所属村庄等信息进行设置和查看。</w:t>
            </w:r>
          </w:p>
          <w:p>
            <w:pPr>
              <w:pStyle w:val="54"/>
              <w:numPr>
                <w:ilvl w:val="0"/>
                <w:numId w:val="15"/>
              </w:numPr>
              <w:autoSpaceDN w:val="0"/>
              <w:spacing w:line="480" w:lineRule="exact"/>
              <w:ind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短信验证：</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登录时可实现短信验证。</w:t>
            </w:r>
          </w:p>
          <w:p>
            <w:pPr>
              <w:pStyle w:val="54"/>
              <w:numPr>
                <w:ilvl w:val="0"/>
                <w:numId w:val="15"/>
              </w:numPr>
              <w:autoSpaceDN w:val="0"/>
              <w:spacing w:line="480" w:lineRule="exact"/>
              <w:ind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村庄认证：</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针对村民的村庄认证。</w:t>
            </w:r>
          </w:p>
          <w:p>
            <w:pPr>
              <w:pStyle w:val="54"/>
              <w:numPr>
                <w:ilvl w:val="0"/>
                <w:numId w:val="15"/>
              </w:numPr>
              <w:autoSpaceDN w:val="0"/>
              <w:spacing w:line="480" w:lineRule="exact"/>
              <w:ind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我的关注：</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查看个人关注的课程、专家、特产、旅游等信息。</w:t>
            </w:r>
          </w:p>
        </w:tc>
      </w:tr>
    </w:tbl>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2、技术要求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技术要求</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1、多终端使用</w:t>
            </w:r>
          </w:p>
        </w:tc>
        <w:tc>
          <w:tcPr>
            <w:tcW w:w="781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电脑PC端、手机app端、数字大屏端等多方数据均同步存储在云中心，实现数据同源。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2、技术架构要求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numPr>
                <w:ilvl w:val="0"/>
                <w:numId w:val="16"/>
              </w:numPr>
              <w:autoSpaceDN w:val="0"/>
              <w:spacing w:line="480" w:lineRule="exact"/>
              <w:ind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微服务构建：</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采用基于Spring Cloud的微服务技术架构，构建系统集群模式，满足系统日益增长的高并发需求，提高系统的前瞻性、可用性和易用性。</w:t>
            </w:r>
          </w:p>
          <w:p>
            <w:pPr>
              <w:pStyle w:val="54"/>
              <w:numPr>
                <w:ilvl w:val="0"/>
                <w:numId w:val="16"/>
              </w:numPr>
              <w:autoSpaceDN w:val="0"/>
              <w:spacing w:line="480" w:lineRule="exact"/>
              <w:ind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前后端分离：</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前端HTML页面通过调用后端提供的RESTful API并使用JSON数据进行交互，前端工程师和后端工程师只通过API文档进行关于数据的交流。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3、系统安全要求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1.应用系统应具备访问权限的识别和控制功能，根据不同的应用需求提供多级密码口令或秘钥，对应用系统管理员、数据库管理员及应用请求发起方等必须授予不同级别的管理权限。</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2.应用系统应提供操作日志记录功能，以便及时掌握应用系统安全状态。</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3.数据库应支持关键数据存储加密、数据传输通道加密及相应冗余控制，除系统管理员外，其它用户（包括平台的用户、操作应用系统的用户等）均不得进行导入、导出和配置等操作。</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4.应用系统的安全防护不能对本应用系统及关联应用系统产生任何负面影响。</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5.卖方所提供安全措施及方案应符合国家关于信息网络安全的有关规定。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4、系统性能要求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1.系统登录认证：从提交用户名/服务密码到认证结果返回的请求响应时间应小于3秒。</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2.系统首页响应：从用户发出首页请求，到首页完整展示的响应时间应小于5秒。</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3.一般数据提交的页面响应时间&lt;3秒；较复杂的需要响应时间&lt;10秒；特别复杂的&lt;20秒。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4、可靠性要求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1.应用系统应保证7×24小时不间断运行。</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2.各个服务模块需具备并发性能或主备模块，当一个服务单元出现问题时，不影响整体服务的运行。</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3.主机正常运行状态下的内存利用率不应大于70%，保证系统在业务高峰时仍具有较强的抗冲击能力。</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4.应用系统要求有10%资源冗余。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5、兼容性要求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1.平台系统支持Chrome、360等主流浏览器；</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★2.移动端需至少兼容小程序。（需提供产品功能截图或演示视频）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6、接口要求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1.RESTful接口设计：API采用RESTful架构，结构清晰、符合标准、易于理解、方便扩展。</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2.HTTPS协议：所有信息都是加密传播，第三方无法窃听，具有校验机制，一旦被篡改，通信双方会立刻发现，配备身份证书，防止身份被冒充。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7、技术实现要求</w:t>
            </w:r>
          </w:p>
        </w:tc>
        <w:tc>
          <w:tcPr>
            <w:tcW w:w="7818" w:type="dxa"/>
            <w:tcBorders>
              <w:top w:val="single" w:color="auto" w:sz="4" w:space="0"/>
              <w:left w:val="single" w:color="auto" w:sz="4" w:space="0"/>
              <w:bottom w:val="single" w:color="auto" w:sz="4" w:space="0"/>
              <w:right w:val="single" w:color="auto" w:sz="4" w:space="0"/>
            </w:tcBorders>
            <w:vAlign w:val="bottom"/>
          </w:tcPr>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1.使用Redis内存数据库作为服务缓存，缓存大量中间结果，提高服务响应速度。</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2.系统使用MySQL存储结构化数据。</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3.系统前端界面的开发使用的是超级文本标记语言HTML5，它通过标记符号来标记要显示的网页中的各个部分。网页文件本身是一种文本文件，通过在文本文件中添加标记符，可以告诉浏览器如何显示其中的内容（如：文字如何处理，画面如何安排，图片如何显示等）。</w:t>
            </w:r>
          </w:p>
          <w:p>
            <w:pPr>
              <w:pStyle w:val="54"/>
              <w:autoSpaceDN w:val="0"/>
              <w:spacing w:line="480" w:lineRule="exact"/>
              <w:ind w:firstLine="0" w:firstLineChars="0"/>
              <w:contextualSpacing/>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4.系统使用Java技术进行后端开发，Java作为面向对象编程语言的代表，能让开发者以简洁明了的思维进行复杂的开发编程。</w:t>
            </w:r>
          </w:p>
        </w:tc>
      </w:tr>
    </w:tbl>
    <w:p>
      <w:pPr>
        <w:pStyle w:val="4"/>
        <w:spacing w:beforeLines="100" w:line="480" w:lineRule="exact"/>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b/>
          <w:color w:val="auto"/>
          <w:sz w:val="21"/>
          <w:szCs w:val="21"/>
          <w:highlight w:val="none"/>
        </w:rPr>
        <w:br w:type="page"/>
      </w:r>
      <w:r>
        <w:rPr>
          <w:rFonts w:hint="eastAsia" w:ascii="微软雅黑" w:hAnsi="微软雅黑" w:eastAsia="微软雅黑" w:cs="微软雅黑"/>
          <w:b/>
          <w:bCs/>
          <w:color w:val="auto"/>
          <w:sz w:val="21"/>
          <w:szCs w:val="21"/>
          <w:highlight w:val="none"/>
        </w:rPr>
        <w:t>（四）、健康小屋信息系统</w:t>
      </w:r>
    </w:p>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1、功能要求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健康自测服务</w:t>
            </w:r>
          </w:p>
        </w:tc>
        <w:tc>
          <w:tcPr>
            <w:tcW w:w="7818" w:type="dxa"/>
            <w:tcBorders>
              <w:top w:val="single" w:color="auto" w:sz="4" w:space="0"/>
              <w:left w:val="single" w:color="auto" w:sz="4" w:space="0"/>
              <w:bottom w:val="single" w:color="auto" w:sz="4" w:space="0"/>
              <w:right w:val="single" w:color="auto" w:sz="4" w:space="0"/>
            </w:tcBorders>
            <w:vAlign w:val="bottom"/>
          </w:tcPr>
          <w:p>
            <w:p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1.通过健康自测设备，自测身高、体重、BMI、人体成分、血压、血氧、体温、血糖、尿酸、总胆固醇、腰臀比、心电、血脂。人性化设计，一站式操作，通过实时语音、动画视频，引导检测人员自主完成测量，并与之前测量数据实时对比。支持第二代身份证识别、也可手动输入身份证号、手机号。</w:t>
            </w:r>
            <w:r>
              <w:rPr>
                <w:rFonts w:hint="eastAsia" w:ascii="微软雅黑" w:hAnsi="微软雅黑" w:eastAsia="微软雅黑" w:cs="微软雅黑"/>
                <w:color w:val="auto"/>
                <w:szCs w:val="21"/>
                <w:highlight w:val="none"/>
              </w:rPr>
              <w:t>可全自动生成体检报告，一步自助建档，快速轻松建立个人健康电子档案，用互联网上传至健康检查管理后台终端。</w:t>
            </w:r>
          </w:p>
          <w:p>
            <w:p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smallCaps/>
                <w:color w:val="auto"/>
                <w:kern w:val="0"/>
                <w:szCs w:val="21"/>
                <w:highlight w:val="none"/>
              </w:rPr>
              <w:t>2.中医体质自测，辨清体质能有针对性地作预防性治疗，及时纠正体质偏差，防止疾病发生，预知自己属于哪一类疾病的易感人群，可以采取综合措施加以防范。符合国家中医药管理局颁布的标准，按照模块分类智能评估中医体质，居民可以自主答题体，测量完成系统会推送对应体质介绍、饮食建议、运动建议。</w:t>
            </w:r>
          </w:p>
          <w:p>
            <w:pPr>
              <w:pStyle w:val="32"/>
              <w:spacing w:line="480" w:lineRule="exact"/>
              <w:jc w:val="both"/>
              <w:rPr>
                <w:rFonts w:ascii="微软雅黑" w:hAnsi="微软雅黑" w:eastAsia="微软雅黑" w:cs="微软雅黑"/>
                <w:b w:val="0"/>
                <w:color w:val="auto"/>
                <w:kern w:val="0"/>
                <w:sz w:val="21"/>
                <w:szCs w:val="21"/>
                <w:highlight w:val="none"/>
              </w:rPr>
            </w:pPr>
            <w:r>
              <w:rPr>
                <w:rFonts w:hint="eastAsia" w:ascii="微软雅黑" w:hAnsi="微软雅黑" w:eastAsia="微软雅黑" w:cs="微软雅黑"/>
                <w:b w:val="0"/>
                <w:color w:val="auto"/>
                <w:kern w:val="0"/>
                <w:sz w:val="21"/>
                <w:szCs w:val="21"/>
                <w:highlight w:val="none"/>
              </w:rPr>
              <w:t>★3.常见疾病评估自测，包含30个以上大类疾病量表自测，结合自身身体状况，填写相对应的量表问题，可得出是否患该种疾病，并生成对应健康处方（需提供产品功能截图或演示视频）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3D健康档案</w:t>
            </w:r>
          </w:p>
        </w:tc>
        <w:tc>
          <w:tcPr>
            <w:tcW w:w="7818" w:type="dxa"/>
            <w:tcBorders>
              <w:top w:val="single" w:color="auto" w:sz="4" w:space="0"/>
              <w:left w:val="single" w:color="auto" w:sz="4" w:space="0"/>
              <w:bottom w:val="single" w:color="auto" w:sz="4" w:space="0"/>
              <w:right w:val="single" w:color="auto" w:sz="4" w:space="0"/>
            </w:tcBorders>
            <w:vAlign w:val="bottom"/>
          </w:tcPr>
          <w:p>
            <w:p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1.将智能体检设备数据及医学量表问卷答案汇总分析，展现身体成分、生理机能、疾病风险、心理健康、生活习惯5大数据维度，生成定制化数字双生人体。人体10大系统（骨骼系统、肌肉系统、骨连接与关节、呼吸系统、消化系统、泌尿生殖系统、神经系统、循环系统、内分泌系统，淋巴系统）高亮展示用户异常指标和疾病异常，形成</w:t>
            </w:r>
            <w:r>
              <w:rPr>
                <w:rFonts w:hint="eastAsia" w:ascii="微软雅黑" w:hAnsi="微软雅黑" w:eastAsia="微软雅黑" w:cs="微软雅黑"/>
                <w:bCs/>
                <w:color w:val="auto"/>
                <w:kern w:val="0"/>
                <w:szCs w:val="21"/>
                <w:highlight w:val="none"/>
              </w:rPr>
              <w:t>3D可交互人体</w:t>
            </w:r>
            <w:r>
              <w:rPr>
                <w:rFonts w:hint="eastAsia" w:ascii="微软雅黑" w:hAnsi="微软雅黑" w:eastAsia="微软雅黑" w:cs="微软雅黑"/>
                <w:color w:val="auto"/>
                <w:kern w:val="0"/>
                <w:szCs w:val="21"/>
                <w:highlight w:val="none"/>
              </w:rPr>
              <w:t>，用户通过旋转、点击等操作，让自身异常指标一目了然</w:t>
            </w:r>
            <w:r>
              <w:rPr>
                <w:rFonts w:hint="eastAsia" w:ascii="微软雅黑" w:hAnsi="微软雅黑" w:eastAsia="微软雅黑" w:cs="微软雅黑"/>
                <w:bCs/>
                <w:color w:val="auto"/>
                <w:kern w:val="0"/>
                <w:szCs w:val="21"/>
                <w:highlight w:val="none"/>
              </w:rPr>
              <w:t>（需提供产品功能截图或演示视频）</w:t>
            </w:r>
            <w:r>
              <w:rPr>
                <w:rFonts w:hint="eastAsia" w:ascii="微软雅黑" w:hAnsi="微软雅黑" w:eastAsia="微软雅黑" w:cs="微软雅黑"/>
                <w:color w:val="auto"/>
                <w:kern w:val="0"/>
                <w:szCs w:val="21"/>
                <w:highlight w:val="none"/>
              </w:rPr>
              <w:t>。</w:t>
            </w:r>
          </w:p>
          <w:p>
            <w:p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2.可变人体，根据用户输入的身体特征数据与参数，生成定制化数字双生人体。可以实时反应人体的体型体态变化。</w:t>
            </w:r>
          </w:p>
          <w:p>
            <w:p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★3.面部重建，根据用户输入的面部正面照片，可变人体中的人面部会根据获取到的面部照片产生变化，生成与本人面部相符的面部模型</w:t>
            </w:r>
            <w:r>
              <w:rPr>
                <w:rFonts w:hint="eastAsia" w:ascii="微软雅黑" w:hAnsi="微软雅黑" w:eastAsia="微软雅黑" w:cs="微软雅黑"/>
                <w:bCs/>
                <w:color w:val="auto"/>
                <w:kern w:val="0"/>
                <w:szCs w:val="21"/>
                <w:highlight w:val="none"/>
              </w:rPr>
              <w:t>（需提供产品功能截图或演示视频）</w:t>
            </w:r>
            <w:r>
              <w:rPr>
                <w:rFonts w:hint="eastAsia" w:ascii="微软雅黑" w:hAnsi="微软雅黑" w:eastAsia="微软雅黑" w:cs="微软雅黑"/>
                <w:color w:val="auto"/>
                <w:kern w:val="0"/>
                <w:szCs w:val="21"/>
                <w:highlight w:val="none"/>
              </w:rPr>
              <w:t>。</w:t>
            </w:r>
          </w:p>
          <w:p>
            <w:p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4.健康雷达，通过智能健康问卷，评估用户身体、心理、饮食、运动、睡眠、生活习惯六大维度的健康情况，综合给出总体健康分数；将健康数据可视化展示，罗列展示用户身体异常指标和疾病异常，快速链接异常建议。</w:t>
            </w:r>
          </w:p>
          <w:p>
            <w:p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5.个性化健康方案，AI健康管理服务可为用户制定个性化健康处方：健康膳食方案，为用户制定每日摄入能量值，给出碳水、脂肪、蛋白质三大营养素的合理比例，依照次比例，考虑用户疾病、BMI等综合因素，推荐最适合的饮食模式和一周食谱，用户可以点击换一换，选择自己心仪的饮食搭配并执行。</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6.健康运动方案，根据用户年龄、体能和病情严重程度AI智能推荐一周运动方案，包含运动形式、运动强度、运动时间和运动频率。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健康查询服务</w:t>
            </w:r>
          </w:p>
        </w:tc>
        <w:tc>
          <w:tcPr>
            <w:tcW w:w="7818" w:type="dxa"/>
            <w:tcBorders>
              <w:top w:val="single" w:color="auto" w:sz="4" w:space="0"/>
              <w:left w:val="single" w:color="auto" w:sz="4" w:space="0"/>
              <w:bottom w:val="single" w:color="auto" w:sz="4" w:space="0"/>
              <w:right w:val="single" w:color="auto" w:sz="4" w:space="0"/>
            </w:tcBorders>
            <w:vAlign w:val="bottom"/>
          </w:tcPr>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w:t>
            </w:r>
            <w:r>
              <w:rPr>
                <w:rFonts w:hint="eastAsia" w:ascii="微软雅黑" w:hAnsi="微软雅黑" w:eastAsia="微软雅黑" w:cs="微软雅黑"/>
                <w:color w:val="auto"/>
                <w:szCs w:val="21"/>
                <w:highlight w:val="none"/>
              </w:rPr>
              <w:t>1.智能导诊服务，智能导诊通过触摸交互一体机选择点击人体图上的相应部位，选择症状、伴随症状、病史等信息；包含性别、正反面、年龄多维度技术参数输入得出诊断可能疾病和推荐就诊科室</w:t>
            </w:r>
            <w:r>
              <w:rPr>
                <w:rFonts w:hint="eastAsia" w:ascii="微软雅黑" w:hAnsi="微软雅黑" w:eastAsia="微软雅黑" w:cs="微软雅黑"/>
                <w:bCs/>
                <w:color w:val="auto"/>
                <w:kern w:val="0"/>
                <w:szCs w:val="21"/>
                <w:highlight w:val="none"/>
              </w:rPr>
              <w:t>（需提供产品功能截图或演示视频）</w:t>
            </w:r>
            <w:r>
              <w:rPr>
                <w:rFonts w:hint="eastAsia" w:ascii="微软雅黑" w:hAnsi="微软雅黑" w:eastAsia="微软雅黑" w:cs="微软雅黑"/>
                <w:color w:val="auto"/>
                <w:szCs w:val="21"/>
                <w:highlight w:val="none"/>
              </w:rPr>
              <w:t>。</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w:t>
            </w:r>
            <w:r>
              <w:rPr>
                <w:rFonts w:hint="eastAsia" w:ascii="微软雅黑" w:hAnsi="微软雅黑" w:eastAsia="微软雅黑" w:cs="微软雅黑"/>
                <w:color w:val="auto"/>
                <w:szCs w:val="21"/>
                <w:highlight w:val="none"/>
              </w:rPr>
              <w:t>2.通过检测终端自主检测身高、体重、体温、血压、脉率、血氧。通过智能医学建模，得到BMI、体表面积、体脂率、基础代谢率等身体健康数据；健康状态智能评估，支持五大种类型健康评估分类，根据检测数据给出对应健康饮食建议、健康运动建议；自动生成健康检测报告。通过触摸交互一体机和移动端查询</w:t>
            </w:r>
            <w:r>
              <w:rPr>
                <w:rFonts w:hint="eastAsia" w:ascii="微软雅黑" w:hAnsi="微软雅黑" w:eastAsia="微软雅黑" w:cs="微软雅黑"/>
                <w:bCs/>
                <w:color w:val="auto"/>
                <w:kern w:val="0"/>
                <w:szCs w:val="21"/>
                <w:highlight w:val="none"/>
              </w:rPr>
              <w:t>（需提供产品功能截图或演示视频）</w:t>
            </w:r>
            <w:r>
              <w:rPr>
                <w:rFonts w:hint="eastAsia" w:ascii="微软雅黑" w:hAnsi="微软雅黑" w:eastAsia="微软雅黑" w:cs="微软雅黑"/>
                <w:color w:val="auto"/>
                <w:szCs w:val="21"/>
                <w:highlight w:val="none"/>
              </w:rPr>
              <w:t>。</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3.医疗服务站点查询</w:t>
            </w:r>
          </w:p>
          <w:p>
            <w:p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医疗服务站点图包含社区医院站点图、健康屋站点图。显示社区医院和健康屋列表。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健康宣教服务</w:t>
            </w:r>
          </w:p>
        </w:tc>
        <w:tc>
          <w:tcPr>
            <w:tcW w:w="7818" w:type="dxa"/>
            <w:tcBorders>
              <w:top w:val="single" w:color="auto" w:sz="4" w:space="0"/>
              <w:left w:val="single" w:color="auto" w:sz="4" w:space="0"/>
              <w:bottom w:val="single" w:color="auto" w:sz="4" w:space="0"/>
              <w:right w:val="single" w:color="auto" w:sz="4" w:space="0"/>
            </w:tcBorders>
            <w:vAlign w:val="bottom"/>
          </w:tcPr>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w:t>
            </w:r>
            <w:r>
              <w:rPr>
                <w:rFonts w:hint="eastAsia" w:ascii="微软雅黑" w:hAnsi="微软雅黑" w:eastAsia="微软雅黑" w:cs="微软雅黑"/>
                <w:color w:val="auto"/>
                <w:szCs w:val="21"/>
                <w:highlight w:val="none"/>
              </w:rPr>
              <w:t>1.视频宣教。包含13套各类疾病及防治宣讲健康知识的视频，实景与动画结合，形象生动的演绎易理解，具备自主知识产权</w:t>
            </w:r>
            <w:r>
              <w:rPr>
                <w:rFonts w:hint="eastAsia" w:ascii="微软雅黑" w:hAnsi="微软雅黑" w:eastAsia="微软雅黑" w:cs="微软雅黑"/>
                <w:bCs/>
                <w:color w:val="auto"/>
                <w:kern w:val="0"/>
                <w:szCs w:val="21"/>
                <w:highlight w:val="none"/>
              </w:rPr>
              <w:t>（需提供产品功能截图或演示视频）</w:t>
            </w:r>
            <w:r>
              <w:rPr>
                <w:rFonts w:hint="eastAsia" w:ascii="微软雅黑" w:hAnsi="微软雅黑" w:eastAsia="微软雅黑" w:cs="微软雅黑"/>
                <w:color w:val="auto"/>
                <w:szCs w:val="21"/>
                <w:highlight w:val="none"/>
              </w:rPr>
              <w:t>。</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w:t>
            </w:r>
            <w:r>
              <w:rPr>
                <w:rFonts w:hint="eastAsia" w:ascii="微软雅黑" w:hAnsi="微软雅黑" w:eastAsia="微软雅黑" w:cs="微软雅黑"/>
                <w:bCs/>
                <w:color w:val="auto"/>
                <w:kern w:val="0"/>
                <w:szCs w:val="21"/>
                <w:highlight w:val="none"/>
              </w:rPr>
              <w:t>2.</w:t>
            </w:r>
            <w:r>
              <w:rPr>
                <w:rFonts w:hint="eastAsia" w:ascii="微软雅黑" w:hAnsi="微软雅黑" w:eastAsia="微软雅黑" w:cs="微软雅黑"/>
                <w:color w:val="auto"/>
                <w:szCs w:val="21"/>
                <w:highlight w:val="none"/>
              </w:rPr>
              <w:t>健康手册。包含100套以上健康手册，包含大多数生活常见病；支持按常规宣教、检查宣教、疾病宣教进行筛选查看相关内容；支持扫码带走健康宣教内容；具备自主知识产权</w:t>
            </w:r>
            <w:r>
              <w:rPr>
                <w:rFonts w:hint="eastAsia" w:ascii="微软雅黑" w:hAnsi="微软雅黑" w:eastAsia="微软雅黑" w:cs="微软雅黑"/>
                <w:bCs/>
                <w:color w:val="auto"/>
                <w:kern w:val="0"/>
                <w:szCs w:val="21"/>
                <w:highlight w:val="none"/>
              </w:rPr>
              <w:t>（需提供产品功能截图或演示视频）</w:t>
            </w:r>
            <w:r>
              <w:rPr>
                <w:rFonts w:hint="eastAsia" w:ascii="微软雅黑" w:hAnsi="微软雅黑" w:eastAsia="微软雅黑" w:cs="微软雅黑"/>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管理后台服务</w:t>
            </w:r>
          </w:p>
        </w:tc>
        <w:tc>
          <w:tcPr>
            <w:tcW w:w="7818" w:type="dxa"/>
            <w:tcBorders>
              <w:top w:val="single" w:color="auto" w:sz="4" w:space="0"/>
              <w:left w:val="single" w:color="auto" w:sz="4" w:space="0"/>
              <w:bottom w:val="single" w:color="auto" w:sz="4" w:space="0"/>
              <w:right w:val="single" w:color="auto" w:sz="4" w:space="0"/>
            </w:tcBorders>
            <w:vAlign w:val="bottom"/>
          </w:tcPr>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1.登录用户列表</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1）管理员可通过用户管理查看各站点用户数量，包括用户姓名、身份证、手机号</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2）管理员可根据日期、站点名称进行查询</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2.用户登录记录列表</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用户登录记录列表是所有用户在健康屋登录的记录列表</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1）管理员可通过用户登录记录管理查看用户的登录记录，包括登录站点、登录日期</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2）管理员可根据日期、站点名称进行查询</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3.站点列表</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管理员可通过站点列表新增、修改、删除站点</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1）列表可根据站点名称、站点地址查询</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2）站点新增：填写站点名称、站点介绍、站点图片、站点地址经纬度、身体数据和体质辨识是否需要刷身份证、等基本信息</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3）站点设备绑定：从下拉设备列表中选择站点需要绑定的设备，并输入设备型号</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4）站点功能选择：从功能列表中选择站点需要的功能</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4.报修列表</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可查看各站点提交的报修记录，包括报修时间、报修人、报修内容，可进行相关报修处理。</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1）列表可根据站点名称、处理状态进行查询</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2）列表可查看报修时间、报修站点、报修内容、处理状态（已处理、未处理）</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3）报修处理：管理员可针对报修内容填写处理日期、处理内容，填写完成后对应报修记录会标记为已处理</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5.用户反馈</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可查看用户通过不同入口（公众号、查询一体机）填写的反馈内容，并进行相关的处理。</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1）列表可根据反馈日期、站点名称、来源、反馈内容查询</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2）列表可查看反馈日期、反馈人手机号、来源、站点名称、用户名、反馈内容</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6.查询一体机配置</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可在线对站点查询一体机进行可视化配置，包括功能的显示、logo的显示、图标的显示及显示模式的配置。</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1）查询一体机功能可根据需要随时增加或删除</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2）可在查询一体机左上角自行增加站点相关logo等标志</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7.用户测量数据管理</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可查看各站点用户测量数据，包括用户所有历史测量数据及各指标趋势图。</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1）列表可根据测量日期、测量时间段、站点名称、人群分类、年龄段、身份证号查询</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2）列表可查看用户测量日期、测量站点、姓名、以及测量的指标结果，详情可查看用户各指标所有测量记录的趋势图</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8.体质辨识记录</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可查看各站点用户体质辨识记录，包括详细答题情况及体质结果</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1）列表可根据日期、姓名、体质类型、来源（查询一体机、公众号）进行查询</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列表可查看用户答题日期、姓名、身份证、站点名称、体质类型、来源；详情可查看用户当前记录答题详情和体质结果及体质对应的调养建议、饮食调养、运动调养、经穴养生建议；还可切换历史测试记录查看对应内容</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健康测试记录</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可查看各站点用户接口自测记录，包括详细答题情况及生活处方</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1）列表可问卷名称、姓名、性别、来源、站点名称进行查询</w:t>
            </w:r>
          </w:p>
          <w:p>
            <w:pPr>
              <w:spacing w:line="480" w:lineRule="exact"/>
              <w:rPr>
                <w:rFonts w:ascii="微软雅黑" w:hAnsi="微软雅黑" w:eastAsia="微软雅黑" w:cs="微软雅黑"/>
                <w:bCs/>
                <w:color w:val="auto"/>
                <w:kern w:val="0"/>
                <w:szCs w:val="21"/>
                <w:highlight w:val="none"/>
              </w:rPr>
            </w:pPr>
            <w:r>
              <w:rPr>
                <w:rFonts w:hint="eastAsia" w:ascii="微软雅黑" w:hAnsi="微软雅黑" w:eastAsia="微软雅黑" w:cs="微软雅黑"/>
                <w:color w:val="auto"/>
                <w:szCs w:val="21"/>
                <w:highlight w:val="none"/>
              </w:rPr>
              <w:t>2）详情可查看用户答题日期、姓名、身份证、问卷名称；及用户当前记录答题详情和结果以及相关健康处方</w:t>
            </w:r>
          </w:p>
        </w:tc>
      </w:tr>
    </w:tbl>
    <w:p>
      <w:pPr>
        <w:pStyle w:val="4"/>
        <w:spacing w:beforeLines="100" w:line="480" w:lineRule="exact"/>
        <w:jc w:val="left"/>
        <w:rPr>
          <w:rFonts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br w:type="page"/>
      </w:r>
      <w:r>
        <w:rPr>
          <w:rFonts w:hint="eastAsia" w:ascii="微软雅黑" w:hAnsi="微软雅黑" w:eastAsia="微软雅黑" w:cs="微软雅黑"/>
          <w:b/>
          <w:bCs/>
          <w:color w:val="auto"/>
          <w:sz w:val="21"/>
          <w:szCs w:val="21"/>
          <w:highlight w:val="none"/>
        </w:rPr>
        <w:t>（五）、5G应急救援系统</w:t>
      </w:r>
    </w:p>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1、院内急救服务</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指挥中心急救指导服务</w:t>
            </w:r>
          </w:p>
        </w:tc>
        <w:tc>
          <w:tcPr>
            <w:tcW w:w="7818" w:type="dxa"/>
            <w:tcBorders>
              <w:top w:val="single" w:color="auto" w:sz="4" w:space="0"/>
              <w:left w:val="single" w:color="auto" w:sz="4" w:space="0"/>
              <w:bottom w:val="single" w:color="auto" w:sz="4" w:space="0"/>
              <w:right w:val="single" w:color="auto" w:sz="4" w:space="0"/>
            </w:tcBorders>
            <w:vAlign w:val="bottom"/>
          </w:tcPr>
          <w:p>
            <w:pPr>
              <w:numPr>
                <w:ilvl w:val="0"/>
                <w:numId w:val="17"/>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支持与车载设备、移动终端互联互通，进行院前急救，支持与中心医院远程系统互联互通，专家可参与实时指导与互动研讨</w:t>
            </w:r>
            <w:r>
              <w:rPr>
                <w:rFonts w:hint="eastAsia" w:ascii="微软雅黑" w:hAnsi="微软雅黑" w:eastAsia="微软雅黑" w:cs="微软雅黑"/>
                <w:bCs/>
                <w:color w:val="auto"/>
                <w:kern w:val="0"/>
                <w:szCs w:val="21"/>
                <w:highlight w:val="none"/>
              </w:rPr>
              <w:t>（需提供产品功能截图或演示视频或照片）</w:t>
            </w:r>
            <w:r>
              <w:rPr>
                <w:rFonts w:hint="eastAsia" w:ascii="微软雅黑" w:hAnsi="微软雅黑" w:eastAsia="微软雅黑" w:cs="微软雅黑"/>
                <w:color w:val="auto"/>
                <w:kern w:val="0"/>
                <w:szCs w:val="21"/>
                <w:highlight w:val="none"/>
              </w:rPr>
              <w:t>；</w:t>
            </w:r>
          </w:p>
          <w:p>
            <w:pPr>
              <w:numPr>
                <w:ilvl w:val="0"/>
                <w:numId w:val="17"/>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★实现急救中心专家对急救车内急救人员进行双向多方高清视频急救指导，可以实时查看车内医疗仪器（支持VGA和HDMI视频输出接口）影像</w:t>
            </w:r>
            <w:r>
              <w:rPr>
                <w:rFonts w:hint="eastAsia" w:ascii="微软雅黑" w:hAnsi="微软雅黑" w:eastAsia="微软雅黑" w:cs="微软雅黑"/>
                <w:bCs/>
                <w:color w:val="auto"/>
                <w:kern w:val="0"/>
                <w:szCs w:val="21"/>
                <w:highlight w:val="none"/>
              </w:rPr>
              <w:t>（需提供产品功能截图或演示视频或照片）</w:t>
            </w:r>
            <w:r>
              <w:rPr>
                <w:rFonts w:hint="eastAsia" w:ascii="微软雅黑" w:hAnsi="微软雅黑" w:eastAsia="微软雅黑" w:cs="微软雅黑"/>
                <w:color w:val="auto"/>
                <w:kern w:val="0"/>
                <w:szCs w:val="21"/>
                <w:highlight w:val="none"/>
              </w:rPr>
              <w:t>；</w:t>
            </w:r>
          </w:p>
          <w:p>
            <w:pPr>
              <w:numPr>
                <w:ilvl w:val="0"/>
                <w:numId w:val="17"/>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支持紧急情况下专家通过笔记本、手机端与车载主机、院内主机远程互联互通，移动化参与院前急救会诊。</w:t>
            </w:r>
          </w:p>
          <w:p>
            <w:pPr>
              <w:numPr>
                <w:ilvl w:val="0"/>
                <w:numId w:val="17"/>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设备需具备远程控制协作能力，针对目前当地医护人员操作不熟练、专业技能不足的现状，经由当地医生授权，辅助当地医生进行检查操作并对检查结果中的重点关注部位进行标注、标记，协助当地医生精准判断病情，作出诊断并商定后续手术及治疗方案，开展多方实时医疗协作及医技协同。为避免对院内网络及信息安全造成影响。</w:t>
            </w:r>
          </w:p>
          <w:p>
            <w:pPr>
              <w:numPr>
                <w:ilvl w:val="0"/>
                <w:numId w:val="17"/>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支持采集画面按16:9或5：4或4:3比例裁剪，使视频画面视图完美呈现，支持视频画面加边框可设置颜色线宽。支持对视频画面添加马赛克功能，隐藏病人隐私信息。</w:t>
            </w:r>
          </w:p>
          <w:p>
            <w:pPr>
              <w:numPr>
                <w:ilvl w:val="0"/>
                <w:numId w:val="17"/>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支持多路高清数据实时传输，支持实时切换车载主机画面，放大缩小单路数据。</w:t>
            </w:r>
          </w:p>
          <w:p>
            <w:pPr>
              <w:numPr>
                <w:ilvl w:val="0"/>
                <w:numId w:val="17"/>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支持对视频画面进行多种标注，支持文字标注、支持鼠标标记、支持画线、箭头、图形、马赛克、支持插入图标标记、支持图标放大、缩小、拖动、旋转等、支持擦除、全部清除功能。</w:t>
            </w:r>
          </w:p>
          <w:p>
            <w:pPr>
              <w:numPr>
                <w:ilvl w:val="0"/>
                <w:numId w:val="17"/>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 xml:space="preserve">支持本地录制，可支持1920*1080,码率5000及以上的高清视频本地录制； </w:t>
            </w:r>
          </w:p>
          <w:p>
            <w:pPr>
              <w:pStyle w:val="58"/>
              <w:numPr>
                <w:ilvl w:val="0"/>
                <w:numId w:val="17"/>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sz w:val="21"/>
                <w:szCs w:val="21"/>
                <w:highlight w:val="none"/>
              </w:rPr>
              <w:t>提供HDMI输入和输出服务，提供USB服务，其中USB 2.0服务接口数目≥2个，USB 3.0服务接口数目≥2个。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指挥中心视频服务</w:t>
            </w:r>
          </w:p>
          <w:p>
            <w:pPr>
              <w:widowControl/>
              <w:spacing w:line="480" w:lineRule="exact"/>
              <w:jc w:val="left"/>
              <w:rPr>
                <w:rFonts w:ascii="微软雅黑" w:hAnsi="微软雅黑" w:eastAsia="微软雅黑" w:cs="微软雅黑"/>
                <w:bCs/>
                <w:color w:val="auto"/>
                <w:kern w:val="0"/>
                <w:szCs w:val="21"/>
                <w:highlight w:val="none"/>
              </w:rPr>
            </w:pPr>
          </w:p>
        </w:tc>
        <w:tc>
          <w:tcPr>
            <w:tcW w:w="7818" w:type="dxa"/>
            <w:tcBorders>
              <w:top w:val="single" w:color="auto" w:sz="4" w:space="0"/>
              <w:left w:val="single" w:color="auto" w:sz="4" w:space="0"/>
              <w:bottom w:val="single" w:color="auto" w:sz="4" w:space="0"/>
              <w:right w:val="single" w:color="auto" w:sz="4" w:space="0"/>
            </w:tcBorders>
            <w:vAlign w:val="bottom"/>
          </w:tcPr>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提供高清视频监控服务，服务包含的信号系统HD: 1080p/60, 1080p/50, 1080i/60, 1080i/50, 1080p/30, 1080p/25, 720p/120, 720p/60, 720p/50, 720p/30, 720p/25；</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服务支撑材料采用传感器:1/2.7英寸, CMOS, 有效像素：207万</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视频编码服务的标准满足:H65 / H.264 / MJPEG；</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视频码流服务包括:主码流, 辅码流；</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视频主码流服务提供的分辨率:1920x1080, 1280x720, 1024x576等；</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视频辅码流服务提供的:720x576, 720x480, 320x240等；</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视频码率服务:32Kbps ~ 20480Kbps；</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视频码率控制服务:可变码率, 固定码率；</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音频压缩服务:AAC；</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音频码率服务:96Kbps, 128Kbps, 256Kbps；</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服务满足的协议:TCP/IP, HTTP, RTSP, RTMP, Onvif, DHCP, 组播等；</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支持音频LINE IN输入，摄像机可对音频进行编码；</w:t>
            </w:r>
          </w:p>
          <w:p>
            <w:pPr>
              <w:numPr>
                <w:ilvl w:val="0"/>
                <w:numId w:val="18"/>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支持HDMI+3G-SDI高清原始输出。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指挥中心音频服务</w:t>
            </w:r>
          </w:p>
        </w:tc>
        <w:tc>
          <w:tcPr>
            <w:tcW w:w="7818" w:type="dxa"/>
            <w:tcBorders>
              <w:top w:val="single" w:color="auto" w:sz="4" w:space="0"/>
              <w:left w:val="single" w:color="auto" w:sz="4" w:space="0"/>
              <w:bottom w:val="single" w:color="auto" w:sz="4" w:space="0"/>
              <w:right w:val="single" w:color="auto" w:sz="4" w:space="0"/>
            </w:tcBorders>
            <w:vAlign w:val="bottom"/>
          </w:tcPr>
          <w:p>
            <w:pPr>
              <w:numPr>
                <w:ilvl w:val="0"/>
                <w:numId w:val="19"/>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可支持Microsoft Lync及各种软体会议使用；</w:t>
            </w:r>
          </w:p>
          <w:p>
            <w:pPr>
              <w:numPr>
                <w:ilvl w:val="0"/>
                <w:numId w:val="19"/>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服务支持USB连接可即插即用连接电脑；</w:t>
            </w:r>
          </w:p>
          <w:p>
            <w:pPr>
              <w:numPr>
                <w:ilvl w:val="0"/>
                <w:numId w:val="19"/>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可通过蓝芽，与平板电脑和行动装置连接；</w:t>
            </w:r>
          </w:p>
          <w:p>
            <w:pPr>
              <w:numPr>
                <w:ilvl w:val="0"/>
                <w:numId w:val="19"/>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360度收音，可全方位收音；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指挥中心多媒体服务</w:t>
            </w:r>
          </w:p>
        </w:tc>
        <w:tc>
          <w:tcPr>
            <w:tcW w:w="7818" w:type="dxa"/>
            <w:tcBorders>
              <w:top w:val="single" w:color="auto" w:sz="4" w:space="0"/>
              <w:left w:val="single" w:color="auto" w:sz="4" w:space="0"/>
              <w:bottom w:val="single" w:color="auto" w:sz="4" w:space="0"/>
              <w:right w:val="single" w:color="auto" w:sz="4" w:space="0"/>
            </w:tcBorders>
            <w:vAlign w:val="bottom"/>
          </w:tcPr>
          <w:p>
            <w:pPr>
              <w:pStyle w:val="58"/>
              <w:numPr>
                <w:ilvl w:val="0"/>
                <w:numId w:val="20"/>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多媒体服务提供的分辨率指标：4K（3840*2160）；</w:t>
            </w:r>
          </w:p>
          <w:p>
            <w:pPr>
              <w:pStyle w:val="58"/>
              <w:numPr>
                <w:ilvl w:val="0"/>
                <w:numId w:val="20"/>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多媒体服务能效指标：2级能效；</w:t>
            </w:r>
          </w:p>
          <w:p>
            <w:pPr>
              <w:pStyle w:val="58"/>
              <w:numPr>
                <w:ilvl w:val="0"/>
                <w:numId w:val="20"/>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多媒体服务HDR显示指标：4K HDR；</w:t>
            </w:r>
          </w:p>
          <w:p>
            <w:pPr>
              <w:pStyle w:val="58"/>
              <w:numPr>
                <w:ilvl w:val="0"/>
                <w:numId w:val="20"/>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多媒体服务的网络功能：有线/WiFi。</w:t>
            </w:r>
          </w:p>
        </w:tc>
      </w:tr>
    </w:tbl>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2、车载急救服务</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center"/>
              <w:textAlignment w:val="center"/>
              <w:rPr>
                <w:rFonts w:ascii="微软雅黑" w:hAnsi="微软雅黑" w:eastAsia="微软雅黑" w:cs="微软雅黑"/>
                <w:b/>
                <w:bCs/>
                <w:color w:val="auto"/>
                <w:kern w:val="0"/>
                <w:szCs w:val="21"/>
                <w:highlight w:val="none"/>
              </w:rPr>
            </w:pPr>
            <w:r>
              <w:rPr>
                <w:rFonts w:hint="eastAsia" w:ascii="微软雅黑" w:hAnsi="微软雅黑" w:eastAsia="微软雅黑" w:cs="微软雅黑"/>
                <w:b/>
                <w:bCs/>
                <w:color w:val="auto"/>
                <w:kern w:val="0"/>
                <w:szCs w:val="21"/>
                <w:highlight w:val="none"/>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5G应急救援系统</w:t>
            </w:r>
          </w:p>
        </w:tc>
        <w:tc>
          <w:tcPr>
            <w:tcW w:w="7818" w:type="dxa"/>
            <w:tcBorders>
              <w:top w:val="single" w:color="auto" w:sz="4" w:space="0"/>
              <w:left w:val="single" w:color="auto" w:sz="4" w:space="0"/>
              <w:bottom w:val="single" w:color="auto" w:sz="4" w:space="0"/>
              <w:right w:val="single" w:color="auto" w:sz="4" w:space="0"/>
            </w:tcBorders>
            <w:vAlign w:val="bottom"/>
          </w:tcPr>
          <w:p>
            <w:pPr>
              <w:pStyle w:val="58"/>
              <w:autoSpaceDN w:val="0"/>
              <w:spacing w:line="480" w:lineRule="exact"/>
              <w:ind w:firstLine="0"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（一）应急救援系统Web管理端</w:t>
            </w:r>
          </w:p>
          <w:p>
            <w:pPr>
              <w:pStyle w:val="58"/>
              <w:numPr>
                <w:ilvl w:val="0"/>
                <w:numId w:val="21"/>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急救车综合管理系统</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a．车辆高清视频监控</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b．车辆状态监控</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c．轨迹实时跟踪</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d. 任务执行时间监控记录</w:t>
            </w:r>
          </w:p>
          <w:p>
            <w:pPr>
              <w:pStyle w:val="58"/>
              <w:numPr>
                <w:ilvl w:val="0"/>
                <w:numId w:val="21"/>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GIS地理信息系统</w:t>
            </w:r>
          </w:p>
          <w:p>
            <w:pPr>
              <w:pStyle w:val="58"/>
              <w:numPr>
                <w:ilvl w:val="0"/>
                <w:numId w:val="21"/>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★急救车载会诊子系统</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a. 车载音视频会诊（需提供产品功能截图或演示视频）</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b.会诊画面标注（需提供产品功能截图或演示视频）</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c.会诊视频保存（需提供产品功能截图或演示视频）</w:t>
            </w:r>
          </w:p>
          <w:p>
            <w:pPr>
              <w:pStyle w:val="58"/>
              <w:numPr>
                <w:ilvl w:val="0"/>
                <w:numId w:val="21"/>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医疗设备数据对接子系统：</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a. 体征数据获取</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b. 心电报告获取</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c. 医疗影像数据获取</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 xml:space="preserve">d. </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Cs/>
                <w:color w:val="auto"/>
                <w:sz w:val="21"/>
                <w:szCs w:val="21"/>
                <w:highlight w:val="none"/>
              </w:rPr>
              <w:t>完成过多种类型医疗设备对接：心电图机、便携式超声、监护仪、手持血液分析仪、免疫分析仪等（需提供产品功能截图或演示视频）</w:t>
            </w:r>
          </w:p>
          <w:p>
            <w:pPr>
              <w:pStyle w:val="58"/>
              <w:numPr>
                <w:ilvl w:val="0"/>
                <w:numId w:val="21"/>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资源管理子系统</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a. 车辆管理与展示、</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 xml:space="preserve">b. 车载设备管理与展示 </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c. 人员管理与展示、</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d. 班组管理与展示、</w:t>
            </w:r>
          </w:p>
          <w:p>
            <w:pPr>
              <w:pStyle w:val="58"/>
              <w:numPr>
                <w:ilvl w:val="0"/>
                <w:numId w:val="21"/>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急救数据可视化子系统</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a. 多任务综合统计分析</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b. 单任务可视化展示</w:t>
            </w:r>
          </w:p>
          <w:p>
            <w:pPr>
              <w:pStyle w:val="58"/>
              <w:autoSpaceDN w:val="0"/>
              <w:spacing w:line="480" w:lineRule="exact"/>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c. 急救质控管理</w:t>
            </w:r>
          </w:p>
          <w:p>
            <w:pPr>
              <w:pStyle w:val="58"/>
              <w:autoSpaceDN w:val="0"/>
              <w:spacing w:line="480" w:lineRule="exact"/>
              <w:ind w:firstLine="0"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（二）车载App端</w:t>
            </w:r>
          </w:p>
          <w:p>
            <w:pPr>
              <w:pStyle w:val="58"/>
              <w:numPr>
                <w:ilvl w:val="0"/>
                <w:numId w:val="22"/>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展示和编辑当前任务信息，包括患者姓名  患者电话  患者地址、医院地址；</w:t>
            </w:r>
          </w:p>
          <w:p>
            <w:pPr>
              <w:pStyle w:val="58"/>
              <w:numPr>
                <w:ilvl w:val="0"/>
                <w:numId w:val="22"/>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可编辑当前任务信息，包括患者姓名  患者电话  患者地址、医院地址；</w:t>
            </w:r>
          </w:p>
          <w:p>
            <w:pPr>
              <w:pStyle w:val="58"/>
              <w:numPr>
                <w:ilvl w:val="0"/>
                <w:numId w:val="22"/>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可更新任务状态，接到患者、结束任务；</w:t>
            </w:r>
          </w:p>
          <w:p>
            <w:pPr>
              <w:pStyle w:val="58"/>
              <w:numPr>
                <w:ilvl w:val="0"/>
                <w:numId w:val="22"/>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无任务时，可立即出车创建任务；</w:t>
            </w:r>
          </w:p>
          <w:p>
            <w:pPr>
              <w:pStyle w:val="58"/>
              <w:numPr>
                <w:ilvl w:val="0"/>
                <w:numId w:val="22"/>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可查看当前车辆已完成的急救任务、病历；</w:t>
            </w:r>
          </w:p>
          <w:p>
            <w:pPr>
              <w:pStyle w:val="58"/>
              <w:numPr>
                <w:ilvl w:val="0"/>
                <w:numId w:val="22"/>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支持补录、编辑电子病历；支持发起、取消、接入、退出会诊</w:t>
            </w:r>
          </w:p>
          <w:p>
            <w:pPr>
              <w:numPr>
                <w:ilvl w:val="0"/>
                <w:numId w:val="22"/>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kern w:val="0"/>
                <w:szCs w:val="21"/>
                <w:highlight w:val="none"/>
              </w:rPr>
              <w:t>App端创建/编辑常规急救、胸痛急救、卒中急救、创伤急救、妇产科急救、儿科急救六类院前电子病历</w:t>
            </w:r>
            <w:r>
              <w:rPr>
                <w:rFonts w:hint="eastAsia" w:ascii="微软雅黑" w:hAnsi="微软雅黑" w:eastAsia="微软雅黑" w:cs="微软雅黑"/>
                <w:b/>
                <w:bCs/>
                <w:color w:val="auto"/>
                <w:kern w:val="0"/>
                <w:szCs w:val="21"/>
                <w:highlight w:val="none"/>
              </w:rPr>
              <w:t>（需提供产品功能截图）</w:t>
            </w:r>
            <w:r>
              <w:rPr>
                <w:rFonts w:hint="eastAsia" w:ascii="微软雅黑" w:hAnsi="微软雅黑" w:eastAsia="微软雅黑" w:cs="微软雅黑"/>
                <w:color w:val="auto"/>
                <w:kern w:val="0"/>
                <w:szCs w:val="21"/>
                <w:highlight w:val="none"/>
              </w:rPr>
              <w:t>；</w:t>
            </w:r>
          </w:p>
          <w:p>
            <w:pPr>
              <w:numPr>
                <w:ilvl w:val="0"/>
                <w:numId w:val="22"/>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kern w:val="0"/>
                <w:szCs w:val="21"/>
                <w:highlight w:val="none"/>
              </w:rPr>
              <w:t>扫描身份证识别姓名、性别、年龄、身份证号</w:t>
            </w:r>
            <w:r>
              <w:rPr>
                <w:rFonts w:hint="eastAsia" w:ascii="微软雅黑" w:hAnsi="微软雅黑" w:eastAsia="微软雅黑" w:cs="微软雅黑"/>
                <w:b/>
                <w:bCs/>
                <w:color w:val="auto"/>
                <w:kern w:val="0"/>
                <w:szCs w:val="21"/>
                <w:highlight w:val="none"/>
              </w:rPr>
              <w:t>（需提供产品功能截图）</w:t>
            </w:r>
            <w:r>
              <w:rPr>
                <w:rFonts w:hint="eastAsia" w:ascii="微软雅黑" w:hAnsi="微软雅黑" w:eastAsia="微软雅黑" w:cs="微软雅黑"/>
                <w:color w:val="auto"/>
                <w:kern w:val="0"/>
                <w:szCs w:val="21"/>
                <w:highlight w:val="none"/>
              </w:rPr>
              <w:t>；</w:t>
            </w:r>
          </w:p>
          <w:p>
            <w:pPr>
              <w:numPr>
                <w:ilvl w:val="0"/>
                <w:numId w:val="22"/>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部分字段支持语音录入。</w:t>
            </w:r>
          </w:p>
          <w:p>
            <w:pPr>
              <w:pStyle w:val="58"/>
              <w:autoSpaceDN w:val="0"/>
              <w:spacing w:line="480" w:lineRule="exact"/>
              <w:textAlignment w:val="center"/>
              <w:rPr>
                <w:rFonts w:ascii="微软雅黑" w:hAnsi="微软雅黑" w:eastAsia="微软雅黑" w:cs="微软雅黑"/>
                <w:bCs/>
                <w:color w:val="auto"/>
                <w:sz w:val="21"/>
                <w:szCs w:val="21"/>
                <w:highlight w:val="none"/>
              </w:rPr>
            </w:pPr>
          </w:p>
          <w:p>
            <w:pPr>
              <w:pStyle w:val="58"/>
              <w:autoSpaceDN w:val="0"/>
              <w:spacing w:line="480" w:lineRule="exact"/>
              <w:ind w:firstLine="0"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（三）</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Cs/>
                <w:color w:val="auto"/>
                <w:sz w:val="21"/>
                <w:szCs w:val="21"/>
                <w:highlight w:val="none"/>
              </w:rPr>
              <w:t>会诊App端</w:t>
            </w:r>
          </w:p>
          <w:p>
            <w:pPr>
              <w:numPr>
                <w:ilvl w:val="0"/>
                <w:numId w:val="23"/>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邀请会诊时，发送短信通知被邀请人</w:t>
            </w:r>
            <w:r>
              <w:rPr>
                <w:rFonts w:hint="eastAsia" w:ascii="微软雅黑" w:hAnsi="微软雅黑" w:eastAsia="微软雅黑" w:cs="微软雅黑"/>
                <w:bCs/>
                <w:color w:val="auto"/>
                <w:kern w:val="0"/>
                <w:szCs w:val="21"/>
                <w:highlight w:val="none"/>
              </w:rPr>
              <w:t>（需提供产品功能截图或演示视频或照片）</w:t>
            </w:r>
          </w:p>
          <w:p>
            <w:pPr>
              <w:numPr>
                <w:ilvl w:val="0"/>
                <w:numId w:val="23"/>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在会诊App加入急救车会诊</w:t>
            </w:r>
            <w:r>
              <w:rPr>
                <w:rFonts w:hint="eastAsia" w:ascii="微软雅黑" w:hAnsi="微软雅黑" w:eastAsia="微软雅黑" w:cs="微软雅黑"/>
                <w:bCs/>
                <w:color w:val="auto"/>
                <w:kern w:val="0"/>
                <w:szCs w:val="21"/>
                <w:highlight w:val="none"/>
              </w:rPr>
              <w:t>（需提供产品功能截图或演示视频或照片）</w:t>
            </w:r>
          </w:p>
          <w:p>
            <w:pPr>
              <w:pStyle w:val="58"/>
              <w:numPr>
                <w:ilvl w:val="0"/>
                <w:numId w:val="23"/>
              </w:numPr>
              <w:autoSpaceDN w:val="0"/>
              <w:spacing w:line="480" w:lineRule="exact"/>
              <w:ind w:firstLineChars="0"/>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sz w:val="21"/>
                <w:szCs w:val="21"/>
                <w:highlight w:val="none"/>
              </w:rPr>
              <w:t>可选择车辆查看病历</w:t>
            </w:r>
            <w:r>
              <w:rPr>
                <w:rFonts w:hint="eastAsia" w:ascii="微软雅黑" w:hAnsi="微软雅黑" w:eastAsia="微软雅黑" w:cs="微软雅黑"/>
                <w:bCs/>
                <w:color w:val="auto"/>
                <w:sz w:val="21"/>
                <w:szCs w:val="21"/>
                <w:highlight w:val="none"/>
              </w:rPr>
              <w:t>（需提供产品功能截图或演示视频或照片）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远程急救车载服务</w:t>
            </w:r>
          </w:p>
        </w:tc>
        <w:tc>
          <w:tcPr>
            <w:tcW w:w="7818" w:type="dxa"/>
            <w:tcBorders>
              <w:top w:val="single" w:color="auto" w:sz="4" w:space="0"/>
              <w:left w:val="single" w:color="auto" w:sz="4" w:space="0"/>
              <w:bottom w:val="single" w:color="auto" w:sz="4" w:space="0"/>
              <w:right w:val="single" w:color="auto" w:sz="4" w:space="0"/>
            </w:tcBorders>
            <w:vAlign w:val="bottom"/>
          </w:tcPr>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支持与院内主机、移动终端互联互通，进行院前急救，支持与中心医院远程系统互联互通，专家可参与实时指导与互动研讨；</w:t>
            </w:r>
          </w:p>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实现急救中心专家对急救车内急救人员进行双向多方高清视频急救指导，可以实时查看车内医疗仪器（支持VGA或者HDMI视频输出）影像，实时了解急救进展，并可远程切换所需显示的画面；</w:t>
            </w:r>
          </w:p>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支持紧急情况下专家通过笔记本、手机端与车载主机、院内主机远程互联互通，移动化参与院前急救；</w:t>
            </w:r>
          </w:p>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服务至少支持4路本地视频信号采集编码，支持采集画面按16:9或5：4或4:3比例裁剪，使视频画面视图完美呈现，支持视频画面加边框可设置颜色线宽。支持对视频画面添加马赛克功能，隐藏病人隐私信息（提供产品功能截图）；</w:t>
            </w:r>
          </w:p>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本地多路高清视频信号同时采集并混屏传输服务，支持同时混屏的信号数量不低于4路，支持多种信号混屏组合，包括信号源组合和显示布局组合。支持远端专家通过院内主机切换混屏组合，支持远程控制混屏画面的一路显示为全屏；</w:t>
            </w:r>
          </w:p>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支持对视频画面进行多种标注，支持文字标注、支持鼠标标记、支持画线、箭头、图形、马赛克、支持插入图标标记、支持图标放大、缩小、拖动、旋转等、支持擦除、全部清除功能；</w:t>
            </w:r>
          </w:p>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★支持本地录制，可支持1920*1080,码率5000及以上的高清视频本地录制，主机支持与触控屏对接，实现触控操作（提供产品功能截图）；</w:t>
            </w:r>
          </w:p>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视频输出服务接口≥1个HDMI。</w:t>
            </w:r>
          </w:p>
          <w:p>
            <w:pPr>
              <w:numPr>
                <w:ilvl w:val="0"/>
                <w:numId w:val="24"/>
              </w:numPr>
              <w:snapToGrid w:val="0"/>
              <w:spacing w:line="480" w:lineRule="exact"/>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★视频输入服务接口≥3个HDMI（提供产品照片）。</w:t>
            </w:r>
          </w:p>
          <w:p>
            <w:pPr>
              <w:pStyle w:val="58"/>
              <w:numPr>
                <w:ilvl w:val="0"/>
                <w:numId w:val="24"/>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sz w:val="21"/>
                <w:szCs w:val="21"/>
                <w:highlight w:val="none"/>
              </w:rPr>
              <w:t>具备产品服务根据使用过程体验更新迭代能力。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车载多媒体服务</w:t>
            </w:r>
          </w:p>
        </w:tc>
        <w:tc>
          <w:tcPr>
            <w:tcW w:w="7818" w:type="dxa"/>
            <w:tcBorders>
              <w:top w:val="single" w:color="auto" w:sz="4" w:space="0"/>
              <w:left w:val="single" w:color="auto" w:sz="4" w:space="0"/>
              <w:bottom w:val="single" w:color="auto" w:sz="4" w:space="0"/>
              <w:right w:val="single" w:color="auto" w:sz="4" w:space="0"/>
            </w:tcBorders>
            <w:vAlign w:val="bottom"/>
          </w:tcPr>
          <w:p>
            <w:pPr>
              <w:pStyle w:val="9"/>
              <w:numPr>
                <w:ilvl w:val="0"/>
                <w:numId w:val="25"/>
              </w:numPr>
              <w:spacing w:line="480" w:lineRule="exact"/>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提供用于急救场景、具有视频交互呈现的车载多媒体服务；</w:t>
            </w:r>
          </w:p>
          <w:p>
            <w:pPr>
              <w:pStyle w:val="9"/>
              <w:numPr>
                <w:ilvl w:val="0"/>
                <w:numId w:val="25"/>
              </w:numPr>
              <w:spacing w:line="480" w:lineRule="exact"/>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多媒体服务提供的分辨率指标：</w:t>
            </w:r>
            <w:r>
              <w:rPr>
                <w:rFonts w:hint="eastAsia" w:ascii="微软雅黑" w:hAnsi="微软雅黑" w:eastAsia="微软雅黑" w:cs="微软雅黑"/>
                <w:color w:val="auto"/>
                <w:sz w:val="21"/>
                <w:szCs w:val="21"/>
                <w:highlight w:val="none"/>
              </w:rPr>
              <w:t>1920×1080；</w:t>
            </w:r>
          </w:p>
          <w:p>
            <w:pPr>
              <w:pStyle w:val="9"/>
              <w:numPr>
                <w:ilvl w:val="0"/>
                <w:numId w:val="25"/>
              </w:numPr>
              <w:spacing w:line="480" w:lineRule="exact"/>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多媒体服务要求能外接USB设备；</w:t>
            </w:r>
          </w:p>
          <w:p>
            <w:pPr>
              <w:pStyle w:val="58"/>
              <w:numPr>
                <w:ilvl w:val="0"/>
                <w:numId w:val="25"/>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sz w:val="21"/>
                <w:szCs w:val="21"/>
                <w:highlight w:val="none"/>
              </w:rPr>
              <w:t>提供HDMI信号接入服务。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车载智能交互服务</w:t>
            </w:r>
          </w:p>
        </w:tc>
        <w:tc>
          <w:tcPr>
            <w:tcW w:w="7818" w:type="dxa"/>
            <w:tcBorders>
              <w:top w:val="single" w:color="auto" w:sz="4" w:space="0"/>
              <w:left w:val="single" w:color="auto" w:sz="4" w:space="0"/>
              <w:bottom w:val="single" w:color="auto" w:sz="4" w:space="0"/>
              <w:right w:val="single" w:color="auto" w:sz="4" w:space="0"/>
            </w:tcBorders>
            <w:vAlign w:val="bottom"/>
          </w:tcPr>
          <w:p>
            <w:pPr>
              <w:numPr>
                <w:ilvl w:val="0"/>
                <w:numId w:val="26"/>
              </w:num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提供急救场景、具有移动通信、信息录入的车载智能交互服务；</w:t>
            </w:r>
          </w:p>
          <w:p>
            <w:pPr>
              <w:numPr>
                <w:ilvl w:val="0"/>
                <w:numId w:val="26"/>
              </w:num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车载智能交互服务需支持Android 8.0及以上操作系统；</w:t>
            </w:r>
          </w:p>
          <w:p>
            <w:pPr>
              <w:numPr>
                <w:ilvl w:val="0"/>
                <w:numId w:val="26"/>
              </w:num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车载智能交互服务提供的网络能力：支持 WiFi；</w:t>
            </w:r>
          </w:p>
          <w:p>
            <w:pPr>
              <w:numPr>
                <w:ilvl w:val="0"/>
                <w:numId w:val="26"/>
              </w:num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车载智能交互服务提供的分辨率指标：</w:t>
            </w:r>
            <w:r>
              <w:rPr>
                <w:rFonts w:hint="eastAsia" w:ascii="微软雅黑" w:hAnsi="微软雅黑" w:eastAsia="微软雅黑" w:cs="微软雅黑"/>
                <w:color w:val="auto"/>
                <w:szCs w:val="21"/>
                <w:highlight w:val="none"/>
              </w:rPr>
              <w:t>1920×1080；</w:t>
            </w:r>
          </w:p>
          <w:p>
            <w:pPr>
              <w:numPr>
                <w:ilvl w:val="0"/>
                <w:numId w:val="26"/>
              </w:num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提供触屏服务，提供音频输入输出能力，提供视频输出能力；</w:t>
            </w:r>
          </w:p>
          <w:p>
            <w:pPr>
              <w:numPr>
                <w:ilvl w:val="0"/>
                <w:numId w:val="26"/>
              </w:num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支持提供投影服务；</w:t>
            </w:r>
          </w:p>
          <w:p>
            <w:pPr>
              <w:pStyle w:val="58"/>
              <w:numPr>
                <w:ilvl w:val="0"/>
                <w:numId w:val="26"/>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sz w:val="21"/>
                <w:szCs w:val="21"/>
                <w:highlight w:val="none"/>
              </w:rPr>
              <w:t>支持提供蓝牙能力。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车载定位服务</w:t>
            </w:r>
          </w:p>
        </w:tc>
        <w:tc>
          <w:tcPr>
            <w:tcW w:w="7818" w:type="dxa"/>
            <w:tcBorders>
              <w:top w:val="single" w:color="auto" w:sz="4" w:space="0"/>
              <w:left w:val="single" w:color="auto" w:sz="4" w:space="0"/>
              <w:bottom w:val="single" w:color="auto" w:sz="4" w:space="0"/>
              <w:right w:val="single" w:color="auto" w:sz="4" w:space="0"/>
            </w:tcBorders>
            <w:vAlign w:val="bottom"/>
          </w:tcPr>
          <w:p>
            <w:pPr>
              <w:pStyle w:val="58"/>
              <w:numPr>
                <w:ilvl w:val="0"/>
                <w:numId w:val="27"/>
              </w:numPr>
              <w:autoSpaceDN w:val="0"/>
              <w:spacing w:line="480" w:lineRule="exact"/>
              <w:ind w:firstLineChars="0"/>
              <w:contextualSpacing/>
              <w:textAlignment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提供用于急救场景，具有车辆定位和车况管理的服务；</w:t>
            </w:r>
          </w:p>
          <w:p>
            <w:pPr>
              <w:pStyle w:val="58"/>
              <w:numPr>
                <w:ilvl w:val="0"/>
                <w:numId w:val="27"/>
              </w:numPr>
              <w:autoSpaceDN w:val="0"/>
              <w:spacing w:line="480" w:lineRule="exact"/>
              <w:ind w:firstLineChars="0"/>
              <w:contextualSpacing/>
              <w:textAlignment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提供车辆电瓶供电兼容能力；</w:t>
            </w:r>
          </w:p>
          <w:p>
            <w:pPr>
              <w:pStyle w:val="58"/>
              <w:numPr>
                <w:ilvl w:val="0"/>
                <w:numId w:val="27"/>
              </w:numPr>
              <w:autoSpaceDN w:val="0"/>
              <w:spacing w:line="480" w:lineRule="exact"/>
              <w:ind w:firstLineChars="0"/>
              <w:contextualSpacing/>
              <w:textAlignment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服务提供工作温度范指标：-20℃ - 75℃；储存温度范围：-30℃ - 80℃</w:t>
            </w:r>
          </w:p>
          <w:p>
            <w:pPr>
              <w:pStyle w:val="58"/>
              <w:numPr>
                <w:ilvl w:val="0"/>
                <w:numId w:val="27"/>
              </w:numPr>
              <w:autoSpaceDN w:val="0"/>
              <w:spacing w:line="480" w:lineRule="exact"/>
              <w:ind w:firstLineChars="0"/>
              <w:contextualSpacing/>
              <w:textAlignment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服务提供工作湿度指标：10%-85% RH 不凝结； </w:t>
            </w:r>
          </w:p>
          <w:p>
            <w:pPr>
              <w:pStyle w:val="58"/>
              <w:numPr>
                <w:ilvl w:val="0"/>
                <w:numId w:val="27"/>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sz w:val="21"/>
                <w:szCs w:val="21"/>
                <w:highlight w:val="none"/>
              </w:rPr>
              <w:t>支持北斗+GPS定位服务。</w:t>
            </w:r>
          </w:p>
          <w:p>
            <w:pPr>
              <w:pStyle w:val="58"/>
              <w:numPr>
                <w:ilvl w:val="0"/>
                <w:numId w:val="27"/>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sz w:val="21"/>
                <w:szCs w:val="21"/>
                <w:highlight w:val="none"/>
              </w:rPr>
              <w:t>支持内置电池服务，容量≥140 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车载音频服务</w:t>
            </w:r>
          </w:p>
        </w:tc>
        <w:tc>
          <w:tcPr>
            <w:tcW w:w="7818" w:type="dxa"/>
            <w:tcBorders>
              <w:top w:val="single" w:color="auto" w:sz="4" w:space="0"/>
              <w:left w:val="single" w:color="auto" w:sz="4" w:space="0"/>
              <w:bottom w:val="single" w:color="auto" w:sz="4" w:space="0"/>
              <w:right w:val="single" w:color="auto" w:sz="4" w:space="0"/>
            </w:tcBorders>
            <w:vAlign w:val="bottom"/>
          </w:tcPr>
          <w:p>
            <w:pPr>
              <w:pStyle w:val="58"/>
              <w:numPr>
                <w:ilvl w:val="0"/>
                <w:numId w:val="28"/>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提供用于急救场景、具有音频交互功能的车载音频服务；</w:t>
            </w:r>
          </w:p>
          <w:p>
            <w:pPr>
              <w:pStyle w:val="58"/>
              <w:numPr>
                <w:ilvl w:val="0"/>
                <w:numId w:val="28"/>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车载音频服务支持指向型抗噪能力；</w:t>
            </w:r>
          </w:p>
          <w:p>
            <w:pPr>
              <w:pStyle w:val="58"/>
              <w:numPr>
                <w:ilvl w:val="0"/>
                <w:numId w:val="28"/>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车载音频服务兼容的灵敏度范围：-38dB±3dB；</w:t>
            </w:r>
          </w:p>
          <w:p>
            <w:pPr>
              <w:pStyle w:val="58"/>
              <w:numPr>
                <w:ilvl w:val="0"/>
                <w:numId w:val="28"/>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车载音频服务兼容的频段范围：20Hz-2KHz；</w:t>
            </w:r>
          </w:p>
          <w:p>
            <w:pPr>
              <w:pStyle w:val="58"/>
              <w:numPr>
                <w:ilvl w:val="0"/>
                <w:numId w:val="28"/>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车载音频服务支持的通讯能力：蓝牙。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车载视频服务</w:t>
            </w:r>
          </w:p>
        </w:tc>
        <w:tc>
          <w:tcPr>
            <w:tcW w:w="7818" w:type="dxa"/>
            <w:tcBorders>
              <w:top w:val="single" w:color="auto" w:sz="4" w:space="0"/>
              <w:left w:val="single" w:color="auto" w:sz="4" w:space="0"/>
              <w:bottom w:val="single" w:color="auto" w:sz="4" w:space="0"/>
              <w:right w:val="single" w:color="auto" w:sz="4" w:space="0"/>
            </w:tcBorders>
            <w:vAlign w:val="bottom"/>
          </w:tcPr>
          <w:p>
            <w:pPr>
              <w:pStyle w:val="58"/>
              <w:numPr>
                <w:ilvl w:val="0"/>
                <w:numId w:val="29"/>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提供用于急救场景、具有视频交互功能的车载智视频服务；</w:t>
            </w:r>
          </w:p>
          <w:p>
            <w:pPr>
              <w:pStyle w:val="58"/>
              <w:numPr>
                <w:ilvl w:val="0"/>
                <w:numId w:val="29"/>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车载视频服务的像素能力：829万；</w:t>
            </w:r>
          </w:p>
          <w:p>
            <w:pPr>
              <w:pStyle w:val="58"/>
              <w:numPr>
                <w:ilvl w:val="0"/>
                <w:numId w:val="29"/>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 xml:space="preserve">车载视频服务的对焦服务能力：无畸变镜头，三种镜头视场角可选46°/84°/120°； </w:t>
            </w:r>
          </w:p>
          <w:p>
            <w:pPr>
              <w:pStyle w:val="58"/>
              <w:numPr>
                <w:ilvl w:val="0"/>
                <w:numId w:val="29"/>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车载视频服务的色彩空间/压缩标准：H.264 / MJPEG /YUY2 /NV12；</w:t>
            </w:r>
          </w:p>
          <w:p>
            <w:pPr>
              <w:pStyle w:val="58"/>
              <w:numPr>
                <w:ilvl w:val="0"/>
                <w:numId w:val="29"/>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车载视频服务兼容的视频制式：4k@30fps/25fps, 1080p@30fps/25fps, 720p@30fps/25fps, 960x540p@30fps/25fps, 640x360p@30fps/25fps等；</w:t>
            </w:r>
          </w:p>
          <w:p>
            <w:pPr>
              <w:pStyle w:val="58"/>
              <w:numPr>
                <w:ilvl w:val="0"/>
                <w:numId w:val="29"/>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车载视频服务支持内置领先图像识别与跟踪算法，无需任何辅助定位摄像机或跟踪主机即可实现平滑自然的EPTZ跟踪效果，每台摄像机可同时输出2路1080P码流的图像；</w:t>
            </w:r>
          </w:p>
          <w:p>
            <w:pPr>
              <w:pStyle w:val="58"/>
              <w:numPr>
                <w:ilvl w:val="0"/>
                <w:numId w:val="29"/>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车载视频服务提供多种风格选项可一键式设置，以适应多种灯光的要求，必须支持LED灯光显示风格。支持网口音视频编码输出，支持H.265/H.264/MJEPG三种视频编码标准，音频AAC编码标准；支持RTSP、RTMP、Onvif、组播等网络协议；网络视频编码码率最大可支持100Mbps，网络音频编码码率最大可支持128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车载5G网络服务</w:t>
            </w:r>
          </w:p>
        </w:tc>
        <w:tc>
          <w:tcPr>
            <w:tcW w:w="7818" w:type="dxa"/>
            <w:tcBorders>
              <w:top w:val="single" w:color="auto" w:sz="4" w:space="0"/>
              <w:left w:val="single" w:color="auto" w:sz="4" w:space="0"/>
              <w:bottom w:val="single" w:color="auto" w:sz="4" w:space="0"/>
              <w:right w:val="single" w:color="auto" w:sz="4" w:space="0"/>
            </w:tcBorders>
            <w:vAlign w:val="bottom"/>
          </w:tcPr>
          <w:p>
            <w:pPr>
              <w:numPr>
                <w:ilvl w:val="0"/>
                <w:numId w:val="30"/>
              </w:num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用于急救场景、具有 5G 转化为 WIFI 的车载网络服务；</w:t>
            </w:r>
          </w:p>
          <w:p>
            <w:pPr>
              <w:numPr>
                <w:ilvl w:val="0"/>
                <w:numId w:val="30"/>
              </w:numPr>
              <w:spacing w:line="48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网络服务支持的WiFi能力：Wi-Fi 6,2.4G&amp;5G 双频,2*2 MIMO,1.775Gbps,32位用户；</w:t>
            </w:r>
          </w:p>
          <w:p>
            <w:pPr>
              <w:pStyle w:val="58"/>
              <w:numPr>
                <w:ilvl w:val="0"/>
                <w:numId w:val="30"/>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sz w:val="21"/>
                <w:szCs w:val="21"/>
                <w:highlight w:val="none"/>
              </w:rPr>
              <w:t>网络服务支持的网络构架：NSA/SA 。</w:t>
            </w:r>
          </w:p>
          <w:p>
            <w:pPr>
              <w:pStyle w:val="58"/>
              <w:numPr>
                <w:ilvl w:val="0"/>
                <w:numId w:val="30"/>
              </w:numPr>
              <w:autoSpaceDN w:val="0"/>
              <w:spacing w:line="480" w:lineRule="exact"/>
              <w:ind w:firstLineChars="0"/>
              <w:contextualSpacing/>
              <w:textAlignment w:val="center"/>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天线服务能力：4*4 MINO 5G天线+2*2 MINO Wi-Fi天线。</w:t>
            </w:r>
          </w:p>
        </w:tc>
      </w:tr>
    </w:tbl>
    <w:p>
      <w:pPr>
        <w:pStyle w:val="4"/>
        <w:spacing w:before="0" w:line="440" w:lineRule="exact"/>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br w:type="page"/>
      </w:r>
      <w:r>
        <w:rPr>
          <w:rFonts w:hint="eastAsia" w:ascii="微软雅黑" w:hAnsi="微软雅黑" w:eastAsia="微软雅黑" w:cs="微软雅黑"/>
          <w:b/>
          <w:bCs/>
          <w:color w:val="auto"/>
          <w:sz w:val="21"/>
          <w:szCs w:val="21"/>
          <w:highlight w:val="none"/>
        </w:rPr>
        <w:t>（六）VR静态全景展示</w:t>
      </w:r>
    </w:p>
    <w:p>
      <w:pPr>
        <w:pStyle w:val="23"/>
        <w:spacing w:before="0" w:after="0" w:line="44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1、功能要求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功能要求</w:t>
            </w:r>
          </w:p>
        </w:tc>
        <w:tc>
          <w:tcPr>
            <w:tcW w:w="7818" w:type="dxa"/>
            <w:tcBorders>
              <w:top w:val="single" w:color="auto" w:sz="4" w:space="0"/>
              <w:left w:val="single" w:color="auto" w:sz="4" w:space="0"/>
              <w:bottom w:val="single" w:color="auto" w:sz="4" w:space="0"/>
              <w:right w:val="single" w:color="auto" w:sz="4" w:space="0"/>
            </w:tcBorders>
            <w:vAlign w:val="center"/>
          </w:tcPr>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1.菜单导航</w:t>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功能包括（但不限于）场景快速切换、地图导航调用、语音提示、背景音乐开关、帮助等。</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2.开场快捷目录导航</w:t>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首页开场需设置快捷目录导航，实现快速定位到特定区域。</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3.控制按钮</w:t>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包括上下左右平移、放大缩小、停止开始自动转动浏览、回到原始位置、全屏等。</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4.声音控制</w:t>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可以实现对背景音乐的停止、播放、音量大小的控制。</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5.演示功能</w:t>
            </w:r>
            <w:r>
              <w:rPr>
                <w:rFonts w:hint="eastAsia" w:ascii="微软雅黑" w:hAnsi="微软雅黑" w:eastAsia="微软雅黑" w:cs="微软雅黑"/>
                <w:color w:val="auto"/>
                <w:kern w:val="0"/>
                <w:highlight w:val="none"/>
              </w:rPr>
              <w:tab/>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具备控制是否自动进入下一个场景功能</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6.场景分组</w:t>
            </w:r>
            <w:r>
              <w:rPr>
                <w:rFonts w:hint="eastAsia" w:ascii="微软雅黑" w:hAnsi="微软雅黑" w:eastAsia="微软雅黑" w:cs="微软雅黑"/>
                <w:color w:val="auto"/>
                <w:kern w:val="0"/>
                <w:highlight w:val="none"/>
              </w:rPr>
              <w:tab/>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根据不同主体功能区域分类显示</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7.语音解说</w:t>
            </w:r>
            <w:r>
              <w:rPr>
                <w:rFonts w:hint="eastAsia" w:ascii="微软雅黑" w:hAnsi="微软雅黑" w:eastAsia="微软雅黑" w:cs="微软雅黑"/>
                <w:color w:val="auto"/>
                <w:kern w:val="0"/>
                <w:highlight w:val="none"/>
              </w:rPr>
              <w:tab/>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为场景添加整体及独立模块的现有语音讲解</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8.图文注释</w:t>
            </w:r>
            <w:r>
              <w:rPr>
                <w:rFonts w:hint="eastAsia" w:ascii="微软雅黑" w:hAnsi="微软雅黑" w:eastAsia="微软雅黑" w:cs="微软雅黑"/>
                <w:color w:val="auto"/>
                <w:kern w:val="0"/>
                <w:highlight w:val="none"/>
              </w:rPr>
              <w:tab/>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在全景场景中的重要场地和装置以图片或文字的形式介绍客户产品及其它项目</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9.电子图集</w:t>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以电子图集的形式做展示</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10.离线定制开发</w:t>
            </w:r>
            <w:r>
              <w:rPr>
                <w:rFonts w:hint="eastAsia" w:ascii="微软雅黑" w:hAnsi="微软雅黑" w:eastAsia="微软雅黑" w:cs="微软雅黑"/>
                <w:color w:val="auto"/>
                <w:kern w:val="0"/>
                <w:highlight w:val="none"/>
              </w:rPr>
              <w:tab/>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将全景离线版根据用途及模块定制开发</w:t>
            </w:r>
          </w:p>
          <w:p>
            <w:pPr>
              <w:pStyle w:val="54"/>
              <w:tabs>
                <w:tab w:val="left" w:pos="0"/>
              </w:tabs>
              <w:spacing w:line="480" w:lineRule="exact"/>
              <w:ind w:firstLine="0" w:firstLineChars="0"/>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11.离线程序打包</w:t>
            </w:r>
            <w:r>
              <w:rPr>
                <w:rFonts w:hint="eastAsia" w:ascii="微软雅黑" w:hAnsi="微软雅黑" w:eastAsia="微软雅黑" w:cs="微软雅黑"/>
                <w:color w:val="auto"/>
                <w:kern w:val="0"/>
                <w:highlight w:val="none"/>
              </w:rPr>
              <w:tab/>
            </w:r>
          </w:p>
          <w:p>
            <w:pPr>
              <w:pStyle w:val="54"/>
              <w:tabs>
                <w:tab w:val="left" w:pos="0"/>
              </w:tabs>
              <w:spacing w:line="480" w:lineRule="exact"/>
              <w:contextualSpacing/>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将全景内容离线导出，在无网络环境下使用</w:t>
            </w:r>
          </w:p>
        </w:tc>
      </w:tr>
    </w:tbl>
    <w:p>
      <w:pPr>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br w:type="page"/>
      </w:r>
    </w:p>
    <w:p>
      <w:pPr>
        <w:pStyle w:val="23"/>
        <w:spacing w:before="0" w:after="0" w:line="46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2、技术要求</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6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技术要求</w:t>
            </w:r>
          </w:p>
        </w:tc>
        <w:tc>
          <w:tcPr>
            <w:tcW w:w="781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★1.无人机高空拍摄</w:t>
            </w:r>
          </w:p>
          <w:p>
            <w:pPr>
              <w:pStyle w:val="54"/>
              <w:tabs>
                <w:tab w:val="left" w:pos="0"/>
              </w:tabs>
              <w:snapToGrid w:val="0"/>
              <w:spacing w:line="460" w:lineRule="exact"/>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采用无人机，获取单张不低于2000万像素的图像，并具备航拍资质（</w:t>
            </w:r>
            <w:r>
              <w:rPr>
                <w:rFonts w:hint="eastAsia" w:ascii="微软雅黑" w:hAnsi="微软雅黑" w:eastAsia="微软雅黑" w:cs="微软雅黑"/>
                <w:color w:val="auto"/>
                <w:highlight w:val="none"/>
              </w:rPr>
              <w:t>提供航拍资质或授权的资质证明</w:t>
            </w:r>
            <w:r>
              <w:rPr>
                <w:rFonts w:hint="eastAsia" w:ascii="微软雅黑" w:hAnsi="微软雅黑" w:eastAsia="微软雅黑" w:cs="微软雅黑"/>
                <w:color w:val="auto"/>
                <w:kern w:val="0"/>
                <w:highlight w:val="none"/>
              </w:rPr>
              <w:t>）</w:t>
            </w:r>
          </w:p>
          <w:p>
            <w:pPr>
              <w:spacing w:line="46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2.取景原始素材及后期制作要求</w:t>
            </w:r>
          </w:p>
          <w:p>
            <w:pPr>
              <w:spacing w:before="240"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 xml:space="preserve">1）全景图片：同一点位需采集至少5张图片，单张照片像素不低于4000万，保证后期拼接360°无死角，画面不畸变。 </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 xml:space="preserve">2）全景图后期制作要求： </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a）全景图片的格式：jpg或Tiff（高位彩色图像格式）</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b）全景图片的分辨率：15000×7500px</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c）全景图片的文件大小：不低于50M（JPG格式）；不低于70M（TIFF格式）；</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d）图片需作基本调校处理，不出现倾斜、横置、倒置、镜像、污损、白边、接缝、偏色等现象。</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 xml:space="preserve">3）高清视频制作要求： </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a）视频的编码格式：H264/MP4；</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b）视频的分辨率：1920×1080（1080P）</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c）码率：不低于10000kbps</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d）视频的帧率：不低于25帧/秒</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4）平面图片格式要求：</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a）平面图片的格式：jpg或Tiff（高位彩色图像格式）</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b）平面图片的尺寸：不低于7500×5000px</w:t>
            </w:r>
          </w:p>
          <w:p>
            <w:pPr>
              <w:spacing w:line="460" w:lineRule="exact"/>
              <w:ind w:firstLine="420" w:firstLineChars="20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c）平面图片的大小：不低于5M（JPG格式）；不低于10M（TIFF格式）；</w:t>
            </w:r>
          </w:p>
          <w:p>
            <w:pPr>
              <w:spacing w:line="46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3．360度全景漫游系统不得使用第三方网站生成的内容，需自行开发，使用krpano、HTML，CSS3，JavaScript，PHP、three.js等原生工具，全景图片需分辨率高，容错率高，不带有第三方logo。</w:t>
            </w:r>
          </w:p>
          <w:p>
            <w:pPr>
              <w:pStyle w:val="54"/>
              <w:tabs>
                <w:tab w:val="left" w:pos="0"/>
              </w:tabs>
              <w:snapToGrid w:val="0"/>
              <w:spacing w:line="460" w:lineRule="exact"/>
              <w:ind w:firstLine="0" w:firstLineChars="0"/>
              <w:jc w:val="left"/>
              <w:textAlignment w:val="center"/>
              <w:rPr>
                <w:rFonts w:ascii="微软雅黑" w:hAnsi="微软雅黑" w:eastAsia="微软雅黑" w:cs="微软雅黑"/>
                <w:color w:val="auto"/>
                <w:kern w:val="0"/>
                <w:highlight w:val="none"/>
              </w:rPr>
            </w:pPr>
            <w:r>
              <w:rPr>
                <w:rFonts w:hint="eastAsia" w:ascii="微软雅黑" w:hAnsi="微软雅黑" w:eastAsia="微软雅黑" w:cs="微软雅黑"/>
                <w:color w:val="auto"/>
                <w:kern w:val="0"/>
                <w:highlight w:val="none"/>
              </w:rPr>
              <w:t>4．不少于35张，不多于40张地拍照片；不少于2张，不多于4张航拍照片；不少于1次，不多于2次现场拍摄</w:t>
            </w:r>
          </w:p>
        </w:tc>
      </w:tr>
    </w:tbl>
    <w:p>
      <w:pPr>
        <w:pStyle w:val="4"/>
        <w:spacing w:beforeLines="100" w:line="480" w:lineRule="exact"/>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br w:type="page"/>
      </w:r>
      <w:r>
        <w:rPr>
          <w:rFonts w:hint="eastAsia" w:ascii="微软雅黑" w:hAnsi="微软雅黑" w:eastAsia="微软雅黑" w:cs="微软雅黑"/>
          <w:b/>
          <w:bCs/>
          <w:color w:val="auto"/>
          <w:sz w:val="21"/>
          <w:szCs w:val="21"/>
          <w:highlight w:val="none"/>
        </w:rPr>
        <w:t>（七）、基层治理</w:t>
      </w:r>
    </w:p>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1、智慧党建</w:t>
      </w:r>
    </w:p>
    <w:tbl>
      <w:tblPr>
        <w:tblStyle w:val="3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bookmarkStart w:id="404" w:name="_Hlk86400289"/>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功能要求</w:t>
            </w:r>
          </w:p>
        </w:tc>
        <w:tc>
          <w:tcPr>
            <w:tcW w:w="7818" w:type="dxa"/>
            <w:tcBorders>
              <w:top w:val="single" w:color="auto" w:sz="4" w:space="0"/>
              <w:left w:val="single" w:color="auto" w:sz="4" w:space="0"/>
              <w:bottom w:val="single" w:color="auto" w:sz="4" w:space="0"/>
              <w:right w:val="single" w:color="auto" w:sz="4" w:space="0"/>
            </w:tcBorders>
            <w:vAlign w:val="center"/>
          </w:tcPr>
          <w:p>
            <w:pPr>
              <w:pStyle w:val="51"/>
              <w:numPr>
                <w:ilvl w:val="1"/>
                <w:numId w:val="31"/>
              </w:numPr>
              <w:spacing w:line="480" w:lineRule="exact"/>
              <w:ind w:left="0" w:firstLine="0"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党组织管理</w:t>
            </w:r>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支持按照基层党支部实际情况， 管理员新增、修改党支部信息。</w:t>
            </w:r>
          </w:p>
          <w:p>
            <w:pPr>
              <w:pStyle w:val="51"/>
              <w:numPr>
                <w:ilvl w:val="1"/>
                <w:numId w:val="31"/>
              </w:numPr>
              <w:spacing w:line="480" w:lineRule="exact"/>
              <w:ind w:left="0" w:firstLine="0"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党员管理</w:t>
            </w:r>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支持党建干事按照党员发展的五个阶段新增、修改党员信息；支持党建干事按照党员发展流程补充完善党员发展所需要的阶段性材料，根据党员发展流程分类管理党员信息；支持对党员分类情况进行图形展示、总量指标统计。</w:t>
            </w:r>
          </w:p>
          <w:p>
            <w:pPr>
              <w:pStyle w:val="51"/>
              <w:numPr>
                <w:ilvl w:val="1"/>
                <w:numId w:val="31"/>
              </w:numPr>
              <w:spacing w:line="480" w:lineRule="exact"/>
              <w:ind w:left="0" w:firstLine="0"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 xml:space="preserve">干部管理 </w:t>
            </w:r>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构建干部信息库，支持管理员按照基层干部管理要求，新增、修改干部信息，包含基本信息、培养信息、奖惩信息、工作履历信等。</w:t>
            </w:r>
          </w:p>
          <w:p>
            <w:pPr>
              <w:pStyle w:val="51"/>
              <w:numPr>
                <w:ilvl w:val="1"/>
                <w:numId w:val="31"/>
              </w:numPr>
              <w:spacing w:line="480" w:lineRule="exact"/>
              <w:ind w:left="0" w:firstLine="0" w:firstLineChars="0"/>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通知公告</w:t>
            </w:r>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通知公告模块通过通知公告的起草、审核、发布、提醒、查阅功能，构建党内信息公告栏，实现通知公告的及时快速下达，自动提醒党员查阅，有效避免重要通知的遗漏，对阅读情况实时统计，保障通知及时接收。</w:t>
            </w:r>
          </w:p>
        </w:tc>
      </w:tr>
      <w:bookmarkEnd w:id="404"/>
    </w:tbl>
    <w:p>
      <w:pPr>
        <w:spacing w:before="240" w:after="60" w:line="480" w:lineRule="exact"/>
        <w:jc w:val="left"/>
        <w:outlineLvl w:val="2"/>
        <w:rPr>
          <w:rFonts w:ascii="微软雅黑" w:hAnsi="微软雅黑" w:eastAsia="微软雅黑" w:cs="微软雅黑"/>
          <w:b/>
          <w:bCs/>
          <w:color w:val="auto"/>
          <w:kern w:val="28"/>
          <w:szCs w:val="21"/>
          <w:highlight w:val="none"/>
        </w:rPr>
      </w:pPr>
      <w:r>
        <w:rPr>
          <w:rFonts w:hint="eastAsia" w:ascii="微软雅黑" w:hAnsi="微软雅黑" w:eastAsia="微软雅黑" w:cs="微软雅黑"/>
          <w:b/>
          <w:bCs/>
          <w:color w:val="auto"/>
          <w:kern w:val="28"/>
          <w:szCs w:val="21"/>
          <w:highlight w:val="none"/>
        </w:rPr>
        <w:t>2、基层治理</w:t>
      </w:r>
    </w:p>
    <w:tbl>
      <w:tblPr>
        <w:tblStyle w:val="3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功能要求</w:t>
            </w:r>
          </w:p>
        </w:tc>
        <w:tc>
          <w:tcPr>
            <w:tcW w:w="7818" w:type="dxa"/>
            <w:tcBorders>
              <w:top w:val="single" w:color="auto" w:sz="4" w:space="0"/>
              <w:left w:val="single" w:color="auto" w:sz="4" w:space="0"/>
              <w:bottom w:val="single" w:color="auto" w:sz="4" w:space="0"/>
              <w:right w:val="single" w:color="auto" w:sz="4" w:space="0"/>
            </w:tcBorders>
            <w:vAlign w:val="center"/>
          </w:tcPr>
          <w:p>
            <w:pPr>
              <w:pStyle w:val="51"/>
              <w:numPr>
                <w:ilvl w:val="0"/>
                <w:numId w:val="32"/>
              </w:numPr>
              <w:spacing w:line="480" w:lineRule="exact"/>
              <w:ind w:firstLineChars="0"/>
              <w:rPr>
                <w:rFonts w:ascii="微软雅黑" w:hAnsi="微软雅黑" w:eastAsia="微软雅黑" w:cs="微软雅黑"/>
                <w:b/>
                <w:bCs/>
                <w:color w:val="auto"/>
                <w:szCs w:val="21"/>
                <w:highlight w:val="none"/>
              </w:rPr>
            </w:pPr>
            <w:bookmarkStart w:id="405" w:name="_Toc18779"/>
            <w:r>
              <w:rPr>
                <w:rFonts w:hint="eastAsia" w:ascii="微软雅黑" w:hAnsi="微软雅黑" w:eastAsia="微软雅黑" w:cs="微软雅黑"/>
                <w:b/>
                <w:bCs/>
                <w:color w:val="auto"/>
                <w:szCs w:val="21"/>
                <w:highlight w:val="none"/>
              </w:rPr>
              <w:t>人口信息管理</w:t>
            </w:r>
            <w:bookmarkEnd w:id="405"/>
          </w:p>
          <w:p>
            <w:pPr>
              <w:spacing w:line="480" w:lineRule="exact"/>
              <w:ind w:firstLine="420" w:firstLineChars="200"/>
              <w:rPr>
                <w:rFonts w:ascii="微软雅黑" w:hAnsi="微软雅黑" w:eastAsia="微软雅黑" w:cs="微软雅黑"/>
                <w:color w:val="auto"/>
                <w:szCs w:val="21"/>
                <w:highlight w:val="none"/>
              </w:rPr>
            </w:pPr>
            <w:bookmarkStart w:id="406" w:name="_Toc4826"/>
            <w:r>
              <w:rPr>
                <w:rFonts w:hint="eastAsia" w:ascii="微软雅黑" w:hAnsi="微软雅黑" w:eastAsia="微软雅黑" w:cs="微软雅黑"/>
                <w:color w:val="auto"/>
                <w:szCs w:val="21"/>
                <w:highlight w:val="none"/>
              </w:rPr>
              <w:t>基层治理最大的难点在于人口管理，如何实现人口管理、精确区分人口类型，算清人口大账是基层治理的当务之急，平台紧密结合基层工作实际，将人口精准分类，增设各类智能算法，可以全面保障人口信息的完整性与正确率。</w:t>
            </w:r>
          </w:p>
          <w:p>
            <w:pPr>
              <w:spacing w:line="480" w:lineRule="exact"/>
              <w:ind w:left="42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●常住人口管理</w:t>
            </w:r>
            <w:bookmarkEnd w:id="406"/>
          </w:p>
          <w:p>
            <w:pPr>
              <w:spacing w:line="480" w:lineRule="exact"/>
              <w:ind w:left="42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用于管理、维护常住人口信息。包含常驻人口数据批量导入、指定人员数据</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新增修改、数据一键导出、智能算法校验、人口业务办理、基本信息检索、关联信息添加等。常驻人口即当前村社区管辖范围下长期居住人口数，具体算法为：常驻人口=户籍人口+所有6个月以上关联房屋的流入人口-流出人口。</w:t>
            </w:r>
          </w:p>
          <w:p>
            <w:pPr>
              <w:spacing w:line="480" w:lineRule="exact"/>
              <w:ind w:left="420"/>
              <w:rPr>
                <w:rFonts w:ascii="微软雅黑" w:hAnsi="微软雅黑" w:eastAsia="微软雅黑" w:cs="微软雅黑"/>
                <w:color w:val="auto"/>
                <w:szCs w:val="21"/>
                <w:highlight w:val="none"/>
              </w:rPr>
            </w:pPr>
            <w:bookmarkStart w:id="407" w:name="_Toc3369"/>
            <w:r>
              <w:rPr>
                <w:rFonts w:hint="eastAsia" w:ascii="微软雅黑" w:hAnsi="微软雅黑" w:eastAsia="微软雅黑" w:cs="微软雅黑"/>
                <w:color w:val="auto"/>
                <w:szCs w:val="21"/>
                <w:highlight w:val="none"/>
              </w:rPr>
              <w:t>●实有人口管理</w:t>
            </w:r>
            <w:bookmarkEnd w:id="407"/>
          </w:p>
          <w:p>
            <w:pPr>
              <w:spacing w:line="480" w:lineRule="exact"/>
              <w:ind w:left="42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用于管理、维护实有人口信息。包含实有人口数据新增修改、数据一键导出、</w:t>
            </w:r>
          </w:p>
          <w:p>
            <w:pPr>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智能算法校验、人口业务办理、基本信息检索、关联信息添加等。实有人口即当前村社区管辖范围下实有管理人口数，具体算法为：实有人口=户籍人口+所有7天以上关联房屋的流入人口-流出人口。</w:t>
            </w:r>
          </w:p>
          <w:p>
            <w:pPr>
              <w:spacing w:line="480" w:lineRule="exact"/>
              <w:ind w:firstLine="420" w:firstLineChars="200"/>
              <w:rPr>
                <w:rFonts w:ascii="微软雅黑" w:hAnsi="微软雅黑" w:eastAsia="微软雅黑" w:cs="微软雅黑"/>
                <w:color w:val="auto"/>
                <w:szCs w:val="21"/>
                <w:highlight w:val="none"/>
              </w:rPr>
            </w:pPr>
            <w:bookmarkStart w:id="408" w:name="_Toc30279"/>
            <w:r>
              <w:rPr>
                <w:rFonts w:hint="eastAsia" w:ascii="微软雅黑" w:hAnsi="微软雅黑" w:eastAsia="微软雅黑" w:cs="微软雅黑"/>
                <w:color w:val="auto"/>
                <w:szCs w:val="21"/>
                <w:highlight w:val="none"/>
              </w:rPr>
              <w:t>●户籍人口管理</w:t>
            </w:r>
            <w:bookmarkEnd w:id="408"/>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管理、维护户籍人口信息。包含户籍人口数据新增修改、数据一键导出、智能算法校验、人口业务办理、基本信息检索、关联信息添加等。户籍人口即当前村社区管辖范围下的实际户籍人口数（本县市户籍）。</w:t>
            </w:r>
          </w:p>
          <w:p>
            <w:pPr>
              <w:spacing w:line="480" w:lineRule="exact"/>
              <w:ind w:left="420"/>
              <w:rPr>
                <w:rFonts w:ascii="微软雅黑" w:hAnsi="微软雅黑" w:eastAsia="微软雅黑" w:cs="微软雅黑"/>
                <w:color w:val="auto"/>
                <w:szCs w:val="21"/>
                <w:highlight w:val="none"/>
              </w:rPr>
            </w:pPr>
            <w:bookmarkStart w:id="409" w:name="_Toc23931"/>
            <w:r>
              <w:rPr>
                <w:rFonts w:hint="eastAsia" w:ascii="微软雅黑" w:hAnsi="微软雅黑" w:eastAsia="微软雅黑" w:cs="微软雅黑"/>
                <w:color w:val="auto"/>
                <w:szCs w:val="21"/>
                <w:highlight w:val="none"/>
              </w:rPr>
              <w:t>●流动人口管理</w:t>
            </w:r>
            <w:bookmarkEnd w:id="409"/>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管理、维护长期、短期流入人口信息。包含长期流入人口数据新增修改、数据一键导出、智能算法校验、人口业务办理、基本信息检索、关联信息添加等。长期流入人口即当前村社区管辖范围下在本村社区定居六个月及六个月以上人群。短期流入人口即当前村社区管辖范围下在本村社区定居7天以下人群。</w:t>
            </w:r>
          </w:p>
          <w:p>
            <w:pPr>
              <w:spacing w:line="480" w:lineRule="exact"/>
              <w:ind w:left="420"/>
              <w:rPr>
                <w:rFonts w:ascii="微软雅黑" w:hAnsi="微软雅黑" w:eastAsia="微软雅黑" w:cs="微软雅黑"/>
                <w:color w:val="auto"/>
                <w:szCs w:val="21"/>
                <w:highlight w:val="none"/>
              </w:rPr>
            </w:pPr>
            <w:bookmarkStart w:id="410" w:name="_Toc3990"/>
            <w:r>
              <w:rPr>
                <w:rFonts w:hint="eastAsia" w:ascii="微软雅黑" w:hAnsi="微软雅黑" w:eastAsia="微软雅黑" w:cs="微软雅黑"/>
                <w:color w:val="auto"/>
                <w:szCs w:val="21"/>
                <w:highlight w:val="none"/>
              </w:rPr>
              <w:t>●外出人口记录管理</w:t>
            </w:r>
            <w:bookmarkEnd w:id="410"/>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用于汇总记录户籍人口流出情况，支持用户针对辖区户籍人口的流出情况，进行批量导入、数据导出、快速检索等功能。</w:t>
            </w:r>
          </w:p>
          <w:p>
            <w:pPr>
              <w:pStyle w:val="51"/>
              <w:numPr>
                <w:ilvl w:val="0"/>
                <w:numId w:val="32"/>
              </w:numPr>
              <w:spacing w:line="480" w:lineRule="exact"/>
              <w:ind w:firstLineChars="0"/>
              <w:rPr>
                <w:rFonts w:ascii="微软雅黑" w:hAnsi="微软雅黑" w:eastAsia="微软雅黑" w:cs="微软雅黑"/>
                <w:b/>
                <w:bCs/>
                <w:color w:val="auto"/>
                <w:szCs w:val="21"/>
                <w:highlight w:val="none"/>
              </w:rPr>
            </w:pPr>
            <w:bookmarkStart w:id="411" w:name="_Toc14960"/>
            <w:r>
              <w:rPr>
                <w:rFonts w:hint="eastAsia" w:ascii="微软雅黑" w:hAnsi="微软雅黑" w:eastAsia="微软雅黑" w:cs="微软雅黑"/>
                <w:b/>
                <w:bCs/>
                <w:color w:val="auto"/>
                <w:szCs w:val="21"/>
                <w:highlight w:val="none"/>
              </w:rPr>
              <w:t>房户家庭管理</w:t>
            </w:r>
            <w:bookmarkEnd w:id="411"/>
          </w:p>
          <w:p>
            <w:pPr>
              <w:spacing w:line="480" w:lineRule="exact"/>
              <w:ind w:left="420"/>
              <w:rPr>
                <w:rFonts w:ascii="微软雅黑" w:hAnsi="微软雅黑" w:eastAsia="微软雅黑" w:cs="微软雅黑"/>
                <w:color w:val="auto"/>
                <w:szCs w:val="21"/>
                <w:highlight w:val="none"/>
              </w:rPr>
            </w:pPr>
            <w:bookmarkStart w:id="412" w:name="_Toc12276"/>
            <w:r>
              <w:rPr>
                <w:rFonts w:hint="eastAsia" w:ascii="微软雅黑" w:hAnsi="微软雅黑" w:eastAsia="微软雅黑" w:cs="微软雅黑"/>
                <w:color w:val="auto"/>
                <w:szCs w:val="21"/>
                <w:highlight w:val="none"/>
              </w:rPr>
              <w:t>●户籍信息管理</w:t>
            </w:r>
            <w:bookmarkEnd w:id="412"/>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用于管理、维护户籍信息。包含户籍信息批量导入、数据新增修改、数据一键导出（Excel）、智能算法校验、户籍情况业务办理、基本信息检索、证明模板导出（word）等。</w:t>
            </w:r>
          </w:p>
          <w:p>
            <w:pPr>
              <w:spacing w:line="480" w:lineRule="exact"/>
              <w:ind w:firstLine="420" w:firstLineChars="200"/>
              <w:rPr>
                <w:rFonts w:ascii="微软雅黑" w:hAnsi="微软雅黑" w:eastAsia="微软雅黑" w:cs="微软雅黑"/>
                <w:color w:val="auto"/>
                <w:szCs w:val="21"/>
                <w:highlight w:val="none"/>
              </w:rPr>
            </w:pPr>
            <w:bookmarkStart w:id="413" w:name="_Toc10274"/>
            <w:r>
              <w:rPr>
                <w:rFonts w:hint="eastAsia" w:ascii="微软雅黑" w:hAnsi="微软雅黑" w:eastAsia="微软雅黑" w:cs="微软雅黑"/>
                <w:color w:val="auto"/>
                <w:szCs w:val="21"/>
                <w:highlight w:val="none"/>
              </w:rPr>
              <w:t>●家庭信息管理</w:t>
            </w:r>
            <w:bookmarkEnd w:id="413"/>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用于管理、维护家庭信息。包含家庭信息数据新增修改、数据一键导出（exel）、智能算法校验、家庭情况业务办理、基本信息检索、家庭信息删除等。</w:t>
            </w:r>
          </w:p>
          <w:p>
            <w:pPr>
              <w:spacing w:line="480" w:lineRule="exact"/>
              <w:ind w:firstLine="420" w:firstLineChars="200"/>
              <w:rPr>
                <w:rFonts w:ascii="微软雅黑" w:hAnsi="微软雅黑" w:eastAsia="微软雅黑" w:cs="微软雅黑"/>
                <w:color w:val="auto"/>
                <w:szCs w:val="21"/>
                <w:highlight w:val="none"/>
              </w:rPr>
            </w:pPr>
            <w:bookmarkStart w:id="414" w:name="_Toc17561"/>
            <w:r>
              <w:rPr>
                <w:rFonts w:hint="eastAsia" w:ascii="微软雅黑" w:hAnsi="微软雅黑" w:eastAsia="微软雅黑" w:cs="微软雅黑"/>
                <w:color w:val="auto"/>
                <w:szCs w:val="21"/>
                <w:highlight w:val="none"/>
              </w:rPr>
              <w:t>●房屋信息管理</w:t>
            </w:r>
            <w:bookmarkEnd w:id="414"/>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用于管理、维护房屋信息。包含房屋信息批量导入、数据新增修改、智能算法校验、房屋情况业务办理、基本信息检索等。</w:t>
            </w:r>
            <w:bookmarkStart w:id="415" w:name="_Toc29342"/>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●房屋分布情况</w:t>
            </w:r>
            <w:bookmarkEnd w:id="415"/>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用于展示、查询房屋分布信息。基于GPS定位技术，实现辖区房屋分布全量展示，支持用户通过平台实时掌握辖区房屋数量与定位，每个房屋定位信息可通过点击方式来进行查看房屋及关联家庭人口信息等。</w:t>
            </w:r>
            <w:bookmarkStart w:id="416" w:name="_Toc26368"/>
          </w:p>
          <w:p>
            <w:pPr>
              <w:pStyle w:val="51"/>
              <w:numPr>
                <w:ilvl w:val="0"/>
                <w:numId w:val="32"/>
              </w:numPr>
              <w:spacing w:line="480" w:lineRule="exact"/>
              <w:ind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医疗养老保险</w:t>
            </w:r>
            <w:bookmarkEnd w:id="416"/>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用于按年度汇总展示辖区内人员医疗、养老保险缴费情况，包含缴纳方式、缴纳时间、缴纳地点等，支持用户进行医疗养老信息的新增修改、基本信息检索、数据导出等功能。</w:t>
            </w:r>
          </w:p>
          <w:p>
            <w:pPr>
              <w:pStyle w:val="51"/>
              <w:numPr>
                <w:ilvl w:val="0"/>
                <w:numId w:val="32"/>
              </w:numPr>
              <w:spacing w:line="480" w:lineRule="exact"/>
              <w:ind w:firstLineChars="0"/>
              <w:rPr>
                <w:rFonts w:ascii="微软雅黑" w:hAnsi="微软雅黑" w:eastAsia="微软雅黑" w:cs="微软雅黑"/>
                <w:b/>
                <w:bCs/>
                <w:color w:val="auto"/>
                <w:szCs w:val="21"/>
                <w:highlight w:val="none"/>
              </w:rPr>
            </w:pPr>
            <w:bookmarkStart w:id="417" w:name="_Toc13433"/>
            <w:r>
              <w:rPr>
                <w:rFonts w:hint="eastAsia" w:ascii="微软雅黑" w:hAnsi="微软雅黑" w:eastAsia="微软雅黑" w:cs="微软雅黑"/>
                <w:b/>
                <w:bCs/>
                <w:color w:val="auto"/>
                <w:szCs w:val="21"/>
                <w:highlight w:val="none"/>
              </w:rPr>
              <w:t>干部走访记录</w:t>
            </w:r>
            <w:bookmarkEnd w:id="417"/>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用于对干部入户走访情况进行精准管理，干部通过手机app端实时采集入户数据信息，管理员通过pc端可以实时查询、管理、统计、分析干部入户情况，进行居中调度。</w:t>
            </w:r>
          </w:p>
          <w:p>
            <w:pPr>
              <w:spacing w:line="480" w:lineRule="exact"/>
              <w:ind w:firstLine="420" w:firstLineChars="200"/>
              <w:rPr>
                <w:rFonts w:ascii="微软雅黑" w:hAnsi="微软雅黑" w:eastAsia="微软雅黑" w:cs="微软雅黑"/>
                <w:color w:val="auto"/>
                <w:szCs w:val="21"/>
                <w:highlight w:val="none"/>
              </w:rPr>
            </w:pPr>
            <w:bookmarkStart w:id="418" w:name="_Toc6756"/>
            <w:r>
              <w:rPr>
                <w:rFonts w:hint="eastAsia" w:ascii="微软雅黑" w:hAnsi="微软雅黑" w:eastAsia="微软雅黑" w:cs="微软雅黑"/>
                <w:color w:val="auto"/>
                <w:szCs w:val="21"/>
                <w:highlight w:val="none"/>
              </w:rPr>
              <w:t>●入户记录管理</w:t>
            </w:r>
            <w:bookmarkEnd w:id="418"/>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用于采集、汇总、展示干部入户记录情况。主要是对通过手机端入户走访的数据进行管理，在线审核。</w:t>
            </w:r>
            <w:bookmarkStart w:id="419" w:name="_Toc21262"/>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●接待记录管理</w:t>
            </w:r>
            <w:bookmarkEnd w:id="419"/>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用于采集、汇总、展示干部接待记录情况。主要是对通过手机端接待记录的数据进行管理，在线审核。</w:t>
            </w:r>
          </w:p>
          <w:p>
            <w:pPr>
              <w:pStyle w:val="51"/>
              <w:numPr>
                <w:ilvl w:val="0"/>
                <w:numId w:val="32"/>
              </w:numPr>
              <w:spacing w:line="480" w:lineRule="exact"/>
              <w:ind w:firstLineChars="0"/>
              <w:rPr>
                <w:rFonts w:ascii="微软雅黑" w:hAnsi="微软雅黑" w:eastAsia="微软雅黑" w:cs="微软雅黑"/>
                <w:b/>
                <w:bCs/>
                <w:color w:val="auto"/>
                <w:szCs w:val="21"/>
                <w:highlight w:val="none"/>
              </w:rPr>
            </w:pPr>
            <w:bookmarkStart w:id="420" w:name="_Toc10620"/>
            <w:r>
              <w:rPr>
                <w:rFonts w:hint="eastAsia" w:ascii="微软雅黑" w:hAnsi="微软雅黑" w:eastAsia="微软雅黑" w:cs="微软雅黑"/>
                <w:b/>
                <w:bCs/>
                <w:color w:val="auto"/>
                <w:szCs w:val="21"/>
                <w:highlight w:val="none"/>
              </w:rPr>
              <w:t>户厕摸排记录</w:t>
            </w:r>
            <w:bookmarkEnd w:id="420"/>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农村户厕改造数据的汇总、整合、统计、分析。针对国家农村厕所改造项目定制开发，给乡镇街道开展的摸排工作与信息提供了线上智能化的统计、分析功能。通过平台可以对辖区内户厕摸排信息进行实时掌握，针对户厕摸排情况支持用户批量导入、数据一键导出、基本信息检索、高级搜索、数据新增修改等功能。</w:t>
            </w:r>
          </w:p>
          <w:p>
            <w:pPr>
              <w:pStyle w:val="51"/>
              <w:numPr>
                <w:ilvl w:val="0"/>
                <w:numId w:val="32"/>
              </w:numPr>
              <w:spacing w:line="480" w:lineRule="exact"/>
              <w:ind w:firstLineChars="0"/>
              <w:rPr>
                <w:rFonts w:ascii="微软雅黑" w:hAnsi="微软雅黑" w:eastAsia="微软雅黑" w:cs="微软雅黑"/>
                <w:b/>
                <w:bCs/>
                <w:color w:val="auto"/>
                <w:szCs w:val="21"/>
                <w:highlight w:val="none"/>
              </w:rPr>
            </w:pPr>
            <w:bookmarkStart w:id="421" w:name="_Toc9695"/>
            <w:r>
              <w:rPr>
                <w:rFonts w:hint="eastAsia" w:ascii="微软雅黑" w:hAnsi="微软雅黑" w:eastAsia="微软雅黑" w:cs="微软雅黑"/>
                <w:b/>
                <w:bCs/>
                <w:color w:val="auto"/>
                <w:szCs w:val="21"/>
                <w:highlight w:val="none"/>
              </w:rPr>
              <w:t>困难诉求管理</w:t>
            </w:r>
            <w:bookmarkEnd w:id="421"/>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群众困难诉求处理，形成全流程线上闭环管理模式。支持群众通过登录小程序端，进行困难诉求的填写、拍照、定位及申报；支持后台管理员对群众困难诉求事件进行在线管理，包含事件的新建、转办、督办、办结等；支持群众困难诉求事件实时统计，包含指标统计、图形展示等。</w:t>
            </w:r>
            <w:bookmarkStart w:id="422" w:name="_Toc28381"/>
          </w:p>
          <w:p>
            <w:pPr>
              <w:pStyle w:val="51"/>
              <w:numPr>
                <w:ilvl w:val="0"/>
                <w:numId w:val="32"/>
              </w:numPr>
              <w:spacing w:line="480" w:lineRule="exact"/>
              <w:ind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网格划分管理</w:t>
            </w:r>
            <w:bookmarkEnd w:id="422"/>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构建基层网格化管理体系，实现以辖区网格、联户为管理单元、数据单元、服务单元、业务单元的管理机制，网格长可通过登录账号维护、管理网格及联户内人口信息数据，结合网格化管理机制有效明确工作职能和落实管理责任。网格划分主要结合当地实际情况，支持对村社区管理辖区进行逐级分解，一般划分方式为片区-网格-联户，根据实际情况进行建立，建立关系为片区&gt;网格&gt;联户。</w:t>
            </w:r>
          </w:p>
          <w:p>
            <w:pPr>
              <w:pStyle w:val="51"/>
              <w:numPr>
                <w:ilvl w:val="0"/>
                <w:numId w:val="32"/>
              </w:numPr>
              <w:spacing w:line="480" w:lineRule="exact"/>
              <w:ind w:firstLineChars="0"/>
              <w:rPr>
                <w:rFonts w:ascii="微软雅黑" w:hAnsi="微软雅黑" w:eastAsia="微软雅黑" w:cs="微软雅黑"/>
                <w:b/>
                <w:bCs/>
                <w:color w:val="auto"/>
                <w:szCs w:val="21"/>
                <w:highlight w:val="none"/>
              </w:rPr>
            </w:pPr>
            <w:bookmarkStart w:id="423" w:name="_Toc25054"/>
            <w:r>
              <w:rPr>
                <w:rFonts w:hint="eastAsia" w:ascii="微软雅黑" w:hAnsi="微软雅黑" w:eastAsia="微软雅黑" w:cs="微软雅黑"/>
                <w:b/>
                <w:bCs/>
                <w:color w:val="auto"/>
                <w:szCs w:val="21"/>
                <w:highlight w:val="none"/>
              </w:rPr>
              <w:t>标准地址管理</w:t>
            </w:r>
            <w:bookmarkEnd w:id="423"/>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构建标准地址库，实现区域完整性，助力基层精准定位辖区人口居住信息，后期通过标准地址库来扩展住址信息，实现干部精准掌握辖区所有人口房产信息、现居住地址信息等。标准地址信息由“行政区划+乡镇街道+街路巷+门牌号+小区（组）+楼排号+单元号+户室”等要素组成。</w:t>
            </w:r>
            <w:bookmarkStart w:id="424" w:name="_Toc17820"/>
          </w:p>
          <w:p>
            <w:pPr>
              <w:pStyle w:val="51"/>
              <w:numPr>
                <w:ilvl w:val="0"/>
                <w:numId w:val="32"/>
              </w:numPr>
              <w:spacing w:line="480" w:lineRule="exact"/>
              <w:ind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干部账号管理</w:t>
            </w:r>
            <w:bookmarkEnd w:id="424"/>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用于平台账号运行、管理等。支持用户按照实际情况新增、修改、锁定、分配、管理账号信息。</w:t>
            </w:r>
          </w:p>
          <w:p>
            <w:pPr>
              <w:pStyle w:val="51"/>
              <w:numPr>
                <w:ilvl w:val="0"/>
                <w:numId w:val="32"/>
              </w:numPr>
              <w:spacing w:line="480" w:lineRule="exact"/>
              <w:ind w:firstLineChars="0"/>
              <w:rPr>
                <w:rFonts w:ascii="微软雅黑" w:hAnsi="微软雅黑" w:eastAsia="微软雅黑" w:cs="微软雅黑"/>
                <w:b/>
                <w:bCs/>
                <w:color w:val="auto"/>
                <w:szCs w:val="21"/>
                <w:highlight w:val="none"/>
              </w:rPr>
            </w:pPr>
            <w:bookmarkStart w:id="425" w:name="_Toc12300"/>
            <w:r>
              <w:rPr>
                <w:rFonts w:hint="eastAsia" w:ascii="微软雅黑" w:hAnsi="微软雅黑" w:eastAsia="微软雅黑" w:cs="微软雅黑"/>
                <w:b/>
                <w:bCs/>
                <w:color w:val="auto"/>
                <w:szCs w:val="21"/>
                <w:highlight w:val="none"/>
              </w:rPr>
              <w:t>公告通知管理</w:t>
            </w:r>
            <w:bookmarkEnd w:id="425"/>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平台设置公告通知版块，支持手机客户端随时随地查看公告内容，方便各级领导干部实时掌握当前工作的重点，及时了解国家、自治区关于基层各项工作最新的政策法规，修正条例及当地出台的实施细则，辅助工作人员精准高效开展工作。</w:t>
            </w:r>
            <w:bookmarkStart w:id="426" w:name="_Toc3057"/>
          </w:p>
          <w:p>
            <w:pPr>
              <w:pStyle w:val="51"/>
              <w:numPr>
                <w:ilvl w:val="0"/>
                <w:numId w:val="32"/>
              </w:numPr>
              <w:spacing w:line="480" w:lineRule="exact"/>
              <w:ind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轮播图片管理</w:t>
            </w:r>
            <w:bookmarkEnd w:id="426"/>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平台设置轮播图片版块，支持手机客户端首页图片置顶，滚动播放，方便各级领导干部、群众及时了解当前工作的重点。</w:t>
            </w:r>
            <w:bookmarkStart w:id="427" w:name="_Toc21013"/>
          </w:p>
          <w:p>
            <w:pPr>
              <w:pStyle w:val="51"/>
              <w:numPr>
                <w:ilvl w:val="0"/>
                <w:numId w:val="32"/>
              </w:numPr>
              <w:spacing w:line="480" w:lineRule="exact"/>
              <w:ind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可视数据中心</w:t>
            </w:r>
            <w:bookmarkEnd w:id="427"/>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支持对具体数据指标的实时统计、汇总。包含民族比例、男女比例、年龄分布等等。支持依据专业人员的具体要求，提供对应的可视化图形展示功能，包含饼状图、柱状图、线形分析图等。</w:t>
            </w:r>
            <w:bookmarkStart w:id="428" w:name="_Toc12254"/>
          </w:p>
          <w:p>
            <w:pPr>
              <w:pStyle w:val="51"/>
              <w:numPr>
                <w:ilvl w:val="0"/>
                <w:numId w:val="32"/>
              </w:numPr>
              <w:spacing w:line="480" w:lineRule="exact"/>
              <w:ind w:firstLineChars="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智慧大屏展示</w:t>
            </w:r>
            <w:bookmarkEnd w:id="428"/>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利用平台数据进行智能分析、算法集成、智能数据探查等。让分析和展示智能化，通过大屏展示，实现各类数据的可视化动态展示，确保人、系统、数据之间的实时呈现。</w:t>
            </w:r>
          </w:p>
        </w:tc>
      </w:tr>
    </w:tbl>
    <w:p>
      <w:pPr>
        <w:spacing w:before="240" w:after="60" w:line="480" w:lineRule="exact"/>
        <w:jc w:val="left"/>
        <w:outlineLvl w:val="2"/>
        <w:rPr>
          <w:rFonts w:ascii="微软雅黑" w:hAnsi="微软雅黑" w:eastAsia="微软雅黑" w:cs="微软雅黑"/>
          <w:b/>
          <w:bCs/>
          <w:color w:val="auto"/>
          <w:kern w:val="28"/>
          <w:szCs w:val="21"/>
          <w:highlight w:val="none"/>
        </w:rPr>
      </w:pPr>
      <w:r>
        <w:rPr>
          <w:rFonts w:hint="eastAsia" w:ascii="微软雅黑" w:hAnsi="微软雅黑" w:eastAsia="微软雅黑" w:cs="微软雅黑"/>
          <w:b/>
          <w:bCs/>
          <w:color w:val="auto"/>
          <w:kern w:val="28"/>
          <w:szCs w:val="21"/>
          <w:highlight w:val="none"/>
        </w:rPr>
        <w:t>3、智慧民生</w:t>
      </w:r>
    </w:p>
    <w:tbl>
      <w:tblPr>
        <w:tblStyle w:val="3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功能要求</w:t>
            </w:r>
          </w:p>
        </w:tc>
        <w:tc>
          <w:tcPr>
            <w:tcW w:w="7818" w:type="dxa"/>
            <w:tcBorders>
              <w:top w:val="single" w:color="auto" w:sz="4" w:space="0"/>
              <w:left w:val="single" w:color="auto" w:sz="4" w:space="0"/>
              <w:bottom w:val="single" w:color="auto" w:sz="4" w:space="0"/>
              <w:right w:val="single" w:color="auto" w:sz="4" w:space="0"/>
            </w:tcBorders>
            <w:vAlign w:val="center"/>
          </w:tcPr>
          <w:p>
            <w:pPr>
              <w:numPr>
                <w:ilvl w:val="0"/>
                <w:numId w:val="33"/>
              </w:numPr>
              <w:spacing w:line="480" w:lineRule="exact"/>
              <w:ind w:left="0" w:firstLine="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困难诉求</w:t>
            </w:r>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支持干部通过登录手机app端，进行困难诉求的填写与申报；支持文字、语音、视频、图片形式上传困难诉求申报记录；支持后台管理员对困难诉求事件进行在线管理与审核。</w:t>
            </w:r>
          </w:p>
          <w:p>
            <w:pPr>
              <w:numPr>
                <w:ilvl w:val="0"/>
                <w:numId w:val="33"/>
              </w:numPr>
              <w:spacing w:line="480" w:lineRule="exact"/>
              <w:ind w:left="0" w:firstLine="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安全隐患</w:t>
            </w:r>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支持群众实时反馈安全隐患，管理员后台审核、线上办理，群众可通过手机端查看事件进度，了解当前安全隐患处理进度状态。</w:t>
            </w:r>
          </w:p>
          <w:p>
            <w:pPr>
              <w:numPr>
                <w:ilvl w:val="0"/>
                <w:numId w:val="33"/>
              </w:numPr>
              <w:spacing w:line="480" w:lineRule="exact"/>
              <w:ind w:left="0" w:firstLine="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志愿服务</w:t>
            </w:r>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支持按照新时代实践文明中心建设要求，打造志愿服务版块，包含pc端志愿者管理、志愿组织管理、志愿活动管理、服务管理等，手机app端和小程序志愿申请、活动接单、服务下单等业务；基于全量数据及信息化手段，实现志愿服务时长、积分等统计、分析管理等。</w:t>
            </w:r>
          </w:p>
          <w:p>
            <w:pPr>
              <w:numPr>
                <w:ilvl w:val="0"/>
                <w:numId w:val="33"/>
              </w:numPr>
              <w:spacing w:line="480" w:lineRule="exact"/>
              <w:ind w:left="0" w:firstLine="0"/>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生活缴费</w:t>
            </w:r>
          </w:p>
          <w:p>
            <w:pPr>
              <w:spacing w:line="480" w:lineRule="exact"/>
              <w:ind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以链接嵌入方式，实现群众可以通过移动端自助缴纳物业相关费用（水费、电费、燃气费等）。</w:t>
            </w:r>
          </w:p>
        </w:tc>
      </w:tr>
    </w:tbl>
    <w:p>
      <w:pPr>
        <w:spacing w:line="480" w:lineRule="exact"/>
        <w:rPr>
          <w:rFonts w:ascii="微软雅黑" w:hAnsi="微软雅黑" w:eastAsia="微软雅黑" w:cs="微软雅黑"/>
          <w:color w:val="auto"/>
          <w:szCs w:val="21"/>
          <w:highlight w:val="none"/>
        </w:rPr>
      </w:pPr>
    </w:p>
    <w:p>
      <w:pPr>
        <w:pStyle w:val="4"/>
        <w:spacing w:beforeLines="100" w:line="480" w:lineRule="exact"/>
        <w:jc w:val="left"/>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br w:type="page"/>
      </w:r>
      <w:r>
        <w:rPr>
          <w:rFonts w:hint="eastAsia" w:ascii="微软雅黑" w:hAnsi="微软雅黑" w:eastAsia="微软雅黑" w:cs="微软雅黑"/>
          <w:b/>
          <w:bCs/>
          <w:color w:val="auto"/>
          <w:sz w:val="21"/>
          <w:szCs w:val="21"/>
          <w:highlight w:val="none"/>
        </w:rPr>
        <w:t>（八）、智慧停车</w:t>
      </w:r>
    </w:p>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1、停车云管理平台</w:t>
      </w:r>
    </w:p>
    <w:tbl>
      <w:tblPr>
        <w:tblStyle w:val="3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8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802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802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元数据管理</w:t>
            </w:r>
          </w:p>
        </w:tc>
        <w:tc>
          <w:tcPr>
            <w:tcW w:w="8028" w:type="dxa"/>
            <w:tcBorders>
              <w:top w:val="single" w:color="auto" w:sz="4" w:space="0"/>
              <w:left w:val="single" w:color="auto" w:sz="4" w:space="0"/>
              <w:bottom w:val="single" w:color="auto" w:sz="4" w:space="0"/>
              <w:right w:val="single" w:color="auto" w:sz="4" w:space="0"/>
            </w:tcBorders>
            <w:vAlign w:val="bottom"/>
          </w:tcPr>
          <w:p>
            <w:pPr>
              <w:numPr>
                <w:ilvl w:val="0"/>
                <w:numId w:val="34"/>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具备完整的车辆信息结构，系统中所需要的统一、无歧义的基本数据单元（满足智慧城市数据元的名称、属性、标识、表示、值域等描述）；</w:t>
            </w:r>
          </w:p>
          <w:p>
            <w:pPr>
              <w:numPr>
                <w:ilvl w:val="0"/>
                <w:numId w:val="34"/>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依据停车场服务、停车场管理以及平台应用业务活动，对元数据进行组织，形成以活动为基础的数据集合；</w:t>
            </w:r>
          </w:p>
          <w:p>
            <w:pPr>
              <w:numPr>
                <w:ilvl w:val="0"/>
                <w:numId w:val="34"/>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具备完整停车场服务后台且可接入API，可接入CityCar相关App，实现数据交互；</w:t>
            </w:r>
          </w:p>
          <w:p>
            <w:pPr>
              <w:numPr>
                <w:ilvl w:val="0"/>
                <w:numId w:val="34"/>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具备标准数据字典的维护（包括数据元和术语库）的维护功能；</w:t>
            </w:r>
          </w:p>
          <w:p>
            <w:pPr>
              <w:numPr>
                <w:ilvl w:val="0"/>
                <w:numId w:val="34"/>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具备标准数据元、标准术语库以及代码映射表均可在应用过程中不断更新的功能；</w:t>
            </w:r>
          </w:p>
          <w:p>
            <w:pPr>
              <w:numPr>
                <w:ilvl w:val="0"/>
                <w:numId w:val="34"/>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具备标准数据与私有数据对照功能；</w:t>
            </w:r>
          </w:p>
          <w:p>
            <w:pPr>
              <w:numPr>
                <w:ilvl w:val="0"/>
                <w:numId w:val="34"/>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具备标准数据元格式转换功能；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主数据管理</w:t>
            </w:r>
          </w:p>
        </w:tc>
        <w:tc>
          <w:tcPr>
            <w:tcW w:w="8028" w:type="dxa"/>
            <w:tcBorders>
              <w:top w:val="single" w:color="auto" w:sz="4" w:space="0"/>
              <w:left w:val="single" w:color="auto" w:sz="4" w:space="0"/>
              <w:bottom w:val="single" w:color="auto" w:sz="4" w:space="0"/>
              <w:right w:val="single" w:color="auto" w:sz="4" w:space="0"/>
            </w:tcBorders>
            <w:vAlign w:val="bottom"/>
          </w:tcPr>
          <w:p>
            <w:pPr>
              <w:numPr>
                <w:ilvl w:val="0"/>
                <w:numId w:val="35"/>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在智慧停车云平台上构建停车主数据管理数据库，集中统一的管理全区域数据，通过对平台相关的各业务系统提供主数据服务，实现主数据的同步和匹配，包括车辆ID，In_time、Out_time、net_status、autopay、errmsg等；</w:t>
            </w:r>
          </w:p>
          <w:p>
            <w:pPr>
              <w:numPr>
                <w:ilvl w:val="0"/>
                <w:numId w:val="35"/>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遵循主数据的国际标准、国家标准、行业标准，主数据可由平台管理者进行注册、维护；</w:t>
            </w:r>
          </w:p>
          <w:p>
            <w:pPr>
              <w:numPr>
                <w:ilvl w:val="0"/>
                <w:numId w:val="35"/>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全体工作人员（包括集团管理方和车场管理方）和汇总数据管理，建立统一的管理权限等级等；</w:t>
            </w:r>
          </w:p>
          <w:p>
            <w:pPr>
              <w:numPr>
                <w:ilvl w:val="0"/>
                <w:numId w:val="35"/>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支持从停车场现有业务系统同步人员、车牌、电话、车位号、身份证号等相关信息，建立与主数据同步的对应管理；</w:t>
            </w:r>
          </w:p>
          <w:p>
            <w:pPr>
              <w:numPr>
                <w:ilvl w:val="0"/>
                <w:numId w:val="35"/>
              </w:num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预置停车场常用的统计指标字典（包括：车位、月卡、白名单、统计口径等）；</w:t>
            </w:r>
          </w:p>
          <w:p>
            <w:pPr>
              <w:numPr>
                <w:ilvl w:val="0"/>
                <w:numId w:val="35"/>
              </w:numPr>
              <w:autoSpaceDN w:val="0"/>
              <w:spacing w:line="480" w:lineRule="exact"/>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具备指标信息的新增、修改、维护功能；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rPr>
                <w:rFonts w:ascii="微软雅黑" w:hAnsi="微软雅黑" w:eastAsia="微软雅黑" w:cs="微软雅黑"/>
                <w:color w:val="auto"/>
                <w:szCs w:val="21"/>
                <w:highlight w:val="none"/>
              </w:rPr>
            </w:pPr>
            <w:r>
              <w:rPr>
                <w:rFonts w:hint="eastAsia" w:ascii="微软雅黑" w:hAnsi="微软雅黑" w:eastAsia="微软雅黑" w:cs="微软雅黑"/>
                <w:bCs/>
                <w:color w:val="auto"/>
                <w:kern w:val="0"/>
                <w:szCs w:val="21"/>
                <w:highlight w:val="none"/>
              </w:rPr>
              <w:t>应用架构</w:t>
            </w:r>
          </w:p>
        </w:tc>
        <w:tc>
          <w:tcPr>
            <w:tcW w:w="8028" w:type="dxa"/>
            <w:tcBorders>
              <w:top w:val="single" w:color="auto" w:sz="4" w:space="0"/>
              <w:left w:val="single" w:color="auto" w:sz="4" w:space="0"/>
              <w:bottom w:val="single" w:color="auto" w:sz="4" w:space="0"/>
              <w:right w:val="single" w:color="auto" w:sz="4" w:space="0"/>
            </w:tcBorders>
            <w:vAlign w:val="bottom"/>
          </w:tcPr>
          <w:p>
            <w:pPr>
              <w:pStyle w:val="51"/>
              <w:numPr>
                <w:ilvl w:val="0"/>
                <w:numId w:val="36"/>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系统对临时车、月租车、储值车进行分类管理、在线支付停车费、电子减免券功能；</w:t>
            </w:r>
          </w:p>
          <w:p>
            <w:pPr>
              <w:pStyle w:val="51"/>
              <w:numPr>
                <w:ilvl w:val="0"/>
                <w:numId w:val="36"/>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系统支持车位管理功能（如:车位满时可设置是否允许某些类型的车是否允许进场）并提供语音播报与显示，支持多种个性化管理；车辆进出管理提供各种数据查询、报表生成。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技术架构</w:t>
            </w:r>
          </w:p>
        </w:tc>
        <w:tc>
          <w:tcPr>
            <w:tcW w:w="8028" w:type="dxa"/>
            <w:tcBorders>
              <w:top w:val="single" w:color="auto" w:sz="4" w:space="0"/>
              <w:left w:val="single" w:color="auto" w:sz="4" w:space="0"/>
              <w:bottom w:val="single" w:color="auto" w:sz="4" w:space="0"/>
              <w:right w:val="single" w:color="auto" w:sz="4" w:space="0"/>
            </w:tcBorders>
            <w:vAlign w:val="bottom"/>
          </w:tcPr>
          <w:p>
            <w:pPr>
              <w:pStyle w:val="51"/>
              <w:numPr>
                <w:ilvl w:val="0"/>
                <w:numId w:val="37"/>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系统采用B/S+C/S框架,云平台采用springcloud+zuul+redis+mysql+mybatis-plus框架；</w:t>
            </w:r>
          </w:p>
          <w:p>
            <w:pPr>
              <w:pStyle w:val="51"/>
              <w:numPr>
                <w:ilvl w:val="0"/>
                <w:numId w:val="37"/>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车场管理端采用net+sqlserver等框架。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统一身份认证</w:t>
            </w:r>
          </w:p>
        </w:tc>
        <w:tc>
          <w:tcPr>
            <w:tcW w:w="8028" w:type="dxa"/>
            <w:tcBorders>
              <w:top w:val="single" w:color="auto" w:sz="4" w:space="0"/>
              <w:left w:val="single" w:color="auto" w:sz="4" w:space="0"/>
              <w:bottom w:val="single" w:color="auto" w:sz="4" w:space="0"/>
              <w:right w:val="single" w:color="auto" w:sz="4" w:space="0"/>
            </w:tcBorders>
            <w:vAlign w:val="bottom"/>
          </w:tcPr>
          <w:p>
            <w:pPr>
              <w:pStyle w:val="51"/>
              <w:numPr>
                <w:ilvl w:val="0"/>
                <w:numId w:val="38"/>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统一身份认证管理将分散的用户和权限资源进行统一、集中的管理，改变原有各业务系统中的分散式身份认证及授权管理，实现对用户的集中认证和授权管理，进而简化用户访问内部各系统的过程；</w:t>
            </w:r>
          </w:p>
          <w:p>
            <w:pPr>
              <w:pStyle w:val="51"/>
              <w:numPr>
                <w:ilvl w:val="0"/>
                <w:numId w:val="38"/>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支持对用户权限的统一管理，建立不同管理者身份；</w:t>
            </w:r>
          </w:p>
          <w:p>
            <w:pPr>
              <w:pStyle w:val="51"/>
              <w:numPr>
                <w:ilvl w:val="0"/>
                <w:numId w:val="38"/>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支持对平台中角色，组织以及人员进行对应应用，功能授权，针对角色可进行权限设置和分派；</w:t>
            </w:r>
          </w:p>
          <w:p>
            <w:pPr>
              <w:pStyle w:val="51"/>
              <w:numPr>
                <w:ilvl w:val="0"/>
                <w:numId w:val="38"/>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支持用户在通过认证后，可直接访问已授权的各应用系统，实现不同应用系统的身份认证共享；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数据中心Data Center</w:t>
            </w:r>
          </w:p>
        </w:tc>
        <w:tc>
          <w:tcPr>
            <w:tcW w:w="8028" w:type="dxa"/>
            <w:tcBorders>
              <w:top w:val="single" w:color="auto" w:sz="4" w:space="0"/>
              <w:left w:val="single" w:color="auto" w:sz="4" w:space="0"/>
              <w:bottom w:val="single" w:color="auto" w:sz="4" w:space="0"/>
              <w:right w:val="single" w:color="auto" w:sz="4" w:space="0"/>
            </w:tcBorders>
            <w:vAlign w:val="bottom"/>
          </w:tcPr>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面向用户提供个性化的快速界面集成的功能组件，实现单点登录;</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支持灵活的框架结构。支持按部门/团队、管理者等层面进行组织，达到多应用系统的单点登录；</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提供图形化的监控和分析工具，能够对门户运行过程中各项指标进行定量监控和分析；</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总收入：停车费总收入金额；</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空车位：动态展示当前停车场空车位数量；</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月卡会员：统计当前停车场月卡会员的数量；</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优惠券发放：统计停车场今日优惠券发放的数量；</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访客未处理：统计停车场没有处理的访客预约次数；</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今日收费汇总：展示当天停车场电子支付收入，现金支付收入和减免金额；</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在线设备：展示停车场本地和云平台的连接状况；</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进出车辆统计：对当天停车场进出车辆和在场车辆的统计；</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入场车辆信息：实时展示进入停车场的车牌信息；</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出场车辆统计：实时展示离开停车场的车牌信息；</w:t>
            </w:r>
          </w:p>
          <w:p>
            <w:pPr>
              <w:pStyle w:val="51"/>
              <w:numPr>
                <w:ilvl w:val="0"/>
                <w:numId w:val="39"/>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泊位使用率：按时段统计停车位使用比例。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数据仓库</w:t>
            </w:r>
          </w:p>
        </w:tc>
        <w:tc>
          <w:tcPr>
            <w:tcW w:w="8028" w:type="dxa"/>
            <w:tcBorders>
              <w:top w:val="single" w:color="auto" w:sz="4" w:space="0"/>
              <w:left w:val="single" w:color="auto" w:sz="4" w:space="0"/>
              <w:bottom w:val="single" w:color="auto" w:sz="4" w:space="0"/>
              <w:right w:val="single" w:color="auto" w:sz="4" w:space="0"/>
            </w:tcBorders>
            <w:vAlign w:val="bottom"/>
          </w:tcPr>
          <w:p>
            <w:pPr>
              <w:pStyle w:val="51"/>
              <w:numPr>
                <w:ilvl w:val="0"/>
                <w:numId w:val="40"/>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实现将各业务系统中的生产数据自动抽取转换到数据中心，并经过数据清洗，保证数据的正确性和唯一性；</w:t>
            </w:r>
          </w:p>
          <w:p>
            <w:pPr>
              <w:pStyle w:val="51"/>
              <w:numPr>
                <w:ilvl w:val="0"/>
                <w:numId w:val="40"/>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数据转换功能：对抽取到的数据能进行灵活的计算、合并、拆分等，包括：字段映射，映射的自动匹配，字段的拆分，多字段的混合运算，跨异构数据库的关联，自定义函数，多数据类型支持，复杂条件过滤，支持脏读，数据的批量装载，时间类型的转换，对各种码表的支持，环境变量是否可以动态修改，去重复记录，抽取断点，记录间合并或计算，记录拆分、抽取的字段等；</w:t>
            </w:r>
          </w:p>
          <w:p>
            <w:pPr>
              <w:pStyle w:val="51"/>
              <w:numPr>
                <w:ilvl w:val="0"/>
                <w:numId w:val="40"/>
              </w:numPr>
              <w:autoSpaceDN w:val="0"/>
              <w:spacing w:line="480" w:lineRule="exact"/>
              <w:ind w:firstLineChars="0"/>
              <w:contextualSpacing/>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具备管理和调度功能：采用多线程、分布式、负载均衡、集中管理等高性能高可靠性与易管理和扩展的多层体系架构，包括：抽取过程的备份与恢复、升级，版本管理，开发和发布，支持统一以及自定义的管理平台，支持时间触发方式，支持事件触发方式，支持命令行执行方式，支持用户对计算机资源的管理和分配，负载均衡，文档的自动生成，调度过程中能否执行其他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云停车车辆管理</w:t>
            </w:r>
          </w:p>
        </w:tc>
        <w:tc>
          <w:tcPr>
            <w:tcW w:w="8028" w:type="dxa"/>
            <w:tcBorders>
              <w:top w:val="single" w:color="auto" w:sz="4" w:space="0"/>
              <w:left w:val="single" w:color="auto" w:sz="4" w:space="0"/>
              <w:bottom w:val="single" w:color="auto" w:sz="4" w:space="0"/>
              <w:right w:val="single" w:color="auto" w:sz="4" w:space="0"/>
            </w:tcBorders>
            <w:vAlign w:val="bottom"/>
          </w:tcPr>
          <w:p>
            <w:pPr>
              <w:pStyle w:val="51"/>
              <w:numPr>
                <w:ilvl w:val="0"/>
                <w:numId w:val="41"/>
              </w:numPr>
              <w:autoSpaceDN w:val="0"/>
              <w:spacing w:line="480" w:lineRule="exact"/>
              <w:ind w:firstLineChars="0"/>
              <w:contextualSpacing/>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提供丰富的、交互式个性化操作信息面板，可通过Web浏览器方式展现业务活动实时数据和个性化报表以监控业务流程和服务，以及从流程和服务中跟踪关键性能指标；</w:t>
            </w:r>
          </w:p>
          <w:p>
            <w:pPr>
              <w:pStyle w:val="51"/>
              <w:widowControl/>
              <w:numPr>
                <w:ilvl w:val="0"/>
                <w:numId w:val="41"/>
              </w:numPr>
              <w:spacing w:line="480" w:lineRule="exact"/>
              <w:ind w:firstLineChars="0"/>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车道监控：提供统一可视化工具进行管理，监控和分析；</w:t>
            </w:r>
          </w:p>
          <w:p>
            <w:pPr>
              <w:pStyle w:val="51"/>
              <w:widowControl/>
              <w:numPr>
                <w:ilvl w:val="0"/>
                <w:numId w:val="41"/>
              </w:numPr>
              <w:spacing w:line="480" w:lineRule="exact"/>
              <w:ind w:firstLineChars="0"/>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在场订单：车场上传进场订单至停车云，在停车云后台可查看车场在场订单；</w:t>
            </w:r>
          </w:p>
          <w:p>
            <w:pPr>
              <w:pStyle w:val="51"/>
              <w:numPr>
                <w:ilvl w:val="0"/>
                <w:numId w:val="41"/>
              </w:numPr>
              <w:autoSpaceDN w:val="0"/>
              <w:spacing w:line="480" w:lineRule="exact"/>
              <w:ind w:firstLineChars="0"/>
              <w:contextualSpacing/>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异常订单：补传订单显示车场上传的出场时间为今天之前的订单；该部分订单不计入现金统计；</w:t>
            </w:r>
          </w:p>
          <w:p>
            <w:pPr>
              <w:pStyle w:val="51"/>
              <w:widowControl/>
              <w:numPr>
                <w:ilvl w:val="0"/>
                <w:numId w:val="41"/>
              </w:numPr>
              <w:spacing w:line="480" w:lineRule="exact"/>
              <w:ind w:firstLineChars="0"/>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电子交易：可查看当前车场产生的所有交易记录，查看已结算出场的订单详情；</w:t>
            </w:r>
          </w:p>
          <w:p>
            <w:pPr>
              <w:pStyle w:val="51"/>
              <w:numPr>
                <w:ilvl w:val="0"/>
                <w:numId w:val="41"/>
              </w:numPr>
              <w:autoSpaceDN w:val="0"/>
              <w:spacing w:line="480" w:lineRule="exact"/>
              <w:ind w:firstLineChars="0"/>
              <w:contextualSpacing/>
              <w:jc w:val="left"/>
              <w:textAlignment w:val="center"/>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月卡会员：在会员管理模块下可管理月卡会员信息，可注册、excel表格导入、在线编辑、续费、删除、导出等操作。</w:t>
            </w:r>
          </w:p>
        </w:tc>
      </w:tr>
    </w:tbl>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b w:val="0"/>
          <w:bCs w:val="0"/>
          <w:color w:val="auto"/>
          <w:sz w:val="21"/>
          <w:szCs w:val="21"/>
          <w:highlight w:val="none"/>
        </w:rPr>
        <w:t>2</w:t>
      </w:r>
      <w:r>
        <w:rPr>
          <w:rFonts w:hint="eastAsia" w:ascii="微软雅黑" w:hAnsi="微软雅黑" w:eastAsia="微软雅黑" w:cs="微软雅黑"/>
          <w:color w:val="auto"/>
          <w:sz w:val="21"/>
          <w:szCs w:val="21"/>
          <w:highlight w:val="none"/>
        </w:rPr>
        <w:t>、智能车牌识别单元</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140台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功能要求</w:t>
            </w:r>
          </w:p>
        </w:tc>
        <w:tc>
          <w:tcPr>
            <w:tcW w:w="7818" w:type="dxa"/>
            <w:tcBorders>
              <w:top w:val="single" w:color="auto" w:sz="4" w:space="0"/>
              <w:left w:val="single" w:color="auto" w:sz="4" w:space="0"/>
              <w:bottom w:val="single" w:color="auto" w:sz="4" w:space="0"/>
              <w:right w:val="single" w:color="auto" w:sz="4" w:space="0"/>
            </w:tcBorders>
            <w:vAlign w:val="center"/>
          </w:tcPr>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设备满足嵌入式车牌识别算法：综合识别率不低于99.9%；</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识别相机需搭载业界先进的300 万成像解决方案，提供最大2304*1296 分辨率的视频和图片输出；</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满足车牌识别的全天候识别需求，更可提供更加清晰的车头、车标细节；</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硬件需集成H265 视频压缩解码器；</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视频流识别优化处理：最大程度的保证识别准确率，标准H.264 high profile 5.0；</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优异的成像自动控制：自动跟踪光线变化、有效抑制顺光和逆光；夜间抑制汽车大灯；补光灯基于图像分析算法进行控制，避免了传统基于光敏电阻补光的不稳定性；</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存储功能支持网络存储;Micro SD卡存储,最大容量不低于32GB；</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无车牌车辆智能处理：多触发机制保证无车牌（或严重污损等）车辆的正常通行管理；</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识别特征：号码、颜色、类型、宽度；</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图像传感器不低于1/2.7" CMOS；</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识别区域设置：能设置识别区域，过滤无效区域，自动屏蔽无需识别的区域；</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支持视频触发和地感触发识别；</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支持增益控制手动/自动，支持白平衡手动/自动，支持背光补偿,可选择区域，支持强光抑制，支持信噪比；</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典型车牌识别率99.9%：支持识别普通蓝牌、新能源车牌、单双层黄牌（含泥头车）、单双层军/警牌、使领馆、港澳入出大陆车牌、应急车牌等多种车牌的牌号、颜色、类型等，典型场景中主流车牌识别率高达99.9%；</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无牌车\非机动车免地感触发：可识别车头、车标（品牌）信息，实现无牌车\非机动车辆通过视频触发的效果；</w:t>
            </w:r>
          </w:p>
          <w:p>
            <w:pPr>
              <w:pStyle w:val="54"/>
              <w:numPr>
                <w:ilvl w:val="0"/>
                <w:numId w:val="42"/>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防止误识别，过滤伪车牌，有效避免“误识别”非车牌上的数字、字符及图形内容信息的问题；并对不法分子通过手机拍照、打印车牌等方式，冒用他人车牌达到抬杆逃费的行为进行过滤和威慑；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识别机主控单元</w:t>
            </w:r>
          </w:p>
        </w:tc>
        <w:tc>
          <w:tcPr>
            <w:tcW w:w="7818" w:type="dxa"/>
            <w:tcBorders>
              <w:top w:val="single" w:color="auto" w:sz="4" w:space="0"/>
              <w:left w:val="single" w:color="auto" w:sz="4" w:space="0"/>
              <w:bottom w:val="single" w:color="auto" w:sz="4" w:space="0"/>
              <w:right w:val="single" w:color="auto" w:sz="4" w:space="0"/>
            </w:tcBorders>
            <w:vAlign w:val="center"/>
          </w:tcPr>
          <w:p>
            <w:pPr>
              <w:pStyle w:val="54"/>
              <w:numPr>
                <w:ilvl w:val="0"/>
                <w:numId w:val="43"/>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外观要求：金属钣金外壳，钢化玻璃面板；</w:t>
            </w:r>
          </w:p>
          <w:p>
            <w:pPr>
              <w:pStyle w:val="54"/>
              <w:numPr>
                <w:ilvl w:val="0"/>
                <w:numId w:val="43"/>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内嵌信息显示屏，语音播报控制板，电源，支持定制语音；</w:t>
            </w:r>
          </w:p>
          <w:p>
            <w:pPr>
              <w:pStyle w:val="54"/>
              <w:numPr>
                <w:ilvl w:val="0"/>
                <w:numId w:val="43"/>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通讯接口需支持RS485通讯功能，并支持与智能道闸通讯交互；</w:t>
            </w:r>
          </w:p>
          <w:p>
            <w:pPr>
              <w:pStyle w:val="54"/>
              <w:numPr>
                <w:ilvl w:val="0"/>
                <w:numId w:val="43"/>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可控显示参数设置，支持中文或英文数字滚动显示；</w:t>
            </w:r>
          </w:p>
          <w:p>
            <w:pPr>
              <w:pStyle w:val="54"/>
              <w:numPr>
                <w:ilvl w:val="0"/>
                <w:numId w:val="43"/>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工作环境温度满足新疆极端温差控制，保证在-20℃～ +70℃温控范围能正常工作；</w:t>
            </w:r>
          </w:p>
          <w:p>
            <w:pPr>
              <w:pStyle w:val="54"/>
              <w:numPr>
                <w:ilvl w:val="0"/>
                <w:numId w:val="43"/>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电源输入DC110V/220V，支持5V及12V直流输出电压。</w:t>
            </w:r>
          </w:p>
        </w:tc>
      </w:tr>
    </w:tbl>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b w:val="0"/>
          <w:bCs w:val="0"/>
          <w:color w:val="auto"/>
          <w:sz w:val="21"/>
          <w:szCs w:val="21"/>
          <w:highlight w:val="none"/>
        </w:rPr>
        <w:t>3</w:t>
      </w:r>
      <w:r>
        <w:rPr>
          <w:rFonts w:hint="eastAsia" w:ascii="微软雅黑" w:hAnsi="微软雅黑" w:eastAsia="微软雅黑" w:cs="微软雅黑"/>
          <w:color w:val="auto"/>
          <w:sz w:val="21"/>
          <w:szCs w:val="21"/>
          <w:highlight w:val="none"/>
        </w:rPr>
        <w:t>、总控室信息集成</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指标项</w:t>
            </w:r>
          </w:p>
        </w:tc>
        <w:tc>
          <w:tcPr>
            <w:tcW w:w="78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数量要求</w:t>
            </w:r>
          </w:p>
        </w:tc>
        <w:tc>
          <w:tcPr>
            <w:tcW w:w="7818" w:type="dxa"/>
            <w:tcBorders>
              <w:top w:val="single" w:color="auto" w:sz="4" w:space="0"/>
              <w:left w:val="single" w:color="auto" w:sz="4" w:space="0"/>
              <w:bottom w:val="single" w:color="auto" w:sz="4" w:space="0"/>
              <w:right w:val="single" w:color="auto" w:sz="4" w:space="0"/>
            </w:tcBorders>
            <w:vAlign w:val="bottom"/>
          </w:tcPr>
          <w:p>
            <w:pPr>
              <w:autoSpaceDN w:val="0"/>
              <w:spacing w:line="480" w:lineRule="exact"/>
              <w:jc w:val="left"/>
              <w:textAlignment w:val="center"/>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功能要求</w:t>
            </w:r>
          </w:p>
        </w:tc>
        <w:tc>
          <w:tcPr>
            <w:tcW w:w="7818" w:type="dxa"/>
            <w:tcBorders>
              <w:top w:val="single" w:color="auto" w:sz="4" w:space="0"/>
              <w:left w:val="single" w:color="auto" w:sz="4" w:space="0"/>
              <w:bottom w:val="single" w:color="auto" w:sz="4" w:space="0"/>
              <w:right w:val="single" w:color="auto" w:sz="4" w:space="0"/>
            </w:tcBorders>
            <w:vAlign w:val="center"/>
          </w:tcPr>
          <w:p>
            <w:pPr>
              <w:pStyle w:val="54"/>
              <w:numPr>
                <w:ilvl w:val="0"/>
                <w:numId w:val="44"/>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统一规划数据资源，不只是要对各类信息资源进行物理集中存储管理，还要在对业务数据分析的基础上，一体化规划并设计系统数据模型，统一制定业务数据指标体系，以管理服务对象为核心，统一显示各个子车场进出车辆信息；</w:t>
            </w:r>
          </w:p>
          <w:p>
            <w:pPr>
              <w:pStyle w:val="54"/>
              <w:numPr>
                <w:ilvl w:val="0"/>
                <w:numId w:val="44"/>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组织相关联的业务数据，实现对内业务使用、对外服务应用的统一视图。设计集中、统一的数据中心服务系统；</w:t>
            </w:r>
          </w:p>
          <w:p>
            <w:pPr>
              <w:pStyle w:val="54"/>
              <w:numPr>
                <w:ilvl w:val="0"/>
                <w:numId w:val="44"/>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需实现信息资源的集中显示、集中管理、集中服务，并保障数据的一致性，降低数据交换、系统内共享使用复杂性；</w:t>
            </w:r>
          </w:p>
          <w:p>
            <w:pPr>
              <w:pStyle w:val="54"/>
              <w:numPr>
                <w:ilvl w:val="0"/>
                <w:numId w:val="44"/>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总控室可实时掌握各个停车场的收费运营状态，对线下各个停车场财务报表汇总分析，实时掌握财务数据；</w:t>
            </w:r>
          </w:p>
          <w:p>
            <w:pPr>
              <w:pStyle w:val="54"/>
              <w:numPr>
                <w:ilvl w:val="0"/>
                <w:numId w:val="44"/>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总控室配置需满足车场监控实时调取，数据审查及可视化信息大屏系统。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0" w:type="dxa"/>
            <w:tcBorders>
              <w:top w:val="single" w:color="auto" w:sz="4" w:space="0"/>
              <w:left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总控室主控单元要求</w:t>
            </w:r>
          </w:p>
        </w:tc>
        <w:tc>
          <w:tcPr>
            <w:tcW w:w="7818" w:type="dxa"/>
            <w:tcBorders>
              <w:top w:val="single" w:color="auto" w:sz="4" w:space="0"/>
              <w:left w:val="single" w:color="auto" w:sz="4" w:space="0"/>
              <w:bottom w:val="single" w:color="auto" w:sz="4" w:space="0"/>
              <w:right w:val="single" w:color="auto" w:sz="4" w:space="0"/>
            </w:tcBorders>
            <w:vAlign w:val="center"/>
          </w:tcPr>
          <w:p>
            <w:pPr>
              <w:pStyle w:val="54"/>
              <w:numPr>
                <w:ilvl w:val="0"/>
                <w:numId w:val="45"/>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实现视频、音频、报警、数据等信息在模拟或IP网络上的有效传递和交换。主要设备包括数据大屏、控制显示设备、传输设备、中心控制台、服务器主机、设备拼接器、音视频编/解码设备等；</w:t>
            </w:r>
          </w:p>
          <w:p>
            <w:pPr>
              <w:pStyle w:val="54"/>
              <w:numPr>
                <w:ilvl w:val="0"/>
                <w:numId w:val="45"/>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实现监控资源的控制、管理和监视等功能，主要在监控中心集中实现。通过授权也可在用户终端对监控资源进行访问和控制。</w:t>
            </w:r>
          </w:p>
          <w:p>
            <w:pPr>
              <w:pStyle w:val="54"/>
              <w:numPr>
                <w:ilvl w:val="0"/>
                <w:numId w:val="45"/>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实时处理/显示是各停车场监控系统对视频、音频、报警、数据等采集信息处理。具体方式可以是通过显示设备、用户终端将信息直接反馈到管理平台，也可以是将信息进行记录留待以便数据查阅，对信息进行智能化加工分析、触发其它相关系统联动等。主要设备包括音视频编/解码设备、存储设备、显示设备、车场终端等；</w:t>
            </w:r>
          </w:p>
          <w:p>
            <w:pPr>
              <w:pStyle w:val="54"/>
              <w:numPr>
                <w:ilvl w:val="0"/>
                <w:numId w:val="45"/>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提供统一可视化工具进行管理，监控和分析。</w:t>
            </w:r>
          </w:p>
        </w:tc>
      </w:tr>
    </w:tbl>
    <w:p>
      <w:pPr>
        <w:pStyle w:val="23"/>
        <w:spacing w:line="480" w:lineRule="exact"/>
        <w:jc w:val="left"/>
        <w:outlineLvl w:val="2"/>
        <w:rPr>
          <w:rFonts w:ascii="微软雅黑" w:hAnsi="微软雅黑" w:eastAsia="微软雅黑" w:cs="微软雅黑"/>
          <w:color w:val="auto"/>
          <w:sz w:val="21"/>
          <w:szCs w:val="21"/>
          <w:highlight w:val="none"/>
        </w:rPr>
      </w:pPr>
      <w:r>
        <w:rPr>
          <w:rFonts w:hint="eastAsia" w:ascii="微软雅黑" w:hAnsi="微软雅黑" w:eastAsia="微软雅黑" w:cs="微软雅黑"/>
          <w:b w:val="0"/>
          <w:bCs w:val="0"/>
          <w:color w:val="auto"/>
          <w:sz w:val="21"/>
          <w:szCs w:val="21"/>
          <w:highlight w:val="none"/>
        </w:rPr>
        <w:t>4</w:t>
      </w:r>
      <w:r>
        <w:rPr>
          <w:rFonts w:hint="eastAsia" w:ascii="微软雅黑" w:hAnsi="微软雅黑" w:eastAsia="微软雅黑" w:cs="微软雅黑"/>
          <w:color w:val="auto"/>
          <w:sz w:val="21"/>
          <w:szCs w:val="21"/>
          <w:highlight w:val="none"/>
        </w:rPr>
        <w:t>、停车场公共安防辅材集成</w:t>
      </w:r>
    </w:p>
    <w:tbl>
      <w:tblPr>
        <w:tblStyle w:val="35"/>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4864"/>
        <w:gridCol w:w="1563"/>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09"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需求项</w:t>
            </w:r>
          </w:p>
        </w:tc>
        <w:tc>
          <w:tcPr>
            <w:tcW w:w="486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指标要求</w:t>
            </w:r>
          </w:p>
        </w:tc>
        <w:tc>
          <w:tcPr>
            <w:tcW w:w="1563"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数量</w:t>
            </w:r>
          </w:p>
        </w:tc>
        <w:tc>
          <w:tcPr>
            <w:tcW w:w="14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车辆道闸</w:t>
            </w:r>
          </w:p>
        </w:tc>
        <w:tc>
          <w:tcPr>
            <w:tcW w:w="4864" w:type="dxa"/>
            <w:tcBorders>
              <w:top w:val="single" w:color="auto" w:sz="4" w:space="0"/>
              <w:left w:val="single" w:color="auto" w:sz="4" w:space="0"/>
              <w:bottom w:val="single" w:color="auto" w:sz="4" w:space="0"/>
              <w:right w:val="single" w:color="auto" w:sz="4" w:space="0"/>
            </w:tcBorders>
            <w:vAlign w:val="center"/>
          </w:tcPr>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摆杆轴上离合,停电手动高速起杆</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自带闸杆遇阻返回功能。</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红外对射防砸(需配对射装置)</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支持外置和内置地感。</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Rs485串口通讯</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机芯工作温度:-25℃~+85℃</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电控箱工作温度:-20℃~+75℃</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电源: 220V±910 50/60Hz</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额定功率: 120W</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相对湿度:不大于90%</w:t>
            </w:r>
          </w:p>
          <w:p>
            <w:pPr>
              <w:pStyle w:val="54"/>
              <w:numPr>
                <w:ilvl w:val="0"/>
                <w:numId w:val="46"/>
              </w:numPr>
              <w:autoSpaceDN w:val="0"/>
              <w:spacing w:line="480" w:lineRule="exact"/>
              <w:ind w:firstLineChars="0"/>
              <w:jc w:val="left"/>
              <w:textAlignment w:val="center"/>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开闸速度0.9-6s可调</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98</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收费岗亭</w:t>
            </w:r>
          </w:p>
        </w:tc>
        <w:tc>
          <w:tcPr>
            <w:tcW w:w="486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eastAsia"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尺寸要求不小于1.5M*2.2M*2M</w:t>
            </w:r>
          </w:p>
          <w:p>
            <w:pPr>
              <w:widowControl/>
              <w:spacing w:line="480" w:lineRule="exact"/>
              <w:jc w:val="left"/>
              <w:rPr>
                <w:rFonts w:hint="eastAsia"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主要材质为不锈钢</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69</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工控主机</w:t>
            </w:r>
          </w:p>
        </w:tc>
        <w:tc>
          <w:tcPr>
            <w:tcW w:w="486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Inter I5四核/8G/256G全固态存储</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69</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9" w:type="dxa"/>
            <w:tcBorders>
              <w:top w:val="single" w:color="auto" w:sz="4" w:space="0"/>
              <w:left w:val="single" w:color="auto" w:sz="4" w:space="0"/>
              <w:right w:val="single" w:color="auto" w:sz="4" w:space="0"/>
            </w:tcBorders>
            <w:vAlign w:val="center"/>
          </w:tcPr>
          <w:p>
            <w:pPr>
              <w:widowControl/>
              <w:spacing w:line="480" w:lineRule="exact"/>
              <w:jc w:val="left"/>
              <w:rPr>
                <w:rFonts w:ascii="微软雅黑" w:hAnsi="微软雅黑" w:eastAsia="微软雅黑" w:cs="微软雅黑"/>
                <w:b/>
                <w:color w:val="auto"/>
                <w:kern w:val="0"/>
                <w:szCs w:val="21"/>
                <w:highlight w:val="none"/>
              </w:rPr>
            </w:pPr>
            <w:r>
              <w:rPr>
                <w:rFonts w:hint="eastAsia" w:ascii="微软雅黑" w:hAnsi="微软雅黑" w:eastAsia="微软雅黑" w:cs="微软雅黑"/>
                <w:bCs/>
                <w:color w:val="auto"/>
                <w:kern w:val="0"/>
                <w:szCs w:val="21"/>
                <w:highlight w:val="none"/>
              </w:rPr>
              <w:t>护栏</w:t>
            </w:r>
          </w:p>
        </w:tc>
        <w:tc>
          <w:tcPr>
            <w:tcW w:w="486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护栏含固定脚架高度不小于1M</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4010</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停车位标线</w:t>
            </w:r>
          </w:p>
        </w:tc>
        <w:tc>
          <w:tcPr>
            <w:tcW w:w="486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可附着水泥或沥青路面，不易脱色</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24160</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停车进出标识牌</w:t>
            </w:r>
          </w:p>
        </w:tc>
        <w:tc>
          <w:tcPr>
            <w:tcW w:w="486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含固定膨胀丝，标识牌醒目</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94</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09" w:type="dxa"/>
            <w:tcBorders>
              <w:top w:val="single" w:color="auto" w:sz="4" w:space="0"/>
              <w:left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公示栏</w:t>
            </w:r>
          </w:p>
        </w:tc>
        <w:tc>
          <w:tcPr>
            <w:tcW w:w="486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前面板尺寸不小于0.5M*1M，含固定栓</w:t>
            </w:r>
          </w:p>
        </w:tc>
        <w:tc>
          <w:tcPr>
            <w:tcW w:w="156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69</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微软雅黑" w:hAnsi="微软雅黑" w:eastAsia="微软雅黑" w:cs="微软雅黑"/>
                <w:bCs/>
                <w:color w:val="auto"/>
                <w:kern w:val="0"/>
                <w:szCs w:val="21"/>
                <w:highlight w:val="none"/>
              </w:rPr>
            </w:pPr>
            <w:r>
              <w:rPr>
                <w:rFonts w:hint="eastAsia" w:ascii="微软雅黑" w:hAnsi="微软雅黑" w:eastAsia="微软雅黑" w:cs="微软雅黑"/>
                <w:bCs/>
                <w:color w:val="auto"/>
                <w:kern w:val="0"/>
                <w:szCs w:val="21"/>
                <w:highlight w:val="none"/>
              </w:rPr>
              <w:t>个</w:t>
            </w:r>
          </w:p>
        </w:tc>
      </w:tr>
    </w:tbl>
    <w:p>
      <w:pPr>
        <w:rPr>
          <w:rStyle w:val="76"/>
          <w:color w:val="auto"/>
          <w:highlight w:val="none"/>
        </w:rPr>
      </w:pPr>
    </w:p>
    <w:p>
      <w:pPr>
        <w:rPr>
          <w:rStyle w:val="76"/>
          <w:color w:val="auto"/>
          <w:highlight w:val="none"/>
        </w:rPr>
      </w:pPr>
      <w:r>
        <w:rPr>
          <w:rStyle w:val="76"/>
          <w:rFonts w:hint="eastAsia"/>
          <w:color w:val="auto"/>
          <w:highlight w:val="none"/>
        </w:rPr>
        <w:br w:type="page"/>
      </w:r>
    </w:p>
    <w:p>
      <w:pPr>
        <w:spacing w:line="480" w:lineRule="exact"/>
        <w:jc w:val="center"/>
        <w:outlineLvl w:val="0"/>
        <w:rPr>
          <w:rFonts w:cs="宋体"/>
          <w:color w:val="auto"/>
          <w:highlight w:val="none"/>
        </w:rPr>
      </w:pPr>
      <w:r>
        <w:rPr>
          <w:rStyle w:val="76"/>
          <w:rFonts w:hint="eastAsia"/>
          <w:color w:val="auto"/>
          <w:highlight w:val="none"/>
        </w:rPr>
        <w:t>第6章  评标方法和标准</w:t>
      </w:r>
      <w:bookmarkEnd w:id="395"/>
      <w:bookmarkEnd w:id="396"/>
      <w:bookmarkEnd w:id="397"/>
      <w:bookmarkEnd w:id="398"/>
      <w:bookmarkEnd w:id="399"/>
      <w:bookmarkEnd w:id="400"/>
      <w:bookmarkEnd w:id="401"/>
      <w:bookmarkEnd w:id="402"/>
      <w:bookmarkEnd w:id="403"/>
    </w:p>
    <w:p>
      <w:pPr>
        <w:pStyle w:val="9"/>
        <w:tabs>
          <w:tab w:val="clear" w:pos="567"/>
        </w:tabs>
        <w:spacing w:before="0" w:line="480" w:lineRule="exact"/>
        <w:ind w:firstLine="540" w:firstLineChars="225"/>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开标及评标”、“六 确定中标”及本章的规定评标。</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注：1.投标无效的情形：</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（2）若供应商须知资料表中未写明允许采购进口产品，如供应商所投产品为进口产品，其投标将被认定为投标无效。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（3）为本项目提供过整体设计、规范编制或者项目管理、监理、检测等服务的供应商，不得再参加本项目上述服务以外的其他采购活动。否则其投标将被认定为投标无效。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投标人在投标过程中不得向采购人提供、给予任何有价值的物品，影响其正常决策行为。一经发现，其将被认定为投标无效。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（4）投标人报价超过招标文件规定的预算金额或者分项、分包最高限价的，其投标将被认定为投标无效。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投标人应认真阅读招标文件所有的事项、格式、条款和技术规范等。如投标人没有按照招标文件要求提交全部资料，或者投标文件没有对招标文件在各方面都做出实质性响应，可能导致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（6）投标人应当对所投分包招标文件中“采购需求”所列的所有内容进行投标，如仅响应某一包中的部分内容，其该包投标将被认定为投标无效。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（7）供应商未按本须知第12.1和12.3条规定提交投标保证金的，其投标资格将被认定为无效。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所有投标均以人民币报价。投标人的投标报价应遵守《中华人民共和国价格法》。同时，根据《中华人民共和国政府采购法》第二条的规定，为保证公平竞争，如有服务主体部分的赠与行为，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（9）投标人所报的各分项投标单价在合同履行过程中是固定不变的，不得以任何理由予以变更。任何包含价格调整要求的投标，其投标将被认定为投标无效。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（10）投标应在投标人须知资料表中规定时间内保持有效。投标有效期不满足要求的投标，其投标将被认定为投标无效。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（11）所有投标文件采用不可拆装的胶订方式装订，否则其投标将被认定为投标无效。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（12）采购人或采购代理机构将在开标前1个工作日至投标截止后1小时的期间内查询投标人的信用记录。投标人存在不良信用记录的，其投标将被认定为投标无效。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总价金额与按单价汇总金额不一致的，以单价金额计算结果为准。同时出现两种以上不一致的，按照前款规定的顺序修正。修正后的报价按照第20.2条的规定经投标人确认后产生约束力，投标人不确认的，其投标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在比较与评价之前，根据本须知的规定，评标委员会要审查每份响应文件是否实质上响应了磋商文件的要求。实质上响应的投标应该是与磋商文件要求的全部条款、条件和规格相符，没有重大偏离的投标。对关键条款的偏离，将被认定为投标无效。</w:t>
      </w:r>
    </w:p>
    <w:p>
      <w:pPr>
        <w:widowControl/>
        <w:spacing w:line="4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（15）如发现下列情况之一的，其投标将被认定为投标无效：</w:t>
      </w:r>
    </w:p>
    <w:p>
      <w:pPr>
        <w:widowControl/>
        <w:spacing w:line="48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未按投标文件规定的形式和金额提交投标保证金的；未按照投标文件规定要求签署、盖章的；未满足投标文件中技术条款的实质性要求；与其他投标人串通投标，或者与招标人串通投标；属于投标文件规定的其他投标无效情形；评标委员会认为投标人的报价明显低于其他通过符合性检查投标人的报价，有可能影响履约的，且投标人未按照规定证明其报价合理性的；投标文件含有采购人不能接受的附加条件的；不符合法规和招标文件中规定的其他实质性要求的。</w:t>
      </w:r>
    </w:p>
    <w:p>
      <w:pPr>
        <w:widowControl/>
        <w:spacing w:line="480" w:lineRule="exact"/>
        <w:ind w:firstLine="240" w:firstLineChars="1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根据《政府采购促进中小企业发展暂行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b/>
          <w:bCs/>
          <w:color w:val="auto"/>
          <w:sz w:val="24"/>
          <w:highlight w:val="none"/>
          <w:u w:val="single"/>
        </w:rPr>
        <w:t>6</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%后参与评审。对于同时属于小微企业、监狱企业或残疾人福利性单位的，不重复进行报价扣除。</w:t>
      </w:r>
    </w:p>
    <w:p>
      <w:pPr>
        <w:widowControl/>
        <w:spacing w:line="480" w:lineRule="exact"/>
        <w:ind w:firstLine="240" w:firstLineChars="1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3.联合协议中约定，小型、微型企业和监狱企业的协议合同金额占到联合体协议合同总金额30%以上的，可给予联合体</w:t>
      </w:r>
      <w:r>
        <w:rPr>
          <w:rFonts w:hint="eastAsia" w:ascii="微软雅黑" w:hAnsi="微软雅黑" w:eastAsia="微软雅黑" w:cs="微软雅黑"/>
          <w:color w:val="auto"/>
          <w:sz w:val="24"/>
          <w:highlight w:val="none"/>
          <w:u w:val="single"/>
        </w:rPr>
        <w:t xml:space="preserve"> 2%-3</w:t>
      </w:r>
      <w:r>
        <w:rPr>
          <w:rFonts w:hint="eastAsia" w:ascii="微软雅黑" w:hAnsi="微软雅黑" w:eastAsia="微软雅黑" w:cs="微软雅黑"/>
          <w:color w:val="auto"/>
          <w:sz w:val="24"/>
          <w:highlight w:val="none"/>
        </w:rPr>
        <w:t>%的价格扣除。</w:t>
      </w:r>
      <w:r>
        <w:rPr>
          <w:rFonts w:hint="eastAsia" w:ascii="微软雅黑" w:hAnsi="微软雅黑" w:eastAsia="微软雅黑" w:cs="微软雅黑"/>
          <w:b/>
          <w:bCs/>
          <w:color w:val="auto"/>
          <w:sz w:val="24"/>
          <w:highlight w:val="none"/>
        </w:rPr>
        <w:t>（本项目不适用）</w:t>
      </w:r>
    </w:p>
    <w:p>
      <w:pPr>
        <w:widowControl/>
        <w:spacing w:line="480" w:lineRule="exact"/>
        <w:ind w:firstLine="480" w:firstLineChars="2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联合体各方均为小型、微型企业和监狱企业的，联合体视同为小型、微型企业和监狱企业。</w:t>
      </w:r>
    </w:p>
    <w:p>
      <w:pPr>
        <w:pStyle w:val="9"/>
        <w:tabs>
          <w:tab w:val="clear" w:pos="567"/>
        </w:tabs>
        <w:spacing w:before="0" w:line="480" w:lineRule="exact"/>
        <w:ind w:left="-61" w:leftChars="-29" w:firstLine="540" w:firstLineChars="225"/>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4.投标人为提供服务在投标中伴随投标的产品如被列入财政部与国家主管部门颁发的节能产品目录或环境标志产品目录或无线局域网产品目录，应提供相关证明，在评标时予以优先采购，具体优惠措施为：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color w:val="auto"/>
          <w:highlight w:val="none"/>
          <w:u w:val="single"/>
        </w:rPr>
        <w:t xml:space="preserve">     /  </w:t>
      </w:r>
      <w:r>
        <w:rPr>
          <w:rFonts w:hint="eastAsia" w:ascii="微软雅黑" w:hAnsi="微软雅黑" w:eastAsia="微软雅黑" w:cs="微软雅黑"/>
          <w:color w:val="auto"/>
          <w:highlight w:val="none"/>
        </w:rPr>
        <w:t xml:space="preserve"> </w:t>
      </w:r>
    </w:p>
    <w:p>
      <w:pPr>
        <w:pStyle w:val="9"/>
        <w:tabs>
          <w:tab w:val="clear" w:pos="567"/>
        </w:tabs>
        <w:spacing w:before="0" w:line="480" w:lineRule="exact"/>
        <w:ind w:left="-181" w:leftChars="-86" w:firstLine="660" w:firstLineChars="275"/>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5.对创新产品或创新性企业的优惠措施为：</w:t>
      </w:r>
      <w:r>
        <w:rPr>
          <w:rFonts w:hint="eastAsia" w:ascii="微软雅黑" w:hAnsi="微软雅黑" w:eastAsia="微软雅黑" w:cs="微软雅黑"/>
          <w:color w:val="auto"/>
          <w:highlight w:val="none"/>
          <w:u w:val="single"/>
        </w:rPr>
        <w:t xml:space="preserve">     /      </w:t>
      </w:r>
    </w:p>
    <w:p>
      <w:pPr>
        <w:pStyle w:val="9"/>
        <w:tabs>
          <w:tab w:val="clear" w:pos="567"/>
        </w:tabs>
        <w:spacing w:before="0" w:line="480" w:lineRule="exact"/>
        <w:ind w:left="-181" w:leftChars="-86" w:firstLine="660" w:firstLineChars="275"/>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6.中标候选人并列式时的处理方式：   </w:t>
      </w:r>
    </w:p>
    <w:p>
      <w:pPr>
        <w:pStyle w:val="2"/>
        <w:spacing w:line="480" w:lineRule="exact"/>
        <w:ind w:firstLine="480" w:firstLineChars="200"/>
        <w:rPr>
          <w:rFonts w:ascii="微软雅黑" w:hAnsi="微软雅黑" w:eastAsia="微软雅黑" w:cs="微软雅黑"/>
          <w:color w:val="auto"/>
          <w:kern w:val="2"/>
          <w:szCs w:val="24"/>
          <w:highlight w:val="none"/>
          <w:u w:val="single"/>
        </w:rPr>
      </w:pPr>
      <w:r>
        <w:rPr>
          <w:rFonts w:hint="eastAsia" w:ascii="微软雅黑" w:hAnsi="微软雅黑" w:eastAsia="微软雅黑" w:cs="微软雅黑"/>
          <w:color w:val="auto"/>
          <w:kern w:val="2"/>
          <w:szCs w:val="24"/>
          <w:highlight w:val="none"/>
        </w:rPr>
        <w:t>如采用最低评标办法，则：</w:t>
      </w:r>
      <w:r>
        <w:rPr>
          <w:rFonts w:hint="eastAsia" w:ascii="微软雅黑" w:hAnsi="微软雅黑" w:eastAsia="微软雅黑" w:cs="微软雅黑"/>
          <w:color w:val="auto"/>
          <w:kern w:val="2"/>
          <w:szCs w:val="24"/>
          <w:highlight w:val="none"/>
          <w:u w:val="single"/>
        </w:rPr>
        <w:t xml:space="preserve"> 评标结果按投标报价由低到高顺序排列。投标报价相同的并列。投标文件满足招标文件全部实质性要求且投标报价最低的投标人为排名第一的中标候选人。 </w:t>
      </w:r>
    </w:p>
    <w:p>
      <w:pPr>
        <w:pStyle w:val="9"/>
        <w:tabs>
          <w:tab w:val="clear" w:pos="567"/>
        </w:tabs>
        <w:spacing w:before="0" w:line="480" w:lineRule="exact"/>
        <w:ind w:firstLine="180" w:firstLineChars="75"/>
        <w:rPr>
          <w:rFonts w:cs="宋体"/>
          <w:color w:val="auto"/>
          <w:highlight w:val="none"/>
        </w:rPr>
      </w:pPr>
      <w:r>
        <w:rPr>
          <w:rFonts w:hint="eastAsia" w:ascii="微软雅黑" w:hAnsi="微软雅黑" w:eastAsia="微软雅黑" w:cs="微软雅黑"/>
          <w:color w:val="auto"/>
          <w:highlight w:val="none"/>
        </w:rPr>
        <w:t xml:space="preserve">如采用综合评标法，则： </w:t>
      </w:r>
      <w:r>
        <w:rPr>
          <w:rFonts w:hint="eastAsia" w:ascii="微软雅黑" w:hAnsi="微软雅黑" w:eastAsia="微软雅黑" w:cs="微软雅黑"/>
          <w:color w:val="auto"/>
          <w:highlight w:val="none"/>
          <w:u w:val="single"/>
        </w:rPr>
        <w:t xml:space="preserve">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  </w:t>
      </w:r>
    </w:p>
    <w:p>
      <w:pPr>
        <w:pStyle w:val="9"/>
        <w:tabs>
          <w:tab w:val="clear" w:pos="567"/>
        </w:tabs>
        <w:spacing w:before="0" w:line="400" w:lineRule="exact"/>
        <w:ind w:firstLine="180" w:firstLineChars="75"/>
        <w:rPr>
          <w:rFonts w:cs="宋体"/>
          <w:color w:val="auto"/>
          <w:highlight w:val="none"/>
        </w:rPr>
      </w:pPr>
    </w:p>
    <w:p>
      <w:pPr>
        <w:spacing w:line="360" w:lineRule="exact"/>
        <w:jc w:val="center"/>
        <w:outlineLvl w:val="0"/>
        <w:rPr>
          <w:rFonts w:ascii="微软雅黑" w:hAnsi="微软雅黑" w:eastAsia="微软雅黑" w:cs="微软雅黑"/>
          <w:b/>
          <w:bCs/>
          <w:color w:val="auto"/>
          <w:sz w:val="24"/>
          <w:highlight w:val="none"/>
        </w:rPr>
      </w:pPr>
      <w:r>
        <w:rPr>
          <w:rFonts w:hint="eastAsia" w:ascii="宋体" w:hAnsi="宋体" w:cs="宋体"/>
          <w:i/>
          <w:color w:val="auto"/>
          <w:highlight w:val="none"/>
        </w:rPr>
        <w:br w:type="page"/>
      </w:r>
      <w:bookmarkStart w:id="429" w:name="_Toc13647"/>
      <w:bookmarkStart w:id="430" w:name="_Toc18687"/>
      <w:bookmarkStart w:id="431" w:name="_Toc1126"/>
      <w:bookmarkStart w:id="432" w:name="_Toc3470"/>
      <w:r>
        <w:rPr>
          <w:rFonts w:hint="eastAsia" w:ascii="微软雅黑" w:hAnsi="微软雅黑" w:eastAsia="微软雅黑" w:cs="微软雅黑"/>
          <w:b/>
          <w:bCs/>
          <w:color w:val="auto"/>
          <w:sz w:val="24"/>
          <w:highlight w:val="none"/>
        </w:rPr>
        <w:t>初步评审—资格性审查表</w:t>
      </w:r>
      <w:bookmarkEnd w:id="429"/>
      <w:bookmarkEnd w:id="430"/>
      <w:bookmarkEnd w:id="431"/>
      <w:bookmarkEnd w:id="432"/>
    </w:p>
    <w:tbl>
      <w:tblPr>
        <w:tblStyle w:val="35"/>
        <w:tblpPr w:leftFromText="180" w:rightFromText="180" w:vertAnchor="text" w:horzAnchor="page" w:tblpXSpec="center" w:tblpY="234"/>
        <w:tblOverlap w:val="never"/>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5501"/>
        <w:gridCol w:w="1475"/>
        <w:gridCol w:w="1268"/>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dxa"/>
            <w:vMerge w:val="restart"/>
            <w:vAlign w:val="center"/>
          </w:tcPr>
          <w:p>
            <w:pPr>
              <w:spacing w:line="36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5501" w:type="dxa"/>
            <w:vMerge w:val="restart"/>
            <w:vAlign w:val="center"/>
          </w:tcPr>
          <w:p>
            <w:pPr>
              <w:spacing w:line="360" w:lineRule="exac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评审内容</w:t>
            </w:r>
          </w:p>
        </w:tc>
        <w:tc>
          <w:tcPr>
            <w:tcW w:w="3990" w:type="dxa"/>
            <w:gridSpan w:val="3"/>
            <w:vAlign w:val="center"/>
          </w:tcPr>
          <w:p>
            <w:pPr>
              <w:spacing w:line="360" w:lineRule="exact"/>
              <w:jc w:val="cente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69" w:type="dxa"/>
            <w:vMerge w:val="continue"/>
            <w:vAlign w:val="center"/>
          </w:tcPr>
          <w:p>
            <w:pPr>
              <w:spacing w:line="360" w:lineRule="exact"/>
              <w:rPr>
                <w:rFonts w:ascii="微软雅黑" w:hAnsi="微软雅黑" w:eastAsia="微软雅黑" w:cs="微软雅黑"/>
                <w:b/>
                <w:bCs/>
                <w:color w:val="auto"/>
                <w:sz w:val="24"/>
                <w:highlight w:val="none"/>
              </w:rPr>
            </w:pPr>
          </w:p>
        </w:tc>
        <w:tc>
          <w:tcPr>
            <w:tcW w:w="5501" w:type="dxa"/>
            <w:vMerge w:val="continue"/>
            <w:vAlign w:val="center"/>
          </w:tcPr>
          <w:p>
            <w:pPr>
              <w:spacing w:line="360" w:lineRule="exact"/>
              <w:rPr>
                <w:rFonts w:ascii="微软雅黑" w:hAnsi="微软雅黑" w:eastAsia="微软雅黑" w:cs="微软雅黑"/>
                <w:b/>
                <w:bCs/>
                <w:color w:val="auto"/>
                <w:sz w:val="24"/>
                <w:highlight w:val="none"/>
              </w:rPr>
            </w:pPr>
          </w:p>
        </w:tc>
        <w:tc>
          <w:tcPr>
            <w:tcW w:w="1475" w:type="dxa"/>
            <w:vAlign w:val="center"/>
          </w:tcPr>
          <w:p>
            <w:pPr>
              <w:spacing w:line="360" w:lineRule="exact"/>
              <w:jc w:val="cente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c>
          <w:tcPr>
            <w:tcW w:w="1268" w:type="dxa"/>
            <w:vAlign w:val="center"/>
          </w:tcPr>
          <w:p>
            <w:pPr>
              <w:spacing w:line="360" w:lineRule="exact"/>
              <w:jc w:val="cente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c>
          <w:tcPr>
            <w:tcW w:w="1247" w:type="dxa"/>
            <w:vAlign w:val="center"/>
          </w:tcPr>
          <w:p>
            <w:pPr>
              <w:spacing w:line="360" w:lineRule="exact"/>
              <w:jc w:val="cente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5501" w:type="dxa"/>
            <w:vAlign w:val="center"/>
          </w:tcPr>
          <w:p>
            <w:pPr>
              <w:pStyle w:val="7"/>
              <w:spacing w:before="0" w:line="40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法人、非法人组织或者自然人资格证明文件（加盖公章）；</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69"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5501" w:type="dxa"/>
            <w:vAlign w:val="center"/>
          </w:tcPr>
          <w:p>
            <w:pPr>
              <w:pStyle w:val="7"/>
              <w:spacing w:before="0" w:line="40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授权委托人投标的需提供法人（负责人）代表资格证明书及授权委托书、被授权人身份证；法定代表人（负责人）投标的需提供法人（负责人）代表资格证明书及法人（负责人）身份证；授权委托人需提供本人在本单位近三个月单位社保缴费凭证和个人明细表（加盖公章）；</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69"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5501" w:type="dxa"/>
            <w:vAlign w:val="center"/>
          </w:tcPr>
          <w:p>
            <w:pPr>
              <w:pStyle w:val="7"/>
              <w:spacing w:before="0" w:line="40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2020年度财务审计报告（新公司或其他组织和自然人提供银行出具的资信证明）（加盖公章）；</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69"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5501" w:type="dxa"/>
            <w:vAlign w:val="center"/>
          </w:tcPr>
          <w:p>
            <w:pPr>
              <w:pStyle w:val="7"/>
              <w:spacing w:before="0" w:line="40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未被“信用中国”（www.creditchina.gov.cn）列入失信被执行人和重大税收违法案件当事人名单，未被“中国政府采购网”（www.ccgp.gov.cn） 列入政府采购严重违法失信行为记录名单，未在财政部门或行业主管部门禁止参加政府采购活动时间及地域范围内（相关查询截图加盖公章）；</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9"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5501" w:type="dxa"/>
            <w:vAlign w:val="center"/>
          </w:tcPr>
          <w:p>
            <w:pPr>
              <w:pStyle w:val="7"/>
              <w:spacing w:before="0" w:line="40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提供本单位在参加政府采购活动中前三年内无重大违法记录的承诺书（加盖公章）；</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9"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5501" w:type="dxa"/>
            <w:vAlign w:val="center"/>
          </w:tcPr>
          <w:p>
            <w:pPr>
              <w:pStyle w:val="7"/>
              <w:spacing w:before="0" w:line="40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提供针对本次采购项目《反商业贿赂承诺书》（加盖公章）；</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9"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5501" w:type="dxa"/>
            <w:vAlign w:val="center"/>
          </w:tcPr>
          <w:p>
            <w:pPr>
              <w:pStyle w:val="7"/>
              <w:spacing w:before="0" w:line="400" w:lineRule="exac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提供税务部门出具的近三个月的完税证明（或申报记录）（加盖公章）；</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9"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5501" w:type="dxa"/>
            <w:vAlign w:val="center"/>
          </w:tcPr>
          <w:p>
            <w:pPr>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缴纳投标保证金收据及银行转账/电汇回执单复印件（加盖公章）；</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9" w:type="dxa"/>
            <w:vAlign w:val="center"/>
          </w:tcPr>
          <w:p>
            <w:pPr>
              <w:spacing w:line="360" w:lineRule="exact"/>
              <w:rPr>
                <w:rFonts w:ascii="微软雅黑" w:hAnsi="微软雅黑" w:eastAsia="微软雅黑" w:cs="微软雅黑"/>
                <w:color w:val="auto"/>
                <w:sz w:val="24"/>
                <w:highlight w:val="none"/>
              </w:rPr>
            </w:pPr>
          </w:p>
        </w:tc>
        <w:tc>
          <w:tcPr>
            <w:tcW w:w="5501" w:type="dxa"/>
            <w:vAlign w:val="center"/>
          </w:tcPr>
          <w:p>
            <w:pPr>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结论</w:t>
            </w:r>
          </w:p>
        </w:tc>
        <w:tc>
          <w:tcPr>
            <w:tcW w:w="1475" w:type="dxa"/>
            <w:vAlign w:val="center"/>
          </w:tcPr>
          <w:p>
            <w:pPr>
              <w:spacing w:line="360" w:lineRule="exact"/>
              <w:rPr>
                <w:rFonts w:ascii="微软雅黑" w:hAnsi="微软雅黑" w:eastAsia="微软雅黑" w:cs="微软雅黑"/>
                <w:color w:val="auto"/>
                <w:sz w:val="24"/>
                <w:highlight w:val="none"/>
              </w:rPr>
            </w:pPr>
          </w:p>
        </w:tc>
        <w:tc>
          <w:tcPr>
            <w:tcW w:w="1268" w:type="dxa"/>
            <w:vAlign w:val="center"/>
          </w:tcPr>
          <w:p>
            <w:pPr>
              <w:spacing w:line="360" w:lineRule="exact"/>
              <w:rPr>
                <w:rFonts w:ascii="微软雅黑" w:hAnsi="微软雅黑" w:eastAsia="微软雅黑" w:cs="微软雅黑"/>
                <w:color w:val="auto"/>
                <w:sz w:val="24"/>
                <w:highlight w:val="none"/>
              </w:rPr>
            </w:pPr>
          </w:p>
        </w:tc>
        <w:tc>
          <w:tcPr>
            <w:tcW w:w="1247" w:type="dxa"/>
            <w:vAlign w:val="center"/>
          </w:tcPr>
          <w:p>
            <w:pPr>
              <w:spacing w:line="360" w:lineRule="exact"/>
              <w:rPr>
                <w:rFonts w:ascii="微软雅黑" w:hAnsi="微软雅黑" w:eastAsia="微软雅黑" w:cs="微软雅黑"/>
                <w:color w:val="auto"/>
                <w:sz w:val="24"/>
                <w:highlight w:val="none"/>
              </w:rPr>
            </w:pPr>
          </w:p>
        </w:tc>
      </w:tr>
    </w:tbl>
    <w:p>
      <w:pPr>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说明：（1）上述各项中用“√”表示通过，“×”表示不通过；</w:t>
      </w:r>
    </w:p>
    <w:p>
      <w:pPr>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（3）投标文件最终合格与否，以所有评委的评审意见中少数服从多数为原则定论。</w:t>
      </w:r>
    </w:p>
    <w:p>
      <w:pPr>
        <w:spacing w:line="360" w:lineRule="exact"/>
        <w:rPr>
          <w:color w:val="auto"/>
          <w:highlight w:val="none"/>
        </w:rPr>
      </w:pPr>
      <w:r>
        <w:rPr>
          <w:rFonts w:hint="eastAsia" w:ascii="微软雅黑" w:hAnsi="微软雅黑" w:eastAsia="微软雅黑" w:cs="微软雅黑"/>
          <w:b/>
          <w:bCs/>
          <w:color w:val="auto"/>
          <w:sz w:val="24"/>
          <w:highlight w:val="none"/>
        </w:rPr>
        <w:t>未通过资格审查的投标人不进入评标；通过资格审查的投标人少于不足三家的，不得评标。</w:t>
      </w:r>
    </w:p>
    <w:p>
      <w:pPr>
        <w:pStyle w:val="2"/>
        <w:rPr>
          <w:color w:val="auto"/>
          <w:highlight w:val="none"/>
        </w:rPr>
      </w:pPr>
    </w:p>
    <w:p>
      <w:pPr>
        <w:pStyle w:val="2"/>
        <w:spacing w:line="360" w:lineRule="exact"/>
        <w:ind w:firstLine="0"/>
        <w:jc w:val="center"/>
        <w:outlineLvl w:val="0"/>
        <w:rPr>
          <w:rFonts w:ascii="微软雅黑" w:hAnsi="微软雅黑" w:eastAsia="微软雅黑" w:cs="微软雅黑"/>
          <w:b/>
          <w:bCs/>
          <w:color w:val="auto"/>
          <w:szCs w:val="24"/>
          <w:highlight w:val="none"/>
        </w:rPr>
      </w:pPr>
      <w:bookmarkStart w:id="433" w:name="_Toc8771"/>
      <w:bookmarkStart w:id="434" w:name="_Toc29061"/>
      <w:bookmarkStart w:id="435" w:name="_Toc19523"/>
      <w:bookmarkStart w:id="436" w:name="_Toc946"/>
      <w:r>
        <w:rPr>
          <w:rFonts w:hint="eastAsia" w:ascii="微软雅黑" w:hAnsi="微软雅黑" w:eastAsia="微软雅黑" w:cs="微软雅黑"/>
          <w:b/>
          <w:bCs/>
          <w:color w:val="auto"/>
          <w:szCs w:val="24"/>
          <w:highlight w:val="none"/>
        </w:rPr>
        <w:t>初步评审—符合性审查表</w:t>
      </w:r>
      <w:bookmarkEnd w:id="433"/>
      <w:bookmarkEnd w:id="434"/>
      <w:bookmarkEnd w:id="435"/>
      <w:bookmarkEnd w:id="436"/>
    </w:p>
    <w:tbl>
      <w:tblPr>
        <w:tblStyle w:val="35"/>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60" w:lineRule="exact"/>
              <w:jc w:val="center"/>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评审内容</w:t>
            </w:r>
          </w:p>
        </w:tc>
        <w:tc>
          <w:tcPr>
            <w:tcW w:w="1637" w:type="dxa"/>
            <w:vAlign w:val="center"/>
          </w:tcPr>
          <w:p>
            <w:pPr>
              <w:spacing w:line="360" w:lineRule="exact"/>
              <w:jc w:val="center"/>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6755" w:type="dxa"/>
            <w:vAlign w:val="center"/>
          </w:tcPr>
          <w:p>
            <w:pPr>
              <w:spacing w:line="360" w:lineRule="exact"/>
              <w:rPr>
                <w:rFonts w:ascii="微软雅黑" w:hAnsi="微软雅黑" w:eastAsia="微软雅黑" w:cs="微软雅黑"/>
                <w:color w:val="auto"/>
                <w:spacing w:val="-2"/>
                <w:sz w:val="24"/>
                <w:highlight w:val="none"/>
              </w:rPr>
            </w:pPr>
          </w:p>
        </w:tc>
        <w:tc>
          <w:tcPr>
            <w:tcW w:w="1637" w:type="dxa"/>
            <w:vAlign w:val="center"/>
          </w:tcPr>
          <w:p>
            <w:pPr>
              <w:spacing w:line="360" w:lineRule="exact"/>
              <w:jc w:val="center"/>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各投标人报价未高于预算金额；</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评标委员会认为投标人的报价无明显低于其他通过符合性审查供应商的报价的，投标人的报价不存在异常一致并成规律性的，其报价合理；</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投标人按招标文件规定提交投标文件份数；</w:t>
            </w:r>
          </w:p>
        </w:tc>
        <w:tc>
          <w:tcPr>
            <w:tcW w:w="1637" w:type="dxa"/>
            <w:vAlign w:val="center"/>
          </w:tcPr>
          <w:p>
            <w:pPr>
              <w:spacing w:line="360" w:lineRule="exact"/>
              <w:rPr>
                <w:rFonts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投标文件按照招标文件的规定编制、密封、标记及签署盖章的，法定代表人（负责人）或其授权代表签字（章）和加盖供应商公章的（投标文件正本的印章和签字不能为复印件）；</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投标文件载明的技术需求、技术标准等，符合招标文件要求的；</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按招标文件规定的格式填写，内容全或关键字迹清晰、数量等齐全的；</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没有采购人不能接受的附加条件的；</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符合招标文件中规定的其他实质性要求；</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不同投标人的投标文件没有错漏一致的情况；</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投标人附有详细地址、联系人、电话的；</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8" w:type="dxa"/>
            <w:vAlign w:val="center"/>
          </w:tcPr>
          <w:p>
            <w:pPr>
              <w:spacing w:line="36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w:t>
            </w:r>
          </w:p>
        </w:tc>
        <w:tc>
          <w:tcPr>
            <w:tcW w:w="6755" w:type="dxa"/>
            <w:vAlign w:val="bottom"/>
          </w:tcPr>
          <w:p>
            <w:pPr>
              <w:spacing w:line="36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投标文件没有散页、活页、未胶装的。</w:t>
            </w:r>
          </w:p>
        </w:tc>
        <w:tc>
          <w:tcPr>
            <w:tcW w:w="1637" w:type="dxa"/>
            <w:vAlign w:val="center"/>
          </w:tcPr>
          <w:p>
            <w:pPr>
              <w:spacing w:line="360" w:lineRule="exact"/>
              <w:rPr>
                <w:rFonts w:ascii="微软雅黑" w:hAnsi="微软雅黑" w:eastAsia="微软雅黑" w:cs="微软雅黑"/>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60" w:lineRule="exact"/>
              <w:ind w:firstLine="424" w:firstLineChars="180"/>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结论：通过评审打“√”，未通过评审打“×”</w:t>
            </w:r>
          </w:p>
        </w:tc>
        <w:tc>
          <w:tcPr>
            <w:tcW w:w="1637" w:type="dxa"/>
            <w:vAlign w:val="center"/>
          </w:tcPr>
          <w:p>
            <w:pPr>
              <w:spacing w:line="360" w:lineRule="exact"/>
              <w:ind w:firstLine="424" w:firstLineChars="180"/>
              <w:rPr>
                <w:rFonts w:ascii="微软雅黑" w:hAnsi="微软雅黑" w:eastAsia="微软雅黑" w:cs="微软雅黑"/>
                <w:color w:val="auto"/>
                <w:spacing w:val="-2"/>
                <w:sz w:val="24"/>
                <w:highlight w:val="none"/>
              </w:rPr>
            </w:pPr>
          </w:p>
        </w:tc>
      </w:tr>
    </w:tbl>
    <w:p>
      <w:pPr>
        <w:spacing w:line="360" w:lineRule="exact"/>
        <w:ind w:left="6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pPr>
        <w:spacing w:line="360" w:lineRule="exact"/>
        <w:ind w:left="6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（1）上述各项中用“√”表示合格，“×”表示不合格；</w:t>
      </w:r>
    </w:p>
    <w:p>
      <w:pPr>
        <w:spacing w:line="360" w:lineRule="exact"/>
        <w:ind w:left="779" w:leftChars="28" w:hanging="720" w:hangingChars="3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（2）上述各项中如有一项为“×”，则结论为“×”，表示该投标文件中存在重大偏差，不能通过初步评审；评委对某一分项评审认为不合格时，必须要写明原因。</w:t>
      </w:r>
    </w:p>
    <w:p>
      <w:pPr>
        <w:pStyle w:val="2"/>
        <w:spacing w:line="360" w:lineRule="exact"/>
        <w:ind w:firstLine="0"/>
        <w:jc w:val="both"/>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（3）投标文件最终合格与否，以所有评委的评审意见中少数服从多数为原则定论。</w:t>
      </w:r>
    </w:p>
    <w:p>
      <w:pPr>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未通过符合性审查的投标人不进入评标；通过符合性审查的投标人少于不足三家的，不得评标。</w:t>
      </w:r>
    </w:p>
    <w:p>
      <w:pPr>
        <w:pStyle w:val="2"/>
        <w:spacing w:line="300" w:lineRule="auto"/>
        <w:ind w:firstLine="0"/>
        <w:rPr>
          <w:rFonts w:hAnsi="宋体" w:cs="宋体"/>
          <w:color w:val="auto"/>
          <w:sz w:val="21"/>
          <w:szCs w:val="21"/>
          <w:highlight w:val="none"/>
        </w:rPr>
        <w:sectPr>
          <w:headerReference r:id="rId7" w:type="default"/>
          <w:footerReference r:id="rId8" w:type="default"/>
          <w:pgSz w:w="11905" w:h="16838"/>
          <w:pgMar w:top="1440" w:right="1797" w:bottom="1440" w:left="1797" w:header="851" w:footer="992" w:gutter="0"/>
          <w:cols w:space="0" w:num="1"/>
          <w:docGrid w:linePitch="312" w:charSpace="0"/>
        </w:sectPr>
      </w:pPr>
    </w:p>
    <w:p>
      <w:pPr>
        <w:pStyle w:val="9"/>
        <w:tabs>
          <w:tab w:val="clear" w:pos="567"/>
        </w:tabs>
        <w:spacing w:before="0" w:line="360" w:lineRule="auto"/>
        <w:ind w:left="-181" w:leftChars="-86" w:firstLine="577" w:firstLineChars="275"/>
        <w:rPr>
          <w:rFonts w:cs="宋体"/>
          <w:i/>
          <w:color w:val="auto"/>
          <w:sz w:val="21"/>
          <w:szCs w:val="21"/>
          <w:highlight w:val="none"/>
        </w:rPr>
      </w:pPr>
    </w:p>
    <w:tbl>
      <w:tblPr>
        <w:tblStyle w:val="35"/>
        <w:tblW w:w="8700" w:type="dxa"/>
        <w:tblInd w:w="108" w:type="dxa"/>
        <w:tblLayout w:type="fixed"/>
        <w:tblCellMar>
          <w:top w:w="0" w:type="dxa"/>
          <w:left w:w="108" w:type="dxa"/>
          <w:bottom w:w="0" w:type="dxa"/>
          <w:right w:w="108" w:type="dxa"/>
        </w:tblCellMar>
      </w:tblPr>
      <w:tblGrid>
        <w:gridCol w:w="2362"/>
        <w:gridCol w:w="2610"/>
        <w:gridCol w:w="988"/>
        <w:gridCol w:w="112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400" w:lineRule="exact"/>
              <w:jc w:val="center"/>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sz w:val="24"/>
                <w:highlight w:val="none"/>
              </w:rPr>
              <w:t>初步评审—</w:t>
            </w:r>
            <w:r>
              <w:rPr>
                <w:rFonts w:hint="eastAsia" w:ascii="微软雅黑" w:hAnsi="微软雅黑" w:eastAsia="微软雅黑" w:cs="微软雅黑"/>
                <w:b/>
                <w:bCs/>
                <w:color w:val="auto"/>
                <w:kern w:val="0"/>
                <w:sz w:val="24"/>
                <w:highlight w:val="none"/>
              </w:rPr>
              <w:t>商务符合性审查表</w:t>
            </w:r>
          </w:p>
        </w:tc>
      </w:tr>
      <w:tr>
        <w:tblPrEx>
          <w:tblCellMar>
            <w:top w:w="0" w:type="dxa"/>
            <w:left w:w="108" w:type="dxa"/>
            <w:bottom w:w="0" w:type="dxa"/>
            <w:right w:w="108" w:type="dxa"/>
          </w:tblCellMar>
        </w:tblPrEx>
        <w:trPr>
          <w:trHeight w:val="319" w:hRule="atLeast"/>
        </w:trPr>
        <w:tc>
          <w:tcPr>
            <w:tcW w:w="4972" w:type="dxa"/>
            <w:gridSpan w:val="2"/>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审查事项</w:t>
            </w:r>
          </w:p>
        </w:tc>
        <w:tc>
          <w:tcPr>
            <w:tcW w:w="37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投标人</w:t>
            </w:r>
          </w:p>
        </w:tc>
      </w:tr>
      <w:tr>
        <w:tblPrEx>
          <w:tblCellMar>
            <w:top w:w="0" w:type="dxa"/>
            <w:left w:w="108" w:type="dxa"/>
            <w:bottom w:w="0" w:type="dxa"/>
            <w:right w:w="108" w:type="dxa"/>
          </w:tblCellMar>
        </w:tblPrEx>
        <w:trPr>
          <w:trHeight w:val="514" w:hRule="atLeast"/>
        </w:trPr>
        <w:tc>
          <w:tcPr>
            <w:tcW w:w="4972" w:type="dxa"/>
            <w:gridSpan w:val="2"/>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b/>
                <w:color w:val="auto"/>
                <w:kern w:val="0"/>
                <w:sz w:val="24"/>
                <w:highlight w:val="none"/>
              </w:rPr>
            </w:pPr>
          </w:p>
        </w:tc>
        <w:tc>
          <w:tcPr>
            <w:tcW w:w="37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审查情况</w:t>
            </w:r>
          </w:p>
        </w:tc>
      </w:tr>
      <w:tr>
        <w:tblPrEx>
          <w:tblCellMar>
            <w:top w:w="0" w:type="dxa"/>
            <w:left w:w="108" w:type="dxa"/>
            <w:bottom w:w="0" w:type="dxa"/>
            <w:right w:w="108" w:type="dxa"/>
          </w:tblCellMar>
        </w:tblPrEx>
        <w:trPr>
          <w:trHeight w:val="57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招标文件条款（投标人须知、投标人须知资料表条款号）</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本项目要求</w:t>
            </w:r>
          </w:p>
        </w:tc>
        <w:tc>
          <w:tcPr>
            <w:tcW w:w="98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blPrEx>
          <w:tblCellMar>
            <w:top w:w="0" w:type="dxa"/>
            <w:left w:w="108" w:type="dxa"/>
            <w:bottom w:w="0" w:type="dxa"/>
            <w:right w:w="108" w:type="dxa"/>
          </w:tblCellMar>
        </w:tblPrEx>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中小企业投标要求（1.3.5）</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本项目</w:t>
            </w:r>
            <w:r>
              <w:rPr>
                <w:rFonts w:hint="eastAsia" w:ascii="微软雅黑" w:hAnsi="微软雅黑" w:eastAsia="微软雅黑" w:cs="微软雅黑"/>
                <w:i/>
                <w:color w:val="auto"/>
                <w:kern w:val="0"/>
                <w:sz w:val="24"/>
                <w:highlight w:val="none"/>
                <w:u w:val="single"/>
              </w:rPr>
              <w:t>不适用</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联合体投标规定</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（1.4）</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本项目</w:t>
            </w:r>
            <w:r>
              <w:rPr>
                <w:rFonts w:hint="eastAsia" w:ascii="微软雅黑" w:hAnsi="微软雅黑" w:eastAsia="微软雅黑" w:cs="微软雅黑"/>
                <w:i/>
                <w:color w:val="auto"/>
                <w:kern w:val="0"/>
                <w:sz w:val="24"/>
                <w:highlight w:val="none"/>
                <w:u w:val="single"/>
              </w:rPr>
              <w:t>不接受联合体投标</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投标人的关联性</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（1.5）</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在同一标包内，单位负责人非同一人或者不存在直接控股、管理关系的不同供应商。 </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未参与其他服务</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（1.6）</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未为本项目提供整体设计、规范编制或者项目管理、监理、检测等服务。</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未发现影响采购人决策行为（1.7）</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投标人在投标过程中未向采购人提供、给予任何有价值的物品，影响其正常决策行为。</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满足投标范围的完整性要求</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（8.1）</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 xml:space="preserve">投标人对所投分包招标文件中所列的所有内容进行投标。 </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未包含价格调整要求</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（11.4）</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投标人所报的各分项投标报价在合同履行过程中是固定不变的，不得以任何理由予以变更。</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投标保证金（12.1）</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符合招标文件要求</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投标有效期满足要求</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（13.1）</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自提交投标文件截止之日起</w:t>
            </w:r>
            <w:r>
              <w:rPr>
                <w:rFonts w:hint="eastAsia" w:ascii="微软雅黑" w:hAnsi="微软雅黑" w:eastAsia="微软雅黑" w:cs="微软雅黑"/>
                <w:color w:val="auto"/>
                <w:sz w:val="24"/>
                <w:highlight w:val="none"/>
                <w:u w:val="single"/>
              </w:rPr>
              <w:t xml:space="preserve"> 60日</w:t>
            </w:r>
            <w:r>
              <w:rPr>
                <w:rFonts w:hint="eastAsia" w:ascii="微软雅黑" w:hAnsi="微软雅黑" w:eastAsia="微软雅黑" w:cs="微软雅黑"/>
                <w:color w:val="auto"/>
                <w:sz w:val="24"/>
                <w:highlight w:val="none"/>
              </w:rPr>
              <w:t>历日</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投标文件的签署和盖章符合要求</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（14.2、14.4）</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按照招标文件规定要求签署、盖章。</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投标文件的装订方式</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（14.3）</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所有投标文件采用不可拆装的胶订方式装订</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接受价格的算术修正</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（20.2）</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投标文件报价出现前后不一致的，应按照招标文件规定的顺序修正。</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符合强制采购节能产品要求</w:t>
            </w:r>
          </w:p>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（20.3）</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本项目</w:t>
            </w:r>
            <w:r>
              <w:rPr>
                <w:rFonts w:hint="eastAsia" w:ascii="微软雅黑" w:hAnsi="微软雅黑" w:eastAsia="微软雅黑" w:cs="微软雅黑"/>
                <w:i/>
                <w:color w:val="auto"/>
                <w:kern w:val="0"/>
                <w:sz w:val="24"/>
                <w:highlight w:val="none"/>
                <w:u w:val="single"/>
              </w:rPr>
              <w:t>不适用</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未发现串通投标（22.2）</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未与其他投标人串通投标，或者与招标人串通投标。</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报价说明可以接受（22.2）</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投标人的报价明显低于其他通过符合性审查投标人的报价，有可能影响履约的，投标人能按照规定证明其报价合理性。</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10" w:hRule="atLeast"/>
        </w:trPr>
        <w:tc>
          <w:tcPr>
            <w:tcW w:w="236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无采购人不能接受的附加条件（22.2）</w:t>
            </w:r>
          </w:p>
        </w:tc>
        <w:tc>
          <w:tcPr>
            <w:tcW w:w="261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 xml:space="preserve">投标文件未含有采购人不能接受的附加条件。 </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微软雅黑"/>
                <w:color w:val="auto"/>
                <w:kern w:val="0"/>
                <w:sz w:val="24"/>
                <w:highlight w:val="none"/>
              </w:rPr>
            </w:pPr>
          </w:p>
        </w:tc>
      </w:tr>
      <w:tr>
        <w:trPr>
          <w:trHeight w:val="774" w:hRule="atLeast"/>
        </w:trPr>
        <w:tc>
          <w:tcPr>
            <w:tcW w:w="497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b/>
                <w:color w:val="auto"/>
                <w:sz w:val="24"/>
                <w:highlight w:val="none"/>
              </w:rPr>
            </w:pPr>
            <w:r>
              <w:rPr>
                <w:rFonts w:hint="eastAsia" w:ascii="微软雅黑" w:hAnsi="微软雅黑" w:eastAsia="微软雅黑" w:cs="微软雅黑"/>
                <w:b/>
                <w:color w:val="auto"/>
                <w:kern w:val="0"/>
                <w:sz w:val="24"/>
                <w:highlight w:val="none"/>
              </w:rPr>
              <w:t>结论</w:t>
            </w:r>
          </w:p>
        </w:tc>
        <w:tc>
          <w:tcPr>
            <w:tcW w:w="98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p>
        </w:tc>
        <w:tc>
          <w:tcPr>
            <w:tcW w:w="112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微软雅黑" w:hAnsi="微软雅黑" w:eastAsia="微软雅黑" w:cs="微软雅黑"/>
                <w:color w:val="auto"/>
                <w:kern w:val="0"/>
                <w:sz w:val="24"/>
                <w:highlight w:val="none"/>
              </w:rPr>
            </w:pPr>
          </w:p>
        </w:tc>
      </w:tr>
    </w:tbl>
    <w:p>
      <w:pPr>
        <w:pStyle w:val="9"/>
        <w:tabs>
          <w:tab w:val="clear" w:pos="567"/>
        </w:tabs>
        <w:spacing w:before="0" w:line="360" w:lineRule="auto"/>
        <w:ind w:left="-181" w:leftChars="-86" w:firstLine="577" w:firstLineChars="275"/>
        <w:rPr>
          <w:rFonts w:cs="宋体"/>
          <w:color w:val="auto"/>
          <w:sz w:val="21"/>
          <w:szCs w:val="21"/>
          <w:highlight w:val="none"/>
        </w:rPr>
      </w:pPr>
      <w:r>
        <w:rPr>
          <w:rFonts w:hint="eastAsia" w:cs="宋体"/>
          <w:color w:val="auto"/>
          <w:sz w:val="21"/>
          <w:szCs w:val="21"/>
          <w:highlight w:val="none"/>
        </w:rPr>
        <w:br w:type="page"/>
      </w:r>
    </w:p>
    <w:tbl>
      <w:tblPr>
        <w:tblStyle w:val="35"/>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rPr>
          <w:trHeight w:val="585" w:hRule="atLeast"/>
        </w:trPr>
        <w:tc>
          <w:tcPr>
            <w:tcW w:w="8700" w:type="dxa"/>
            <w:gridSpan w:val="5"/>
            <w:tcBorders>
              <w:top w:val="nil"/>
              <w:left w:val="nil"/>
              <w:bottom w:val="single" w:color="auto" w:sz="4" w:space="0"/>
              <w:right w:val="nil"/>
            </w:tcBorders>
            <w:vAlign w:val="center"/>
          </w:tcPr>
          <w:p>
            <w:pPr>
              <w:widowControl/>
              <w:jc w:val="center"/>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sz w:val="24"/>
                <w:highlight w:val="none"/>
              </w:rPr>
              <w:t>初步评审—</w:t>
            </w:r>
            <w:r>
              <w:rPr>
                <w:rFonts w:hint="eastAsia" w:ascii="微软雅黑" w:hAnsi="微软雅黑" w:eastAsia="微软雅黑" w:cs="微软雅黑"/>
                <w:b/>
                <w:bCs/>
                <w:color w:val="auto"/>
                <w:kern w:val="0"/>
                <w:sz w:val="24"/>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审查事项</w:t>
            </w:r>
          </w:p>
        </w:tc>
        <w:tc>
          <w:tcPr>
            <w:tcW w:w="1505"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投标人名称</w:t>
            </w:r>
          </w:p>
        </w:tc>
        <w:tc>
          <w:tcPr>
            <w:tcW w:w="1843"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投标人名称</w:t>
            </w:r>
          </w:p>
        </w:tc>
        <w:tc>
          <w:tcPr>
            <w:tcW w:w="161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投标人名称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招标文件要求</w:t>
            </w: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条款号</w:t>
            </w: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采购需求</w:t>
            </w: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第5章</w:t>
            </w: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nil"/>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nil"/>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nil"/>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nil"/>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nil"/>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9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p>
        </w:tc>
        <w:tc>
          <w:tcPr>
            <w:tcW w:w="1505"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结论</w:t>
            </w:r>
          </w:p>
        </w:tc>
        <w:tc>
          <w:tcPr>
            <w:tcW w:w="1505"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161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bl>
    <w:p>
      <w:pPr>
        <w:spacing w:line="300" w:lineRule="auto"/>
        <w:jc w:val="center"/>
        <w:rPr>
          <w:rFonts w:ascii="宋体" w:hAnsi="宋体" w:cs="宋体"/>
          <w:b/>
          <w:bCs/>
          <w:color w:val="auto"/>
          <w:szCs w:val="21"/>
          <w:highlight w:val="none"/>
        </w:rPr>
      </w:pPr>
    </w:p>
    <w:p>
      <w:pPr>
        <w:pStyle w:val="2"/>
        <w:ind w:firstLine="0"/>
        <w:rPr>
          <w:color w:val="auto"/>
          <w:sz w:val="30"/>
          <w:szCs w:val="30"/>
          <w:highlight w:val="none"/>
        </w:rPr>
      </w:pPr>
    </w:p>
    <w:p>
      <w:pPr>
        <w:pStyle w:val="2"/>
        <w:ind w:firstLine="0"/>
        <w:rPr>
          <w:color w:val="auto"/>
          <w:sz w:val="30"/>
          <w:szCs w:val="30"/>
          <w:highlight w:val="none"/>
        </w:rPr>
      </w:pPr>
    </w:p>
    <w:p>
      <w:pPr>
        <w:rPr>
          <w:color w:val="auto"/>
          <w:sz w:val="30"/>
          <w:szCs w:val="30"/>
          <w:highlight w:val="none"/>
        </w:rPr>
      </w:pPr>
    </w:p>
    <w:p>
      <w:pPr>
        <w:pStyle w:val="25"/>
        <w:rPr>
          <w:color w:val="auto"/>
          <w:sz w:val="30"/>
          <w:szCs w:val="30"/>
          <w:highlight w:val="none"/>
        </w:rPr>
      </w:pPr>
    </w:p>
    <w:p>
      <w:pPr>
        <w:pStyle w:val="25"/>
        <w:rPr>
          <w:color w:val="auto"/>
          <w:sz w:val="30"/>
          <w:szCs w:val="30"/>
          <w:highlight w:val="none"/>
        </w:rPr>
      </w:pPr>
    </w:p>
    <w:tbl>
      <w:tblPr>
        <w:tblStyle w:val="36"/>
        <w:tblpPr w:leftFromText="180" w:rightFromText="180" w:vertAnchor="text" w:tblpX="10201" w:tblpY="3136"/>
        <w:tblOverlap w:val="never"/>
        <w:tblW w:w="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776" w:type="dxa"/>
          </w:tcPr>
          <w:p>
            <w:pPr>
              <w:spacing w:line="300" w:lineRule="auto"/>
              <w:jc w:val="center"/>
              <w:outlineLvl w:val="1"/>
              <w:rPr>
                <w:rFonts w:ascii="宋体" w:hAnsi="宋体" w:cs="宋体"/>
                <w:b/>
                <w:bCs/>
                <w:color w:val="auto"/>
                <w:sz w:val="30"/>
                <w:szCs w:val="30"/>
                <w:highlight w:val="none"/>
              </w:rPr>
            </w:pPr>
            <w:bookmarkStart w:id="437" w:name="_Toc19967"/>
            <w:bookmarkStart w:id="438" w:name="_Toc31737"/>
            <w:bookmarkStart w:id="439" w:name="_Toc11449"/>
            <w:bookmarkStart w:id="440" w:name="_Toc3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776" w:type="dxa"/>
          </w:tcPr>
          <w:p>
            <w:pPr>
              <w:spacing w:line="300" w:lineRule="auto"/>
              <w:jc w:val="center"/>
              <w:outlineLvl w:val="1"/>
              <w:rPr>
                <w:rFonts w:ascii="宋体" w:hAnsi="宋体" w:cs="宋体"/>
                <w:b/>
                <w:bCs/>
                <w:color w:val="auto"/>
                <w:sz w:val="30"/>
                <w:szCs w:val="30"/>
                <w:highlight w:val="none"/>
              </w:rPr>
            </w:pPr>
          </w:p>
        </w:tc>
      </w:tr>
    </w:tbl>
    <w:tbl>
      <w:tblPr>
        <w:tblStyle w:val="36"/>
        <w:tblpPr w:leftFromText="180" w:rightFromText="180" w:vertAnchor="text" w:tblpX="10201" w:tblpY="5401"/>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tcPr>
          <w:p>
            <w:pPr>
              <w:spacing w:line="300" w:lineRule="auto"/>
              <w:jc w:val="center"/>
              <w:outlineLvl w:val="1"/>
              <w:rPr>
                <w:rFonts w:ascii="宋体" w:hAnsi="宋体" w:cs="宋体"/>
                <w:b/>
                <w:bCs/>
                <w:color w:val="auto"/>
                <w:sz w:val="30"/>
                <w:szCs w:val="30"/>
                <w:highlight w:val="none"/>
              </w:rPr>
            </w:pPr>
          </w:p>
        </w:tc>
      </w:tr>
    </w:tbl>
    <w:tbl>
      <w:tblPr>
        <w:tblStyle w:val="36"/>
        <w:tblpPr w:leftFromText="180" w:rightFromText="180" w:vertAnchor="text" w:tblpX="10201" w:tblpY="3112"/>
        <w:tblOverlap w:val="never"/>
        <w:tblW w:w="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643" w:type="dxa"/>
          </w:tcPr>
          <w:p>
            <w:pPr>
              <w:spacing w:line="300" w:lineRule="auto"/>
              <w:jc w:val="center"/>
              <w:outlineLvl w:val="1"/>
              <w:rPr>
                <w:rFonts w:ascii="宋体" w:hAnsi="宋体" w:cs="宋体"/>
                <w:b/>
                <w:bCs/>
                <w:color w:val="auto"/>
                <w:sz w:val="30"/>
                <w:szCs w:val="30"/>
                <w:highlight w:val="none"/>
              </w:rPr>
            </w:pPr>
          </w:p>
        </w:tc>
      </w:tr>
    </w:tbl>
    <w:p>
      <w:pPr>
        <w:spacing w:line="300" w:lineRule="auto"/>
        <w:jc w:val="center"/>
        <w:outlineLvl w:val="1"/>
        <w:rPr>
          <w:rFonts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详细评审-综合评分表</w:t>
      </w:r>
      <w:bookmarkEnd w:id="437"/>
      <w:bookmarkEnd w:id="438"/>
      <w:bookmarkEnd w:id="439"/>
      <w:bookmarkEnd w:id="440"/>
      <w:bookmarkStart w:id="441" w:name="_Toc507399904"/>
    </w:p>
    <w:tbl>
      <w:tblPr>
        <w:tblStyle w:val="35"/>
        <w:tblW w:w="88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2"/>
        <w:gridCol w:w="1667"/>
        <w:gridCol w:w="1014"/>
        <w:gridCol w:w="5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72" w:type="dxa"/>
            <w:tcBorders>
              <w:tl2br w:val="nil"/>
              <w:tr2bl w:val="nil"/>
            </w:tcBorders>
            <w:tcMar>
              <w:top w:w="0" w:type="dxa"/>
              <w:left w:w="108" w:type="dxa"/>
              <w:bottom w:w="0" w:type="dxa"/>
              <w:right w:w="108" w:type="dxa"/>
            </w:tcMar>
            <w:vAlign w:val="center"/>
          </w:tcPr>
          <w:p>
            <w:pPr>
              <w:spacing w:line="440" w:lineRule="exact"/>
              <w:jc w:val="center"/>
              <w:rPr>
                <w:rFonts w:ascii="微软雅黑" w:hAnsi="微软雅黑" w:eastAsia="微软雅黑" w:cs="微软雅黑"/>
                <w:b/>
                <w:bCs/>
                <w:color w:val="auto"/>
                <w:sz w:val="24"/>
                <w:highlight w:val="none"/>
              </w:rPr>
            </w:pPr>
            <w:bookmarkStart w:id="442" w:name="_Toc6865"/>
            <w:bookmarkStart w:id="443" w:name="_Toc4796"/>
            <w:bookmarkStart w:id="444" w:name="_Toc10018"/>
            <w:bookmarkStart w:id="445" w:name="_Toc515647833"/>
            <w:bookmarkStart w:id="446" w:name="_Toc28085"/>
            <w:r>
              <w:rPr>
                <w:rFonts w:hint="eastAsia" w:ascii="微软雅黑" w:hAnsi="微软雅黑" w:eastAsia="微软雅黑" w:cs="微软雅黑"/>
                <w:b/>
                <w:bCs/>
                <w:color w:val="auto"/>
                <w:sz w:val="24"/>
                <w:highlight w:val="none"/>
              </w:rPr>
              <w:t>标注</w:t>
            </w:r>
          </w:p>
        </w:tc>
        <w:tc>
          <w:tcPr>
            <w:tcW w:w="1667" w:type="dxa"/>
            <w:tcBorders>
              <w:tl2br w:val="nil"/>
              <w:tr2bl w:val="nil"/>
            </w:tcBorders>
            <w:tcMar>
              <w:top w:w="0" w:type="dxa"/>
              <w:left w:w="108" w:type="dxa"/>
              <w:bottom w:w="0" w:type="dxa"/>
              <w:right w:w="108" w:type="dxa"/>
            </w:tcMar>
            <w:vAlign w:val="center"/>
          </w:tcPr>
          <w:p>
            <w:pPr>
              <w:spacing w:line="440" w:lineRule="exact"/>
              <w:jc w:val="cente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评审项目</w:t>
            </w:r>
          </w:p>
        </w:tc>
        <w:tc>
          <w:tcPr>
            <w:tcW w:w="1014" w:type="dxa"/>
            <w:tcBorders>
              <w:tl2br w:val="nil"/>
              <w:tr2bl w:val="nil"/>
            </w:tcBorders>
            <w:tcMar>
              <w:top w:w="0" w:type="dxa"/>
              <w:left w:w="108" w:type="dxa"/>
              <w:bottom w:w="0" w:type="dxa"/>
              <w:right w:w="108" w:type="dxa"/>
            </w:tcMar>
            <w:vAlign w:val="center"/>
          </w:tcPr>
          <w:p>
            <w:pPr>
              <w:spacing w:line="440" w:lineRule="exact"/>
              <w:jc w:val="cente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标准分</w:t>
            </w:r>
          </w:p>
        </w:tc>
        <w:tc>
          <w:tcPr>
            <w:tcW w:w="5359" w:type="dxa"/>
            <w:tcBorders>
              <w:tl2br w:val="nil"/>
              <w:tr2bl w:val="nil"/>
            </w:tcBorders>
            <w:tcMar>
              <w:top w:w="0" w:type="dxa"/>
              <w:left w:w="108" w:type="dxa"/>
              <w:bottom w:w="0" w:type="dxa"/>
              <w:right w:w="108" w:type="dxa"/>
            </w:tcMar>
            <w:vAlign w:val="center"/>
          </w:tcPr>
          <w:p>
            <w:pPr>
              <w:spacing w:line="440" w:lineRule="exact"/>
              <w:jc w:val="center"/>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报价部分</w:t>
            </w:r>
          </w:p>
        </w:tc>
        <w:tc>
          <w:tcPr>
            <w:tcW w:w="1014"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10分</w:t>
            </w:r>
          </w:p>
        </w:tc>
        <w:tc>
          <w:tcPr>
            <w:tcW w:w="5359" w:type="dxa"/>
            <w:tcBorders>
              <w:tl2br w:val="nil"/>
              <w:tr2bl w:val="nil"/>
            </w:tcBorders>
            <w:tcMar>
              <w:top w:w="0" w:type="dxa"/>
              <w:left w:w="108" w:type="dxa"/>
              <w:bottom w:w="0" w:type="dxa"/>
              <w:right w:w="108" w:type="dxa"/>
            </w:tcMar>
            <w:vAlign w:val="center"/>
          </w:tcPr>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满足招标文件要求且投标价格最低的投标报价为评标基准价，其价格分为满分10分。其他投标人的价格分统一按照下列公式计算：</w:t>
            </w:r>
          </w:p>
          <w:p>
            <w:pPr>
              <w:spacing w:line="40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投标报价得分=(评标基准价／投标报价)×价格权值×100%（价格权值为10分）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B</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技术和</w:t>
            </w:r>
          </w:p>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商务部分</w:t>
            </w:r>
          </w:p>
        </w:tc>
        <w:tc>
          <w:tcPr>
            <w:tcW w:w="6373" w:type="dxa"/>
            <w:gridSpan w:val="2"/>
            <w:tcBorders>
              <w:tl2br w:val="nil"/>
              <w:tr2bl w:val="nil"/>
            </w:tcBorders>
            <w:tcMar>
              <w:top w:w="0" w:type="dxa"/>
              <w:left w:w="108" w:type="dxa"/>
              <w:bottom w:w="0" w:type="dxa"/>
              <w:right w:w="108" w:type="dxa"/>
            </w:tcMar>
            <w:vAlign w:val="center"/>
          </w:tcPr>
          <w:p>
            <w:pPr>
              <w:spacing w:line="400" w:lineRule="exact"/>
              <w:ind w:firstLine="240" w:firstLineChars="100"/>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90分（各投标人技术和商务部分得分为去掉各评委评分中最高分和最低分后的平均值。）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技术响应</w:t>
            </w:r>
          </w:p>
        </w:tc>
        <w:tc>
          <w:tcPr>
            <w:tcW w:w="1014" w:type="dxa"/>
            <w:tcBorders>
              <w:tl2br w:val="nil"/>
              <w:tr2bl w:val="nil"/>
            </w:tcBorders>
            <w:tcMar>
              <w:top w:w="0" w:type="dxa"/>
              <w:left w:w="108" w:type="dxa"/>
              <w:bottom w:w="0" w:type="dxa"/>
              <w:right w:w="108" w:type="dxa"/>
            </w:tcMar>
            <w:vAlign w:val="center"/>
          </w:tcPr>
          <w:p>
            <w:pPr>
              <w:snapToGrid w:val="0"/>
              <w:spacing w:before="100" w:beforeAutospacing="1" w:after="100" w:afterAutospacing="1" w:line="400" w:lineRule="exact"/>
              <w:ind w:left="65" w:leftChars="-51" w:hanging="172" w:hangingChars="72"/>
              <w:jc w:val="center"/>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35</w:t>
            </w:r>
          </w:p>
        </w:tc>
        <w:tc>
          <w:tcPr>
            <w:tcW w:w="5359" w:type="dxa"/>
            <w:tcBorders>
              <w:tl2br w:val="nil"/>
              <w:tr2bl w:val="nil"/>
            </w:tcBorders>
            <w:tcMar>
              <w:top w:w="0" w:type="dxa"/>
              <w:left w:w="108" w:type="dxa"/>
              <w:bottom w:w="0" w:type="dxa"/>
              <w:right w:w="108" w:type="dxa"/>
            </w:tcMar>
            <w:vAlign w:val="center"/>
          </w:tcPr>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产品服务要求完全满足 招标文件 第五章 采购需求中带“★”项要求的得35分；每有一项负偏离的扣2分，扣完为止。</w:t>
            </w:r>
            <w:r>
              <w:rPr>
                <w:rFonts w:hint="eastAsia" w:ascii="微软雅黑" w:hAnsi="微软雅黑" w:eastAsia="微软雅黑" w:cs="微软雅黑"/>
                <w:b/>
                <w:bCs/>
                <w:color w:val="auto"/>
                <w:kern w:val="2"/>
                <w:sz w:val="24"/>
                <w:szCs w:val="24"/>
                <w:highlight w:val="none"/>
              </w:rPr>
              <w:t>需提供相应的证明材料，未提供视为不满足。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1667" w:type="dxa"/>
            <w:tcBorders>
              <w:tl2br w:val="nil"/>
              <w:tr2bl w:val="nil"/>
            </w:tcBorders>
            <w:tcMar>
              <w:top w:w="0" w:type="dxa"/>
              <w:left w:w="108" w:type="dxa"/>
              <w:bottom w:w="0" w:type="dxa"/>
              <w:right w:w="108" w:type="dxa"/>
            </w:tcMar>
            <w:vAlign w:val="center"/>
          </w:tcPr>
          <w:p>
            <w:pPr>
              <w:pStyle w:val="2"/>
              <w:ind w:firstLine="0"/>
              <w:jc w:val="center"/>
              <w:rPr>
                <w:color w:val="auto"/>
                <w:highlight w:val="none"/>
              </w:rPr>
            </w:pPr>
            <w:r>
              <w:rPr>
                <w:rFonts w:hint="eastAsia" w:ascii="微软雅黑" w:hAnsi="微软雅黑" w:eastAsia="微软雅黑" w:cs="微软雅黑"/>
                <w:color w:val="auto"/>
                <w:szCs w:val="24"/>
                <w:highlight w:val="none"/>
              </w:rPr>
              <w:t>实施方案</w:t>
            </w:r>
          </w:p>
        </w:tc>
        <w:tc>
          <w:tcPr>
            <w:tcW w:w="1014" w:type="dxa"/>
            <w:tcBorders>
              <w:tl2br w:val="nil"/>
              <w:tr2bl w:val="nil"/>
            </w:tcBorders>
            <w:tcMar>
              <w:top w:w="0" w:type="dxa"/>
              <w:left w:w="108" w:type="dxa"/>
              <w:bottom w:w="0" w:type="dxa"/>
              <w:right w:w="108" w:type="dxa"/>
            </w:tcMar>
            <w:vAlign w:val="center"/>
          </w:tcPr>
          <w:p>
            <w:pPr>
              <w:snapToGrid w:val="0"/>
              <w:spacing w:before="100" w:beforeAutospacing="1" w:after="100" w:afterAutospacing="1" w:line="400" w:lineRule="exact"/>
              <w:ind w:left="65" w:leftChars="-51" w:hanging="172" w:hangingChars="72"/>
              <w:jc w:val="center"/>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w:t>
            </w:r>
          </w:p>
        </w:tc>
        <w:tc>
          <w:tcPr>
            <w:tcW w:w="5359" w:type="dxa"/>
            <w:tcBorders>
              <w:tl2br w:val="nil"/>
              <w:tr2bl w:val="nil"/>
            </w:tcBorders>
            <w:tcMar>
              <w:top w:w="0" w:type="dxa"/>
              <w:left w:w="108" w:type="dxa"/>
              <w:bottom w:w="0" w:type="dxa"/>
              <w:right w:w="108" w:type="dxa"/>
            </w:tcMar>
            <w:vAlign w:val="center"/>
          </w:tcPr>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梳理从合同签署到项目验收所有环节建设流程，提供需求沟通、方案设计、环境勘察，并出具实施方案。优秀得8</w:t>
            </w:r>
            <w:r>
              <w:rPr>
                <w:rFonts w:hint="eastAsia" w:ascii="微软雅黑" w:hAnsi="微软雅黑" w:eastAsia="微软雅黑" w:cs="微软雅黑"/>
                <w:color w:val="auto"/>
                <w:sz w:val="24"/>
                <w:szCs w:val="24"/>
                <w:highlight w:val="none"/>
              </w:rPr>
              <w:t>～10</w:t>
            </w:r>
            <w:r>
              <w:rPr>
                <w:rFonts w:hint="eastAsia" w:ascii="微软雅黑" w:hAnsi="微软雅黑" w:eastAsia="微软雅黑" w:cs="微软雅黑"/>
                <w:color w:val="auto"/>
                <w:kern w:val="2"/>
                <w:sz w:val="24"/>
                <w:szCs w:val="24"/>
                <w:highlight w:val="none"/>
              </w:rPr>
              <w:t>分、良好得4</w:t>
            </w: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kern w:val="2"/>
                <w:sz w:val="24"/>
                <w:szCs w:val="24"/>
                <w:highlight w:val="none"/>
              </w:rPr>
              <w:t>分、一般得0</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kern w:val="2"/>
                <w:sz w:val="24"/>
                <w:szCs w:val="24"/>
                <w:highlight w:val="none"/>
              </w:rPr>
              <w:t>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资源配备</w:t>
            </w:r>
          </w:p>
        </w:tc>
        <w:tc>
          <w:tcPr>
            <w:tcW w:w="1014" w:type="dxa"/>
            <w:tcBorders>
              <w:tl2br w:val="nil"/>
              <w:tr2bl w:val="nil"/>
            </w:tcBorders>
            <w:tcMar>
              <w:top w:w="0" w:type="dxa"/>
              <w:left w:w="108" w:type="dxa"/>
              <w:bottom w:w="0" w:type="dxa"/>
              <w:right w:w="108" w:type="dxa"/>
            </w:tcMar>
            <w:vAlign w:val="center"/>
          </w:tcPr>
          <w:p>
            <w:pPr>
              <w:snapToGrid w:val="0"/>
              <w:spacing w:before="100" w:beforeAutospacing="1" w:after="100" w:afterAutospacing="1" w:line="400" w:lineRule="exact"/>
              <w:ind w:left="65" w:leftChars="-51" w:hanging="172" w:hangingChars="72"/>
              <w:jc w:val="center"/>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w:t>
            </w:r>
          </w:p>
        </w:tc>
        <w:tc>
          <w:tcPr>
            <w:tcW w:w="5359" w:type="dxa"/>
            <w:tcBorders>
              <w:tl2br w:val="nil"/>
              <w:tr2bl w:val="nil"/>
            </w:tcBorders>
            <w:tcMar>
              <w:top w:w="0" w:type="dxa"/>
              <w:left w:w="108" w:type="dxa"/>
              <w:bottom w:w="0" w:type="dxa"/>
              <w:right w:w="108" w:type="dxa"/>
            </w:tcMar>
            <w:vAlign w:val="center"/>
          </w:tcPr>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提供项目供货计划、进度安排以及实施团队的组织架构、人员基本信息等。优秀得8</w:t>
            </w:r>
            <w:r>
              <w:rPr>
                <w:rFonts w:hint="eastAsia" w:ascii="微软雅黑" w:hAnsi="微软雅黑" w:eastAsia="微软雅黑" w:cs="微软雅黑"/>
                <w:color w:val="auto"/>
                <w:sz w:val="24"/>
                <w:szCs w:val="24"/>
                <w:highlight w:val="none"/>
              </w:rPr>
              <w:t>～10</w:t>
            </w:r>
            <w:r>
              <w:rPr>
                <w:rFonts w:hint="eastAsia" w:ascii="微软雅黑" w:hAnsi="微软雅黑" w:eastAsia="微软雅黑" w:cs="微软雅黑"/>
                <w:color w:val="auto"/>
                <w:kern w:val="2"/>
                <w:sz w:val="24"/>
                <w:szCs w:val="24"/>
                <w:highlight w:val="none"/>
              </w:rPr>
              <w:t>分、良好得4</w:t>
            </w: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kern w:val="2"/>
                <w:sz w:val="24"/>
                <w:szCs w:val="24"/>
                <w:highlight w:val="none"/>
              </w:rPr>
              <w:t>分、一般得0</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kern w:val="2"/>
                <w:sz w:val="24"/>
                <w:szCs w:val="24"/>
                <w:highlight w:val="none"/>
              </w:rPr>
              <w:t>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运维服务</w:t>
            </w:r>
          </w:p>
        </w:tc>
        <w:tc>
          <w:tcPr>
            <w:tcW w:w="1014" w:type="dxa"/>
            <w:tcBorders>
              <w:tl2br w:val="nil"/>
              <w:tr2bl w:val="nil"/>
            </w:tcBorders>
            <w:tcMar>
              <w:top w:w="0" w:type="dxa"/>
              <w:left w:w="108" w:type="dxa"/>
              <w:bottom w:w="0" w:type="dxa"/>
              <w:right w:w="108" w:type="dxa"/>
            </w:tcMar>
            <w:vAlign w:val="center"/>
          </w:tcPr>
          <w:p>
            <w:pPr>
              <w:snapToGrid w:val="0"/>
              <w:spacing w:before="100" w:beforeAutospacing="1" w:after="100" w:afterAutospacing="1" w:line="400" w:lineRule="exact"/>
              <w:ind w:left="65" w:leftChars="-51" w:hanging="172" w:hangingChars="72"/>
              <w:jc w:val="center"/>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5359" w:type="dxa"/>
            <w:tcBorders>
              <w:tl2br w:val="nil"/>
              <w:tr2bl w:val="nil"/>
            </w:tcBorders>
            <w:tcMar>
              <w:top w:w="0" w:type="dxa"/>
              <w:left w:w="108" w:type="dxa"/>
              <w:bottom w:w="0" w:type="dxa"/>
              <w:right w:w="108" w:type="dxa"/>
            </w:tcMar>
            <w:vAlign w:val="center"/>
          </w:tcPr>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提供项目运维解决方案及支撑服务承诺，应包括：运维方案、运维保障准备、运维保障工作安排、运维保障总结和后续计划等。优秀得4</w:t>
            </w:r>
            <w:r>
              <w:rPr>
                <w:rFonts w:hint="eastAsia" w:ascii="微软雅黑" w:hAnsi="微软雅黑" w:eastAsia="微软雅黑" w:cs="微软雅黑"/>
                <w:color w:val="auto"/>
                <w:sz w:val="24"/>
                <w:szCs w:val="24"/>
                <w:highlight w:val="none"/>
              </w:rPr>
              <w:t>～5</w:t>
            </w:r>
            <w:r>
              <w:rPr>
                <w:rFonts w:hint="eastAsia" w:ascii="微软雅黑" w:hAnsi="微软雅黑" w:eastAsia="微软雅黑" w:cs="微软雅黑"/>
                <w:color w:val="auto"/>
                <w:kern w:val="2"/>
                <w:sz w:val="24"/>
                <w:szCs w:val="24"/>
                <w:highlight w:val="none"/>
              </w:rPr>
              <w:t>分、良好得2</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kern w:val="2"/>
                <w:sz w:val="24"/>
                <w:szCs w:val="24"/>
                <w:highlight w:val="none"/>
              </w:rPr>
              <w:t>分、一般得0</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kern w:val="2"/>
                <w:sz w:val="24"/>
                <w:szCs w:val="24"/>
                <w:highlight w:val="none"/>
              </w:rPr>
              <w:t>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技术服务</w:t>
            </w:r>
          </w:p>
        </w:tc>
        <w:tc>
          <w:tcPr>
            <w:tcW w:w="1014" w:type="dxa"/>
            <w:tcBorders>
              <w:tl2br w:val="nil"/>
              <w:tr2bl w:val="nil"/>
            </w:tcBorders>
            <w:tcMar>
              <w:top w:w="0" w:type="dxa"/>
              <w:left w:w="108" w:type="dxa"/>
              <w:bottom w:w="0" w:type="dxa"/>
              <w:right w:w="108" w:type="dxa"/>
            </w:tcMar>
            <w:vAlign w:val="center"/>
          </w:tcPr>
          <w:p>
            <w:pPr>
              <w:snapToGrid w:val="0"/>
              <w:spacing w:before="100" w:beforeAutospacing="1" w:after="100" w:afterAutospacing="1" w:line="400" w:lineRule="exact"/>
              <w:ind w:left="65" w:leftChars="-51" w:hanging="172" w:hangingChars="72"/>
              <w:jc w:val="center"/>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5359" w:type="dxa"/>
            <w:tcBorders>
              <w:tl2br w:val="nil"/>
              <w:tr2bl w:val="nil"/>
            </w:tcBorders>
            <w:tcMar>
              <w:top w:w="0" w:type="dxa"/>
              <w:left w:w="108" w:type="dxa"/>
              <w:bottom w:w="0" w:type="dxa"/>
              <w:right w:w="108" w:type="dxa"/>
            </w:tcMar>
            <w:vAlign w:val="center"/>
          </w:tcPr>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提供技术支持服务承诺，应包括：系统保障、故障排除、例行巡检等相关技术支持承诺。优秀得4</w:t>
            </w:r>
            <w:r>
              <w:rPr>
                <w:rFonts w:hint="eastAsia" w:ascii="微软雅黑" w:hAnsi="微软雅黑" w:eastAsia="微软雅黑" w:cs="微软雅黑"/>
                <w:color w:val="auto"/>
                <w:sz w:val="24"/>
                <w:szCs w:val="24"/>
                <w:highlight w:val="none"/>
              </w:rPr>
              <w:t>～5</w:t>
            </w:r>
            <w:r>
              <w:rPr>
                <w:rFonts w:hint="eastAsia" w:ascii="微软雅黑" w:hAnsi="微软雅黑" w:eastAsia="微软雅黑" w:cs="微软雅黑"/>
                <w:color w:val="auto"/>
                <w:kern w:val="2"/>
                <w:sz w:val="24"/>
                <w:szCs w:val="24"/>
                <w:highlight w:val="none"/>
              </w:rPr>
              <w:t>分、良好得2</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kern w:val="2"/>
                <w:sz w:val="24"/>
                <w:szCs w:val="24"/>
                <w:highlight w:val="none"/>
              </w:rPr>
              <w:t>分、一般得0</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kern w:val="2"/>
                <w:sz w:val="24"/>
                <w:szCs w:val="24"/>
                <w:highlight w:val="none"/>
              </w:rPr>
              <w:t>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本地服务能力</w:t>
            </w:r>
          </w:p>
        </w:tc>
        <w:tc>
          <w:tcPr>
            <w:tcW w:w="1014" w:type="dxa"/>
            <w:tcBorders>
              <w:tl2br w:val="nil"/>
              <w:tr2bl w:val="nil"/>
            </w:tcBorders>
            <w:tcMar>
              <w:top w:w="0" w:type="dxa"/>
              <w:left w:w="108" w:type="dxa"/>
              <w:bottom w:w="0" w:type="dxa"/>
              <w:right w:w="108" w:type="dxa"/>
            </w:tcMar>
            <w:vAlign w:val="center"/>
          </w:tcPr>
          <w:p>
            <w:pPr>
              <w:snapToGrid w:val="0"/>
              <w:spacing w:before="100" w:beforeAutospacing="1" w:after="100" w:afterAutospacing="1" w:line="400" w:lineRule="exact"/>
              <w:ind w:left="65" w:leftChars="-51" w:hanging="172" w:hangingChars="72"/>
              <w:jc w:val="center"/>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w:t>
            </w:r>
          </w:p>
        </w:tc>
        <w:tc>
          <w:tcPr>
            <w:tcW w:w="5359" w:type="dxa"/>
            <w:tcBorders>
              <w:tl2br w:val="nil"/>
              <w:tr2bl w:val="nil"/>
            </w:tcBorders>
            <w:tcMar>
              <w:top w:w="0" w:type="dxa"/>
              <w:left w:w="108" w:type="dxa"/>
              <w:bottom w:w="0" w:type="dxa"/>
              <w:right w:w="108" w:type="dxa"/>
            </w:tcMar>
            <w:vAlign w:val="center"/>
          </w:tcPr>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横向比较所有投标人，能提供本地化服务，且服务方案符合实际、合理、可行，并提供办公场所房产证明或租赁合同，优得4~5分，良好得2</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kern w:val="2"/>
                <w:sz w:val="24"/>
                <w:szCs w:val="24"/>
                <w:highlight w:val="none"/>
              </w:rPr>
              <w:t>分、一般得0</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kern w:val="2"/>
                <w:sz w:val="24"/>
                <w:szCs w:val="24"/>
                <w:highlight w:val="none"/>
              </w:rPr>
              <w:t>分，未提供不得分。</w:t>
            </w:r>
          </w:p>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sz w:val="24"/>
                <w:szCs w:val="24"/>
                <w:highlight w:val="none"/>
              </w:rPr>
              <w:t>需提供服务人员至少6人的近6个月的社保证明得1分，每增加1人加1分，满分5分。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知识产权</w:t>
            </w:r>
          </w:p>
        </w:tc>
        <w:tc>
          <w:tcPr>
            <w:tcW w:w="1014" w:type="dxa"/>
            <w:tcBorders>
              <w:tl2br w:val="nil"/>
              <w:tr2bl w:val="nil"/>
            </w:tcBorders>
            <w:tcMar>
              <w:top w:w="0" w:type="dxa"/>
              <w:left w:w="108" w:type="dxa"/>
              <w:bottom w:w="0" w:type="dxa"/>
              <w:right w:w="108" w:type="dxa"/>
            </w:tcMar>
            <w:vAlign w:val="center"/>
          </w:tcPr>
          <w:p>
            <w:pPr>
              <w:snapToGrid w:val="0"/>
              <w:spacing w:before="100" w:beforeAutospacing="1" w:after="100" w:afterAutospacing="1" w:line="400" w:lineRule="exact"/>
              <w:ind w:left="65" w:leftChars="-51" w:hanging="172" w:hangingChars="72"/>
              <w:jc w:val="center"/>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w:t>
            </w:r>
          </w:p>
        </w:tc>
        <w:tc>
          <w:tcPr>
            <w:tcW w:w="5359" w:type="dxa"/>
            <w:tcBorders>
              <w:tl2br w:val="nil"/>
              <w:tr2bl w:val="nil"/>
            </w:tcBorders>
            <w:tcMar>
              <w:top w:w="0" w:type="dxa"/>
              <w:left w:w="108" w:type="dxa"/>
              <w:bottom w:w="0" w:type="dxa"/>
              <w:right w:w="108" w:type="dxa"/>
            </w:tcMar>
            <w:vAlign w:val="center"/>
          </w:tcPr>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投标人或投标产品厂商具有与本次项目核心建设内容相关联的完全自主知识产权，每提供一项软件著作权登记证书得2分，最高得10分。</w:t>
            </w:r>
          </w:p>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注：提供在有效期内的软件著作权登记证书原件扫描件。未提供不得分。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772"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1667"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标函质量</w:t>
            </w:r>
          </w:p>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履约措施</w:t>
            </w:r>
          </w:p>
        </w:tc>
        <w:tc>
          <w:tcPr>
            <w:tcW w:w="1014" w:type="dxa"/>
            <w:tcBorders>
              <w:tl2br w:val="nil"/>
              <w:tr2bl w:val="nil"/>
            </w:tcBorders>
            <w:tcMar>
              <w:top w:w="0" w:type="dxa"/>
              <w:left w:w="108" w:type="dxa"/>
              <w:bottom w:w="0" w:type="dxa"/>
              <w:right w:w="108" w:type="dxa"/>
            </w:tcMar>
            <w:vAlign w:val="center"/>
          </w:tcPr>
          <w:p>
            <w:pPr>
              <w:spacing w:line="4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5359" w:type="dxa"/>
            <w:tcBorders>
              <w:tl2br w:val="nil"/>
              <w:tr2bl w:val="nil"/>
            </w:tcBorders>
            <w:tcMar>
              <w:top w:w="0" w:type="dxa"/>
              <w:left w:w="108" w:type="dxa"/>
              <w:bottom w:w="0" w:type="dxa"/>
              <w:right w:w="108" w:type="dxa"/>
            </w:tcMar>
            <w:vAlign w:val="center"/>
          </w:tcPr>
          <w:p>
            <w:pPr>
              <w:pStyle w:val="114"/>
              <w:spacing w:line="400" w:lineRule="exact"/>
              <w:jc w:val="both"/>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编制内容完整、齐全、叙述严谨，标书无涂改、错页、漏页现象，履约措施具体、合理、可行，得3</w:t>
            </w:r>
            <w:r>
              <w:rPr>
                <w:rFonts w:hint="eastAsia" w:ascii="微软雅黑" w:hAnsi="微软雅黑" w:eastAsia="微软雅黑" w:cs="微软雅黑"/>
                <w:color w:val="auto"/>
                <w:sz w:val="24"/>
                <w:szCs w:val="24"/>
                <w:highlight w:val="none"/>
              </w:rPr>
              <w:t>～5分；</w:t>
            </w:r>
            <w:r>
              <w:rPr>
                <w:rFonts w:hint="eastAsia" w:ascii="微软雅黑" w:hAnsi="微软雅黑" w:eastAsia="微软雅黑" w:cs="微软雅黑"/>
                <w:color w:val="auto"/>
                <w:kern w:val="2"/>
                <w:sz w:val="24"/>
                <w:szCs w:val="24"/>
                <w:highlight w:val="none"/>
              </w:rPr>
              <w:t>编制内容较完整，标书无涂改、错页、漏页现象，履约措施比较合理，得1</w:t>
            </w:r>
            <w:r>
              <w:rPr>
                <w:rFonts w:hint="eastAsia" w:ascii="微软雅黑" w:hAnsi="微软雅黑" w:eastAsia="微软雅黑" w:cs="微软雅黑"/>
                <w:color w:val="auto"/>
                <w:sz w:val="24"/>
                <w:szCs w:val="24"/>
                <w:highlight w:val="none"/>
              </w:rPr>
              <w:t>～2分；编制内容杂乱无章、错页、漏页、无履约措施，得0分。</w:t>
            </w:r>
          </w:p>
        </w:tc>
      </w:tr>
    </w:tbl>
    <w:p>
      <w:pP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pPr>
        <w:pStyle w:val="3"/>
        <w:tabs>
          <w:tab w:val="left" w:pos="0"/>
        </w:tabs>
        <w:spacing w:before="0" w:after="0" w:line="240" w:lineRule="atLeas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第7章 政府采购合同</w:t>
      </w:r>
      <w:bookmarkEnd w:id="441"/>
      <w:bookmarkEnd w:id="442"/>
      <w:bookmarkEnd w:id="443"/>
      <w:bookmarkEnd w:id="444"/>
      <w:bookmarkEnd w:id="445"/>
      <w:bookmarkEnd w:id="446"/>
      <w:bookmarkStart w:id="447" w:name="_Hlt487972895"/>
      <w:bookmarkEnd w:id="447"/>
      <w:bookmarkStart w:id="448" w:name="_Toc216513788"/>
      <w:bookmarkStart w:id="449" w:name="_Toc487900382"/>
    </w:p>
    <w:bookmarkEnd w:id="448"/>
    <w:bookmarkEnd w:id="449"/>
    <w:p>
      <w:pPr>
        <w:spacing w:line="240" w:lineRule="atLeast"/>
        <w:rPr>
          <w:rFonts w:ascii="微软雅黑" w:hAnsi="微软雅黑" w:eastAsia="微软雅黑" w:cs="微软雅黑"/>
          <w:b/>
          <w:color w:val="auto"/>
          <w:kern w:val="44"/>
          <w:sz w:val="24"/>
          <w:highlight w:val="none"/>
        </w:rPr>
      </w:pPr>
    </w:p>
    <w:p>
      <w:pPr>
        <w:spacing w:line="440" w:lineRule="exact"/>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合同编号：</w:t>
      </w:r>
      <w:r>
        <w:rPr>
          <w:rFonts w:hint="eastAsia" w:ascii="微软雅黑" w:hAnsi="微软雅黑" w:eastAsia="微软雅黑" w:cs="微软雅黑"/>
          <w:color w:val="auto"/>
          <w:sz w:val="24"/>
          <w:highlight w:val="none"/>
          <w:u w:val="single"/>
        </w:rPr>
        <w:t xml:space="preserve">           </w:t>
      </w:r>
    </w:p>
    <w:p>
      <w:pPr>
        <w:spacing w:line="440" w:lineRule="exact"/>
        <w:jc w:val="center"/>
        <w:rPr>
          <w:rFonts w:ascii="微软雅黑" w:hAnsi="微软雅黑" w:eastAsia="微软雅黑" w:cs="微软雅黑"/>
          <w:b/>
          <w:color w:val="auto"/>
          <w:sz w:val="24"/>
          <w:highlight w:val="none"/>
        </w:rPr>
      </w:pPr>
    </w:p>
    <w:p>
      <w:pPr>
        <w:spacing w:line="440" w:lineRule="exact"/>
        <w:jc w:val="center"/>
        <w:rPr>
          <w:rFonts w:ascii="微软雅黑" w:hAnsi="微软雅黑" w:eastAsia="微软雅黑" w:cs="微软雅黑"/>
          <w:b/>
          <w:color w:val="auto"/>
          <w:sz w:val="24"/>
          <w:highlight w:val="none"/>
        </w:rPr>
      </w:pPr>
    </w:p>
    <w:p>
      <w:pPr>
        <w:spacing w:line="440" w:lineRule="exact"/>
        <w:jc w:val="center"/>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政府采购合同参考范本</w:t>
      </w:r>
    </w:p>
    <w:p>
      <w:pPr>
        <w:pStyle w:val="55"/>
        <w:spacing w:line="440" w:lineRule="exact"/>
        <w:ind w:firstLine="0"/>
        <w:jc w:val="center"/>
        <w:rPr>
          <w:rFonts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（服务类）</w:t>
      </w:r>
    </w:p>
    <w:p>
      <w:pPr>
        <w:pStyle w:val="55"/>
        <w:spacing w:line="440" w:lineRule="exact"/>
        <w:ind w:firstLine="0"/>
        <w:rPr>
          <w:rFonts w:ascii="微软雅黑" w:hAnsi="微软雅黑" w:eastAsia="微软雅黑" w:cs="微软雅黑"/>
          <w:color w:val="auto"/>
          <w:szCs w:val="24"/>
          <w:highlight w:val="none"/>
        </w:rPr>
      </w:pPr>
    </w:p>
    <w:p>
      <w:pPr>
        <w:pStyle w:val="55"/>
        <w:spacing w:line="440" w:lineRule="exact"/>
        <w:ind w:firstLine="0"/>
        <w:rPr>
          <w:rFonts w:ascii="微软雅黑" w:hAnsi="微软雅黑" w:eastAsia="微软雅黑" w:cs="微软雅黑"/>
          <w:color w:val="auto"/>
          <w:szCs w:val="24"/>
          <w:highlight w:val="none"/>
        </w:rPr>
      </w:pPr>
    </w:p>
    <w:p>
      <w:pPr>
        <w:pStyle w:val="55"/>
        <w:spacing w:line="440" w:lineRule="exact"/>
        <w:ind w:firstLine="0"/>
        <w:rPr>
          <w:rFonts w:ascii="微软雅黑" w:hAnsi="微软雅黑" w:eastAsia="微软雅黑" w:cs="微软雅黑"/>
          <w:color w:val="auto"/>
          <w:szCs w:val="24"/>
          <w:highlight w:val="none"/>
        </w:rPr>
      </w:pPr>
    </w:p>
    <w:p>
      <w:pPr>
        <w:pStyle w:val="55"/>
        <w:spacing w:line="440" w:lineRule="exact"/>
        <w:ind w:firstLine="0"/>
        <w:jc w:val="center"/>
        <w:rPr>
          <w:rFonts w:ascii="微软雅黑" w:hAnsi="微软雅黑" w:eastAsia="微软雅黑" w:cs="微软雅黑"/>
          <w:b/>
          <w:color w:val="auto"/>
          <w:szCs w:val="24"/>
          <w:highlight w:val="none"/>
        </w:rPr>
      </w:pPr>
      <w:r>
        <w:rPr>
          <w:rFonts w:hint="eastAsia" w:ascii="微软雅黑" w:hAnsi="微软雅黑" w:eastAsia="微软雅黑" w:cs="微软雅黑"/>
          <w:b/>
          <w:color w:val="auto"/>
          <w:szCs w:val="24"/>
          <w:highlight w:val="none"/>
        </w:rPr>
        <w:t>（一） 合同书</w:t>
      </w:r>
    </w:p>
    <w:p>
      <w:pPr>
        <w:pStyle w:val="55"/>
        <w:spacing w:line="440" w:lineRule="exact"/>
        <w:ind w:firstLine="0"/>
        <w:rPr>
          <w:rFonts w:ascii="微软雅黑" w:hAnsi="微软雅黑" w:eastAsia="微软雅黑" w:cs="微软雅黑"/>
          <w:color w:val="auto"/>
          <w:szCs w:val="24"/>
          <w:highlight w:val="none"/>
        </w:rPr>
      </w:pPr>
    </w:p>
    <w:p>
      <w:pPr>
        <w:pStyle w:val="55"/>
        <w:spacing w:line="440" w:lineRule="exact"/>
        <w:ind w:firstLine="0"/>
        <w:rPr>
          <w:rFonts w:ascii="微软雅黑" w:hAnsi="微软雅黑" w:eastAsia="微软雅黑" w:cs="微软雅黑"/>
          <w:color w:val="auto"/>
          <w:szCs w:val="24"/>
          <w:highlight w:val="none"/>
        </w:rPr>
      </w:pPr>
    </w:p>
    <w:p>
      <w:pPr>
        <w:spacing w:before="120" w:line="440" w:lineRule="exact"/>
        <w:rPr>
          <w:rFonts w:ascii="微软雅黑" w:hAnsi="微软雅黑" w:eastAsia="微软雅黑" w:cs="微软雅黑"/>
          <w:color w:val="auto"/>
          <w:sz w:val="24"/>
          <w:highlight w:val="none"/>
        </w:rPr>
      </w:pPr>
    </w:p>
    <w:p>
      <w:pPr>
        <w:tabs>
          <w:tab w:val="left" w:pos="6300"/>
          <w:tab w:val="left" w:pos="6510"/>
        </w:tabs>
        <w:spacing w:before="120" w:line="440" w:lineRule="exact"/>
        <w:ind w:left="96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疏勒县乡村振兴平台            </w:t>
      </w:r>
    </w:p>
    <w:p>
      <w:pPr>
        <w:pStyle w:val="47"/>
        <w:spacing w:before="120" w:line="440" w:lineRule="exact"/>
        <w:rPr>
          <w:rFonts w:ascii="微软雅黑" w:hAnsi="微软雅黑" w:eastAsia="微软雅黑" w:cs="微软雅黑"/>
          <w:color w:val="auto"/>
          <w:szCs w:val="24"/>
          <w:highlight w:val="none"/>
        </w:rPr>
      </w:pPr>
    </w:p>
    <w:p>
      <w:pPr>
        <w:tabs>
          <w:tab w:val="left" w:pos="6510"/>
        </w:tabs>
        <w:spacing w:before="120" w:line="440" w:lineRule="exact"/>
        <w:ind w:left="96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甲方：</w:t>
      </w:r>
      <w:r>
        <w:rPr>
          <w:rFonts w:hint="eastAsia" w:ascii="微软雅黑" w:hAnsi="微软雅黑" w:eastAsia="微软雅黑" w:cs="微软雅黑"/>
          <w:color w:val="auto"/>
          <w:sz w:val="24"/>
          <w:highlight w:val="none"/>
          <w:u w:val="single"/>
        </w:rPr>
        <w:t xml:space="preserve">  中共疏勒县委员会组织部               </w:t>
      </w:r>
    </w:p>
    <w:p>
      <w:pPr>
        <w:spacing w:before="120" w:line="440" w:lineRule="exact"/>
        <w:rPr>
          <w:rFonts w:ascii="微软雅黑" w:hAnsi="微软雅黑" w:eastAsia="微软雅黑" w:cs="微软雅黑"/>
          <w:color w:val="auto"/>
          <w:sz w:val="24"/>
          <w:highlight w:val="none"/>
        </w:rPr>
      </w:pPr>
    </w:p>
    <w:p>
      <w:pPr>
        <w:spacing w:before="120" w:line="440" w:lineRule="exact"/>
        <w:ind w:left="96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乙方：</w:t>
      </w:r>
      <w:r>
        <w:rPr>
          <w:rFonts w:hint="eastAsia" w:ascii="微软雅黑" w:hAnsi="微软雅黑" w:eastAsia="微软雅黑" w:cs="微软雅黑"/>
          <w:color w:val="auto"/>
          <w:sz w:val="24"/>
          <w:highlight w:val="none"/>
          <w:u w:val="single"/>
        </w:rPr>
        <w:t xml:space="preserve">                                       </w:t>
      </w:r>
    </w:p>
    <w:p>
      <w:pPr>
        <w:spacing w:before="120" w:line="440" w:lineRule="exact"/>
        <w:rPr>
          <w:rFonts w:ascii="微软雅黑" w:hAnsi="微软雅黑" w:eastAsia="微软雅黑" w:cs="微软雅黑"/>
          <w:color w:val="auto"/>
          <w:sz w:val="24"/>
          <w:highlight w:val="none"/>
        </w:rPr>
      </w:pPr>
    </w:p>
    <w:p>
      <w:pPr>
        <w:spacing w:before="120" w:line="440" w:lineRule="exact"/>
        <w:ind w:firstLine="960" w:firstLineChars="40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签订地：</w:t>
      </w:r>
      <w:r>
        <w:rPr>
          <w:rFonts w:hint="eastAsia" w:ascii="微软雅黑" w:hAnsi="微软雅黑" w:eastAsia="微软雅黑" w:cs="微软雅黑"/>
          <w:color w:val="auto"/>
          <w:sz w:val="24"/>
          <w:highlight w:val="none"/>
          <w:u w:val="single"/>
        </w:rPr>
        <w:t xml:space="preserve">                                     </w:t>
      </w:r>
    </w:p>
    <w:p>
      <w:pPr>
        <w:spacing w:before="120" w:line="440" w:lineRule="exact"/>
        <w:rPr>
          <w:rFonts w:ascii="微软雅黑" w:hAnsi="微软雅黑" w:eastAsia="微软雅黑" w:cs="微软雅黑"/>
          <w:color w:val="auto"/>
          <w:sz w:val="24"/>
          <w:highlight w:val="none"/>
        </w:rPr>
      </w:pPr>
    </w:p>
    <w:p>
      <w:pPr>
        <w:spacing w:before="120" w:line="440" w:lineRule="exact"/>
        <w:ind w:firstLine="960" w:firstLineChars="40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p>
    <w:p>
      <w:pPr>
        <w:autoSpaceDE w:val="0"/>
        <w:autoSpaceDN w:val="0"/>
        <w:adjustRightInd w:val="0"/>
        <w:spacing w:line="440" w:lineRule="exact"/>
        <w:ind w:firstLine="640"/>
        <w:jc w:val="center"/>
        <w:rPr>
          <w:rFonts w:ascii="微软雅黑" w:hAnsi="微软雅黑" w:eastAsia="微软雅黑" w:cs="微软雅黑"/>
          <w:color w:val="auto"/>
          <w:sz w:val="24"/>
          <w:highlight w:val="none"/>
        </w:rPr>
        <w:sectPr>
          <w:headerReference r:id="rId11" w:type="first"/>
          <w:footerReference r:id="rId14" w:type="first"/>
          <w:headerReference r:id="rId9" w:type="default"/>
          <w:footerReference r:id="rId12" w:type="default"/>
          <w:headerReference r:id="rId10" w:type="even"/>
          <w:footerReference r:id="rId13" w:type="even"/>
          <w:pgSz w:w="11907" w:h="16840"/>
          <w:pgMar w:top="1474" w:right="1814" w:bottom="1474" w:left="1814" w:header="851" w:footer="851" w:gutter="0"/>
          <w:cols w:space="720" w:num="1"/>
          <w:docGrid w:linePitch="462" w:charSpace="0"/>
        </w:sectPr>
      </w:pP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年</w:t>
      </w: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月</w:t>
      </w: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日</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中共疏勒县委员会组织部  </w:t>
      </w:r>
      <w:r>
        <w:rPr>
          <w:rFonts w:hint="eastAsia" w:ascii="微软雅黑" w:hAnsi="微软雅黑" w:eastAsia="微软雅黑" w:cs="微软雅黑"/>
          <w:color w:val="auto"/>
          <w:sz w:val="24"/>
          <w:highlight w:val="none"/>
        </w:rPr>
        <w:t>以</w:t>
      </w:r>
      <w:r>
        <w:rPr>
          <w:rFonts w:hint="eastAsia" w:ascii="微软雅黑" w:hAnsi="微软雅黑" w:eastAsia="微软雅黑" w:cs="微软雅黑"/>
          <w:color w:val="auto"/>
          <w:sz w:val="24"/>
          <w:highlight w:val="none"/>
          <w:u w:val="single"/>
        </w:rPr>
        <w:t xml:space="preserve">   公开招标的方式  </w:t>
      </w:r>
      <w:r>
        <w:rPr>
          <w:rFonts w:hint="eastAsia" w:ascii="微软雅黑" w:hAnsi="微软雅黑" w:eastAsia="微软雅黑" w:cs="微软雅黑"/>
          <w:color w:val="auto"/>
          <w:sz w:val="24"/>
          <w:highlight w:val="none"/>
        </w:rPr>
        <w:t>对</w:t>
      </w:r>
      <w:r>
        <w:rPr>
          <w:rFonts w:hint="eastAsia" w:ascii="微软雅黑" w:hAnsi="微软雅黑" w:eastAsia="微软雅黑" w:cs="微软雅黑"/>
          <w:color w:val="auto"/>
          <w:sz w:val="24"/>
          <w:highlight w:val="none"/>
          <w:u w:val="single"/>
        </w:rPr>
        <w:t xml:space="preserve">   疏勒县乡村振兴平台   </w:t>
      </w:r>
      <w:r>
        <w:rPr>
          <w:rFonts w:hint="eastAsia" w:ascii="微软雅黑" w:hAnsi="微软雅黑" w:eastAsia="微软雅黑" w:cs="微软雅黑"/>
          <w:color w:val="auto"/>
          <w:sz w:val="24"/>
          <w:highlight w:val="none"/>
        </w:rPr>
        <w:t>项目进行了采购。经</w:t>
      </w:r>
      <w:r>
        <w:rPr>
          <w:rFonts w:hint="eastAsia" w:ascii="微软雅黑" w:hAnsi="微软雅黑" w:eastAsia="微软雅黑" w:cs="微软雅黑"/>
          <w:color w:val="auto"/>
          <w:sz w:val="24"/>
          <w:highlight w:val="none"/>
          <w:u w:val="single"/>
        </w:rPr>
        <w:t xml:space="preserve">   评标委员会  </w:t>
      </w:r>
      <w:r>
        <w:rPr>
          <w:rFonts w:hint="eastAsia" w:ascii="微软雅黑" w:hAnsi="微软雅黑" w:eastAsia="微软雅黑" w:cs="微软雅黑"/>
          <w:color w:val="auto"/>
          <w:sz w:val="24"/>
          <w:highlight w:val="none"/>
        </w:rPr>
        <w:t>评定，</w:t>
      </w:r>
      <w:r>
        <w:rPr>
          <w:rFonts w:hint="eastAsia" w:ascii="微软雅黑" w:hAnsi="微软雅黑" w:eastAsia="微软雅黑" w:cs="微软雅黑"/>
          <w:color w:val="auto"/>
          <w:sz w:val="24"/>
          <w:highlight w:val="none"/>
          <w:u w:val="single"/>
        </w:rPr>
        <w:t xml:space="preserve">   （中标供应商名称）</w:t>
      </w:r>
      <w:r>
        <w:rPr>
          <w:rFonts w:hint="eastAsia" w:ascii="微软雅黑" w:hAnsi="微软雅黑" w:eastAsia="微软雅黑" w:cs="微软雅黑"/>
          <w:color w:val="auto"/>
          <w:sz w:val="24"/>
          <w:highlight w:val="none"/>
        </w:rPr>
        <w:t>为该项目中标供应商。现于中标通知书发出之日起三十日内，按照采购文件确定的事项签订本合同。</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根据《中华人民共和国民法典》、《中华人民共和国政府采购法》等相关法律法规之规定，按照平等、自愿、公平和诚实信用的原则，经</w:t>
      </w:r>
      <w:r>
        <w:rPr>
          <w:rFonts w:hint="eastAsia" w:ascii="微软雅黑" w:hAnsi="微软雅黑" w:eastAsia="微软雅黑" w:cs="微软雅黑"/>
          <w:color w:val="auto"/>
          <w:sz w:val="24"/>
          <w:highlight w:val="none"/>
          <w:u w:val="single"/>
        </w:rPr>
        <w:t xml:space="preserve">   中共疏勒县委员会组织部  </w:t>
      </w:r>
      <w:r>
        <w:rPr>
          <w:rFonts w:hint="eastAsia" w:ascii="微软雅黑" w:hAnsi="微软雅黑" w:eastAsia="微软雅黑" w:cs="微软雅黑"/>
          <w:color w:val="auto"/>
          <w:sz w:val="24"/>
          <w:highlight w:val="none"/>
          <w:lang w:val="zh-CN"/>
        </w:rPr>
        <w:t>(以下简称：甲方)和</w:t>
      </w:r>
      <w:r>
        <w:rPr>
          <w:rFonts w:hint="eastAsia" w:ascii="微软雅黑" w:hAnsi="微软雅黑" w:eastAsia="微软雅黑" w:cs="微软雅黑"/>
          <w:color w:val="auto"/>
          <w:sz w:val="24"/>
          <w:highlight w:val="none"/>
          <w:u w:val="single"/>
        </w:rPr>
        <w:t xml:space="preserve">   （中标供应商名称）   </w:t>
      </w:r>
      <w:r>
        <w:rPr>
          <w:rFonts w:hint="eastAsia" w:ascii="微软雅黑" w:hAnsi="微软雅黑" w:eastAsia="微软雅黑" w:cs="微软雅黑"/>
          <w:color w:val="auto"/>
          <w:sz w:val="24"/>
          <w:highlight w:val="none"/>
          <w:lang w:val="zh-CN"/>
        </w:rPr>
        <w:t>(以下简称：乙方)协商一致，约定以下合同</w:t>
      </w:r>
      <w:r>
        <w:rPr>
          <w:rFonts w:hint="eastAsia" w:ascii="微软雅黑" w:hAnsi="微软雅黑" w:eastAsia="微软雅黑" w:cs="微软雅黑"/>
          <w:color w:val="auto"/>
          <w:sz w:val="24"/>
          <w:highlight w:val="none"/>
        </w:rPr>
        <w:t>条款，以兹共同遵守、全面履行。</w:t>
      </w:r>
    </w:p>
    <w:p>
      <w:pPr>
        <w:spacing w:line="440" w:lineRule="exact"/>
        <w:ind w:firstLine="480" w:firstLineChars="200"/>
        <w:outlineLvl w:val="0"/>
        <w:rPr>
          <w:rFonts w:ascii="微软雅黑" w:hAnsi="微软雅黑" w:eastAsia="微软雅黑" w:cs="微软雅黑"/>
          <w:b/>
          <w:color w:val="auto"/>
          <w:sz w:val="24"/>
          <w:highlight w:val="none"/>
        </w:rPr>
      </w:pPr>
      <w:bookmarkStart w:id="450" w:name="_Toc2232"/>
      <w:bookmarkStart w:id="451" w:name="_Toc4709"/>
      <w:bookmarkStart w:id="452" w:name="_Toc24059"/>
      <w:bookmarkStart w:id="453" w:name="_Toc18755"/>
      <w:bookmarkStart w:id="454" w:name="_Toc31087"/>
      <w:bookmarkStart w:id="455" w:name="_Toc15969"/>
      <w:bookmarkStart w:id="456" w:name="_Toc3029"/>
      <w:r>
        <w:rPr>
          <w:rFonts w:hint="eastAsia" w:ascii="微软雅黑" w:hAnsi="微软雅黑" w:eastAsia="微软雅黑" w:cs="微软雅黑"/>
          <w:b/>
          <w:color w:val="auto"/>
          <w:sz w:val="24"/>
          <w:highlight w:val="none"/>
        </w:rPr>
        <w:t>1.1 合同组成部分</w:t>
      </w:r>
      <w:bookmarkEnd w:id="450"/>
      <w:bookmarkEnd w:id="451"/>
      <w:bookmarkEnd w:id="452"/>
      <w:bookmarkEnd w:id="453"/>
      <w:bookmarkEnd w:id="454"/>
      <w:bookmarkEnd w:id="455"/>
      <w:bookmarkEnd w:id="456"/>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 本合同及其补充合同、变更协议；</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 中标通知书；</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 投标文件（含澄清或者说明文件）；</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 招标文件（含澄清或者修改文件）；</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 其他相关采购文件。</w:t>
      </w:r>
    </w:p>
    <w:p>
      <w:pPr>
        <w:spacing w:line="440" w:lineRule="exact"/>
        <w:ind w:firstLine="480" w:firstLineChars="200"/>
        <w:outlineLvl w:val="0"/>
        <w:rPr>
          <w:rFonts w:ascii="微软雅黑" w:hAnsi="微软雅黑" w:eastAsia="微软雅黑" w:cs="微软雅黑"/>
          <w:b/>
          <w:color w:val="auto"/>
          <w:sz w:val="24"/>
          <w:highlight w:val="none"/>
        </w:rPr>
      </w:pPr>
      <w:bookmarkStart w:id="457" w:name="_Toc21295"/>
      <w:bookmarkStart w:id="458" w:name="_Toc16398"/>
      <w:bookmarkStart w:id="459" w:name="_Toc27126"/>
      <w:bookmarkStart w:id="460" w:name="_Toc10121"/>
      <w:bookmarkStart w:id="461" w:name="_Toc24300"/>
      <w:bookmarkStart w:id="462" w:name="_Toc4650"/>
      <w:bookmarkStart w:id="463" w:name="_Toc3161"/>
      <w:r>
        <w:rPr>
          <w:rFonts w:hint="eastAsia" w:ascii="微软雅黑" w:hAnsi="微软雅黑" w:eastAsia="微软雅黑" w:cs="微软雅黑"/>
          <w:b/>
          <w:color w:val="auto"/>
          <w:sz w:val="24"/>
          <w:highlight w:val="none"/>
        </w:rPr>
        <w:t xml:space="preserve">1.2 </w:t>
      </w:r>
      <w:bookmarkEnd w:id="457"/>
      <w:bookmarkEnd w:id="458"/>
      <w:bookmarkEnd w:id="459"/>
      <w:bookmarkEnd w:id="460"/>
      <w:bookmarkEnd w:id="461"/>
      <w:bookmarkEnd w:id="462"/>
      <w:bookmarkEnd w:id="463"/>
      <w:r>
        <w:rPr>
          <w:rFonts w:hint="eastAsia" w:ascii="微软雅黑" w:hAnsi="微软雅黑" w:eastAsia="微软雅黑" w:cs="微软雅黑"/>
          <w:b/>
          <w:color w:val="auto"/>
          <w:sz w:val="24"/>
          <w:highlight w:val="none"/>
        </w:rPr>
        <w:t>服务</w:t>
      </w:r>
    </w:p>
    <w:p>
      <w:pPr>
        <w:spacing w:line="440" w:lineRule="exact"/>
        <w:ind w:firstLine="480" w:firstLineChars="20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1.2.1 项目内容：</w:t>
      </w:r>
      <w:r>
        <w:rPr>
          <w:rFonts w:hint="eastAsia" w:ascii="微软雅黑" w:hAnsi="微软雅黑" w:eastAsia="微软雅黑" w:cs="微软雅黑"/>
          <w:color w:val="auto"/>
          <w:sz w:val="24"/>
          <w:highlight w:val="none"/>
          <w:u w:val="single"/>
        </w:rPr>
        <w:t xml:space="preserve"> 疏勒县乡村振兴平台 </w:t>
      </w:r>
      <w:r>
        <w:rPr>
          <w:rFonts w:hint="eastAsia" w:ascii="微软雅黑" w:hAnsi="微软雅黑" w:eastAsia="微软雅黑" w:cs="微软雅黑"/>
          <w:color w:val="auto"/>
          <w:sz w:val="24"/>
          <w:highlight w:val="none"/>
        </w:rPr>
        <w:t>；</w:t>
      </w:r>
    </w:p>
    <w:p>
      <w:pPr>
        <w:spacing w:line="440" w:lineRule="exact"/>
        <w:ind w:firstLine="480" w:firstLineChars="20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1.2.2 数量：</w:t>
      </w:r>
      <w:r>
        <w:rPr>
          <w:rFonts w:hint="eastAsia" w:ascii="微软雅黑" w:hAnsi="微软雅黑" w:eastAsia="微软雅黑" w:cs="微软雅黑"/>
          <w:color w:val="auto"/>
          <w:sz w:val="24"/>
          <w:highlight w:val="none"/>
          <w:u w:val="single"/>
        </w:rPr>
        <w:t xml:space="preserve"> 1批                                               </w:t>
      </w:r>
      <w:r>
        <w:rPr>
          <w:rFonts w:hint="eastAsia" w:ascii="微软雅黑" w:hAnsi="微软雅黑" w:eastAsia="微软雅黑" w:cs="微软雅黑"/>
          <w:color w:val="auto"/>
          <w:sz w:val="24"/>
          <w:highlight w:val="none"/>
        </w:rPr>
        <w:t>；</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 质量标准：</w:t>
      </w:r>
      <w:r>
        <w:rPr>
          <w:rFonts w:hint="eastAsia" w:ascii="微软雅黑" w:hAnsi="微软雅黑" w:eastAsia="微软雅黑" w:cs="微软雅黑"/>
          <w:color w:val="auto"/>
          <w:sz w:val="24"/>
          <w:highlight w:val="none"/>
          <w:u w:val="single"/>
        </w:rPr>
        <w:t xml:space="preserve">合格，满足国家相关要求　　　　　　　　     　   </w:t>
      </w:r>
      <w:r>
        <w:rPr>
          <w:rFonts w:hint="eastAsia" w:ascii="微软雅黑" w:hAnsi="微软雅黑" w:eastAsia="微软雅黑" w:cs="微软雅黑"/>
          <w:color w:val="auto"/>
          <w:sz w:val="24"/>
          <w:highlight w:val="none"/>
        </w:rPr>
        <w:t>。</w:t>
      </w:r>
    </w:p>
    <w:p>
      <w:pPr>
        <w:spacing w:line="440" w:lineRule="exact"/>
        <w:ind w:firstLine="480" w:firstLineChars="200"/>
        <w:outlineLvl w:val="0"/>
        <w:rPr>
          <w:rFonts w:ascii="微软雅黑" w:hAnsi="微软雅黑" w:eastAsia="微软雅黑" w:cs="微软雅黑"/>
          <w:b/>
          <w:color w:val="auto"/>
          <w:sz w:val="24"/>
          <w:highlight w:val="none"/>
        </w:rPr>
      </w:pPr>
      <w:bookmarkStart w:id="464" w:name="_Toc18904"/>
      <w:bookmarkStart w:id="465" w:name="_Toc23008"/>
      <w:bookmarkStart w:id="466" w:name="_Toc26075"/>
      <w:bookmarkStart w:id="467" w:name="_Toc23292"/>
      <w:bookmarkStart w:id="468" w:name="_Toc21631"/>
      <w:bookmarkStart w:id="469" w:name="_Toc21551"/>
      <w:bookmarkStart w:id="470" w:name="_Toc10201"/>
      <w:r>
        <w:rPr>
          <w:rFonts w:hint="eastAsia" w:ascii="微软雅黑" w:hAnsi="微软雅黑" w:eastAsia="微软雅黑" w:cs="微软雅黑"/>
          <w:b/>
          <w:color w:val="auto"/>
          <w:sz w:val="24"/>
          <w:highlight w:val="none"/>
        </w:rPr>
        <w:t>1.3 价款</w:t>
      </w:r>
      <w:bookmarkEnd w:id="464"/>
      <w:bookmarkEnd w:id="465"/>
      <w:bookmarkEnd w:id="466"/>
      <w:bookmarkEnd w:id="467"/>
      <w:bookmarkEnd w:id="468"/>
      <w:bookmarkEnd w:id="469"/>
      <w:bookmarkEnd w:id="470"/>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本合同总价为：￥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元（大写：</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元人民币）。</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分项价格：</w:t>
      </w:r>
    </w:p>
    <w:tbl>
      <w:tblPr>
        <w:tblStyle w:val="35"/>
        <w:tblW w:w="7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699"/>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06" w:type="dxa"/>
            <w:vAlign w:val="center"/>
          </w:tcPr>
          <w:p>
            <w:pPr>
              <w:pStyle w:val="60"/>
              <w:spacing w:line="440" w:lineRule="exact"/>
              <w:jc w:val="center"/>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699"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775" w:type="dxa"/>
            <w:vAlign w:val="center"/>
          </w:tcPr>
          <w:p>
            <w:pPr>
              <w:pStyle w:val="60"/>
              <w:spacing w:line="440" w:lineRule="exact"/>
              <w:jc w:val="center"/>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06"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c>
          <w:tcPr>
            <w:tcW w:w="3699"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c>
          <w:tcPr>
            <w:tcW w:w="2775"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06"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c>
          <w:tcPr>
            <w:tcW w:w="3699"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c>
          <w:tcPr>
            <w:tcW w:w="2775"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06"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c>
          <w:tcPr>
            <w:tcW w:w="3699"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c>
          <w:tcPr>
            <w:tcW w:w="2775"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06"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c>
          <w:tcPr>
            <w:tcW w:w="3699"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c>
          <w:tcPr>
            <w:tcW w:w="2775"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005" w:type="dxa"/>
            <w:gridSpan w:val="2"/>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775" w:type="dxa"/>
            <w:vAlign w:val="center"/>
          </w:tcPr>
          <w:p>
            <w:pPr>
              <w:pStyle w:val="60"/>
              <w:spacing w:line="440" w:lineRule="exact"/>
              <w:ind w:firstLine="200"/>
              <w:jc w:val="center"/>
              <w:rPr>
                <w:rFonts w:ascii="微软雅黑" w:hAnsi="微软雅黑" w:eastAsia="微软雅黑" w:cs="微软雅黑"/>
                <w:color w:val="auto"/>
                <w:kern w:val="2"/>
                <w:sz w:val="24"/>
                <w:szCs w:val="24"/>
                <w:highlight w:val="none"/>
              </w:rPr>
            </w:pPr>
          </w:p>
        </w:tc>
      </w:tr>
    </w:tbl>
    <w:p>
      <w:pPr>
        <w:spacing w:line="440" w:lineRule="exact"/>
        <w:ind w:firstLine="480" w:firstLineChars="200"/>
        <w:outlineLvl w:val="0"/>
        <w:rPr>
          <w:rFonts w:ascii="微软雅黑" w:hAnsi="微软雅黑" w:eastAsia="微软雅黑" w:cs="微软雅黑"/>
          <w:b/>
          <w:color w:val="auto"/>
          <w:sz w:val="24"/>
          <w:highlight w:val="none"/>
        </w:rPr>
      </w:pPr>
      <w:bookmarkStart w:id="471" w:name="_Toc10340"/>
      <w:bookmarkStart w:id="472" w:name="_Toc18998"/>
      <w:bookmarkStart w:id="473" w:name="_Toc1814"/>
      <w:bookmarkStart w:id="474" w:name="_Toc22618"/>
      <w:bookmarkStart w:id="475" w:name="_Toc5002"/>
      <w:bookmarkStart w:id="476" w:name="_Toc27130"/>
      <w:bookmarkStart w:id="477" w:name="_Toc25183"/>
      <w:r>
        <w:rPr>
          <w:rFonts w:hint="eastAsia" w:ascii="微软雅黑" w:hAnsi="微软雅黑" w:eastAsia="微软雅黑" w:cs="微软雅黑"/>
          <w:b/>
          <w:color w:val="auto"/>
          <w:sz w:val="24"/>
          <w:highlight w:val="none"/>
        </w:rPr>
        <w:t>1.4 付款方式和发票开具方式</w:t>
      </w:r>
      <w:bookmarkEnd w:id="471"/>
      <w:bookmarkEnd w:id="472"/>
      <w:bookmarkEnd w:id="473"/>
      <w:bookmarkEnd w:id="474"/>
      <w:bookmarkEnd w:id="475"/>
      <w:bookmarkEnd w:id="476"/>
      <w:bookmarkEnd w:id="477"/>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付款方式：</w:t>
      </w:r>
      <w:r>
        <w:rPr>
          <w:rFonts w:hint="eastAsia" w:ascii="微软雅黑" w:hAnsi="微软雅黑" w:eastAsia="微软雅黑" w:cs="微软雅黑"/>
          <w:color w:val="auto"/>
          <w:sz w:val="24"/>
          <w:highlight w:val="none"/>
          <w:u w:val="single"/>
          <w:lang w:eastAsia="zh-CN"/>
        </w:rPr>
        <w:t>合同签订后，预付合同价款的</w:t>
      </w:r>
      <w:r>
        <w:rPr>
          <w:rFonts w:hint="eastAsia" w:ascii="微软雅黑" w:hAnsi="微软雅黑" w:eastAsia="微软雅黑" w:cs="微软雅黑"/>
          <w:color w:val="auto"/>
          <w:sz w:val="24"/>
          <w:highlight w:val="none"/>
          <w:u w:val="single"/>
          <w:lang w:val="en-US" w:eastAsia="zh-CN"/>
        </w:rPr>
        <w:t>40%，初验</w:t>
      </w:r>
      <w:r>
        <w:rPr>
          <w:rFonts w:hint="eastAsia" w:ascii="微软雅黑" w:hAnsi="微软雅黑" w:eastAsia="微软雅黑" w:cs="微软雅黑"/>
          <w:color w:val="auto"/>
          <w:sz w:val="24"/>
          <w:highlight w:val="none"/>
          <w:u w:val="single"/>
        </w:rPr>
        <w:t>合格后</w:t>
      </w:r>
      <w:r>
        <w:rPr>
          <w:rFonts w:hint="eastAsia" w:ascii="微软雅黑" w:hAnsi="微软雅黑" w:eastAsia="微软雅黑" w:cs="微软雅黑"/>
          <w:color w:val="auto"/>
          <w:sz w:val="24"/>
          <w:highlight w:val="none"/>
          <w:u w:val="single"/>
          <w:lang w:eastAsia="zh-CN"/>
        </w:rPr>
        <w:t>支付</w:t>
      </w:r>
      <w:r>
        <w:rPr>
          <w:rFonts w:hint="eastAsia" w:ascii="微软雅黑" w:hAnsi="微软雅黑" w:eastAsia="微软雅黑" w:cs="微软雅黑"/>
          <w:color w:val="auto"/>
          <w:sz w:val="24"/>
          <w:highlight w:val="none"/>
          <w:u w:val="single"/>
        </w:rPr>
        <w:t>合同</w:t>
      </w:r>
      <w:r>
        <w:rPr>
          <w:rFonts w:hint="eastAsia" w:ascii="微软雅黑" w:hAnsi="微软雅黑" w:eastAsia="微软雅黑" w:cs="微软雅黑"/>
          <w:color w:val="auto"/>
          <w:sz w:val="24"/>
          <w:highlight w:val="none"/>
          <w:u w:val="single"/>
          <w:lang w:eastAsia="zh-CN"/>
        </w:rPr>
        <w:t>价款</w:t>
      </w:r>
      <w:r>
        <w:rPr>
          <w:rFonts w:hint="eastAsia" w:ascii="微软雅黑" w:hAnsi="微软雅黑" w:eastAsia="微软雅黑" w:cs="微软雅黑"/>
          <w:color w:val="auto"/>
          <w:sz w:val="24"/>
          <w:highlight w:val="none"/>
          <w:u w:val="single"/>
        </w:rPr>
        <w:t>的</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rPr>
        <w:t>7%，剩余3%留作质量保证金，三年质保期</w:t>
      </w:r>
      <w:r>
        <w:rPr>
          <w:rFonts w:hint="eastAsia" w:ascii="微软雅黑" w:hAnsi="微软雅黑" w:eastAsia="微软雅黑" w:cs="微软雅黑"/>
          <w:color w:val="auto"/>
          <w:sz w:val="24"/>
          <w:highlight w:val="none"/>
          <w:u w:val="single"/>
          <w:lang w:eastAsia="zh-CN"/>
        </w:rPr>
        <w:t>满</w:t>
      </w:r>
      <w:r>
        <w:rPr>
          <w:rFonts w:hint="eastAsia" w:ascii="微软雅黑" w:hAnsi="微软雅黑" w:eastAsia="微软雅黑" w:cs="微软雅黑"/>
          <w:color w:val="auto"/>
          <w:sz w:val="24"/>
          <w:highlight w:val="none"/>
          <w:u w:val="single"/>
        </w:rPr>
        <w:t>后无息支付剩余</w:t>
      </w:r>
      <w:r>
        <w:rPr>
          <w:rFonts w:hint="eastAsia" w:ascii="微软雅黑" w:hAnsi="微软雅黑" w:eastAsia="微软雅黑" w:cs="微软雅黑"/>
          <w:color w:val="auto"/>
          <w:sz w:val="24"/>
          <w:highlight w:val="none"/>
          <w:u w:val="single"/>
          <w:lang w:eastAsia="zh-CN"/>
        </w:rPr>
        <w:t>价款</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发票开具方式：</w:t>
      </w:r>
      <w:r>
        <w:rPr>
          <w:rFonts w:hint="eastAsia" w:ascii="微软雅黑" w:hAnsi="微软雅黑" w:eastAsia="微软雅黑" w:cs="微软雅黑"/>
          <w:color w:val="auto"/>
          <w:sz w:val="24"/>
          <w:highlight w:val="none"/>
          <w:u w:val="single"/>
        </w:rPr>
        <w:t xml:space="preserve">增值税普通发票                             </w:t>
      </w:r>
      <w:r>
        <w:rPr>
          <w:rFonts w:hint="eastAsia" w:ascii="微软雅黑" w:hAnsi="微软雅黑" w:eastAsia="微软雅黑" w:cs="微软雅黑"/>
          <w:color w:val="auto"/>
          <w:sz w:val="24"/>
          <w:highlight w:val="none"/>
        </w:rPr>
        <w:t>。</w:t>
      </w:r>
    </w:p>
    <w:p>
      <w:pPr>
        <w:spacing w:line="440" w:lineRule="exact"/>
        <w:ind w:firstLine="480" w:firstLineChars="200"/>
        <w:outlineLvl w:val="0"/>
        <w:rPr>
          <w:rFonts w:ascii="微软雅黑" w:hAnsi="微软雅黑" w:eastAsia="微软雅黑" w:cs="微软雅黑"/>
          <w:b/>
          <w:color w:val="auto"/>
          <w:sz w:val="24"/>
          <w:highlight w:val="none"/>
        </w:rPr>
      </w:pPr>
      <w:bookmarkStart w:id="478" w:name="_Toc32071"/>
      <w:bookmarkStart w:id="479" w:name="_Toc19304"/>
      <w:bookmarkStart w:id="480" w:name="_Toc14143"/>
      <w:bookmarkStart w:id="481" w:name="_Toc32496"/>
      <w:bookmarkStart w:id="482" w:name="_Toc2846"/>
      <w:bookmarkStart w:id="483" w:name="_Toc19442"/>
      <w:bookmarkStart w:id="484" w:name="_Toc16708"/>
      <w:r>
        <w:rPr>
          <w:rFonts w:hint="eastAsia" w:ascii="微软雅黑" w:hAnsi="微软雅黑" w:eastAsia="微软雅黑" w:cs="微软雅黑"/>
          <w:b/>
          <w:color w:val="auto"/>
          <w:sz w:val="24"/>
          <w:highlight w:val="none"/>
        </w:rPr>
        <w:t>1.5 交付期限、地点和方式</w:t>
      </w:r>
      <w:bookmarkEnd w:id="478"/>
      <w:bookmarkEnd w:id="479"/>
      <w:bookmarkEnd w:id="480"/>
      <w:bookmarkEnd w:id="481"/>
      <w:bookmarkEnd w:id="482"/>
      <w:bookmarkEnd w:id="483"/>
      <w:bookmarkEnd w:id="484"/>
    </w:p>
    <w:p>
      <w:pPr>
        <w:spacing w:line="440" w:lineRule="exact"/>
        <w:ind w:left="719" w:leftChars="228" w:hanging="240" w:hangingChars="100"/>
        <w:jc w:val="left"/>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1.5.1 交付期限：</w:t>
      </w:r>
      <w:r>
        <w:rPr>
          <w:rFonts w:hint="eastAsia" w:ascii="微软雅黑" w:hAnsi="微软雅黑" w:eastAsia="微软雅黑" w:cs="微软雅黑"/>
          <w:color w:val="auto"/>
          <w:sz w:val="24"/>
          <w:highlight w:val="none"/>
          <w:u w:val="single"/>
        </w:rPr>
        <w:t xml:space="preserve">  </w:t>
      </w:r>
      <w:r>
        <w:rPr>
          <w:rFonts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b/>
          <w:bCs/>
          <w:color w:val="auto"/>
          <w:sz w:val="24"/>
          <w:highlight w:val="none"/>
          <w:u w:val="single"/>
        </w:rPr>
        <w:t>60</w:t>
      </w:r>
      <w:r>
        <w:rPr>
          <w:rFonts w:hint="eastAsia" w:ascii="微软雅黑" w:hAnsi="微软雅黑" w:eastAsia="微软雅黑" w:cs="微软雅黑"/>
          <w:color w:val="auto"/>
          <w:sz w:val="24"/>
          <w:highlight w:val="none"/>
          <w:u w:val="single"/>
        </w:rPr>
        <w:t>日历天</w:t>
      </w:r>
      <w:r>
        <w:rPr>
          <w:rFonts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交付地点：</w:t>
      </w:r>
      <w:r>
        <w:rPr>
          <w:rFonts w:hint="eastAsia" w:ascii="微软雅黑" w:hAnsi="微软雅黑" w:eastAsia="微软雅黑" w:cs="微软雅黑"/>
          <w:color w:val="auto"/>
          <w:sz w:val="24"/>
          <w:highlight w:val="none"/>
          <w:u w:val="single"/>
        </w:rPr>
        <w:t xml:space="preserve"> 中共疏勒县委员会组织部指定位置               </w:t>
      </w:r>
      <w:r>
        <w:rPr>
          <w:rFonts w:hint="eastAsia" w:ascii="微软雅黑" w:hAnsi="微软雅黑" w:eastAsia="微软雅黑" w:cs="微软雅黑"/>
          <w:color w:val="auto"/>
          <w:sz w:val="24"/>
          <w:highlight w:val="none"/>
        </w:rPr>
        <w:t>；</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 交付方式：</w:t>
      </w:r>
      <w:r>
        <w:rPr>
          <w:rFonts w:hint="eastAsia" w:ascii="微软雅黑" w:hAnsi="微软雅黑" w:eastAsia="微软雅黑" w:cs="微软雅黑"/>
          <w:color w:val="auto"/>
          <w:sz w:val="24"/>
          <w:highlight w:val="none"/>
          <w:u w:val="single"/>
        </w:rPr>
        <w:t>平台搭建完成，满足采购需求后交付</w:t>
      </w:r>
      <w:r>
        <w:rPr>
          <w:rFonts w:hint="eastAsia" w:ascii="微软雅黑" w:hAnsi="微软雅黑" w:eastAsia="微软雅黑" w:cs="微软雅黑"/>
          <w:color w:val="auto"/>
          <w:sz w:val="24"/>
          <w:highlight w:val="none"/>
        </w:rPr>
        <w:t>。</w:t>
      </w:r>
    </w:p>
    <w:p>
      <w:pPr>
        <w:spacing w:line="440" w:lineRule="exact"/>
        <w:ind w:firstLine="480" w:firstLineChars="200"/>
        <w:outlineLvl w:val="0"/>
        <w:rPr>
          <w:rFonts w:ascii="微软雅黑" w:hAnsi="微软雅黑" w:eastAsia="微软雅黑" w:cs="微软雅黑"/>
          <w:b/>
          <w:color w:val="auto"/>
          <w:sz w:val="24"/>
          <w:highlight w:val="none"/>
        </w:rPr>
      </w:pPr>
      <w:bookmarkStart w:id="485" w:name="_Toc24629"/>
      <w:bookmarkStart w:id="486" w:name="_Toc24086"/>
      <w:bookmarkStart w:id="487" w:name="_Toc21423"/>
      <w:bookmarkStart w:id="488" w:name="_Toc402"/>
      <w:bookmarkStart w:id="489" w:name="_Toc27250"/>
      <w:bookmarkStart w:id="490" w:name="_Toc19554"/>
      <w:bookmarkStart w:id="491" w:name="_Toc21476"/>
      <w:r>
        <w:rPr>
          <w:rFonts w:hint="eastAsia" w:ascii="微软雅黑" w:hAnsi="微软雅黑" w:eastAsia="微软雅黑" w:cs="微软雅黑"/>
          <w:b/>
          <w:color w:val="auto"/>
          <w:sz w:val="24"/>
          <w:highlight w:val="none"/>
        </w:rPr>
        <w:t>1.6 违约责任</w:t>
      </w:r>
      <w:bookmarkEnd w:id="485"/>
      <w:bookmarkEnd w:id="486"/>
      <w:bookmarkEnd w:id="487"/>
      <w:bookmarkEnd w:id="488"/>
      <w:bookmarkEnd w:id="489"/>
      <w:bookmarkEnd w:id="490"/>
      <w:bookmarkEnd w:id="491"/>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%计算，最高限额为本合同总价的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%；迟延交付货物的违约金计算数额达到前述最高限额之日起，甲方有权在要求乙方支付违约金的同时，书面通知乙方解除本合同；</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%计算，最高限额为本合同总价的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%；迟延付款的违约金计算数额达到前述最高限额之日起，乙方有权在要求甲方支付违约金的同时，书面通知甲方解除本合同；</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440" w:lineRule="exact"/>
        <w:ind w:firstLine="480" w:firstLineChars="200"/>
        <w:outlineLvl w:val="0"/>
        <w:rPr>
          <w:rFonts w:ascii="微软雅黑" w:hAnsi="微软雅黑" w:eastAsia="微软雅黑" w:cs="微软雅黑"/>
          <w:b/>
          <w:color w:val="auto"/>
          <w:sz w:val="24"/>
          <w:highlight w:val="none"/>
        </w:rPr>
      </w:pPr>
      <w:bookmarkStart w:id="492" w:name="_Toc25059"/>
      <w:bookmarkStart w:id="493" w:name="_Toc15583"/>
      <w:bookmarkStart w:id="494" w:name="_Toc29256"/>
      <w:bookmarkStart w:id="495" w:name="_Toc26216"/>
      <w:bookmarkStart w:id="496" w:name="_Toc16021"/>
      <w:bookmarkStart w:id="497" w:name="_Toc8341"/>
      <w:bookmarkStart w:id="498" w:name="_Toc28375"/>
      <w:r>
        <w:rPr>
          <w:rFonts w:hint="eastAsia" w:ascii="微软雅黑" w:hAnsi="微软雅黑" w:eastAsia="微软雅黑" w:cs="微软雅黑"/>
          <w:b/>
          <w:color w:val="auto"/>
          <w:sz w:val="24"/>
          <w:highlight w:val="none"/>
        </w:rPr>
        <w:t>1.7 合同争议的解决</w:t>
      </w:r>
      <w:bookmarkEnd w:id="492"/>
      <w:bookmarkEnd w:id="493"/>
      <w:bookmarkEnd w:id="494"/>
      <w:bookmarkEnd w:id="495"/>
      <w:bookmarkEnd w:id="496"/>
      <w:bookmarkEnd w:id="497"/>
      <w:bookmarkEnd w:id="498"/>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种方式解决：</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 将争议提交</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仲裁委员会依申请仲裁时其现行有效的仲裁规则裁决；</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 向</w:t>
      </w:r>
      <w:r>
        <w:rPr>
          <w:rFonts w:hint="eastAsia" w:ascii="微软雅黑" w:hAnsi="微软雅黑" w:eastAsia="微软雅黑" w:cs="微软雅黑"/>
          <w:color w:val="auto"/>
          <w:sz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highlight w:val="none"/>
        </w:rPr>
        <w:t>人民法院起诉。</w:t>
      </w:r>
    </w:p>
    <w:p>
      <w:pPr>
        <w:spacing w:line="440" w:lineRule="exact"/>
        <w:ind w:firstLine="480" w:firstLineChars="200"/>
        <w:outlineLvl w:val="0"/>
        <w:rPr>
          <w:rFonts w:ascii="微软雅黑" w:hAnsi="微软雅黑" w:eastAsia="微软雅黑" w:cs="微软雅黑"/>
          <w:b/>
          <w:color w:val="auto"/>
          <w:sz w:val="24"/>
          <w:highlight w:val="none"/>
        </w:rPr>
      </w:pPr>
      <w:bookmarkStart w:id="499" w:name="_Toc29047"/>
      <w:bookmarkStart w:id="500" w:name="_Toc11173"/>
      <w:bookmarkStart w:id="501" w:name="_Toc19747"/>
      <w:bookmarkStart w:id="502" w:name="_Toc28199"/>
      <w:bookmarkStart w:id="503" w:name="_Toc29973"/>
      <w:bookmarkStart w:id="504" w:name="_Toc15322"/>
      <w:bookmarkStart w:id="505" w:name="_Toc7245"/>
      <w:r>
        <w:rPr>
          <w:rFonts w:hint="eastAsia" w:ascii="微软雅黑" w:hAnsi="微软雅黑" w:eastAsia="微软雅黑" w:cs="微软雅黑"/>
          <w:b/>
          <w:color w:val="auto"/>
          <w:sz w:val="24"/>
          <w:highlight w:val="none"/>
        </w:rPr>
        <w:t>1.8 合同生效</w:t>
      </w:r>
      <w:bookmarkEnd w:id="499"/>
      <w:bookmarkEnd w:id="500"/>
      <w:bookmarkEnd w:id="501"/>
      <w:bookmarkEnd w:id="502"/>
      <w:bookmarkEnd w:id="503"/>
      <w:bookmarkEnd w:id="504"/>
      <w:bookmarkEnd w:id="505"/>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本合同自双方当事人盖章或者签字时生效。</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b/>
          <w:color w:val="auto"/>
          <w:sz w:val="24"/>
          <w:highlight w:val="none"/>
          <w:lang w:val="zh-CN"/>
        </w:rPr>
        <w:t>甲方</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b/>
          <w:color w:val="auto"/>
          <w:sz w:val="24"/>
          <w:highlight w:val="none"/>
          <w:lang w:val="zh-CN"/>
        </w:rPr>
        <w:t xml:space="preserve">      乙方</w:t>
      </w:r>
      <w:r>
        <w:rPr>
          <w:rFonts w:hint="eastAsia" w:ascii="微软雅黑" w:hAnsi="微软雅黑" w:eastAsia="微软雅黑" w:cs="微软雅黑"/>
          <w:color w:val="auto"/>
          <w:sz w:val="24"/>
          <w:highlight w:val="none"/>
          <w:lang w:val="zh-CN"/>
        </w:rPr>
        <w:t>：</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统一社会信用代码：                       统一社会信用代码或身份证号码：</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住所：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zh-CN"/>
        </w:rPr>
        <w:t>住所：</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法定代表人（负责人）或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zh-CN"/>
        </w:rPr>
        <w:t>法定代表人（负责人）</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授权代表（签字）：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zh-CN"/>
        </w:rPr>
        <w:t xml:space="preserve">或授权代表（签字）: </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联系人：                                 联系人：</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约定送达地址：                           约定送达地址：</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邮政编码：                               邮政编码：</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电话:                                    电话: </w:t>
      </w:r>
    </w:p>
    <w:p>
      <w:pPr>
        <w:autoSpaceDE w:val="0"/>
        <w:autoSpaceDN w:val="0"/>
        <w:adjustRightInd w:val="0"/>
        <w:spacing w:line="440" w:lineRule="exact"/>
        <w:rPr>
          <w:rFonts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传真:                                    传真:</w:t>
      </w:r>
    </w:p>
    <w:p>
      <w:pPr>
        <w:autoSpaceDE w:val="0"/>
        <w:autoSpaceDN w:val="0"/>
        <w:adjustRightIn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电子邮箱：                               电子邮箱：</w:t>
      </w:r>
    </w:p>
    <w:p>
      <w:pPr>
        <w:autoSpaceDE w:val="0"/>
        <w:autoSpaceDN w:val="0"/>
        <w:adjustRightIn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开户银行：                               开户银行： </w:t>
      </w:r>
    </w:p>
    <w:p>
      <w:pPr>
        <w:autoSpaceDE w:val="0"/>
        <w:autoSpaceDN w:val="0"/>
        <w:adjustRightIn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开户名称：                               开户名称： </w:t>
      </w:r>
    </w:p>
    <w:p>
      <w:pPr>
        <w:autoSpaceDE w:val="0"/>
        <w:autoSpaceDN w:val="0"/>
        <w:adjustRightInd w:val="0"/>
        <w:spacing w:line="44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开户账号：</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color w:val="auto"/>
          <w:sz w:val="24"/>
          <w:highlight w:val="none"/>
        </w:rPr>
        <w:t>开户账号：</w:t>
      </w:r>
    </w:p>
    <w:p>
      <w:pPr>
        <w:rPr>
          <w:rFonts w:ascii="微软雅黑" w:hAnsi="微软雅黑" w:eastAsia="微软雅黑" w:cs="微软雅黑"/>
          <w:b/>
          <w:color w:val="auto"/>
          <w:sz w:val="24"/>
          <w:highlight w:val="none"/>
        </w:rPr>
      </w:pPr>
      <w:bookmarkStart w:id="506" w:name="_Toc331685783"/>
      <w:r>
        <w:rPr>
          <w:rFonts w:hint="eastAsia" w:ascii="微软雅黑" w:hAnsi="微软雅黑" w:eastAsia="微软雅黑" w:cs="微软雅黑"/>
          <w:b/>
          <w:color w:val="auto"/>
          <w:sz w:val="24"/>
          <w:highlight w:val="none"/>
        </w:rPr>
        <w:br w:type="page"/>
      </w:r>
    </w:p>
    <w:p>
      <w:pPr>
        <w:pStyle w:val="55"/>
        <w:spacing w:line="440" w:lineRule="exact"/>
        <w:ind w:firstLine="2761" w:firstLineChars="1150"/>
        <w:rPr>
          <w:rFonts w:ascii="微软雅黑" w:hAnsi="微软雅黑" w:eastAsia="微软雅黑" w:cs="微软雅黑"/>
          <w:b/>
          <w:color w:val="auto"/>
          <w:szCs w:val="24"/>
          <w:highlight w:val="none"/>
        </w:rPr>
      </w:pPr>
      <w:r>
        <w:rPr>
          <w:rFonts w:hint="eastAsia" w:ascii="微软雅黑" w:hAnsi="微软雅黑" w:eastAsia="微软雅黑" w:cs="微软雅黑"/>
          <w:b/>
          <w:color w:val="auto"/>
          <w:szCs w:val="24"/>
          <w:highlight w:val="none"/>
        </w:rPr>
        <w:t>（二） 合同一般条款</w:t>
      </w:r>
      <w:bookmarkEnd w:id="506"/>
    </w:p>
    <w:p>
      <w:pPr>
        <w:spacing w:line="440" w:lineRule="exact"/>
        <w:ind w:firstLine="480" w:firstLineChars="200"/>
        <w:outlineLvl w:val="0"/>
        <w:rPr>
          <w:rFonts w:ascii="微软雅黑" w:hAnsi="微软雅黑" w:eastAsia="微软雅黑" w:cs="微软雅黑"/>
          <w:b/>
          <w:color w:val="auto"/>
          <w:sz w:val="24"/>
          <w:highlight w:val="none"/>
        </w:rPr>
      </w:pPr>
      <w:bookmarkStart w:id="507" w:name="_Ref467378404"/>
      <w:bookmarkStart w:id="508" w:name="_Ref467379101"/>
      <w:bookmarkStart w:id="509" w:name="_Toc18647"/>
      <w:bookmarkStart w:id="510" w:name="_Toc259093669"/>
      <w:bookmarkStart w:id="511" w:name="_Toc279701240"/>
      <w:bookmarkStart w:id="512" w:name="_Ref467378499"/>
      <w:bookmarkStart w:id="513" w:name="_Toc487900349"/>
      <w:bookmarkStart w:id="514" w:name="_Ref467379094"/>
      <w:bookmarkStart w:id="515" w:name="_Ref467379205"/>
      <w:bookmarkStart w:id="516" w:name="_Toc25071"/>
      <w:bookmarkStart w:id="517" w:name="_Toc30580"/>
      <w:bookmarkStart w:id="518" w:name="_Toc28763"/>
      <w:bookmarkStart w:id="519" w:name="_Ref467379195"/>
      <w:bookmarkStart w:id="520" w:name="_Toc19614"/>
      <w:bookmarkStart w:id="521" w:name="_Ref467378463"/>
      <w:bookmarkStart w:id="522" w:name="_Ref467379214"/>
      <w:bookmarkStart w:id="523" w:name="_Ref467379225"/>
      <w:bookmarkStart w:id="524" w:name="_Ref467379109"/>
      <w:bookmarkStart w:id="525" w:name="_Toc16917"/>
      <w:bookmarkStart w:id="526" w:name="_Toc30609"/>
      <w:r>
        <w:rPr>
          <w:rFonts w:hint="eastAsia" w:ascii="微软雅黑" w:hAnsi="微软雅黑" w:eastAsia="微软雅黑" w:cs="微软雅黑"/>
          <w:b/>
          <w:color w:val="auto"/>
          <w:sz w:val="24"/>
          <w:highlight w:val="none"/>
        </w:rPr>
        <w:t>2.1 定义</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本合同中的下列词语应按以下内容进行解释：</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 “合同”系指采购人和中标供应商签订的载明双方当事人所达成的协议，并包括所有的附件、附录和构成合同的其他文件。</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2.1.2 “合同价”系指根据合同约定，中标供应商在完全履行合同义务后，采购人应支付给中标供应商的价格。</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440" w:lineRule="exact"/>
        <w:ind w:firstLine="480" w:firstLineChars="200"/>
        <w:rPr>
          <w:rFonts w:ascii="微软雅黑" w:hAnsi="微软雅黑" w:eastAsia="微软雅黑" w:cs="微软雅黑"/>
          <w:color w:val="auto"/>
          <w:sz w:val="24"/>
          <w:highlight w:val="none"/>
        </w:rPr>
      </w:pPr>
      <w:bookmarkStart w:id="527" w:name="_Ref467378840"/>
      <w:r>
        <w:rPr>
          <w:rFonts w:hint="eastAsia" w:ascii="微软雅黑" w:hAnsi="微软雅黑" w:eastAsia="微软雅黑" w:cs="微软雅黑"/>
          <w:color w:val="auto"/>
          <w:sz w:val="24"/>
          <w:highlight w:val="none"/>
        </w:rPr>
        <w:t>2.1.4 “甲方”系指与中标供应商签署合同的采购人</w:t>
      </w:r>
      <w:bookmarkEnd w:id="527"/>
      <w:r>
        <w:rPr>
          <w:rFonts w:hint="eastAsia" w:ascii="微软雅黑" w:hAnsi="微软雅黑" w:eastAsia="微软雅黑" w:cs="微软雅黑"/>
          <w:color w:val="auto"/>
          <w:sz w:val="24"/>
          <w:highlight w:val="none"/>
        </w:rPr>
        <w:t>；采购人委托采购代理机构代表其与乙方签订合同的，采购人的授权委托书作为合同附件。</w:t>
      </w:r>
    </w:p>
    <w:p>
      <w:pPr>
        <w:spacing w:line="440" w:lineRule="exact"/>
        <w:ind w:firstLine="480" w:firstLineChars="200"/>
        <w:rPr>
          <w:rFonts w:ascii="微软雅黑" w:hAnsi="微软雅黑" w:eastAsia="微软雅黑" w:cs="微软雅黑"/>
          <w:color w:val="auto"/>
          <w:sz w:val="24"/>
          <w:highlight w:val="none"/>
        </w:rPr>
      </w:pPr>
      <w:bookmarkStart w:id="528" w:name="_Ref467379400"/>
      <w:r>
        <w:rPr>
          <w:rFonts w:hint="eastAsia" w:ascii="微软雅黑" w:hAnsi="微软雅黑" w:eastAsia="微软雅黑" w:cs="微软雅黑"/>
          <w:color w:val="auto"/>
          <w:sz w:val="24"/>
          <w:highlight w:val="none"/>
        </w:rPr>
        <w:t>2.1.5 “乙方”系指根据合同约定交付货物的中标供应商</w:t>
      </w:r>
      <w:bookmarkEnd w:id="528"/>
      <w:r>
        <w:rPr>
          <w:rFonts w:hint="eastAsia" w:ascii="微软雅黑" w:hAnsi="微软雅黑" w:eastAsia="微软雅黑" w:cs="微软雅黑"/>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40" w:lineRule="exact"/>
        <w:ind w:firstLine="480" w:firstLineChars="200"/>
        <w:rPr>
          <w:rFonts w:ascii="微软雅黑" w:hAnsi="微软雅黑" w:eastAsia="微软雅黑" w:cs="微软雅黑"/>
          <w:color w:val="auto"/>
          <w:sz w:val="24"/>
          <w:highlight w:val="none"/>
        </w:rPr>
      </w:pPr>
      <w:bookmarkStart w:id="529" w:name="_Ref467379436"/>
      <w:r>
        <w:rPr>
          <w:rFonts w:hint="eastAsia" w:ascii="微软雅黑" w:hAnsi="微软雅黑" w:eastAsia="微软雅黑" w:cs="微软雅黑"/>
          <w:color w:val="auto"/>
          <w:sz w:val="24"/>
          <w:highlight w:val="none"/>
        </w:rPr>
        <w:t>2.1.6 “现场”系指合同约定货物将要运至或者安装的地点。</w:t>
      </w:r>
      <w:bookmarkEnd w:id="529"/>
    </w:p>
    <w:p>
      <w:pPr>
        <w:spacing w:line="440" w:lineRule="exact"/>
        <w:ind w:firstLine="480" w:firstLineChars="200"/>
        <w:outlineLvl w:val="0"/>
        <w:rPr>
          <w:rFonts w:ascii="微软雅黑" w:hAnsi="微软雅黑" w:eastAsia="微软雅黑" w:cs="微软雅黑"/>
          <w:b/>
          <w:color w:val="auto"/>
          <w:sz w:val="24"/>
          <w:highlight w:val="none"/>
        </w:rPr>
      </w:pPr>
      <w:bookmarkStart w:id="530" w:name="_Toc27635"/>
      <w:bookmarkStart w:id="531" w:name="_Toc15743"/>
      <w:bookmarkStart w:id="532" w:name="_Toc31875"/>
      <w:bookmarkStart w:id="533" w:name="_Toc13336"/>
      <w:bookmarkStart w:id="534" w:name="_Toc259093670"/>
      <w:bookmarkStart w:id="535" w:name="_Toc4531"/>
      <w:bookmarkStart w:id="536" w:name="_Toc279701241"/>
      <w:bookmarkStart w:id="537" w:name="_Toc19980"/>
      <w:bookmarkStart w:id="538" w:name="_Toc487900350"/>
      <w:bookmarkStart w:id="539" w:name="_Toc32504"/>
      <w:r>
        <w:rPr>
          <w:rFonts w:hint="eastAsia" w:ascii="微软雅黑" w:hAnsi="微软雅黑" w:eastAsia="微软雅黑" w:cs="微软雅黑"/>
          <w:b/>
          <w:color w:val="auto"/>
          <w:sz w:val="24"/>
          <w:highlight w:val="none"/>
        </w:rPr>
        <w:t>2.2 技术规范</w:t>
      </w:r>
      <w:bookmarkEnd w:id="530"/>
      <w:bookmarkEnd w:id="531"/>
      <w:bookmarkEnd w:id="532"/>
      <w:bookmarkEnd w:id="533"/>
      <w:bookmarkEnd w:id="534"/>
      <w:bookmarkEnd w:id="535"/>
      <w:bookmarkEnd w:id="536"/>
      <w:bookmarkEnd w:id="537"/>
      <w:bookmarkEnd w:id="538"/>
      <w:bookmarkEnd w:id="539"/>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40" w:lineRule="exact"/>
        <w:ind w:firstLine="480" w:firstLineChars="200"/>
        <w:outlineLvl w:val="0"/>
        <w:rPr>
          <w:rFonts w:ascii="微软雅黑" w:hAnsi="微软雅黑" w:eastAsia="微软雅黑" w:cs="微软雅黑"/>
          <w:b/>
          <w:color w:val="auto"/>
          <w:sz w:val="24"/>
          <w:highlight w:val="none"/>
        </w:rPr>
      </w:pPr>
      <w:bookmarkStart w:id="540" w:name="_Toc27853"/>
      <w:bookmarkStart w:id="541" w:name="_Toc9829"/>
      <w:bookmarkStart w:id="542" w:name="_Toc16595"/>
      <w:bookmarkStart w:id="543" w:name="_Toc31634"/>
      <w:bookmarkStart w:id="544" w:name="_Toc13399"/>
      <w:bookmarkStart w:id="545" w:name="_Toc19611"/>
      <w:bookmarkStart w:id="546" w:name="_Toc31335"/>
      <w:bookmarkStart w:id="547" w:name="_Toc259093671"/>
      <w:bookmarkStart w:id="548" w:name="_Toc279701242"/>
      <w:bookmarkStart w:id="549" w:name="_Toc487900351"/>
      <w:r>
        <w:rPr>
          <w:rFonts w:hint="eastAsia" w:ascii="微软雅黑" w:hAnsi="微软雅黑" w:eastAsia="微软雅黑" w:cs="微软雅黑"/>
          <w:b/>
          <w:color w:val="auto"/>
          <w:sz w:val="24"/>
          <w:highlight w:val="none"/>
        </w:rPr>
        <w:t>2.3 知识产权</w:t>
      </w:r>
      <w:bookmarkEnd w:id="540"/>
      <w:bookmarkEnd w:id="541"/>
      <w:bookmarkEnd w:id="542"/>
      <w:bookmarkEnd w:id="543"/>
      <w:bookmarkEnd w:id="544"/>
      <w:bookmarkEnd w:id="545"/>
      <w:bookmarkEnd w:id="546"/>
      <w:bookmarkEnd w:id="547"/>
      <w:bookmarkEnd w:id="548"/>
      <w:bookmarkEnd w:id="549"/>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 乙方应保证甲方在使用该货物、服务或其任何一部分时不受任何第三方提出的侵犯其著作权、商标权、专利权等知识产权方面的起诉；如果任何第三方提出侵权指控，那么乙方须与该第三方交涉并承担由此发生的一切责任、费用和赔偿；</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2.3.2具有知识产权的计算机软件等货物的知识产权归属，详见</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w:t>
      </w:r>
    </w:p>
    <w:p>
      <w:pPr>
        <w:spacing w:line="440" w:lineRule="exact"/>
        <w:ind w:firstLine="480" w:firstLineChars="200"/>
        <w:outlineLvl w:val="0"/>
        <w:rPr>
          <w:rFonts w:ascii="微软雅黑" w:hAnsi="微软雅黑" w:eastAsia="微软雅黑" w:cs="微软雅黑"/>
          <w:b/>
          <w:color w:val="auto"/>
          <w:sz w:val="24"/>
          <w:highlight w:val="none"/>
        </w:rPr>
      </w:pPr>
      <w:bookmarkStart w:id="550" w:name="_Toc4194"/>
      <w:bookmarkStart w:id="551" w:name="_Toc32450"/>
      <w:bookmarkStart w:id="552" w:name="_Toc15014"/>
      <w:bookmarkStart w:id="553" w:name="_Toc29149"/>
      <w:bookmarkStart w:id="554" w:name="_Toc18740"/>
      <w:bookmarkStart w:id="555" w:name="_Toc2346"/>
      <w:bookmarkStart w:id="556" w:name="_Toc11932"/>
      <w:r>
        <w:rPr>
          <w:rFonts w:hint="eastAsia" w:ascii="微软雅黑" w:hAnsi="微软雅黑" w:eastAsia="微软雅黑" w:cs="微软雅黑"/>
          <w:b/>
          <w:color w:val="auto"/>
          <w:sz w:val="24"/>
          <w:highlight w:val="none"/>
        </w:rPr>
        <w:t>2.4 包装和装运</w:t>
      </w:r>
      <w:bookmarkEnd w:id="550"/>
      <w:bookmarkEnd w:id="551"/>
      <w:bookmarkEnd w:id="552"/>
      <w:bookmarkEnd w:id="553"/>
      <w:bookmarkEnd w:id="554"/>
      <w:bookmarkEnd w:id="555"/>
      <w:bookmarkEnd w:id="556"/>
    </w:p>
    <w:p>
      <w:pPr>
        <w:spacing w:line="440" w:lineRule="exact"/>
        <w:ind w:firstLine="480" w:firstLineChars="200"/>
        <w:rPr>
          <w:rFonts w:ascii="微软雅黑" w:hAnsi="微软雅黑" w:eastAsia="微软雅黑" w:cs="微软雅黑"/>
          <w:iCs/>
          <w:color w:val="auto"/>
          <w:sz w:val="24"/>
          <w:highlight w:val="none"/>
        </w:rPr>
      </w:pPr>
      <w:r>
        <w:rPr>
          <w:rFonts w:hint="eastAsia" w:ascii="微软雅黑" w:hAnsi="微软雅黑" w:eastAsia="微软雅黑" w:cs="微软雅黑"/>
          <w:color w:val="auto"/>
          <w:sz w:val="24"/>
          <w:highlight w:val="none"/>
        </w:rPr>
        <w:t>2.4.1除</w:t>
      </w:r>
      <w:r>
        <w:rPr>
          <w:rFonts w:hint="eastAsia" w:ascii="微软雅黑" w:hAnsi="微软雅黑" w:eastAsia="微软雅黑" w:cs="微软雅黑"/>
          <w:b/>
          <w:iCs/>
          <w:color w:val="auto"/>
          <w:sz w:val="24"/>
          <w:highlight w:val="none"/>
          <w:u w:val="single"/>
        </w:rPr>
        <w:t>合同专用条款</w:t>
      </w:r>
      <w:r>
        <w:rPr>
          <w:rFonts w:hint="eastAsia" w:ascii="微软雅黑" w:hAnsi="微软雅黑" w:eastAsia="微软雅黑" w:cs="微软雅黑"/>
          <w:iCs/>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440" w:lineRule="exact"/>
        <w:ind w:firstLine="480" w:firstLineChars="200"/>
        <w:rPr>
          <w:rFonts w:ascii="微软雅黑" w:hAnsi="微软雅黑" w:eastAsia="微软雅黑" w:cs="微软雅黑"/>
          <w:iCs/>
          <w:color w:val="auto"/>
          <w:sz w:val="24"/>
          <w:highlight w:val="none"/>
        </w:rPr>
      </w:pPr>
      <w:r>
        <w:rPr>
          <w:rFonts w:hint="eastAsia" w:ascii="微软雅黑" w:hAnsi="微软雅黑" w:eastAsia="微软雅黑" w:cs="微软雅黑"/>
          <w:iCs/>
          <w:color w:val="auto"/>
          <w:sz w:val="24"/>
          <w:highlight w:val="none"/>
        </w:rPr>
        <w:t>2.4.2 装运货物的要求和通知，详见</w:t>
      </w:r>
      <w:r>
        <w:rPr>
          <w:rFonts w:hint="eastAsia" w:ascii="微软雅黑" w:hAnsi="微软雅黑" w:eastAsia="微软雅黑" w:cs="微软雅黑"/>
          <w:b/>
          <w:iCs/>
          <w:color w:val="auto"/>
          <w:sz w:val="24"/>
          <w:highlight w:val="none"/>
          <w:u w:val="single"/>
        </w:rPr>
        <w:t>合同专用条款</w:t>
      </w:r>
      <w:r>
        <w:rPr>
          <w:rFonts w:hint="eastAsia" w:ascii="微软雅黑" w:hAnsi="微软雅黑" w:eastAsia="微软雅黑" w:cs="微软雅黑"/>
          <w:iCs/>
          <w:color w:val="auto"/>
          <w:sz w:val="24"/>
          <w:highlight w:val="none"/>
        </w:rPr>
        <w:t>。</w:t>
      </w:r>
    </w:p>
    <w:p>
      <w:pPr>
        <w:spacing w:line="440" w:lineRule="exact"/>
        <w:ind w:firstLine="480" w:firstLineChars="200"/>
        <w:outlineLvl w:val="0"/>
        <w:rPr>
          <w:rFonts w:ascii="微软雅黑" w:hAnsi="微软雅黑" w:eastAsia="微软雅黑" w:cs="微软雅黑"/>
          <w:b/>
          <w:color w:val="auto"/>
          <w:sz w:val="24"/>
          <w:highlight w:val="none"/>
        </w:rPr>
      </w:pPr>
      <w:bookmarkStart w:id="557" w:name="_Toc487900354"/>
      <w:bookmarkStart w:id="558" w:name="_Ref467379542"/>
      <w:bookmarkStart w:id="559" w:name="_Toc259093674"/>
      <w:bookmarkStart w:id="560" w:name="_Toc279701245"/>
      <w:bookmarkStart w:id="561" w:name="_Ref467378591"/>
      <w:bookmarkStart w:id="562" w:name="_Ref467379527"/>
      <w:bookmarkStart w:id="563" w:name="_Ref467379536"/>
      <w:bookmarkStart w:id="564" w:name="_Ref467378541"/>
      <w:bookmarkStart w:id="565" w:name="_Toc12131"/>
      <w:bookmarkStart w:id="566" w:name="_Toc30272"/>
      <w:bookmarkStart w:id="567" w:name="_Toc26182"/>
      <w:bookmarkStart w:id="568" w:name="_Toc9259"/>
      <w:bookmarkStart w:id="569" w:name="_Toc19074"/>
      <w:bookmarkStart w:id="570" w:name="_Toc290"/>
      <w:bookmarkStart w:id="571" w:name="_Toc19065"/>
      <w:r>
        <w:rPr>
          <w:rFonts w:hint="eastAsia" w:ascii="微软雅黑" w:hAnsi="微软雅黑" w:eastAsia="微软雅黑" w:cs="微软雅黑"/>
          <w:b/>
          <w:color w:val="auto"/>
          <w:sz w:val="24"/>
          <w:highlight w:val="none"/>
        </w:rPr>
        <w:t>2.</w:t>
      </w:r>
      <w:bookmarkEnd w:id="557"/>
      <w:bookmarkEnd w:id="558"/>
      <w:bookmarkEnd w:id="559"/>
      <w:bookmarkEnd w:id="560"/>
      <w:bookmarkEnd w:id="561"/>
      <w:bookmarkEnd w:id="562"/>
      <w:bookmarkEnd w:id="563"/>
      <w:bookmarkEnd w:id="564"/>
      <w:r>
        <w:rPr>
          <w:rFonts w:hint="eastAsia" w:ascii="微软雅黑" w:hAnsi="微软雅黑" w:eastAsia="微软雅黑" w:cs="微软雅黑"/>
          <w:b/>
          <w:color w:val="auto"/>
          <w:sz w:val="24"/>
          <w:highlight w:val="none"/>
        </w:rPr>
        <w:t>5 履约检查和问题反馈</w:t>
      </w:r>
      <w:bookmarkEnd w:id="565"/>
      <w:bookmarkEnd w:id="566"/>
      <w:bookmarkEnd w:id="567"/>
      <w:bookmarkEnd w:id="568"/>
      <w:bookmarkEnd w:id="569"/>
      <w:bookmarkEnd w:id="570"/>
      <w:bookmarkEnd w:id="571"/>
    </w:p>
    <w:p>
      <w:pPr>
        <w:spacing w:line="440" w:lineRule="exact"/>
        <w:ind w:firstLine="480" w:firstLineChars="200"/>
        <w:rPr>
          <w:rFonts w:ascii="微软雅黑" w:hAnsi="微软雅黑" w:eastAsia="微软雅黑" w:cs="微软雅黑"/>
          <w:color w:val="auto"/>
          <w:sz w:val="24"/>
          <w:highlight w:val="none"/>
        </w:rPr>
      </w:pPr>
      <w:bookmarkStart w:id="572" w:name="_Ref467379657"/>
      <w:r>
        <w:rPr>
          <w:rFonts w:hint="eastAsia" w:ascii="微软雅黑" w:hAnsi="微软雅黑" w:eastAsia="微软雅黑" w:cs="微软雅黑"/>
          <w:color w:val="auto"/>
          <w:sz w:val="24"/>
          <w:highlight w:val="none"/>
        </w:rPr>
        <w:t>2.5.1</w:t>
      </w:r>
      <w:bookmarkEnd w:id="572"/>
      <w:bookmarkStart w:id="573" w:name="_Toc186431854"/>
      <w:bookmarkStart w:id="574" w:name="_Toc279701247"/>
      <w:bookmarkStart w:id="575" w:name="_Toc487900357"/>
      <w:bookmarkStart w:id="576" w:name="_Ref467379793"/>
      <w:bookmarkStart w:id="577" w:name="_Toc259093676"/>
      <w:bookmarkStart w:id="578" w:name="_Ref467379807"/>
      <w:r>
        <w:rPr>
          <w:rFonts w:hint="eastAsia" w:ascii="微软雅黑" w:hAnsi="微软雅黑" w:eastAsia="微软雅黑" w:cs="微软雅黑"/>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 合同履行期间，甲方有权将履行过程中出现的问题反馈给乙方，双方当事人应以书面形式约定需要完善和改进的内容</w:t>
      </w:r>
      <w:bookmarkEnd w:id="573"/>
      <w:bookmarkStart w:id="579" w:name="_Toc186431855"/>
      <w:r>
        <w:rPr>
          <w:rFonts w:hint="eastAsia" w:ascii="微软雅黑" w:hAnsi="微软雅黑" w:eastAsia="微软雅黑" w:cs="微软雅黑"/>
          <w:color w:val="auto"/>
          <w:sz w:val="24"/>
          <w:highlight w:val="none"/>
        </w:rPr>
        <w:t>。</w:t>
      </w:r>
    </w:p>
    <w:bookmarkEnd w:id="579"/>
    <w:p>
      <w:pPr>
        <w:spacing w:line="440" w:lineRule="exact"/>
        <w:ind w:firstLine="480" w:firstLineChars="200"/>
        <w:outlineLvl w:val="0"/>
        <w:rPr>
          <w:rFonts w:ascii="微软雅黑" w:hAnsi="微软雅黑" w:eastAsia="微软雅黑" w:cs="微软雅黑"/>
          <w:b/>
          <w:color w:val="auto"/>
          <w:sz w:val="24"/>
          <w:highlight w:val="none"/>
        </w:rPr>
      </w:pPr>
      <w:bookmarkStart w:id="580" w:name="_Toc28451"/>
      <w:bookmarkStart w:id="581" w:name="_Toc9311"/>
      <w:bookmarkStart w:id="582" w:name="_Toc19219"/>
      <w:bookmarkStart w:id="583" w:name="_Toc7836"/>
      <w:bookmarkStart w:id="584" w:name="_Toc23170"/>
      <w:bookmarkStart w:id="585" w:name="_Toc23770"/>
      <w:bookmarkStart w:id="586" w:name="_Toc3700"/>
      <w:r>
        <w:rPr>
          <w:rFonts w:hint="eastAsia" w:ascii="微软雅黑" w:hAnsi="微软雅黑" w:eastAsia="微软雅黑" w:cs="微软雅黑"/>
          <w:b/>
          <w:color w:val="auto"/>
          <w:sz w:val="24"/>
          <w:highlight w:val="none"/>
        </w:rPr>
        <w:t>2.6 结算方式和付款条件</w:t>
      </w:r>
      <w:bookmarkEnd w:id="574"/>
      <w:bookmarkEnd w:id="575"/>
      <w:bookmarkEnd w:id="576"/>
      <w:bookmarkEnd w:id="577"/>
      <w:bookmarkEnd w:id="578"/>
      <w:bookmarkEnd w:id="580"/>
      <w:bookmarkEnd w:id="581"/>
      <w:bookmarkEnd w:id="582"/>
      <w:bookmarkEnd w:id="583"/>
      <w:bookmarkEnd w:id="584"/>
      <w:bookmarkEnd w:id="585"/>
      <w:bookmarkEnd w:id="586"/>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详见</w:t>
      </w:r>
      <w:r>
        <w:rPr>
          <w:rFonts w:hint="eastAsia" w:ascii="微软雅黑" w:hAnsi="微软雅黑" w:eastAsia="微软雅黑" w:cs="微软雅黑"/>
          <w:b/>
          <w:iCs/>
          <w:color w:val="auto"/>
          <w:sz w:val="24"/>
          <w:highlight w:val="none"/>
          <w:u w:val="single"/>
        </w:rPr>
        <w:t>合同专用条款</w:t>
      </w:r>
      <w:r>
        <w:rPr>
          <w:rFonts w:hint="eastAsia" w:ascii="微软雅黑" w:hAnsi="微软雅黑" w:eastAsia="微软雅黑" w:cs="微软雅黑"/>
          <w:color w:val="auto"/>
          <w:sz w:val="24"/>
          <w:highlight w:val="none"/>
        </w:rPr>
        <w:t>。</w:t>
      </w:r>
    </w:p>
    <w:p>
      <w:pPr>
        <w:spacing w:line="440" w:lineRule="exact"/>
        <w:ind w:firstLine="480" w:firstLineChars="200"/>
        <w:outlineLvl w:val="0"/>
        <w:rPr>
          <w:rFonts w:ascii="微软雅黑" w:hAnsi="微软雅黑" w:eastAsia="微软雅黑" w:cs="微软雅黑"/>
          <w:b/>
          <w:color w:val="auto"/>
          <w:sz w:val="24"/>
          <w:highlight w:val="none"/>
        </w:rPr>
      </w:pPr>
      <w:bookmarkStart w:id="587" w:name="_Ref467379923"/>
      <w:bookmarkStart w:id="588" w:name="_Toc487900358"/>
      <w:bookmarkStart w:id="589" w:name="_Ref467379863"/>
      <w:bookmarkStart w:id="590" w:name="_Ref467379852"/>
      <w:bookmarkStart w:id="591" w:name="_Toc259093677"/>
      <w:bookmarkStart w:id="592" w:name="_Toc279701248"/>
      <w:bookmarkStart w:id="593" w:name="_Toc32722"/>
      <w:bookmarkStart w:id="594" w:name="_Toc774"/>
      <w:bookmarkStart w:id="595" w:name="_Toc3645"/>
      <w:bookmarkStart w:id="596" w:name="_Toc3225"/>
      <w:bookmarkStart w:id="597" w:name="_Toc26042"/>
      <w:bookmarkStart w:id="598" w:name="_Toc25221"/>
      <w:bookmarkStart w:id="599" w:name="_Toc16110"/>
      <w:r>
        <w:rPr>
          <w:rFonts w:hint="eastAsia" w:ascii="微软雅黑" w:hAnsi="微软雅黑" w:eastAsia="微软雅黑" w:cs="微软雅黑"/>
          <w:b/>
          <w:color w:val="auto"/>
          <w:sz w:val="24"/>
          <w:highlight w:val="none"/>
        </w:rPr>
        <w:t>2.7 技术资料</w:t>
      </w:r>
      <w:bookmarkEnd w:id="587"/>
      <w:bookmarkEnd w:id="588"/>
      <w:bookmarkEnd w:id="589"/>
      <w:bookmarkEnd w:id="590"/>
      <w:bookmarkEnd w:id="591"/>
      <w:bookmarkEnd w:id="592"/>
      <w:r>
        <w:rPr>
          <w:rFonts w:hint="eastAsia" w:ascii="微软雅黑" w:hAnsi="微软雅黑" w:eastAsia="微软雅黑" w:cs="微软雅黑"/>
          <w:b/>
          <w:color w:val="auto"/>
          <w:sz w:val="24"/>
          <w:highlight w:val="none"/>
        </w:rPr>
        <w:t>和保密义务</w:t>
      </w:r>
      <w:bookmarkEnd w:id="593"/>
      <w:bookmarkEnd w:id="594"/>
      <w:bookmarkEnd w:id="595"/>
      <w:bookmarkEnd w:id="596"/>
      <w:bookmarkEnd w:id="597"/>
      <w:bookmarkEnd w:id="598"/>
      <w:bookmarkEnd w:id="599"/>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2.7.1 乙方有权依据合同约定和项目需要，向甲方了解有关情况，调阅有关资料等，甲方应予积极配合；</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2.7.2 乙方有义务妥善保管和保护由甲方提供的前款信息和资料等；</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40" w:lineRule="exact"/>
        <w:ind w:firstLine="480" w:firstLineChars="200"/>
        <w:outlineLvl w:val="0"/>
        <w:rPr>
          <w:rFonts w:ascii="微软雅黑" w:hAnsi="微软雅黑" w:eastAsia="微软雅黑" w:cs="微软雅黑"/>
          <w:b/>
          <w:color w:val="auto"/>
          <w:sz w:val="24"/>
          <w:highlight w:val="none"/>
        </w:rPr>
      </w:pPr>
      <w:bookmarkStart w:id="600" w:name="_Toc7860"/>
      <w:bookmarkStart w:id="601" w:name="_Toc21515"/>
      <w:bookmarkStart w:id="602" w:name="_Toc16724"/>
      <w:bookmarkStart w:id="603" w:name="_Toc7374"/>
      <w:bookmarkStart w:id="604" w:name="_Toc25074"/>
      <w:r>
        <w:rPr>
          <w:rFonts w:hint="eastAsia" w:ascii="微软雅黑" w:hAnsi="微软雅黑" w:eastAsia="微软雅黑" w:cs="微软雅黑"/>
          <w:b/>
          <w:color w:val="auto"/>
          <w:sz w:val="24"/>
          <w:highlight w:val="none"/>
        </w:rPr>
        <w:t>2.8 质量保证</w:t>
      </w:r>
      <w:bookmarkEnd w:id="600"/>
      <w:bookmarkEnd w:id="601"/>
      <w:bookmarkEnd w:id="602"/>
      <w:bookmarkEnd w:id="603"/>
      <w:bookmarkEnd w:id="604"/>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2.8.1 乙方应建立和完善履行合同的内部质量保证体系，并提供相关内部规章制度给甲方，以便甲方进行监督检查；</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2.8.2 乙方应保证履行合同的人员数量和素质、软件和硬件设备的配置、场地、环境和设施等满足全面履行合同的要求，并应接受甲方的监督检查。</w:t>
      </w:r>
    </w:p>
    <w:p>
      <w:pPr>
        <w:spacing w:line="440" w:lineRule="exact"/>
        <w:ind w:firstLine="480" w:firstLineChars="200"/>
        <w:outlineLvl w:val="0"/>
        <w:rPr>
          <w:rFonts w:ascii="微软雅黑" w:hAnsi="微软雅黑" w:eastAsia="微软雅黑" w:cs="微软雅黑"/>
          <w:b/>
          <w:color w:val="auto"/>
          <w:sz w:val="24"/>
          <w:highlight w:val="none"/>
        </w:rPr>
      </w:pPr>
      <w:bookmarkStart w:id="605" w:name="_Toc25627"/>
      <w:bookmarkStart w:id="606" w:name="_Toc25380"/>
      <w:bookmarkStart w:id="607" w:name="_Toc21412"/>
      <w:bookmarkStart w:id="608" w:name="_Toc726"/>
      <w:bookmarkStart w:id="609" w:name="_Toc17244"/>
      <w:bookmarkStart w:id="610" w:name="_Toc259093681"/>
      <w:bookmarkStart w:id="611" w:name="_Toc279701252"/>
      <w:bookmarkStart w:id="612" w:name="_Toc487900362"/>
      <w:r>
        <w:rPr>
          <w:rFonts w:hint="eastAsia" w:ascii="微软雅黑" w:hAnsi="微软雅黑" w:eastAsia="微软雅黑" w:cs="微软雅黑"/>
          <w:b/>
          <w:color w:val="auto"/>
          <w:sz w:val="24"/>
          <w:highlight w:val="none"/>
        </w:rPr>
        <w:t>2.9 货物的风险负担</w:t>
      </w:r>
      <w:bookmarkEnd w:id="605"/>
      <w:bookmarkEnd w:id="606"/>
      <w:bookmarkEnd w:id="607"/>
      <w:bookmarkEnd w:id="608"/>
      <w:bookmarkEnd w:id="609"/>
    </w:p>
    <w:p>
      <w:pPr>
        <w:spacing w:line="440" w:lineRule="exact"/>
        <w:ind w:firstLine="480" w:firstLineChars="200"/>
        <w:rPr>
          <w:rFonts w:ascii="微软雅黑" w:hAnsi="微软雅黑" w:eastAsia="微软雅黑" w:cs="微软雅黑"/>
          <w:b/>
          <w:color w:val="auto"/>
          <w:sz w:val="24"/>
          <w:highlight w:val="none"/>
        </w:rPr>
      </w:pPr>
      <w:r>
        <w:rPr>
          <w:rFonts w:hint="eastAsia" w:ascii="微软雅黑" w:hAnsi="微软雅黑" w:eastAsia="微软雅黑" w:cs="微软雅黑"/>
          <w:color w:val="auto"/>
          <w:sz w:val="24"/>
          <w:highlight w:val="none"/>
        </w:rPr>
        <w:t>货物或者在途货物或者交付给第一承运人后的货物毁损、灭失的风险负担详见</w:t>
      </w:r>
      <w:r>
        <w:rPr>
          <w:rFonts w:hint="eastAsia" w:ascii="微软雅黑" w:hAnsi="微软雅黑" w:eastAsia="微软雅黑" w:cs="微软雅黑"/>
          <w:b/>
          <w:iCs/>
          <w:color w:val="auto"/>
          <w:sz w:val="24"/>
          <w:highlight w:val="none"/>
          <w:u w:val="single"/>
        </w:rPr>
        <w:t>合同专用条款</w:t>
      </w:r>
      <w:r>
        <w:rPr>
          <w:rFonts w:hint="eastAsia" w:ascii="微软雅黑" w:hAnsi="微软雅黑" w:eastAsia="微软雅黑" w:cs="微软雅黑"/>
          <w:iCs/>
          <w:color w:val="auto"/>
          <w:sz w:val="24"/>
          <w:highlight w:val="none"/>
        </w:rPr>
        <w:t>。</w:t>
      </w:r>
    </w:p>
    <w:p>
      <w:pPr>
        <w:spacing w:line="440" w:lineRule="exact"/>
        <w:ind w:firstLine="480" w:firstLineChars="200"/>
        <w:outlineLvl w:val="0"/>
        <w:rPr>
          <w:rFonts w:ascii="微软雅黑" w:hAnsi="微软雅黑" w:eastAsia="微软雅黑" w:cs="微软雅黑"/>
          <w:b/>
          <w:color w:val="auto"/>
          <w:sz w:val="24"/>
          <w:highlight w:val="none"/>
        </w:rPr>
      </w:pPr>
      <w:bookmarkStart w:id="613" w:name="_Toc14055"/>
      <w:bookmarkStart w:id="614" w:name="_Toc4393"/>
      <w:bookmarkStart w:id="615" w:name="_Toc4636"/>
      <w:bookmarkStart w:id="616" w:name="_Toc2955"/>
      <w:bookmarkStart w:id="617" w:name="_Toc9597"/>
      <w:r>
        <w:rPr>
          <w:rFonts w:hint="eastAsia" w:ascii="微软雅黑" w:hAnsi="微软雅黑" w:eastAsia="微软雅黑" w:cs="微软雅黑"/>
          <w:b/>
          <w:color w:val="auto"/>
          <w:sz w:val="24"/>
          <w:highlight w:val="none"/>
        </w:rPr>
        <w:t>2.10 延迟交货</w:t>
      </w:r>
      <w:bookmarkEnd w:id="610"/>
      <w:bookmarkEnd w:id="611"/>
      <w:bookmarkEnd w:id="612"/>
      <w:bookmarkEnd w:id="613"/>
      <w:bookmarkEnd w:id="614"/>
      <w:bookmarkEnd w:id="615"/>
      <w:bookmarkEnd w:id="616"/>
      <w:bookmarkEnd w:id="617"/>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440" w:lineRule="exact"/>
        <w:ind w:firstLine="480" w:firstLineChars="200"/>
        <w:outlineLvl w:val="0"/>
        <w:rPr>
          <w:rFonts w:ascii="微软雅黑" w:hAnsi="微软雅黑" w:eastAsia="微软雅黑" w:cs="微软雅黑"/>
          <w:b/>
          <w:color w:val="auto"/>
          <w:sz w:val="24"/>
          <w:highlight w:val="none"/>
        </w:rPr>
      </w:pPr>
      <w:bookmarkStart w:id="618" w:name="_Toc24535"/>
      <w:bookmarkStart w:id="619" w:name="_Toc5276"/>
      <w:bookmarkStart w:id="620" w:name="_Toc9562"/>
      <w:bookmarkStart w:id="621" w:name="_Toc7502"/>
      <w:bookmarkStart w:id="622" w:name="_Toc21933"/>
      <w:bookmarkStart w:id="623" w:name="_Toc259093683"/>
      <w:bookmarkStart w:id="624" w:name="_Toc487900364"/>
      <w:bookmarkStart w:id="625" w:name="_Ref467378121"/>
      <w:bookmarkStart w:id="626" w:name="_Toc279701254"/>
      <w:r>
        <w:rPr>
          <w:rFonts w:hint="eastAsia" w:ascii="微软雅黑" w:hAnsi="微软雅黑" w:eastAsia="微软雅黑" w:cs="微软雅黑"/>
          <w:b/>
          <w:color w:val="auto"/>
          <w:sz w:val="24"/>
          <w:highlight w:val="none"/>
        </w:rPr>
        <w:t>2.11 合同变更</w:t>
      </w:r>
      <w:bookmarkEnd w:id="618"/>
      <w:bookmarkEnd w:id="619"/>
      <w:bookmarkEnd w:id="620"/>
      <w:bookmarkEnd w:id="621"/>
      <w:bookmarkEnd w:id="622"/>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627" w:name="_Toc487900369"/>
      <w:bookmarkStart w:id="628" w:name="_Toc279701259"/>
      <w:bookmarkStart w:id="629" w:name="_Toc259093688"/>
    </w:p>
    <w:p>
      <w:pPr>
        <w:spacing w:line="440" w:lineRule="exact"/>
        <w:ind w:firstLine="480" w:firstLineChars="200"/>
        <w:outlineLvl w:val="0"/>
        <w:rPr>
          <w:rFonts w:ascii="微软雅黑" w:hAnsi="微软雅黑" w:eastAsia="微软雅黑" w:cs="微软雅黑"/>
          <w:b/>
          <w:color w:val="auto"/>
          <w:sz w:val="24"/>
          <w:highlight w:val="none"/>
        </w:rPr>
      </w:pPr>
      <w:bookmarkStart w:id="630" w:name="_Toc16788"/>
      <w:bookmarkStart w:id="631" w:name="_Toc22955"/>
      <w:bookmarkStart w:id="632" w:name="_Toc15237"/>
      <w:bookmarkStart w:id="633" w:name="_Toc20446"/>
      <w:bookmarkStart w:id="634" w:name="_Toc10380"/>
      <w:bookmarkStart w:id="635" w:name="_Toc10366"/>
      <w:bookmarkStart w:id="636" w:name="_Toc11573"/>
      <w:r>
        <w:rPr>
          <w:rFonts w:hint="eastAsia" w:ascii="微软雅黑" w:hAnsi="微软雅黑" w:eastAsia="微软雅黑" w:cs="微软雅黑"/>
          <w:b/>
          <w:color w:val="auto"/>
          <w:sz w:val="24"/>
          <w:highlight w:val="none"/>
        </w:rPr>
        <w:t>2.12 合同转让</w:t>
      </w:r>
      <w:bookmarkEnd w:id="627"/>
      <w:bookmarkEnd w:id="628"/>
      <w:bookmarkEnd w:id="629"/>
      <w:r>
        <w:rPr>
          <w:rFonts w:hint="eastAsia" w:ascii="微软雅黑" w:hAnsi="微软雅黑" w:eastAsia="微软雅黑" w:cs="微软雅黑"/>
          <w:b/>
          <w:color w:val="auto"/>
          <w:sz w:val="24"/>
          <w:highlight w:val="none"/>
        </w:rPr>
        <w:t>和分包</w:t>
      </w:r>
      <w:bookmarkEnd w:id="630"/>
      <w:bookmarkEnd w:id="631"/>
      <w:bookmarkEnd w:id="632"/>
      <w:bookmarkEnd w:id="633"/>
      <w:bookmarkEnd w:id="634"/>
      <w:bookmarkEnd w:id="635"/>
      <w:bookmarkEnd w:id="636"/>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40" w:lineRule="exact"/>
        <w:ind w:firstLine="480" w:firstLineChars="200"/>
        <w:outlineLvl w:val="0"/>
        <w:rPr>
          <w:rFonts w:ascii="微软雅黑" w:hAnsi="微软雅黑" w:eastAsia="微软雅黑" w:cs="微软雅黑"/>
          <w:b/>
          <w:color w:val="auto"/>
          <w:sz w:val="24"/>
          <w:highlight w:val="none"/>
        </w:rPr>
      </w:pPr>
      <w:bookmarkStart w:id="637" w:name="_Toc16508"/>
      <w:bookmarkStart w:id="638" w:name="_Toc13566"/>
      <w:bookmarkStart w:id="639" w:name="_Toc14066"/>
      <w:bookmarkStart w:id="640" w:name="_Toc4819"/>
      <w:bookmarkStart w:id="641" w:name="_Toc21823"/>
      <w:bookmarkStart w:id="642" w:name="_Toc10936"/>
      <w:bookmarkStart w:id="643" w:name="_Toc32631"/>
      <w:r>
        <w:rPr>
          <w:rFonts w:hint="eastAsia" w:ascii="微软雅黑" w:hAnsi="微软雅黑" w:eastAsia="微软雅黑" w:cs="微软雅黑"/>
          <w:b/>
          <w:color w:val="auto"/>
          <w:sz w:val="24"/>
          <w:highlight w:val="none"/>
        </w:rPr>
        <w:t>2.13 不可抗力</w:t>
      </w:r>
      <w:bookmarkEnd w:id="637"/>
      <w:bookmarkEnd w:id="638"/>
      <w:bookmarkEnd w:id="639"/>
      <w:bookmarkEnd w:id="640"/>
      <w:bookmarkEnd w:id="641"/>
      <w:bookmarkEnd w:id="642"/>
      <w:bookmarkEnd w:id="643"/>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2.13.1如果任何一方遭遇法律规定的不可抗力，致使合同履行受阻时，履行合同的期限应予延长，延长的期限应相当于不可抗力所影响的时间；</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2.13.2 因不可抗力致使不能实现合同目的的，当事人可以解除合同；</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2.13.3 因不可抗力致使合同有变更必要的，双方当事人应在</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约定时间内以书面形式变更合同；</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2.13.4受不可抗力影响的一方在不可抗力发生后，应在</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约定时间内以书面形式通知对方当事人，并在</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约定时间内，将有关部门出具的证明文件送达对方当事人。</w:t>
      </w:r>
    </w:p>
    <w:p>
      <w:pPr>
        <w:spacing w:line="440" w:lineRule="exact"/>
        <w:ind w:firstLine="480" w:firstLineChars="200"/>
        <w:outlineLvl w:val="0"/>
        <w:rPr>
          <w:rFonts w:ascii="微软雅黑" w:hAnsi="微软雅黑" w:eastAsia="微软雅黑" w:cs="微软雅黑"/>
          <w:b/>
          <w:color w:val="auto"/>
          <w:sz w:val="24"/>
          <w:highlight w:val="none"/>
        </w:rPr>
      </w:pPr>
      <w:bookmarkStart w:id="644" w:name="_Toc29898"/>
      <w:bookmarkStart w:id="645" w:name="_Toc279701255"/>
      <w:bookmarkStart w:id="646" w:name="_Toc30520"/>
      <w:bookmarkStart w:id="647" w:name="_Toc259093684"/>
      <w:bookmarkStart w:id="648" w:name="_Toc487900365"/>
      <w:bookmarkStart w:id="649" w:name="_Toc689"/>
      <w:bookmarkStart w:id="650" w:name="_Toc6969"/>
      <w:bookmarkStart w:id="651" w:name="_Toc29650"/>
      <w:bookmarkStart w:id="652" w:name="_Toc12453"/>
      <w:bookmarkStart w:id="653" w:name="_Toc30676"/>
      <w:r>
        <w:rPr>
          <w:rFonts w:hint="eastAsia" w:ascii="微软雅黑" w:hAnsi="微软雅黑" w:eastAsia="微软雅黑" w:cs="微软雅黑"/>
          <w:b/>
          <w:color w:val="auto"/>
          <w:sz w:val="24"/>
          <w:highlight w:val="none"/>
        </w:rPr>
        <w:t>2.14 税费</w:t>
      </w:r>
      <w:bookmarkEnd w:id="644"/>
      <w:bookmarkEnd w:id="645"/>
      <w:bookmarkEnd w:id="646"/>
      <w:bookmarkEnd w:id="647"/>
      <w:bookmarkEnd w:id="648"/>
      <w:bookmarkEnd w:id="649"/>
      <w:bookmarkEnd w:id="650"/>
      <w:bookmarkEnd w:id="651"/>
      <w:bookmarkEnd w:id="652"/>
      <w:bookmarkEnd w:id="653"/>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与合同有关的一切税费，均按照中华人民共和国法律的相关规定。</w:t>
      </w:r>
    </w:p>
    <w:p>
      <w:pPr>
        <w:spacing w:line="440" w:lineRule="exact"/>
        <w:ind w:firstLine="480" w:firstLineChars="200"/>
        <w:outlineLvl w:val="0"/>
        <w:rPr>
          <w:rFonts w:ascii="微软雅黑" w:hAnsi="微软雅黑" w:eastAsia="微软雅黑" w:cs="微软雅黑"/>
          <w:b/>
          <w:color w:val="auto"/>
          <w:sz w:val="24"/>
          <w:highlight w:val="none"/>
        </w:rPr>
      </w:pPr>
      <w:bookmarkStart w:id="654" w:name="_Toc6444"/>
      <w:bookmarkStart w:id="655" w:name="_Toc8298"/>
      <w:bookmarkStart w:id="656" w:name="_Toc10864"/>
      <w:bookmarkStart w:id="657" w:name="_Toc487900368"/>
      <w:bookmarkStart w:id="658" w:name="_Toc279701258"/>
      <w:bookmarkStart w:id="659" w:name="_Toc20361"/>
      <w:bookmarkStart w:id="660" w:name="_Toc25231"/>
      <w:bookmarkStart w:id="661" w:name="_Toc7102"/>
      <w:bookmarkStart w:id="662" w:name="_Toc16959"/>
      <w:bookmarkStart w:id="663" w:name="_Toc259093687"/>
      <w:r>
        <w:rPr>
          <w:rFonts w:hint="eastAsia" w:ascii="微软雅黑" w:hAnsi="微软雅黑" w:eastAsia="微软雅黑" w:cs="微软雅黑"/>
          <w:b/>
          <w:color w:val="auto"/>
          <w:sz w:val="24"/>
          <w:highlight w:val="none"/>
        </w:rPr>
        <w:t>2.15 乙方破产</w:t>
      </w:r>
      <w:bookmarkEnd w:id="654"/>
      <w:bookmarkEnd w:id="655"/>
      <w:bookmarkEnd w:id="656"/>
      <w:bookmarkEnd w:id="657"/>
      <w:bookmarkEnd w:id="658"/>
      <w:bookmarkEnd w:id="659"/>
      <w:bookmarkEnd w:id="660"/>
      <w:bookmarkEnd w:id="661"/>
      <w:bookmarkEnd w:id="662"/>
      <w:bookmarkEnd w:id="663"/>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40" w:lineRule="exact"/>
        <w:ind w:firstLine="480" w:firstLineChars="200"/>
        <w:outlineLvl w:val="0"/>
        <w:rPr>
          <w:rFonts w:ascii="微软雅黑" w:hAnsi="微软雅黑" w:eastAsia="微软雅黑" w:cs="微软雅黑"/>
          <w:b/>
          <w:color w:val="auto"/>
          <w:sz w:val="24"/>
          <w:highlight w:val="none"/>
        </w:rPr>
      </w:pPr>
      <w:bookmarkStart w:id="664" w:name="_Toc15387"/>
      <w:bookmarkStart w:id="665" w:name="_Toc29333"/>
      <w:bookmarkStart w:id="666" w:name="_Toc26050"/>
      <w:bookmarkStart w:id="667" w:name="_Toc6134"/>
      <w:bookmarkStart w:id="668" w:name="_Toc17804"/>
      <w:bookmarkStart w:id="669" w:name="_Toc25012"/>
      <w:bookmarkStart w:id="670" w:name="_Toc32604"/>
      <w:r>
        <w:rPr>
          <w:rFonts w:hint="eastAsia" w:ascii="微软雅黑" w:hAnsi="微软雅黑" w:eastAsia="微软雅黑" w:cs="微软雅黑"/>
          <w:b/>
          <w:color w:val="auto"/>
          <w:sz w:val="24"/>
          <w:highlight w:val="none"/>
        </w:rPr>
        <w:t>2.16 合同中止、终止</w:t>
      </w:r>
      <w:bookmarkEnd w:id="664"/>
      <w:bookmarkEnd w:id="665"/>
      <w:bookmarkEnd w:id="666"/>
      <w:bookmarkEnd w:id="667"/>
      <w:bookmarkEnd w:id="668"/>
      <w:bookmarkEnd w:id="669"/>
      <w:bookmarkEnd w:id="670"/>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2.16.1 双方当事人不得擅自中止或者终止合同；</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440" w:lineRule="exact"/>
        <w:ind w:firstLine="480" w:firstLineChars="200"/>
        <w:outlineLvl w:val="0"/>
        <w:rPr>
          <w:rFonts w:ascii="微软雅黑" w:hAnsi="微软雅黑" w:eastAsia="微软雅黑" w:cs="微软雅黑"/>
          <w:b/>
          <w:color w:val="auto"/>
          <w:sz w:val="24"/>
          <w:highlight w:val="none"/>
        </w:rPr>
      </w:pPr>
      <w:bookmarkStart w:id="671" w:name="_Toc29074"/>
      <w:bookmarkStart w:id="672" w:name="_Toc16543"/>
      <w:bookmarkStart w:id="673" w:name="_Toc30697"/>
      <w:bookmarkStart w:id="674" w:name="_Toc6596"/>
      <w:bookmarkStart w:id="675" w:name="_Toc1125"/>
      <w:bookmarkStart w:id="676" w:name="_Toc6449"/>
      <w:bookmarkStart w:id="677" w:name="_Toc14563"/>
      <w:r>
        <w:rPr>
          <w:rFonts w:hint="eastAsia" w:ascii="微软雅黑" w:hAnsi="微软雅黑" w:eastAsia="微软雅黑" w:cs="微软雅黑"/>
          <w:b/>
          <w:color w:val="auto"/>
          <w:sz w:val="24"/>
          <w:highlight w:val="none"/>
        </w:rPr>
        <w:t>2.17 检验和验收</w:t>
      </w:r>
      <w:bookmarkEnd w:id="671"/>
      <w:bookmarkEnd w:id="672"/>
      <w:bookmarkEnd w:id="673"/>
      <w:bookmarkEnd w:id="674"/>
      <w:bookmarkEnd w:id="675"/>
      <w:bookmarkEnd w:id="676"/>
      <w:bookmarkEnd w:id="677"/>
    </w:p>
    <w:p>
      <w:pPr>
        <w:tabs>
          <w:tab w:val="left" w:pos="360"/>
          <w:tab w:val="left" w:pos="540"/>
          <w:tab w:val="left" w:pos="1080"/>
        </w:tabs>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约定时间内组织验收，并可依法邀请相关方参加，验收应出具验收书。</w:t>
      </w:r>
    </w:p>
    <w:p>
      <w:pPr>
        <w:tabs>
          <w:tab w:val="left" w:pos="360"/>
          <w:tab w:val="left" w:pos="540"/>
          <w:tab w:val="left" w:pos="1080"/>
        </w:tabs>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2.17.3 检验和验收标准、程序等具体内容以及前述验收书的效力详见</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w:t>
      </w:r>
    </w:p>
    <w:bookmarkEnd w:id="623"/>
    <w:bookmarkEnd w:id="624"/>
    <w:bookmarkEnd w:id="625"/>
    <w:bookmarkEnd w:id="626"/>
    <w:p>
      <w:pPr>
        <w:spacing w:line="440" w:lineRule="exact"/>
        <w:ind w:firstLine="480" w:firstLineChars="200"/>
        <w:outlineLvl w:val="0"/>
        <w:rPr>
          <w:rFonts w:ascii="微软雅黑" w:hAnsi="微软雅黑" w:eastAsia="微软雅黑" w:cs="微软雅黑"/>
          <w:b/>
          <w:color w:val="auto"/>
          <w:sz w:val="24"/>
          <w:highlight w:val="none"/>
        </w:rPr>
      </w:pPr>
      <w:bookmarkStart w:id="678" w:name="_Toc279701261"/>
      <w:bookmarkStart w:id="679" w:name="_Toc487900371"/>
      <w:bookmarkStart w:id="680" w:name="_Toc259093690"/>
      <w:bookmarkStart w:id="681" w:name="_Toc4145"/>
      <w:bookmarkStart w:id="682" w:name="_Toc11284"/>
      <w:bookmarkStart w:id="683" w:name="_Toc25182"/>
      <w:bookmarkStart w:id="684" w:name="_Toc11707"/>
      <w:bookmarkStart w:id="685" w:name="_Toc20938"/>
      <w:bookmarkStart w:id="686" w:name="_Toc19604"/>
      <w:bookmarkStart w:id="687" w:name="_Toc13318"/>
      <w:r>
        <w:rPr>
          <w:rFonts w:hint="eastAsia" w:ascii="微软雅黑" w:hAnsi="微软雅黑" w:eastAsia="微软雅黑" w:cs="微软雅黑"/>
          <w:b/>
          <w:color w:val="auto"/>
          <w:sz w:val="24"/>
          <w:highlight w:val="none"/>
        </w:rPr>
        <w:t>2.18 通知</w:t>
      </w:r>
      <w:bookmarkEnd w:id="678"/>
      <w:bookmarkEnd w:id="679"/>
      <w:bookmarkEnd w:id="680"/>
      <w:r>
        <w:rPr>
          <w:rFonts w:hint="eastAsia" w:ascii="微软雅黑" w:hAnsi="微软雅黑" w:eastAsia="微软雅黑" w:cs="微软雅黑"/>
          <w:b/>
          <w:color w:val="auto"/>
          <w:sz w:val="24"/>
          <w:highlight w:val="none"/>
        </w:rPr>
        <w:t>和送达</w:t>
      </w:r>
      <w:bookmarkEnd w:id="681"/>
      <w:bookmarkEnd w:id="682"/>
      <w:bookmarkEnd w:id="683"/>
      <w:bookmarkEnd w:id="684"/>
      <w:bookmarkEnd w:id="685"/>
      <w:bookmarkEnd w:id="686"/>
      <w:bookmarkEnd w:id="687"/>
    </w:p>
    <w:p>
      <w:pPr>
        <w:spacing w:line="440" w:lineRule="exact"/>
        <w:ind w:firstLine="480" w:firstLineChars="200"/>
        <w:rPr>
          <w:rFonts w:ascii="微软雅黑" w:hAnsi="微软雅黑" w:eastAsia="微软雅黑" w:cs="微软雅黑"/>
          <w:color w:val="auto"/>
          <w:sz w:val="24"/>
          <w:highlight w:val="none"/>
        </w:rPr>
      </w:pPr>
      <w:bookmarkStart w:id="688" w:name="_Toc3135"/>
      <w:bookmarkStart w:id="689" w:name="_Toc6698"/>
      <w:bookmarkStart w:id="690" w:name="_Toc487900372"/>
      <w:bookmarkStart w:id="691" w:name="_Toc259093691"/>
      <w:bookmarkStart w:id="692" w:name="_Toc279701262"/>
      <w:r>
        <w:rPr>
          <w:rFonts w:hint="eastAsia" w:ascii="微软雅黑" w:hAnsi="微软雅黑" w:eastAsia="微软雅黑" w:cs="微软雅黑"/>
          <w:color w:val="auto"/>
          <w:sz w:val="24"/>
          <w:highlight w:val="none"/>
        </w:rPr>
        <w:t>2.18.1 任何一方因履行合同而以合同第一部分尾部所列明的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个工作日内书面通知对方当事人，在对方当事人收到有关变更通知之前，变更前的约定送达方式或者地址仍视为有效。</w:t>
      </w:r>
      <w:bookmarkEnd w:id="688"/>
      <w:bookmarkEnd w:id="689"/>
    </w:p>
    <w:p>
      <w:pPr>
        <w:spacing w:line="440" w:lineRule="exact"/>
        <w:ind w:firstLine="480" w:firstLineChars="200"/>
        <w:rPr>
          <w:rFonts w:ascii="微软雅黑" w:hAnsi="微软雅黑" w:eastAsia="微软雅黑" w:cs="微软雅黑"/>
          <w:color w:val="auto"/>
          <w:sz w:val="24"/>
          <w:highlight w:val="none"/>
        </w:rPr>
      </w:pPr>
      <w:bookmarkStart w:id="693" w:name="_Toc23128"/>
      <w:bookmarkStart w:id="694" w:name="_Toc23294"/>
      <w:r>
        <w:rPr>
          <w:rFonts w:hint="eastAsia" w:ascii="微软雅黑" w:hAnsi="微软雅黑" w:eastAsia="微软雅黑" w:cs="微软雅黑"/>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93"/>
      <w:bookmarkEnd w:id="694"/>
    </w:p>
    <w:p>
      <w:pPr>
        <w:spacing w:line="440" w:lineRule="exact"/>
        <w:ind w:firstLine="480" w:firstLineChars="200"/>
        <w:outlineLvl w:val="0"/>
        <w:rPr>
          <w:rFonts w:ascii="微软雅黑" w:hAnsi="微软雅黑" w:eastAsia="微软雅黑" w:cs="微软雅黑"/>
          <w:b/>
          <w:color w:val="auto"/>
          <w:sz w:val="24"/>
          <w:highlight w:val="none"/>
        </w:rPr>
      </w:pPr>
      <w:bookmarkStart w:id="695" w:name="_Toc4355"/>
      <w:bookmarkStart w:id="696" w:name="_Toc30599"/>
      <w:bookmarkStart w:id="697" w:name="_Toc21547"/>
      <w:bookmarkStart w:id="698" w:name="_Toc11260"/>
      <w:bookmarkStart w:id="699" w:name="_Toc18540"/>
      <w:bookmarkStart w:id="700" w:name="_Toc13206"/>
      <w:bookmarkStart w:id="701" w:name="_Toc23814"/>
      <w:r>
        <w:rPr>
          <w:rFonts w:hint="eastAsia" w:ascii="微软雅黑" w:hAnsi="微软雅黑" w:eastAsia="微软雅黑" w:cs="微软雅黑"/>
          <w:b/>
          <w:color w:val="auto"/>
          <w:sz w:val="24"/>
          <w:highlight w:val="none"/>
        </w:rPr>
        <w:t>2.19 计量单位</w:t>
      </w:r>
      <w:bookmarkEnd w:id="690"/>
      <w:bookmarkEnd w:id="691"/>
      <w:bookmarkEnd w:id="692"/>
      <w:bookmarkEnd w:id="695"/>
      <w:bookmarkEnd w:id="696"/>
      <w:bookmarkEnd w:id="697"/>
      <w:bookmarkEnd w:id="698"/>
      <w:bookmarkEnd w:id="699"/>
      <w:bookmarkEnd w:id="700"/>
      <w:bookmarkEnd w:id="701"/>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除技术规范中另有规定外,合同的计量单位均使用国家法定计量单位。</w:t>
      </w:r>
    </w:p>
    <w:p>
      <w:pPr>
        <w:spacing w:line="440" w:lineRule="exact"/>
        <w:ind w:firstLine="480" w:firstLineChars="200"/>
        <w:outlineLvl w:val="0"/>
        <w:rPr>
          <w:rFonts w:ascii="微软雅黑" w:hAnsi="微软雅黑" w:eastAsia="微软雅黑" w:cs="微软雅黑"/>
          <w:b/>
          <w:color w:val="auto"/>
          <w:sz w:val="24"/>
          <w:highlight w:val="none"/>
        </w:rPr>
      </w:pPr>
      <w:bookmarkStart w:id="702" w:name="_Toc487900373"/>
      <w:bookmarkStart w:id="703" w:name="_Toc30447"/>
      <w:bookmarkStart w:id="704" w:name="_Toc15197"/>
      <w:bookmarkStart w:id="705" w:name="_Toc12773"/>
      <w:bookmarkStart w:id="706" w:name="_Toc259093692"/>
      <w:bookmarkStart w:id="707" w:name="_Toc19455"/>
      <w:bookmarkStart w:id="708" w:name="_Toc1622"/>
      <w:bookmarkStart w:id="709" w:name="_Toc10330"/>
      <w:bookmarkStart w:id="710" w:name="_Toc279701263"/>
      <w:bookmarkStart w:id="711" w:name="_Toc18567"/>
      <w:r>
        <w:rPr>
          <w:rFonts w:hint="eastAsia" w:ascii="微软雅黑" w:hAnsi="微软雅黑" w:eastAsia="微软雅黑" w:cs="微软雅黑"/>
          <w:b/>
          <w:color w:val="auto"/>
          <w:sz w:val="24"/>
          <w:highlight w:val="none"/>
        </w:rPr>
        <w:t>2.20 合同使用的文字和适用的法律</w:t>
      </w:r>
      <w:bookmarkEnd w:id="702"/>
      <w:bookmarkEnd w:id="703"/>
      <w:bookmarkEnd w:id="704"/>
      <w:bookmarkEnd w:id="705"/>
      <w:bookmarkEnd w:id="706"/>
      <w:bookmarkEnd w:id="707"/>
      <w:bookmarkEnd w:id="708"/>
      <w:bookmarkEnd w:id="709"/>
      <w:bookmarkEnd w:id="710"/>
      <w:bookmarkEnd w:id="711"/>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2.20.1 合同使用汉语书就、变更和解释；</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2.20.2 合同适用中华人民共和国法律。</w:t>
      </w:r>
    </w:p>
    <w:p>
      <w:pPr>
        <w:spacing w:line="440" w:lineRule="exact"/>
        <w:ind w:firstLine="480" w:firstLineChars="200"/>
        <w:outlineLvl w:val="0"/>
        <w:rPr>
          <w:rFonts w:ascii="微软雅黑" w:hAnsi="微软雅黑" w:eastAsia="微软雅黑" w:cs="微软雅黑"/>
          <w:b/>
          <w:color w:val="auto"/>
          <w:sz w:val="24"/>
          <w:highlight w:val="none"/>
        </w:rPr>
      </w:pPr>
      <w:bookmarkStart w:id="712" w:name="_Toc7470"/>
      <w:bookmarkStart w:id="713" w:name="_Toc32074"/>
      <w:bookmarkStart w:id="714" w:name="_Toc16799"/>
      <w:bookmarkStart w:id="715" w:name="_Toc27158"/>
      <w:bookmarkStart w:id="716" w:name="_Toc3148"/>
      <w:bookmarkStart w:id="717" w:name="_Toc12004"/>
      <w:bookmarkStart w:id="718" w:name="_Toc279701264"/>
      <w:bookmarkStart w:id="719" w:name="_Toc259093693"/>
      <w:bookmarkStart w:id="720" w:name="_Toc16673"/>
      <w:bookmarkStart w:id="721" w:name="_Toc487900374"/>
      <w:r>
        <w:rPr>
          <w:rFonts w:hint="eastAsia" w:ascii="微软雅黑" w:hAnsi="微软雅黑" w:eastAsia="微软雅黑" w:cs="微软雅黑"/>
          <w:b/>
          <w:color w:val="auto"/>
          <w:sz w:val="24"/>
          <w:highlight w:val="none"/>
        </w:rPr>
        <w:t>2.21 履约保证金</w:t>
      </w:r>
      <w:bookmarkEnd w:id="712"/>
      <w:bookmarkEnd w:id="713"/>
      <w:bookmarkEnd w:id="714"/>
      <w:bookmarkEnd w:id="715"/>
      <w:bookmarkEnd w:id="716"/>
      <w:bookmarkEnd w:id="717"/>
      <w:bookmarkEnd w:id="718"/>
      <w:bookmarkEnd w:id="719"/>
      <w:bookmarkEnd w:id="720"/>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2.21.1 采购文件要求乙方提交履约保证金的，乙方应按</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约定的方式，以支票、汇票、本票或者金融机构、担保机构出具的保函等非现金形式，提交不超过合同价10%的履约保证金；</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2.21.2  履约保证金在</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个工作日内，甲方应将履约保证金退还乙方；</w:t>
      </w:r>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21"/>
    <w:p>
      <w:pPr>
        <w:spacing w:line="440" w:lineRule="exact"/>
        <w:ind w:firstLine="480" w:firstLineChars="200"/>
        <w:outlineLvl w:val="0"/>
        <w:rPr>
          <w:rFonts w:ascii="微软雅黑" w:hAnsi="微软雅黑" w:eastAsia="微软雅黑" w:cs="微软雅黑"/>
          <w:b/>
          <w:color w:val="auto"/>
          <w:sz w:val="24"/>
          <w:highlight w:val="none"/>
        </w:rPr>
      </w:pPr>
      <w:bookmarkStart w:id="722" w:name="_Toc6885"/>
      <w:bookmarkStart w:id="723" w:name="_Toc14001"/>
      <w:bookmarkStart w:id="724" w:name="_Toc1013"/>
      <w:bookmarkStart w:id="725" w:name="_Toc10468"/>
      <w:bookmarkStart w:id="726" w:name="_Toc30706"/>
      <w:bookmarkStart w:id="727" w:name="_Toc19890"/>
      <w:bookmarkStart w:id="728" w:name="_Toc31567"/>
      <w:r>
        <w:rPr>
          <w:rFonts w:hint="eastAsia" w:ascii="微软雅黑" w:hAnsi="微软雅黑" w:eastAsia="微软雅黑" w:cs="微软雅黑"/>
          <w:b/>
          <w:color w:val="auto"/>
          <w:sz w:val="24"/>
          <w:highlight w:val="none"/>
        </w:rPr>
        <w:t>2.22 合同份数</w:t>
      </w:r>
      <w:bookmarkEnd w:id="722"/>
      <w:bookmarkEnd w:id="723"/>
      <w:bookmarkEnd w:id="724"/>
      <w:bookmarkEnd w:id="725"/>
      <w:bookmarkEnd w:id="726"/>
      <w:bookmarkEnd w:id="727"/>
      <w:bookmarkEnd w:id="728"/>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合同份数按</w:t>
      </w:r>
      <w:r>
        <w:rPr>
          <w:rFonts w:hint="eastAsia" w:ascii="微软雅黑" w:hAnsi="微软雅黑" w:eastAsia="微软雅黑" w:cs="微软雅黑"/>
          <w:b/>
          <w:color w:val="auto"/>
          <w:sz w:val="24"/>
          <w:highlight w:val="none"/>
          <w:u w:val="single"/>
        </w:rPr>
        <w:t>合同专用条款</w:t>
      </w:r>
      <w:r>
        <w:rPr>
          <w:rFonts w:hint="eastAsia" w:ascii="微软雅黑" w:hAnsi="微软雅黑" w:eastAsia="微软雅黑" w:cs="微软雅黑"/>
          <w:color w:val="auto"/>
          <w:sz w:val="24"/>
          <w:highlight w:val="none"/>
        </w:rPr>
        <w:t>规定，每份均具有同等法律效力。</w:t>
      </w:r>
    </w:p>
    <w:p>
      <w:pPr>
        <w:pStyle w:val="55"/>
        <w:spacing w:line="440" w:lineRule="exact"/>
        <w:ind w:firstLine="0"/>
        <w:jc w:val="center"/>
        <w:rPr>
          <w:rFonts w:ascii="微软雅黑" w:hAnsi="微软雅黑" w:eastAsia="微软雅黑" w:cs="微软雅黑"/>
          <w:b/>
          <w:color w:val="auto"/>
          <w:szCs w:val="24"/>
          <w:highlight w:val="none"/>
        </w:rPr>
      </w:pPr>
      <w:r>
        <w:rPr>
          <w:rFonts w:hint="eastAsia" w:ascii="微软雅黑" w:hAnsi="微软雅黑" w:eastAsia="微软雅黑" w:cs="微软雅黑"/>
          <w:color w:val="auto"/>
          <w:szCs w:val="24"/>
          <w:highlight w:val="none"/>
        </w:rPr>
        <w:br w:type="page"/>
      </w:r>
      <w:bookmarkStart w:id="729" w:name="_Toc331685784"/>
      <w:r>
        <w:rPr>
          <w:rFonts w:hint="eastAsia" w:ascii="微软雅黑" w:hAnsi="微软雅黑" w:eastAsia="微软雅黑" w:cs="微软雅黑"/>
          <w:b/>
          <w:color w:val="auto"/>
          <w:szCs w:val="24"/>
          <w:highlight w:val="none"/>
        </w:rPr>
        <w:t>（三）  合同专用条款</w:t>
      </w:r>
      <w:bookmarkEnd w:id="729"/>
    </w:p>
    <w:p>
      <w:pPr>
        <w:spacing w:line="440" w:lineRule="exact"/>
        <w:ind w:firstLine="480" w:firstLineChars="200"/>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440" w:lineRule="exact"/>
              <w:jc w:val="center"/>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条款号</w:t>
            </w:r>
          </w:p>
        </w:tc>
        <w:tc>
          <w:tcPr>
            <w:tcW w:w="7633" w:type="dxa"/>
            <w:vAlign w:val="center"/>
          </w:tcPr>
          <w:p>
            <w:pPr>
              <w:spacing w:line="440" w:lineRule="exact"/>
              <w:jc w:val="center"/>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440" w:lineRule="exact"/>
              <w:rPr>
                <w:rFonts w:ascii="微软雅黑" w:hAnsi="微软雅黑" w:eastAsia="微软雅黑" w:cs="微软雅黑"/>
                <w:color w:val="auto"/>
                <w:sz w:val="24"/>
                <w:highlight w:val="none"/>
              </w:rPr>
            </w:pPr>
          </w:p>
        </w:tc>
        <w:tc>
          <w:tcPr>
            <w:tcW w:w="7633" w:type="dxa"/>
            <w:vAlign w:val="center"/>
          </w:tcPr>
          <w:p>
            <w:pPr>
              <w:spacing w:line="440" w:lineRule="exact"/>
              <w:rPr>
                <w:rFonts w:ascii="微软雅黑" w:hAnsi="微软雅黑" w:eastAsia="微软雅黑" w:cs="微软雅黑"/>
                <w:color w:val="auto"/>
                <w:sz w:val="24"/>
                <w:highlight w:val="none"/>
              </w:rPr>
            </w:pPr>
          </w:p>
        </w:tc>
      </w:tr>
    </w:tbl>
    <w:p>
      <w:pPr>
        <w:spacing w:after="156" w:line="560" w:lineRule="exact"/>
        <w:ind w:firstLine="480"/>
        <w:rPr>
          <w:rFonts w:ascii="微软雅黑" w:hAnsi="微软雅黑" w:eastAsia="微软雅黑" w:cs="微软雅黑"/>
          <w:color w:val="auto"/>
          <w:sz w:val="24"/>
          <w:highlight w:val="none"/>
        </w:rPr>
      </w:pPr>
    </w:p>
    <w:p>
      <w:pPr>
        <w:pStyle w:val="4"/>
        <w:spacing w:before="0" w:line="240" w:lineRule="atLeast"/>
        <w:ind w:left="1080" w:leftChars="257" w:hanging="540"/>
        <w:rPr>
          <w:rFonts w:ascii="微软雅黑" w:hAnsi="微软雅黑" w:eastAsia="微软雅黑" w:cs="微软雅黑"/>
          <w:color w:val="auto"/>
          <w:sz w:val="24"/>
          <w:szCs w:val="24"/>
          <w:highlight w:val="none"/>
        </w:rPr>
      </w:pPr>
    </w:p>
    <w:p>
      <w:pPr>
        <w:rPr>
          <w:rFonts w:ascii="微软雅黑" w:hAnsi="微软雅黑" w:eastAsia="微软雅黑" w:cs="微软雅黑"/>
          <w:color w:val="auto"/>
          <w:sz w:val="24"/>
          <w:highlight w:val="none"/>
        </w:rPr>
      </w:pPr>
    </w:p>
    <w:p>
      <w:pPr>
        <w:pStyle w:val="2"/>
        <w:spacing w:line="240" w:lineRule="atLeast"/>
        <w:ind w:firstLine="0"/>
        <w:rPr>
          <w:rFonts w:ascii="微软雅黑" w:hAnsi="微软雅黑" w:eastAsia="微软雅黑" w:cs="微软雅黑"/>
          <w:color w:val="auto"/>
          <w:szCs w:val="24"/>
          <w:highlight w:val="none"/>
        </w:rPr>
      </w:pPr>
    </w:p>
    <w:sectPr>
      <w:headerReference r:id="rId15" w:type="default"/>
      <w:footerReference r:id="rId16" w:type="default"/>
      <w:pgSz w:w="11905" w:h="16838"/>
      <w:pgMar w:top="1440" w:right="1797" w:bottom="1440" w:left="1797" w:header="851" w:footer="992"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5A5A5" w:sz="4" w:space="1"/>
      </w:pBdr>
    </w:pPr>
    <w:r>
      <w:rPr>
        <w:rFonts w:hint="eastAsia"/>
      </w:rPr>
      <w:tab/>
    </w:r>
    <w:r>
      <w:pict>
        <v:shape id="_x0000_s2052" o:spid="_x0000_s2052" o:spt="202" type="#_x0000_t202" style="position:absolute;left:0pt;margin-left:203.05pt;margin-top:4.1pt;height:11.4pt;width:9.5pt;mso-position-horizontal-relative:margin;z-index:251668480;mso-width-relative:page;mso-height-relative:page;" filled="f" stroked="f" coordsize="21600,21600" o:gfxdata="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ZBrHdYAAAAIAQAADwAAAAAAAAABACAAAAAiAAAAZHJzL2Rvd25yZXYu&#10;eG1sUEsBAhQAFAAAAAgAh07iQKDHk9Y2AgAAYwQAAA4AAAAAAAAAAQAgAAAAJQEAAGRycy9lMm9E&#10;b2MueG1sUEsFBgAAAAAGAAYAWQEAAM0FAAAAAA==&#10;">
          <v:path/>
          <v:fill on="f" focussize="0,0"/>
          <v:stroke on="f" weight="0.5pt" joinstyle="miter"/>
          <v:imagedata o:title=""/>
          <o:lock v:ext="edit"/>
          <v:textbox inset="0mm,0mm,0mm,0mm">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p>
    <w:pPr>
      <w:pStyle w:val="1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r>
      <w:pict>
        <v:shape id="_x0000_s2051" o:spid="_x0000_s2051"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52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2050"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path/>
          <v:fill on="f" focussize="0,0"/>
          <v:stroke on="f" weight="1.25pt"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v:textbox>
        </v:shape>
      </w:pict>
    </w:r>
  </w:p>
  <w:p>
    <w:pPr>
      <w:pStyle w:val="1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4681"/>
      </w:tabs>
      <w:ind w:right="360"/>
    </w:pPr>
    <w:r>
      <w:pict>
        <v:shape id="_x0000_s2049" o:spid="_x0000_s2049" o:spt="202" type="#_x0000_t202" style="position:absolute;left:0pt;margin-top:0pt;height:11.65pt;width:21.05pt;mso-position-horizontal:center;mso-position-horizontal-relative:margin;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106</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微软雅黑" w:hAnsi="微软雅黑" w:eastAsia="微软雅黑" w:cs="微软雅黑"/>
      </w:rPr>
    </w:pPr>
    <w:r>
      <w:rPr>
        <w:rFonts w:hint="eastAsia" w:ascii="微软雅黑" w:hAnsi="微软雅黑" w:eastAsia="微软雅黑" w:cs="微软雅黑"/>
      </w:rPr>
      <w:t>招标文件--疏勒县乡村振兴平台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jc w:val="right"/>
    </w:pPr>
    <w:r>
      <w:rPr>
        <w:rFonts w:hint="eastAsia"/>
      </w:rPr>
      <w:t>招标文件--疏勒县乡村振兴平台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jc w:val="right"/>
    </w:pPr>
    <w:r>
      <w:rPr>
        <w:rFonts w:hint="eastAsia"/>
      </w:rPr>
      <w:t>招标文件--疏勒县乡村振兴平台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jc w:val="right"/>
    </w:pPr>
    <w:r>
      <w:rPr>
        <w:rFonts w:hint="eastAsia"/>
      </w:rPr>
      <w:t>招标文件--疏勒县乡村振兴平台</w:t>
    </w:r>
  </w:p>
  <w:p>
    <w:pPr>
      <w:pStyle w:val="2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jc w:val="right"/>
    </w:pPr>
    <w:r>
      <w:rPr>
        <w:rFonts w:hint="eastAsia"/>
      </w:rPr>
      <w:t>招标文件--疏勒县乡村振兴平台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2E7E1"/>
    <w:multiLevelType w:val="singleLevel"/>
    <w:tmpl w:val="8702E7E1"/>
    <w:lvl w:ilvl="0" w:tentative="0">
      <w:start w:val="1"/>
      <w:numFmt w:val="decimal"/>
      <w:suff w:val="nothing"/>
      <w:lvlText w:val="%1、"/>
      <w:lvlJc w:val="left"/>
    </w:lvl>
  </w:abstractNum>
  <w:abstractNum w:abstractNumId="1">
    <w:nsid w:val="B499F487"/>
    <w:multiLevelType w:val="singleLevel"/>
    <w:tmpl w:val="B499F487"/>
    <w:lvl w:ilvl="0" w:tentative="0">
      <w:start w:val="1"/>
      <w:numFmt w:val="decimal"/>
      <w:suff w:val="nothing"/>
      <w:lvlText w:val="%1."/>
      <w:lvlJc w:val="left"/>
      <w:pPr>
        <w:ind w:left="0" w:firstLine="0"/>
      </w:pPr>
      <w:rPr>
        <w:rFonts w:hint="eastAsia"/>
      </w:rPr>
    </w:lvl>
  </w:abstractNum>
  <w:abstractNum w:abstractNumId="2">
    <w:nsid w:val="BBF5190A"/>
    <w:multiLevelType w:val="singleLevel"/>
    <w:tmpl w:val="BBF5190A"/>
    <w:lvl w:ilvl="0" w:tentative="0">
      <w:start w:val="1"/>
      <w:numFmt w:val="decimal"/>
      <w:lvlText w:val="%1."/>
      <w:lvlJc w:val="left"/>
      <w:pPr>
        <w:ind w:left="420" w:hanging="420"/>
      </w:pPr>
      <w:rPr>
        <w:rFonts w:hint="eastAsia"/>
      </w:rPr>
    </w:lvl>
  </w:abstractNum>
  <w:abstractNum w:abstractNumId="3">
    <w:nsid w:val="C7FC2500"/>
    <w:multiLevelType w:val="singleLevel"/>
    <w:tmpl w:val="C7FC2500"/>
    <w:lvl w:ilvl="0" w:tentative="0">
      <w:start w:val="6"/>
      <w:numFmt w:val="decimal"/>
      <w:suff w:val="nothing"/>
      <w:lvlText w:val="（%1）"/>
      <w:lvlJc w:val="left"/>
    </w:lvl>
  </w:abstractNum>
  <w:abstractNum w:abstractNumId="4">
    <w:nsid w:val="00000002"/>
    <w:multiLevelType w:val="multilevel"/>
    <w:tmpl w:val="00000002"/>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00000006"/>
    <w:multiLevelType w:val="multilevel"/>
    <w:tmpl w:val="00000006"/>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00000007"/>
    <w:multiLevelType w:val="multilevel"/>
    <w:tmpl w:val="0000000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02193353"/>
    <w:multiLevelType w:val="multilevel"/>
    <w:tmpl w:val="021933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535724E"/>
    <w:multiLevelType w:val="multilevel"/>
    <w:tmpl w:val="053572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FF2282"/>
    <w:multiLevelType w:val="multilevel"/>
    <w:tmpl w:val="09FF22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C1D06A6"/>
    <w:multiLevelType w:val="singleLevel"/>
    <w:tmpl w:val="0C1D06A6"/>
    <w:lvl w:ilvl="0" w:tentative="0">
      <w:start w:val="7"/>
      <w:numFmt w:val="decimal"/>
      <w:suff w:val="nothing"/>
      <w:lvlText w:val="%1、"/>
      <w:lvlJc w:val="left"/>
    </w:lvl>
  </w:abstractNum>
  <w:abstractNum w:abstractNumId="12">
    <w:nsid w:val="10276805"/>
    <w:multiLevelType w:val="multilevel"/>
    <w:tmpl w:val="102768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D078C6"/>
    <w:multiLevelType w:val="multilevel"/>
    <w:tmpl w:val="15D078C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021014"/>
    <w:multiLevelType w:val="multilevel"/>
    <w:tmpl w:val="160210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2665E6"/>
    <w:multiLevelType w:val="multilevel"/>
    <w:tmpl w:val="162665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ADB742D"/>
    <w:multiLevelType w:val="multilevel"/>
    <w:tmpl w:val="1ADB742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29C6B44"/>
    <w:multiLevelType w:val="multilevel"/>
    <w:tmpl w:val="229C6B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4E405A4"/>
    <w:multiLevelType w:val="multilevel"/>
    <w:tmpl w:val="24E405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A1AE734"/>
    <w:multiLevelType w:val="singleLevel"/>
    <w:tmpl w:val="2A1AE734"/>
    <w:lvl w:ilvl="0" w:tentative="0">
      <w:start w:val="5"/>
      <w:numFmt w:val="decimal"/>
      <w:suff w:val="nothing"/>
      <w:lvlText w:val="%1、"/>
      <w:lvlJc w:val="left"/>
    </w:lvl>
  </w:abstractNum>
  <w:abstractNum w:abstractNumId="20">
    <w:nsid w:val="2AEF5AB5"/>
    <w:multiLevelType w:val="multilevel"/>
    <w:tmpl w:val="2AEF5A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BCC7AD3"/>
    <w:multiLevelType w:val="singleLevel"/>
    <w:tmpl w:val="2BCC7AD3"/>
    <w:lvl w:ilvl="0" w:tentative="0">
      <w:start w:val="1"/>
      <w:numFmt w:val="decimal"/>
      <w:suff w:val="nothing"/>
      <w:lvlText w:val="%1."/>
      <w:lvlJc w:val="left"/>
      <w:pPr>
        <w:ind w:left="0" w:firstLine="0"/>
      </w:pPr>
      <w:rPr>
        <w:rFonts w:hint="eastAsia"/>
      </w:rPr>
    </w:lvl>
  </w:abstractNum>
  <w:abstractNum w:abstractNumId="22">
    <w:nsid w:val="2D8F0256"/>
    <w:multiLevelType w:val="multilevel"/>
    <w:tmpl w:val="2D8F02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EAA13EE"/>
    <w:multiLevelType w:val="singleLevel"/>
    <w:tmpl w:val="2EAA13EE"/>
    <w:lvl w:ilvl="0" w:tentative="0">
      <w:start w:val="1"/>
      <w:numFmt w:val="decimal"/>
      <w:suff w:val="space"/>
      <w:lvlText w:val="%1."/>
      <w:lvlJc w:val="left"/>
    </w:lvl>
  </w:abstractNum>
  <w:abstractNum w:abstractNumId="24">
    <w:nsid w:val="3085113F"/>
    <w:multiLevelType w:val="multilevel"/>
    <w:tmpl w:val="3085113F"/>
    <w:lvl w:ilvl="0" w:tentative="0">
      <w:start w:val="1"/>
      <w:numFmt w:val="decimal"/>
      <w:lvlText w:val="%1."/>
      <w:lvlJc w:val="left"/>
      <w:pPr>
        <w:ind w:left="420" w:hanging="420"/>
      </w:p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6652C57"/>
    <w:multiLevelType w:val="singleLevel"/>
    <w:tmpl w:val="36652C57"/>
    <w:lvl w:ilvl="0" w:tentative="0">
      <w:start w:val="6"/>
      <w:numFmt w:val="chineseCounting"/>
      <w:suff w:val="nothing"/>
      <w:lvlText w:val="%1、"/>
      <w:lvlJc w:val="left"/>
      <w:rPr>
        <w:rFonts w:hint="eastAsia"/>
      </w:rPr>
    </w:lvl>
  </w:abstractNum>
  <w:abstractNum w:abstractNumId="26">
    <w:nsid w:val="3C68103F"/>
    <w:multiLevelType w:val="multilevel"/>
    <w:tmpl w:val="3C6810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E311675"/>
    <w:multiLevelType w:val="multilevel"/>
    <w:tmpl w:val="3E31167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89655C8"/>
    <w:multiLevelType w:val="multilevel"/>
    <w:tmpl w:val="489655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8BFA080"/>
    <w:multiLevelType w:val="singleLevel"/>
    <w:tmpl w:val="48BFA080"/>
    <w:lvl w:ilvl="0" w:tentative="0">
      <w:start w:val="1"/>
      <w:numFmt w:val="decimal"/>
      <w:suff w:val="nothing"/>
      <w:lvlText w:val="（%1）"/>
      <w:lvlJc w:val="left"/>
    </w:lvl>
  </w:abstractNum>
  <w:abstractNum w:abstractNumId="30">
    <w:nsid w:val="49592966"/>
    <w:multiLevelType w:val="multilevel"/>
    <w:tmpl w:val="495929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AECBDE1"/>
    <w:multiLevelType w:val="singleLevel"/>
    <w:tmpl w:val="4AECBDE1"/>
    <w:lvl w:ilvl="0" w:tentative="0">
      <w:start w:val="2"/>
      <w:numFmt w:val="chineseCounting"/>
      <w:suff w:val="nothing"/>
      <w:lvlText w:val="%1、"/>
      <w:lvlJc w:val="left"/>
      <w:rPr>
        <w:rFonts w:hint="eastAsia"/>
      </w:rPr>
    </w:lvl>
  </w:abstractNum>
  <w:abstractNum w:abstractNumId="32">
    <w:nsid w:val="4FB7629B"/>
    <w:multiLevelType w:val="multilevel"/>
    <w:tmpl w:val="4FB762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14F12C2"/>
    <w:multiLevelType w:val="multilevel"/>
    <w:tmpl w:val="514F12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8864845"/>
    <w:multiLevelType w:val="multilevel"/>
    <w:tmpl w:val="588648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CFB61B0"/>
    <w:multiLevelType w:val="multilevel"/>
    <w:tmpl w:val="5CFB61B0"/>
    <w:lvl w:ilvl="0" w:tentative="0">
      <w:start w:val="1"/>
      <w:numFmt w:val="decimal"/>
      <w:lvlText w:val="%1."/>
      <w:lvlJc w:val="left"/>
      <w:pPr>
        <w:ind w:left="420" w:hanging="420"/>
      </w:p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D886D66"/>
    <w:multiLevelType w:val="multilevel"/>
    <w:tmpl w:val="5D886D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F26715C"/>
    <w:multiLevelType w:val="multilevel"/>
    <w:tmpl w:val="5F26715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1DF0097"/>
    <w:multiLevelType w:val="multilevel"/>
    <w:tmpl w:val="61DF00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4240028"/>
    <w:multiLevelType w:val="singleLevel"/>
    <w:tmpl w:val="64240028"/>
    <w:lvl w:ilvl="0" w:tentative="0">
      <w:start w:val="1"/>
      <w:numFmt w:val="decimal"/>
      <w:suff w:val="nothing"/>
      <w:lvlText w:val="%1."/>
      <w:lvlJc w:val="left"/>
      <w:pPr>
        <w:ind w:left="0" w:firstLine="0"/>
      </w:pPr>
      <w:rPr>
        <w:rFonts w:hint="eastAsia"/>
      </w:rPr>
    </w:lvl>
  </w:abstractNum>
  <w:abstractNum w:abstractNumId="40">
    <w:nsid w:val="64500A4D"/>
    <w:multiLevelType w:val="multilevel"/>
    <w:tmpl w:val="64500A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A6E3DBB"/>
    <w:multiLevelType w:val="multilevel"/>
    <w:tmpl w:val="6A6E3D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C857B27"/>
    <w:multiLevelType w:val="multilevel"/>
    <w:tmpl w:val="6C857B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CD3204A"/>
    <w:multiLevelType w:val="multilevel"/>
    <w:tmpl w:val="6CD320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227B884"/>
    <w:multiLevelType w:val="singleLevel"/>
    <w:tmpl w:val="7227B884"/>
    <w:lvl w:ilvl="0" w:tentative="0">
      <w:start w:val="1"/>
      <w:numFmt w:val="decimal"/>
      <w:suff w:val="nothing"/>
      <w:lvlText w:val="%1、"/>
      <w:lvlJc w:val="left"/>
    </w:lvl>
  </w:abstractNum>
  <w:abstractNum w:abstractNumId="45">
    <w:nsid w:val="7A462C07"/>
    <w:multiLevelType w:val="multilevel"/>
    <w:tmpl w:val="7A462C0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4"/>
  </w:num>
  <w:num w:numId="4">
    <w:abstractNumId w:val="3"/>
  </w:num>
  <w:num w:numId="5">
    <w:abstractNumId w:val="5"/>
  </w:num>
  <w:num w:numId="6">
    <w:abstractNumId w:val="44"/>
  </w:num>
  <w:num w:numId="7">
    <w:abstractNumId w:val="11"/>
  </w:num>
  <w:num w:numId="8">
    <w:abstractNumId w:val="19"/>
  </w:num>
  <w:num w:numId="9">
    <w:abstractNumId w:val="23"/>
  </w:num>
  <w:num w:numId="10">
    <w:abstractNumId w:val="29"/>
  </w:num>
  <w:num w:numId="11">
    <w:abstractNumId w:val="31"/>
  </w:num>
  <w:num w:numId="12">
    <w:abstractNumId w:val="25"/>
  </w:num>
  <w:num w:numId="13">
    <w:abstractNumId w:val="0"/>
  </w:num>
  <w:num w:numId="14">
    <w:abstractNumId w:val="1"/>
  </w:num>
  <w:num w:numId="15">
    <w:abstractNumId w:val="21"/>
  </w:num>
  <w:num w:numId="16">
    <w:abstractNumId w:val="39"/>
  </w:num>
  <w:num w:numId="17">
    <w:abstractNumId w:val="26"/>
  </w:num>
  <w:num w:numId="18">
    <w:abstractNumId w:val="33"/>
  </w:num>
  <w:num w:numId="19">
    <w:abstractNumId w:val="42"/>
  </w:num>
  <w:num w:numId="20">
    <w:abstractNumId w:val="32"/>
  </w:num>
  <w:num w:numId="21">
    <w:abstractNumId w:val="17"/>
  </w:num>
  <w:num w:numId="22">
    <w:abstractNumId w:val="13"/>
  </w:num>
  <w:num w:numId="23">
    <w:abstractNumId w:val="28"/>
  </w:num>
  <w:num w:numId="24">
    <w:abstractNumId w:val="43"/>
  </w:num>
  <w:num w:numId="25">
    <w:abstractNumId w:val="40"/>
  </w:num>
  <w:num w:numId="26">
    <w:abstractNumId w:val="8"/>
  </w:num>
  <w:num w:numId="27">
    <w:abstractNumId w:val="38"/>
  </w:num>
  <w:num w:numId="28">
    <w:abstractNumId w:val="27"/>
  </w:num>
  <w:num w:numId="29">
    <w:abstractNumId w:val="22"/>
  </w:num>
  <w:num w:numId="30">
    <w:abstractNumId w:val="41"/>
  </w:num>
  <w:num w:numId="31">
    <w:abstractNumId w:val="24"/>
  </w:num>
  <w:num w:numId="32">
    <w:abstractNumId w:val="35"/>
  </w:num>
  <w:num w:numId="33">
    <w:abstractNumId w:val="2"/>
  </w:num>
  <w:num w:numId="34">
    <w:abstractNumId w:val="37"/>
  </w:num>
  <w:num w:numId="35">
    <w:abstractNumId w:val="34"/>
  </w:num>
  <w:num w:numId="36">
    <w:abstractNumId w:val="30"/>
  </w:num>
  <w:num w:numId="37">
    <w:abstractNumId w:val="45"/>
  </w:num>
  <w:num w:numId="38">
    <w:abstractNumId w:val="9"/>
  </w:num>
  <w:num w:numId="39">
    <w:abstractNumId w:val="18"/>
  </w:num>
  <w:num w:numId="40">
    <w:abstractNumId w:val="16"/>
  </w:num>
  <w:num w:numId="41">
    <w:abstractNumId w:val="12"/>
  </w:num>
  <w:num w:numId="42">
    <w:abstractNumId w:val="36"/>
  </w:num>
  <w:num w:numId="43">
    <w:abstractNumId w:val="10"/>
  </w:num>
  <w:num w:numId="44">
    <w:abstractNumId w:val="15"/>
  </w:num>
  <w:num w:numId="45">
    <w:abstractNumId w:val="2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hideSpellingErrors/>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3DE5"/>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27B2"/>
    <w:rsid w:val="0013359E"/>
    <w:rsid w:val="00137694"/>
    <w:rsid w:val="00141EAC"/>
    <w:rsid w:val="00143652"/>
    <w:rsid w:val="0014627C"/>
    <w:rsid w:val="0015142E"/>
    <w:rsid w:val="00157C74"/>
    <w:rsid w:val="00157D8E"/>
    <w:rsid w:val="00161678"/>
    <w:rsid w:val="00161D71"/>
    <w:rsid w:val="00162805"/>
    <w:rsid w:val="00165014"/>
    <w:rsid w:val="001705FF"/>
    <w:rsid w:val="0017180F"/>
    <w:rsid w:val="00172A27"/>
    <w:rsid w:val="001733C3"/>
    <w:rsid w:val="00173BFF"/>
    <w:rsid w:val="00174749"/>
    <w:rsid w:val="00174FCA"/>
    <w:rsid w:val="00175AFB"/>
    <w:rsid w:val="00176F12"/>
    <w:rsid w:val="001770BE"/>
    <w:rsid w:val="00177A3E"/>
    <w:rsid w:val="00183E4B"/>
    <w:rsid w:val="00185507"/>
    <w:rsid w:val="00187B13"/>
    <w:rsid w:val="00187EB4"/>
    <w:rsid w:val="0019618B"/>
    <w:rsid w:val="00196FA0"/>
    <w:rsid w:val="001A3B44"/>
    <w:rsid w:val="001A4571"/>
    <w:rsid w:val="001A5EEB"/>
    <w:rsid w:val="001A60E4"/>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6DB1"/>
    <w:rsid w:val="00277935"/>
    <w:rsid w:val="00277E8E"/>
    <w:rsid w:val="00280DD6"/>
    <w:rsid w:val="00281827"/>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9B1"/>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5FEF"/>
    <w:rsid w:val="00317120"/>
    <w:rsid w:val="003171BB"/>
    <w:rsid w:val="00317BC6"/>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2759"/>
    <w:rsid w:val="004A3872"/>
    <w:rsid w:val="004A3AC0"/>
    <w:rsid w:val="004A42D0"/>
    <w:rsid w:val="004A4ED0"/>
    <w:rsid w:val="004A6F61"/>
    <w:rsid w:val="004B0706"/>
    <w:rsid w:val="004B22B1"/>
    <w:rsid w:val="004B46E5"/>
    <w:rsid w:val="004B6542"/>
    <w:rsid w:val="004B72A3"/>
    <w:rsid w:val="004C1E33"/>
    <w:rsid w:val="004C5CA2"/>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693B"/>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40D2"/>
    <w:rsid w:val="005A0332"/>
    <w:rsid w:val="005A1737"/>
    <w:rsid w:val="005A1914"/>
    <w:rsid w:val="005A1D6F"/>
    <w:rsid w:val="005A378B"/>
    <w:rsid w:val="005A3804"/>
    <w:rsid w:val="005A40B3"/>
    <w:rsid w:val="005B1361"/>
    <w:rsid w:val="005B177D"/>
    <w:rsid w:val="005B3B4A"/>
    <w:rsid w:val="005B4C4C"/>
    <w:rsid w:val="005B7966"/>
    <w:rsid w:val="005C0341"/>
    <w:rsid w:val="005C1E3F"/>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675F"/>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0B88"/>
    <w:rsid w:val="00672A07"/>
    <w:rsid w:val="00672A3D"/>
    <w:rsid w:val="00673284"/>
    <w:rsid w:val="00673C56"/>
    <w:rsid w:val="00674E3C"/>
    <w:rsid w:val="00684218"/>
    <w:rsid w:val="00684A17"/>
    <w:rsid w:val="0068548A"/>
    <w:rsid w:val="00686ACA"/>
    <w:rsid w:val="006904AF"/>
    <w:rsid w:val="0069484E"/>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3BE8"/>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8C7"/>
    <w:rsid w:val="0077418F"/>
    <w:rsid w:val="00774C01"/>
    <w:rsid w:val="007823C9"/>
    <w:rsid w:val="007835B7"/>
    <w:rsid w:val="007863E1"/>
    <w:rsid w:val="007910D3"/>
    <w:rsid w:val="0079336E"/>
    <w:rsid w:val="00794A98"/>
    <w:rsid w:val="007A24DB"/>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2543"/>
    <w:rsid w:val="008343C4"/>
    <w:rsid w:val="00835847"/>
    <w:rsid w:val="00835C6F"/>
    <w:rsid w:val="00837429"/>
    <w:rsid w:val="0083745B"/>
    <w:rsid w:val="00840252"/>
    <w:rsid w:val="00840420"/>
    <w:rsid w:val="00842DE3"/>
    <w:rsid w:val="00844F5E"/>
    <w:rsid w:val="00846701"/>
    <w:rsid w:val="00850C22"/>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6CFD"/>
    <w:rsid w:val="00887D93"/>
    <w:rsid w:val="00890912"/>
    <w:rsid w:val="00890D7D"/>
    <w:rsid w:val="008917B4"/>
    <w:rsid w:val="008933C7"/>
    <w:rsid w:val="008941B9"/>
    <w:rsid w:val="00894216"/>
    <w:rsid w:val="008959F9"/>
    <w:rsid w:val="00896167"/>
    <w:rsid w:val="00896786"/>
    <w:rsid w:val="00897413"/>
    <w:rsid w:val="008A118C"/>
    <w:rsid w:val="008A46DC"/>
    <w:rsid w:val="008A4806"/>
    <w:rsid w:val="008A4BF4"/>
    <w:rsid w:val="008A510D"/>
    <w:rsid w:val="008A5EDE"/>
    <w:rsid w:val="008A7A4E"/>
    <w:rsid w:val="008A7C4F"/>
    <w:rsid w:val="008B2E55"/>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5C25"/>
    <w:rsid w:val="008E72A8"/>
    <w:rsid w:val="008F0627"/>
    <w:rsid w:val="008F1CDC"/>
    <w:rsid w:val="008F1DA8"/>
    <w:rsid w:val="008F1FF1"/>
    <w:rsid w:val="008F2498"/>
    <w:rsid w:val="008F41FB"/>
    <w:rsid w:val="008F4B49"/>
    <w:rsid w:val="008F5977"/>
    <w:rsid w:val="008F5C9B"/>
    <w:rsid w:val="009039C8"/>
    <w:rsid w:val="00904BCF"/>
    <w:rsid w:val="00905B77"/>
    <w:rsid w:val="00906FD6"/>
    <w:rsid w:val="009079D0"/>
    <w:rsid w:val="00907DCD"/>
    <w:rsid w:val="009104AA"/>
    <w:rsid w:val="0091429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077"/>
    <w:rsid w:val="00952D2F"/>
    <w:rsid w:val="00952D60"/>
    <w:rsid w:val="00952E44"/>
    <w:rsid w:val="00955447"/>
    <w:rsid w:val="00955A17"/>
    <w:rsid w:val="00957C50"/>
    <w:rsid w:val="00960E12"/>
    <w:rsid w:val="0096331F"/>
    <w:rsid w:val="00963914"/>
    <w:rsid w:val="00963A90"/>
    <w:rsid w:val="009728D7"/>
    <w:rsid w:val="009729B3"/>
    <w:rsid w:val="009729D8"/>
    <w:rsid w:val="0097453F"/>
    <w:rsid w:val="00974577"/>
    <w:rsid w:val="00975045"/>
    <w:rsid w:val="00976670"/>
    <w:rsid w:val="00976BC3"/>
    <w:rsid w:val="00976E64"/>
    <w:rsid w:val="00977929"/>
    <w:rsid w:val="0098426D"/>
    <w:rsid w:val="00993B1F"/>
    <w:rsid w:val="00993DF1"/>
    <w:rsid w:val="00993F70"/>
    <w:rsid w:val="0099428D"/>
    <w:rsid w:val="00995932"/>
    <w:rsid w:val="00996D49"/>
    <w:rsid w:val="009A1C77"/>
    <w:rsid w:val="009A4969"/>
    <w:rsid w:val="009A51E6"/>
    <w:rsid w:val="009A5BC5"/>
    <w:rsid w:val="009A61AA"/>
    <w:rsid w:val="009A747C"/>
    <w:rsid w:val="009A7DAC"/>
    <w:rsid w:val="009B2B6E"/>
    <w:rsid w:val="009B3C1F"/>
    <w:rsid w:val="009B7D7E"/>
    <w:rsid w:val="009C0A0E"/>
    <w:rsid w:val="009C10F7"/>
    <w:rsid w:val="009C11B1"/>
    <w:rsid w:val="009C1722"/>
    <w:rsid w:val="009C6235"/>
    <w:rsid w:val="009C6E76"/>
    <w:rsid w:val="009D00B8"/>
    <w:rsid w:val="009D09CB"/>
    <w:rsid w:val="009D3E42"/>
    <w:rsid w:val="009D682E"/>
    <w:rsid w:val="009E40F9"/>
    <w:rsid w:val="009E538C"/>
    <w:rsid w:val="009E5844"/>
    <w:rsid w:val="009E653F"/>
    <w:rsid w:val="009E7C9A"/>
    <w:rsid w:val="009F4C6D"/>
    <w:rsid w:val="009F5062"/>
    <w:rsid w:val="009F62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31B4"/>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D3BD7"/>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69C4"/>
    <w:rsid w:val="00B17CBB"/>
    <w:rsid w:val="00B20BBF"/>
    <w:rsid w:val="00B217CC"/>
    <w:rsid w:val="00B25447"/>
    <w:rsid w:val="00B271C9"/>
    <w:rsid w:val="00B31C57"/>
    <w:rsid w:val="00B32F09"/>
    <w:rsid w:val="00B33D96"/>
    <w:rsid w:val="00B33E36"/>
    <w:rsid w:val="00B34F0E"/>
    <w:rsid w:val="00B35F5F"/>
    <w:rsid w:val="00B36F78"/>
    <w:rsid w:val="00B3755E"/>
    <w:rsid w:val="00B40414"/>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758C0"/>
    <w:rsid w:val="00B80B07"/>
    <w:rsid w:val="00B8178C"/>
    <w:rsid w:val="00B81BF0"/>
    <w:rsid w:val="00B82E33"/>
    <w:rsid w:val="00B82ECB"/>
    <w:rsid w:val="00B8310B"/>
    <w:rsid w:val="00B83C8B"/>
    <w:rsid w:val="00B85BAF"/>
    <w:rsid w:val="00B90874"/>
    <w:rsid w:val="00B90BFA"/>
    <w:rsid w:val="00B93044"/>
    <w:rsid w:val="00B931B0"/>
    <w:rsid w:val="00B937E8"/>
    <w:rsid w:val="00B93ED9"/>
    <w:rsid w:val="00B94084"/>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A729A"/>
    <w:rsid w:val="00CB030A"/>
    <w:rsid w:val="00CB125C"/>
    <w:rsid w:val="00CB455B"/>
    <w:rsid w:val="00CB4D87"/>
    <w:rsid w:val="00CC4E6E"/>
    <w:rsid w:val="00CC6E0A"/>
    <w:rsid w:val="00CC7617"/>
    <w:rsid w:val="00CC7935"/>
    <w:rsid w:val="00CC7E11"/>
    <w:rsid w:val="00CD17D1"/>
    <w:rsid w:val="00CD20F9"/>
    <w:rsid w:val="00CD66FB"/>
    <w:rsid w:val="00CD67D5"/>
    <w:rsid w:val="00CE6D2A"/>
    <w:rsid w:val="00CE70E4"/>
    <w:rsid w:val="00CF0889"/>
    <w:rsid w:val="00CF2156"/>
    <w:rsid w:val="00CF41C5"/>
    <w:rsid w:val="00CF4D7B"/>
    <w:rsid w:val="00CF6914"/>
    <w:rsid w:val="00CF7F30"/>
    <w:rsid w:val="00D003AF"/>
    <w:rsid w:val="00D013A7"/>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2490"/>
    <w:rsid w:val="00D8307B"/>
    <w:rsid w:val="00D8327C"/>
    <w:rsid w:val="00D836F7"/>
    <w:rsid w:val="00D84645"/>
    <w:rsid w:val="00D864F8"/>
    <w:rsid w:val="00D879A3"/>
    <w:rsid w:val="00D93123"/>
    <w:rsid w:val="00D931C8"/>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43B0"/>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5F5A"/>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0600"/>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EFA"/>
    <w:rsid w:val="00EB6F46"/>
    <w:rsid w:val="00EC058C"/>
    <w:rsid w:val="00EC1BDE"/>
    <w:rsid w:val="00EC1F4B"/>
    <w:rsid w:val="00EC2AD3"/>
    <w:rsid w:val="00ED1413"/>
    <w:rsid w:val="00ED1663"/>
    <w:rsid w:val="00ED50F5"/>
    <w:rsid w:val="00ED6BE1"/>
    <w:rsid w:val="00ED7099"/>
    <w:rsid w:val="00ED7757"/>
    <w:rsid w:val="00EE027B"/>
    <w:rsid w:val="00EE31DF"/>
    <w:rsid w:val="00EE7916"/>
    <w:rsid w:val="00EF01F1"/>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6DF4"/>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D7571"/>
    <w:rsid w:val="00FE1EF3"/>
    <w:rsid w:val="00FE315D"/>
    <w:rsid w:val="00FE3182"/>
    <w:rsid w:val="00FE41E1"/>
    <w:rsid w:val="00FE55F1"/>
    <w:rsid w:val="00FF213C"/>
    <w:rsid w:val="00FF4D81"/>
    <w:rsid w:val="00FF75F5"/>
    <w:rsid w:val="01383857"/>
    <w:rsid w:val="01592D24"/>
    <w:rsid w:val="016E0B09"/>
    <w:rsid w:val="01775986"/>
    <w:rsid w:val="01785895"/>
    <w:rsid w:val="018E7ABF"/>
    <w:rsid w:val="019010FB"/>
    <w:rsid w:val="0198796C"/>
    <w:rsid w:val="01A32E4B"/>
    <w:rsid w:val="01C133B8"/>
    <w:rsid w:val="01D55937"/>
    <w:rsid w:val="020F2171"/>
    <w:rsid w:val="02367291"/>
    <w:rsid w:val="025253F1"/>
    <w:rsid w:val="02653610"/>
    <w:rsid w:val="027358B1"/>
    <w:rsid w:val="029F2B0F"/>
    <w:rsid w:val="02A3645B"/>
    <w:rsid w:val="02E51BA5"/>
    <w:rsid w:val="02F778BD"/>
    <w:rsid w:val="03121468"/>
    <w:rsid w:val="034F088A"/>
    <w:rsid w:val="03787434"/>
    <w:rsid w:val="03822C68"/>
    <w:rsid w:val="039F0FD3"/>
    <w:rsid w:val="039F2BBC"/>
    <w:rsid w:val="03BD5DB9"/>
    <w:rsid w:val="03D96AC5"/>
    <w:rsid w:val="04100867"/>
    <w:rsid w:val="0428358C"/>
    <w:rsid w:val="04975766"/>
    <w:rsid w:val="04C0160F"/>
    <w:rsid w:val="04EE4228"/>
    <w:rsid w:val="05071955"/>
    <w:rsid w:val="050B36B6"/>
    <w:rsid w:val="050E1437"/>
    <w:rsid w:val="051E3875"/>
    <w:rsid w:val="0533125B"/>
    <w:rsid w:val="054F4EE9"/>
    <w:rsid w:val="05A17F9A"/>
    <w:rsid w:val="067A229F"/>
    <w:rsid w:val="06AB5586"/>
    <w:rsid w:val="06CB44B7"/>
    <w:rsid w:val="06D51082"/>
    <w:rsid w:val="06EE20B1"/>
    <w:rsid w:val="07385EDA"/>
    <w:rsid w:val="07566DD2"/>
    <w:rsid w:val="075920B8"/>
    <w:rsid w:val="075B63E2"/>
    <w:rsid w:val="07606D2F"/>
    <w:rsid w:val="079933BD"/>
    <w:rsid w:val="07B1625B"/>
    <w:rsid w:val="07CD303B"/>
    <w:rsid w:val="07D96E9C"/>
    <w:rsid w:val="07DE6EE6"/>
    <w:rsid w:val="08280597"/>
    <w:rsid w:val="08506A31"/>
    <w:rsid w:val="08534B88"/>
    <w:rsid w:val="08631E1C"/>
    <w:rsid w:val="08AD6170"/>
    <w:rsid w:val="08CD7FF3"/>
    <w:rsid w:val="08DA4AFD"/>
    <w:rsid w:val="08E0397B"/>
    <w:rsid w:val="08F062C2"/>
    <w:rsid w:val="090B19E1"/>
    <w:rsid w:val="0910646C"/>
    <w:rsid w:val="099B225F"/>
    <w:rsid w:val="09AC4057"/>
    <w:rsid w:val="09AC6517"/>
    <w:rsid w:val="09D502EE"/>
    <w:rsid w:val="09E15530"/>
    <w:rsid w:val="09E31818"/>
    <w:rsid w:val="09ED54BE"/>
    <w:rsid w:val="09FB0461"/>
    <w:rsid w:val="09FE69CD"/>
    <w:rsid w:val="0A193E85"/>
    <w:rsid w:val="0A1B58FF"/>
    <w:rsid w:val="0A3149B2"/>
    <w:rsid w:val="0A3F7E61"/>
    <w:rsid w:val="0A667EEA"/>
    <w:rsid w:val="0A6956B1"/>
    <w:rsid w:val="0A6D7B49"/>
    <w:rsid w:val="0ABA7CC7"/>
    <w:rsid w:val="0AD11D45"/>
    <w:rsid w:val="0AE903B8"/>
    <w:rsid w:val="0AEB13EA"/>
    <w:rsid w:val="0B0D3A58"/>
    <w:rsid w:val="0B1873A5"/>
    <w:rsid w:val="0B1E68D0"/>
    <w:rsid w:val="0B273A68"/>
    <w:rsid w:val="0B5A2835"/>
    <w:rsid w:val="0B741F22"/>
    <w:rsid w:val="0B7462A1"/>
    <w:rsid w:val="0B807F85"/>
    <w:rsid w:val="0BA16641"/>
    <w:rsid w:val="0BF308A5"/>
    <w:rsid w:val="0C0A01CF"/>
    <w:rsid w:val="0C575418"/>
    <w:rsid w:val="0C7D6FC1"/>
    <w:rsid w:val="0C91214B"/>
    <w:rsid w:val="0CAC6BB6"/>
    <w:rsid w:val="0CC34F37"/>
    <w:rsid w:val="0CC745BC"/>
    <w:rsid w:val="0CD7646E"/>
    <w:rsid w:val="0CEA1C84"/>
    <w:rsid w:val="0D432714"/>
    <w:rsid w:val="0D6172C3"/>
    <w:rsid w:val="0D623DCD"/>
    <w:rsid w:val="0D864353"/>
    <w:rsid w:val="0DD505F0"/>
    <w:rsid w:val="0DEA5E6A"/>
    <w:rsid w:val="0DFC36FB"/>
    <w:rsid w:val="0E412869"/>
    <w:rsid w:val="0E4E52B6"/>
    <w:rsid w:val="0E935B43"/>
    <w:rsid w:val="0EB360A5"/>
    <w:rsid w:val="0EB37705"/>
    <w:rsid w:val="0EF26F3F"/>
    <w:rsid w:val="0F0D26CC"/>
    <w:rsid w:val="0F184ADA"/>
    <w:rsid w:val="0F6074D1"/>
    <w:rsid w:val="0FA1669B"/>
    <w:rsid w:val="0FAB6616"/>
    <w:rsid w:val="103D0A77"/>
    <w:rsid w:val="108A1FD2"/>
    <w:rsid w:val="10935FFB"/>
    <w:rsid w:val="10AF6F65"/>
    <w:rsid w:val="10ED470B"/>
    <w:rsid w:val="10EF538B"/>
    <w:rsid w:val="11312DC0"/>
    <w:rsid w:val="114701EB"/>
    <w:rsid w:val="115710A5"/>
    <w:rsid w:val="118848CF"/>
    <w:rsid w:val="119D30FB"/>
    <w:rsid w:val="11AD411D"/>
    <w:rsid w:val="11C11380"/>
    <w:rsid w:val="11C308A5"/>
    <w:rsid w:val="11EA77AB"/>
    <w:rsid w:val="11ED53C2"/>
    <w:rsid w:val="11F1426F"/>
    <w:rsid w:val="11F23B24"/>
    <w:rsid w:val="11F6537E"/>
    <w:rsid w:val="12092462"/>
    <w:rsid w:val="12095B0B"/>
    <w:rsid w:val="120F2891"/>
    <w:rsid w:val="120F4DC7"/>
    <w:rsid w:val="121D403F"/>
    <w:rsid w:val="123A4835"/>
    <w:rsid w:val="12462E0D"/>
    <w:rsid w:val="124A5D4F"/>
    <w:rsid w:val="124C5748"/>
    <w:rsid w:val="129F7C67"/>
    <w:rsid w:val="12AB5F5E"/>
    <w:rsid w:val="13380DD8"/>
    <w:rsid w:val="133F5A2C"/>
    <w:rsid w:val="1344521A"/>
    <w:rsid w:val="1364253C"/>
    <w:rsid w:val="13645ACB"/>
    <w:rsid w:val="139660DA"/>
    <w:rsid w:val="13E957B5"/>
    <w:rsid w:val="13F54664"/>
    <w:rsid w:val="13FB6CCC"/>
    <w:rsid w:val="14412BB2"/>
    <w:rsid w:val="146F2D0E"/>
    <w:rsid w:val="147E37E4"/>
    <w:rsid w:val="14802B78"/>
    <w:rsid w:val="14B4551F"/>
    <w:rsid w:val="14B53FC8"/>
    <w:rsid w:val="14C85D3C"/>
    <w:rsid w:val="14F55232"/>
    <w:rsid w:val="15900795"/>
    <w:rsid w:val="159C1141"/>
    <w:rsid w:val="15A078BC"/>
    <w:rsid w:val="15AE733A"/>
    <w:rsid w:val="15F01C81"/>
    <w:rsid w:val="15FE6297"/>
    <w:rsid w:val="16214067"/>
    <w:rsid w:val="16AD1EB1"/>
    <w:rsid w:val="16AE1B7F"/>
    <w:rsid w:val="16B87915"/>
    <w:rsid w:val="16EE0D13"/>
    <w:rsid w:val="16F93153"/>
    <w:rsid w:val="172A1253"/>
    <w:rsid w:val="1765194C"/>
    <w:rsid w:val="176E0FF7"/>
    <w:rsid w:val="1786630C"/>
    <w:rsid w:val="17D91621"/>
    <w:rsid w:val="180475D9"/>
    <w:rsid w:val="18073617"/>
    <w:rsid w:val="182C0324"/>
    <w:rsid w:val="184A49C4"/>
    <w:rsid w:val="18904498"/>
    <w:rsid w:val="18930B39"/>
    <w:rsid w:val="189A77AB"/>
    <w:rsid w:val="18A3471E"/>
    <w:rsid w:val="18A478A1"/>
    <w:rsid w:val="18C312AA"/>
    <w:rsid w:val="18E60B80"/>
    <w:rsid w:val="191D7408"/>
    <w:rsid w:val="192B4DF7"/>
    <w:rsid w:val="192C7300"/>
    <w:rsid w:val="1955558A"/>
    <w:rsid w:val="195E1EBD"/>
    <w:rsid w:val="199E0BA8"/>
    <w:rsid w:val="19BA6371"/>
    <w:rsid w:val="19F90D7B"/>
    <w:rsid w:val="19FE6C93"/>
    <w:rsid w:val="1A4964D8"/>
    <w:rsid w:val="1A5427F9"/>
    <w:rsid w:val="1A6721BA"/>
    <w:rsid w:val="1A824BC8"/>
    <w:rsid w:val="1ACB751D"/>
    <w:rsid w:val="1AF6583C"/>
    <w:rsid w:val="1B1F55DD"/>
    <w:rsid w:val="1B690E09"/>
    <w:rsid w:val="1B7B66B5"/>
    <w:rsid w:val="1B8D62AF"/>
    <w:rsid w:val="1B9946BD"/>
    <w:rsid w:val="1C042788"/>
    <w:rsid w:val="1C225F98"/>
    <w:rsid w:val="1C272EF4"/>
    <w:rsid w:val="1C71253C"/>
    <w:rsid w:val="1C961A20"/>
    <w:rsid w:val="1D320A97"/>
    <w:rsid w:val="1D3541D9"/>
    <w:rsid w:val="1D362930"/>
    <w:rsid w:val="1D3D1384"/>
    <w:rsid w:val="1D3E6FE0"/>
    <w:rsid w:val="1D412D21"/>
    <w:rsid w:val="1D4F2685"/>
    <w:rsid w:val="1D5C4C57"/>
    <w:rsid w:val="1DBF625B"/>
    <w:rsid w:val="1DD460DE"/>
    <w:rsid w:val="1E255CEC"/>
    <w:rsid w:val="1E3E2D25"/>
    <w:rsid w:val="1E4507E4"/>
    <w:rsid w:val="1E6210B8"/>
    <w:rsid w:val="1E7243D6"/>
    <w:rsid w:val="1EC014EF"/>
    <w:rsid w:val="1EC34B34"/>
    <w:rsid w:val="1EC664F8"/>
    <w:rsid w:val="1ECB0634"/>
    <w:rsid w:val="1EDA6951"/>
    <w:rsid w:val="1F6D45D1"/>
    <w:rsid w:val="1FB22CB4"/>
    <w:rsid w:val="1FCF7B92"/>
    <w:rsid w:val="1FD72A8C"/>
    <w:rsid w:val="1FF91559"/>
    <w:rsid w:val="200B01D6"/>
    <w:rsid w:val="200D473C"/>
    <w:rsid w:val="203F20B9"/>
    <w:rsid w:val="21134186"/>
    <w:rsid w:val="21A3266E"/>
    <w:rsid w:val="21DC146A"/>
    <w:rsid w:val="22155EFF"/>
    <w:rsid w:val="223C14AF"/>
    <w:rsid w:val="22574289"/>
    <w:rsid w:val="226006F6"/>
    <w:rsid w:val="22E03FFA"/>
    <w:rsid w:val="23144F8F"/>
    <w:rsid w:val="231E34E9"/>
    <w:rsid w:val="23207452"/>
    <w:rsid w:val="2364528E"/>
    <w:rsid w:val="237B5F81"/>
    <w:rsid w:val="2395665B"/>
    <w:rsid w:val="23BA5744"/>
    <w:rsid w:val="24125894"/>
    <w:rsid w:val="2428424E"/>
    <w:rsid w:val="24753143"/>
    <w:rsid w:val="24830D8E"/>
    <w:rsid w:val="24903D1A"/>
    <w:rsid w:val="24AB2998"/>
    <w:rsid w:val="24BF523E"/>
    <w:rsid w:val="24D25358"/>
    <w:rsid w:val="24D5090F"/>
    <w:rsid w:val="24F36825"/>
    <w:rsid w:val="24FC509C"/>
    <w:rsid w:val="25083E1A"/>
    <w:rsid w:val="25445D9E"/>
    <w:rsid w:val="255967FF"/>
    <w:rsid w:val="255C7D41"/>
    <w:rsid w:val="25880026"/>
    <w:rsid w:val="2598432A"/>
    <w:rsid w:val="25BD5723"/>
    <w:rsid w:val="25D47DB0"/>
    <w:rsid w:val="260D7BD3"/>
    <w:rsid w:val="261D251A"/>
    <w:rsid w:val="263D4A6F"/>
    <w:rsid w:val="2654573D"/>
    <w:rsid w:val="26615359"/>
    <w:rsid w:val="26850B84"/>
    <w:rsid w:val="26950446"/>
    <w:rsid w:val="26970E99"/>
    <w:rsid w:val="26B6795F"/>
    <w:rsid w:val="26BC2D3E"/>
    <w:rsid w:val="26CF57CC"/>
    <w:rsid w:val="26EA2454"/>
    <w:rsid w:val="27022042"/>
    <w:rsid w:val="273174D3"/>
    <w:rsid w:val="276C29FF"/>
    <w:rsid w:val="278B181E"/>
    <w:rsid w:val="279A570E"/>
    <w:rsid w:val="27AB0FDC"/>
    <w:rsid w:val="27B13177"/>
    <w:rsid w:val="27B755B5"/>
    <w:rsid w:val="27C359C2"/>
    <w:rsid w:val="28100160"/>
    <w:rsid w:val="281629A6"/>
    <w:rsid w:val="28390F72"/>
    <w:rsid w:val="28750E54"/>
    <w:rsid w:val="28797E13"/>
    <w:rsid w:val="28855A7D"/>
    <w:rsid w:val="288A2404"/>
    <w:rsid w:val="28917B3F"/>
    <w:rsid w:val="28E16F67"/>
    <w:rsid w:val="28E17E49"/>
    <w:rsid w:val="292F6147"/>
    <w:rsid w:val="293079D5"/>
    <w:rsid w:val="293C44BE"/>
    <w:rsid w:val="294E5B15"/>
    <w:rsid w:val="298B06C1"/>
    <w:rsid w:val="29DF68B2"/>
    <w:rsid w:val="29EB624B"/>
    <w:rsid w:val="29ED4864"/>
    <w:rsid w:val="2A193216"/>
    <w:rsid w:val="2A2623A0"/>
    <w:rsid w:val="2A472991"/>
    <w:rsid w:val="2A665C26"/>
    <w:rsid w:val="2ABF25ED"/>
    <w:rsid w:val="2AC92221"/>
    <w:rsid w:val="2AE926E1"/>
    <w:rsid w:val="2B2A3917"/>
    <w:rsid w:val="2B9D1DDD"/>
    <w:rsid w:val="2BB434F9"/>
    <w:rsid w:val="2BBE7165"/>
    <w:rsid w:val="2BE95450"/>
    <w:rsid w:val="2C0440A1"/>
    <w:rsid w:val="2C2643AF"/>
    <w:rsid w:val="2C4508BB"/>
    <w:rsid w:val="2C88526B"/>
    <w:rsid w:val="2C894B83"/>
    <w:rsid w:val="2C9E3659"/>
    <w:rsid w:val="2CC10E10"/>
    <w:rsid w:val="2CC76232"/>
    <w:rsid w:val="2CD0428C"/>
    <w:rsid w:val="2CF271A5"/>
    <w:rsid w:val="2CF74A74"/>
    <w:rsid w:val="2D395076"/>
    <w:rsid w:val="2D426A09"/>
    <w:rsid w:val="2D515053"/>
    <w:rsid w:val="2D69305E"/>
    <w:rsid w:val="2D8400D7"/>
    <w:rsid w:val="2D851D9A"/>
    <w:rsid w:val="2D8E4101"/>
    <w:rsid w:val="2DDA4C4F"/>
    <w:rsid w:val="2DF74948"/>
    <w:rsid w:val="2EDE0726"/>
    <w:rsid w:val="2F1872F5"/>
    <w:rsid w:val="2F3157E3"/>
    <w:rsid w:val="2F46151A"/>
    <w:rsid w:val="2F4E5A67"/>
    <w:rsid w:val="2F6D1EE9"/>
    <w:rsid w:val="2F7B10A8"/>
    <w:rsid w:val="2FAF2723"/>
    <w:rsid w:val="2FCE7999"/>
    <w:rsid w:val="2FE7396B"/>
    <w:rsid w:val="300D7D4A"/>
    <w:rsid w:val="301474F6"/>
    <w:rsid w:val="306E1188"/>
    <w:rsid w:val="308A301A"/>
    <w:rsid w:val="30970570"/>
    <w:rsid w:val="312F572E"/>
    <w:rsid w:val="31810037"/>
    <w:rsid w:val="31C73764"/>
    <w:rsid w:val="31FE7C49"/>
    <w:rsid w:val="32113126"/>
    <w:rsid w:val="32314B24"/>
    <w:rsid w:val="324463DD"/>
    <w:rsid w:val="32756F96"/>
    <w:rsid w:val="329D78CD"/>
    <w:rsid w:val="32E64696"/>
    <w:rsid w:val="3325157B"/>
    <w:rsid w:val="33357390"/>
    <w:rsid w:val="333A4431"/>
    <w:rsid w:val="339F1682"/>
    <w:rsid w:val="33AE3248"/>
    <w:rsid w:val="33C25582"/>
    <w:rsid w:val="340947B5"/>
    <w:rsid w:val="34140F8E"/>
    <w:rsid w:val="34261DC0"/>
    <w:rsid w:val="346644D8"/>
    <w:rsid w:val="34A47562"/>
    <w:rsid w:val="34D84DA0"/>
    <w:rsid w:val="352275C5"/>
    <w:rsid w:val="358B774D"/>
    <w:rsid w:val="35B6520A"/>
    <w:rsid w:val="360607D9"/>
    <w:rsid w:val="36190C5C"/>
    <w:rsid w:val="362163C3"/>
    <w:rsid w:val="363D616D"/>
    <w:rsid w:val="366471B1"/>
    <w:rsid w:val="3680580C"/>
    <w:rsid w:val="369C6266"/>
    <w:rsid w:val="36A55EBB"/>
    <w:rsid w:val="36C03FAB"/>
    <w:rsid w:val="36DC20F9"/>
    <w:rsid w:val="36F3754F"/>
    <w:rsid w:val="37365FF3"/>
    <w:rsid w:val="37545FBF"/>
    <w:rsid w:val="375A4FA8"/>
    <w:rsid w:val="37977513"/>
    <w:rsid w:val="37AC2442"/>
    <w:rsid w:val="383969D2"/>
    <w:rsid w:val="384B59D9"/>
    <w:rsid w:val="385A07E5"/>
    <w:rsid w:val="389E008F"/>
    <w:rsid w:val="38A94C99"/>
    <w:rsid w:val="38BB6F11"/>
    <w:rsid w:val="38C13CA7"/>
    <w:rsid w:val="38D6246F"/>
    <w:rsid w:val="38F00189"/>
    <w:rsid w:val="390E723A"/>
    <w:rsid w:val="399E1244"/>
    <w:rsid w:val="39CD1D02"/>
    <w:rsid w:val="39E94E9D"/>
    <w:rsid w:val="3A046B5A"/>
    <w:rsid w:val="3A3C70DA"/>
    <w:rsid w:val="3A5016BE"/>
    <w:rsid w:val="3A7863DC"/>
    <w:rsid w:val="3A8E5D10"/>
    <w:rsid w:val="3AE11A4E"/>
    <w:rsid w:val="3B10495E"/>
    <w:rsid w:val="3B2A4FB6"/>
    <w:rsid w:val="3B302DEE"/>
    <w:rsid w:val="3B572F27"/>
    <w:rsid w:val="3B762DC4"/>
    <w:rsid w:val="3B932D9C"/>
    <w:rsid w:val="3BA867FF"/>
    <w:rsid w:val="3BB20CD6"/>
    <w:rsid w:val="3BD26834"/>
    <w:rsid w:val="3BD829F6"/>
    <w:rsid w:val="3BF10E40"/>
    <w:rsid w:val="3C19288C"/>
    <w:rsid w:val="3C222812"/>
    <w:rsid w:val="3C271EEA"/>
    <w:rsid w:val="3C5D5F13"/>
    <w:rsid w:val="3C6975F1"/>
    <w:rsid w:val="3C925B83"/>
    <w:rsid w:val="3C9F0E35"/>
    <w:rsid w:val="3CB50EC2"/>
    <w:rsid w:val="3CBA43FC"/>
    <w:rsid w:val="3CCE5FE8"/>
    <w:rsid w:val="3CED1E8F"/>
    <w:rsid w:val="3D0D2931"/>
    <w:rsid w:val="3D1D5333"/>
    <w:rsid w:val="3D573AAE"/>
    <w:rsid w:val="3D9C6D92"/>
    <w:rsid w:val="3DC64B81"/>
    <w:rsid w:val="3DDC6AF7"/>
    <w:rsid w:val="3DDD744F"/>
    <w:rsid w:val="3E0E774F"/>
    <w:rsid w:val="3E123DB6"/>
    <w:rsid w:val="3E5F1E94"/>
    <w:rsid w:val="3EC76F3E"/>
    <w:rsid w:val="3EFE0737"/>
    <w:rsid w:val="3F022944"/>
    <w:rsid w:val="3F125943"/>
    <w:rsid w:val="3F164290"/>
    <w:rsid w:val="3F6D347A"/>
    <w:rsid w:val="3F817D6A"/>
    <w:rsid w:val="3FAF4912"/>
    <w:rsid w:val="3FC578FE"/>
    <w:rsid w:val="3FCD5D58"/>
    <w:rsid w:val="3FF45064"/>
    <w:rsid w:val="402137C2"/>
    <w:rsid w:val="406A72FF"/>
    <w:rsid w:val="40CD787E"/>
    <w:rsid w:val="40ED3909"/>
    <w:rsid w:val="410D5CFC"/>
    <w:rsid w:val="4124144E"/>
    <w:rsid w:val="415D6601"/>
    <w:rsid w:val="41656B87"/>
    <w:rsid w:val="41833F81"/>
    <w:rsid w:val="419954CA"/>
    <w:rsid w:val="41C44696"/>
    <w:rsid w:val="41DA5AB9"/>
    <w:rsid w:val="421B7832"/>
    <w:rsid w:val="42254A34"/>
    <w:rsid w:val="42616642"/>
    <w:rsid w:val="427C3B73"/>
    <w:rsid w:val="42825920"/>
    <w:rsid w:val="429462ED"/>
    <w:rsid w:val="42993A57"/>
    <w:rsid w:val="42BC7DDF"/>
    <w:rsid w:val="42BF3972"/>
    <w:rsid w:val="42C46429"/>
    <w:rsid w:val="43076C51"/>
    <w:rsid w:val="430B10CB"/>
    <w:rsid w:val="434124B7"/>
    <w:rsid w:val="437E2698"/>
    <w:rsid w:val="43821E22"/>
    <w:rsid w:val="43AD43B9"/>
    <w:rsid w:val="43AE66F3"/>
    <w:rsid w:val="43BD1F94"/>
    <w:rsid w:val="43DF31BB"/>
    <w:rsid w:val="44036F73"/>
    <w:rsid w:val="441C6C5E"/>
    <w:rsid w:val="44201AAB"/>
    <w:rsid w:val="448A72D9"/>
    <w:rsid w:val="44C850D5"/>
    <w:rsid w:val="44EF1B82"/>
    <w:rsid w:val="45316F53"/>
    <w:rsid w:val="45797C51"/>
    <w:rsid w:val="457D1F7E"/>
    <w:rsid w:val="45A168B6"/>
    <w:rsid w:val="45C04D27"/>
    <w:rsid w:val="45EE4E64"/>
    <w:rsid w:val="45F66C6A"/>
    <w:rsid w:val="460D316A"/>
    <w:rsid w:val="461B2714"/>
    <w:rsid w:val="46D333AA"/>
    <w:rsid w:val="46D449E8"/>
    <w:rsid w:val="46F41301"/>
    <w:rsid w:val="46FC6C97"/>
    <w:rsid w:val="473D2DF8"/>
    <w:rsid w:val="475A1C6D"/>
    <w:rsid w:val="47B45B1C"/>
    <w:rsid w:val="47F64434"/>
    <w:rsid w:val="47F66832"/>
    <w:rsid w:val="484B304F"/>
    <w:rsid w:val="48783DB1"/>
    <w:rsid w:val="488D04EF"/>
    <w:rsid w:val="48AB215E"/>
    <w:rsid w:val="48C73181"/>
    <w:rsid w:val="48FA5C7A"/>
    <w:rsid w:val="490621DE"/>
    <w:rsid w:val="49791E99"/>
    <w:rsid w:val="49A06E6B"/>
    <w:rsid w:val="49FC31C2"/>
    <w:rsid w:val="4A1F0E6C"/>
    <w:rsid w:val="4AB32C50"/>
    <w:rsid w:val="4AC50AF6"/>
    <w:rsid w:val="4B5C7920"/>
    <w:rsid w:val="4B650C34"/>
    <w:rsid w:val="4B807D59"/>
    <w:rsid w:val="4BA72EF2"/>
    <w:rsid w:val="4BC17159"/>
    <w:rsid w:val="4BED171A"/>
    <w:rsid w:val="4C3E203F"/>
    <w:rsid w:val="4C4A2448"/>
    <w:rsid w:val="4C5401F7"/>
    <w:rsid w:val="4C9E55A8"/>
    <w:rsid w:val="4CF6285E"/>
    <w:rsid w:val="4D1A4118"/>
    <w:rsid w:val="4D5A0F14"/>
    <w:rsid w:val="4D6A2F07"/>
    <w:rsid w:val="4D7337B4"/>
    <w:rsid w:val="4DB85FA2"/>
    <w:rsid w:val="4DCD318D"/>
    <w:rsid w:val="4DED52D5"/>
    <w:rsid w:val="4E3B2540"/>
    <w:rsid w:val="4E3B7D01"/>
    <w:rsid w:val="4E941BA6"/>
    <w:rsid w:val="4ECF17A1"/>
    <w:rsid w:val="4EF46BDB"/>
    <w:rsid w:val="4F154421"/>
    <w:rsid w:val="4F2D5A4F"/>
    <w:rsid w:val="4F395A4A"/>
    <w:rsid w:val="4F553502"/>
    <w:rsid w:val="4F642B19"/>
    <w:rsid w:val="4F73779A"/>
    <w:rsid w:val="4F964DF3"/>
    <w:rsid w:val="4FAA6494"/>
    <w:rsid w:val="4FB97DFA"/>
    <w:rsid w:val="4FEA1985"/>
    <w:rsid w:val="50134995"/>
    <w:rsid w:val="50284FEB"/>
    <w:rsid w:val="506439D9"/>
    <w:rsid w:val="50717530"/>
    <w:rsid w:val="50902684"/>
    <w:rsid w:val="50C91EF6"/>
    <w:rsid w:val="50DF56DA"/>
    <w:rsid w:val="50E340B3"/>
    <w:rsid w:val="50FF623F"/>
    <w:rsid w:val="51133520"/>
    <w:rsid w:val="5156107B"/>
    <w:rsid w:val="51651A97"/>
    <w:rsid w:val="516A1F01"/>
    <w:rsid w:val="518031FF"/>
    <w:rsid w:val="51864A75"/>
    <w:rsid w:val="51AB101F"/>
    <w:rsid w:val="523031F5"/>
    <w:rsid w:val="52693681"/>
    <w:rsid w:val="527103FC"/>
    <w:rsid w:val="527D01C9"/>
    <w:rsid w:val="529A792F"/>
    <w:rsid w:val="52A4759B"/>
    <w:rsid w:val="52AB21AA"/>
    <w:rsid w:val="52B35629"/>
    <w:rsid w:val="52D27ABA"/>
    <w:rsid w:val="52D32AFD"/>
    <w:rsid w:val="52D94035"/>
    <w:rsid w:val="532F3403"/>
    <w:rsid w:val="53481136"/>
    <w:rsid w:val="53563CBE"/>
    <w:rsid w:val="539565FD"/>
    <w:rsid w:val="539F3171"/>
    <w:rsid w:val="53BA5446"/>
    <w:rsid w:val="53C51544"/>
    <w:rsid w:val="545C457B"/>
    <w:rsid w:val="547F42E0"/>
    <w:rsid w:val="548C3A21"/>
    <w:rsid w:val="54BB6C0D"/>
    <w:rsid w:val="558973B5"/>
    <w:rsid w:val="558F7AB7"/>
    <w:rsid w:val="55992337"/>
    <w:rsid w:val="55B13FFD"/>
    <w:rsid w:val="55F76BFC"/>
    <w:rsid w:val="56134D15"/>
    <w:rsid w:val="561F1F50"/>
    <w:rsid w:val="56262AA1"/>
    <w:rsid w:val="562812F6"/>
    <w:rsid w:val="562C469D"/>
    <w:rsid w:val="562E2336"/>
    <w:rsid w:val="565F1615"/>
    <w:rsid w:val="570865F9"/>
    <w:rsid w:val="57653154"/>
    <w:rsid w:val="578B1AD9"/>
    <w:rsid w:val="57A6518A"/>
    <w:rsid w:val="585564B8"/>
    <w:rsid w:val="585E41AF"/>
    <w:rsid w:val="587003A5"/>
    <w:rsid w:val="58AC272C"/>
    <w:rsid w:val="58B0420B"/>
    <w:rsid w:val="58D57356"/>
    <w:rsid w:val="58DF6CF4"/>
    <w:rsid w:val="58E03520"/>
    <w:rsid w:val="5904132B"/>
    <w:rsid w:val="59157827"/>
    <w:rsid w:val="59273A16"/>
    <w:rsid w:val="594400A5"/>
    <w:rsid w:val="59460EC7"/>
    <w:rsid w:val="599430C1"/>
    <w:rsid w:val="59B20FE6"/>
    <w:rsid w:val="59C90F05"/>
    <w:rsid w:val="59CB6474"/>
    <w:rsid w:val="59E21D93"/>
    <w:rsid w:val="5A7E011D"/>
    <w:rsid w:val="5A826F1A"/>
    <w:rsid w:val="5A9410D3"/>
    <w:rsid w:val="5A9A3E23"/>
    <w:rsid w:val="5AB23A35"/>
    <w:rsid w:val="5AC7094C"/>
    <w:rsid w:val="5AD964A1"/>
    <w:rsid w:val="5AF413B3"/>
    <w:rsid w:val="5AFD1CC9"/>
    <w:rsid w:val="5B1C2547"/>
    <w:rsid w:val="5B1D472A"/>
    <w:rsid w:val="5B2E31FB"/>
    <w:rsid w:val="5B4F7AA0"/>
    <w:rsid w:val="5B7E1258"/>
    <w:rsid w:val="5BB827ED"/>
    <w:rsid w:val="5C1343CB"/>
    <w:rsid w:val="5C1D3B80"/>
    <w:rsid w:val="5C3914B8"/>
    <w:rsid w:val="5C470DDD"/>
    <w:rsid w:val="5C482A9C"/>
    <w:rsid w:val="5C6D68F5"/>
    <w:rsid w:val="5C791873"/>
    <w:rsid w:val="5C825AD3"/>
    <w:rsid w:val="5C85755D"/>
    <w:rsid w:val="5C9A0D38"/>
    <w:rsid w:val="5CF21D67"/>
    <w:rsid w:val="5D10112F"/>
    <w:rsid w:val="5D4C285E"/>
    <w:rsid w:val="5D7647EC"/>
    <w:rsid w:val="5D8B6E2C"/>
    <w:rsid w:val="5D8F750B"/>
    <w:rsid w:val="5DA6626A"/>
    <w:rsid w:val="5DBA1FF8"/>
    <w:rsid w:val="5DD6310C"/>
    <w:rsid w:val="5E1D3725"/>
    <w:rsid w:val="5E37668B"/>
    <w:rsid w:val="5E805680"/>
    <w:rsid w:val="5E890264"/>
    <w:rsid w:val="5E9C51FA"/>
    <w:rsid w:val="5EC42D73"/>
    <w:rsid w:val="5ED54C52"/>
    <w:rsid w:val="5F92436A"/>
    <w:rsid w:val="5FC26B04"/>
    <w:rsid w:val="5FD8127C"/>
    <w:rsid w:val="5FDB03B7"/>
    <w:rsid w:val="5FFD75BF"/>
    <w:rsid w:val="60135D3A"/>
    <w:rsid w:val="60C346C6"/>
    <w:rsid w:val="60C73328"/>
    <w:rsid w:val="61117AD1"/>
    <w:rsid w:val="61141727"/>
    <w:rsid w:val="61763C29"/>
    <w:rsid w:val="61D41829"/>
    <w:rsid w:val="620D6063"/>
    <w:rsid w:val="622B074C"/>
    <w:rsid w:val="624921AF"/>
    <w:rsid w:val="625E1FC6"/>
    <w:rsid w:val="62B17F4B"/>
    <w:rsid w:val="62B2507E"/>
    <w:rsid w:val="630048F7"/>
    <w:rsid w:val="63112076"/>
    <w:rsid w:val="631678E5"/>
    <w:rsid w:val="63197275"/>
    <w:rsid w:val="63215DB8"/>
    <w:rsid w:val="632757F0"/>
    <w:rsid w:val="6383139C"/>
    <w:rsid w:val="638C4FB2"/>
    <w:rsid w:val="639D7B4A"/>
    <w:rsid w:val="63B36F2F"/>
    <w:rsid w:val="63B77B8E"/>
    <w:rsid w:val="63FE3066"/>
    <w:rsid w:val="64294634"/>
    <w:rsid w:val="64306F5C"/>
    <w:rsid w:val="645079A9"/>
    <w:rsid w:val="64742C21"/>
    <w:rsid w:val="64961973"/>
    <w:rsid w:val="64BE130D"/>
    <w:rsid w:val="64F024BA"/>
    <w:rsid w:val="650A4AEB"/>
    <w:rsid w:val="656B2ABA"/>
    <w:rsid w:val="659D34DE"/>
    <w:rsid w:val="65AE58E4"/>
    <w:rsid w:val="65BC1F28"/>
    <w:rsid w:val="6634682F"/>
    <w:rsid w:val="66430267"/>
    <w:rsid w:val="66477227"/>
    <w:rsid w:val="666E595E"/>
    <w:rsid w:val="668F7750"/>
    <w:rsid w:val="66946BF8"/>
    <w:rsid w:val="66E56F57"/>
    <w:rsid w:val="66EB545F"/>
    <w:rsid w:val="6704656D"/>
    <w:rsid w:val="670D5425"/>
    <w:rsid w:val="67390B1D"/>
    <w:rsid w:val="673E2A14"/>
    <w:rsid w:val="67851056"/>
    <w:rsid w:val="67B86A7A"/>
    <w:rsid w:val="67EE3048"/>
    <w:rsid w:val="67FA2386"/>
    <w:rsid w:val="6878082B"/>
    <w:rsid w:val="68DB097A"/>
    <w:rsid w:val="68F10571"/>
    <w:rsid w:val="692B0CE1"/>
    <w:rsid w:val="69353A6C"/>
    <w:rsid w:val="693E5B1C"/>
    <w:rsid w:val="6958636F"/>
    <w:rsid w:val="6961015D"/>
    <w:rsid w:val="69982016"/>
    <w:rsid w:val="69B11812"/>
    <w:rsid w:val="6A160FCF"/>
    <w:rsid w:val="6A25345E"/>
    <w:rsid w:val="6A296146"/>
    <w:rsid w:val="6A421599"/>
    <w:rsid w:val="6A8F72B9"/>
    <w:rsid w:val="6AA00CC3"/>
    <w:rsid w:val="6AAB7F50"/>
    <w:rsid w:val="6AB27E74"/>
    <w:rsid w:val="6AF20FCD"/>
    <w:rsid w:val="6B387D44"/>
    <w:rsid w:val="6B642897"/>
    <w:rsid w:val="6B8E3911"/>
    <w:rsid w:val="6BB46349"/>
    <w:rsid w:val="6BD3009E"/>
    <w:rsid w:val="6BED538A"/>
    <w:rsid w:val="6C310293"/>
    <w:rsid w:val="6C5D7FE5"/>
    <w:rsid w:val="6C8C5E51"/>
    <w:rsid w:val="6C9302E3"/>
    <w:rsid w:val="6CA8401E"/>
    <w:rsid w:val="6CC03165"/>
    <w:rsid w:val="6CC90D79"/>
    <w:rsid w:val="6CCE4D35"/>
    <w:rsid w:val="6CD448DF"/>
    <w:rsid w:val="6D1948BC"/>
    <w:rsid w:val="6D390F1E"/>
    <w:rsid w:val="6D422394"/>
    <w:rsid w:val="6D77188B"/>
    <w:rsid w:val="6D8D1ECD"/>
    <w:rsid w:val="6D9956BA"/>
    <w:rsid w:val="6DDE06A3"/>
    <w:rsid w:val="6DE0526B"/>
    <w:rsid w:val="6DFC351E"/>
    <w:rsid w:val="6E104010"/>
    <w:rsid w:val="6E1612B4"/>
    <w:rsid w:val="6E625129"/>
    <w:rsid w:val="6EA16987"/>
    <w:rsid w:val="6EF93550"/>
    <w:rsid w:val="6F177E2C"/>
    <w:rsid w:val="6F1B27B7"/>
    <w:rsid w:val="6F2F4D1B"/>
    <w:rsid w:val="6F321487"/>
    <w:rsid w:val="6F484143"/>
    <w:rsid w:val="6F5722BE"/>
    <w:rsid w:val="6F574271"/>
    <w:rsid w:val="6F750F26"/>
    <w:rsid w:val="6F7B72E9"/>
    <w:rsid w:val="6F7F57E5"/>
    <w:rsid w:val="6F8445D4"/>
    <w:rsid w:val="6F8B20D1"/>
    <w:rsid w:val="6F8D5C1A"/>
    <w:rsid w:val="6F8E342E"/>
    <w:rsid w:val="6FA67838"/>
    <w:rsid w:val="6FA71EC1"/>
    <w:rsid w:val="6FA8133A"/>
    <w:rsid w:val="6FD27139"/>
    <w:rsid w:val="6FFF70CF"/>
    <w:rsid w:val="700F2A9A"/>
    <w:rsid w:val="704748B1"/>
    <w:rsid w:val="70780683"/>
    <w:rsid w:val="70876988"/>
    <w:rsid w:val="70A12867"/>
    <w:rsid w:val="70CD2B48"/>
    <w:rsid w:val="70CF3C64"/>
    <w:rsid w:val="70E002FA"/>
    <w:rsid w:val="71060613"/>
    <w:rsid w:val="71126EE7"/>
    <w:rsid w:val="7147515D"/>
    <w:rsid w:val="71654E27"/>
    <w:rsid w:val="719E73CE"/>
    <w:rsid w:val="71CE529B"/>
    <w:rsid w:val="71EF3234"/>
    <w:rsid w:val="71F0284B"/>
    <w:rsid w:val="71F6500C"/>
    <w:rsid w:val="721709A9"/>
    <w:rsid w:val="72403EF0"/>
    <w:rsid w:val="72AA7B18"/>
    <w:rsid w:val="72AB1549"/>
    <w:rsid w:val="72FB2957"/>
    <w:rsid w:val="7316174B"/>
    <w:rsid w:val="7325663D"/>
    <w:rsid w:val="735D7A7D"/>
    <w:rsid w:val="737E24ED"/>
    <w:rsid w:val="73834891"/>
    <w:rsid w:val="73971C7D"/>
    <w:rsid w:val="73A55FBC"/>
    <w:rsid w:val="73D87234"/>
    <w:rsid w:val="74027DFF"/>
    <w:rsid w:val="7415051C"/>
    <w:rsid w:val="74203020"/>
    <w:rsid w:val="744F7CDA"/>
    <w:rsid w:val="745C23CF"/>
    <w:rsid w:val="7469226C"/>
    <w:rsid w:val="749B58FF"/>
    <w:rsid w:val="749D7461"/>
    <w:rsid w:val="74AF516F"/>
    <w:rsid w:val="74E516DA"/>
    <w:rsid w:val="750168BF"/>
    <w:rsid w:val="7512302B"/>
    <w:rsid w:val="754C44B6"/>
    <w:rsid w:val="75670870"/>
    <w:rsid w:val="757C043C"/>
    <w:rsid w:val="759F5A33"/>
    <w:rsid w:val="75C84068"/>
    <w:rsid w:val="75D933E6"/>
    <w:rsid w:val="75EA2C11"/>
    <w:rsid w:val="75F765FC"/>
    <w:rsid w:val="76134845"/>
    <w:rsid w:val="763922F4"/>
    <w:rsid w:val="764528D1"/>
    <w:rsid w:val="76751AF5"/>
    <w:rsid w:val="76785094"/>
    <w:rsid w:val="76A51CE7"/>
    <w:rsid w:val="77305497"/>
    <w:rsid w:val="773B4FE4"/>
    <w:rsid w:val="774550CB"/>
    <w:rsid w:val="774B075C"/>
    <w:rsid w:val="7770784C"/>
    <w:rsid w:val="77724785"/>
    <w:rsid w:val="77896DD2"/>
    <w:rsid w:val="77B21344"/>
    <w:rsid w:val="77C90574"/>
    <w:rsid w:val="782A7F03"/>
    <w:rsid w:val="78602591"/>
    <w:rsid w:val="787F3820"/>
    <w:rsid w:val="78A453FB"/>
    <w:rsid w:val="7916440C"/>
    <w:rsid w:val="79616DC4"/>
    <w:rsid w:val="79996A4A"/>
    <w:rsid w:val="79E820BE"/>
    <w:rsid w:val="7A5E6ED1"/>
    <w:rsid w:val="7A862644"/>
    <w:rsid w:val="7AA72FDF"/>
    <w:rsid w:val="7ABB4BF9"/>
    <w:rsid w:val="7AEA0DA5"/>
    <w:rsid w:val="7B4128F5"/>
    <w:rsid w:val="7B681A01"/>
    <w:rsid w:val="7B79567F"/>
    <w:rsid w:val="7B86410F"/>
    <w:rsid w:val="7BA5753A"/>
    <w:rsid w:val="7BBB672C"/>
    <w:rsid w:val="7BC72C4A"/>
    <w:rsid w:val="7BD3539E"/>
    <w:rsid w:val="7C1B778F"/>
    <w:rsid w:val="7C47478B"/>
    <w:rsid w:val="7C5E1196"/>
    <w:rsid w:val="7CA66A43"/>
    <w:rsid w:val="7CB42860"/>
    <w:rsid w:val="7CD95637"/>
    <w:rsid w:val="7D021F92"/>
    <w:rsid w:val="7D441F5F"/>
    <w:rsid w:val="7D974FE6"/>
    <w:rsid w:val="7E020AFE"/>
    <w:rsid w:val="7E2A39E4"/>
    <w:rsid w:val="7E585FE7"/>
    <w:rsid w:val="7E595A2B"/>
    <w:rsid w:val="7E671236"/>
    <w:rsid w:val="7E6D34D3"/>
    <w:rsid w:val="7E6E2E4D"/>
    <w:rsid w:val="7E6E7F77"/>
    <w:rsid w:val="7EBE6F11"/>
    <w:rsid w:val="7EC2003B"/>
    <w:rsid w:val="7EC40A46"/>
    <w:rsid w:val="7EE30DF1"/>
    <w:rsid w:val="7F561400"/>
    <w:rsid w:val="7F833D8D"/>
    <w:rsid w:val="7F9B2583"/>
    <w:rsid w:val="7FCF268C"/>
    <w:rsid w:val="7FFB0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85"/>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5">
    <w:name w:val="heading 3"/>
    <w:basedOn w:val="1"/>
    <w:next w:val="2"/>
    <w:link w:val="9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0"/>
    <w:pPr>
      <w:ind w:left="2520" w:leftChars="1200"/>
    </w:pPr>
  </w:style>
  <w:style w:type="paragraph" w:styleId="7">
    <w:name w:val="toa heading"/>
    <w:basedOn w:val="1"/>
    <w:next w:val="1"/>
    <w:qFormat/>
    <w:uiPriority w:val="0"/>
    <w:pPr>
      <w:spacing w:before="120"/>
    </w:pPr>
    <w:rPr>
      <w:rFonts w:ascii="Cambria" w:hAnsi="Cambria"/>
      <w:sz w:val="24"/>
    </w:rPr>
  </w:style>
  <w:style w:type="paragraph" w:styleId="8">
    <w:name w:val="annotation text"/>
    <w:basedOn w:val="1"/>
    <w:link w:val="78"/>
    <w:qFormat/>
    <w:uiPriority w:val="0"/>
    <w:pPr>
      <w:jc w:val="left"/>
    </w:pPr>
  </w:style>
  <w:style w:type="paragraph" w:styleId="9">
    <w:name w:val="Body Text"/>
    <w:basedOn w:val="1"/>
    <w:next w:val="10"/>
    <w:link w:val="102"/>
    <w:qFormat/>
    <w:uiPriority w:val="0"/>
    <w:pPr>
      <w:tabs>
        <w:tab w:val="left" w:pos="567"/>
      </w:tabs>
      <w:spacing w:before="120" w:line="22" w:lineRule="atLeast"/>
    </w:pPr>
    <w:rPr>
      <w:rFonts w:ascii="宋体" w:hAnsi="宋体"/>
      <w:sz w:val="24"/>
    </w:rPr>
  </w:style>
  <w:style w:type="paragraph" w:styleId="10">
    <w:name w:val="Body Text First Indent"/>
    <w:basedOn w:val="9"/>
    <w:qFormat/>
    <w:uiPriority w:val="0"/>
    <w:pPr>
      <w:ind w:firstLine="420" w:firstLineChars="100"/>
    </w:pPr>
  </w:style>
  <w:style w:type="paragraph" w:styleId="11">
    <w:name w:val="Body Text Indent"/>
    <w:basedOn w:val="1"/>
    <w:qFormat/>
    <w:uiPriority w:val="0"/>
    <w:pPr>
      <w:spacing w:line="360" w:lineRule="auto"/>
      <w:ind w:firstLine="570"/>
    </w:pPr>
    <w:rPr>
      <w:sz w:val="24"/>
    </w:rPr>
  </w:style>
  <w:style w:type="paragraph" w:styleId="12">
    <w:name w:val="toc 5"/>
    <w:basedOn w:val="1"/>
    <w:next w:val="1"/>
    <w:qFormat/>
    <w:uiPriority w:val="0"/>
    <w:pPr>
      <w:ind w:left="1680" w:leftChars="800"/>
    </w:pPr>
  </w:style>
  <w:style w:type="paragraph" w:styleId="13">
    <w:name w:val="toc 3"/>
    <w:basedOn w:val="1"/>
    <w:next w:val="1"/>
    <w:qFormat/>
    <w:uiPriority w:val="0"/>
    <w:pPr>
      <w:tabs>
        <w:tab w:val="left" w:pos="1260"/>
        <w:tab w:val="right" w:leader="dot" w:pos="8630"/>
      </w:tabs>
      <w:ind w:left="840" w:leftChars="400"/>
    </w:pPr>
  </w:style>
  <w:style w:type="paragraph" w:styleId="14">
    <w:name w:val="Plain Text"/>
    <w:basedOn w:val="1"/>
    <w:link w:val="93"/>
    <w:qFormat/>
    <w:uiPriority w:val="0"/>
    <w:rPr>
      <w:rFonts w:ascii="宋体" w:hAnsi="Courier New"/>
      <w:szCs w:val="20"/>
    </w:rPr>
  </w:style>
  <w:style w:type="paragraph" w:styleId="15">
    <w:name w:val="toc 8"/>
    <w:basedOn w:val="1"/>
    <w:next w:val="1"/>
    <w:qFormat/>
    <w:uiPriority w:val="0"/>
    <w:pPr>
      <w:ind w:left="2940" w:leftChars="1400"/>
    </w:pPr>
  </w:style>
  <w:style w:type="paragraph" w:styleId="16">
    <w:name w:val="Date"/>
    <w:basedOn w:val="1"/>
    <w:next w:val="1"/>
    <w:link w:val="97"/>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82"/>
    <w:qFormat/>
    <w:uiPriority w:val="0"/>
    <w:rPr>
      <w:sz w:val="18"/>
      <w:szCs w:val="18"/>
    </w:rPr>
  </w:style>
  <w:style w:type="paragraph" w:styleId="19">
    <w:name w:val="footer"/>
    <w:basedOn w:val="1"/>
    <w:link w:val="10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Subtitle"/>
    <w:basedOn w:val="1"/>
    <w:next w:val="1"/>
    <w:qFormat/>
    <w:uiPriority w:val="11"/>
    <w:pPr>
      <w:spacing w:before="240" w:after="60" w:line="312" w:lineRule="auto"/>
      <w:jc w:val="center"/>
      <w:outlineLvl w:val="1"/>
    </w:pPr>
    <w:rPr>
      <w:b/>
      <w:bCs/>
      <w:kern w:val="28"/>
      <w:sz w:val="32"/>
      <w:szCs w:val="32"/>
    </w:rPr>
  </w:style>
  <w:style w:type="paragraph" w:styleId="24">
    <w:name w:val="List"/>
    <w:basedOn w:val="1"/>
    <w:qFormat/>
    <w:uiPriority w:val="0"/>
    <w:pPr>
      <w:ind w:left="200" w:hanging="200" w:hangingChars="200"/>
    </w:pPr>
    <w:rPr>
      <w:szCs w:val="20"/>
    </w:rPr>
  </w:style>
  <w:style w:type="paragraph" w:styleId="25">
    <w:name w:val="footnote text"/>
    <w:basedOn w:val="1"/>
    <w:qFormat/>
    <w:uiPriority w:val="0"/>
    <w:pPr>
      <w:snapToGrid w:val="0"/>
      <w:jc w:val="left"/>
    </w:pPr>
    <w:rPr>
      <w:sz w:val="18"/>
    </w:rPr>
  </w:style>
  <w:style w:type="paragraph" w:styleId="26">
    <w:name w:val="toc 6"/>
    <w:basedOn w:val="1"/>
    <w:next w:val="1"/>
    <w:qFormat/>
    <w:uiPriority w:val="0"/>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0"/>
    <w:pPr>
      <w:ind w:left="420" w:leftChars="200"/>
    </w:pPr>
  </w:style>
  <w:style w:type="paragraph" w:styleId="29">
    <w:name w:val="toc 9"/>
    <w:basedOn w:val="1"/>
    <w:next w:val="1"/>
    <w:qFormat/>
    <w:uiPriority w:val="0"/>
    <w:pPr>
      <w:ind w:left="3360" w:leftChars="1600"/>
    </w:pPr>
  </w:style>
  <w:style w:type="paragraph" w:styleId="30">
    <w:name w:val="Normal (Web)"/>
    <w:basedOn w:val="1"/>
    <w:qFormat/>
    <w:uiPriority w:val="0"/>
    <w:pPr>
      <w:spacing w:before="100" w:beforeAutospacing="1" w:after="100" w:afterAutospacing="1"/>
      <w:jc w:val="left"/>
    </w:pPr>
    <w:rPr>
      <w:kern w:val="0"/>
      <w:sz w:val="24"/>
    </w:rPr>
  </w:style>
  <w:style w:type="paragraph" w:styleId="31">
    <w:name w:val="index 1"/>
    <w:basedOn w:val="1"/>
    <w:next w:val="1"/>
    <w:qFormat/>
    <w:uiPriority w:val="0"/>
    <w:rPr>
      <w:szCs w:val="20"/>
    </w:rPr>
  </w:style>
  <w:style w:type="paragraph" w:styleId="32">
    <w:name w:val="Title"/>
    <w:basedOn w:val="1"/>
    <w:next w:val="1"/>
    <w:qFormat/>
    <w:uiPriority w:val="0"/>
    <w:pPr>
      <w:jc w:val="center"/>
    </w:pPr>
    <w:rPr>
      <w:b/>
      <w:bCs/>
      <w:sz w:val="30"/>
    </w:rPr>
  </w:style>
  <w:style w:type="paragraph" w:styleId="33">
    <w:name w:val="annotation subject"/>
    <w:basedOn w:val="8"/>
    <w:next w:val="8"/>
    <w:link w:val="67"/>
    <w:qFormat/>
    <w:uiPriority w:val="0"/>
    <w:rPr>
      <w:b/>
      <w:bCs/>
    </w:rPr>
  </w:style>
  <w:style w:type="paragraph" w:styleId="34">
    <w:name w:val="Body Text First Indent 2"/>
    <w:basedOn w:val="11"/>
    <w:qFormat/>
    <w:uiPriority w:val="0"/>
    <w:pPr>
      <w:ind w:firstLine="420" w:firstLineChars="200"/>
    </w:p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bCs/>
    </w:rPr>
  </w:style>
  <w:style w:type="character" w:styleId="39">
    <w:name w:val="page number"/>
    <w:basedOn w:val="37"/>
    <w:qFormat/>
    <w:uiPriority w:val="0"/>
    <w:rPr>
      <w:rFonts w:ascii="Times New Roman" w:hAnsi="Times New Roman" w:eastAsia="宋体" w:cs="Times New Roman"/>
    </w:rPr>
  </w:style>
  <w:style w:type="character" w:styleId="40">
    <w:name w:val="FollowedHyperlink"/>
    <w:basedOn w:val="37"/>
    <w:qFormat/>
    <w:uiPriority w:val="0"/>
    <w:rPr>
      <w:rFonts w:ascii="Times New Roman" w:hAnsi="Times New Roman" w:eastAsia="宋体" w:cs="Times New Roman"/>
      <w:color w:val="020202"/>
      <w:sz w:val="18"/>
      <w:szCs w:val="18"/>
      <w:u w:val="none"/>
    </w:rPr>
  </w:style>
  <w:style w:type="character" w:styleId="41">
    <w:name w:val="Emphasis"/>
    <w:basedOn w:val="37"/>
    <w:qFormat/>
    <w:uiPriority w:val="0"/>
    <w:rPr>
      <w:i/>
    </w:rPr>
  </w:style>
  <w:style w:type="character" w:styleId="42">
    <w:name w:val="Hyperlink"/>
    <w:basedOn w:val="37"/>
    <w:qFormat/>
    <w:uiPriority w:val="0"/>
    <w:rPr>
      <w:rFonts w:ascii="Times New Roman" w:hAnsi="Times New Roman" w:eastAsia="宋体" w:cs="Times New Roman"/>
      <w:color w:val="020202"/>
      <w:sz w:val="18"/>
      <w:szCs w:val="18"/>
      <w:u w:val="none"/>
    </w:rPr>
  </w:style>
  <w:style w:type="character" w:styleId="43">
    <w:name w:val="annotation reference"/>
    <w:qFormat/>
    <w:uiPriority w:val="0"/>
    <w:rPr>
      <w:rFonts w:ascii="Times New Roman" w:hAnsi="Times New Roman" w:eastAsia="宋体" w:cs="Times New Roman"/>
      <w:sz w:val="21"/>
      <w:szCs w:val="21"/>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5">
    <w:name w:val="Table Paragraph"/>
    <w:basedOn w:val="1"/>
    <w:qFormat/>
    <w:uiPriority w:val="1"/>
    <w:pPr>
      <w:spacing w:before="21"/>
      <w:ind w:left="107"/>
    </w:pPr>
    <w:rPr>
      <w:rFonts w:ascii="宋体" w:hAnsi="宋体" w:cs="宋体"/>
      <w:lang w:val="zh-CN" w:bidi="zh-CN"/>
    </w:rPr>
  </w:style>
  <w:style w:type="paragraph" w:customStyle="1" w:styleId="46">
    <w:name w:val="Char"/>
    <w:basedOn w:val="1"/>
    <w:qFormat/>
    <w:uiPriority w:val="0"/>
    <w:pPr>
      <w:tabs>
        <w:tab w:val="left" w:pos="360"/>
      </w:tabs>
    </w:pPr>
    <w:rPr>
      <w:sz w:val="24"/>
    </w:rPr>
  </w:style>
  <w:style w:type="paragraph" w:customStyle="1" w:styleId="47">
    <w:name w:val="索引 11"/>
    <w:basedOn w:val="1"/>
    <w:next w:val="1"/>
    <w:qFormat/>
    <w:uiPriority w:val="0"/>
    <w:pPr>
      <w:spacing w:line="360" w:lineRule="auto"/>
    </w:pPr>
    <w:rPr>
      <w:rFonts w:ascii="仿宋_GB2312" w:eastAsia="仿宋_GB2312"/>
      <w:sz w:val="24"/>
      <w:szCs w:val="20"/>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9">
    <w:name w:val="List Paragraph1"/>
    <w:basedOn w:val="1"/>
    <w:qFormat/>
    <w:uiPriority w:val="34"/>
    <w:pPr>
      <w:ind w:firstLine="420" w:firstLineChars="200"/>
    </w:pPr>
  </w:style>
  <w:style w:type="paragraph" w:styleId="5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1">
    <w:name w:val="List Paragraph"/>
    <w:basedOn w:val="1"/>
    <w:qFormat/>
    <w:uiPriority w:val="0"/>
    <w:pPr>
      <w:ind w:firstLine="420" w:firstLineChars="200"/>
    </w:pPr>
  </w:style>
  <w:style w:type="paragraph" w:customStyle="1" w:styleId="52">
    <w:name w:val="List Paragraph_950ef204-ccf4-4d36-8da3-09d279cbb147"/>
    <w:basedOn w:val="1"/>
    <w:qFormat/>
    <w:uiPriority w:val="0"/>
    <w:pPr>
      <w:ind w:firstLine="420" w:firstLineChars="200"/>
    </w:pPr>
  </w:style>
  <w:style w:type="paragraph" w:customStyle="1" w:styleId="53">
    <w:name w:val="首行缩进"/>
    <w:basedOn w:val="1"/>
    <w:qFormat/>
    <w:uiPriority w:val="0"/>
    <w:pPr>
      <w:ind w:firstLine="480" w:firstLineChars="200"/>
    </w:pPr>
    <w:rPr>
      <w:lang w:val="zh-CN"/>
    </w:rPr>
  </w:style>
  <w:style w:type="paragraph" w:customStyle="1" w:styleId="54">
    <w:name w:val="列出段落1"/>
    <w:basedOn w:val="1"/>
    <w:qFormat/>
    <w:uiPriority w:val="0"/>
    <w:pPr>
      <w:ind w:firstLine="420" w:firstLineChars="200"/>
    </w:pPr>
    <w:rPr>
      <w:rFonts w:ascii="Calibri" w:hAnsi="Calibri"/>
      <w:szCs w:val="21"/>
    </w:rPr>
  </w:style>
  <w:style w:type="paragraph" w:customStyle="1" w:styleId="55">
    <w:name w:val="正文缩进1"/>
    <w:basedOn w:val="1"/>
    <w:link w:val="90"/>
    <w:qFormat/>
    <w:uiPriority w:val="0"/>
    <w:pPr>
      <w:autoSpaceDE w:val="0"/>
      <w:autoSpaceDN w:val="0"/>
      <w:adjustRightInd w:val="0"/>
      <w:ind w:firstLine="420"/>
      <w:jc w:val="left"/>
    </w:pPr>
    <w:rPr>
      <w:rFonts w:ascii="宋体"/>
      <w:kern w:val="0"/>
      <w:sz w:val="24"/>
      <w:szCs w:val="20"/>
    </w:rPr>
  </w:style>
  <w:style w:type="paragraph" w:customStyle="1" w:styleId="56">
    <w:name w:val="图例"/>
    <w:basedOn w:val="1"/>
    <w:qFormat/>
    <w:uiPriority w:val="0"/>
    <w:pPr>
      <w:spacing w:line="360" w:lineRule="auto"/>
      <w:jc w:val="center"/>
    </w:pPr>
    <w:rPr>
      <w:rFonts w:eastAsia="仿宋_GB2312"/>
      <w:b/>
      <w:sz w:val="24"/>
    </w:rPr>
  </w:style>
  <w:style w:type="paragraph" w:customStyle="1" w:styleId="5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8">
    <w:name w:val="列出段落11"/>
    <w:basedOn w:val="1"/>
    <w:qFormat/>
    <w:uiPriority w:val="0"/>
    <w:pPr>
      <w:widowControl/>
      <w:ind w:firstLine="420" w:firstLineChars="200"/>
      <w:jc w:val="left"/>
    </w:pPr>
    <w:rPr>
      <w:kern w:val="0"/>
      <w:sz w:val="24"/>
    </w:rPr>
  </w:style>
  <w:style w:type="paragraph" w:customStyle="1" w:styleId="59">
    <w:name w:val="正文 New New New New"/>
    <w:basedOn w:val="1"/>
    <w:qFormat/>
    <w:uiPriority w:val="0"/>
    <w:rPr>
      <w:kern w:val="0"/>
      <w:sz w:val="24"/>
    </w:rPr>
  </w:style>
  <w:style w:type="paragraph" w:customStyle="1" w:styleId="60">
    <w:name w:val="纯文本1"/>
    <w:basedOn w:val="1"/>
    <w:link w:val="73"/>
    <w:qFormat/>
    <w:uiPriority w:val="0"/>
    <w:rPr>
      <w:rFonts w:ascii="宋体" w:hAnsi="Courier New"/>
      <w:kern w:val="0"/>
      <w:sz w:val="20"/>
      <w:szCs w:val="20"/>
    </w:rPr>
  </w:style>
  <w:style w:type="paragraph" w:customStyle="1" w:styleId="61">
    <w:name w:val="WPSOffice手动目录 1"/>
    <w:qFormat/>
    <w:uiPriority w:val="0"/>
    <w:rPr>
      <w:rFonts w:ascii="Times New Roman" w:hAnsi="Times New Roman" w:eastAsia="宋体" w:cs="Times New Roman"/>
      <w:lang w:val="en-US" w:eastAsia="zh-CN" w:bidi="ar-SA"/>
    </w:rPr>
  </w:style>
  <w:style w:type="paragraph" w:customStyle="1" w:styleId="62">
    <w:name w:val="Body 1"/>
    <w:qFormat/>
    <w:uiPriority w:val="99"/>
    <w:pPr>
      <w:outlineLvl w:val="0"/>
    </w:pPr>
    <w:rPr>
      <w:rFonts w:ascii="Helvetica" w:hAnsi="Helvetica" w:eastAsia="宋体" w:cs="Times New Roman"/>
      <w:b/>
      <w:color w:val="000000"/>
      <w:lang w:val="en-US" w:eastAsia="zh-CN" w:bidi="ar-SA"/>
    </w:rPr>
  </w:style>
  <w:style w:type="paragraph" w:customStyle="1" w:styleId="63">
    <w:name w:val="Main_heading"/>
    <w:basedOn w:val="1"/>
    <w:next w:val="1"/>
    <w:qFormat/>
    <w:uiPriority w:val="0"/>
    <w:pPr>
      <w:spacing w:before="240" w:after="240" w:line="240" w:lineRule="atLeast"/>
    </w:pPr>
    <w:rPr>
      <w:rFonts w:eastAsia="MS Mincho"/>
      <w:b/>
      <w:sz w:val="28"/>
      <w:lang w:eastAsia="ja-JP"/>
    </w:rPr>
  </w:style>
  <w:style w:type="paragraph" w:customStyle="1" w:styleId="64">
    <w:name w:val="列出段落2"/>
    <w:basedOn w:val="1"/>
    <w:qFormat/>
    <w:uiPriority w:val="0"/>
    <w:pPr>
      <w:ind w:firstLine="420" w:firstLineChars="200"/>
    </w:pPr>
    <w:rPr>
      <w:rFonts w:ascii="Calibri" w:hAnsi="Calibri"/>
    </w:rPr>
  </w:style>
  <w:style w:type="character" w:customStyle="1" w:styleId="65">
    <w:name w:val="prev_page"/>
    <w:basedOn w:val="37"/>
    <w:qFormat/>
    <w:uiPriority w:val="0"/>
    <w:rPr>
      <w:rFonts w:ascii="Times New Roman" w:hAnsi="Times New Roman" w:eastAsia="宋体" w:cs="Times New Roman"/>
      <w:color w:val="C0C0C0"/>
    </w:rPr>
  </w:style>
  <w:style w:type="character" w:customStyle="1" w:styleId="66">
    <w:name w:val="wdlg"/>
    <w:basedOn w:val="37"/>
    <w:qFormat/>
    <w:uiPriority w:val="0"/>
    <w:rPr>
      <w:rFonts w:ascii="宋体" w:hAnsi="宋体" w:eastAsia="宋体" w:cs="宋体"/>
      <w:b/>
      <w:color w:val="000000"/>
      <w:sz w:val="21"/>
      <w:szCs w:val="21"/>
      <w:u w:val="none"/>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font41"/>
    <w:basedOn w:val="37"/>
    <w:qFormat/>
    <w:uiPriority w:val="0"/>
    <w:rPr>
      <w:rFonts w:hint="eastAsia" w:ascii="宋体" w:hAnsi="宋体" w:eastAsia="宋体" w:cs="宋体"/>
      <w:b/>
      <w:color w:val="000000"/>
      <w:sz w:val="22"/>
      <w:szCs w:val="22"/>
      <w:u w:val="none"/>
    </w:rPr>
  </w:style>
  <w:style w:type="character" w:customStyle="1" w:styleId="70">
    <w:name w:val="firstspanwx"/>
    <w:basedOn w:val="37"/>
    <w:qFormat/>
    <w:uiPriority w:val="0"/>
    <w:rPr>
      <w:rFonts w:ascii="Times New Roman" w:hAnsi="Times New Roman" w:eastAsia="宋体" w:cs="Times New Roman"/>
    </w:rPr>
  </w:style>
  <w:style w:type="character" w:customStyle="1" w:styleId="71">
    <w:name w:val="font71"/>
    <w:basedOn w:val="37"/>
    <w:qFormat/>
    <w:uiPriority w:val="0"/>
    <w:rPr>
      <w:rFonts w:ascii="Arial" w:hAnsi="Arial" w:eastAsia="Arial" w:cs="Times New Roman"/>
      <w:color w:val="000000"/>
      <w:w w:val="100"/>
      <w:sz w:val="16"/>
      <w:szCs w:val="16"/>
      <w:u w:val="none"/>
      <w:shd w:val="clear" w:color="auto" w:fill="auto"/>
    </w:rPr>
  </w:style>
  <w:style w:type="character" w:customStyle="1" w:styleId="72">
    <w:name w:val="页眉 Char"/>
    <w:link w:val="20"/>
    <w:qFormat/>
    <w:uiPriority w:val="0"/>
    <w:rPr>
      <w:rFonts w:ascii="Times New Roman" w:hAnsi="Times New Roman" w:eastAsia="宋体" w:cs="Times New Roman"/>
      <w:kern w:val="2"/>
      <w:sz w:val="18"/>
      <w:szCs w:val="18"/>
    </w:rPr>
  </w:style>
  <w:style w:type="character" w:customStyle="1" w:styleId="73">
    <w:name w:val="纯文本 Char1"/>
    <w:link w:val="60"/>
    <w:qFormat/>
    <w:uiPriority w:val="0"/>
    <w:rPr>
      <w:rFonts w:ascii="宋体" w:hAnsi="Courier New" w:eastAsia="宋体" w:cs="Times New Roman"/>
    </w:rPr>
  </w:style>
  <w:style w:type="character" w:customStyle="1" w:styleId="74">
    <w:name w:val="zpimg"/>
    <w:basedOn w:val="37"/>
    <w:qFormat/>
    <w:uiPriority w:val="0"/>
    <w:rPr>
      <w:rFonts w:ascii="Times New Roman" w:hAnsi="Times New Roman" w:eastAsia="宋体" w:cs="Times New Roman"/>
    </w:rPr>
  </w:style>
  <w:style w:type="character" w:customStyle="1" w:styleId="75">
    <w:name w:val="apple-converted-space"/>
    <w:basedOn w:val="37"/>
    <w:qFormat/>
    <w:uiPriority w:val="0"/>
  </w:style>
  <w:style w:type="character" w:customStyle="1" w:styleId="76">
    <w:name w:val="标题 1 Char"/>
    <w:link w:val="3"/>
    <w:qFormat/>
    <w:uiPriority w:val="0"/>
    <w:rPr>
      <w:rFonts w:ascii="宋体" w:hAnsi="Times New Roman" w:eastAsia="宋体" w:cs="Times New Roman"/>
      <w:b/>
      <w:kern w:val="44"/>
      <w:sz w:val="32"/>
    </w:rPr>
  </w:style>
  <w:style w:type="character" w:customStyle="1" w:styleId="77">
    <w:name w:val="页眉 Char1"/>
    <w:qFormat/>
    <w:uiPriority w:val="0"/>
    <w:rPr>
      <w:rFonts w:ascii="Times New Roman" w:hAnsi="Times New Roman" w:eastAsia="宋体" w:cs="Times New Roman"/>
      <w:kern w:val="2"/>
      <w:sz w:val="18"/>
      <w:szCs w:val="18"/>
    </w:rPr>
  </w:style>
  <w:style w:type="character" w:customStyle="1" w:styleId="78">
    <w:name w:val="批注文字 Char"/>
    <w:link w:val="8"/>
    <w:qFormat/>
    <w:uiPriority w:val="0"/>
    <w:rPr>
      <w:rFonts w:ascii="Times New Roman" w:hAnsi="Times New Roman" w:eastAsia="宋体" w:cs="Times New Roman"/>
      <w:kern w:val="2"/>
      <w:sz w:val="21"/>
      <w:szCs w:val="24"/>
    </w:rPr>
  </w:style>
  <w:style w:type="character" w:customStyle="1" w:styleId="79">
    <w:name w:val="font31"/>
    <w:basedOn w:val="37"/>
    <w:qFormat/>
    <w:uiPriority w:val="0"/>
    <w:rPr>
      <w:rFonts w:hint="eastAsia" w:ascii="宋体" w:hAnsi="宋体" w:eastAsia="宋体" w:cs="宋体"/>
      <w:color w:val="000000"/>
      <w:sz w:val="20"/>
      <w:szCs w:val="20"/>
      <w:u w:val="none"/>
    </w:rPr>
  </w:style>
  <w:style w:type="character" w:customStyle="1" w:styleId="80">
    <w:name w:val="current3"/>
    <w:basedOn w:val="37"/>
    <w:qFormat/>
    <w:uiPriority w:val="0"/>
    <w:rPr>
      <w:rFonts w:ascii="Times New Roman" w:hAnsi="Times New Roman" w:eastAsia="宋体" w:cs="Times New Roman"/>
      <w:color w:val="FFFFFF"/>
      <w:bdr w:val="single" w:color="F53F00" w:sz="6" w:space="0"/>
      <w:shd w:val="clear" w:color="auto" w:fill="F53F00"/>
    </w:rPr>
  </w:style>
  <w:style w:type="character" w:customStyle="1" w:styleId="81">
    <w:name w:val="yue"/>
    <w:basedOn w:val="37"/>
    <w:qFormat/>
    <w:uiPriority w:val="0"/>
    <w:rPr>
      <w:rFonts w:ascii="Times New Roman" w:hAnsi="Times New Roman" w:eastAsia="宋体" w:cs="Times New Roman"/>
    </w:rPr>
  </w:style>
  <w:style w:type="character" w:customStyle="1" w:styleId="82">
    <w:name w:val="批注框文本 Char"/>
    <w:link w:val="18"/>
    <w:qFormat/>
    <w:uiPriority w:val="0"/>
    <w:rPr>
      <w:rFonts w:ascii="Times New Roman" w:hAnsi="Times New Roman" w:eastAsia="宋体" w:cs="Times New Roman"/>
      <w:kern w:val="2"/>
      <w:sz w:val="18"/>
      <w:szCs w:val="18"/>
    </w:rPr>
  </w:style>
  <w:style w:type="character" w:customStyle="1" w:styleId="83">
    <w:name w:val="font61"/>
    <w:basedOn w:val="37"/>
    <w:qFormat/>
    <w:uiPriority w:val="0"/>
    <w:rPr>
      <w:rFonts w:hint="default" w:ascii="Arial" w:hAnsi="Arial" w:cs="Arial"/>
      <w:color w:val="000000"/>
      <w:sz w:val="22"/>
      <w:szCs w:val="22"/>
      <w:u w:val="none"/>
    </w:rPr>
  </w:style>
  <w:style w:type="character" w:customStyle="1" w:styleId="84">
    <w:name w:val="red2"/>
    <w:basedOn w:val="37"/>
    <w:qFormat/>
    <w:uiPriority w:val="0"/>
    <w:rPr>
      <w:rFonts w:ascii="Times New Roman" w:hAnsi="Times New Roman" w:eastAsia="宋体" w:cs="Times New Roman"/>
      <w:b/>
      <w:color w:val="DA2F27"/>
      <w:sz w:val="21"/>
      <w:szCs w:val="21"/>
    </w:rPr>
  </w:style>
  <w:style w:type="character" w:customStyle="1" w:styleId="85">
    <w:name w:val="标题 2 Char"/>
    <w:link w:val="4"/>
    <w:qFormat/>
    <w:uiPriority w:val="0"/>
    <w:rPr>
      <w:rFonts w:ascii="Arial" w:hAnsi="Arial" w:eastAsia="黑体" w:cs="Times New Roman"/>
      <w:b/>
      <w:sz w:val="30"/>
    </w:rPr>
  </w:style>
  <w:style w:type="character" w:customStyle="1" w:styleId="86">
    <w:name w:val="hs_prev_page"/>
    <w:basedOn w:val="37"/>
    <w:qFormat/>
    <w:uiPriority w:val="0"/>
    <w:rPr>
      <w:rFonts w:ascii="Times New Roman" w:hAnsi="Times New Roman" w:eastAsia="宋体" w:cs="Times New Roman"/>
      <w:color w:val="C0C0C0"/>
    </w:rPr>
  </w:style>
  <w:style w:type="character" w:customStyle="1" w:styleId="87">
    <w:name w:val="no_mr"/>
    <w:basedOn w:val="37"/>
    <w:qFormat/>
    <w:uiPriority w:val="0"/>
    <w:rPr>
      <w:rFonts w:ascii="Times New Roman" w:hAnsi="Times New Roman" w:eastAsia="宋体" w:cs="Times New Roman"/>
    </w:rPr>
  </w:style>
  <w:style w:type="character" w:customStyle="1" w:styleId="88">
    <w:name w:val="navadr"/>
    <w:basedOn w:val="37"/>
    <w:qFormat/>
    <w:uiPriority w:val="0"/>
    <w:rPr>
      <w:rFonts w:ascii="Times New Roman" w:hAnsi="Times New Roman" w:eastAsia="宋体" w:cs="Times New Roman"/>
    </w:rPr>
  </w:style>
  <w:style w:type="character" w:customStyle="1" w:styleId="89">
    <w:name w:val="font11"/>
    <w:basedOn w:val="37"/>
    <w:qFormat/>
    <w:uiPriority w:val="0"/>
    <w:rPr>
      <w:rFonts w:hint="eastAsia" w:ascii="宋体" w:hAnsi="宋体" w:eastAsia="宋体" w:cs="宋体"/>
      <w:color w:val="000000"/>
      <w:sz w:val="22"/>
      <w:szCs w:val="22"/>
      <w:u w:val="none"/>
    </w:rPr>
  </w:style>
  <w:style w:type="character" w:customStyle="1" w:styleId="90">
    <w:name w:val="正文缩进 Char1"/>
    <w:link w:val="55"/>
    <w:qFormat/>
    <w:uiPriority w:val="0"/>
    <w:rPr>
      <w:rFonts w:ascii="宋体" w:hAnsi="Times New Roman" w:eastAsia="宋体" w:cs="Times New Roman"/>
      <w:sz w:val="24"/>
    </w:rPr>
  </w:style>
  <w:style w:type="character" w:customStyle="1" w:styleId="91">
    <w:name w:val="批注框文本 Char1"/>
    <w:qFormat/>
    <w:uiPriority w:val="0"/>
    <w:rPr>
      <w:rFonts w:ascii="Times New Roman" w:hAnsi="Times New Roman" w:eastAsia="宋体" w:cs="Times New Roman"/>
      <w:kern w:val="2"/>
      <w:sz w:val="18"/>
      <w:szCs w:val="18"/>
    </w:rPr>
  </w:style>
  <w:style w:type="character" w:customStyle="1" w:styleId="92">
    <w:name w:val="zhou"/>
    <w:basedOn w:val="37"/>
    <w:qFormat/>
    <w:uiPriority w:val="0"/>
    <w:rPr>
      <w:rFonts w:ascii="Times New Roman" w:hAnsi="Times New Roman" w:eastAsia="宋体" w:cs="Times New Roman"/>
      <w:bdr w:val="single" w:color="666666" w:sz="6" w:space="0"/>
    </w:rPr>
  </w:style>
  <w:style w:type="character" w:customStyle="1" w:styleId="93">
    <w:name w:val="纯文本 Char"/>
    <w:link w:val="14"/>
    <w:qFormat/>
    <w:uiPriority w:val="0"/>
    <w:rPr>
      <w:rFonts w:ascii="宋体" w:hAnsi="Courier New" w:eastAsia="宋体" w:cs="Times New Roman"/>
      <w:kern w:val="2"/>
      <w:sz w:val="21"/>
    </w:rPr>
  </w:style>
  <w:style w:type="character" w:customStyle="1" w:styleId="94">
    <w:name w:val="font91"/>
    <w:basedOn w:val="37"/>
    <w:qFormat/>
    <w:uiPriority w:val="0"/>
    <w:rPr>
      <w:rFonts w:ascii="宋体" w:hAnsi="宋体" w:eastAsia="宋体" w:cs="Times New Roman"/>
      <w:color w:val="000000"/>
      <w:w w:val="100"/>
      <w:sz w:val="16"/>
      <w:szCs w:val="16"/>
      <w:u w:val="none"/>
      <w:shd w:val="clear" w:color="auto" w:fill="auto"/>
    </w:rPr>
  </w:style>
  <w:style w:type="character" w:customStyle="1" w:styleId="95">
    <w:name w:val="标题 3 Char"/>
    <w:link w:val="5"/>
    <w:qFormat/>
    <w:uiPriority w:val="0"/>
    <w:rPr>
      <w:rFonts w:ascii="宋体" w:hAnsi="Times New Roman" w:eastAsia="宋体" w:cs="Times New Roman"/>
      <w:b/>
      <w:sz w:val="24"/>
      <w:u w:val="single"/>
    </w:rPr>
  </w:style>
  <w:style w:type="character" w:customStyle="1" w:styleId="96">
    <w:name w:val="批注文字 Char1"/>
    <w:qFormat/>
    <w:uiPriority w:val="0"/>
    <w:rPr>
      <w:rFonts w:ascii="Times New Roman" w:hAnsi="Times New Roman" w:eastAsia="宋体" w:cs="Times New Roman"/>
      <w:kern w:val="2"/>
      <w:sz w:val="21"/>
      <w:szCs w:val="24"/>
    </w:rPr>
  </w:style>
  <w:style w:type="character" w:customStyle="1" w:styleId="97">
    <w:name w:val="日期 Char"/>
    <w:link w:val="16"/>
    <w:qFormat/>
    <w:uiPriority w:val="0"/>
    <w:rPr>
      <w:rFonts w:ascii="仿宋_GB2312" w:hAnsi="宋体" w:eastAsia="仿宋_GB2312" w:cs="Times New Roman"/>
      <w:color w:val="000000"/>
      <w:kern w:val="2"/>
      <w:sz w:val="24"/>
      <w:szCs w:val="24"/>
    </w:rPr>
  </w:style>
  <w:style w:type="character" w:customStyle="1" w:styleId="98">
    <w:name w:val="15"/>
    <w:basedOn w:val="37"/>
    <w:qFormat/>
    <w:uiPriority w:val="0"/>
    <w:rPr>
      <w:rFonts w:hint="default" w:ascii="Times New Roman" w:hAnsi="Times New Roman" w:eastAsia="宋体" w:cs="Times New Roman"/>
      <w:sz w:val="21"/>
      <w:szCs w:val="21"/>
    </w:rPr>
  </w:style>
  <w:style w:type="character" w:customStyle="1" w:styleId="99">
    <w:name w:val="font01"/>
    <w:basedOn w:val="37"/>
    <w:qFormat/>
    <w:uiPriority w:val="0"/>
    <w:rPr>
      <w:rFonts w:ascii="Arial" w:hAnsi="Arial" w:eastAsia="Arial" w:cs="Times New Roman"/>
      <w:b/>
      <w:color w:val="000000"/>
      <w:w w:val="100"/>
      <w:sz w:val="16"/>
      <w:szCs w:val="16"/>
      <w:u w:val="none"/>
      <w:shd w:val="clear" w:color="auto" w:fill="auto"/>
    </w:rPr>
  </w:style>
  <w:style w:type="character" w:customStyle="1" w:styleId="100">
    <w:name w:val="current2"/>
    <w:basedOn w:val="37"/>
    <w:qFormat/>
    <w:uiPriority w:val="0"/>
    <w:rPr>
      <w:rFonts w:ascii="Times New Roman" w:hAnsi="Times New Roman" w:eastAsia="宋体" w:cs="Times New Roman"/>
      <w:color w:val="FFFFFF"/>
      <w:sz w:val="21"/>
      <w:szCs w:val="21"/>
      <w:bdr w:val="single" w:color="0077C3" w:sz="6" w:space="0"/>
      <w:shd w:val="clear" w:color="auto" w:fill="0077C3"/>
    </w:rPr>
  </w:style>
  <w:style w:type="character" w:customStyle="1" w:styleId="101">
    <w:name w:val="页脚 Char"/>
    <w:link w:val="19"/>
    <w:qFormat/>
    <w:uiPriority w:val="0"/>
    <w:rPr>
      <w:rFonts w:ascii="宋体" w:hAnsi="Times New Roman" w:eastAsia="宋体" w:cs="Times New Roman"/>
      <w:sz w:val="18"/>
    </w:rPr>
  </w:style>
  <w:style w:type="character" w:customStyle="1" w:styleId="102">
    <w:name w:val="正文文本 Char"/>
    <w:link w:val="9"/>
    <w:qFormat/>
    <w:uiPriority w:val="0"/>
    <w:rPr>
      <w:rFonts w:ascii="宋体" w:hAnsi="宋体" w:eastAsia="宋体" w:cs="Times New Roman"/>
      <w:kern w:val="2"/>
      <w:sz w:val="24"/>
      <w:szCs w:val="24"/>
    </w:rPr>
  </w:style>
  <w:style w:type="character" w:customStyle="1" w:styleId="103">
    <w:name w:val="font21"/>
    <w:basedOn w:val="37"/>
    <w:qFormat/>
    <w:uiPriority w:val="0"/>
    <w:rPr>
      <w:rFonts w:ascii="宋体" w:hAnsi="宋体" w:eastAsia="宋体" w:cs="Times New Roman"/>
      <w:b/>
      <w:color w:val="000000"/>
      <w:w w:val="100"/>
      <w:sz w:val="16"/>
      <w:szCs w:val="16"/>
      <w:u w:val="none"/>
      <w:shd w:val="clear" w:color="auto" w:fill="auto"/>
    </w:rPr>
  </w:style>
  <w:style w:type="paragraph" w:customStyle="1" w:styleId="104">
    <w:name w:val="采购一级"/>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105">
    <w:name w:val="采购二级"/>
    <w:qFormat/>
    <w:uiPriority w:val="0"/>
    <w:pPr>
      <w:widowControl w:val="0"/>
      <w:spacing w:line="560" w:lineRule="exact"/>
      <w:ind w:firstLine="200" w:firstLineChars="200"/>
      <w:jc w:val="both"/>
      <w:outlineLvl w:val="1"/>
    </w:pPr>
    <w:rPr>
      <w:rFonts w:ascii="仿宋" w:hAnsi="仿宋" w:eastAsia="仿宋" w:cs="Times New Roman"/>
      <w:b/>
      <w:sz w:val="28"/>
      <w:szCs w:val="32"/>
      <w:lang w:val="en-US" w:eastAsia="zh-CN" w:bidi="ar-SA"/>
    </w:rPr>
  </w:style>
  <w:style w:type="paragraph" w:customStyle="1" w:styleId="106">
    <w:name w:val="采购正文"/>
    <w:qFormat/>
    <w:uiPriority w:val="0"/>
    <w:pPr>
      <w:widowControl w:val="0"/>
      <w:snapToGrid w:val="0"/>
      <w:spacing w:line="560" w:lineRule="exact"/>
      <w:ind w:firstLine="200" w:firstLineChars="200"/>
      <w:jc w:val="both"/>
    </w:pPr>
    <w:rPr>
      <w:rFonts w:ascii="仿宋" w:hAnsi="仿宋" w:eastAsia="仿宋" w:cs="Times New Roman"/>
      <w:sz w:val="24"/>
      <w:szCs w:val="24"/>
      <w:lang w:val="en-US" w:eastAsia="zh-CN" w:bidi="ar-SA"/>
    </w:rPr>
  </w:style>
  <w:style w:type="paragraph" w:customStyle="1" w:styleId="10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108">
    <w:name w:val="displayarti"/>
    <w:basedOn w:val="37"/>
    <w:qFormat/>
    <w:uiPriority w:val="0"/>
    <w:rPr>
      <w:color w:val="FFFFFF"/>
      <w:shd w:val="clear" w:color="auto" w:fill="A00000"/>
    </w:rPr>
  </w:style>
  <w:style w:type="character" w:customStyle="1" w:styleId="109">
    <w:name w:val="redfilefwwh"/>
    <w:basedOn w:val="37"/>
    <w:qFormat/>
    <w:uiPriority w:val="0"/>
    <w:rPr>
      <w:color w:val="BA2636"/>
      <w:sz w:val="18"/>
      <w:szCs w:val="18"/>
    </w:rPr>
  </w:style>
  <w:style w:type="character" w:customStyle="1" w:styleId="110">
    <w:name w:val="redfilenumber"/>
    <w:basedOn w:val="37"/>
    <w:qFormat/>
    <w:uiPriority w:val="0"/>
    <w:rPr>
      <w:color w:val="BA2636"/>
      <w:sz w:val="18"/>
      <w:szCs w:val="18"/>
    </w:rPr>
  </w:style>
  <w:style w:type="character" w:customStyle="1" w:styleId="111">
    <w:name w:val="gjfg"/>
    <w:basedOn w:val="37"/>
    <w:qFormat/>
    <w:uiPriority w:val="0"/>
  </w:style>
  <w:style w:type="character" w:customStyle="1" w:styleId="112">
    <w:name w:val="cfdate"/>
    <w:basedOn w:val="37"/>
    <w:qFormat/>
    <w:uiPriority w:val="0"/>
    <w:rPr>
      <w:color w:val="333333"/>
      <w:sz w:val="18"/>
      <w:szCs w:val="18"/>
    </w:rPr>
  </w:style>
  <w:style w:type="character" w:customStyle="1" w:styleId="113">
    <w:name w:val="qxdate"/>
    <w:basedOn w:val="37"/>
    <w:qFormat/>
    <w:uiPriority w:val="0"/>
    <w:rPr>
      <w:color w:val="333333"/>
      <w:sz w:val="18"/>
      <w:szCs w:val="18"/>
    </w:rPr>
  </w:style>
  <w:style w:type="paragraph" w:customStyle="1" w:styleId="114">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2"/>
    <customShpInfo spid="_x0000_s2051"/>
    <customShpInfo spid="_x0000_s2050"/>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107</Pages>
  <Words>53656</Words>
  <Characters>12008</Characters>
  <Lines>100</Lines>
  <Paragraphs>131</Paragraphs>
  <TotalTime>12</TotalTime>
  <ScaleCrop>false</ScaleCrop>
  <LinksUpToDate>false</LinksUpToDate>
  <CharactersWithSpaces>65533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Administrator</cp:lastModifiedBy>
  <cp:lastPrinted>2020-01-13T05:44:00Z</cp:lastPrinted>
  <dcterms:modified xsi:type="dcterms:W3CDTF">2021-11-24T04:09:38Z</dcterms:modified>
  <dc:title>02年杜范本稿</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62C50356DDC9434DB2E79F52045C2280</vt:lpwstr>
  </property>
</Properties>
</file>