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atLeast"/>
        <w:jc w:val="center"/>
        <w:rPr>
          <w:rFonts w:hint="eastAsia" w:hAnsi="宋体" w:cs="宋体"/>
          <w:b/>
          <w:color w:val="auto"/>
          <w:sz w:val="24"/>
          <w:szCs w:val="24"/>
        </w:rPr>
      </w:pPr>
      <w:bookmarkStart w:id="0" w:name="_Toc130180922"/>
      <w:bookmarkStart w:id="1" w:name="_Toc130180841"/>
      <w:bookmarkStart w:id="2" w:name="_Toc130180736"/>
    </w:p>
    <w:p>
      <w:pPr>
        <w:pStyle w:val="5"/>
        <w:jc w:val="center"/>
        <w:rPr>
          <w:rFonts w:hint="eastAsia" w:ascii="方正小标宋简体" w:hAnsi="方正小标宋简体" w:eastAsia="方正小标宋简体" w:cs="方正小标宋简体"/>
          <w:color w:val="auto"/>
          <w:sz w:val="48"/>
          <w:szCs w:val="44"/>
          <w:lang w:eastAsia="zh-CN"/>
        </w:rPr>
      </w:pPr>
      <w:r>
        <w:rPr>
          <w:rFonts w:hint="eastAsia" w:ascii="方正小标宋简体" w:hAnsi="方正小标宋简体" w:eastAsia="方正小标宋简体" w:cs="方正小标宋简体"/>
          <w:color w:val="auto"/>
          <w:sz w:val="48"/>
          <w:szCs w:val="44"/>
          <w:lang w:eastAsia="zh-CN"/>
        </w:rPr>
        <w:t>特克斯县妇幼保健计划生育服务中心污水处理改造及安装医疗污水水质在线监测系统采购项目</w:t>
      </w:r>
    </w:p>
    <w:p>
      <w:pPr>
        <w:pStyle w:val="5"/>
        <w:jc w:val="center"/>
        <w:rPr>
          <w:rFonts w:hint="eastAsia"/>
          <w:color w:val="auto"/>
          <w:sz w:val="52"/>
          <w:szCs w:val="52"/>
          <w:highlight w:val="none"/>
          <w:lang w:eastAsia="zh-CN"/>
        </w:rPr>
      </w:pPr>
    </w:p>
    <w:p>
      <w:pPr>
        <w:pStyle w:val="5"/>
        <w:jc w:val="center"/>
        <w:rPr>
          <w:rFonts w:hint="eastAsia" w:hAnsi="宋体" w:cs="宋体"/>
          <w:b/>
          <w:color w:val="auto"/>
          <w:sz w:val="24"/>
          <w:szCs w:val="24"/>
        </w:rPr>
      </w:pPr>
      <w:r>
        <w:rPr>
          <w:rFonts w:hint="eastAsia"/>
          <w:color w:val="auto"/>
          <w:sz w:val="52"/>
          <w:szCs w:val="52"/>
          <w:highlight w:val="none"/>
          <w:lang w:eastAsia="zh-CN"/>
        </w:rPr>
        <w:t>磋商</w:t>
      </w:r>
      <w:r>
        <w:rPr>
          <w:rFonts w:hint="eastAsia"/>
          <w:color w:val="auto"/>
          <w:sz w:val="52"/>
          <w:szCs w:val="52"/>
        </w:rPr>
        <w:t>文件</w:t>
      </w:r>
    </w:p>
    <w:p>
      <w:pPr>
        <w:pStyle w:val="13"/>
        <w:spacing w:line="400" w:lineRule="atLeast"/>
        <w:rPr>
          <w:rFonts w:hint="eastAsia" w:hAnsi="宋体" w:cs="宋体"/>
          <w:b/>
          <w:color w:val="auto"/>
          <w:sz w:val="24"/>
          <w:szCs w:val="24"/>
        </w:rPr>
      </w:pPr>
    </w:p>
    <w:p>
      <w:pPr>
        <w:pStyle w:val="13"/>
        <w:spacing w:line="400" w:lineRule="atLeast"/>
        <w:rPr>
          <w:rFonts w:hint="eastAsia" w:hAnsi="宋体" w:cs="宋体"/>
          <w:b/>
          <w:color w:val="auto"/>
          <w:sz w:val="24"/>
          <w:szCs w:val="24"/>
        </w:rPr>
      </w:pPr>
    </w:p>
    <w:p>
      <w:pPr>
        <w:pStyle w:val="13"/>
        <w:spacing w:line="400" w:lineRule="atLeast"/>
        <w:ind w:left="0" w:leftChars="0" w:firstLine="321" w:firstLineChars="100"/>
        <w:rPr>
          <w:rFonts w:hint="eastAsia" w:hAnsi="宋体" w:eastAsia="宋体" w:cs="宋体"/>
          <w:b/>
          <w:color w:val="auto"/>
          <w:sz w:val="32"/>
          <w:szCs w:val="32"/>
          <w:lang w:eastAsia="zh-CN"/>
        </w:rPr>
      </w:pPr>
      <w:r>
        <w:rPr>
          <w:rFonts w:hint="eastAsia" w:hAnsi="宋体" w:cs="宋体"/>
          <w:b/>
          <w:color w:val="auto"/>
          <w:sz w:val="32"/>
          <w:szCs w:val="32"/>
        </w:rPr>
        <w:t>项目编号：</w:t>
      </w:r>
      <w:r>
        <w:rPr>
          <w:rFonts w:hint="eastAsia" w:hAnsi="宋体" w:cs="宋体"/>
          <w:b/>
          <w:color w:val="auto"/>
          <w:sz w:val="32"/>
          <w:szCs w:val="32"/>
          <w:lang w:eastAsia="zh-CN"/>
        </w:rPr>
        <w:t>HYZB-2021-120 </w:t>
      </w:r>
    </w:p>
    <w:p>
      <w:pPr>
        <w:pStyle w:val="13"/>
        <w:spacing w:line="400" w:lineRule="atLeast"/>
        <w:rPr>
          <w:rFonts w:hint="eastAsia" w:hAnsi="宋体" w:cs="宋体"/>
          <w:b/>
          <w:color w:val="auto"/>
          <w:sz w:val="32"/>
          <w:szCs w:val="32"/>
        </w:rPr>
      </w:pPr>
    </w:p>
    <w:p>
      <w:pPr>
        <w:pStyle w:val="13"/>
        <w:spacing w:line="400" w:lineRule="atLeast"/>
        <w:ind w:left="1925" w:leftChars="152" w:hanging="1606" w:hangingChars="500"/>
        <w:rPr>
          <w:rFonts w:hint="eastAsia" w:hAnsi="宋体" w:cs="宋体"/>
          <w:b/>
          <w:color w:val="auto"/>
          <w:sz w:val="32"/>
          <w:szCs w:val="32"/>
        </w:rPr>
      </w:pPr>
      <w:r>
        <w:rPr>
          <w:rFonts w:hint="eastAsia" w:hAnsi="宋体" w:cs="宋体"/>
          <w:b/>
          <w:color w:val="auto"/>
          <w:sz w:val="32"/>
          <w:szCs w:val="32"/>
        </w:rPr>
        <w:t>项目名称：</w:t>
      </w:r>
      <w:r>
        <w:rPr>
          <w:rFonts w:hint="eastAsia" w:hAnsi="宋体" w:cs="宋体"/>
          <w:b/>
          <w:color w:val="auto"/>
          <w:sz w:val="32"/>
          <w:szCs w:val="32"/>
          <w:lang w:eastAsia="zh-CN"/>
        </w:rPr>
        <w:t>特克斯县妇幼保健计划生育服务中心污水处理改造及安装医疗污水水质在线监测系统采购项目</w:t>
      </w:r>
      <w:r>
        <w:rPr>
          <w:rFonts w:hint="eastAsia" w:hAnsi="宋体" w:cs="宋体"/>
          <w:b/>
          <w:color w:val="auto"/>
          <w:sz w:val="32"/>
          <w:szCs w:val="32"/>
        </w:rPr>
        <w:t xml:space="preserve"> </w:t>
      </w:r>
    </w:p>
    <w:p>
      <w:pPr>
        <w:pStyle w:val="13"/>
        <w:spacing w:line="400" w:lineRule="atLeast"/>
        <w:rPr>
          <w:rFonts w:hint="eastAsia" w:hAnsi="宋体" w:cs="宋体"/>
          <w:b/>
          <w:color w:val="auto"/>
          <w:sz w:val="32"/>
          <w:szCs w:val="32"/>
        </w:rPr>
      </w:pPr>
    </w:p>
    <w:p>
      <w:pPr>
        <w:pStyle w:val="13"/>
        <w:spacing w:line="400" w:lineRule="atLeast"/>
        <w:ind w:left="0" w:leftChars="0" w:firstLine="321" w:firstLineChars="100"/>
        <w:rPr>
          <w:rFonts w:hint="eastAsia" w:hAnsi="宋体" w:cs="宋体"/>
          <w:b/>
          <w:color w:val="auto"/>
          <w:sz w:val="32"/>
          <w:szCs w:val="32"/>
        </w:rPr>
      </w:pPr>
      <w:r>
        <w:rPr>
          <w:rFonts w:hint="eastAsia" w:hAnsi="宋体" w:cs="宋体"/>
          <w:b/>
          <w:color w:val="auto"/>
          <w:sz w:val="32"/>
          <w:szCs w:val="32"/>
        </w:rPr>
        <w:t>委托单位：</w:t>
      </w:r>
      <w:r>
        <w:rPr>
          <w:rFonts w:hint="eastAsia" w:hAnsi="宋体" w:cs="宋体"/>
          <w:b/>
          <w:color w:val="auto"/>
          <w:sz w:val="32"/>
          <w:szCs w:val="32"/>
          <w:lang w:eastAsia="zh-CN"/>
        </w:rPr>
        <w:t>特克斯县妇幼保健计划生育服务中心</w:t>
      </w:r>
      <w:r>
        <w:rPr>
          <w:rFonts w:hint="eastAsia" w:hAnsi="宋体" w:cs="宋体"/>
          <w:b/>
          <w:color w:val="auto"/>
          <w:sz w:val="32"/>
          <w:szCs w:val="32"/>
        </w:rPr>
        <w:t xml:space="preserve">             </w:t>
      </w:r>
    </w:p>
    <w:p>
      <w:pPr>
        <w:pStyle w:val="13"/>
        <w:spacing w:line="400" w:lineRule="atLeast"/>
        <w:rPr>
          <w:rFonts w:hint="eastAsia" w:hAnsi="宋体" w:cs="宋体"/>
          <w:b/>
          <w:color w:val="auto"/>
          <w:sz w:val="32"/>
          <w:szCs w:val="32"/>
        </w:rPr>
      </w:pPr>
    </w:p>
    <w:p>
      <w:pPr>
        <w:pStyle w:val="13"/>
        <w:spacing w:line="400" w:lineRule="atLeast"/>
        <w:ind w:left="0" w:leftChars="0" w:firstLine="321" w:firstLineChars="100"/>
        <w:rPr>
          <w:rFonts w:hint="eastAsia" w:hAnsi="宋体" w:cs="宋体"/>
          <w:b/>
          <w:color w:val="auto"/>
          <w:sz w:val="32"/>
          <w:szCs w:val="32"/>
          <w:lang w:eastAsia="zh-CN"/>
        </w:rPr>
      </w:pPr>
      <w:r>
        <w:rPr>
          <w:rFonts w:hint="eastAsia" w:hAnsi="宋体" w:cs="宋体"/>
          <w:b/>
          <w:color w:val="auto"/>
          <w:sz w:val="32"/>
          <w:szCs w:val="32"/>
        </w:rPr>
        <w:t>采购代理：</w:t>
      </w:r>
      <w:r>
        <w:rPr>
          <w:rFonts w:hint="eastAsia" w:hAnsi="宋体" w:cs="宋体"/>
          <w:b/>
          <w:color w:val="auto"/>
          <w:sz w:val="32"/>
          <w:szCs w:val="32"/>
          <w:lang w:eastAsia="zh-CN"/>
        </w:rPr>
        <w:t>新疆华域建设工程项目管理咨询有限公司</w:t>
      </w:r>
    </w:p>
    <w:p>
      <w:pPr>
        <w:spacing w:line="400" w:lineRule="atLeast"/>
        <w:jc w:val="center"/>
        <w:rPr>
          <w:rFonts w:hint="eastAsia" w:ascii="宋体" w:hAnsi="宋体" w:cs="宋体"/>
          <w:b/>
          <w:color w:val="auto"/>
          <w:sz w:val="24"/>
          <w:szCs w:val="24"/>
        </w:rPr>
      </w:pPr>
    </w:p>
    <w:p>
      <w:pPr>
        <w:pStyle w:val="2"/>
        <w:ind w:left="0" w:leftChars="0" w:firstLine="0" w:firstLineChars="0"/>
        <w:rPr>
          <w:rFonts w:hint="eastAsia" w:ascii="宋体" w:hAnsi="宋体" w:cs="宋体"/>
          <w:b/>
          <w:color w:val="auto"/>
          <w:sz w:val="24"/>
          <w:szCs w:val="24"/>
        </w:rPr>
      </w:pPr>
    </w:p>
    <w:p>
      <w:pPr>
        <w:pStyle w:val="3"/>
        <w:rPr>
          <w:rFonts w:hint="eastAsia" w:ascii="宋体" w:hAnsi="宋体" w:cs="宋体"/>
          <w:b/>
          <w:color w:val="auto"/>
          <w:sz w:val="24"/>
          <w:szCs w:val="24"/>
        </w:rPr>
      </w:pPr>
    </w:p>
    <w:p>
      <w:pPr>
        <w:rPr>
          <w:rFonts w:hint="eastAsia" w:ascii="宋体" w:hAnsi="宋体" w:cs="宋体"/>
          <w:b/>
          <w:color w:val="auto"/>
          <w:sz w:val="24"/>
          <w:szCs w:val="24"/>
        </w:rPr>
      </w:pPr>
    </w:p>
    <w:p>
      <w:pPr>
        <w:pStyle w:val="19"/>
        <w:rPr>
          <w:rFonts w:hint="eastAsia"/>
          <w:color w:val="auto"/>
        </w:rPr>
      </w:pPr>
    </w:p>
    <w:p>
      <w:pPr>
        <w:pStyle w:val="3"/>
        <w:rPr>
          <w:rFonts w:hint="eastAsia"/>
          <w:color w:val="auto"/>
        </w:rPr>
      </w:pPr>
    </w:p>
    <w:p>
      <w:pPr>
        <w:pStyle w:val="2"/>
        <w:jc w:val="center"/>
        <w:rPr>
          <w:rFonts w:hint="default" w:ascii="宋体" w:hAnsi="宋体" w:eastAsia="宋体" w:cs="宋体"/>
          <w:b/>
          <w:color w:val="auto"/>
          <w:sz w:val="32"/>
          <w:szCs w:val="32"/>
          <w:lang w:val="en-US" w:eastAsia="zh-CN"/>
        </w:rPr>
      </w:pPr>
      <w:r>
        <w:rPr>
          <w:rFonts w:hint="eastAsia" w:cs="宋体"/>
          <w:b/>
          <w:color w:val="auto"/>
          <w:sz w:val="32"/>
          <w:szCs w:val="32"/>
          <w:lang w:val="en-US" w:eastAsia="zh-CN"/>
        </w:rPr>
        <w:t>2021年12月</w:t>
      </w:r>
    </w:p>
    <w:p>
      <w:pPr>
        <w:pStyle w:val="4"/>
        <w:keepLines w:val="0"/>
        <w:numPr>
          <w:ilvl w:val="0"/>
          <w:numId w:val="2"/>
        </w:numPr>
        <w:spacing w:before="0" w:after="0" w:line="360" w:lineRule="auto"/>
        <w:ind w:right="-441" w:rightChars="-210"/>
        <w:jc w:val="center"/>
        <w:rPr>
          <w:rFonts w:hint="eastAsia"/>
          <w:color w:val="auto"/>
          <w:kern w:val="2"/>
          <w:sz w:val="48"/>
          <w:szCs w:val="48"/>
          <w:lang w:val="en-US" w:eastAsia="zh-CN"/>
        </w:rPr>
      </w:pPr>
      <w:r>
        <w:rPr>
          <w:color w:val="auto"/>
          <w:kern w:val="2"/>
          <w:sz w:val="48"/>
          <w:szCs w:val="48"/>
        </w:rPr>
        <w:t xml:space="preserve"> </w:t>
      </w:r>
      <w:r>
        <w:rPr>
          <w:rFonts w:hint="eastAsia"/>
          <w:color w:val="auto"/>
          <w:kern w:val="2"/>
          <w:sz w:val="48"/>
          <w:szCs w:val="48"/>
          <w:lang w:val="en-US" w:eastAsia="zh-CN"/>
        </w:rPr>
        <w:t>项目公告</w:t>
      </w:r>
    </w:p>
    <w:p>
      <w:pPr>
        <w:rPr>
          <w:color w:val="auto"/>
        </w:rPr>
      </w:pP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特克斯县妇幼保健计划生育服务中心污水处理改造及安装医疗污水水质在线监测系统采购项目</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7"/>
          <w:szCs w:val="27"/>
        </w:rPr>
      </w:pPr>
      <w:r>
        <w:rPr>
          <w:rStyle w:val="24"/>
          <w:rFonts w:ascii="黑体" w:hAnsi="宋体" w:eastAsia="黑体" w:cs="黑体"/>
          <w:color w:val="auto"/>
          <w:sz w:val="27"/>
          <w:szCs w:val="27"/>
        </w:rPr>
        <w:t>一、</w:t>
      </w:r>
      <w:r>
        <w:rPr>
          <w:rStyle w:val="24"/>
          <w:rFonts w:hint="eastAsia" w:ascii="黑体" w:hAnsi="宋体" w:eastAsia="黑体" w:cs="黑体"/>
          <w:color w:val="auto"/>
          <w:sz w:val="27"/>
          <w:szCs w:val="27"/>
          <w:lang w:eastAsia="zh-CN"/>
        </w:rPr>
        <w:t>项目基本情况</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项目编号：HYZB-2021-120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项目名称：特克斯县妇幼保健计划生育服务中心污水处理改造及安装医疗污水水质在线监测系统采购项目</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采购方式：竞争性磋商</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 xml:space="preserve">     预算金额（元）：510000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 xml:space="preserve">最高限价（元）：510000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color w:val="auto"/>
        </w:rPr>
      </w:pPr>
      <w:r>
        <w:rPr>
          <w:rFonts w:hint="eastAsia" w:ascii="仿宋" w:hAnsi="仿宋" w:eastAsia="仿宋" w:cs="仿宋"/>
          <w:color w:val="auto"/>
          <w:sz w:val="27"/>
          <w:szCs w:val="27"/>
        </w:rPr>
        <w:t>采购需求：</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   </w:t>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标项一:</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标项名称: 污水处理改造及安装医疗污水水质在线监测系统</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数量:</w:t>
      </w:r>
      <w:r>
        <w:rPr>
          <w:rFonts w:hint="eastAsia" w:ascii="仿宋" w:hAnsi="仿宋" w:eastAsia="仿宋" w:cs="仿宋"/>
          <w:color w:val="auto"/>
          <w:sz w:val="27"/>
          <w:szCs w:val="27"/>
          <w:lang w:val="en-US" w:eastAsia="zh-CN"/>
        </w:rPr>
        <w:t>1</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510000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单位：批</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color w:val="auto"/>
          <w:sz w:val="27"/>
          <w:szCs w:val="27"/>
        </w:rPr>
        <w:t>污水处理改造及安装医疗污水水质在线监测系统</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7"/>
          <w:szCs w:val="27"/>
          <w:lang w:val="en-US" w:eastAsia="zh-CN"/>
        </w:rPr>
      </w:pP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2</w:t>
      </w:r>
      <w:r>
        <w:rPr>
          <w:rFonts w:hint="eastAsia" w:ascii="仿宋" w:hAnsi="仿宋" w:eastAsia="仿宋" w:cs="仿宋"/>
          <w:color w:val="FF0000"/>
          <w:sz w:val="27"/>
          <w:szCs w:val="27"/>
          <w:lang w:val="en-US" w:eastAsia="zh-CN"/>
        </w:rPr>
        <w:t>0天</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color w:val="auto"/>
        </w:rPr>
      </w:pPr>
      <w:r>
        <w:rPr>
          <w:rFonts w:hint="eastAsia" w:ascii="仿宋" w:hAnsi="仿宋" w:eastAsia="仿宋" w:cs="仿宋"/>
          <w:color w:val="auto"/>
          <w:sz w:val="27"/>
          <w:szCs w:val="27"/>
        </w:rPr>
        <w:t>本项目（否）接受联合体投标。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Style w:val="24"/>
          <w:rFonts w:ascii="黑体" w:hAnsi="宋体" w:eastAsia="黑体" w:cs="黑体"/>
          <w:color w:val="auto"/>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7"/>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7"/>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7"/>
        <w:spacing w:line="360" w:lineRule="exact"/>
        <w:ind w:firstLine="540" w:firstLineChars="2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4"/>
          <w:rFonts w:ascii="黑体" w:hAnsi="宋体" w:eastAsia="黑体" w:cs="黑体"/>
          <w:color w:val="auto"/>
          <w:sz w:val="27"/>
          <w:szCs w:val="27"/>
        </w:rPr>
        <w:t>三、获取招标文件</w:t>
      </w:r>
      <w:r>
        <w:rPr>
          <w:rFonts w:ascii="黑体" w:hAnsi="宋体" w:eastAsia="黑体" w:cs="黑体"/>
          <w:color w:val="auto"/>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xml:space="preserve">    </w:t>
      </w:r>
      <w:r>
        <w:rPr>
          <w:rFonts w:hint="eastAsia" w:ascii="仿宋" w:hAnsi="仿宋" w:eastAsia="仿宋" w:cs="仿宋"/>
          <w:color w:val="auto"/>
          <w:sz w:val="27"/>
          <w:szCs w:val="27"/>
          <w:u w:val="none"/>
        </w:rPr>
        <w:t>时间：202</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12</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02</w:t>
      </w:r>
      <w:r>
        <w:rPr>
          <w:rFonts w:hint="eastAsia" w:ascii="仿宋" w:hAnsi="仿宋" w:eastAsia="仿宋" w:cs="仿宋"/>
          <w:color w:val="auto"/>
          <w:sz w:val="27"/>
          <w:szCs w:val="27"/>
          <w:u w:val="none"/>
        </w:rPr>
        <w:t>日至202</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12</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08</w:t>
      </w:r>
      <w:r>
        <w:rPr>
          <w:rFonts w:hint="eastAsia" w:ascii="仿宋" w:hAnsi="仿宋" w:eastAsia="仿宋" w:cs="仿宋"/>
          <w:color w:val="auto"/>
          <w:sz w:val="27"/>
          <w:szCs w:val="27"/>
          <w:u w:val="none"/>
        </w:rPr>
        <w:t>日 ，每天上午10:00至14:00 ，下午1</w:t>
      </w:r>
      <w:r>
        <w:rPr>
          <w:rFonts w:hint="eastAsia" w:ascii="仿宋" w:hAnsi="仿宋" w:eastAsia="仿宋" w:cs="仿宋"/>
          <w:color w:val="auto"/>
          <w:sz w:val="27"/>
          <w:szCs w:val="27"/>
          <w:u w:val="none"/>
          <w:lang w:val="en-US" w:eastAsia="zh-CN"/>
        </w:rPr>
        <w:t>5</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3</w:t>
      </w:r>
      <w:r>
        <w:rPr>
          <w:rFonts w:hint="eastAsia" w:ascii="仿宋" w:hAnsi="仿宋" w:eastAsia="仿宋" w:cs="仿宋"/>
          <w:color w:val="auto"/>
          <w:sz w:val="27"/>
          <w:szCs w:val="27"/>
          <w:u w:val="none"/>
        </w:rPr>
        <w:t>0至</w:t>
      </w:r>
      <w:r>
        <w:rPr>
          <w:rFonts w:hint="eastAsia" w:ascii="仿宋" w:hAnsi="仿宋" w:eastAsia="仿宋" w:cs="仿宋"/>
          <w:color w:val="auto"/>
          <w:sz w:val="27"/>
          <w:szCs w:val="27"/>
          <w:u w:val="none"/>
          <w:lang w:val="en-US" w:eastAsia="zh-CN"/>
        </w:rPr>
        <w:t>19</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3</w:t>
      </w:r>
      <w:r>
        <w:rPr>
          <w:rFonts w:hint="eastAsia" w:ascii="仿宋" w:hAnsi="仿宋" w:eastAsia="仿宋" w:cs="仿宋"/>
          <w:color w:val="auto"/>
          <w:sz w:val="27"/>
          <w:szCs w:val="27"/>
          <w:u w:val="none"/>
        </w:rPr>
        <w:t>0（北京时间，法定节假日除外）</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地点：伊宁市经济合作区北京路一品墅新房大厦10楼1004号</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方式：</w:t>
      </w:r>
      <w:r>
        <w:rPr>
          <w:rFonts w:hint="eastAsia" w:ascii="仿宋" w:hAnsi="仿宋" w:eastAsia="仿宋" w:cs="仿宋"/>
          <w:color w:val="auto"/>
          <w:sz w:val="27"/>
          <w:szCs w:val="27"/>
          <w:lang w:val="en-US" w:eastAsia="zh-CN"/>
        </w:rPr>
        <w:t>现场</w:t>
      </w:r>
      <w:r>
        <w:rPr>
          <w:rFonts w:hint="eastAsia" w:ascii="仿宋" w:hAnsi="仿宋" w:eastAsia="仿宋" w:cs="仿宋"/>
          <w:color w:val="auto"/>
          <w:sz w:val="27"/>
          <w:szCs w:val="27"/>
          <w:lang w:eastAsia="zh-CN"/>
        </w:rPr>
        <w:t>购买</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售价（元）：</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rPr>
        <w:t>00</w:t>
      </w:r>
      <w:r>
        <w:rPr>
          <w:rFonts w:hint="eastAsia" w:ascii="仿宋" w:hAnsi="仿宋" w:eastAsia="仿宋" w:cs="仿宋"/>
          <w:color w:val="auto"/>
        </w:rPr>
        <w:t> </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4"/>
          <w:rFonts w:ascii="黑体" w:hAnsi="宋体" w:eastAsia="黑体" w:cs="黑体"/>
          <w:color w:val="auto"/>
          <w:sz w:val="27"/>
          <w:szCs w:val="27"/>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 xml:space="preserve"> 提交投标文件截止时间：202</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12</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14</w:t>
      </w:r>
      <w:r>
        <w:rPr>
          <w:rFonts w:hint="eastAsia" w:ascii="仿宋" w:hAnsi="仿宋" w:eastAsia="仿宋" w:cs="仿宋"/>
          <w:color w:val="auto"/>
          <w:sz w:val="27"/>
          <w:szCs w:val="27"/>
          <w:u w:val="none"/>
        </w:rPr>
        <w:t>日 1</w:t>
      </w:r>
      <w:r>
        <w:rPr>
          <w:rFonts w:hint="eastAsia" w:ascii="仿宋" w:hAnsi="仿宋" w:eastAsia="仿宋" w:cs="仿宋"/>
          <w:color w:val="auto"/>
          <w:sz w:val="27"/>
          <w:szCs w:val="27"/>
          <w:u w:val="none"/>
          <w:lang w:val="en-US" w:eastAsia="zh-CN"/>
        </w:rPr>
        <w:t>5</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3</w:t>
      </w:r>
      <w:r>
        <w:rPr>
          <w:rFonts w:hint="eastAsia" w:ascii="仿宋" w:hAnsi="仿宋" w:eastAsia="仿宋" w:cs="仿宋"/>
          <w:color w:val="auto"/>
          <w:sz w:val="27"/>
          <w:szCs w:val="27"/>
          <w:u w:val="none"/>
        </w:rPr>
        <w:t>0（北京时间）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 xml:space="preserve"> 投标地点：</w:t>
      </w:r>
      <w:r>
        <w:rPr>
          <w:rFonts w:hint="eastAsia" w:ascii="仿宋" w:hAnsi="仿宋" w:eastAsia="仿宋" w:cs="仿宋"/>
          <w:color w:val="auto"/>
          <w:sz w:val="27"/>
          <w:szCs w:val="27"/>
        </w:rPr>
        <w:t>伊宁市经济合作区北京路一品墅新房大厦10楼1004号</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u w:val="none"/>
        </w:rPr>
        <w:t>    开标时间：202</w:t>
      </w:r>
      <w:r>
        <w:rPr>
          <w:rFonts w:hint="eastAsia" w:ascii="仿宋" w:hAnsi="仿宋" w:eastAsia="仿宋" w:cs="仿宋"/>
          <w:color w:val="auto"/>
          <w:sz w:val="27"/>
          <w:szCs w:val="27"/>
          <w:u w:val="none"/>
          <w:lang w:val="en-US" w:eastAsia="zh-CN"/>
        </w:rPr>
        <w:t>1</w:t>
      </w:r>
      <w:r>
        <w:rPr>
          <w:rFonts w:hint="eastAsia" w:ascii="仿宋" w:hAnsi="仿宋" w:eastAsia="仿宋" w:cs="仿宋"/>
          <w:color w:val="auto"/>
          <w:sz w:val="27"/>
          <w:szCs w:val="27"/>
          <w:u w:val="none"/>
        </w:rPr>
        <w:t>年</w:t>
      </w:r>
      <w:r>
        <w:rPr>
          <w:rFonts w:hint="eastAsia" w:ascii="仿宋" w:hAnsi="仿宋" w:eastAsia="仿宋" w:cs="仿宋"/>
          <w:color w:val="auto"/>
          <w:sz w:val="27"/>
          <w:szCs w:val="27"/>
          <w:u w:val="none"/>
          <w:lang w:val="en-US" w:eastAsia="zh-CN"/>
        </w:rPr>
        <w:t>12</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14</w:t>
      </w:r>
      <w:r>
        <w:rPr>
          <w:rFonts w:hint="eastAsia" w:ascii="仿宋" w:hAnsi="仿宋" w:eastAsia="仿宋" w:cs="仿宋"/>
          <w:color w:val="auto"/>
          <w:sz w:val="27"/>
          <w:szCs w:val="27"/>
          <w:u w:val="none"/>
        </w:rPr>
        <w:t>日 1</w:t>
      </w:r>
      <w:r>
        <w:rPr>
          <w:rFonts w:hint="eastAsia" w:ascii="仿宋" w:hAnsi="仿宋" w:eastAsia="仿宋" w:cs="仿宋"/>
          <w:color w:val="auto"/>
          <w:sz w:val="27"/>
          <w:szCs w:val="27"/>
          <w:u w:val="none"/>
          <w:lang w:val="en-US" w:eastAsia="zh-CN"/>
        </w:rPr>
        <w:t>5</w:t>
      </w:r>
      <w:r>
        <w:rPr>
          <w:rFonts w:hint="eastAsia" w:ascii="仿宋" w:hAnsi="仿宋" w:eastAsia="仿宋" w:cs="仿宋"/>
          <w:color w:val="auto"/>
          <w:sz w:val="27"/>
          <w:szCs w:val="27"/>
          <w:u w:val="none"/>
        </w:rPr>
        <w:t>:</w:t>
      </w:r>
      <w:r>
        <w:rPr>
          <w:rFonts w:hint="eastAsia" w:ascii="仿宋" w:hAnsi="仿宋" w:eastAsia="仿宋" w:cs="仿宋"/>
          <w:color w:val="auto"/>
          <w:sz w:val="27"/>
          <w:szCs w:val="27"/>
          <w:u w:val="none"/>
          <w:lang w:val="en-US" w:eastAsia="zh-CN"/>
        </w:rPr>
        <w:t>3</w:t>
      </w:r>
      <w:r>
        <w:rPr>
          <w:rFonts w:hint="eastAsia" w:ascii="仿宋" w:hAnsi="仿宋" w:eastAsia="仿宋" w:cs="仿宋"/>
          <w:color w:val="auto"/>
          <w:sz w:val="27"/>
          <w:szCs w:val="27"/>
          <w:u w:val="none"/>
        </w:rPr>
        <w:t>0</w:t>
      </w:r>
      <w:r>
        <w:rPr>
          <w:rFonts w:hint="eastAsia" w:ascii="仿宋" w:hAnsi="仿宋" w:eastAsia="仿宋" w:cs="仿宋"/>
          <w:color w:val="auto"/>
        </w:rPr>
        <w:t> </w:t>
      </w:r>
      <w:r>
        <w:rPr>
          <w:rFonts w:hint="eastAsia" w:ascii="仿宋" w:hAnsi="仿宋" w:eastAsia="仿宋" w:cs="仿宋"/>
          <w:color w:val="auto"/>
          <w:sz w:val="27"/>
          <w:szCs w:val="27"/>
          <w:u w:val="none"/>
        </w:rPr>
        <w:t>（北京时间）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u w:val="none"/>
        </w:rPr>
        <w:t>    开标地点：</w:t>
      </w:r>
      <w:r>
        <w:rPr>
          <w:rFonts w:hint="eastAsia" w:ascii="仿宋" w:hAnsi="仿宋" w:eastAsia="仿宋" w:cs="仿宋"/>
          <w:color w:val="auto"/>
          <w:sz w:val="27"/>
          <w:szCs w:val="27"/>
        </w:rPr>
        <w:t>伊宁市经济合作区北京路一品墅新房大厦10楼1004号</w:t>
      </w:r>
      <w:r>
        <w:rPr>
          <w:rFonts w:hint="eastAsia" w:ascii="仿宋" w:hAnsi="仿宋" w:eastAsia="仿宋" w:cs="仿宋"/>
          <w:color w:val="auto"/>
        </w:rPr>
        <w:t>  </w:t>
      </w:r>
    </w:p>
    <w:p>
      <w:pPr>
        <w:pStyle w:val="17"/>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31"/>
          <w:szCs w:val="31"/>
        </w:rPr>
      </w:pPr>
      <w:r>
        <w:rPr>
          <w:rStyle w:val="24"/>
          <w:rFonts w:ascii="黑体" w:hAnsi="宋体" w:eastAsia="黑体" w:cs="黑体"/>
          <w:color w:val="auto"/>
          <w:sz w:val="27"/>
          <w:szCs w:val="27"/>
        </w:rPr>
        <w:t>公告期限</w:t>
      </w:r>
      <w:r>
        <w:rPr>
          <w:rFonts w:ascii="黑体" w:hAnsi="宋体" w:eastAsia="黑体" w:cs="黑体"/>
          <w:color w:val="auto"/>
          <w:sz w:val="31"/>
          <w:szCs w:val="31"/>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rPr>
      </w:pPr>
      <w:r>
        <w:rPr>
          <w:rFonts w:hint="eastAsia" w:ascii="仿宋" w:hAnsi="仿宋" w:eastAsia="仿宋" w:cs="仿宋"/>
          <w:color w:val="auto"/>
          <w:sz w:val="27"/>
          <w:szCs w:val="27"/>
        </w:rPr>
        <w:t>    自本公告发布之日起</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rPr>
        <w:t>个工作日。</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7"/>
          <w:szCs w:val="27"/>
        </w:rPr>
      </w:pPr>
      <w:r>
        <w:rPr>
          <w:rStyle w:val="24"/>
          <w:rFonts w:ascii="黑体" w:hAnsi="宋体" w:eastAsia="黑体" w:cs="黑体"/>
          <w:color w:val="auto"/>
          <w:sz w:val="27"/>
          <w:szCs w:val="27"/>
        </w:rPr>
        <w:t>六、其他补充事宜</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lang w:eastAsia="zh-CN"/>
        </w:rPr>
        <w:t> </w:t>
      </w:r>
      <w:r>
        <w:rPr>
          <w:rFonts w:hint="eastAsia" w:ascii="仿宋" w:hAnsi="仿宋" w:eastAsia="仿宋" w:cs="仿宋"/>
          <w:color w:val="auto"/>
          <w:sz w:val="27"/>
          <w:szCs w:val="27"/>
        </w:rPr>
        <w:t>须提供的证明材料：法定代表人授权委托书、委托人身份证、营业执照、“信用中国”网站（www.creditchina.gov.cn）、“中国政府采购网”（www.ccgp.gov.cn）查询结果截图（日期必须在发布公告日期之后）。</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b/>
          <w:bCs/>
          <w:color w:val="auto"/>
          <w:sz w:val="27"/>
          <w:szCs w:val="27"/>
          <w:lang w:eastAsia="zh-CN"/>
        </w:rPr>
        <w:t>注明：以上证件资料需携带原件备查,资料不全不予</w:t>
      </w:r>
      <w:r>
        <w:rPr>
          <w:rFonts w:hint="eastAsia" w:ascii="仿宋" w:hAnsi="仿宋" w:eastAsia="仿宋" w:cs="仿宋"/>
          <w:b/>
          <w:bCs/>
          <w:color w:val="auto"/>
          <w:sz w:val="27"/>
          <w:szCs w:val="27"/>
          <w:lang w:val="en-US" w:eastAsia="zh-CN"/>
        </w:rPr>
        <w:t>购买</w:t>
      </w:r>
      <w:r>
        <w:rPr>
          <w:rFonts w:hint="eastAsia" w:ascii="仿宋" w:hAnsi="仿宋" w:eastAsia="仿宋" w:cs="仿宋"/>
          <w:b/>
          <w:bCs/>
          <w:color w:val="auto"/>
          <w:sz w:val="27"/>
          <w:szCs w:val="27"/>
          <w:lang w:eastAsia="zh-CN"/>
        </w:rPr>
        <w:t>。并提供加盖投标单位公章的复印件</w:t>
      </w:r>
      <w:r>
        <w:rPr>
          <w:rFonts w:hint="eastAsia" w:ascii="仿宋" w:hAnsi="仿宋" w:eastAsia="仿宋" w:cs="仿宋"/>
          <w:b/>
          <w:bCs/>
          <w:color w:val="auto"/>
          <w:sz w:val="27"/>
          <w:szCs w:val="27"/>
          <w:lang w:val="en-US" w:eastAsia="zh-CN"/>
        </w:rPr>
        <w:t>二</w:t>
      </w:r>
      <w:r>
        <w:rPr>
          <w:rFonts w:hint="eastAsia" w:ascii="仿宋" w:hAnsi="仿宋" w:eastAsia="仿宋" w:cs="仿宋"/>
          <w:b/>
          <w:bCs/>
          <w:color w:val="auto"/>
          <w:sz w:val="27"/>
          <w:szCs w:val="27"/>
          <w:lang w:eastAsia="zh-CN"/>
        </w:rPr>
        <w:t>份。</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31"/>
          <w:szCs w:val="31"/>
        </w:rPr>
      </w:pPr>
      <w:r>
        <w:rPr>
          <w:rStyle w:val="24"/>
          <w:rFonts w:ascii="黑体" w:hAnsi="宋体" w:eastAsia="黑体" w:cs="黑体"/>
          <w:color w:val="auto"/>
          <w:sz w:val="27"/>
          <w:szCs w:val="27"/>
        </w:rPr>
        <w:t>七、对本次采购提出询问，请按以下方式联系</w:t>
      </w:r>
    </w:p>
    <w:p>
      <w:pPr>
        <w:pStyle w:val="17"/>
        <w:spacing w:line="300" w:lineRule="exact"/>
        <w:rPr>
          <w:rFonts w:ascii="仿宋" w:hAnsi="仿宋" w:eastAsia="仿宋" w:cs="仿宋"/>
          <w:color w:val="auto"/>
          <w:sz w:val="27"/>
          <w:szCs w:val="27"/>
        </w:rPr>
      </w:pPr>
      <w:r>
        <w:rPr>
          <w:rFonts w:hint="eastAsia" w:ascii="仿宋" w:hAnsi="仿宋" w:eastAsia="仿宋" w:cs="仿宋"/>
          <w:color w:val="auto"/>
          <w:sz w:val="27"/>
          <w:szCs w:val="27"/>
        </w:rPr>
        <w:t xml:space="preserve"> 1.采购人信息</w:t>
      </w:r>
    </w:p>
    <w:p>
      <w:pPr>
        <w:pStyle w:val="17"/>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称：特克斯县妇幼保健计划生育服务中心</w:t>
      </w:r>
    </w:p>
    <w:p>
      <w:pPr>
        <w:pStyle w:val="17"/>
        <w:spacing w:line="300" w:lineRule="exact"/>
        <w:rPr>
          <w:rFonts w:hint="eastAsia" w:ascii="仿宋" w:hAnsi="仿宋" w:eastAsia="仿宋" w:cs="仿宋"/>
          <w:color w:val="auto"/>
          <w:sz w:val="27"/>
          <w:szCs w:val="27"/>
          <w:lang w:eastAsia="zh-CN"/>
        </w:rPr>
      </w:pPr>
      <w:r>
        <w:rPr>
          <w:rFonts w:hint="eastAsia" w:ascii="仿宋" w:hAnsi="仿宋" w:eastAsia="仿宋" w:cs="仿宋"/>
          <w:color w:val="auto"/>
          <w:sz w:val="27"/>
          <w:szCs w:val="27"/>
        </w:rPr>
        <w:t>    地    址：特克斯县特克斯镇阔克阿尕什街四环</w:t>
      </w:r>
      <w:bookmarkStart w:id="451" w:name="_GoBack"/>
      <w:bookmarkEnd w:id="451"/>
    </w:p>
    <w:p>
      <w:pPr>
        <w:pStyle w:val="17"/>
        <w:spacing w:line="300" w:lineRule="exact"/>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    项目联系方式：</w:t>
      </w:r>
      <w:r>
        <w:rPr>
          <w:rFonts w:hint="eastAsia" w:ascii="仿宋" w:hAnsi="仿宋" w:eastAsia="仿宋" w:cs="仿宋"/>
          <w:color w:val="auto"/>
          <w:sz w:val="27"/>
          <w:szCs w:val="27"/>
          <w:lang w:val="en-US" w:eastAsia="zh-CN"/>
        </w:rPr>
        <w:t>13199995669</w:t>
      </w:r>
    </w:p>
    <w:p>
      <w:pPr>
        <w:pStyle w:val="17"/>
        <w:spacing w:line="300" w:lineRule="exact"/>
        <w:rPr>
          <w:rFonts w:ascii="仿宋" w:hAnsi="仿宋" w:eastAsia="仿宋" w:cs="仿宋"/>
          <w:color w:val="auto"/>
          <w:sz w:val="27"/>
          <w:szCs w:val="27"/>
        </w:rPr>
      </w:pPr>
      <w:r>
        <w:rPr>
          <w:rFonts w:hint="eastAsia" w:ascii="仿宋" w:hAnsi="仿宋" w:eastAsia="仿宋" w:cs="仿宋"/>
          <w:color w:val="auto"/>
          <w:sz w:val="27"/>
          <w:szCs w:val="27"/>
        </w:rPr>
        <w:t>    2.采购代理机构信息            </w:t>
      </w:r>
    </w:p>
    <w:p>
      <w:pPr>
        <w:pStyle w:val="17"/>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称：新疆华域建设工程项目管理咨询有限公司           </w:t>
      </w:r>
    </w:p>
    <w:p>
      <w:pPr>
        <w:pStyle w:val="17"/>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地    址：伊宁市经济合作区北京路一品墅新房大厦10楼1004号               </w:t>
      </w:r>
    </w:p>
    <w:p>
      <w:pPr>
        <w:spacing w:line="300" w:lineRule="exact"/>
        <w:rPr>
          <w:rFonts w:hint="default" w:ascii="宋体" w:hAnsi="宋体" w:eastAsia="仿宋"/>
          <w:color w:val="auto"/>
          <w:kern w:val="0"/>
          <w:sz w:val="24"/>
          <w:szCs w:val="24"/>
          <w:lang w:val="en-US" w:eastAsia="zh-CN"/>
        </w:rPr>
      </w:pPr>
      <w:r>
        <w:rPr>
          <w:rFonts w:hint="eastAsia" w:ascii="仿宋" w:hAnsi="仿宋" w:eastAsia="仿宋" w:cs="仿宋"/>
          <w:color w:val="auto"/>
          <w:sz w:val="27"/>
          <w:szCs w:val="27"/>
        </w:rPr>
        <w:t>    项目联系方式：</w:t>
      </w:r>
      <w:r>
        <w:rPr>
          <w:rFonts w:hint="eastAsia" w:ascii="仿宋" w:hAnsi="仿宋" w:eastAsia="仿宋" w:cs="仿宋"/>
          <w:color w:val="auto"/>
          <w:sz w:val="27"/>
          <w:szCs w:val="27"/>
          <w:lang w:val="en-US" w:eastAsia="zh-CN"/>
        </w:rPr>
        <w:t>18690293446</w:t>
      </w:r>
    </w:p>
    <w:p/>
    <w:p>
      <w:pPr>
        <w:rPr>
          <w:color w:val="auto"/>
        </w:rPr>
      </w:pPr>
    </w:p>
    <w:p>
      <w:pPr>
        <w:rPr>
          <w:color w:val="auto"/>
        </w:rPr>
      </w:pPr>
    </w:p>
    <w:p>
      <w:pPr>
        <w:rPr>
          <w:color w:val="auto"/>
        </w:rPr>
      </w:pP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7"/>
          <w:szCs w:val="27"/>
          <w:u w:val="none"/>
          <w:lang w:val="en-US" w:eastAsia="zh-CN"/>
        </w:rPr>
      </w:pPr>
    </w:p>
    <w:p>
      <w:pPr>
        <w:pStyle w:val="4"/>
        <w:keepLines w:val="0"/>
        <w:spacing w:before="0" w:after="0" w:line="360" w:lineRule="auto"/>
        <w:ind w:right="-441" w:rightChars="-210"/>
        <w:jc w:val="center"/>
        <w:rPr>
          <w:rFonts w:hAnsi="宋体"/>
          <w:color w:val="auto"/>
          <w:kern w:val="2"/>
          <w:sz w:val="48"/>
          <w:szCs w:val="48"/>
        </w:rPr>
      </w:pPr>
      <w:bookmarkStart w:id="3" w:name="_Toc14165"/>
    </w:p>
    <w:p>
      <w:pPr>
        <w:rPr>
          <w:rFonts w:hAnsi="宋体"/>
          <w:color w:val="auto"/>
          <w:kern w:val="2"/>
          <w:sz w:val="48"/>
          <w:szCs w:val="48"/>
        </w:rPr>
      </w:pPr>
    </w:p>
    <w:p>
      <w:pPr>
        <w:pStyle w:val="18"/>
        <w:rPr>
          <w:rFonts w:hAnsi="宋体"/>
          <w:color w:val="auto"/>
          <w:kern w:val="2"/>
          <w:sz w:val="48"/>
          <w:szCs w:val="48"/>
        </w:rPr>
      </w:pPr>
    </w:p>
    <w:p>
      <w:pPr>
        <w:pStyle w:val="18"/>
        <w:rPr>
          <w:rFonts w:hAnsi="宋体"/>
          <w:color w:val="auto"/>
          <w:kern w:val="2"/>
          <w:sz w:val="48"/>
          <w:szCs w:val="48"/>
        </w:rPr>
      </w:pPr>
    </w:p>
    <w:p>
      <w:pPr>
        <w:pStyle w:val="4"/>
        <w:keepLines w:val="0"/>
        <w:spacing w:before="0" w:after="0" w:line="360" w:lineRule="auto"/>
        <w:ind w:right="-441" w:rightChars="-210"/>
        <w:jc w:val="both"/>
        <w:rPr>
          <w:rFonts w:hAnsi="宋体"/>
          <w:color w:val="auto"/>
          <w:kern w:val="2"/>
          <w:sz w:val="48"/>
          <w:szCs w:val="48"/>
        </w:rPr>
      </w:pPr>
    </w:p>
    <w:p>
      <w:pPr>
        <w:rPr>
          <w:rFonts w:hAnsi="宋体"/>
          <w:color w:val="auto"/>
          <w:kern w:val="2"/>
          <w:sz w:val="48"/>
          <w:szCs w:val="48"/>
        </w:rPr>
      </w:pPr>
    </w:p>
    <w:p>
      <w:pPr>
        <w:pStyle w:val="18"/>
        <w:rPr>
          <w:color w:val="auto"/>
        </w:rPr>
      </w:pPr>
    </w:p>
    <w:p>
      <w:pPr>
        <w:pStyle w:val="4"/>
        <w:keepLines w:val="0"/>
        <w:spacing w:before="0" w:after="0" w:line="360" w:lineRule="auto"/>
        <w:ind w:right="-441" w:rightChars="-210"/>
        <w:jc w:val="center"/>
        <w:rPr>
          <w:rFonts w:hAnsi="宋体"/>
          <w:b w:val="0"/>
          <w:bCs w:val="0"/>
          <w:color w:val="auto"/>
          <w:sz w:val="32"/>
        </w:rPr>
      </w:pPr>
      <w:r>
        <w:rPr>
          <w:rFonts w:hAnsi="宋体"/>
          <w:color w:val="auto"/>
          <w:kern w:val="2"/>
          <w:sz w:val="48"/>
          <w:szCs w:val="48"/>
        </w:rPr>
        <w:t>第二章</w:t>
      </w:r>
      <w:r>
        <w:rPr>
          <w:color w:val="auto"/>
          <w:kern w:val="2"/>
          <w:sz w:val="48"/>
          <w:szCs w:val="48"/>
        </w:rPr>
        <w:t xml:space="preserve">  </w:t>
      </w:r>
      <w:r>
        <w:rPr>
          <w:rFonts w:hAnsi="宋体"/>
          <w:color w:val="auto"/>
          <w:kern w:val="2"/>
          <w:sz w:val="48"/>
          <w:szCs w:val="48"/>
        </w:rPr>
        <w:t>投标人须知</w:t>
      </w:r>
      <w:bookmarkEnd w:id="0"/>
      <w:bookmarkEnd w:id="1"/>
      <w:bookmarkEnd w:id="2"/>
      <w:bookmarkEnd w:id="3"/>
      <w:bookmarkStart w:id="4" w:name="_Toc19085"/>
      <w:bookmarkStart w:id="5" w:name="_Toc243743353"/>
      <w:bookmarkStart w:id="6" w:name="_Toc185747578"/>
      <w:bookmarkStart w:id="7" w:name="_Toc272350606"/>
      <w:bookmarkStart w:id="8" w:name="_Toc243923367"/>
      <w:bookmarkStart w:id="9" w:name="_Toc278958158"/>
      <w:bookmarkStart w:id="10" w:name="_Toc279046865"/>
      <w:bookmarkStart w:id="11" w:name="_Toc245203880"/>
      <w:bookmarkStart w:id="12" w:name="_Toc209258272"/>
      <w:bookmarkStart w:id="13" w:name="_Toc271105676"/>
      <w:bookmarkStart w:id="14" w:name="_Toc49082409"/>
      <w:bookmarkStart w:id="15" w:name="_Toc226521692"/>
      <w:bookmarkStart w:id="16" w:name="_Toc226966680"/>
      <w:bookmarkStart w:id="17" w:name="_Toc49135195"/>
      <w:bookmarkStart w:id="18" w:name="_Toc277758485"/>
      <w:bookmarkStart w:id="19" w:name="_Toc191353014"/>
    </w:p>
    <w:p>
      <w:pPr>
        <w:pStyle w:val="4"/>
        <w:keepLines w:val="0"/>
        <w:spacing w:before="0" w:after="0" w:line="360" w:lineRule="auto"/>
        <w:ind w:right="-441" w:rightChars="-210"/>
        <w:jc w:val="center"/>
        <w:rPr>
          <w:rFonts w:hint="eastAsia" w:hAnsi="宋体" w:eastAsia="宋体"/>
          <w:b w:val="0"/>
          <w:bCs w:val="0"/>
          <w:color w:val="auto"/>
          <w:sz w:val="32"/>
          <w:lang w:val="en-US" w:eastAsia="zh-CN"/>
        </w:rPr>
      </w:pPr>
      <w:r>
        <w:rPr>
          <w:rFonts w:hAnsi="宋体"/>
          <w:b w:val="0"/>
          <w:bCs w:val="0"/>
          <w:color w:val="auto"/>
          <w:sz w:val="32"/>
        </w:rPr>
        <w:t>投标人须知</w:t>
      </w:r>
      <w:r>
        <w:rPr>
          <w:rFonts w:hint="eastAsia" w:hAnsi="宋体"/>
          <w:b w:val="0"/>
          <w:bCs w:val="0"/>
          <w:color w:val="auto"/>
          <w:sz w:val="32"/>
          <w:lang w:eastAsia="zh-CN"/>
        </w:rPr>
        <w:t>前附表</w:t>
      </w:r>
    </w:p>
    <w:tbl>
      <w:tblPr>
        <w:tblStyle w:val="20"/>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124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特克斯县妇幼保健计划生育服务中心污水处理改造及安装医疗污水水质在线监测系统采购项目</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   购   人</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特克斯县妇幼保健计划生育服务中心</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磋商文</w:t>
            </w:r>
            <w:r>
              <w:rPr>
                <w:rFonts w:hint="eastAsia" w:ascii="仿宋" w:hAnsi="仿宋" w:eastAsia="仿宋" w:cs="仿宋"/>
                <w:color w:val="auto"/>
                <w:sz w:val="24"/>
                <w:szCs w:val="24"/>
                <w:lang w:val="en-US" w:eastAsia="zh-CN"/>
              </w:rPr>
              <w:t>件编号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HYZB-2021-120</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已到位</w:t>
            </w:r>
          </w:p>
        </w:tc>
      </w:tr>
      <w:tr>
        <w:tblPrEx>
          <w:tblCellMar>
            <w:top w:w="0" w:type="dxa"/>
            <w:left w:w="0" w:type="dxa"/>
            <w:bottom w:w="0" w:type="dxa"/>
            <w:right w:w="0" w:type="dxa"/>
          </w:tblCellMar>
        </w:tblPrEx>
        <w:trPr>
          <w:trHeight w:val="561"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购</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内</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容</w:t>
            </w:r>
          </w:p>
        </w:tc>
        <w:tc>
          <w:tcPr>
            <w:tcW w:w="7867" w:type="dxa"/>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污水处理改造及安装医疗污水水质在线监测系统</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投标供应</w:t>
            </w:r>
          </w:p>
          <w:p>
            <w:pPr>
              <w:tabs>
                <w:tab w:val="left" w:pos="437"/>
              </w:tabs>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商资格要求</w:t>
            </w:r>
          </w:p>
          <w:p>
            <w:pPr>
              <w:tabs>
                <w:tab w:val="left" w:pos="437"/>
              </w:tabs>
              <w:spacing w:line="500" w:lineRule="exact"/>
              <w:jc w:val="center"/>
              <w:rPr>
                <w:rFonts w:hint="eastAsia" w:ascii="仿宋" w:hAnsi="仿宋" w:eastAsia="仿宋" w:cs="仿宋"/>
                <w:color w:val="auto"/>
                <w:sz w:val="24"/>
                <w:szCs w:val="24"/>
                <w:highlight w:val="none"/>
                <w:lang w:val="zh-CN"/>
              </w:rPr>
            </w:pPr>
          </w:p>
        </w:tc>
        <w:tc>
          <w:tcPr>
            <w:tcW w:w="7867" w:type="dxa"/>
            <w:tcBorders>
              <w:top w:val="single" w:color="auto" w:sz="6" w:space="0"/>
              <w:left w:val="nil"/>
              <w:bottom w:val="single" w:color="auto" w:sz="4" w:space="0"/>
              <w:right w:val="single" w:color="000000" w:sz="6" w:space="0"/>
            </w:tcBorders>
            <w:noWrap w:val="0"/>
            <w:vAlign w:val="center"/>
          </w:tcPr>
          <w:p>
            <w:p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（一）满足《中华人民共和国政府采购法》第二十二条的相关规定；</w:t>
            </w:r>
          </w:p>
          <w:p>
            <w:p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（二）有效的“一证一码”或“三证合一”的营业执照；</w:t>
            </w:r>
          </w:p>
          <w:p>
            <w:p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spacing w:line="500" w:lineRule="exact"/>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val="zh-CN" w:eastAsia="zh-CN"/>
              </w:rPr>
              <w:t>）本项目不接受联合体投标。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服务地点</w:t>
            </w:r>
          </w:p>
        </w:tc>
        <w:tc>
          <w:tcPr>
            <w:tcW w:w="7867" w:type="dxa"/>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采购人指定定点</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样    品</w:t>
            </w:r>
          </w:p>
        </w:tc>
        <w:tc>
          <w:tcPr>
            <w:tcW w:w="7867" w:type="dxa"/>
            <w:tcBorders>
              <w:top w:val="single" w:color="auto" w:sz="4" w:space="0"/>
              <w:left w:val="nil"/>
              <w:right w:val="single" w:color="000000" w:sz="6" w:space="0"/>
            </w:tcBorders>
            <w:noWrap w:val="0"/>
            <w:vAlign w:val="center"/>
          </w:tcPr>
          <w:p>
            <w:pPr>
              <w:spacing w:line="50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不携带样品</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FF0000"/>
                <w:sz w:val="24"/>
                <w:szCs w:val="24"/>
                <w:highlight w:val="none"/>
                <w:lang w:val="zh-CN"/>
              </w:rPr>
            </w:pPr>
            <w:r>
              <w:rPr>
                <w:rFonts w:hint="eastAsia" w:ascii="仿宋" w:hAnsi="仿宋" w:eastAsia="仿宋" w:cs="仿宋"/>
                <w:color w:val="FF0000"/>
                <w:sz w:val="24"/>
                <w:szCs w:val="24"/>
                <w:highlight w:val="none"/>
                <w:lang w:val="zh-CN"/>
              </w:rPr>
              <w:t>合同履约期限</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20天</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质 保 期</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1年</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tcBorders>
              <w:top w:val="single" w:color="auto" w:sz="6" w:space="0"/>
              <w:left w:val="nil"/>
              <w:bottom w:val="single" w:color="auto" w:sz="6" w:space="0"/>
              <w:right w:val="single" w:color="000000" w:sz="6" w:space="0"/>
            </w:tcBorders>
            <w:noWrap w:val="0"/>
            <w:vAlign w:val="center"/>
          </w:tcPr>
          <w:p>
            <w:pPr>
              <w:pStyle w:val="13"/>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color w:val="auto"/>
                <w:sz w:val="24"/>
                <w:szCs w:val="24"/>
                <w:u w:val="single"/>
                <w:lang w:val="en-US" w:eastAsia="zh-CN"/>
              </w:rPr>
              <w:t>10000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val="en-US" w:eastAsia="zh-CN"/>
              </w:rPr>
              <w:t>壹万元整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val="en-US"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注：以电汇方式递交投标保证金须在电汇凭据附言栏中写明项目编号、包号及用途(保证金)，由于未按要求注明信息而导致的一切后果由投标人承担。</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付款方式</w:t>
            </w:r>
          </w:p>
        </w:tc>
        <w:tc>
          <w:tcPr>
            <w:tcW w:w="7867" w:type="dxa"/>
            <w:tcBorders>
              <w:top w:val="single" w:color="auto" w:sz="6" w:space="0"/>
              <w:left w:val="nil"/>
              <w:bottom w:val="single" w:color="auto" w:sz="6" w:space="0"/>
              <w:right w:val="single" w:color="000000" w:sz="6" w:space="0"/>
            </w:tcBorders>
            <w:noWrap w:val="0"/>
            <w:vAlign w:val="top"/>
          </w:tcPr>
          <w:p>
            <w:pPr>
              <w:spacing w:line="36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投标文件份数</w:t>
            </w:r>
          </w:p>
        </w:tc>
        <w:tc>
          <w:tcPr>
            <w:tcW w:w="7867" w:type="dxa"/>
            <w:tcBorders>
              <w:top w:val="single" w:color="auto" w:sz="6" w:space="0"/>
              <w:left w:val="nil"/>
              <w:bottom w:val="single" w:color="auto" w:sz="6" w:space="0"/>
              <w:right w:val="single" w:color="000000" w:sz="6" w:space="0"/>
            </w:tcBorders>
            <w:noWrap w:val="0"/>
            <w:vAlign w:val="top"/>
          </w:tcPr>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投标文件递交地点</w:t>
            </w:r>
          </w:p>
        </w:tc>
        <w:tc>
          <w:tcPr>
            <w:tcW w:w="7867" w:type="dxa"/>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伊宁市经济合作区北京路一品墅新房大厦10楼1004号</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15:30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15:30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、法定代表人参加时提供：身份证原件，或委托代理人参加时提供：身份证原件、法定代表人身份证明、授权委托书原件；</w:t>
            </w:r>
          </w:p>
          <w:p>
            <w:pPr>
              <w:pStyle w:val="2"/>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4、投标保证金汇款凭证。</w:t>
            </w:r>
          </w:p>
          <w:p>
            <w:pPr>
              <w:pStyle w:val="2"/>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答疑</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若有代理公司将在投标截止前5日通知各投标人</w:t>
            </w:r>
          </w:p>
          <w:p>
            <w:pPr>
              <w:numPr>
                <w:ilvl w:val="0"/>
                <w:numId w:val="4"/>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highlight w:val="none"/>
                <w:u w:val="none"/>
                <w:lang w:val="zh-CN" w:eastAsia="zh-CN"/>
              </w:rPr>
              <w:t>磋商文件的澄清、修改及补正</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320"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节能、环保</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采购产品为最新《节能产品政府采购清单》内非标记★符号的节能产品及《环境标志产品政府采购清单》的产品：</w:t>
            </w:r>
          </w:p>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0" w:type="dxa"/>
            <w:bottom w:w="0" w:type="dxa"/>
            <w:right w:w="0" w:type="dxa"/>
          </w:tblCellMar>
        </w:tblPrEx>
        <w:trPr>
          <w:trHeight w:val="1037" w:hRule="atLeast"/>
        </w:trPr>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小、微企业</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87"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低于成本价不正当竞争预防措施</w:t>
            </w:r>
          </w:p>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6"/>
        <w:keepLines/>
        <w:numPr>
          <w:ilvl w:val="0"/>
          <w:numId w:val="5"/>
        </w:numPr>
        <w:spacing w:before="260" w:after="260" w:line="400" w:lineRule="exact"/>
        <w:rPr>
          <w:rFonts w:ascii="Times New Roman" w:hAnsi="Times New Roman"/>
          <w:bCs w:val="0"/>
          <w:color w:val="auto"/>
          <w:sz w:val="28"/>
        </w:rPr>
      </w:pPr>
      <w:r>
        <w:rPr>
          <w:rFonts w:hint="eastAsia" w:ascii="Times New Roman"/>
          <w:bCs w:val="0"/>
          <w:color w:val="auto"/>
          <w:sz w:val="28"/>
          <w:lang w:val="en-US" w:eastAsia="zh-CN"/>
        </w:rPr>
        <w:t xml:space="preserve"> </w:t>
      </w:r>
      <w:r>
        <w:rPr>
          <w:rFonts w:ascii="Times New Roman"/>
          <w:bCs w:val="0"/>
          <w:color w:val="auto"/>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5"/>
        </w:numPr>
        <w:tabs>
          <w:tab w:val="left" w:pos="525"/>
          <w:tab w:val="left" w:pos="630"/>
        </w:tabs>
        <w:spacing w:line="480" w:lineRule="auto"/>
        <w:outlineLvl w:val="3"/>
        <w:rPr>
          <w:rFonts w:hint="eastAsia" w:hAnsi="宋体" w:eastAsia="宋体"/>
          <w:color w:val="auto"/>
          <w:sz w:val="24"/>
          <w:lang w:eastAsia="zh-CN"/>
        </w:rPr>
      </w:pPr>
      <w:r>
        <w:rPr>
          <w:rFonts w:hint="eastAsia" w:hAnsi="宋体"/>
          <w:b/>
          <w:bCs/>
          <w:color w:val="auto"/>
          <w:sz w:val="24"/>
          <w:lang w:val="en-US" w:eastAsia="zh-CN"/>
        </w:rPr>
        <w:t>采购预算</w:t>
      </w:r>
      <w:r>
        <w:rPr>
          <w:rFonts w:hint="eastAsia" w:hAnsi="宋体"/>
          <w:b/>
          <w:bCs/>
          <w:color w:val="auto"/>
          <w:sz w:val="24"/>
        </w:rPr>
        <w:t>：</w:t>
      </w:r>
      <w:r>
        <w:rPr>
          <w:rFonts w:hint="eastAsia" w:hAnsi="宋体"/>
          <w:b/>
          <w:bCs/>
          <w:color w:val="auto"/>
          <w:sz w:val="24"/>
          <w:lang w:val="en-US" w:eastAsia="zh-CN"/>
        </w:rPr>
        <w:t>510000</w:t>
      </w:r>
      <w:r>
        <w:rPr>
          <w:rFonts w:hint="eastAsia" w:hAnsi="宋体"/>
          <w:color w:val="auto"/>
          <w:sz w:val="24"/>
          <w:lang w:val="en-US" w:eastAsia="zh-CN"/>
        </w:rPr>
        <w:t>元。</w:t>
      </w:r>
    </w:p>
    <w:p>
      <w:pPr>
        <w:numPr>
          <w:ilvl w:val="1"/>
          <w:numId w:val="5"/>
        </w:numPr>
        <w:tabs>
          <w:tab w:val="left" w:pos="525"/>
          <w:tab w:val="left" w:pos="630"/>
        </w:tabs>
        <w:spacing w:line="480" w:lineRule="auto"/>
        <w:outlineLvl w:val="3"/>
        <w:rPr>
          <w:color w:val="auto"/>
          <w:sz w:val="24"/>
        </w:rPr>
      </w:pPr>
      <w:r>
        <w:rPr>
          <w:rFonts w:hAnsi="宋体"/>
          <w:b/>
          <w:bCs/>
          <w:color w:val="auto"/>
          <w:sz w:val="24"/>
        </w:rPr>
        <w:t>适用范围</w:t>
      </w:r>
    </w:p>
    <w:p>
      <w:pPr>
        <w:numPr>
          <w:ilvl w:val="2"/>
          <w:numId w:val="5"/>
        </w:numPr>
        <w:tabs>
          <w:tab w:val="left" w:pos="735"/>
          <w:tab w:val="left" w:pos="1254"/>
        </w:tabs>
        <w:spacing w:line="360" w:lineRule="auto"/>
        <w:ind w:left="735" w:hanging="735"/>
        <w:rPr>
          <w:color w:val="auto"/>
          <w:sz w:val="24"/>
        </w:rPr>
      </w:pPr>
      <w:r>
        <w:rPr>
          <w:rFonts w:hAnsi="宋体"/>
          <w:color w:val="auto"/>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color w:val="auto"/>
          <w:sz w:val="24"/>
        </w:rPr>
      </w:pPr>
      <w:r>
        <w:rPr>
          <w:rFonts w:hAnsi="宋体"/>
          <w:color w:val="auto"/>
          <w:sz w:val="24"/>
        </w:rPr>
        <w:t>采购人、</w:t>
      </w:r>
      <w:r>
        <w:rPr>
          <w:rFonts w:hint="eastAsia" w:hAnsi="宋体"/>
          <w:color w:val="auto"/>
          <w:sz w:val="24"/>
        </w:rPr>
        <w:t>招标代理机构</w:t>
      </w:r>
      <w:r>
        <w:rPr>
          <w:rFonts w:hAnsi="宋体"/>
          <w:color w:val="auto"/>
          <w:sz w:val="24"/>
        </w:rPr>
        <w:t>、供应商及各方当事人适用本须知。</w:t>
      </w:r>
    </w:p>
    <w:p>
      <w:pPr>
        <w:numPr>
          <w:ilvl w:val="1"/>
          <w:numId w:val="5"/>
        </w:numPr>
        <w:tabs>
          <w:tab w:val="left" w:pos="525"/>
          <w:tab w:val="left" w:pos="630"/>
        </w:tabs>
        <w:spacing w:line="480" w:lineRule="auto"/>
        <w:outlineLvl w:val="3"/>
        <w:rPr>
          <w:b/>
          <w:bCs/>
          <w:color w:val="auto"/>
          <w:sz w:val="24"/>
        </w:rPr>
      </w:pPr>
      <w:r>
        <w:rPr>
          <w:b/>
          <w:bCs/>
          <w:color w:val="auto"/>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rPr>
      </w:pPr>
      <w:r>
        <w:rPr>
          <w:rFonts w:hint="eastAsia" w:hAnsi="宋体"/>
          <w:color w:val="auto"/>
          <w:sz w:val="24"/>
          <w:lang w:eastAsia="zh-CN"/>
        </w:rPr>
        <w:t>特克斯县妇幼保健计划生育服务中心污水处理改造及安装医疗污水水质在线监测系统采购项目</w:t>
      </w:r>
      <w:r>
        <w:rPr>
          <w:rFonts w:hAnsi="宋体"/>
          <w:color w:val="auto"/>
          <w:sz w:val="24"/>
        </w:rPr>
        <w:t>。投标人必须对项目</w:t>
      </w:r>
      <w:r>
        <w:rPr>
          <w:rFonts w:hint="eastAsia" w:hAnsi="宋体"/>
          <w:color w:val="auto"/>
          <w:sz w:val="24"/>
        </w:rPr>
        <w:t>标段内容</w:t>
      </w:r>
      <w:r>
        <w:rPr>
          <w:rFonts w:hAnsi="宋体"/>
          <w:color w:val="auto"/>
          <w:sz w:val="24"/>
        </w:rPr>
        <w:t>进行整体投标，不允许仅对其中部分内容进行投标。</w:t>
      </w:r>
    </w:p>
    <w:p>
      <w:pPr>
        <w:numPr>
          <w:ilvl w:val="1"/>
          <w:numId w:val="5"/>
        </w:numPr>
        <w:tabs>
          <w:tab w:val="left" w:pos="525"/>
          <w:tab w:val="left" w:pos="630"/>
        </w:tabs>
        <w:spacing w:line="480" w:lineRule="auto"/>
        <w:outlineLvl w:val="3"/>
        <w:rPr>
          <w:b/>
          <w:bCs/>
          <w:color w:val="auto"/>
          <w:sz w:val="24"/>
        </w:rPr>
      </w:pPr>
      <w:r>
        <w:rPr>
          <w:b/>
          <w:bCs/>
          <w:color w:val="auto"/>
          <w:sz w:val="24"/>
        </w:rPr>
        <w:t>关于定标方式</w:t>
      </w:r>
    </w:p>
    <w:p>
      <w:pPr>
        <w:spacing w:line="360" w:lineRule="auto"/>
        <w:ind w:firstLine="480" w:firstLineChars="200"/>
        <w:rPr>
          <w:color w:val="auto"/>
        </w:rPr>
      </w:pPr>
      <w:r>
        <w:rPr>
          <w:rFonts w:hint="eastAsia" w:hAnsi="宋体"/>
          <w:bCs/>
          <w:color w:val="auto"/>
          <w:sz w:val="24"/>
        </w:rPr>
        <w:t>磋商小组将根据需要决定对所有合格的磋商供应商在规定时间内进行第二次或多轮报价，最后报价将作为磋商小组评比的最终依据</w:t>
      </w:r>
      <w:r>
        <w:rPr>
          <w:rFonts w:hAnsi="宋体"/>
          <w:bCs/>
          <w:color w:val="auto"/>
          <w:sz w:val="24"/>
        </w:rPr>
        <w:t>；采购人拒绝接受有选择性报价的投标。</w:t>
      </w:r>
    </w:p>
    <w:p>
      <w:pPr>
        <w:numPr>
          <w:ilvl w:val="1"/>
          <w:numId w:val="5"/>
        </w:numPr>
        <w:tabs>
          <w:tab w:val="left" w:pos="525"/>
          <w:tab w:val="left" w:pos="630"/>
        </w:tabs>
        <w:spacing w:line="480" w:lineRule="auto"/>
        <w:outlineLvl w:val="3"/>
        <w:rPr>
          <w:b/>
          <w:bCs/>
          <w:color w:val="auto"/>
          <w:sz w:val="24"/>
        </w:rPr>
      </w:pPr>
      <w:r>
        <w:rPr>
          <w:b/>
          <w:bCs/>
          <w:color w:val="auto"/>
          <w:sz w:val="24"/>
        </w:rPr>
        <w:t>定义</w:t>
      </w:r>
    </w:p>
    <w:p>
      <w:pPr>
        <w:numPr>
          <w:ilvl w:val="2"/>
          <w:numId w:val="5"/>
        </w:numPr>
        <w:tabs>
          <w:tab w:val="left" w:pos="735"/>
          <w:tab w:val="left" w:pos="1254"/>
        </w:tabs>
        <w:spacing w:line="360" w:lineRule="auto"/>
        <w:ind w:left="735" w:hanging="735"/>
        <w:rPr>
          <w:color w:val="auto"/>
          <w:sz w:val="24"/>
        </w:rPr>
      </w:pPr>
      <w:r>
        <w:rPr>
          <w:rFonts w:hAnsi="宋体"/>
          <w:color w:val="auto"/>
          <w:sz w:val="24"/>
        </w:rPr>
        <w:t>采购人：是指</w:t>
      </w:r>
      <w:r>
        <w:rPr>
          <w:rFonts w:hint="eastAsia" w:hAnsi="宋体"/>
          <w:b/>
          <w:bCs/>
          <w:color w:val="auto"/>
          <w:sz w:val="24"/>
          <w:lang w:eastAsia="zh-CN"/>
        </w:rPr>
        <w:t>特克斯县妇幼保健计划生育服务中心</w:t>
      </w:r>
      <w:r>
        <w:rPr>
          <w:rFonts w:hAnsi="宋体"/>
          <w:color w:val="auto"/>
          <w:sz w:val="24"/>
        </w:rPr>
        <w:t>。</w:t>
      </w:r>
    </w:p>
    <w:p>
      <w:pPr>
        <w:numPr>
          <w:ilvl w:val="2"/>
          <w:numId w:val="5"/>
        </w:numPr>
        <w:tabs>
          <w:tab w:val="left" w:pos="735"/>
          <w:tab w:val="left" w:pos="1254"/>
        </w:tabs>
        <w:spacing w:line="360" w:lineRule="auto"/>
        <w:ind w:left="735" w:hanging="735"/>
        <w:rPr>
          <w:color w:val="auto"/>
          <w:sz w:val="24"/>
        </w:rPr>
      </w:pPr>
      <w:r>
        <w:rPr>
          <w:rFonts w:hint="eastAsia" w:hAnsi="宋体"/>
          <w:color w:val="auto"/>
          <w:sz w:val="24"/>
        </w:rPr>
        <w:t>招标代理机构</w:t>
      </w:r>
      <w:r>
        <w:rPr>
          <w:rFonts w:hAnsi="宋体"/>
          <w:color w:val="auto"/>
          <w:sz w:val="24"/>
        </w:rPr>
        <w:t>：是指</w:t>
      </w:r>
      <w:r>
        <w:rPr>
          <w:rFonts w:hint="eastAsia" w:hAnsi="宋体"/>
          <w:b/>
          <w:bCs/>
          <w:color w:val="auto"/>
          <w:sz w:val="24"/>
          <w:lang w:eastAsia="zh-CN"/>
        </w:rPr>
        <w:t>新疆华域建设工程项目管理咨询有限公司</w:t>
      </w:r>
      <w:r>
        <w:rPr>
          <w:rFonts w:hint="eastAsia" w:hAnsi="宋体"/>
          <w:color w:val="auto"/>
          <w:sz w:val="24"/>
        </w:rPr>
        <w:t xml:space="preserve"> </w:t>
      </w:r>
      <w:r>
        <w:rPr>
          <w:rFonts w:hAnsi="宋体"/>
          <w:color w:val="auto"/>
          <w:sz w:val="24"/>
        </w:rPr>
        <w:t>。</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投标人：是指向</w:t>
      </w:r>
      <w:r>
        <w:rPr>
          <w:rFonts w:hint="eastAsia" w:hAnsi="宋体"/>
          <w:color w:val="auto"/>
          <w:sz w:val="24"/>
        </w:rPr>
        <w:t>招标代理机构</w:t>
      </w:r>
      <w:r>
        <w:rPr>
          <w:rFonts w:hAnsi="宋体"/>
          <w:color w:val="auto"/>
          <w:sz w:val="24"/>
        </w:rPr>
        <w:t>提交投标文件的</w:t>
      </w:r>
      <w:r>
        <w:rPr>
          <w:rFonts w:hAnsi="宋体"/>
          <w:b/>
          <w:bCs/>
          <w:color w:val="auto"/>
          <w:sz w:val="24"/>
        </w:rPr>
        <w:t>供应商</w:t>
      </w:r>
      <w:r>
        <w:rPr>
          <w:rFonts w:hint="eastAsia" w:hAnsi="宋体"/>
          <w:b/>
          <w:bCs/>
          <w:color w:val="auto"/>
          <w:sz w:val="24"/>
          <w:lang w:val="en-US" w:eastAsia="zh-CN"/>
        </w:rPr>
        <w:t>(投标人一经报名应积极参加招标项目若不参加请于开标前三天向招标代理公司提交加盖单位公章弃标函若不提供该企业将被列入黑名单）</w:t>
      </w:r>
      <w:r>
        <w:rPr>
          <w:rFonts w:hAnsi="宋体"/>
          <w:color w:val="auto"/>
          <w:sz w:val="24"/>
        </w:rPr>
        <w:t>。</w:t>
      </w:r>
    </w:p>
    <w:p>
      <w:pPr>
        <w:numPr>
          <w:ilvl w:val="2"/>
          <w:numId w:val="5"/>
        </w:numPr>
        <w:tabs>
          <w:tab w:val="left" w:pos="735"/>
          <w:tab w:val="left" w:pos="1254"/>
        </w:tabs>
        <w:spacing w:line="360" w:lineRule="auto"/>
        <w:ind w:left="735" w:hanging="735"/>
        <w:rPr>
          <w:color w:val="auto"/>
          <w:sz w:val="24"/>
        </w:rPr>
      </w:pPr>
      <w:r>
        <w:rPr>
          <w:rFonts w:hAnsi="宋体"/>
          <w:color w:val="auto"/>
          <w:sz w:val="24"/>
        </w:rPr>
        <w:t>中标人：是指经合法招、投标程序评选出来的</w:t>
      </w:r>
      <w:r>
        <w:rPr>
          <w:rFonts w:hAnsi="宋体"/>
          <w:b/>
          <w:bCs/>
          <w:color w:val="auto"/>
          <w:sz w:val="24"/>
        </w:rPr>
        <w:t>投标人</w:t>
      </w:r>
      <w:r>
        <w:rPr>
          <w:rFonts w:hAnsi="宋体"/>
          <w:color w:val="auto"/>
          <w:sz w:val="24"/>
        </w:rPr>
        <w:t>。</w:t>
      </w:r>
    </w:p>
    <w:p>
      <w:pPr>
        <w:numPr>
          <w:ilvl w:val="2"/>
          <w:numId w:val="5"/>
        </w:numPr>
        <w:tabs>
          <w:tab w:val="left" w:pos="735"/>
          <w:tab w:val="left" w:pos="1254"/>
        </w:tabs>
        <w:spacing w:line="360" w:lineRule="auto"/>
        <w:ind w:left="735" w:hanging="735"/>
        <w:rPr>
          <w:color w:val="auto"/>
          <w:sz w:val="24"/>
        </w:rPr>
      </w:pPr>
      <w:r>
        <w:rPr>
          <w:rFonts w:hAnsi="宋体"/>
          <w:color w:val="auto"/>
          <w:sz w:val="24"/>
        </w:rPr>
        <w:t>货物、</w:t>
      </w:r>
      <w:r>
        <w:rPr>
          <w:rFonts w:hint="eastAsia" w:hAnsi="宋体"/>
          <w:color w:val="auto"/>
          <w:sz w:val="24"/>
          <w:lang w:eastAsia="zh-CN"/>
        </w:rPr>
        <w:t>设备（货物）</w:t>
      </w:r>
      <w:r>
        <w:rPr>
          <w:rFonts w:hAnsi="宋体"/>
          <w:color w:val="auto"/>
          <w:sz w:val="24"/>
        </w:rPr>
        <w:t>：是指投标人按</w:t>
      </w:r>
      <w:r>
        <w:rPr>
          <w:rFonts w:hint="eastAsia" w:hAnsi="宋体"/>
          <w:color w:val="auto"/>
          <w:sz w:val="24"/>
          <w:lang w:eastAsia="zh-CN"/>
        </w:rPr>
        <w:t>磋商</w:t>
      </w:r>
      <w:r>
        <w:rPr>
          <w:rFonts w:hAnsi="宋体"/>
          <w:color w:val="auto"/>
          <w:sz w:val="24"/>
        </w:rPr>
        <w:t>文件规定，须向采购人提供的</w:t>
      </w:r>
      <w:r>
        <w:rPr>
          <w:rFonts w:hint="eastAsia" w:hAnsi="宋体"/>
          <w:color w:val="auto"/>
          <w:sz w:val="24"/>
          <w:lang w:eastAsia="zh-CN"/>
        </w:rPr>
        <w:t>设备（货物）</w:t>
      </w:r>
      <w:r>
        <w:rPr>
          <w:rFonts w:hAnsi="宋体"/>
          <w:color w:val="auto"/>
          <w:sz w:val="24"/>
        </w:rPr>
        <w:t>、备件、工具、手册及其它技术资料和材料。</w:t>
      </w:r>
    </w:p>
    <w:p>
      <w:pPr>
        <w:numPr>
          <w:ilvl w:val="2"/>
          <w:numId w:val="5"/>
        </w:numPr>
        <w:tabs>
          <w:tab w:val="left" w:pos="735"/>
          <w:tab w:val="left" w:pos="1254"/>
        </w:tabs>
        <w:spacing w:line="360" w:lineRule="auto"/>
        <w:ind w:left="735" w:hanging="735"/>
        <w:rPr>
          <w:color w:val="auto"/>
          <w:sz w:val="24"/>
        </w:rPr>
      </w:pPr>
      <w:r>
        <w:rPr>
          <w:rFonts w:hAnsi="宋体"/>
          <w:color w:val="auto"/>
          <w:sz w:val="24"/>
        </w:rPr>
        <w:t>服务：是指</w:t>
      </w:r>
      <w:r>
        <w:rPr>
          <w:rFonts w:hint="eastAsia" w:hAnsi="宋体"/>
          <w:color w:val="auto"/>
          <w:sz w:val="24"/>
          <w:lang w:eastAsia="zh-CN"/>
        </w:rPr>
        <w:t>磋商</w:t>
      </w:r>
      <w:r>
        <w:rPr>
          <w:rFonts w:hAnsi="宋体"/>
          <w:color w:val="auto"/>
          <w:sz w:val="24"/>
        </w:rPr>
        <w:t>文件规定投标人须承担的有关服务。</w:t>
      </w:r>
    </w:p>
    <w:p>
      <w:pPr>
        <w:numPr>
          <w:ilvl w:val="2"/>
          <w:numId w:val="5"/>
        </w:numPr>
        <w:tabs>
          <w:tab w:val="left" w:pos="735"/>
          <w:tab w:val="left" w:pos="1254"/>
        </w:tabs>
        <w:spacing w:line="360" w:lineRule="auto"/>
        <w:ind w:left="735" w:hanging="735"/>
        <w:rPr>
          <w:color w:val="auto"/>
          <w:sz w:val="24"/>
        </w:rPr>
      </w:pPr>
      <w:r>
        <w:rPr>
          <w:rFonts w:hAnsi="宋体"/>
          <w:color w:val="auto"/>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color w:val="auto"/>
          <w:sz w:val="24"/>
        </w:rPr>
      </w:pPr>
      <w:r>
        <w:rPr>
          <w:rFonts w:hAnsi="宋体"/>
          <w:color w:val="auto"/>
          <w:sz w:val="24"/>
        </w:rPr>
        <w:t>重大偏离或保留：是指投标文件中影响到采购文件规定的货物和服务质量或限制了采购人的权利</w:t>
      </w:r>
      <w:r>
        <w:rPr>
          <w:color w:val="auto"/>
          <w:sz w:val="24"/>
        </w:rPr>
        <w:t>/</w:t>
      </w:r>
      <w:r>
        <w:rPr>
          <w:rFonts w:hAnsi="宋体"/>
          <w:color w:val="auto"/>
          <w:sz w:val="24"/>
        </w:rPr>
        <w:t>投标人的义务的规定，而认可该等规定偏离将影响到其他投标人的公平竞争地位。</w:t>
      </w:r>
    </w:p>
    <w:p>
      <w:pPr>
        <w:numPr>
          <w:ilvl w:val="2"/>
          <w:numId w:val="5"/>
        </w:numPr>
        <w:tabs>
          <w:tab w:val="left" w:pos="735"/>
          <w:tab w:val="left" w:pos="840"/>
        </w:tabs>
        <w:spacing w:line="360" w:lineRule="auto"/>
        <w:ind w:left="735" w:hanging="735"/>
        <w:rPr>
          <w:color w:val="auto"/>
          <w:sz w:val="24"/>
        </w:rPr>
      </w:pPr>
      <w:r>
        <w:rPr>
          <w:rFonts w:hint="eastAsia" w:hAnsi="宋体"/>
          <w:color w:val="auto"/>
          <w:sz w:val="24"/>
          <w:lang w:val="en-US" w:eastAsia="zh-CN"/>
        </w:rPr>
        <w:t>合同履约期限</w:t>
      </w:r>
      <w:r>
        <w:rPr>
          <w:rFonts w:hAnsi="宋体"/>
          <w:color w:val="auto"/>
          <w:sz w:val="24"/>
        </w:rPr>
        <w:t>：是指签订采购合同之日起至按要求交货并通过验收的期限。</w:t>
      </w:r>
    </w:p>
    <w:p>
      <w:pPr>
        <w:numPr>
          <w:ilvl w:val="2"/>
          <w:numId w:val="5"/>
        </w:numPr>
        <w:tabs>
          <w:tab w:val="left" w:pos="735"/>
          <w:tab w:val="left" w:pos="840"/>
        </w:tabs>
        <w:spacing w:line="360" w:lineRule="auto"/>
        <w:ind w:left="735" w:hanging="735"/>
        <w:rPr>
          <w:color w:val="auto"/>
          <w:sz w:val="24"/>
        </w:rPr>
      </w:pPr>
      <w:r>
        <w:rPr>
          <w:rFonts w:hAnsi="宋体"/>
          <w:color w:val="auto"/>
          <w:sz w:val="24"/>
        </w:rPr>
        <w:t>日期、天数、时间：无特别说明时是指公历日及北京时间。</w:t>
      </w:r>
    </w:p>
    <w:p>
      <w:pPr>
        <w:numPr>
          <w:ilvl w:val="2"/>
          <w:numId w:val="5"/>
        </w:numPr>
        <w:tabs>
          <w:tab w:val="left" w:pos="735"/>
          <w:tab w:val="left" w:pos="840"/>
        </w:tabs>
        <w:spacing w:line="360" w:lineRule="auto"/>
        <w:ind w:left="840" w:hanging="840"/>
        <w:rPr>
          <w:color w:val="auto"/>
          <w:sz w:val="24"/>
        </w:rPr>
      </w:pPr>
      <w:r>
        <w:rPr>
          <w:rFonts w:hint="eastAsia" w:hAnsi="宋体"/>
          <w:color w:val="auto"/>
          <w:sz w:val="24"/>
          <w:lang w:eastAsia="zh-CN"/>
        </w:rPr>
        <w:t>磋商</w:t>
      </w:r>
      <w:r>
        <w:rPr>
          <w:rFonts w:hAnsi="宋体"/>
          <w:color w:val="auto"/>
          <w:sz w:val="24"/>
        </w:rPr>
        <w:t>文件中的标题或题名仅起引导作用，而不应该作为对</w:t>
      </w:r>
      <w:r>
        <w:rPr>
          <w:rFonts w:hint="eastAsia" w:hAnsi="宋体"/>
          <w:color w:val="auto"/>
          <w:sz w:val="24"/>
          <w:lang w:eastAsia="zh-CN"/>
        </w:rPr>
        <w:t>磋商</w:t>
      </w:r>
      <w:r>
        <w:rPr>
          <w:rFonts w:hAnsi="宋体"/>
          <w:color w:val="auto"/>
          <w:sz w:val="24"/>
        </w:rPr>
        <w:t>文件内容的理解或解释。</w:t>
      </w:r>
    </w:p>
    <w:p>
      <w:pPr>
        <w:numPr>
          <w:ilvl w:val="1"/>
          <w:numId w:val="5"/>
        </w:numPr>
        <w:tabs>
          <w:tab w:val="left" w:pos="525"/>
          <w:tab w:val="left" w:pos="630"/>
        </w:tabs>
        <w:spacing w:line="480" w:lineRule="auto"/>
        <w:outlineLvl w:val="3"/>
        <w:rPr>
          <w:b/>
          <w:color w:val="auto"/>
          <w:sz w:val="24"/>
        </w:rPr>
      </w:pPr>
      <w:bookmarkStart w:id="20" w:name="_Toc264616629"/>
      <w:r>
        <w:rPr>
          <w:rFonts w:hAnsi="宋体"/>
          <w:b/>
          <w:color w:val="auto"/>
          <w:sz w:val="24"/>
        </w:rPr>
        <w:t>应遵循的原则</w:t>
      </w:r>
      <w:bookmarkEnd w:id="20"/>
    </w:p>
    <w:p>
      <w:pPr>
        <w:numPr>
          <w:ilvl w:val="2"/>
          <w:numId w:val="5"/>
        </w:numPr>
        <w:tabs>
          <w:tab w:val="left" w:pos="735"/>
          <w:tab w:val="left" w:pos="1254"/>
        </w:tabs>
        <w:spacing w:line="360" w:lineRule="auto"/>
        <w:ind w:left="735" w:hanging="735"/>
        <w:rPr>
          <w:color w:val="auto"/>
          <w:sz w:val="24"/>
        </w:rPr>
      </w:pPr>
      <w:r>
        <w:rPr>
          <w:rFonts w:hAnsi="Verdana"/>
          <w:color w:val="auto"/>
          <w:sz w:val="24"/>
        </w:rPr>
        <w:t>遵循公开、公平、公正和诚实信用原则。</w:t>
      </w:r>
    </w:p>
    <w:p>
      <w:pPr>
        <w:numPr>
          <w:ilvl w:val="2"/>
          <w:numId w:val="5"/>
        </w:numPr>
        <w:tabs>
          <w:tab w:val="left" w:pos="735"/>
          <w:tab w:val="left" w:pos="1254"/>
        </w:tabs>
        <w:spacing w:line="360" w:lineRule="auto"/>
        <w:ind w:left="735" w:hanging="735"/>
        <w:rPr>
          <w:color w:val="auto"/>
          <w:sz w:val="24"/>
        </w:rPr>
      </w:pPr>
      <w:r>
        <w:rPr>
          <w:rFonts w:hAnsi="Verdana"/>
          <w:color w:val="auto"/>
          <w:sz w:val="24"/>
        </w:rPr>
        <w:t>坚持价格合理、质量优先、服务优质原则。</w:t>
      </w:r>
    </w:p>
    <w:p>
      <w:pPr>
        <w:numPr>
          <w:ilvl w:val="2"/>
          <w:numId w:val="5"/>
        </w:numPr>
        <w:tabs>
          <w:tab w:val="left" w:pos="735"/>
          <w:tab w:val="left" w:pos="1254"/>
        </w:tabs>
        <w:spacing w:line="360" w:lineRule="auto"/>
        <w:ind w:left="735" w:hanging="735"/>
        <w:rPr>
          <w:color w:val="auto"/>
          <w:sz w:val="24"/>
        </w:rPr>
      </w:pPr>
      <w:r>
        <w:rPr>
          <w:rFonts w:hAnsi="Verdana"/>
          <w:color w:val="auto"/>
          <w:sz w:val="24"/>
        </w:rPr>
        <w:t>利用法律手段强化竞争机制，贯彻统一、规范、简化、高效的要求。</w:t>
      </w:r>
    </w:p>
    <w:p>
      <w:pPr>
        <w:numPr>
          <w:ilvl w:val="2"/>
          <w:numId w:val="5"/>
        </w:numPr>
        <w:tabs>
          <w:tab w:val="left" w:pos="735"/>
          <w:tab w:val="left" w:pos="1254"/>
        </w:tabs>
        <w:spacing w:line="360" w:lineRule="auto"/>
        <w:ind w:left="735" w:hanging="735"/>
        <w:rPr>
          <w:color w:val="auto"/>
          <w:sz w:val="24"/>
        </w:rPr>
      </w:pPr>
      <w:r>
        <w:rPr>
          <w:rFonts w:hint="eastAsia" w:hAnsi="Verdana"/>
          <w:color w:val="auto"/>
          <w:sz w:val="24"/>
        </w:rPr>
        <w:t>投标文</w:t>
      </w:r>
      <w:r>
        <w:rPr>
          <w:rFonts w:hint="eastAsia"/>
          <w:color w:val="auto"/>
          <w:sz w:val="24"/>
        </w:rPr>
        <w:t>件递交地点</w:t>
      </w:r>
      <w:r>
        <w:rPr>
          <w:rFonts w:hint="eastAsia"/>
          <w:color w:val="auto"/>
          <w:sz w:val="24"/>
          <w:lang w:eastAsia="zh-CN"/>
        </w:rPr>
        <w:t>、</w:t>
      </w:r>
      <w:r>
        <w:rPr>
          <w:rFonts w:hint="eastAsia"/>
          <w:color w:val="auto"/>
          <w:sz w:val="24"/>
        </w:rPr>
        <w:t>开标地点：</w:t>
      </w:r>
      <w:r>
        <w:rPr>
          <w:rFonts w:hint="eastAsia"/>
          <w:color w:val="auto"/>
          <w:sz w:val="24"/>
          <w:lang w:eastAsia="zh-CN"/>
        </w:rPr>
        <w:t>伊宁市经济合作区北京路一品墅新房大厦10楼1004号</w:t>
      </w:r>
    </w:p>
    <w:p>
      <w:pPr>
        <w:numPr>
          <w:ilvl w:val="2"/>
          <w:numId w:val="5"/>
        </w:numPr>
        <w:tabs>
          <w:tab w:val="left" w:pos="735"/>
          <w:tab w:val="left" w:pos="1254"/>
        </w:tabs>
        <w:spacing w:line="360" w:lineRule="auto"/>
        <w:ind w:left="735" w:hanging="735"/>
        <w:rPr>
          <w:color w:val="auto"/>
          <w:sz w:val="24"/>
        </w:rPr>
      </w:pPr>
      <w:r>
        <w:rPr>
          <w:rFonts w:hAnsi="Verdana"/>
          <w:color w:val="auto"/>
          <w:sz w:val="24"/>
        </w:rPr>
        <w:t>合同</w:t>
      </w:r>
      <w:r>
        <w:rPr>
          <w:rFonts w:hAnsi="宋体"/>
          <w:color w:val="auto"/>
          <w:sz w:val="24"/>
        </w:rPr>
        <w:t>的签订：</w:t>
      </w:r>
      <w:r>
        <w:rPr>
          <w:rFonts w:hint="eastAsia" w:hAnsi="宋体"/>
          <w:color w:val="auto"/>
          <w:sz w:val="24"/>
        </w:rPr>
        <w:t>《中标通知书》发出之日起次日与招标人签订合同</w:t>
      </w:r>
      <w:r>
        <w:rPr>
          <w:rFonts w:hint="eastAsia" w:hAnsi="宋体"/>
          <w:color w:val="auto"/>
          <w:sz w:val="24"/>
          <w:lang w:eastAsia="zh-CN"/>
        </w:rPr>
        <w:t>。</w:t>
      </w:r>
    </w:p>
    <w:p>
      <w:pPr>
        <w:snapToGrid w:val="0"/>
        <w:spacing w:line="360" w:lineRule="auto"/>
        <w:ind w:firstLine="482" w:firstLineChars="200"/>
        <w:rPr>
          <w:b/>
          <w:color w:val="auto"/>
          <w:sz w:val="24"/>
        </w:rPr>
      </w:pPr>
      <w:r>
        <w:rPr>
          <w:rFonts w:hAnsi="宋体"/>
          <w:b/>
          <w:color w:val="auto"/>
          <w:sz w:val="24"/>
        </w:rPr>
        <w:t>除非另有说明，本</w:t>
      </w:r>
      <w:r>
        <w:rPr>
          <w:rFonts w:hint="eastAsia" w:hAnsi="宋体"/>
          <w:b/>
          <w:color w:val="auto"/>
          <w:sz w:val="24"/>
          <w:lang w:eastAsia="zh-CN"/>
        </w:rPr>
        <w:t>磋商</w:t>
      </w:r>
      <w:r>
        <w:rPr>
          <w:rFonts w:hAnsi="宋体"/>
          <w:b/>
          <w:color w:val="auto"/>
          <w:sz w:val="24"/>
        </w:rPr>
        <w:t>文件中所示的时间均指北京时间。以上工作时间计划如有变更，以</w:t>
      </w:r>
      <w:r>
        <w:rPr>
          <w:rFonts w:hint="eastAsia" w:hAnsi="宋体"/>
          <w:b/>
          <w:color w:val="auto"/>
          <w:sz w:val="24"/>
        </w:rPr>
        <w:t>招标代理机构</w:t>
      </w:r>
      <w:r>
        <w:rPr>
          <w:rFonts w:hAnsi="宋体"/>
          <w:b/>
          <w:color w:val="auto"/>
          <w:sz w:val="24"/>
        </w:rPr>
        <w:t>另行书面通知为准。</w:t>
      </w:r>
    </w:p>
    <w:p>
      <w:pPr>
        <w:numPr>
          <w:ilvl w:val="1"/>
          <w:numId w:val="5"/>
        </w:numPr>
        <w:tabs>
          <w:tab w:val="left" w:pos="525"/>
          <w:tab w:val="left" w:pos="630"/>
        </w:tabs>
        <w:spacing w:line="480" w:lineRule="auto"/>
        <w:outlineLvl w:val="3"/>
        <w:rPr>
          <w:b/>
          <w:color w:val="auto"/>
          <w:sz w:val="24"/>
        </w:rPr>
      </w:pPr>
      <w:bookmarkStart w:id="21" w:name="_Toc264616632"/>
      <w:r>
        <w:rPr>
          <w:rFonts w:hAnsi="宋体"/>
          <w:b/>
          <w:color w:val="auto"/>
          <w:sz w:val="24"/>
        </w:rPr>
        <w:t>合格的货物和服务</w:t>
      </w:r>
      <w:bookmarkEnd w:id="21"/>
    </w:p>
    <w:p>
      <w:pPr>
        <w:numPr>
          <w:ilvl w:val="2"/>
          <w:numId w:val="5"/>
        </w:numPr>
        <w:tabs>
          <w:tab w:val="left" w:pos="735"/>
          <w:tab w:val="left" w:pos="1254"/>
        </w:tabs>
        <w:spacing w:line="360" w:lineRule="auto"/>
        <w:ind w:left="735" w:hanging="735"/>
        <w:rPr>
          <w:color w:val="auto"/>
          <w:sz w:val="24"/>
        </w:rPr>
      </w:pPr>
      <w:r>
        <w:rPr>
          <w:rFonts w:hAnsi="Verdana"/>
          <w:color w:val="auto"/>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color w:val="auto"/>
          <w:sz w:val="24"/>
        </w:rPr>
      </w:pPr>
      <w:r>
        <w:rPr>
          <w:rFonts w:hAnsi="Verdana"/>
          <w:color w:val="auto"/>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color w:val="auto"/>
          <w:sz w:val="24"/>
        </w:rPr>
      </w:pPr>
      <w:r>
        <w:rPr>
          <w:rFonts w:hAnsi="Verdana"/>
          <w:color w:val="auto"/>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b/>
          <w:color w:val="auto"/>
          <w:sz w:val="24"/>
        </w:rPr>
      </w:pPr>
      <w:r>
        <w:rPr>
          <w:rFonts w:hAnsi="Verdana"/>
          <w:color w:val="auto"/>
          <w:sz w:val="24"/>
        </w:rPr>
        <w:t>投标人应保证本项目下提供的服务或其任何一部分不会因第三方依法享有的专</w:t>
      </w:r>
      <w:r>
        <w:rPr>
          <w:rFonts w:hAnsi="宋体"/>
          <w:color w:val="auto"/>
          <w:sz w:val="24"/>
        </w:rPr>
        <w:t>利权、商标权或其他知识产权而</w:t>
      </w:r>
      <w:r>
        <w:rPr>
          <w:rFonts w:hAnsi="Verdana"/>
          <w:color w:val="auto"/>
          <w:sz w:val="24"/>
        </w:rPr>
        <w:t>产生法律纠纷</w:t>
      </w:r>
      <w:r>
        <w:rPr>
          <w:rFonts w:hAnsi="宋体"/>
          <w:color w:val="auto"/>
          <w:sz w:val="24"/>
        </w:rPr>
        <w:t>；如果投标人不拥有相应的知识产权，则须在报价中包括合法获取该知识产权的相关费用，并在投标文件中附有相关证明文件；</w:t>
      </w:r>
      <w:r>
        <w:rPr>
          <w:rFonts w:hAnsi="宋体"/>
          <w:b/>
          <w:color w:val="auto"/>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b/>
          <w:color w:val="auto"/>
          <w:sz w:val="24"/>
        </w:rPr>
      </w:pPr>
      <w:bookmarkStart w:id="22" w:name="_Toc264616633"/>
      <w:r>
        <w:rPr>
          <w:b/>
          <w:color w:val="auto"/>
          <w:sz w:val="24"/>
        </w:rPr>
        <w:t>保密</w:t>
      </w:r>
      <w:bookmarkEnd w:id="22"/>
    </w:p>
    <w:p>
      <w:pPr>
        <w:pStyle w:val="13"/>
        <w:tabs>
          <w:tab w:val="left" w:pos="978"/>
        </w:tabs>
        <w:spacing w:after="60" w:afterLines="25"/>
        <w:ind w:left="2" w:leftChars="1" w:firstLine="480" w:firstLineChars="200"/>
        <w:rPr>
          <w:rFonts w:ascii="Times New Roman" w:hAnsi="Times New Roman"/>
          <w:color w:val="auto"/>
        </w:rPr>
      </w:pPr>
      <w:r>
        <w:rPr>
          <w:rFonts w:ascii="Times New Roman" w:hAnsi="Times New Roman"/>
          <w:color w:val="auto"/>
        </w:rPr>
        <w:t>招投标双方应分别为对方在</w:t>
      </w:r>
      <w:r>
        <w:rPr>
          <w:rFonts w:ascii="Times New Roman" w:hAnsi="宋体"/>
          <w:color w:val="auto"/>
        </w:rPr>
        <w:t>投标文件</w:t>
      </w:r>
      <w:r>
        <w:rPr>
          <w:rFonts w:ascii="Times New Roman" w:hAnsi="Times New Roman"/>
          <w:color w:val="auto"/>
        </w:rPr>
        <w:t>和</w:t>
      </w:r>
      <w:r>
        <w:rPr>
          <w:rFonts w:hint="eastAsia" w:ascii="Times New Roman" w:hAnsi="宋体"/>
          <w:color w:val="auto"/>
          <w:lang w:eastAsia="zh-CN"/>
        </w:rPr>
        <w:t>磋商</w:t>
      </w:r>
      <w:r>
        <w:rPr>
          <w:rFonts w:ascii="Times New Roman" w:hAnsi="宋体"/>
          <w:color w:val="auto"/>
        </w:rPr>
        <w:t>文件</w:t>
      </w:r>
      <w:r>
        <w:rPr>
          <w:rFonts w:ascii="Times New Roman" w:hAnsi="Times New Roman"/>
          <w:color w:val="auto"/>
        </w:rPr>
        <w:t>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b/>
          <w:color w:val="auto"/>
          <w:sz w:val="24"/>
        </w:rPr>
      </w:pPr>
      <w:bookmarkStart w:id="23" w:name="_Toc264616636"/>
      <w:r>
        <w:rPr>
          <w:rFonts w:hAnsi="宋体"/>
          <w:b/>
          <w:color w:val="auto"/>
          <w:sz w:val="24"/>
        </w:rPr>
        <w:t>质疑与受理</w:t>
      </w:r>
      <w:bookmarkEnd w:id="23"/>
    </w:p>
    <w:p>
      <w:pPr>
        <w:numPr>
          <w:ilvl w:val="2"/>
          <w:numId w:val="5"/>
        </w:numPr>
        <w:tabs>
          <w:tab w:val="left" w:pos="735"/>
          <w:tab w:val="left" w:pos="840"/>
        </w:tabs>
        <w:spacing w:line="360" w:lineRule="auto"/>
        <w:ind w:left="840" w:hanging="840"/>
        <w:rPr>
          <w:color w:val="auto"/>
          <w:sz w:val="24"/>
        </w:rPr>
      </w:pPr>
      <w:r>
        <w:rPr>
          <w:rFonts w:hAnsi="宋体"/>
          <w:color w:val="auto"/>
          <w:sz w:val="24"/>
        </w:rPr>
        <w:t>投标人有质疑时，应当以书面形式（加盖投标人公章）在质疑有效期限内向</w:t>
      </w:r>
      <w:r>
        <w:rPr>
          <w:rFonts w:hint="eastAsia" w:hAnsi="宋体"/>
          <w:color w:val="auto"/>
          <w:sz w:val="24"/>
        </w:rPr>
        <w:t>招标代理机构</w:t>
      </w:r>
      <w:r>
        <w:rPr>
          <w:rFonts w:hAnsi="宋体"/>
          <w:color w:val="auto"/>
          <w:sz w:val="24"/>
        </w:rPr>
        <w:t>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color w:val="auto"/>
          <w:sz w:val="24"/>
        </w:rPr>
      </w:pPr>
      <w:r>
        <w:rPr>
          <w:rFonts w:hAnsi="宋体"/>
          <w:color w:val="auto"/>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w:t>
      </w:r>
      <w:r>
        <w:rPr>
          <w:rFonts w:hint="eastAsia" w:hAnsi="宋体"/>
          <w:color w:val="auto"/>
          <w:sz w:val="24"/>
        </w:rPr>
        <w:t>招标代理机构</w:t>
      </w:r>
      <w:r>
        <w:rPr>
          <w:rFonts w:hAnsi="宋体"/>
          <w:color w:val="auto"/>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color w:val="auto"/>
          <w:sz w:val="24"/>
        </w:rPr>
      </w:pPr>
      <w:r>
        <w:rPr>
          <w:rFonts w:hint="eastAsia" w:hAnsi="宋体"/>
          <w:color w:val="auto"/>
          <w:sz w:val="24"/>
        </w:rPr>
        <w:t>招标代理机构</w:t>
      </w:r>
      <w:r>
        <w:rPr>
          <w:rFonts w:hAnsi="宋体"/>
          <w:color w:val="auto"/>
          <w:sz w:val="24"/>
        </w:rPr>
        <w:t>在收到投标人的有效书面质疑后</w:t>
      </w:r>
      <w:r>
        <w:rPr>
          <w:rFonts w:hint="eastAsia" w:hAnsi="宋体"/>
          <w:color w:val="auto"/>
          <w:sz w:val="24"/>
        </w:rPr>
        <w:t>三</w:t>
      </w:r>
      <w:r>
        <w:rPr>
          <w:rFonts w:hAnsi="宋体"/>
          <w:color w:val="auto"/>
          <w:sz w:val="24"/>
        </w:rPr>
        <w:t>个工作日内作出答复，但答复的内容不涉及商业秘密，质疑投标人对采购人、</w:t>
      </w:r>
      <w:r>
        <w:rPr>
          <w:rFonts w:hint="eastAsia" w:hAnsi="宋体"/>
          <w:color w:val="auto"/>
          <w:sz w:val="24"/>
        </w:rPr>
        <w:t>招标代理机构</w:t>
      </w:r>
      <w:r>
        <w:rPr>
          <w:rFonts w:hAnsi="宋体"/>
          <w:color w:val="auto"/>
          <w:sz w:val="24"/>
        </w:rPr>
        <w:t>的质疑答复不满意，或采</w:t>
      </w:r>
      <w:r>
        <w:rPr>
          <w:color w:val="auto"/>
          <w:sz w:val="24"/>
        </w:rPr>
        <w:t>购人、</w:t>
      </w:r>
      <w:r>
        <w:rPr>
          <w:rFonts w:hint="eastAsia"/>
          <w:color w:val="auto"/>
          <w:sz w:val="24"/>
        </w:rPr>
        <w:t>招标代理机构</w:t>
      </w:r>
      <w:r>
        <w:rPr>
          <w:color w:val="auto"/>
          <w:sz w:val="24"/>
        </w:rPr>
        <w:t>未在规定期限内作出答复的，可以在答复期满后15个工作日内</w:t>
      </w:r>
      <w:r>
        <w:rPr>
          <w:rFonts w:hAnsi="宋体"/>
          <w:color w:val="auto"/>
          <w:sz w:val="24"/>
        </w:rPr>
        <w:t>向同级政府采购监督管理部门提出投诉。</w:t>
      </w:r>
    </w:p>
    <w:p>
      <w:pPr>
        <w:numPr>
          <w:ilvl w:val="1"/>
          <w:numId w:val="5"/>
        </w:numPr>
        <w:tabs>
          <w:tab w:val="left" w:pos="525"/>
          <w:tab w:val="left" w:pos="630"/>
        </w:tabs>
        <w:spacing w:line="480" w:lineRule="auto"/>
        <w:outlineLvl w:val="3"/>
        <w:rPr>
          <w:b/>
          <w:color w:val="auto"/>
          <w:sz w:val="24"/>
        </w:rPr>
      </w:pPr>
      <w:bookmarkStart w:id="24" w:name="_Toc264616637"/>
      <w:r>
        <w:rPr>
          <w:rFonts w:hAnsi="宋体"/>
          <w:b/>
          <w:color w:val="auto"/>
          <w:sz w:val="24"/>
        </w:rPr>
        <w:t>不得参与同一采购项目竞争的</w:t>
      </w:r>
      <w:bookmarkEnd w:id="24"/>
      <w:r>
        <w:rPr>
          <w:rFonts w:hAnsi="宋体"/>
          <w:b/>
          <w:color w:val="auto"/>
          <w:sz w:val="24"/>
        </w:rPr>
        <w:t>投标人</w:t>
      </w:r>
    </w:p>
    <w:p>
      <w:pPr>
        <w:adjustRightInd w:val="0"/>
        <w:snapToGrid w:val="0"/>
        <w:spacing w:line="360" w:lineRule="auto"/>
        <w:ind w:left="420" w:leftChars="200"/>
        <w:rPr>
          <w:color w:val="auto"/>
          <w:sz w:val="24"/>
        </w:rPr>
      </w:pPr>
      <w:r>
        <w:rPr>
          <w:rFonts w:hAnsi="宋体"/>
          <w:color w:val="auto"/>
          <w:sz w:val="24"/>
        </w:rPr>
        <w:t>不同的投标人之间有下列情形之一的，不接受作为参与</w:t>
      </w:r>
      <w:r>
        <w:rPr>
          <w:rFonts w:hint="eastAsia" w:hAnsi="宋体"/>
          <w:color w:val="auto"/>
          <w:sz w:val="24"/>
          <w:lang w:val="en-US" w:eastAsia="zh-CN"/>
        </w:rPr>
        <w:t>不</w:t>
      </w:r>
      <w:r>
        <w:rPr>
          <w:rFonts w:hAnsi="宋体"/>
          <w:color w:val="auto"/>
          <w:sz w:val="24"/>
        </w:rPr>
        <w:t>同竞争的投标人：</w:t>
      </w:r>
    </w:p>
    <w:p>
      <w:pPr>
        <w:numPr>
          <w:ilvl w:val="2"/>
          <w:numId w:val="5"/>
        </w:numPr>
        <w:tabs>
          <w:tab w:val="left" w:pos="735"/>
          <w:tab w:val="left" w:pos="840"/>
        </w:tabs>
        <w:spacing w:line="360" w:lineRule="auto"/>
        <w:ind w:left="840" w:hanging="840"/>
        <w:rPr>
          <w:color w:val="auto"/>
          <w:sz w:val="24"/>
        </w:rPr>
      </w:pPr>
      <w:r>
        <w:rPr>
          <w:rFonts w:hAnsi="宋体"/>
          <w:color w:val="auto"/>
          <w:sz w:val="24"/>
        </w:rPr>
        <w:t>彼此存在投资与被投资关系的；</w:t>
      </w:r>
    </w:p>
    <w:p>
      <w:pPr>
        <w:numPr>
          <w:ilvl w:val="2"/>
          <w:numId w:val="5"/>
        </w:numPr>
        <w:tabs>
          <w:tab w:val="left" w:pos="735"/>
          <w:tab w:val="left" w:pos="840"/>
        </w:tabs>
        <w:spacing w:line="360" w:lineRule="auto"/>
        <w:ind w:left="840" w:hanging="840"/>
        <w:rPr>
          <w:color w:val="auto"/>
          <w:sz w:val="24"/>
        </w:rPr>
      </w:pPr>
      <w:r>
        <w:rPr>
          <w:rFonts w:hAnsi="宋体"/>
          <w:color w:val="auto"/>
          <w:sz w:val="24"/>
        </w:rPr>
        <w:t>彼</w:t>
      </w:r>
      <w:r>
        <w:rPr>
          <w:rFonts w:hAnsi="Verdana"/>
          <w:color w:val="auto"/>
          <w:sz w:val="24"/>
        </w:rPr>
        <w:t>此的经营者、董事会（或同类管理机构）成员属于直系亲属或配偶关系的。</w:t>
      </w:r>
    </w:p>
    <w:p>
      <w:pPr>
        <w:numPr>
          <w:ilvl w:val="1"/>
          <w:numId w:val="5"/>
        </w:numPr>
        <w:tabs>
          <w:tab w:val="left" w:pos="525"/>
          <w:tab w:val="left" w:pos="630"/>
        </w:tabs>
        <w:spacing w:line="480" w:lineRule="auto"/>
        <w:outlineLvl w:val="3"/>
        <w:rPr>
          <w:b/>
          <w:color w:val="auto"/>
          <w:sz w:val="24"/>
        </w:rPr>
      </w:pPr>
      <w:bookmarkStart w:id="25" w:name="_Toc264616638"/>
      <w:r>
        <w:rPr>
          <w:rFonts w:hAnsi="宋体"/>
          <w:b/>
          <w:color w:val="auto"/>
          <w:sz w:val="24"/>
        </w:rPr>
        <w:t>通知</w:t>
      </w:r>
      <w:bookmarkEnd w:id="25"/>
    </w:p>
    <w:p>
      <w:pPr>
        <w:tabs>
          <w:tab w:val="left" w:pos="900"/>
        </w:tabs>
        <w:adjustRightInd w:val="0"/>
        <w:snapToGrid w:val="0"/>
        <w:spacing w:line="360" w:lineRule="auto"/>
        <w:ind w:firstLine="480" w:firstLineChars="200"/>
        <w:rPr>
          <w:color w:val="auto"/>
          <w:sz w:val="24"/>
        </w:rPr>
      </w:pPr>
      <w:r>
        <w:rPr>
          <w:color w:val="auto"/>
          <w:sz w:val="24"/>
        </w:rPr>
        <w:t>对与本项目有关的通知，</w:t>
      </w:r>
      <w:r>
        <w:rPr>
          <w:rFonts w:hint="eastAsia" w:hAnsi="宋体"/>
          <w:color w:val="auto"/>
          <w:sz w:val="24"/>
        </w:rPr>
        <w:t>招标代理机构</w:t>
      </w:r>
      <w:r>
        <w:rPr>
          <w:color w:val="auto"/>
          <w:sz w:val="24"/>
        </w:rPr>
        <w:t>将以书面（包括书面材料、信函、传真、电报等，下同）或在本次</w:t>
      </w:r>
      <w:r>
        <w:rPr>
          <w:rFonts w:hint="eastAsia"/>
          <w:color w:val="auto"/>
          <w:sz w:val="24"/>
          <w:lang w:eastAsia="zh-CN"/>
        </w:rPr>
        <w:t>磋商</w:t>
      </w:r>
      <w:r>
        <w:rPr>
          <w:color w:val="auto"/>
          <w:sz w:val="24"/>
        </w:rPr>
        <w:t>公告刊登的媒体上以发布公告的形式，送达所有与通知有关的已领取了</w:t>
      </w:r>
      <w:r>
        <w:rPr>
          <w:rFonts w:hint="eastAsia" w:hAnsi="宋体"/>
          <w:color w:val="auto"/>
          <w:sz w:val="24"/>
          <w:lang w:eastAsia="zh-CN"/>
        </w:rPr>
        <w:t>磋商</w:t>
      </w:r>
      <w:r>
        <w:rPr>
          <w:rFonts w:hAnsi="宋体"/>
          <w:color w:val="auto"/>
          <w:sz w:val="24"/>
        </w:rPr>
        <w:t>文件</w:t>
      </w:r>
      <w:r>
        <w:rPr>
          <w:color w:val="auto"/>
          <w:sz w:val="24"/>
        </w:rPr>
        <w:t>的</w:t>
      </w:r>
      <w:r>
        <w:rPr>
          <w:rFonts w:hAnsi="宋体"/>
          <w:color w:val="auto"/>
          <w:sz w:val="24"/>
        </w:rPr>
        <w:t>投标人</w:t>
      </w:r>
      <w:r>
        <w:rPr>
          <w:color w:val="auto"/>
          <w:sz w:val="24"/>
        </w:rPr>
        <w:t>，</w:t>
      </w:r>
      <w:r>
        <w:rPr>
          <w:rFonts w:hint="eastAsia"/>
          <w:color w:val="auto"/>
          <w:sz w:val="24"/>
        </w:rPr>
        <w:t>邮箱及电话</w:t>
      </w:r>
      <w:r>
        <w:rPr>
          <w:color w:val="auto"/>
          <w:sz w:val="24"/>
        </w:rPr>
        <w:t>号码以投标人的登记为准。投标人应于收到通知的当日以书面方式予以回复确认。因投标人登记的</w:t>
      </w:r>
      <w:r>
        <w:rPr>
          <w:rFonts w:hint="eastAsia"/>
          <w:color w:val="auto"/>
          <w:sz w:val="24"/>
        </w:rPr>
        <w:t>电话及邮箱</w:t>
      </w:r>
      <w:r>
        <w:rPr>
          <w:color w:val="auto"/>
          <w:sz w:val="24"/>
        </w:rPr>
        <w:t>号码有误、</w:t>
      </w:r>
      <w:r>
        <w:rPr>
          <w:rFonts w:hint="eastAsia"/>
          <w:color w:val="auto"/>
          <w:sz w:val="24"/>
        </w:rPr>
        <w:t>电话及邮箱</w:t>
      </w:r>
      <w:r>
        <w:rPr>
          <w:color w:val="auto"/>
          <w:sz w:val="24"/>
        </w:rPr>
        <w:t>线路故障或</w:t>
      </w:r>
      <w:r>
        <w:rPr>
          <w:rFonts w:hAnsi="宋体"/>
          <w:color w:val="auto"/>
          <w:sz w:val="24"/>
        </w:rPr>
        <w:t>其它任何意外情形，</w:t>
      </w:r>
      <w:r>
        <w:rPr>
          <w:color w:val="auto"/>
          <w:sz w:val="24"/>
        </w:rPr>
        <w:t>导致</w:t>
      </w:r>
      <w:r>
        <w:rPr>
          <w:rFonts w:hAnsi="宋体"/>
          <w:color w:val="auto"/>
          <w:sz w:val="24"/>
        </w:rPr>
        <w:t>所发出的</w:t>
      </w:r>
      <w:r>
        <w:rPr>
          <w:color w:val="auto"/>
          <w:sz w:val="24"/>
        </w:rPr>
        <w:t>通知延迟送达或无法送达投标人，</w:t>
      </w:r>
      <w:r>
        <w:rPr>
          <w:rFonts w:hint="eastAsia" w:hAnsi="宋体"/>
          <w:color w:val="auto"/>
          <w:sz w:val="24"/>
        </w:rPr>
        <w:t>招标代理机构</w:t>
      </w:r>
      <w:r>
        <w:rPr>
          <w:color w:val="auto"/>
          <w:sz w:val="24"/>
        </w:rPr>
        <w:t>不承担责任。</w:t>
      </w:r>
    </w:p>
    <w:p>
      <w:pPr>
        <w:numPr>
          <w:ilvl w:val="1"/>
          <w:numId w:val="5"/>
        </w:numPr>
        <w:tabs>
          <w:tab w:val="left" w:pos="525"/>
          <w:tab w:val="left" w:pos="630"/>
        </w:tabs>
        <w:spacing w:line="480" w:lineRule="auto"/>
        <w:outlineLvl w:val="3"/>
        <w:rPr>
          <w:b/>
          <w:color w:val="auto"/>
          <w:sz w:val="24"/>
        </w:rPr>
      </w:pPr>
      <w:bookmarkStart w:id="26" w:name="_Toc264616639"/>
      <w:r>
        <w:rPr>
          <w:rFonts w:hint="eastAsia" w:hAnsi="宋体"/>
          <w:b/>
          <w:color w:val="auto"/>
          <w:sz w:val="24"/>
          <w:lang w:eastAsia="zh-CN"/>
        </w:rPr>
        <w:t>磋商</w:t>
      </w:r>
      <w:r>
        <w:rPr>
          <w:rFonts w:hAnsi="宋体"/>
          <w:b/>
          <w:color w:val="auto"/>
          <w:sz w:val="24"/>
        </w:rPr>
        <w:t>文件的解释权</w:t>
      </w:r>
      <w:bookmarkEnd w:id="26"/>
    </w:p>
    <w:p>
      <w:pPr>
        <w:tabs>
          <w:tab w:val="left" w:pos="840"/>
        </w:tabs>
        <w:spacing w:line="360" w:lineRule="auto"/>
        <w:ind w:firstLine="480" w:firstLineChars="200"/>
        <w:rPr>
          <w:color w:val="auto"/>
          <w:sz w:val="24"/>
        </w:rPr>
      </w:pPr>
      <w:r>
        <w:rPr>
          <w:color w:val="auto"/>
          <w:sz w:val="24"/>
        </w:rPr>
        <w:t>本</w:t>
      </w:r>
      <w:r>
        <w:rPr>
          <w:rFonts w:hint="eastAsia" w:hAnsi="宋体"/>
          <w:color w:val="auto"/>
          <w:sz w:val="24"/>
          <w:lang w:eastAsia="zh-CN"/>
        </w:rPr>
        <w:t>磋商</w:t>
      </w:r>
      <w:r>
        <w:rPr>
          <w:rFonts w:hAnsi="宋体"/>
          <w:color w:val="auto"/>
          <w:sz w:val="24"/>
        </w:rPr>
        <w:t>文件</w:t>
      </w:r>
      <w:r>
        <w:rPr>
          <w:color w:val="auto"/>
          <w:sz w:val="24"/>
        </w:rPr>
        <w:t>的解释权归“</w:t>
      </w:r>
      <w:r>
        <w:rPr>
          <w:rFonts w:hint="eastAsia"/>
          <w:color w:val="auto"/>
          <w:sz w:val="24"/>
          <w:lang w:eastAsia="zh-CN"/>
        </w:rPr>
        <w:t>新疆华域建设工程项目管理咨询有限公司</w:t>
      </w:r>
      <w:r>
        <w:rPr>
          <w:rFonts w:hint="eastAsia"/>
          <w:color w:val="auto"/>
          <w:sz w:val="24"/>
          <w:lang w:val="en-US" w:eastAsia="zh-CN"/>
        </w:rPr>
        <w:t>或招标人</w:t>
      </w:r>
      <w:r>
        <w:rPr>
          <w:rFonts w:hint="eastAsia"/>
          <w:color w:val="auto"/>
          <w:sz w:val="24"/>
        </w:rPr>
        <w:t xml:space="preserve"> </w:t>
      </w:r>
      <w:r>
        <w:rPr>
          <w:color w:val="auto"/>
          <w:sz w:val="24"/>
        </w:rPr>
        <w:t>”所有。</w:t>
      </w:r>
    </w:p>
    <w:p>
      <w:pPr>
        <w:pStyle w:val="6"/>
        <w:keepLines/>
        <w:numPr>
          <w:ilvl w:val="0"/>
          <w:numId w:val="5"/>
        </w:numPr>
        <w:spacing w:before="260" w:after="260" w:line="400" w:lineRule="exact"/>
        <w:rPr>
          <w:rFonts w:ascii="Times New Roman" w:hAnsi="Times New Roman"/>
          <w:color w:val="auto"/>
        </w:rPr>
      </w:pPr>
      <w:bookmarkStart w:id="27" w:name="_Toc12078"/>
      <w:bookmarkStart w:id="28" w:name="_Toc272350607"/>
      <w:bookmarkStart w:id="29" w:name="_Toc226521693"/>
      <w:bookmarkStart w:id="30" w:name="_Toc271105677"/>
      <w:bookmarkStart w:id="31" w:name="_Toc279046866"/>
      <w:bookmarkStart w:id="32" w:name="_Toc130695593"/>
      <w:bookmarkStart w:id="33" w:name="_Toc277758486"/>
      <w:bookmarkStart w:id="34" w:name="_Toc243923368"/>
      <w:bookmarkStart w:id="35" w:name="_Toc243743354"/>
      <w:bookmarkStart w:id="36" w:name="_Toc226966681"/>
      <w:bookmarkStart w:id="37" w:name="_Toc278958159"/>
      <w:bookmarkStart w:id="38" w:name="_Toc153615290"/>
      <w:bookmarkStart w:id="39" w:name="_Toc245203881"/>
      <w:bookmarkStart w:id="40" w:name="_Toc49135196"/>
      <w:bookmarkStart w:id="41" w:name="_Toc49082410"/>
      <w:bookmarkStart w:id="42" w:name="_Toc130697185"/>
      <w:bookmarkStart w:id="43" w:name="_Toc209258273"/>
      <w:bookmarkStart w:id="44" w:name="_Toc191353015"/>
      <w:bookmarkStart w:id="45" w:name="_Toc185747579"/>
      <w:r>
        <w:rPr>
          <w:rFonts w:hint="eastAsia" w:ascii="Times New Roman"/>
          <w:color w:val="auto"/>
          <w:lang w:eastAsia="zh-CN"/>
        </w:rPr>
        <w:t>磋商</w:t>
      </w:r>
      <w:r>
        <w:rPr>
          <w:rFonts w:ascii="Times New Roman"/>
          <w:color w:val="auto"/>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b/>
          <w:bCs/>
          <w:color w:val="auto"/>
          <w:sz w:val="24"/>
        </w:rPr>
      </w:pPr>
      <w:r>
        <w:rPr>
          <w:rFonts w:hint="eastAsia"/>
          <w:b/>
          <w:bCs/>
          <w:color w:val="auto"/>
          <w:sz w:val="24"/>
          <w:lang w:eastAsia="zh-CN"/>
        </w:rPr>
        <w:t>磋商</w:t>
      </w:r>
      <w:r>
        <w:rPr>
          <w:b/>
          <w:bCs/>
          <w:color w:val="auto"/>
          <w:sz w:val="24"/>
        </w:rPr>
        <w:t>文件的组成</w:t>
      </w:r>
    </w:p>
    <w:p>
      <w:pPr>
        <w:spacing w:line="360" w:lineRule="auto"/>
        <w:ind w:firstLine="240"/>
        <w:rPr>
          <w:color w:val="auto"/>
          <w:sz w:val="24"/>
        </w:rPr>
      </w:pPr>
      <w:r>
        <w:rPr>
          <w:rFonts w:hAnsi="宋体"/>
          <w:color w:val="auto"/>
          <w:sz w:val="24"/>
        </w:rPr>
        <w:t>（</w:t>
      </w:r>
      <w:r>
        <w:rPr>
          <w:color w:val="auto"/>
          <w:sz w:val="24"/>
        </w:rPr>
        <w:t>1</w:t>
      </w:r>
      <w:r>
        <w:rPr>
          <w:rFonts w:hAnsi="宋体"/>
          <w:color w:val="auto"/>
          <w:sz w:val="24"/>
        </w:rPr>
        <w:t>）</w:t>
      </w:r>
      <w:r>
        <w:rPr>
          <w:rFonts w:hint="eastAsia" w:hAnsi="宋体"/>
          <w:color w:val="auto"/>
          <w:sz w:val="24"/>
        </w:rPr>
        <w:t>公告</w:t>
      </w:r>
    </w:p>
    <w:p>
      <w:pPr>
        <w:spacing w:line="360" w:lineRule="auto"/>
        <w:ind w:firstLine="240"/>
        <w:rPr>
          <w:color w:val="auto"/>
          <w:sz w:val="24"/>
        </w:rPr>
      </w:pPr>
      <w:r>
        <w:rPr>
          <w:rFonts w:hAnsi="宋体"/>
          <w:color w:val="auto"/>
          <w:sz w:val="24"/>
        </w:rPr>
        <w:t>（</w:t>
      </w:r>
      <w:r>
        <w:rPr>
          <w:color w:val="auto"/>
          <w:sz w:val="24"/>
        </w:rPr>
        <w:t>2</w:t>
      </w:r>
      <w:r>
        <w:rPr>
          <w:rFonts w:hAnsi="宋体"/>
          <w:color w:val="auto"/>
          <w:sz w:val="24"/>
        </w:rPr>
        <w:t>）投标人须知</w:t>
      </w:r>
    </w:p>
    <w:p>
      <w:pPr>
        <w:spacing w:line="360" w:lineRule="auto"/>
        <w:ind w:firstLine="240"/>
        <w:rPr>
          <w:color w:val="auto"/>
          <w:sz w:val="24"/>
        </w:rPr>
      </w:pPr>
      <w:r>
        <w:rPr>
          <w:rFonts w:hAnsi="宋体"/>
          <w:color w:val="auto"/>
          <w:sz w:val="24"/>
        </w:rPr>
        <w:t>（</w:t>
      </w:r>
      <w:r>
        <w:rPr>
          <w:color w:val="auto"/>
          <w:sz w:val="24"/>
        </w:rPr>
        <w:t>3</w:t>
      </w:r>
      <w:r>
        <w:rPr>
          <w:rFonts w:hAnsi="宋体"/>
          <w:color w:val="auto"/>
          <w:sz w:val="24"/>
        </w:rPr>
        <w:t>）采购人需求</w:t>
      </w:r>
    </w:p>
    <w:p>
      <w:pPr>
        <w:spacing w:line="360" w:lineRule="auto"/>
        <w:ind w:firstLine="240"/>
        <w:rPr>
          <w:color w:val="auto"/>
          <w:sz w:val="24"/>
        </w:rPr>
      </w:pPr>
      <w:r>
        <w:rPr>
          <w:rFonts w:hAnsi="宋体"/>
          <w:color w:val="auto"/>
          <w:sz w:val="24"/>
        </w:rPr>
        <w:t>（</w:t>
      </w:r>
      <w:r>
        <w:rPr>
          <w:color w:val="auto"/>
          <w:sz w:val="24"/>
        </w:rPr>
        <w:t>4</w:t>
      </w:r>
      <w:r>
        <w:rPr>
          <w:rFonts w:hAnsi="宋体"/>
          <w:color w:val="auto"/>
          <w:sz w:val="24"/>
        </w:rPr>
        <w:t>）政府采购合同</w:t>
      </w:r>
    </w:p>
    <w:p>
      <w:pPr>
        <w:spacing w:line="360" w:lineRule="auto"/>
        <w:ind w:firstLine="240"/>
        <w:rPr>
          <w:color w:val="auto"/>
          <w:sz w:val="24"/>
        </w:rPr>
      </w:pPr>
      <w:r>
        <w:rPr>
          <w:rFonts w:hAnsi="宋体"/>
          <w:color w:val="auto"/>
          <w:sz w:val="24"/>
        </w:rPr>
        <w:t>（</w:t>
      </w:r>
      <w:r>
        <w:rPr>
          <w:color w:val="auto"/>
          <w:sz w:val="24"/>
        </w:rPr>
        <w:t>5</w:t>
      </w:r>
      <w:r>
        <w:rPr>
          <w:rFonts w:hAnsi="宋体"/>
          <w:color w:val="auto"/>
          <w:sz w:val="24"/>
        </w:rPr>
        <w:t>）投标文件格式</w:t>
      </w:r>
    </w:p>
    <w:p>
      <w:pPr>
        <w:spacing w:line="360" w:lineRule="auto"/>
        <w:ind w:firstLine="240"/>
        <w:rPr>
          <w:color w:val="auto"/>
          <w:sz w:val="24"/>
        </w:rPr>
      </w:pPr>
      <w:r>
        <w:rPr>
          <w:rFonts w:hAnsi="宋体"/>
          <w:color w:val="auto"/>
          <w:sz w:val="24"/>
        </w:rPr>
        <w:t>（</w:t>
      </w:r>
      <w:r>
        <w:rPr>
          <w:color w:val="auto"/>
          <w:sz w:val="24"/>
        </w:rPr>
        <w:t>6</w:t>
      </w:r>
      <w:r>
        <w:rPr>
          <w:rFonts w:hAnsi="宋体"/>
          <w:color w:val="auto"/>
          <w:sz w:val="24"/>
        </w:rPr>
        <w:t>）附件：评标文件</w:t>
      </w:r>
    </w:p>
    <w:p>
      <w:pPr>
        <w:spacing w:line="360" w:lineRule="auto"/>
        <w:ind w:firstLine="240"/>
        <w:rPr>
          <w:color w:val="auto"/>
          <w:sz w:val="24"/>
        </w:rPr>
      </w:pPr>
      <w:r>
        <w:rPr>
          <w:rFonts w:hAnsi="宋体"/>
          <w:color w:val="auto"/>
          <w:sz w:val="24"/>
        </w:rPr>
        <w:t>（</w:t>
      </w:r>
      <w:r>
        <w:rPr>
          <w:color w:val="auto"/>
          <w:sz w:val="24"/>
        </w:rPr>
        <w:t>7</w:t>
      </w:r>
      <w:r>
        <w:rPr>
          <w:rFonts w:hAnsi="宋体"/>
          <w:color w:val="auto"/>
          <w:sz w:val="24"/>
        </w:rPr>
        <w:t>）根据</w:t>
      </w:r>
      <w:r>
        <w:rPr>
          <w:rFonts w:hint="eastAsia" w:hAnsi="宋体"/>
          <w:color w:val="auto"/>
          <w:sz w:val="24"/>
          <w:lang w:eastAsia="zh-CN"/>
        </w:rPr>
        <w:t>磋商</w:t>
      </w:r>
      <w:r>
        <w:rPr>
          <w:rFonts w:hAnsi="宋体"/>
          <w:color w:val="auto"/>
          <w:sz w:val="24"/>
        </w:rPr>
        <w:t>文件规定发出的澄清、修改及补充文件（如有）；</w:t>
      </w:r>
    </w:p>
    <w:p>
      <w:pPr>
        <w:numPr>
          <w:ilvl w:val="1"/>
          <w:numId w:val="5"/>
        </w:numPr>
        <w:tabs>
          <w:tab w:val="left" w:pos="420"/>
          <w:tab w:val="left" w:pos="525"/>
          <w:tab w:val="clear" w:pos="567"/>
        </w:tabs>
        <w:spacing w:line="480" w:lineRule="auto"/>
        <w:ind w:left="420" w:hanging="420"/>
        <w:outlineLvl w:val="3"/>
        <w:rPr>
          <w:b/>
          <w:bCs/>
          <w:color w:val="auto"/>
          <w:sz w:val="24"/>
        </w:rPr>
      </w:pPr>
      <w:r>
        <w:rPr>
          <w:rFonts w:hint="eastAsia"/>
          <w:b/>
          <w:bCs/>
          <w:color w:val="auto"/>
          <w:sz w:val="24"/>
          <w:lang w:eastAsia="zh-CN"/>
        </w:rPr>
        <w:t>磋商</w:t>
      </w:r>
      <w:r>
        <w:rPr>
          <w:b/>
          <w:bCs/>
          <w:color w:val="auto"/>
          <w:sz w:val="24"/>
        </w:rPr>
        <w:t>文件的澄清</w:t>
      </w:r>
    </w:p>
    <w:p>
      <w:pPr>
        <w:spacing w:line="360" w:lineRule="auto"/>
        <w:ind w:left="154" w:firstLine="444" w:firstLineChars="185"/>
        <w:rPr>
          <w:color w:val="auto"/>
          <w:sz w:val="24"/>
        </w:rPr>
      </w:pPr>
      <w:r>
        <w:rPr>
          <w:rFonts w:hAnsi="宋体"/>
          <w:bCs/>
          <w:color w:val="auto"/>
          <w:sz w:val="24"/>
        </w:rPr>
        <w:t>投标人如对</w:t>
      </w:r>
      <w:r>
        <w:rPr>
          <w:rFonts w:hint="eastAsia" w:hAnsi="宋体"/>
          <w:bCs/>
          <w:color w:val="auto"/>
          <w:sz w:val="24"/>
          <w:lang w:eastAsia="zh-CN"/>
        </w:rPr>
        <w:t>磋商</w:t>
      </w:r>
      <w:r>
        <w:rPr>
          <w:rFonts w:hAnsi="宋体"/>
          <w:bCs/>
          <w:color w:val="auto"/>
          <w:sz w:val="24"/>
        </w:rPr>
        <w:t>文件有任何疑问，均应以书面形式</w:t>
      </w:r>
      <w:r>
        <w:rPr>
          <w:rFonts w:hint="eastAsia" w:hAnsi="宋体"/>
          <w:bCs/>
          <w:color w:val="auto"/>
          <w:sz w:val="24"/>
          <w:lang w:val="en-US" w:eastAsia="zh-CN"/>
        </w:rPr>
        <w:t>在投标截止前5日</w:t>
      </w:r>
      <w:r>
        <w:rPr>
          <w:rFonts w:hAnsi="宋体"/>
          <w:bCs/>
          <w:color w:val="auto"/>
          <w:sz w:val="24"/>
        </w:rPr>
        <w:t>（包括书面文字、电传、传真、电报等，应加盖公章）向</w:t>
      </w:r>
      <w:r>
        <w:rPr>
          <w:rFonts w:hint="eastAsia" w:hAnsi="宋体"/>
          <w:bCs/>
          <w:color w:val="auto"/>
          <w:sz w:val="24"/>
        </w:rPr>
        <w:t>招标代理机构</w:t>
      </w:r>
      <w:r>
        <w:rPr>
          <w:rFonts w:hAnsi="宋体"/>
          <w:bCs/>
          <w:color w:val="auto"/>
          <w:sz w:val="24"/>
        </w:rPr>
        <w:t>提出澄清要求，</w:t>
      </w:r>
      <w:r>
        <w:rPr>
          <w:rFonts w:hint="eastAsia" w:hAnsi="宋体"/>
          <w:color w:val="auto"/>
          <w:sz w:val="24"/>
        </w:rPr>
        <w:t>招标代理机构</w:t>
      </w:r>
      <w:r>
        <w:rPr>
          <w:rFonts w:hAnsi="宋体"/>
          <w:color w:val="auto"/>
          <w:sz w:val="24"/>
        </w:rPr>
        <w:t>将用信函、传真、</w:t>
      </w:r>
      <w:r>
        <w:rPr>
          <w:color w:val="auto"/>
          <w:sz w:val="24"/>
        </w:rPr>
        <w:t>E-Mail</w:t>
      </w:r>
      <w:r>
        <w:rPr>
          <w:rFonts w:hAnsi="宋体"/>
          <w:color w:val="auto"/>
          <w:sz w:val="24"/>
        </w:rPr>
        <w:t>等形式做出答复，</w:t>
      </w:r>
      <w:r>
        <w:rPr>
          <w:rFonts w:hint="eastAsia" w:hAnsi="宋体"/>
          <w:color w:val="auto"/>
          <w:sz w:val="24"/>
        </w:rPr>
        <w:t>招标代理机构</w:t>
      </w:r>
      <w:r>
        <w:rPr>
          <w:rFonts w:hAnsi="宋体"/>
          <w:color w:val="auto"/>
          <w:sz w:val="24"/>
        </w:rPr>
        <w:t>认为有必要</w:t>
      </w:r>
      <w:r>
        <w:rPr>
          <w:rFonts w:hint="eastAsia" w:hAnsi="宋体"/>
          <w:color w:val="auto"/>
          <w:sz w:val="24"/>
          <w:lang w:eastAsia="zh-CN"/>
        </w:rPr>
        <w:t>（对</w:t>
      </w:r>
      <w:r>
        <w:rPr>
          <w:rFonts w:hint="eastAsia" w:hAnsi="宋体"/>
          <w:color w:val="auto"/>
          <w:sz w:val="24"/>
          <w:lang w:val="en-US" w:eastAsia="zh-CN"/>
        </w:rPr>
        <w:t>响应磋商文件有影响时）</w:t>
      </w:r>
      <w:r>
        <w:rPr>
          <w:rFonts w:hAnsi="宋体"/>
          <w:color w:val="auto"/>
          <w:sz w:val="24"/>
        </w:rPr>
        <w:t>可将答复内容分发给所有取得同一</w:t>
      </w:r>
      <w:r>
        <w:rPr>
          <w:rFonts w:hint="eastAsia" w:hAnsi="宋体"/>
          <w:color w:val="auto"/>
          <w:sz w:val="24"/>
          <w:lang w:eastAsia="zh-CN"/>
        </w:rPr>
        <w:t>磋商</w:t>
      </w:r>
      <w:r>
        <w:rPr>
          <w:rFonts w:hAnsi="宋体"/>
          <w:color w:val="auto"/>
          <w:sz w:val="24"/>
        </w:rPr>
        <w:t>文件的投标人。</w:t>
      </w:r>
    </w:p>
    <w:p>
      <w:pPr>
        <w:numPr>
          <w:ilvl w:val="1"/>
          <w:numId w:val="5"/>
        </w:numPr>
        <w:tabs>
          <w:tab w:val="left" w:pos="420"/>
          <w:tab w:val="left" w:pos="525"/>
          <w:tab w:val="clear" w:pos="567"/>
        </w:tabs>
        <w:spacing w:line="480" w:lineRule="auto"/>
        <w:ind w:left="420" w:hanging="420"/>
        <w:outlineLvl w:val="3"/>
        <w:rPr>
          <w:b/>
          <w:bCs/>
          <w:color w:val="auto"/>
          <w:sz w:val="24"/>
        </w:rPr>
      </w:pPr>
      <w:r>
        <w:rPr>
          <w:rFonts w:hint="eastAsia"/>
          <w:b/>
          <w:bCs/>
          <w:color w:val="auto"/>
          <w:sz w:val="24"/>
          <w:lang w:eastAsia="zh-CN"/>
        </w:rPr>
        <w:t>磋商</w:t>
      </w:r>
      <w:r>
        <w:rPr>
          <w:b/>
          <w:bCs/>
          <w:color w:val="auto"/>
          <w:sz w:val="24"/>
        </w:rPr>
        <w:t>文件的补充和修改</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对</w:t>
      </w:r>
      <w:r>
        <w:rPr>
          <w:rFonts w:hint="eastAsia" w:hAnsi="宋体"/>
          <w:bCs/>
          <w:color w:val="auto"/>
          <w:sz w:val="24"/>
          <w:lang w:eastAsia="zh-CN"/>
        </w:rPr>
        <w:t>磋商</w:t>
      </w:r>
      <w:r>
        <w:rPr>
          <w:rFonts w:hAnsi="宋体"/>
          <w:bCs/>
          <w:color w:val="auto"/>
          <w:sz w:val="24"/>
        </w:rPr>
        <w:t>文件进行必要的</w:t>
      </w:r>
      <w:r>
        <w:rPr>
          <w:bCs/>
          <w:color w:val="auto"/>
          <w:sz w:val="24"/>
        </w:rPr>
        <w:t>补充</w:t>
      </w:r>
      <w:r>
        <w:rPr>
          <w:color w:val="auto"/>
          <w:sz w:val="24"/>
        </w:rPr>
        <w:t>或</w:t>
      </w:r>
      <w:r>
        <w:rPr>
          <w:rFonts w:hAnsi="宋体"/>
          <w:bCs/>
          <w:color w:val="auto"/>
          <w:sz w:val="24"/>
        </w:rPr>
        <w:t>修改，</w:t>
      </w:r>
      <w:r>
        <w:rPr>
          <w:rFonts w:hint="eastAsia" w:hAnsi="宋体"/>
          <w:bCs/>
          <w:color w:val="auto"/>
          <w:sz w:val="24"/>
        </w:rPr>
        <w:t>代理公司将</w:t>
      </w:r>
      <w:r>
        <w:rPr>
          <w:color w:val="auto"/>
          <w:sz w:val="24"/>
        </w:rPr>
        <w:t>于开标前</w:t>
      </w:r>
      <w:r>
        <w:rPr>
          <w:rFonts w:hint="eastAsia"/>
          <w:color w:val="auto"/>
          <w:sz w:val="24"/>
          <w:lang w:val="en-US" w:eastAsia="zh-CN"/>
        </w:rPr>
        <w:t>5</w:t>
      </w:r>
      <w:r>
        <w:rPr>
          <w:color w:val="auto"/>
          <w:sz w:val="24"/>
        </w:rPr>
        <w:t>天以书面</w:t>
      </w:r>
      <w:r>
        <w:rPr>
          <w:rFonts w:hint="eastAsia"/>
          <w:color w:val="auto"/>
          <w:sz w:val="24"/>
        </w:rPr>
        <w:t>或邮件的</w:t>
      </w:r>
      <w:r>
        <w:rPr>
          <w:color w:val="auto"/>
          <w:sz w:val="24"/>
        </w:rPr>
        <w:t>形式通知所有已获取</w:t>
      </w:r>
      <w:r>
        <w:rPr>
          <w:rFonts w:hint="eastAsia"/>
          <w:color w:val="auto"/>
          <w:sz w:val="24"/>
          <w:lang w:eastAsia="zh-CN"/>
        </w:rPr>
        <w:t>磋商</w:t>
      </w:r>
      <w:r>
        <w:rPr>
          <w:color w:val="auto"/>
          <w:sz w:val="24"/>
        </w:rPr>
        <w:t>文件的</w:t>
      </w:r>
      <w:r>
        <w:rPr>
          <w:rFonts w:hAnsi="宋体"/>
          <w:bCs/>
          <w:color w:val="auto"/>
          <w:sz w:val="24"/>
        </w:rPr>
        <w:t>投标人，</w:t>
      </w:r>
      <w:r>
        <w:rPr>
          <w:color w:val="auto"/>
          <w:sz w:val="24"/>
        </w:rPr>
        <w:t>在收到</w:t>
      </w:r>
      <w:r>
        <w:rPr>
          <w:bCs/>
          <w:color w:val="auto"/>
          <w:sz w:val="24"/>
        </w:rPr>
        <w:t>补充</w:t>
      </w:r>
      <w:r>
        <w:rPr>
          <w:color w:val="auto"/>
          <w:sz w:val="24"/>
        </w:rPr>
        <w:t>或修改通知后应立即以书面形式予以确认，该</w:t>
      </w:r>
      <w:r>
        <w:rPr>
          <w:bCs/>
          <w:color w:val="auto"/>
          <w:sz w:val="24"/>
        </w:rPr>
        <w:t>补充</w:t>
      </w:r>
      <w:r>
        <w:rPr>
          <w:color w:val="auto"/>
          <w:sz w:val="24"/>
        </w:rPr>
        <w:t>或修改的内容为</w:t>
      </w:r>
      <w:r>
        <w:rPr>
          <w:rFonts w:hint="eastAsia"/>
          <w:color w:val="auto"/>
          <w:sz w:val="24"/>
          <w:lang w:eastAsia="zh-CN"/>
        </w:rPr>
        <w:t>磋商</w:t>
      </w:r>
      <w:r>
        <w:rPr>
          <w:color w:val="auto"/>
          <w:sz w:val="24"/>
        </w:rPr>
        <w:t>文件的组成部分；</w:t>
      </w:r>
      <w:r>
        <w:rPr>
          <w:bCs/>
          <w:color w:val="auto"/>
          <w:sz w:val="24"/>
        </w:rPr>
        <w:t>补充</w:t>
      </w:r>
      <w:r>
        <w:rPr>
          <w:color w:val="auto"/>
          <w:sz w:val="24"/>
        </w:rPr>
        <w:t>或修改不足</w:t>
      </w:r>
      <w:r>
        <w:rPr>
          <w:rFonts w:hint="eastAsia"/>
          <w:color w:val="auto"/>
          <w:sz w:val="24"/>
          <w:lang w:val="en-US" w:eastAsia="zh-CN"/>
        </w:rPr>
        <w:t>5</w:t>
      </w:r>
      <w:r>
        <w:rPr>
          <w:color w:val="auto"/>
          <w:sz w:val="24"/>
        </w:rPr>
        <w:t>天的，</w:t>
      </w:r>
      <w:r>
        <w:rPr>
          <w:rFonts w:hint="eastAsia"/>
          <w:color w:val="auto"/>
          <w:sz w:val="24"/>
          <w:lang w:eastAsia="zh-CN"/>
        </w:rPr>
        <w:t>应顺延投标</w:t>
      </w:r>
      <w:r>
        <w:rPr>
          <w:color w:val="auto"/>
          <w:sz w:val="24"/>
        </w:rPr>
        <w:t>截至时间。</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对于投标人澄清要求的回复，或者</w:t>
      </w:r>
      <w:r>
        <w:rPr>
          <w:rFonts w:hint="eastAsia" w:hAnsi="宋体"/>
          <w:bCs/>
          <w:color w:val="auto"/>
          <w:sz w:val="24"/>
          <w:lang w:eastAsia="zh-CN"/>
        </w:rPr>
        <w:t>磋商</w:t>
      </w:r>
      <w:r>
        <w:rPr>
          <w:rFonts w:hAnsi="宋体"/>
          <w:bCs/>
          <w:color w:val="auto"/>
          <w:sz w:val="24"/>
        </w:rPr>
        <w:t>文件的修改补充文件，招标机构均将以书面</w:t>
      </w:r>
      <w:r>
        <w:rPr>
          <w:rFonts w:hint="eastAsia" w:hAnsi="宋体"/>
          <w:bCs/>
          <w:color w:val="auto"/>
          <w:sz w:val="24"/>
        </w:rPr>
        <w:t>或邮件</w:t>
      </w:r>
      <w:r>
        <w:rPr>
          <w:rFonts w:hAnsi="宋体"/>
          <w:bCs/>
          <w:color w:val="auto"/>
          <w:sz w:val="24"/>
        </w:rPr>
        <w:t>形式通知所有投标人。投标人在收到澄清或补充文件后应于</w:t>
      </w:r>
      <w:r>
        <w:rPr>
          <w:bCs/>
          <w:color w:val="auto"/>
          <w:sz w:val="24"/>
        </w:rPr>
        <w:t>24</w:t>
      </w:r>
      <w:r>
        <w:rPr>
          <w:rFonts w:hAnsi="宋体"/>
          <w:bCs/>
          <w:color w:val="auto"/>
          <w:sz w:val="24"/>
        </w:rPr>
        <w:t>小时内，以书面</w:t>
      </w:r>
      <w:r>
        <w:rPr>
          <w:rFonts w:hint="eastAsia" w:hAnsi="宋体"/>
          <w:bCs/>
          <w:color w:val="auto"/>
          <w:sz w:val="24"/>
        </w:rPr>
        <w:t>或邮件</w:t>
      </w:r>
      <w:r>
        <w:rPr>
          <w:rFonts w:hAnsi="宋体"/>
          <w:bCs/>
          <w:color w:val="auto"/>
          <w:sz w:val="24"/>
        </w:rPr>
        <w:t>形式予以确认，如澄清或补充文件发出后</w:t>
      </w:r>
      <w:r>
        <w:rPr>
          <w:bCs/>
          <w:color w:val="auto"/>
          <w:sz w:val="24"/>
        </w:rPr>
        <w:t>24</w:t>
      </w:r>
      <w:r>
        <w:rPr>
          <w:rFonts w:hAnsi="宋体"/>
          <w:bCs/>
          <w:color w:val="auto"/>
          <w:sz w:val="24"/>
        </w:rPr>
        <w:t>小时内未收到投标人书面确认，则视为投标人已确认。</w:t>
      </w:r>
    </w:p>
    <w:p>
      <w:pPr>
        <w:numPr>
          <w:ilvl w:val="2"/>
          <w:numId w:val="5"/>
        </w:numPr>
        <w:tabs>
          <w:tab w:val="left" w:pos="735"/>
          <w:tab w:val="left" w:pos="1254"/>
        </w:tabs>
        <w:spacing w:line="360" w:lineRule="auto"/>
        <w:ind w:left="735" w:hanging="735"/>
        <w:rPr>
          <w:bCs/>
          <w:color w:val="auto"/>
          <w:sz w:val="24"/>
        </w:rPr>
      </w:pPr>
      <w:r>
        <w:rPr>
          <w:rFonts w:hint="eastAsia" w:hAnsi="宋体"/>
          <w:bCs/>
          <w:color w:val="auto"/>
          <w:sz w:val="24"/>
          <w:lang w:eastAsia="zh-CN"/>
        </w:rPr>
        <w:t>磋商</w:t>
      </w:r>
      <w:r>
        <w:rPr>
          <w:rFonts w:hAnsi="宋体"/>
          <w:bCs/>
          <w:color w:val="auto"/>
          <w:sz w:val="24"/>
        </w:rPr>
        <w:t>过程中的一切修改文件或补充文件一旦确认后与</w:t>
      </w:r>
      <w:r>
        <w:rPr>
          <w:rFonts w:hint="eastAsia" w:hAnsi="宋体"/>
          <w:bCs/>
          <w:color w:val="auto"/>
          <w:sz w:val="24"/>
          <w:lang w:eastAsia="zh-CN"/>
        </w:rPr>
        <w:t>磋商</w:t>
      </w:r>
      <w:r>
        <w:rPr>
          <w:rFonts w:hAnsi="宋体"/>
          <w:bCs/>
          <w:color w:val="auto"/>
          <w:sz w:val="24"/>
        </w:rPr>
        <w:t>文件具有同等法律效力，投标人有责任履行相应的义务。</w:t>
      </w:r>
    </w:p>
    <w:p>
      <w:pPr>
        <w:numPr>
          <w:ilvl w:val="2"/>
          <w:numId w:val="5"/>
        </w:numPr>
        <w:tabs>
          <w:tab w:val="left" w:pos="735"/>
          <w:tab w:val="left" w:pos="1254"/>
        </w:tabs>
        <w:spacing w:line="360" w:lineRule="auto"/>
        <w:ind w:left="735" w:hanging="735"/>
        <w:rPr>
          <w:color w:val="auto"/>
          <w:sz w:val="24"/>
        </w:rPr>
      </w:pPr>
      <w:r>
        <w:rPr>
          <w:rFonts w:hAnsi="宋体"/>
          <w:bCs/>
          <w:color w:val="auto"/>
          <w:sz w:val="24"/>
        </w:rPr>
        <w:t>为使潜在投标人有合理的时间理解</w:t>
      </w:r>
      <w:r>
        <w:rPr>
          <w:rFonts w:hint="eastAsia" w:hAnsi="宋体"/>
          <w:bCs/>
          <w:color w:val="auto"/>
          <w:sz w:val="24"/>
          <w:lang w:eastAsia="zh-CN"/>
        </w:rPr>
        <w:t>磋商</w:t>
      </w:r>
      <w:r>
        <w:rPr>
          <w:rFonts w:hAnsi="宋体"/>
          <w:bCs/>
          <w:color w:val="auto"/>
          <w:sz w:val="24"/>
        </w:rPr>
        <w:t>文件的修改，</w:t>
      </w:r>
      <w:r>
        <w:rPr>
          <w:rFonts w:hint="eastAsia" w:hAnsi="宋体"/>
          <w:bCs/>
          <w:color w:val="auto"/>
          <w:sz w:val="24"/>
        </w:rPr>
        <w:t>招标代理机构</w:t>
      </w:r>
      <w:r>
        <w:rPr>
          <w:rFonts w:hAnsi="宋体"/>
          <w:bCs/>
          <w:color w:val="auto"/>
          <w:sz w:val="24"/>
        </w:rPr>
        <w:t>可酌情推迟投标截止日期和开标时间，</w:t>
      </w:r>
      <w:r>
        <w:rPr>
          <w:color w:val="auto"/>
          <w:sz w:val="24"/>
        </w:rPr>
        <w:t>但至少应当在规定的投标截止时间三日前，将变更时间书面通知所有</w:t>
      </w:r>
      <w:r>
        <w:rPr>
          <w:rFonts w:hint="eastAsia"/>
          <w:color w:val="auto"/>
          <w:sz w:val="24"/>
          <w:lang w:eastAsia="zh-CN"/>
        </w:rPr>
        <w:t>磋商</w:t>
      </w:r>
      <w:r>
        <w:rPr>
          <w:color w:val="auto"/>
          <w:sz w:val="24"/>
        </w:rPr>
        <w:t>文件收受人。</w:t>
      </w:r>
    </w:p>
    <w:p>
      <w:pPr>
        <w:pStyle w:val="6"/>
        <w:keepLines/>
        <w:numPr>
          <w:ilvl w:val="0"/>
          <w:numId w:val="5"/>
        </w:numPr>
        <w:spacing w:before="260" w:after="260" w:line="400" w:lineRule="exact"/>
        <w:rPr>
          <w:rFonts w:ascii="Times New Roman" w:hAnsi="Times New Roman"/>
          <w:color w:val="auto"/>
        </w:rPr>
      </w:pPr>
      <w:bookmarkStart w:id="46" w:name="_Toc130697186"/>
      <w:bookmarkStart w:id="47" w:name="_Toc130695594"/>
      <w:bookmarkStart w:id="48" w:name="_Toc49135197"/>
      <w:bookmarkStart w:id="49" w:name="_Toc153615291"/>
      <w:bookmarkStart w:id="50" w:name="_Toc49082411"/>
      <w:bookmarkStart w:id="51" w:name="_Toc277758487"/>
      <w:bookmarkStart w:id="52" w:name="_Toc243743355"/>
      <w:bookmarkStart w:id="53" w:name="_Toc272350608"/>
      <w:bookmarkStart w:id="54" w:name="_Toc209258274"/>
      <w:bookmarkStart w:id="55" w:name="_Toc191353016"/>
      <w:bookmarkStart w:id="56" w:name="_Toc271105678"/>
      <w:bookmarkStart w:id="57" w:name="_Toc278958160"/>
      <w:bookmarkStart w:id="58" w:name="_Toc226521694"/>
      <w:bookmarkStart w:id="59" w:name="_Toc245203882"/>
      <w:bookmarkStart w:id="60" w:name="_Toc226966682"/>
      <w:bookmarkStart w:id="61" w:name="_Toc243923369"/>
      <w:bookmarkStart w:id="62" w:name="_Toc24217"/>
      <w:bookmarkStart w:id="63" w:name="_Toc279046867"/>
      <w:bookmarkStart w:id="64" w:name="_Toc185747580"/>
      <w:r>
        <w:rPr>
          <w:rFonts w:ascii="Times New Roman"/>
          <w:color w:val="auto"/>
        </w:rPr>
        <w:t>投标</w:t>
      </w:r>
      <w:bookmarkEnd w:id="46"/>
      <w:bookmarkEnd w:id="47"/>
      <w:bookmarkEnd w:id="48"/>
      <w:bookmarkEnd w:id="49"/>
      <w:bookmarkEnd w:id="50"/>
      <w:r>
        <w:rPr>
          <w:rFonts w:ascii="Times New Roman"/>
          <w:color w:val="auto"/>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投标文件的编写</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投标人应仔细阅读</w:t>
      </w:r>
      <w:r>
        <w:rPr>
          <w:rFonts w:hint="eastAsia" w:hAnsi="宋体"/>
          <w:bCs/>
          <w:color w:val="auto"/>
          <w:sz w:val="24"/>
          <w:lang w:eastAsia="zh-CN"/>
        </w:rPr>
        <w:t>磋商</w:t>
      </w:r>
      <w:r>
        <w:rPr>
          <w:rFonts w:hAnsi="宋体"/>
          <w:bCs/>
          <w:color w:val="auto"/>
          <w:sz w:val="24"/>
        </w:rPr>
        <w:t>文件的所有内容，按</w:t>
      </w:r>
      <w:r>
        <w:rPr>
          <w:rFonts w:hint="eastAsia" w:hAnsi="宋体"/>
          <w:bCs/>
          <w:color w:val="auto"/>
          <w:sz w:val="24"/>
          <w:lang w:eastAsia="zh-CN"/>
        </w:rPr>
        <w:t>磋商</w:t>
      </w:r>
      <w:r>
        <w:rPr>
          <w:rFonts w:hAnsi="宋体"/>
          <w:bCs/>
          <w:color w:val="auto"/>
          <w:sz w:val="24"/>
        </w:rPr>
        <w:t>文件的要求制作并递交投标文件，并保证所提供的全部资料的真实性、准确性，以确保其投标对</w:t>
      </w:r>
      <w:r>
        <w:rPr>
          <w:rFonts w:hint="eastAsia" w:hAnsi="宋体"/>
          <w:bCs/>
          <w:color w:val="auto"/>
          <w:sz w:val="24"/>
          <w:lang w:eastAsia="zh-CN"/>
        </w:rPr>
        <w:t>磋商</w:t>
      </w:r>
      <w:r>
        <w:rPr>
          <w:rFonts w:hAnsi="宋体"/>
          <w:bCs/>
          <w:color w:val="auto"/>
          <w:sz w:val="24"/>
        </w:rPr>
        <w:t>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color w:val="auto"/>
          <w:sz w:val="24"/>
        </w:rPr>
      </w:pPr>
      <w:r>
        <w:rPr>
          <w:rFonts w:hAnsi="宋体"/>
          <w:color w:val="auto"/>
          <w:sz w:val="24"/>
        </w:rPr>
        <w:t>本项目不接受备选投标方案或备选的投标货物型号</w:t>
      </w:r>
      <w:r>
        <w:rPr>
          <w:color w:val="auto"/>
          <w:sz w:val="24"/>
        </w:rPr>
        <w:t>/</w:t>
      </w:r>
      <w:r>
        <w:rPr>
          <w:rFonts w:hAnsi="宋体"/>
          <w:color w:val="auto"/>
          <w:sz w:val="24"/>
        </w:rPr>
        <w:t>规格，投标文件的报价只允许有一个报价，</w:t>
      </w:r>
      <w:r>
        <w:rPr>
          <w:rFonts w:hint="eastAsia" w:hAnsi="宋体"/>
          <w:color w:val="auto"/>
          <w:sz w:val="24"/>
        </w:rPr>
        <w:t>招标代理机构</w:t>
      </w:r>
      <w:r>
        <w:rPr>
          <w:rFonts w:hAnsi="宋体"/>
          <w:color w:val="auto"/>
          <w:sz w:val="24"/>
        </w:rPr>
        <w:t>不接受有任何选择的报价</w:t>
      </w:r>
      <w:r>
        <w:rPr>
          <w:rFonts w:hAnsi="宋体"/>
          <w:bCs/>
          <w:color w:val="auto"/>
          <w:sz w:val="24"/>
        </w:rPr>
        <w:t>。</w:t>
      </w:r>
    </w:p>
    <w:p>
      <w:pPr>
        <w:numPr>
          <w:ilvl w:val="2"/>
          <w:numId w:val="5"/>
        </w:numPr>
        <w:tabs>
          <w:tab w:val="left" w:pos="735"/>
          <w:tab w:val="left" w:pos="1254"/>
        </w:tabs>
        <w:spacing w:line="360" w:lineRule="auto"/>
        <w:ind w:left="735" w:hanging="735"/>
        <w:rPr>
          <w:b/>
          <w:color w:val="auto"/>
          <w:sz w:val="24"/>
        </w:rPr>
      </w:pPr>
      <w:r>
        <w:rPr>
          <w:rFonts w:hAnsi="宋体"/>
          <w:b/>
          <w:color w:val="auto"/>
          <w:sz w:val="24"/>
        </w:rPr>
        <w:t>本项目投标报价</w:t>
      </w:r>
      <w:r>
        <w:rPr>
          <w:rFonts w:hint="eastAsia" w:hAnsi="宋体"/>
          <w:b/>
          <w:color w:val="auto"/>
          <w:sz w:val="24"/>
          <w:lang w:val="en-US" w:eastAsia="zh-CN"/>
        </w:rPr>
        <w:t>应包含所有履约费用</w:t>
      </w:r>
      <w:r>
        <w:rPr>
          <w:rFonts w:hint="eastAsia" w:hAnsi="宋体"/>
          <w:b/>
          <w:color w:val="auto"/>
          <w:sz w:val="24"/>
          <w:lang w:eastAsia="zh-CN"/>
        </w:rPr>
        <w:t>。</w:t>
      </w:r>
      <w:r>
        <w:rPr>
          <w:rFonts w:hint="eastAsia" w:hAnsi="宋体"/>
          <w:b/>
          <w:color w:val="auto"/>
          <w:sz w:val="24"/>
        </w:rPr>
        <w:t>除本招标文件另有规定外，投标供应商应按招标文件所附相应的开标一览表格式标明拟提供</w:t>
      </w:r>
      <w:r>
        <w:rPr>
          <w:rFonts w:hint="eastAsia" w:hAnsi="宋体"/>
          <w:b/>
          <w:color w:val="auto"/>
          <w:sz w:val="24"/>
          <w:lang w:val="en-US" w:eastAsia="zh-CN"/>
        </w:rPr>
        <w:t>货物</w:t>
      </w:r>
      <w:r>
        <w:rPr>
          <w:rFonts w:hint="eastAsia" w:hAnsi="宋体"/>
          <w:b/>
          <w:color w:val="auto"/>
          <w:sz w:val="24"/>
        </w:rPr>
        <w:t>的总价</w:t>
      </w:r>
      <w:r>
        <w:rPr>
          <w:rFonts w:hint="eastAsia" w:hAnsi="宋体"/>
          <w:b/>
          <w:color w:val="auto"/>
          <w:sz w:val="24"/>
          <w:lang w:eastAsia="zh-CN"/>
        </w:rPr>
        <w:t>、</w:t>
      </w:r>
      <w:r>
        <w:rPr>
          <w:rFonts w:hint="eastAsia" w:hAnsi="宋体"/>
          <w:b/>
          <w:color w:val="auto"/>
          <w:sz w:val="24"/>
          <w:lang w:val="en-US" w:eastAsia="zh-CN"/>
        </w:rPr>
        <w:t>合同履约期限、质保期等（以开标一览表格式为准）</w:t>
      </w:r>
      <w:r>
        <w:rPr>
          <w:rFonts w:hint="eastAsia" w:hAnsi="宋体"/>
          <w:b/>
          <w:color w:val="auto"/>
          <w:sz w:val="24"/>
          <w:lang w:eastAsia="zh-CN"/>
        </w:rPr>
        <w:t>，任何有选择性的报价将不予接受，每种</w:t>
      </w:r>
      <w:r>
        <w:rPr>
          <w:rFonts w:hint="eastAsia" w:hAnsi="宋体"/>
          <w:b/>
          <w:color w:val="auto"/>
          <w:sz w:val="24"/>
          <w:lang w:val="en-US" w:eastAsia="zh-CN"/>
        </w:rPr>
        <w:t>货物</w:t>
      </w:r>
      <w:r>
        <w:rPr>
          <w:rFonts w:hint="eastAsia" w:hAnsi="宋体"/>
          <w:b/>
          <w:color w:val="auto"/>
          <w:sz w:val="24"/>
          <w:lang w:eastAsia="zh-CN"/>
        </w:rPr>
        <w:t>只允许有一个报价</w:t>
      </w:r>
      <w:r>
        <w:rPr>
          <w:rFonts w:hAnsi="宋体"/>
          <w:b/>
          <w:color w:val="auto"/>
          <w:sz w:val="24"/>
        </w:rPr>
        <w:t>。</w:t>
      </w:r>
    </w:p>
    <w:p>
      <w:pPr>
        <w:numPr>
          <w:ilvl w:val="2"/>
          <w:numId w:val="5"/>
        </w:numPr>
        <w:tabs>
          <w:tab w:val="left" w:pos="735"/>
          <w:tab w:val="left" w:pos="1254"/>
        </w:tabs>
        <w:spacing w:line="360" w:lineRule="auto"/>
        <w:ind w:left="735" w:hanging="735"/>
        <w:rPr>
          <w:bCs/>
          <w:color w:val="auto"/>
          <w:sz w:val="24"/>
        </w:rPr>
      </w:pPr>
      <w:r>
        <w:rPr>
          <w:rFonts w:hAnsi="宋体"/>
          <w:b/>
          <w:color w:val="auto"/>
          <w:sz w:val="24"/>
        </w:rPr>
        <w:t>投标人应以人民币报价。投标人漏报的单价或每单价报价中漏报、少报的费用，视为此项费用已隐含在投标报价中，中标人不得再向采购人收取任何费用</w:t>
      </w:r>
      <w:r>
        <w:rPr>
          <w:rFonts w:hAnsi="宋体"/>
          <w:bCs/>
          <w:color w:val="auto"/>
          <w:sz w:val="24"/>
        </w:rPr>
        <w:t>。</w:t>
      </w:r>
    </w:p>
    <w:p>
      <w:pPr>
        <w:numPr>
          <w:ilvl w:val="2"/>
          <w:numId w:val="5"/>
        </w:numPr>
        <w:tabs>
          <w:tab w:val="left" w:pos="735"/>
          <w:tab w:val="left" w:pos="1254"/>
        </w:tabs>
        <w:spacing w:line="360" w:lineRule="auto"/>
        <w:ind w:left="735" w:hanging="735"/>
        <w:rPr>
          <w:bCs/>
          <w:color w:val="auto"/>
          <w:sz w:val="24"/>
          <w:highlight w:val="none"/>
        </w:rPr>
      </w:pPr>
      <w:r>
        <w:rPr>
          <w:rFonts w:hAnsi="宋体"/>
          <w:bCs/>
          <w:color w:val="auto"/>
          <w:sz w:val="24"/>
          <w:highlight w:val="none"/>
        </w:rPr>
        <w:t>开标时，投标文件中开标一览表</w:t>
      </w:r>
      <w:r>
        <w:rPr>
          <w:bCs/>
          <w:color w:val="auto"/>
          <w:sz w:val="24"/>
          <w:highlight w:val="none"/>
        </w:rPr>
        <w:t>(</w:t>
      </w:r>
      <w:r>
        <w:rPr>
          <w:rFonts w:hAnsi="宋体"/>
          <w:bCs/>
          <w:color w:val="auto"/>
          <w:sz w:val="24"/>
          <w:highlight w:val="none"/>
        </w:rPr>
        <w:t>报价表</w:t>
      </w:r>
      <w:r>
        <w:rPr>
          <w:bCs/>
          <w:color w:val="auto"/>
          <w:sz w:val="24"/>
          <w:highlight w:val="none"/>
        </w:rPr>
        <w:t>)</w:t>
      </w:r>
      <w:r>
        <w:rPr>
          <w:rFonts w:hAnsi="宋体"/>
          <w:bCs/>
          <w:color w:val="auto"/>
          <w:sz w:val="24"/>
          <w:highlight w:val="none"/>
        </w:rPr>
        <w:t>内容与投标文件中明细表内容不一致的，以开标一览表</w:t>
      </w:r>
      <w:r>
        <w:rPr>
          <w:bCs/>
          <w:color w:val="auto"/>
          <w:sz w:val="24"/>
          <w:highlight w:val="none"/>
        </w:rPr>
        <w:t>(</w:t>
      </w:r>
      <w:r>
        <w:rPr>
          <w:rFonts w:hAnsi="宋体"/>
          <w:bCs/>
          <w:color w:val="auto"/>
          <w:sz w:val="24"/>
          <w:highlight w:val="none"/>
        </w:rPr>
        <w:t>报价表</w:t>
      </w:r>
      <w:r>
        <w:rPr>
          <w:bCs/>
          <w:color w:val="auto"/>
          <w:sz w:val="24"/>
          <w:highlight w:val="none"/>
        </w:rPr>
        <w:t>)</w:t>
      </w:r>
      <w:r>
        <w:rPr>
          <w:rFonts w:hAnsi="宋体"/>
          <w:bCs/>
          <w:color w:val="auto"/>
          <w:sz w:val="24"/>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投标文件的组成</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投标文件应包括</w:t>
      </w:r>
      <w:r>
        <w:rPr>
          <w:rFonts w:hint="eastAsia" w:hAnsi="宋体"/>
          <w:color w:val="auto"/>
          <w:sz w:val="24"/>
          <w:lang w:eastAsia="zh-CN"/>
        </w:rPr>
        <w:t>但不限于</w:t>
      </w:r>
      <w:r>
        <w:rPr>
          <w:rFonts w:hAnsi="宋体"/>
          <w:color w:val="auto"/>
          <w:sz w:val="24"/>
        </w:rPr>
        <w:t>以下部分（按以下顺序装订）：</w:t>
      </w:r>
    </w:p>
    <w:p>
      <w:pPr>
        <w:numPr>
          <w:ilvl w:val="0"/>
          <w:numId w:val="6"/>
        </w:numPr>
        <w:tabs>
          <w:tab w:val="left" w:pos="1155"/>
          <w:tab w:val="clear" w:pos="720"/>
        </w:tabs>
        <w:spacing w:line="360" w:lineRule="auto"/>
        <w:ind w:left="1050" w:hanging="630"/>
        <w:rPr>
          <w:color w:val="auto"/>
          <w:sz w:val="24"/>
        </w:rPr>
      </w:pPr>
      <w:r>
        <w:rPr>
          <w:rFonts w:hAnsi="宋体"/>
          <w:color w:val="auto"/>
          <w:sz w:val="24"/>
        </w:rPr>
        <w:t>投标书</w:t>
      </w:r>
    </w:p>
    <w:p>
      <w:pPr>
        <w:numPr>
          <w:ilvl w:val="0"/>
          <w:numId w:val="6"/>
        </w:numPr>
        <w:tabs>
          <w:tab w:val="left" w:pos="1155"/>
          <w:tab w:val="clear" w:pos="720"/>
        </w:tabs>
        <w:spacing w:line="360" w:lineRule="auto"/>
        <w:ind w:left="1050" w:hanging="630"/>
        <w:rPr>
          <w:color w:val="auto"/>
          <w:sz w:val="24"/>
        </w:rPr>
      </w:pPr>
      <w:r>
        <w:rPr>
          <w:rFonts w:hAnsi="宋体"/>
          <w:color w:val="auto"/>
          <w:sz w:val="24"/>
        </w:rPr>
        <w:t>投标人基本情况表</w:t>
      </w:r>
    </w:p>
    <w:p>
      <w:pPr>
        <w:numPr>
          <w:ilvl w:val="0"/>
          <w:numId w:val="6"/>
        </w:numPr>
        <w:tabs>
          <w:tab w:val="left" w:pos="1155"/>
          <w:tab w:val="clear" w:pos="720"/>
        </w:tabs>
        <w:spacing w:line="360" w:lineRule="auto"/>
        <w:ind w:left="1050" w:hanging="630"/>
        <w:rPr>
          <w:color w:val="auto"/>
          <w:sz w:val="24"/>
        </w:rPr>
      </w:pPr>
      <w:r>
        <w:rPr>
          <w:rFonts w:hAnsi="宋体"/>
          <w:color w:val="auto"/>
          <w:sz w:val="24"/>
        </w:rPr>
        <w:t>投标一览表</w:t>
      </w:r>
    </w:p>
    <w:p>
      <w:pPr>
        <w:numPr>
          <w:ilvl w:val="0"/>
          <w:numId w:val="6"/>
        </w:numPr>
        <w:tabs>
          <w:tab w:val="left" w:pos="1155"/>
          <w:tab w:val="clear" w:pos="720"/>
        </w:tabs>
        <w:spacing w:line="360" w:lineRule="auto"/>
        <w:ind w:left="1050" w:hanging="630"/>
        <w:rPr>
          <w:rFonts w:hint="eastAsia"/>
          <w:color w:val="auto"/>
          <w:sz w:val="24"/>
        </w:rPr>
      </w:pPr>
      <w:r>
        <w:rPr>
          <w:rFonts w:hint="eastAsia" w:hAnsi="宋体"/>
          <w:color w:val="auto"/>
          <w:sz w:val="24"/>
        </w:rPr>
        <w:t>总体方案说明</w:t>
      </w:r>
    </w:p>
    <w:p>
      <w:pPr>
        <w:numPr>
          <w:ilvl w:val="0"/>
          <w:numId w:val="6"/>
        </w:numPr>
        <w:tabs>
          <w:tab w:val="left" w:pos="1155"/>
          <w:tab w:val="clear" w:pos="720"/>
        </w:tabs>
        <w:spacing w:line="360" w:lineRule="auto"/>
        <w:ind w:left="1050" w:hanging="630"/>
        <w:rPr>
          <w:color w:val="auto"/>
          <w:sz w:val="24"/>
        </w:rPr>
      </w:pPr>
      <w:r>
        <w:rPr>
          <w:rFonts w:hint="eastAsia" w:hAnsi="宋体"/>
          <w:color w:val="auto"/>
          <w:sz w:val="24"/>
        </w:rPr>
        <w:t>详细报价清单</w:t>
      </w:r>
    </w:p>
    <w:p>
      <w:pPr>
        <w:numPr>
          <w:ilvl w:val="0"/>
          <w:numId w:val="6"/>
        </w:numPr>
        <w:tabs>
          <w:tab w:val="left" w:pos="1155"/>
          <w:tab w:val="clear" w:pos="720"/>
        </w:tabs>
        <w:spacing w:line="360" w:lineRule="auto"/>
        <w:ind w:left="1050" w:hanging="630"/>
        <w:rPr>
          <w:color w:val="auto"/>
          <w:sz w:val="24"/>
        </w:rPr>
      </w:pPr>
      <w:r>
        <w:rPr>
          <w:rFonts w:hAnsi="宋体"/>
          <w:color w:val="auto"/>
          <w:sz w:val="24"/>
        </w:rPr>
        <w:t>技术规格差异表</w:t>
      </w:r>
    </w:p>
    <w:p>
      <w:pPr>
        <w:numPr>
          <w:ilvl w:val="0"/>
          <w:numId w:val="6"/>
        </w:numPr>
        <w:tabs>
          <w:tab w:val="left" w:pos="1155"/>
          <w:tab w:val="clear" w:pos="720"/>
        </w:tabs>
        <w:spacing w:line="360" w:lineRule="auto"/>
        <w:ind w:left="1050" w:hanging="630"/>
        <w:rPr>
          <w:color w:val="auto"/>
          <w:sz w:val="24"/>
        </w:rPr>
      </w:pPr>
      <w:r>
        <w:rPr>
          <w:rFonts w:hint="eastAsia" w:hAnsi="宋体"/>
          <w:color w:val="auto"/>
          <w:sz w:val="24"/>
        </w:rPr>
        <w:t>法定代表人证明书</w:t>
      </w:r>
    </w:p>
    <w:p>
      <w:pPr>
        <w:numPr>
          <w:ilvl w:val="0"/>
          <w:numId w:val="6"/>
        </w:numPr>
        <w:tabs>
          <w:tab w:val="left" w:pos="1155"/>
          <w:tab w:val="clear" w:pos="720"/>
        </w:tabs>
        <w:spacing w:line="360" w:lineRule="auto"/>
        <w:ind w:left="1050" w:hanging="630"/>
        <w:rPr>
          <w:color w:val="auto"/>
          <w:sz w:val="24"/>
        </w:rPr>
      </w:pPr>
      <w:r>
        <w:rPr>
          <w:rFonts w:hint="eastAsia" w:hAnsi="宋体"/>
          <w:color w:val="auto"/>
          <w:sz w:val="24"/>
        </w:rPr>
        <w:t>法定代表人授权委托书</w:t>
      </w:r>
    </w:p>
    <w:p>
      <w:pPr>
        <w:numPr>
          <w:ilvl w:val="0"/>
          <w:numId w:val="6"/>
        </w:numPr>
        <w:tabs>
          <w:tab w:val="left" w:pos="1155"/>
          <w:tab w:val="clear" w:pos="720"/>
        </w:tabs>
        <w:spacing w:line="360" w:lineRule="auto"/>
        <w:ind w:left="1050" w:hanging="630"/>
        <w:rPr>
          <w:color w:val="auto"/>
          <w:sz w:val="24"/>
        </w:rPr>
      </w:pPr>
      <w:r>
        <w:rPr>
          <w:rFonts w:hAnsi="宋体"/>
          <w:color w:val="auto"/>
          <w:sz w:val="24"/>
        </w:rPr>
        <w:t>拟派本项目负责人及主要人员情况表</w:t>
      </w:r>
    </w:p>
    <w:p>
      <w:pPr>
        <w:numPr>
          <w:ilvl w:val="0"/>
          <w:numId w:val="6"/>
        </w:numPr>
        <w:tabs>
          <w:tab w:val="left" w:pos="1155"/>
          <w:tab w:val="clear" w:pos="720"/>
        </w:tabs>
        <w:spacing w:line="360" w:lineRule="auto"/>
        <w:ind w:left="1050" w:hanging="630"/>
        <w:rPr>
          <w:rFonts w:hint="eastAsia"/>
          <w:color w:val="auto"/>
          <w:sz w:val="24"/>
        </w:rPr>
      </w:pPr>
      <w:r>
        <w:rPr>
          <w:rFonts w:hint="eastAsia" w:ascii="宋体" w:hAnsi="宋体"/>
          <w:color w:val="auto"/>
          <w:sz w:val="24"/>
        </w:rPr>
        <w:t>2019年</w:t>
      </w:r>
      <w:r>
        <w:rPr>
          <w:rFonts w:hint="eastAsia" w:ascii="宋体" w:hAnsi="宋体"/>
          <w:color w:val="auto"/>
          <w:sz w:val="24"/>
          <w:lang w:eastAsia="zh-CN"/>
        </w:rPr>
        <w:t>12月</w:t>
      </w:r>
      <w:r>
        <w:rPr>
          <w:rFonts w:hint="eastAsia" w:ascii="宋体" w:hAnsi="宋体"/>
          <w:color w:val="auto"/>
          <w:sz w:val="24"/>
        </w:rPr>
        <w:t>至投标文件递交截止日前销售同类产品情况一览表</w:t>
      </w:r>
    </w:p>
    <w:p>
      <w:pPr>
        <w:numPr>
          <w:ilvl w:val="0"/>
          <w:numId w:val="6"/>
        </w:numPr>
        <w:tabs>
          <w:tab w:val="left" w:pos="1155"/>
          <w:tab w:val="clear" w:pos="720"/>
        </w:tabs>
        <w:spacing w:line="360" w:lineRule="auto"/>
        <w:ind w:left="1050" w:hanging="630"/>
        <w:rPr>
          <w:color w:val="auto"/>
          <w:sz w:val="24"/>
        </w:rPr>
      </w:pPr>
      <w:r>
        <w:rPr>
          <w:rFonts w:hint="eastAsia" w:hAnsi="宋体"/>
          <w:color w:val="auto"/>
          <w:sz w:val="24"/>
        </w:rPr>
        <w:t>投标服务方案</w:t>
      </w:r>
    </w:p>
    <w:p>
      <w:pPr>
        <w:numPr>
          <w:ilvl w:val="0"/>
          <w:numId w:val="6"/>
        </w:numPr>
        <w:tabs>
          <w:tab w:val="left" w:pos="1155"/>
          <w:tab w:val="clear" w:pos="720"/>
        </w:tabs>
        <w:spacing w:line="360" w:lineRule="auto"/>
        <w:ind w:left="1050" w:hanging="630"/>
        <w:rPr>
          <w:color w:val="auto"/>
          <w:sz w:val="24"/>
        </w:rPr>
      </w:pPr>
      <w:r>
        <w:rPr>
          <w:rFonts w:hAnsi="宋体"/>
          <w:color w:val="auto"/>
          <w:sz w:val="24"/>
        </w:rPr>
        <w:t>投标人资格文件声明函</w:t>
      </w:r>
    </w:p>
    <w:p>
      <w:pPr>
        <w:numPr>
          <w:ilvl w:val="0"/>
          <w:numId w:val="6"/>
        </w:numPr>
        <w:tabs>
          <w:tab w:val="left" w:pos="1155"/>
          <w:tab w:val="clear" w:pos="720"/>
        </w:tabs>
        <w:spacing w:line="360" w:lineRule="auto"/>
        <w:ind w:left="1050" w:hanging="630"/>
        <w:rPr>
          <w:color w:val="auto"/>
          <w:sz w:val="24"/>
        </w:rPr>
      </w:pPr>
      <w:r>
        <w:rPr>
          <w:rFonts w:hAnsi="宋体"/>
          <w:color w:val="auto"/>
          <w:sz w:val="24"/>
        </w:rPr>
        <w:t>资格文件</w:t>
      </w:r>
    </w:p>
    <w:p>
      <w:pPr>
        <w:numPr>
          <w:ilvl w:val="2"/>
          <w:numId w:val="5"/>
        </w:numPr>
        <w:tabs>
          <w:tab w:val="left" w:pos="735"/>
          <w:tab w:val="left" w:pos="1254"/>
        </w:tabs>
        <w:spacing w:line="360" w:lineRule="auto"/>
        <w:ind w:left="735" w:hanging="735"/>
        <w:rPr>
          <w:b/>
          <w:color w:val="auto"/>
          <w:sz w:val="24"/>
        </w:rPr>
      </w:pPr>
      <w:r>
        <w:rPr>
          <w:rFonts w:hAnsi="宋体"/>
          <w:b/>
          <w:color w:val="auto"/>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投标文件的修改和撤回</w:t>
      </w:r>
    </w:p>
    <w:p>
      <w:pPr>
        <w:spacing w:line="360" w:lineRule="auto"/>
        <w:ind w:left="154" w:firstLine="444" w:firstLineChars="185"/>
        <w:rPr>
          <w:color w:val="auto"/>
          <w:sz w:val="24"/>
        </w:rPr>
      </w:pPr>
      <w:r>
        <w:rPr>
          <w:rFonts w:hAnsi="宋体"/>
          <w:color w:val="auto"/>
          <w:sz w:val="24"/>
        </w:rPr>
        <w:t>在投标截止时间前投标人可以修改和</w:t>
      </w:r>
      <w:r>
        <w:rPr>
          <w:rFonts w:hAnsi="宋体"/>
          <w:bCs/>
          <w:color w:val="auto"/>
          <w:sz w:val="24"/>
        </w:rPr>
        <w:t>撤回</w:t>
      </w:r>
      <w:r>
        <w:rPr>
          <w:rFonts w:hAnsi="宋体"/>
          <w:color w:val="auto"/>
          <w:sz w:val="24"/>
        </w:rPr>
        <w:t>其投标文件，但必须以书面形式通知</w:t>
      </w:r>
      <w:r>
        <w:rPr>
          <w:rFonts w:hint="eastAsia" w:hAnsi="宋体"/>
          <w:color w:val="auto"/>
          <w:sz w:val="24"/>
        </w:rPr>
        <w:t>招标代理机构</w:t>
      </w:r>
      <w:r>
        <w:rPr>
          <w:rFonts w:hAnsi="宋体"/>
          <w:color w:val="auto"/>
          <w:sz w:val="24"/>
        </w:rPr>
        <w:t>，投标截止后不得修改和</w:t>
      </w:r>
      <w:r>
        <w:rPr>
          <w:rFonts w:hAnsi="宋体"/>
          <w:bCs/>
          <w:color w:val="auto"/>
          <w:sz w:val="24"/>
        </w:rPr>
        <w:t>撤回</w:t>
      </w:r>
      <w:r>
        <w:rPr>
          <w:rFonts w:hAnsi="宋体"/>
          <w:color w:val="auto"/>
          <w:sz w:val="24"/>
        </w:rPr>
        <w:t>其投标文件。</w:t>
      </w:r>
    </w:p>
    <w:p>
      <w:pPr>
        <w:pStyle w:val="6"/>
        <w:keepLines/>
        <w:numPr>
          <w:ilvl w:val="0"/>
          <w:numId w:val="5"/>
        </w:numPr>
        <w:spacing w:before="260" w:after="260" w:line="400" w:lineRule="exact"/>
        <w:rPr>
          <w:rFonts w:ascii="Times New Roman" w:hAnsi="Times New Roman"/>
          <w:color w:val="auto"/>
          <w:sz w:val="28"/>
        </w:rPr>
      </w:pPr>
      <w:bookmarkStart w:id="65" w:name="_Toc226966683"/>
      <w:bookmarkStart w:id="66" w:name="_Toc278958161"/>
      <w:bookmarkStart w:id="67" w:name="_Toc271105679"/>
      <w:bookmarkStart w:id="68" w:name="_Toc245203883"/>
      <w:bookmarkStart w:id="69" w:name="_Toc243743356"/>
      <w:bookmarkStart w:id="70" w:name="_Toc185747581"/>
      <w:bookmarkStart w:id="71" w:name="_Toc272350609"/>
      <w:bookmarkStart w:id="72" w:name="_Toc226521695"/>
      <w:bookmarkStart w:id="73" w:name="_Toc191353017"/>
      <w:bookmarkStart w:id="74" w:name="_Toc243923370"/>
      <w:bookmarkStart w:id="75" w:name="_Toc15393"/>
      <w:bookmarkStart w:id="76" w:name="_Toc209258275"/>
      <w:bookmarkStart w:id="77" w:name="_Toc277758488"/>
      <w:bookmarkStart w:id="78" w:name="_Toc279046868"/>
      <w:bookmarkStart w:id="79" w:name="_Toc61327402"/>
      <w:bookmarkStart w:id="80" w:name="_Toc153615292"/>
      <w:bookmarkStart w:id="81" w:name="_Toc130697187"/>
      <w:bookmarkStart w:id="82" w:name="_Toc130695595"/>
      <w:r>
        <w:rPr>
          <w:rFonts w:ascii="Times New Roman"/>
          <w:color w:val="auto"/>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color w:val="auto"/>
        </w:rPr>
      </w:pPr>
    </w:p>
    <w:p>
      <w:pPr>
        <w:numPr>
          <w:ilvl w:val="1"/>
          <w:numId w:val="5"/>
        </w:numPr>
        <w:tabs>
          <w:tab w:val="left" w:pos="420"/>
          <w:tab w:val="left" w:pos="525"/>
          <w:tab w:val="clear" w:pos="567"/>
        </w:tabs>
        <w:spacing w:line="480" w:lineRule="auto"/>
        <w:ind w:left="420" w:hanging="420"/>
        <w:outlineLvl w:val="3"/>
        <w:rPr>
          <w:color w:val="auto"/>
        </w:rPr>
      </w:pPr>
      <w:r>
        <w:rPr>
          <w:b/>
          <w:bCs/>
          <w:color w:val="auto"/>
          <w:sz w:val="24"/>
        </w:rPr>
        <w:t>投标细则</w:t>
      </w:r>
    </w:p>
    <w:p>
      <w:pPr>
        <w:numPr>
          <w:ilvl w:val="2"/>
          <w:numId w:val="5"/>
        </w:numPr>
        <w:tabs>
          <w:tab w:val="left" w:pos="735"/>
          <w:tab w:val="left" w:pos="1254"/>
        </w:tabs>
        <w:spacing w:line="360" w:lineRule="auto"/>
        <w:ind w:left="735" w:hanging="735"/>
        <w:rPr>
          <w:color w:val="auto"/>
          <w:sz w:val="24"/>
        </w:rPr>
      </w:pPr>
      <w:r>
        <w:rPr>
          <w:rFonts w:hAnsi="宋体"/>
          <w:color w:val="auto"/>
          <w:sz w:val="24"/>
        </w:rPr>
        <w:t>全部投标文件应一式</w:t>
      </w:r>
      <w:r>
        <w:rPr>
          <w:rFonts w:hint="eastAsia" w:hAnsi="宋体"/>
          <w:color w:val="auto"/>
          <w:sz w:val="24"/>
          <w:lang w:val="en-US" w:eastAsia="zh-CN"/>
        </w:rPr>
        <w:t>2</w:t>
      </w:r>
      <w:r>
        <w:rPr>
          <w:rFonts w:hAnsi="宋体"/>
          <w:color w:val="auto"/>
          <w:sz w:val="24"/>
        </w:rPr>
        <w:t>份，</w:t>
      </w:r>
      <w:r>
        <w:rPr>
          <w:rFonts w:hint="eastAsia" w:hAnsi="宋体"/>
          <w:color w:val="auto"/>
          <w:sz w:val="24"/>
          <w:lang w:eastAsia="zh-CN"/>
        </w:rPr>
        <w:t>双面打印。</w:t>
      </w:r>
      <w:r>
        <w:rPr>
          <w:rFonts w:hint="eastAsia" w:hAnsi="宋体"/>
          <w:color w:val="auto"/>
          <w:sz w:val="24"/>
        </w:rPr>
        <w:t>电子投标文件一份（U盘）</w:t>
      </w:r>
      <w:r>
        <w:rPr>
          <w:rFonts w:hAnsi="宋体"/>
          <w:color w:val="auto"/>
          <w:sz w:val="24"/>
        </w:rPr>
        <w:t>所有投标文件应用</w:t>
      </w:r>
      <w:r>
        <w:rPr>
          <w:color w:val="auto"/>
          <w:sz w:val="24"/>
          <w:u w:val="single"/>
        </w:rPr>
        <w:t>A4</w:t>
      </w:r>
      <w:r>
        <w:rPr>
          <w:rFonts w:hAnsi="宋体"/>
          <w:color w:val="auto"/>
          <w:sz w:val="24"/>
        </w:rPr>
        <w:t>规格纸</w:t>
      </w:r>
      <w:r>
        <w:rPr>
          <w:rFonts w:hint="eastAsia" w:hAnsi="宋体"/>
          <w:color w:val="auto"/>
          <w:sz w:val="24"/>
          <w:lang w:eastAsia="zh-CN"/>
        </w:rPr>
        <w:t>双面</w:t>
      </w:r>
      <w:r>
        <w:rPr>
          <w:rFonts w:hAnsi="宋体"/>
          <w:color w:val="auto"/>
          <w:sz w:val="24"/>
        </w:rPr>
        <w:t>打印，并</w:t>
      </w:r>
      <w:r>
        <w:rPr>
          <w:rFonts w:hint="eastAsia" w:hAnsi="宋体"/>
          <w:color w:val="auto"/>
          <w:sz w:val="24"/>
          <w:lang w:eastAsia="zh-CN"/>
        </w:rPr>
        <w:t>胶装</w:t>
      </w:r>
      <w:r>
        <w:rPr>
          <w:rFonts w:hAnsi="宋体"/>
          <w:color w:val="auto"/>
          <w:sz w:val="24"/>
        </w:rPr>
        <w:t>完好。其中正本</w:t>
      </w:r>
      <w:r>
        <w:rPr>
          <w:b/>
          <w:color w:val="auto"/>
          <w:sz w:val="24"/>
          <w:u w:val="single"/>
        </w:rPr>
        <w:t xml:space="preserve"> 1</w:t>
      </w:r>
      <w:r>
        <w:rPr>
          <w:rFonts w:hAnsi="宋体"/>
          <w:color w:val="auto"/>
          <w:sz w:val="24"/>
        </w:rPr>
        <w:t>份（</w:t>
      </w:r>
      <w:r>
        <w:rPr>
          <w:rFonts w:hAnsi="宋体"/>
          <w:b/>
          <w:bCs/>
          <w:color w:val="auto"/>
          <w:sz w:val="24"/>
          <w:shd w:val="clear" w:color="FFFFFF" w:fill="D9D9D9"/>
        </w:rPr>
        <w:t>内装纸质投标文件，投标一览表</w:t>
      </w:r>
      <w:r>
        <w:rPr>
          <w:rFonts w:hint="eastAsia" w:hAnsi="宋体"/>
          <w:b/>
          <w:bCs/>
          <w:color w:val="auto"/>
          <w:sz w:val="24"/>
          <w:shd w:val="clear" w:color="FFFFFF" w:fill="D9D9D9"/>
          <w:lang w:eastAsia="zh-CN"/>
        </w:rPr>
        <w:t>（单独密封一份，并且在标书中装订一份）</w:t>
      </w:r>
      <w:r>
        <w:rPr>
          <w:rFonts w:hAnsi="宋体"/>
          <w:b/>
          <w:bCs/>
          <w:color w:val="auto"/>
          <w:sz w:val="24"/>
          <w:shd w:val="clear" w:color="FFFFFF" w:fill="D9D9D9"/>
        </w:rPr>
        <w:t>及投标文件电子文档</w:t>
      </w:r>
      <w:r>
        <w:rPr>
          <w:rFonts w:hAnsi="宋体"/>
          <w:b/>
          <w:bCs/>
          <w:color w:val="auto"/>
          <w:sz w:val="24"/>
        </w:rPr>
        <w:t>各</w:t>
      </w:r>
      <w:r>
        <w:rPr>
          <w:b/>
          <w:bCs/>
          <w:color w:val="auto"/>
          <w:sz w:val="24"/>
          <w:u w:val="single"/>
        </w:rPr>
        <w:t xml:space="preserve"> 1</w:t>
      </w:r>
      <w:r>
        <w:rPr>
          <w:rFonts w:hAnsi="宋体"/>
          <w:b/>
          <w:bCs/>
          <w:color w:val="auto"/>
          <w:sz w:val="24"/>
        </w:rPr>
        <w:t>份，电子文件要求</w:t>
      </w:r>
      <w:r>
        <w:rPr>
          <w:rFonts w:hint="eastAsia" w:hAnsi="宋体"/>
          <w:b/>
          <w:bCs/>
          <w:color w:val="auto"/>
          <w:sz w:val="24"/>
        </w:rPr>
        <w:t>U盘</w:t>
      </w:r>
      <w:r>
        <w:rPr>
          <w:rFonts w:hAnsi="宋体"/>
          <w:b/>
          <w:bCs/>
          <w:color w:val="auto"/>
          <w:sz w:val="24"/>
        </w:rPr>
        <w:t>，</w:t>
      </w:r>
      <w:r>
        <w:rPr>
          <w:b/>
          <w:bCs/>
          <w:color w:val="auto"/>
          <w:sz w:val="24"/>
        </w:rPr>
        <w:t>WORD</w:t>
      </w:r>
      <w:r>
        <w:rPr>
          <w:rFonts w:hAnsi="宋体"/>
          <w:b/>
          <w:bCs/>
          <w:color w:val="auto"/>
          <w:sz w:val="24"/>
        </w:rPr>
        <w:t>格式，不留密码，无病毒，不压缩，内容应与投标人打印产生的纸质投标文件内容一致，如有不同，以纸质投标文件为准</w:t>
      </w:r>
      <w:r>
        <w:rPr>
          <w:rFonts w:hAnsi="宋体"/>
          <w:color w:val="auto"/>
          <w:sz w:val="24"/>
        </w:rPr>
        <w:t>。），副本</w:t>
      </w:r>
      <w:r>
        <w:rPr>
          <w:color w:val="auto"/>
          <w:sz w:val="24"/>
          <w:u w:val="single"/>
        </w:rPr>
        <w:t xml:space="preserve"> </w:t>
      </w:r>
      <w:r>
        <w:rPr>
          <w:rFonts w:hint="eastAsia"/>
          <w:color w:val="auto"/>
          <w:sz w:val="24"/>
          <w:u w:val="single"/>
          <w:lang w:val="en-US" w:eastAsia="zh-CN"/>
        </w:rPr>
        <w:t>2</w:t>
      </w:r>
      <w:r>
        <w:rPr>
          <w:rFonts w:hAnsi="宋体"/>
          <w:color w:val="auto"/>
          <w:sz w:val="24"/>
        </w:rPr>
        <w:t>份，并注明</w:t>
      </w:r>
      <w:r>
        <w:rPr>
          <w:color w:val="auto"/>
          <w:sz w:val="24"/>
        </w:rPr>
        <w:t>“</w:t>
      </w:r>
      <w:r>
        <w:rPr>
          <w:rFonts w:hAnsi="宋体"/>
          <w:color w:val="auto"/>
          <w:sz w:val="24"/>
        </w:rPr>
        <w:t>正本</w:t>
      </w:r>
      <w:r>
        <w:rPr>
          <w:color w:val="auto"/>
          <w:sz w:val="24"/>
        </w:rPr>
        <w:t>”</w:t>
      </w:r>
      <w:r>
        <w:rPr>
          <w:rFonts w:hAnsi="宋体"/>
          <w:color w:val="auto"/>
          <w:sz w:val="24"/>
        </w:rPr>
        <w:t>和</w:t>
      </w:r>
      <w:r>
        <w:rPr>
          <w:color w:val="auto"/>
          <w:sz w:val="24"/>
        </w:rPr>
        <w:t>“</w:t>
      </w:r>
      <w:r>
        <w:rPr>
          <w:rFonts w:hAnsi="宋体"/>
          <w:color w:val="auto"/>
          <w:sz w:val="24"/>
        </w:rPr>
        <w:t>副本</w:t>
      </w:r>
      <w:r>
        <w:rPr>
          <w:color w:val="auto"/>
          <w:sz w:val="24"/>
        </w:rPr>
        <w:t>”</w:t>
      </w:r>
      <w:r>
        <w:rPr>
          <w:rFonts w:hAnsi="宋体"/>
          <w:color w:val="auto"/>
          <w:sz w:val="24"/>
        </w:rPr>
        <w:t>。如果正本与副本不符，应以正本为准。投标文件应由投标人的合法授权代表正式签署，任何更改（如果有的话）应由原签署人签字。所有不完整的投标将被拒绝。投标人的全部投标文件</w:t>
      </w:r>
      <w:r>
        <w:rPr>
          <w:rFonts w:hint="eastAsia" w:hAnsi="宋体"/>
          <w:color w:val="auto"/>
          <w:sz w:val="24"/>
        </w:rPr>
        <w:t>正本</w:t>
      </w:r>
      <w:r>
        <w:rPr>
          <w:rFonts w:hAnsi="宋体"/>
          <w:color w:val="auto"/>
          <w:sz w:val="24"/>
        </w:rPr>
        <w:t>均不退回</w:t>
      </w:r>
      <w:r>
        <w:rPr>
          <w:rFonts w:hint="eastAsia" w:hAnsi="宋体"/>
          <w:color w:val="auto"/>
          <w:sz w:val="24"/>
        </w:rPr>
        <w:t>，中标人的所有投标文件均不退回</w:t>
      </w:r>
      <w:r>
        <w:rPr>
          <w:rFonts w:hAnsi="宋体"/>
          <w:color w:val="auto"/>
          <w:sz w:val="24"/>
        </w:rPr>
        <w:t>。投标人在投标过程中产生的一切费用，无论投标结果如何，均由投标人承担。</w:t>
      </w:r>
    </w:p>
    <w:p>
      <w:pPr>
        <w:numPr>
          <w:ilvl w:val="2"/>
          <w:numId w:val="5"/>
        </w:numPr>
        <w:tabs>
          <w:tab w:val="left" w:pos="735"/>
          <w:tab w:val="left" w:pos="1254"/>
        </w:tabs>
        <w:spacing w:line="360" w:lineRule="auto"/>
        <w:ind w:left="735" w:hanging="735"/>
        <w:rPr>
          <w:color w:val="auto"/>
          <w:sz w:val="24"/>
        </w:rPr>
      </w:pPr>
      <w:r>
        <w:rPr>
          <w:rFonts w:hAnsi="宋体"/>
          <w:color w:val="auto"/>
          <w:sz w:val="24"/>
        </w:rPr>
        <w:t>投标人应对投标</w:t>
      </w:r>
      <w:r>
        <w:rPr>
          <w:rFonts w:hint="eastAsia" w:hAnsi="宋体"/>
          <w:color w:val="auto"/>
          <w:sz w:val="24"/>
          <w:lang w:eastAsia="zh-CN"/>
        </w:rPr>
        <w:t>设备（货物）</w:t>
      </w:r>
      <w:r>
        <w:rPr>
          <w:rFonts w:hAnsi="宋体"/>
          <w:color w:val="auto"/>
          <w:sz w:val="24"/>
        </w:rPr>
        <w:t>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color w:val="auto"/>
          <w:sz w:val="24"/>
        </w:rPr>
      </w:pPr>
      <w:r>
        <w:rPr>
          <w:rFonts w:hAnsi="宋体"/>
          <w:b/>
          <w:bCs/>
          <w:color w:val="auto"/>
          <w:sz w:val="24"/>
        </w:rPr>
        <w:t>资格文件视为投标文件不可分割的一部份</w:t>
      </w:r>
      <w:r>
        <w:rPr>
          <w:rFonts w:hAnsi="宋体"/>
          <w:color w:val="auto"/>
          <w:sz w:val="24"/>
        </w:rPr>
        <w:t>。</w:t>
      </w:r>
    </w:p>
    <w:p>
      <w:pPr>
        <w:numPr>
          <w:ilvl w:val="2"/>
          <w:numId w:val="5"/>
        </w:numPr>
        <w:tabs>
          <w:tab w:val="left" w:pos="735"/>
          <w:tab w:val="left" w:pos="1254"/>
        </w:tabs>
        <w:spacing w:line="360" w:lineRule="auto"/>
        <w:ind w:left="735" w:hanging="735"/>
        <w:rPr>
          <w:color w:val="auto"/>
          <w:sz w:val="24"/>
        </w:rPr>
      </w:pPr>
      <w:r>
        <w:rPr>
          <w:rFonts w:hAnsi="宋体"/>
          <w:color w:val="auto"/>
          <w:sz w:val="24"/>
        </w:rPr>
        <w:t>所有投标文件应在投标截止时间前送达投标、开标地点，并交予</w:t>
      </w:r>
      <w:r>
        <w:rPr>
          <w:rFonts w:hint="eastAsia" w:hAnsi="宋体"/>
          <w:color w:val="auto"/>
          <w:sz w:val="24"/>
        </w:rPr>
        <w:t>招标代理机构</w:t>
      </w:r>
      <w:r>
        <w:rPr>
          <w:rFonts w:hAnsi="宋体"/>
          <w:color w:val="auto"/>
          <w:sz w:val="24"/>
        </w:rPr>
        <w:t>专责人员，任何迟于这个时间的投标将被拒绝。</w:t>
      </w:r>
    </w:p>
    <w:p>
      <w:pPr>
        <w:numPr>
          <w:ilvl w:val="2"/>
          <w:numId w:val="5"/>
        </w:numPr>
        <w:tabs>
          <w:tab w:val="left" w:pos="735"/>
          <w:tab w:val="left" w:pos="1254"/>
        </w:tabs>
        <w:spacing w:line="360" w:lineRule="auto"/>
        <w:ind w:left="735" w:hanging="735"/>
        <w:rPr>
          <w:color w:val="auto"/>
        </w:rPr>
      </w:pPr>
      <w:r>
        <w:rPr>
          <w:rFonts w:hAnsi="宋体"/>
          <w:b/>
          <w:bCs/>
          <w:color w:val="auto"/>
          <w:sz w:val="24"/>
        </w:rPr>
        <w:t>所有投标文件必须封入密封完好的信封或包装，封口加盖投标单位公章。投标文件的正本和副本应分别封装</w:t>
      </w:r>
      <w:r>
        <w:rPr>
          <w:rFonts w:hAnsi="宋体"/>
          <w:color w:val="auto"/>
          <w:sz w:val="24"/>
        </w:rPr>
        <w:t>，并在每一信封或包装的封面上写明：</w:t>
      </w:r>
    </w:p>
    <w:tbl>
      <w:tblPr>
        <w:tblStyle w:val="20"/>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default" w:eastAsia="宋体"/>
                <w:b/>
                <w:color w:val="auto"/>
                <w:sz w:val="24"/>
                <w:lang w:val="en-US" w:eastAsia="zh-CN"/>
              </w:rPr>
            </w:pPr>
            <w:r>
              <w:rPr>
                <w:rFonts w:hAnsi="宋体"/>
                <w:b/>
                <w:color w:val="auto"/>
                <w:sz w:val="24"/>
              </w:rPr>
              <w:t>正本</w:t>
            </w:r>
            <w:r>
              <w:rPr>
                <w:b/>
                <w:color w:val="auto"/>
                <w:sz w:val="24"/>
              </w:rPr>
              <w:t>/</w:t>
            </w:r>
            <w:r>
              <w:rPr>
                <w:rFonts w:hAnsi="宋体"/>
                <w:b/>
                <w:color w:val="auto"/>
                <w:sz w:val="24"/>
              </w:rPr>
              <w:t>副本</w:t>
            </w:r>
            <w:r>
              <w:rPr>
                <w:b/>
                <w:color w:val="auto"/>
                <w:sz w:val="24"/>
              </w:rPr>
              <w:t>/</w:t>
            </w:r>
            <w:r>
              <w:rPr>
                <w:rFonts w:hint="eastAsia" w:hAnsi="宋体"/>
                <w:b/>
                <w:color w:val="auto"/>
                <w:sz w:val="24"/>
                <w:lang w:val="en-US" w:eastAsia="zh-CN"/>
              </w:rPr>
              <w:t>投标一览表</w:t>
            </w:r>
          </w:p>
          <w:p>
            <w:pPr>
              <w:spacing w:line="420" w:lineRule="exact"/>
              <w:ind w:left="448"/>
              <w:rPr>
                <w:color w:val="auto"/>
                <w:sz w:val="24"/>
              </w:rPr>
            </w:pPr>
            <w:r>
              <w:rPr>
                <w:rFonts w:hAnsi="宋体"/>
                <w:color w:val="auto"/>
                <w:sz w:val="24"/>
              </w:rPr>
              <w:t>收件人名称：</w:t>
            </w:r>
            <w:r>
              <w:rPr>
                <w:rFonts w:hint="eastAsia" w:hAnsi="宋体"/>
                <w:color w:val="auto"/>
                <w:sz w:val="24"/>
                <w:lang w:eastAsia="zh-CN"/>
              </w:rPr>
              <w:t>新疆华域建设工程项目管理咨询有限公司</w:t>
            </w:r>
            <w:r>
              <w:rPr>
                <w:rFonts w:hint="eastAsia" w:hAnsi="宋体"/>
                <w:color w:val="auto"/>
                <w:sz w:val="24"/>
              </w:rPr>
              <w:t xml:space="preserve"> </w:t>
            </w:r>
          </w:p>
          <w:p>
            <w:pPr>
              <w:spacing w:line="420" w:lineRule="exact"/>
              <w:ind w:left="448"/>
              <w:rPr>
                <w:rFonts w:hint="eastAsia"/>
                <w:color w:val="auto"/>
                <w:sz w:val="24"/>
                <w:lang w:eastAsia="zh-CN"/>
              </w:rPr>
            </w:pPr>
            <w:r>
              <w:rPr>
                <w:rFonts w:hAnsi="宋体"/>
                <w:color w:val="auto"/>
                <w:sz w:val="24"/>
              </w:rPr>
              <w:t>招标编号：</w:t>
            </w:r>
            <w:r>
              <w:rPr>
                <w:rFonts w:hint="eastAsia" w:hAnsi="宋体"/>
                <w:color w:val="auto"/>
                <w:sz w:val="24"/>
              </w:rPr>
              <w:t>HY</w:t>
            </w:r>
            <w:r>
              <w:rPr>
                <w:rFonts w:hint="eastAsia" w:hAnsi="宋体"/>
                <w:color w:val="auto"/>
                <w:sz w:val="24"/>
                <w:lang w:val="en-US" w:eastAsia="zh-CN"/>
              </w:rPr>
              <w:t>ZB</w:t>
            </w:r>
            <w:r>
              <w:rPr>
                <w:rFonts w:hint="eastAsia" w:hAnsi="宋体"/>
                <w:color w:val="auto"/>
                <w:sz w:val="24"/>
              </w:rPr>
              <w:t>-2021-</w:t>
            </w:r>
            <w:r>
              <w:rPr>
                <w:rFonts w:hint="eastAsia" w:hAnsi="宋体"/>
                <w:color w:val="auto"/>
                <w:sz w:val="24"/>
                <w:lang w:val="en-US" w:eastAsia="zh-CN"/>
              </w:rPr>
              <w:t xml:space="preserve">  </w:t>
            </w:r>
            <w:r>
              <w:rPr>
                <w:rFonts w:hint="eastAsia" w:hAnsi="宋体"/>
                <w:color w:val="auto"/>
                <w:sz w:val="24"/>
              </w:rPr>
              <w:t>号</w:t>
            </w:r>
          </w:p>
          <w:p>
            <w:pPr>
              <w:spacing w:line="420" w:lineRule="exact"/>
              <w:ind w:left="448"/>
              <w:rPr>
                <w:rFonts w:hint="eastAsia" w:hAnsi="宋体"/>
                <w:color w:val="auto"/>
                <w:sz w:val="24"/>
              </w:rPr>
            </w:pPr>
            <w:r>
              <w:rPr>
                <w:rFonts w:hAnsi="宋体"/>
                <w:color w:val="auto"/>
                <w:sz w:val="24"/>
              </w:rPr>
              <w:t>项目名称：</w:t>
            </w:r>
            <w:r>
              <w:rPr>
                <w:rFonts w:hint="eastAsia" w:hAnsi="宋体"/>
                <w:color w:val="auto"/>
                <w:sz w:val="24"/>
                <w:lang w:val="en-US" w:eastAsia="zh-CN"/>
              </w:rPr>
              <w:t>XX</w:t>
            </w:r>
            <w:r>
              <w:rPr>
                <w:rFonts w:hint="eastAsia" w:hAnsi="宋体"/>
                <w:color w:val="auto"/>
                <w:sz w:val="24"/>
              </w:rPr>
              <w:t>项目</w:t>
            </w:r>
          </w:p>
          <w:p>
            <w:pPr>
              <w:spacing w:line="420" w:lineRule="exact"/>
              <w:ind w:left="448"/>
              <w:rPr>
                <w:color w:val="auto"/>
                <w:sz w:val="24"/>
              </w:rPr>
            </w:pPr>
            <w:r>
              <w:rPr>
                <w:rFonts w:hAnsi="宋体"/>
                <w:color w:val="auto"/>
                <w:sz w:val="24"/>
              </w:rPr>
              <w:t>投标人名称：</w:t>
            </w:r>
          </w:p>
          <w:p>
            <w:pPr>
              <w:spacing w:line="420" w:lineRule="exact"/>
              <w:ind w:left="448"/>
              <w:rPr>
                <w:color w:val="auto"/>
                <w:sz w:val="24"/>
              </w:rPr>
            </w:pPr>
            <w:r>
              <w:rPr>
                <w:rFonts w:hAnsi="宋体"/>
                <w:color w:val="auto"/>
                <w:sz w:val="24"/>
              </w:rPr>
              <w:t>投标人地址：</w:t>
            </w:r>
          </w:p>
          <w:p>
            <w:pPr>
              <w:spacing w:line="420" w:lineRule="exact"/>
              <w:ind w:left="448"/>
              <w:rPr>
                <w:color w:val="auto"/>
                <w:sz w:val="24"/>
              </w:rPr>
            </w:pPr>
            <w:r>
              <w:rPr>
                <w:rFonts w:hAnsi="宋体"/>
                <w:color w:val="auto"/>
                <w:sz w:val="24"/>
              </w:rPr>
              <w:t>联系人：</w:t>
            </w:r>
          </w:p>
          <w:p>
            <w:pPr>
              <w:spacing w:line="420" w:lineRule="exact"/>
              <w:ind w:left="448"/>
              <w:rPr>
                <w:color w:val="auto"/>
                <w:sz w:val="24"/>
              </w:rPr>
            </w:pPr>
            <w:r>
              <w:rPr>
                <w:rFonts w:hAnsi="宋体"/>
                <w:color w:val="auto"/>
                <w:sz w:val="24"/>
              </w:rPr>
              <w:t>联系电话：</w:t>
            </w:r>
          </w:p>
          <w:p>
            <w:pPr>
              <w:spacing w:line="420" w:lineRule="exact"/>
              <w:ind w:left="448"/>
              <w:rPr>
                <w:b/>
                <w:color w:val="auto"/>
                <w:sz w:val="24"/>
              </w:rPr>
            </w:pPr>
            <w:r>
              <w:rPr>
                <w:rFonts w:hAnsi="宋体"/>
                <w:b/>
                <w:color w:val="auto"/>
                <w:sz w:val="24"/>
              </w:rPr>
              <w:t>于</w:t>
            </w:r>
            <w:r>
              <w:rPr>
                <w:b/>
                <w:color w:val="auto"/>
                <w:sz w:val="24"/>
              </w:rPr>
              <w:t xml:space="preserve">“     </w:t>
            </w:r>
            <w:r>
              <w:rPr>
                <w:rFonts w:hAnsi="宋体"/>
                <w:b/>
                <w:color w:val="auto"/>
                <w:sz w:val="24"/>
              </w:rPr>
              <w:t>年</w:t>
            </w:r>
            <w:r>
              <w:rPr>
                <w:b/>
                <w:color w:val="auto"/>
                <w:sz w:val="24"/>
              </w:rPr>
              <w:t xml:space="preserve">   </w:t>
            </w:r>
            <w:r>
              <w:rPr>
                <w:rFonts w:hAnsi="宋体"/>
                <w:b/>
                <w:color w:val="auto"/>
                <w:sz w:val="24"/>
              </w:rPr>
              <w:t>月</w:t>
            </w:r>
            <w:r>
              <w:rPr>
                <w:b/>
                <w:color w:val="auto"/>
                <w:sz w:val="24"/>
              </w:rPr>
              <w:t xml:space="preserve">   </w:t>
            </w:r>
            <w:r>
              <w:rPr>
                <w:rFonts w:hAnsi="宋体"/>
                <w:b/>
                <w:color w:val="auto"/>
                <w:sz w:val="24"/>
              </w:rPr>
              <w:t>日</w:t>
            </w:r>
            <w:r>
              <w:rPr>
                <w:b/>
                <w:color w:val="auto"/>
                <w:sz w:val="24"/>
              </w:rPr>
              <w:t xml:space="preserve">   </w:t>
            </w:r>
            <w:r>
              <w:rPr>
                <w:rFonts w:hAnsi="宋体"/>
                <w:b/>
                <w:color w:val="auto"/>
                <w:sz w:val="24"/>
              </w:rPr>
              <w:t>时</w:t>
            </w:r>
            <w:r>
              <w:rPr>
                <w:b/>
                <w:color w:val="auto"/>
                <w:sz w:val="24"/>
              </w:rPr>
              <w:t xml:space="preserve">  </w:t>
            </w:r>
            <w:r>
              <w:rPr>
                <w:rFonts w:hAnsi="宋体"/>
                <w:b/>
                <w:color w:val="auto"/>
                <w:sz w:val="24"/>
              </w:rPr>
              <w:t>分</w:t>
            </w:r>
            <w:r>
              <w:rPr>
                <w:b/>
                <w:color w:val="auto"/>
                <w:sz w:val="24"/>
              </w:rPr>
              <w:t>”</w:t>
            </w:r>
            <w:r>
              <w:rPr>
                <w:rFonts w:hAnsi="宋体"/>
                <w:b/>
                <w:color w:val="auto"/>
                <w:sz w:val="24"/>
              </w:rPr>
              <w:t>之前不准启封（即投标截止时间）</w:t>
            </w:r>
          </w:p>
        </w:tc>
      </w:tr>
    </w:tbl>
    <w:p>
      <w:pPr>
        <w:numPr>
          <w:ilvl w:val="2"/>
          <w:numId w:val="5"/>
        </w:numPr>
        <w:tabs>
          <w:tab w:val="left" w:pos="735"/>
          <w:tab w:val="left" w:pos="1254"/>
        </w:tabs>
        <w:spacing w:line="360" w:lineRule="auto"/>
        <w:ind w:left="735" w:hanging="735"/>
        <w:rPr>
          <w:color w:val="auto"/>
          <w:sz w:val="24"/>
        </w:rPr>
      </w:pPr>
      <w:r>
        <w:rPr>
          <w:rFonts w:hint="eastAsia" w:hAnsi="宋体"/>
          <w:color w:val="auto"/>
          <w:sz w:val="24"/>
        </w:rPr>
        <w:t>招标代理机构</w:t>
      </w:r>
      <w:r>
        <w:rPr>
          <w:rFonts w:hAnsi="宋体"/>
          <w:color w:val="auto"/>
          <w:sz w:val="24"/>
        </w:rPr>
        <w:t>对不可抗力事件造成的投标文件的损坏、丢失不承担任何责任。</w:t>
      </w:r>
    </w:p>
    <w:p>
      <w:pPr>
        <w:numPr>
          <w:ilvl w:val="2"/>
          <w:numId w:val="5"/>
        </w:numPr>
        <w:tabs>
          <w:tab w:val="left" w:pos="735"/>
          <w:tab w:val="left" w:pos="1254"/>
        </w:tabs>
        <w:spacing w:line="360" w:lineRule="auto"/>
        <w:ind w:left="735" w:hanging="735"/>
        <w:rPr>
          <w:color w:val="auto"/>
          <w:sz w:val="24"/>
        </w:rPr>
      </w:pPr>
      <w:r>
        <w:rPr>
          <w:rFonts w:hint="eastAsia" w:hAnsi="宋体"/>
          <w:color w:val="auto"/>
          <w:sz w:val="24"/>
        </w:rPr>
        <w:t>招标代理机构</w:t>
      </w:r>
      <w:r>
        <w:rPr>
          <w:rFonts w:hAnsi="宋体"/>
          <w:color w:val="auto"/>
          <w:sz w:val="24"/>
        </w:rPr>
        <w:t>不接受电报、电话、电传、传真投标。</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投标有效期</w:t>
      </w:r>
    </w:p>
    <w:p>
      <w:pPr>
        <w:spacing w:line="360" w:lineRule="auto"/>
        <w:ind w:firstLine="597" w:firstLineChars="249"/>
        <w:rPr>
          <w:color w:val="auto"/>
          <w:sz w:val="24"/>
        </w:rPr>
      </w:pPr>
      <w:r>
        <w:rPr>
          <w:rFonts w:hAnsi="宋体"/>
          <w:color w:val="auto"/>
          <w:sz w:val="24"/>
        </w:rPr>
        <w:t>从投标截止日起，投标有效期为</w:t>
      </w:r>
      <w:r>
        <w:rPr>
          <w:color w:val="auto"/>
          <w:sz w:val="24"/>
        </w:rPr>
        <w:t>90</w:t>
      </w:r>
      <w:r>
        <w:rPr>
          <w:rFonts w:hAnsi="宋体"/>
          <w:color w:val="auto"/>
          <w:sz w:val="24"/>
        </w:rPr>
        <w:t>天（日历天）。在特殊情况下，</w:t>
      </w:r>
      <w:r>
        <w:rPr>
          <w:rFonts w:hint="eastAsia" w:hAnsi="宋体"/>
          <w:color w:val="auto"/>
          <w:sz w:val="24"/>
        </w:rPr>
        <w:t>招标代理机构</w:t>
      </w:r>
      <w:r>
        <w:rPr>
          <w:rFonts w:hAnsi="宋体"/>
          <w:color w:val="auto"/>
          <w:sz w:val="24"/>
        </w:rPr>
        <w:t>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5"/>
        </w:numPr>
        <w:spacing w:before="260" w:after="260" w:line="400" w:lineRule="exact"/>
        <w:rPr>
          <w:rFonts w:ascii="Times New Roman" w:hAnsi="Times New Roman"/>
          <w:color w:val="auto"/>
          <w:sz w:val="28"/>
        </w:rPr>
      </w:pPr>
      <w:bookmarkStart w:id="83" w:name="_Toc272350611"/>
      <w:bookmarkStart w:id="84" w:name="_Toc226521696"/>
      <w:bookmarkStart w:id="85" w:name="_Toc185747582"/>
      <w:bookmarkStart w:id="86" w:name="_Toc243923371"/>
      <w:bookmarkStart w:id="87" w:name="_Toc245203885"/>
      <w:bookmarkStart w:id="88" w:name="_Toc271105681"/>
      <w:bookmarkStart w:id="89" w:name="_Toc278958162"/>
      <w:bookmarkStart w:id="90" w:name="_Toc279046869"/>
      <w:bookmarkStart w:id="91" w:name="_Toc209258276"/>
      <w:bookmarkStart w:id="92" w:name="_Toc5409"/>
      <w:bookmarkStart w:id="93" w:name="_Toc226966684"/>
      <w:bookmarkStart w:id="94" w:name="_Toc243743357"/>
      <w:bookmarkStart w:id="95" w:name="_Toc191353018"/>
      <w:bookmarkStart w:id="96" w:name="_Toc277758489"/>
      <w:r>
        <w:rPr>
          <w:rFonts w:ascii="Times New Roman"/>
          <w:color w:val="auto"/>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开标</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开标在</w:t>
      </w:r>
      <w:r>
        <w:rPr>
          <w:rFonts w:hint="eastAsia" w:hAnsi="宋体"/>
          <w:b w:val="0"/>
          <w:bCs/>
          <w:color w:val="auto"/>
          <w:sz w:val="24"/>
          <w:lang w:eastAsia="zh-CN"/>
        </w:rPr>
        <w:t>磋商</w:t>
      </w:r>
      <w:r>
        <w:rPr>
          <w:rFonts w:hAnsi="宋体"/>
          <w:b w:val="0"/>
          <w:bCs/>
          <w:color w:val="auto"/>
          <w:sz w:val="24"/>
        </w:rPr>
        <w:t>文件确定的投标文件递交截止时间的同一时间公开进行，开标地点为</w:t>
      </w:r>
      <w:r>
        <w:rPr>
          <w:rFonts w:hint="eastAsia" w:hAnsi="宋体"/>
          <w:b w:val="0"/>
          <w:bCs/>
          <w:color w:val="auto"/>
          <w:sz w:val="24"/>
          <w:lang w:eastAsia="zh-CN"/>
        </w:rPr>
        <w:t>磋商</w:t>
      </w:r>
      <w:r>
        <w:rPr>
          <w:rFonts w:hAnsi="宋体"/>
          <w:b w:val="0"/>
          <w:bCs/>
          <w:color w:val="auto"/>
          <w:sz w:val="24"/>
        </w:rPr>
        <w:t>文件预先确定的地点。</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开标由</w:t>
      </w:r>
      <w:r>
        <w:rPr>
          <w:rFonts w:hint="eastAsia" w:hAnsi="宋体"/>
          <w:b w:val="0"/>
          <w:bCs/>
          <w:color w:val="auto"/>
          <w:sz w:val="24"/>
        </w:rPr>
        <w:t>招标代理机构</w:t>
      </w:r>
      <w:r>
        <w:rPr>
          <w:rFonts w:hAnsi="宋体"/>
          <w:b w:val="0"/>
          <w:bCs/>
          <w:color w:val="auto"/>
          <w:sz w:val="24"/>
        </w:rPr>
        <w:t>主持，邀请所有投标人参加。</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开标时，由投标人或者其推选的代表检查投标文件的密封情况，或由采购人委托的公证机构检查并公证。经确认无误后，</w:t>
      </w:r>
      <w:r>
        <w:rPr>
          <w:rFonts w:hint="eastAsia" w:hAnsi="宋体"/>
          <w:b w:val="0"/>
          <w:bCs/>
          <w:color w:val="auto"/>
          <w:sz w:val="24"/>
        </w:rPr>
        <w:t>进入评标环节</w:t>
      </w:r>
      <w:r>
        <w:rPr>
          <w:rFonts w:hAnsi="宋体"/>
          <w:b w:val="0"/>
          <w:bCs/>
          <w:color w:val="auto"/>
          <w:sz w:val="24"/>
        </w:rPr>
        <w:t>。</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在</w:t>
      </w:r>
      <w:r>
        <w:rPr>
          <w:rFonts w:hint="eastAsia" w:hAnsi="宋体"/>
          <w:b w:val="0"/>
          <w:bCs/>
          <w:color w:val="auto"/>
          <w:sz w:val="24"/>
          <w:lang w:eastAsia="zh-CN"/>
        </w:rPr>
        <w:t>磋商</w:t>
      </w:r>
      <w:r>
        <w:rPr>
          <w:rFonts w:hAnsi="宋体"/>
          <w:b w:val="0"/>
          <w:bCs/>
          <w:color w:val="auto"/>
          <w:sz w:val="24"/>
        </w:rPr>
        <w:t>文件要求提交投标文件的截止时间前收到的所有经检查合格的投标文件少于三家时，则招标失败，</w:t>
      </w:r>
      <w:r>
        <w:rPr>
          <w:rFonts w:hint="eastAsia" w:hAnsi="宋体"/>
          <w:b w:val="0"/>
          <w:bCs/>
          <w:color w:val="auto"/>
          <w:sz w:val="24"/>
        </w:rPr>
        <w:t>招标代理机构</w:t>
      </w:r>
      <w:r>
        <w:rPr>
          <w:rFonts w:hAnsi="宋体"/>
          <w:b w:val="0"/>
          <w:bCs/>
          <w:color w:val="auto"/>
          <w:sz w:val="24"/>
        </w:rPr>
        <w:t>将重新招标。</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评标</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评标委员会</w:t>
      </w:r>
    </w:p>
    <w:p>
      <w:pPr>
        <w:numPr>
          <w:ilvl w:val="0"/>
          <w:numId w:val="7"/>
        </w:numPr>
        <w:spacing w:line="360" w:lineRule="auto"/>
        <w:rPr>
          <w:bCs/>
          <w:color w:val="auto"/>
          <w:sz w:val="24"/>
        </w:rPr>
      </w:pPr>
      <w:r>
        <w:rPr>
          <w:rFonts w:hAnsi="宋体"/>
          <w:bCs/>
          <w:color w:val="auto"/>
          <w:sz w:val="24"/>
        </w:rPr>
        <w:t>依法组建评标委员会。评标委员会由</w:t>
      </w:r>
      <w:r>
        <w:rPr>
          <w:rFonts w:hint="eastAsia" w:hAnsi="宋体"/>
          <w:b/>
          <w:bCs/>
          <w:color w:val="auto"/>
          <w:sz w:val="24"/>
          <w:u w:val="single"/>
          <w:lang w:val="en-US" w:eastAsia="zh-CN"/>
        </w:rPr>
        <w:t>3</w:t>
      </w:r>
      <w:r>
        <w:rPr>
          <w:rFonts w:hAnsi="宋体"/>
          <w:bCs/>
          <w:color w:val="auto"/>
          <w:sz w:val="24"/>
        </w:rPr>
        <w:t>人组成，其中采购人代表</w:t>
      </w:r>
      <w:r>
        <w:rPr>
          <w:rFonts w:hint="eastAsia" w:hAnsi="宋体"/>
          <w:b/>
          <w:color w:val="auto"/>
          <w:sz w:val="24"/>
          <w:u w:val="single"/>
        </w:rPr>
        <w:t>1</w:t>
      </w:r>
      <w:r>
        <w:rPr>
          <w:rFonts w:hAnsi="宋体"/>
          <w:bCs/>
          <w:color w:val="auto"/>
          <w:sz w:val="24"/>
        </w:rPr>
        <w:t>名，其余</w:t>
      </w:r>
      <w:r>
        <w:rPr>
          <w:rFonts w:hint="eastAsia" w:hAnsi="宋体"/>
          <w:b/>
          <w:bCs/>
          <w:color w:val="auto"/>
          <w:sz w:val="24"/>
          <w:u w:val="single"/>
          <w:lang w:val="en-US" w:eastAsia="zh-CN"/>
        </w:rPr>
        <w:t>2</w:t>
      </w:r>
      <w:r>
        <w:rPr>
          <w:rFonts w:hAnsi="宋体"/>
          <w:bCs/>
          <w:color w:val="auto"/>
          <w:sz w:val="24"/>
        </w:rPr>
        <w:t>名评标委员均从专家库中随机抽取产生。</w:t>
      </w:r>
    </w:p>
    <w:p>
      <w:pPr>
        <w:numPr>
          <w:ilvl w:val="0"/>
          <w:numId w:val="7"/>
        </w:numPr>
        <w:spacing w:line="360" w:lineRule="auto"/>
        <w:rPr>
          <w:bCs/>
          <w:color w:val="auto"/>
          <w:sz w:val="24"/>
        </w:rPr>
      </w:pPr>
      <w:r>
        <w:rPr>
          <w:rFonts w:hAnsi="宋体"/>
          <w:bCs/>
          <w:color w:val="auto"/>
          <w:sz w:val="24"/>
        </w:rPr>
        <w:t>评标委员会将只对确定为实质上响应</w:t>
      </w:r>
      <w:r>
        <w:rPr>
          <w:rFonts w:hint="eastAsia" w:hAnsi="宋体"/>
          <w:bCs/>
          <w:color w:val="auto"/>
          <w:sz w:val="24"/>
          <w:lang w:eastAsia="zh-CN"/>
        </w:rPr>
        <w:t>磋商</w:t>
      </w:r>
      <w:r>
        <w:rPr>
          <w:rFonts w:hAnsi="宋体"/>
          <w:bCs/>
          <w:color w:val="auto"/>
          <w:sz w:val="24"/>
        </w:rPr>
        <w:t>文件要求的投标</w:t>
      </w:r>
      <w:r>
        <w:rPr>
          <w:rFonts w:hint="eastAsia" w:hAnsi="宋体"/>
          <w:bCs/>
          <w:color w:val="auto"/>
          <w:sz w:val="24"/>
        </w:rPr>
        <w:t>文件</w:t>
      </w:r>
      <w:r>
        <w:rPr>
          <w:rFonts w:hAnsi="宋体"/>
          <w:bCs/>
          <w:color w:val="auto"/>
          <w:sz w:val="24"/>
        </w:rPr>
        <w:t>，即通过符合性审查的投标</w:t>
      </w:r>
      <w:r>
        <w:rPr>
          <w:rFonts w:hint="eastAsia" w:hAnsi="宋体"/>
          <w:bCs/>
          <w:color w:val="auto"/>
          <w:sz w:val="24"/>
        </w:rPr>
        <w:t>文件</w:t>
      </w:r>
      <w:r>
        <w:rPr>
          <w:rFonts w:hAnsi="宋体"/>
          <w:bCs/>
          <w:color w:val="auto"/>
          <w:sz w:val="24"/>
        </w:rPr>
        <w:t>进行评价和比较，</w:t>
      </w:r>
      <w:r>
        <w:rPr>
          <w:rFonts w:hAnsi="宋体"/>
          <w:b/>
          <w:color w:val="auto"/>
          <w:sz w:val="24"/>
        </w:rPr>
        <w:t>响应的依据是</w:t>
      </w:r>
      <w:r>
        <w:rPr>
          <w:rFonts w:hint="eastAsia" w:hAnsi="宋体"/>
          <w:b/>
          <w:color w:val="auto"/>
          <w:sz w:val="24"/>
          <w:lang w:eastAsia="zh-CN"/>
        </w:rPr>
        <w:t>磋商</w:t>
      </w:r>
      <w:r>
        <w:rPr>
          <w:rFonts w:hAnsi="宋体"/>
          <w:b/>
          <w:color w:val="auto"/>
          <w:sz w:val="24"/>
        </w:rPr>
        <w:t>文件本身的内容，而不寻求其它证据</w:t>
      </w:r>
      <w:r>
        <w:rPr>
          <w:rFonts w:hAnsi="宋体"/>
          <w:bCs/>
          <w:color w:val="auto"/>
          <w:sz w:val="24"/>
        </w:rPr>
        <w:t>。</w:t>
      </w:r>
      <w:r>
        <w:rPr>
          <w:rFonts w:hAnsi="宋体"/>
          <w:b/>
          <w:color w:val="auto"/>
          <w:sz w:val="24"/>
        </w:rPr>
        <w:t>实质上响应的投标应该是与</w:t>
      </w:r>
      <w:r>
        <w:rPr>
          <w:rFonts w:hint="eastAsia" w:hAnsi="宋体"/>
          <w:b/>
          <w:color w:val="auto"/>
          <w:sz w:val="24"/>
          <w:lang w:eastAsia="zh-CN"/>
        </w:rPr>
        <w:t>磋商</w:t>
      </w:r>
      <w:r>
        <w:rPr>
          <w:rFonts w:hAnsi="宋体"/>
          <w:b/>
          <w:color w:val="auto"/>
          <w:sz w:val="24"/>
        </w:rPr>
        <w:t>文件要求的全部主要条款、条件和规格相符，没有重大偏离的投标</w:t>
      </w:r>
      <w:r>
        <w:rPr>
          <w:rFonts w:hAnsi="宋体"/>
          <w:bCs/>
          <w:color w:val="auto"/>
          <w:sz w:val="24"/>
        </w:rPr>
        <w:t>。</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评标原则</w:t>
      </w:r>
    </w:p>
    <w:p>
      <w:pPr>
        <w:numPr>
          <w:ilvl w:val="0"/>
          <w:numId w:val="8"/>
        </w:numPr>
        <w:spacing w:line="360" w:lineRule="auto"/>
        <w:rPr>
          <w:bCs/>
          <w:color w:val="auto"/>
          <w:sz w:val="24"/>
        </w:rPr>
      </w:pPr>
      <w:r>
        <w:rPr>
          <w:rFonts w:hAnsi="宋体"/>
          <w:bCs/>
          <w:color w:val="auto"/>
          <w:sz w:val="24"/>
        </w:rPr>
        <w:t>评标遵循公平、公正、科学、择优的原则。</w:t>
      </w:r>
    </w:p>
    <w:p>
      <w:pPr>
        <w:numPr>
          <w:ilvl w:val="0"/>
          <w:numId w:val="8"/>
        </w:numPr>
        <w:spacing w:line="360" w:lineRule="auto"/>
        <w:rPr>
          <w:bCs/>
          <w:color w:val="auto"/>
          <w:sz w:val="24"/>
        </w:rPr>
      </w:pPr>
      <w:r>
        <w:rPr>
          <w:rFonts w:hAnsi="宋体"/>
          <w:bCs/>
          <w:color w:val="auto"/>
          <w:sz w:val="24"/>
        </w:rPr>
        <w:t>确定中标人的评标准则是：能够最大限度满足</w:t>
      </w:r>
      <w:r>
        <w:rPr>
          <w:rFonts w:hint="eastAsia" w:hAnsi="宋体"/>
          <w:bCs/>
          <w:color w:val="auto"/>
          <w:sz w:val="24"/>
          <w:lang w:eastAsia="zh-CN"/>
        </w:rPr>
        <w:t>磋商</w:t>
      </w:r>
      <w:r>
        <w:rPr>
          <w:rFonts w:hAnsi="宋体"/>
          <w:bCs/>
          <w:color w:val="auto"/>
          <w:sz w:val="24"/>
        </w:rPr>
        <w:t>文件中规定的各项综合评价标准。评标委员会没有义务接受最低报价的投标。</w:t>
      </w:r>
    </w:p>
    <w:p>
      <w:pPr>
        <w:numPr>
          <w:ilvl w:val="0"/>
          <w:numId w:val="8"/>
        </w:numPr>
        <w:spacing w:line="360" w:lineRule="auto"/>
        <w:rPr>
          <w:bCs/>
          <w:color w:val="auto"/>
          <w:sz w:val="24"/>
        </w:rPr>
      </w:pPr>
      <w:r>
        <w:rPr>
          <w:rFonts w:hAnsi="宋体"/>
          <w:bCs/>
          <w:color w:val="auto"/>
          <w:sz w:val="24"/>
        </w:rPr>
        <w:t>评标委员会有权根据有关规定否决所有投标。</w:t>
      </w:r>
    </w:p>
    <w:p>
      <w:pPr>
        <w:numPr>
          <w:ilvl w:val="2"/>
          <w:numId w:val="5"/>
        </w:numPr>
        <w:tabs>
          <w:tab w:val="left" w:pos="735"/>
          <w:tab w:val="left" w:pos="1254"/>
        </w:tabs>
        <w:spacing w:line="360" w:lineRule="auto"/>
        <w:ind w:left="735" w:hanging="735"/>
        <w:rPr>
          <w:bCs/>
          <w:color w:val="auto"/>
        </w:rPr>
      </w:pPr>
      <w:r>
        <w:rPr>
          <w:rFonts w:hAnsi="宋体"/>
          <w:bCs/>
          <w:color w:val="auto"/>
          <w:sz w:val="24"/>
        </w:rPr>
        <w:t>评标过程的保密性</w:t>
      </w:r>
    </w:p>
    <w:p>
      <w:pPr>
        <w:numPr>
          <w:ilvl w:val="0"/>
          <w:numId w:val="9"/>
        </w:numPr>
        <w:spacing w:line="360" w:lineRule="auto"/>
        <w:rPr>
          <w:bCs/>
          <w:color w:val="auto"/>
          <w:sz w:val="24"/>
        </w:rPr>
      </w:pPr>
      <w:r>
        <w:rPr>
          <w:rFonts w:hAnsi="宋体"/>
          <w:bCs/>
          <w:color w:val="auto"/>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bCs/>
          <w:color w:val="auto"/>
          <w:sz w:val="24"/>
        </w:rPr>
      </w:pPr>
      <w:r>
        <w:rPr>
          <w:rFonts w:hAnsi="宋体"/>
          <w:bCs/>
          <w:color w:val="auto"/>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投标文件的澄清</w:t>
      </w:r>
    </w:p>
    <w:p>
      <w:pPr>
        <w:numPr>
          <w:ilvl w:val="0"/>
          <w:numId w:val="10"/>
        </w:numPr>
        <w:spacing w:line="360" w:lineRule="auto"/>
        <w:rPr>
          <w:bCs/>
          <w:color w:val="auto"/>
          <w:sz w:val="24"/>
        </w:rPr>
      </w:pPr>
      <w:r>
        <w:rPr>
          <w:rFonts w:hAnsi="宋体"/>
          <w:bCs/>
          <w:color w:val="auto"/>
          <w:sz w:val="24"/>
        </w:rPr>
        <w:t>除评标委员会主动要求澄清外，从开标后至授予合同期间，任何投标人均不得就与其投标相关的任何问题与评标委员会联系。</w:t>
      </w:r>
    </w:p>
    <w:p>
      <w:pPr>
        <w:numPr>
          <w:ilvl w:val="0"/>
          <w:numId w:val="10"/>
        </w:numPr>
        <w:spacing w:line="360" w:lineRule="auto"/>
        <w:rPr>
          <w:bCs/>
          <w:color w:val="auto"/>
          <w:sz w:val="24"/>
        </w:rPr>
      </w:pPr>
      <w:r>
        <w:rPr>
          <w:rFonts w:hAnsi="宋体"/>
          <w:bCs/>
          <w:color w:val="auto"/>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评标程序及方法（详见评标文件）</w:t>
      </w:r>
    </w:p>
    <w:p>
      <w:pPr>
        <w:spacing w:line="360" w:lineRule="auto"/>
        <w:ind w:firstLine="480" w:firstLineChars="200"/>
        <w:rPr>
          <w:bCs/>
          <w:color w:val="auto"/>
          <w:sz w:val="24"/>
        </w:rPr>
      </w:pPr>
      <w:r>
        <w:rPr>
          <w:rFonts w:hAnsi="宋体"/>
          <w:bCs/>
          <w:color w:val="auto"/>
          <w:sz w:val="24"/>
        </w:rPr>
        <w:t>评标分</w:t>
      </w:r>
      <w:r>
        <w:rPr>
          <w:rFonts w:hAnsi="宋体"/>
          <w:b/>
          <w:color w:val="auto"/>
          <w:sz w:val="24"/>
        </w:rPr>
        <w:t>两个阶段进行：投标文件符合性审查和投标文件详细评审</w:t>
      </w:r>
      <w:r>
        <w:rPr>
          <w:rFonts w:hAnsi="宋体"/>
          <w:bCs/>
          <w:color w:val="auto"/>
          <w:sz w:val="24"/>
        </w:rPr>
        <w:t>。各评委首先对各投标文件进行符合性审查，投标人只有完全通过符合性审查，才能进入下一阶段的详细评审，否则视为无效投标。</w:t>
      </w:r>
    </w:p>
    <w:p>
      <w:pPr>
        <w:spacing w:line="360" w:lineRule="auto"/>
        <w:ind w:firstLine="482" w:firstLineChars="200"/>
        <w:rPr>
          <w:b/>
          <w:bCs/>
          <w:color w:val="auto"/>
          <w:sz w:val="24"/>
        </w:rPr>
      </w:pPr>
      <w:r>
        <w:rPr>
          <w:rFonts w:hAnsi="宋体"/>
          <w:b/>
          <w:bCs/>
          <w:color w:val="auto"/>
          <w:sz w:val="24"/>
        </w:rPr>
        <w:t>（一）符合性审查</w:t>
      </w:r>
    </w:p>
    <w:p>
      <w:pPr>
        <w:spacing w:line="360" w:lineRule="auto"/>
        <w:ind w:firstLine="480" w:firstLineChars="200"/>
        <w:rPr>
          <w:bCs/>
          <w:color w:val="auto"/>
          <w:sz w:val="24"/>
        </w:rPr>
      </w:pPr>
      <w:r>
        <w:rPr>
          <w:rFonts w:hAnsi="宋体"/>
          <w:bCs/>
          <w:color w:val="auto"/>
          <w:sz w:val="24"/>
        </w:rPr>
        <w:t>评标委员会将根据</w:t>
      </w:r>
      <w:r>
        <w:rPr>
          <w:rFonts w:hint="eastAsia" w:hAnsi="宋体"/>
          <w:bCs/>
          <w:color w:val="auto"/>
          <w:sz w:val="24"/>
          <w:lang w:eastAsia="zh-CN"/>
        </w:rPr>
        <w:t>磋商</w:t>
      </w:r>
      <w:r>
        <w:rPr>
          <w:rFonts w:hAnsi="宋体"/>
          <w:bCs/>
          <w:color w:val="auto"/>
          <w:sz w:val="24"/>
        </w:rPr>
        <w:t>文件的规定，对各投标文件进行符合性审查。</w:t>
      </w:r>
    </w:p>
    <w:p>
      <w:pPr>
        <w:spacing w:line="360" w:lineRule="auto"/>
        <w:ind w:firstLine="480" w:firstLineChars="200"/>
        <w:rPr>
          <w:b/>
          <w:color w:val="auto"/>
          <w:sz w:val="24"/>
        </w:rPr>
      </w:pPr>
      <w:r>
        <w:rPr>
          <w:rFonts w:hAnsi="宋体"/>
          <w:bCs/>
          <w:color w:val="auto"/>
          <w:sz w:val="24"/>
        </w:rPr>
        <w:t>（</w:t>
      </w:r>
      <w:r>
        <w:rPr>
          <w:bCs/>
          <w:color w:val="auto"/>
          <w:sz w:val="24"/>
        </w:rPr>
        <w:t>1</w:t>
      </w:r>
      <w:r>
        <w:rPr>
          <w:rFonts w:hAnsi="宋体"/>
          <w:bCs/>
          <w:color w:val="auto"/>
          <w:sz w:val="24"/>
        </w:rPr>
        <w:t>）</w:t>
      </w:r>
      <w:r>
        <w:rPr>
          <w:rFonts w:hAnsi="宋体"/>
          <w:b/>
          <w:bCs/>
          <w:color w:val="auto"/>
          <w:sz w:val="24"/>
        </w:rPr>
        <w:t>投</w:t>
      </w:r>
      <w:r>
        <w:rPr>
          <w:b/>
          <w:color w:val="auto"/>
          <w:sz w:val="24"/>
        </w:rPr>
        <w:t>标文件出现下列情况之一时将被认定为无效投标：</w:t>
      </w:r>
    </w:p>
    <w:p>
      <w:pPr>
        <w:spacing w:line="500" w:lineRule="exact"/>
        <w:ind w:firstLine="240" w:firstLineChars="100"/>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(六)法律、法规和招标文件规定的其他无效情形。</w:t>
      </w:r>
    </w:p>
    <w:p>
      <w:pPr>
        <w:spacing w:line="360" w:lineRule="auto"/>
        <w:ind w:firstLine="480" w:firstLineChars="200"/>
        <w:rPr>
          <w:b/>
          <w:color w:val="auto"/>
          <w:sz w:val="24"/>
        </w:rPr>
      </w:pPr>
      <w:r>
        <w:rPr>
          <w:rFonts w:hAnsi="宋体"/>
          <w:bCs/>
          <w:color w:val="auto"/>
          <w:sz w:val="24"/>
        </w:rPr>
        <w:t>（</w:t>
      </w:r>
      <w:r>
        <w:rPr>
          <w:bCs/>
          <w:color w:val="auto"/>
          <w:sz w:val="24"/>
        </w:rPr>
        <w:t>2</w:t>
      </w:r>
      <w:r>
        <w:rPr>
          <w:rFonts w:hAnsi="宋体"/>
          <w:bCs/>
          <w:color w:val="auto"/>
          <w:sz w:val="24"/>
        </w:rPr>
        <w:t>）</w:t>
      </w:r>
      <w:r>
        <w:rPr>
          <w:rFonts w:hAnsi="宋体"/>
          <w:b/>
          <w:color w:val="auto"/>
          <w:sz w:val="24"/>
        </w:rPr>
        <w:t>评标过程中投标文件出现下列情况之一时，对该投标文件作废标处理：</w:t>
      </w:r>
    </w:p>
    <w:p>
      <w:pPr>
        <w:spacing w:line="360" w:lineRule="auto"/>
        <w:ind w:firstLine="480" w:firstLineChars="200"/>
        <w:rPr>
          <w:color w:val="auto"/>
          <w:sz w:val="24"/>
        </w:rPr>
      </w:pPr>
      <w:bookmarkStart w:id="97" w:name="_Toc167617728"/>
      <w:bookmarkStart w:id="98" w:name="_Toc179614238"/>
      <w:r>
        <w:rPr>
          <w:color w:val="auto"/>
          <w:sz w:val="24"/>
        </w:rPr>
        <w:t>1）投标人以他人的名义投标、串通投标、以行贿手段谋取中标或者以其他弄虚作假方式投标的；</w:t>
      </w:r>
      <w:bookmarkEnd w:id="97"/>
      <w:bookmarkEnd w:id="98"/>
    </w:p>
    <w:p>
      <w:pPr>
        <w:spacing w:line="360" w:lineRule="auto"/>
        <w:ind w:firstLine="480" w:firstLineChars="200"/>
        <w:rPr>
          <w:color w:val="auto"/>
          <w:sz w:val="24"/>
        </w:rPr>
      </w:pPr>
      <w:bookmarkStart w:id="99" w:name="_Toc179614239"/>
      <w:bookmarkStart w:id="100" w:name="_Toc167617729"/>
      <w:r>
        <w:rPr>
          <w:color w:val="auto"/>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rPr>
          <w:color w:val="auto"/>
        </w:rPr>
      </w:pPr>
      <w:r>
        <w:rPr>
          <w:rFonts w:hAnsi="宋体"/>
          <w:color w:val="auto"/>
          <w:sz w:val="24"/>
        </w:rPr>
        <w:t>被评委会确定为投标文件无效标或废标的，其投标文件即被视为不能通过符合性审查，不得参与技术、商务和经济的评审。</w:t>
      </w:r>
    </w:p>
    <w:p>
      <w:pPr>
        <w:spacing w:line="360" w:lineRule="auto"/>
        <w:ind w:firstLine="482" w:firstLineChars="200"/>
        <w:rPr>
          <w:bCs/>
          <w:color w:val="auto"/>
          <w:sz w:val="24"/>
        </w:rPr>
      </w:pPr>
      <w:r>
        <w:rPr>
          <w:rFonts w:hAnsi="宋体"/>
          <w:b/>
          <w:bCs/>
          <w:color w:val="auto"/>
          <w:sz w:val="24"/>
        </w:rPr>
        <w:t>（二）详细评审</w:t>
      </w:r>
    </w:p>
    <w:p>
      <w:pPr>
        <w:spacing w:line="360" w:lineRule="auto"/>
        <w:ind w:firstLine="480" w:firstLineChars="200"/>
        <w:rPr>
          <w:b/>
          <w:bCs/>
          <w:color w:val="auto"/>
          <w:sz w:val="24"/>
        </w:rPr>
      </w:pPr>
      <w:r>
        <w:rPr>
          <w:rFonts w:hAnsi="宋体"/>
          <w:bCs/>
          <w:color w:val="auto"/>
          <w:sz w:val="24"/>
        </w:rPr>
        <w:t>（</w:t>
      </w:r>
      <w:r>
        <w:rPr>
          <w:bCs/>
          <w:color w:val="auto"/>
          <w:sz w:val="24"/>
        </w:rPr>
        <w:t>1</w:t>
      </w:r>
      <w:r>
        <w:rPr>
          <w:rFonts w:hAnsi="宋体"/>
          <w:bCs/>
          <w:color w:val="auto"/>
          <w:sz w:val="24"/>
        </w:rPr>
        <w:t>）对</w:t>
      </w:r>
      <w:r>
        <w:rPr>
          <w:rFonts w:hAnsi="宋体"/>
          <w:color w:val="auto"/>
          <w:sz w:val="24"/>
        </w:rPr>
        <w:t>通过符合性审查投标文件，按</w:t>
      </w:r>
      <w:r>
        <w:rPr>
          <w:rFonts w:hint="eastAsia" w:hAnsi="宋体"/>
          <w:color w:val="auto"/>
          <w:sz w:val="24"/>
          <w:lang w:eastAsia="zh-CN"/>
        </w:rPr>
        <w:t>磋商</w:t>
      </w:r>
      <w:r>
        <w:rPr>
          <w:rFonts w:hAnsi="宋体"/>
          <w:color w:val="auto"/>
          <w:sz w:val="24"/>
        </w:rPr>
        <w:t>文件的要求进行</w:t>
      </w:r>
      <w:r>
        <w:rPr>
          <w:rFonts w:hAnsi="宋体"/>
          <w:b/>
          <w:bCs/>
          <w:color w:val="auto"/>
          <w:sz w:val="24"/>
        </w:rPr>
        <w:t>技术、商务和经济的评审。</w:t>
      </w:r>
    </w:p>
    <w:p>
      <w:pPr>
        <w:spacing w:line="360" w:lineRule="auto"/>
        <w:ind w:firstLine="480" w:firstLineChars="200"/>
        <w:rPr>
          <w:bCs/>
          <w:color w:val="auto"/>
          <w:sz w:val="24"/>
        </w:rPr>
      </w:pPr>
      <w:r>
        <w:rPr>
          <w:rFonts w:hAnsi="宋体"/>
          <w:bCs/>
          <w:color w:val="auto"/>
          <w:sz w:val="24"/>
        </w:rPr>
        <w:t>（</w:t>
      </w:r>
      <w:r>
        <w:rPr>
          <w:bCs/>
          <w:color w:val="auto"/>
          <w:sz w:val="24"/>
        </w:rPr>
        <w:t>2</w:t>
      </w:r>
      <w:r>
        <w:rPr>
          <w:rFonts w:hAnsi="宋体"/>
          <w:bCs/>
          <w:color w:val="auto"/>
          <w:sz w:val="24"/>
        </w:rPr>
        <w:t>）评</w:t>
      </w:r>
      <w:r>
        <w:rPr>
          <w:rFonts w:hAnsi="宋体"/>
          <w:color w:val="auto"/>
          <w:sz w:val="24"/>
        </w:rPr>
        <w:t>审方法</w:t>
      </w:r>
      <w:r>
        <w:rPr>
          <w:rFonts w:hAnsi="宋体"/>
          <w:bCs/>
          <w:color w:val="auto"/>
          <w:sz w:val="24"/>
        </w:rPr>
        <w:t>采</w:t>
      </w:r>
      <w:r>
        <w:rPr>
          <w:rFonts w:hAnsi="宋体"/>
          <w:color w:val="auto"/>
          <w:sz w:val="24"/>
        </w:rPr>
        <w:t>用综合评分法</w:t>
      </w:r>
      <w:r>
        <w:rPr>
          <w:rFonts w:hAnsi="宋体"/>
          <w:bCs/>
          <w:color w:val="auto"/>
          <w:sz w:val="24"/>
        </w:rPr>
        <w:t>。</w:t>
      </w:r>
      <w:r>
        <w:rPr>
          <w:rFonts w:hAnsi="宋体"/>
          <w:color w:val="auto"/>
          <w:sz w:val="24"/>
        </w:rPr>
        <w:t>技术部分、商务部分、经济部分权重详见评标文件。评标委员会根据投标人综合得分高低排定名次并推荐候选中标单位。</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相关注意事项</w:t>
      </w:r>
    </w:p>
    <w:p>
      <w:pPr>
        <w:spacing w:line="360" w:lineRule="auto"/>
        <w:ind w:firstLine="480" w:firstLineChars="200"/>
        <w:rPr>
          <w:bCs/>
          <w:color w:val="auto"/>
          <w:sz w:val="24"/>
        </w:rPr>
      </w:pPr>
      <w:r>
        <w:rPr>
          <w:rFonts w:hAnsi="宋体"/>
          <w:bCs/>
          <w:color w:val="auto"/>
          <w:sz w:val="24"/>
        </w:rPr>
        <w:t>（</w:t>
      </w:r>
      <w:r>
        <w:rPr>
          <w:bCs/>
          <w:color w:val="auto"/>
          <w:sz w:val="24"/>
        </w:rPr>
        <w:t>1</w:t>
      </w:r>
      <w:r>
        <w:rPr>
          <w:rFonts w:hAnsi="宋体"/>
          <w:bCs/>
          <w:color w:val="auto"/>
          <w:sz w:val="24"/>
        </w:rPr>
        <w:t>）评标是招标工作的重要环节，评标工作由评标委员会独立进行。评标委员会将遵照评标原则，公正、平等的对待所有投标人。</w:t>
      </w:r>
    </w:p>
    <w:p>
      <w:pPr>
        <w:spacing w:line="360" w:lineRule="auto"/>
        <w:ind w:firstLine="480" w:firstLineChars="200"/>
        <w:rPr>
          <w:bCs/>
          <w:color w:val="auto"/>
          <w:sz w:val="24"/>
        </w:rPr>
      </w:pPr>
      <w:r>
        <w:rPr>
          <w:rFonts w:hAnsi="宋体"/>
          <w:bCs/>
          <w:color w:val="auto"/>
          <w:sz w:val="24"/>
        </w:rPr>
        <w:t>（</w:t>
      </w:r>
      <w:r>
        <w:rPr>
          <w:bCs/>
          <w:color w:val="auto"/>
          <w:sz w:val="24"/>
        </w:rPr>
        <w:t>2</w:t>
      </w:r>
      <w:r>
        <w:rPr>
          <w:rFonts w:hAnsi="宋体"/>
          <w:bCs/>
          <w:color w:val="auto"/>
          <w:sz w:val="24"/>
        </w:rPr>
        <w:t>）在开标、评标期间，投标人不得向评委询问评标情况，不得进行旨在影响评标结果的活动。</w:t>
      </w:r>
    </w:p>
    <w:p>
      <w:pPr>
        <w:spacing w:line="360" w:lineRule="auto"/>
        <w:ind w:firstLine="480" w:firstLineChars="200"/>
        <w:rPr>
          <w:bCs/>
          <w:color w:val="auto"/>
          <w:sz w:val="24"/>
        </w:rPr>
      </w:pPr>
      <w:r>
        <w:rPr>
          <w:rFonts w:hAnsi="宋体"/>
          <w:bCs/>
          <w:color w:val="auto"/>
          <w:sz w:val="24"/>
        </w:rPr>
        <w:t>（</w:t>
      </w:r>
      <w:r>
        <w:rPr>
          <w:bCs/>
          <w:color w:val="auto"/>
          <w:sz w:val="24"/>
        </w:rPr>
        <w:t>3</w:t>
      </w:r>
      <w:r>
        <w:rPr>
          <w:rFonts w:hAnsi="宋体"/>
          <w:bCs/>
          <w:color w:val="auto"/>
          <w:sz w:val="24"/>
        </w:rPr>
        <w:t>）为保证定标的公正性，在评标过程中，评委不得与投标人私下交换意见。在招标工作结束后，凡与评标过程有接触的任何人，不得将评标情况扩散给与评标无关的人员。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color w:val="auto"/>
          <w:sz w:val="24"/>
        </w:rPr>
      </w:pPr>
      <w:r>
        <w:rPr>
          <w:rFonts w:hAnsi="宋体"/>
          <w:bCs/>
          <w:color w:val="auto"/>
          <w:sz w:val="24"/>
        </w:rPr>
        <w:t>（</w:t>
      </w:r>
      <w:r>
        <w:rPr>
          <w:bCs/>
          <w:color w:val="auto"/>
          <w:sz w:val="24"/>
        </w:rPr>
        <w:t>4</w:t>
      </w:r>
      <w:r>
        <w:rPr>
          <w:rFonts w:hAnsi="宋体"/>
          <w:bCs/>
          <w:color w:val="auto"/>
          <w:sz w:val="24"/>
        </w:rPr>
        <w:t>）评标委员会不直接向落标方解释落标原因，不退回投标文件。</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定标</w:t>
      </w:r>
    </w:p>
    <w:p>
      <w:pPr>
        <w:numPr>
          <w:ilvl w:val="2"/>
          <w:numId w:val="5"/>
        </w:numPr>
        <w:tabs>
          <w:tab w:val="left" w:pos="735"/>
          <w:tab w:val="left" w:pos="1254"/>
        </w:tabs>
        <w:spacing w:line="360" w:lineRule="auto"/>
        <w:ind w:left="735" w:hanging="735"/>
        <w:rPr>
          <w:color w:val="auto"/>
          <w:sz w:val="24"/>
        </w:rPr>
      </w:pPr>
      <w:r>
        <w:rPr>
          <w:rFonts w:hAnsi="宋体"/>
          <w:bCs/>
          <w:color w:val="auto"/>
          <w:sz w:val="24"/>
        </w:rPr>
        <w:t>评标委员会提出评标书面报告和推荐中标意见报采购人确认。确认后由采购人、</w:t>
      </w:r>
      <w:r>
        <w:rPr>
          <w:rFonts w:hint="eastAsia" w:hAnsi="宋体"/>
          <w:bCs/>
          <w:color w:val="auto"/>
          <w:sz w:val="24"/>
        </w:rPr>
        <w:t>招标代理机构</w:t>
      </w:r>
      <w:r>
        <w:rPr>
          <w:rFonts w:hAnsi="宋体"/>
          <w:bCs/>
          <w:color w:val="auto"/>
          <w:sz w:val="24"/>
        </w:rPr>
        <w:t>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5"/>
        </w:numPr>
        <w:tabs>
          <w:tab w:val="left" w:pos="735"/>
          <w:tab w:val="left" w:pos="1254"/>
        </w:tabs>
        <w:spacing w:line="360" w:lineRule="auto"/>
        <w:ind w:left="735" w:hanging="735"/>
        <w:rPr>
          <w:color w:val="auto"/>
          <w:sz w:val="24"/>
        </w:rPr>
      </w:pPr>
      <w:r>
        <w:rPr>
          <w:rFonts w:hAnsi="宋体"/>
          <w:bCs/>
          <w:color w:val="auto"/>
          <w:sz w:val="24"/>
        </w:rPr>
        <w:t>最终澄清完成后，由</w:t>
      </w:r>
      <w:r>
        <w:rPr>
          <w:rFonts w:hint="eastAsia" w:hAnsi="宋体"/>
          <w:bCs/>
          <w:color w:val="auto"/>
          <w:sz w:val="24"/>
        </w:rPr>
        <w:t>招标代理机构</w:t>
      </w:r>
      <w:r>
        <w:rPr>
          <w:rFonts w:hAnsi="宋体"/>
          <w:bCs/>
          <w:color w:val="auto"/>
          <w:sz w:val="24"/>
        </w:rPr>
        <w:t>向中标人发出《中标通知书》，并同时将中标结果以网上公告的方式通知所有未中标的投标人。</w:t>
      </w:r>
    </w:p>
    <w:p>
      <w:pPr>
        <w:numPr>
          <w:ilvl w:val="1"/>
          <w:numId w:val="5"/>
        </w:numPr>
        <w:tabs>
          <w:tab w:val="left" w:pos="420"/>
          <w:tab w:val="left" w:pos="525"/>
          <w:tab w:val="clear" w:pos="567"/>
        </w:tabs>
        <w:spacing w:line="480" w:lineRule="auto"/>
        <w:ind w:left="420" w:hanging="420"/>
        <w:outlineLvl w:val="3"/>
        <w:rPr>
          <w:b/>
          <w:bCs/>
          <w:color w:val="auto"/>
          <w:sz w:val="24"/>
        </w:rPr>
      </w:pPr>
      <w:r>
        <w:rPr>
          <w:b/>
          <w:bCs/>
          <w:color w:val="auto"/>
          <w:sz w:val="24"/>
        </w:rPr>
        <w:t>签约</w:t>
      </w:r>
    </w:p>
    <w:p>
      <w:pPr>
        <w:numPr>
          <w:ilvl w:val="2"/>
          <w:numId w:val="5"/>
        </w:numPr>
        <w:tabs>
          <w:tab w:val="left" w:pos="735"/>
          <w:tab w:val="left" w:pos="1254"/>
        </w:tabs>
        <w:spacing w:line="360" w:lineRule="auto"/>
        <w:ind w:left="735" w:hanging="735"/>
        <w:rPr>
          <w:bCs/>
          <w:color w:val="auto"/>
          <w:sz w:val="24"/>
        </w:rPr>
      </w:pPr>
      <w:r>
        <w:rPr>
          <w:rFonts w:hAnsi="宋体"/>
          <w:bCs/>
          <w:color w:val="auto"/>
          <w:sz w:val="24"/>
        </w:rPr>
        <w:t>中标人应当在《中标通知书》发出之日起</w:t>
      </w:r>
      <w:r>
        <w:rPr>
          <w:rFonts w:hint="eastAsia" w:hAnsi="宋体"/>
          <w:bCs/>
          <w:color w:val="auto"/>
          <w:sz w:val="24"/>
          <w:lang w:eastAsia="zh-CN"/>
        </w:rPr>
        <w:t>次日</w:t>
      </w:r>
      <w:r>
        <w:rPr>
          <w:rFonts w:hAnsi="宋体"/>
          <w:bCs/>
          <w:color w:val="auto"/>
          <w:sz w:val="24"/>
        </w:rPr>
        <w:t>与招标人签订合同。</w:t>
      </w:r>
    </w:p>
    <w:p>
      <w:pPr>
        <w:numPr>
          <w:ilvl w:val="2"/>
          <w:numId w:val="5"/>
        </w:numPr>
        <w:tabs>
          <w:tab w:val="left" w:pos="735"/>
          <w:tab w:val="left" w:pos="1254"/>
        </w:tabs>
        <w:spacing w:line="360" w:lineRule="auto"/>
        <w:ind w:left="735" w:hanging="735"/>
        <w:rPr>
          <w:color w:val="auto"/>
        </w:rPr>
      </w:pPr>
      <w:r>
        <w:rPr>
          <w:rFonts w:hAnsi="宋体"/>
          <w:bCs/>
          <w:color w:val="auto"/>
          <w:sz w:val="24"/>
        </w:rPr>
        <w:t>招标</w:t>
      </w:r>
      <w:r>
        <w:rPr>
          <w:color w:val="auto"/>
          <w:sz w:val="24"/>
        </w:rPr>
        <w:t>人不得向中标人提出任何不合理的要求，作为签订合同的条件，不得与中标人私下订立背离合同实质性内容的协议。</w:t>
      </w:r>
    </w:p>
    <w:p>
      <w:pPr>
        <w:pStyle w:val="6"/>
        <w:keepLines/>
        <w:numPr>
          <w:ilvl w:val="0"/>
          <w:numId w:val="5"/>
        </w:numPr>
        <w:spacing w:before="260" w:after="260" w:line="400" w:lineRule="exact"/>
        <w:rPr>
          <w:rFonts w:ascii="Times New Roman" w:hAnsi="Times New Roman"/>
          <w:color w:val="auto"/>
          <w:sz w:val="28"/>
        </w:rPr>
      </w:pPr>
      <w:bookmarkStart w:id="101" w:name="_Toc226521697"/>
      <w:bookmarkStart w:id="102" w:name="_Toc185747583"/>
      <w:bookmarkStart w:id="103" w:name="_Toc245203886"/>
      <w:bookmarkStart w:id="104" w:name="_Toc243743358"/>
      <w:bookmarkStart w:id="105" w:name="_Toc22157"/>
      <w:bookmarkStart w:id="106" w:name="_Toc278958163"/>
      <w:bookmarkStart w:id="107" w:name="_Toc279046870"/>
      <w:bookmarkStart w:id="108" w:name="_Toc277758490"/>
      <w:bookmarkStart w:id="109" w:name="_Toc243923372"/>
      <w:bookmarkStart w:id="110" w:name="_Toc271105682"/>
      <w:bookmarkStart w:id="111" w:name="_Toc209258277"/>
      <w:bookmarkStart w:id="112" w:name="_Toc191353019"/>
      <w:bookmarkStart w:id="113" w:name="_Toc272350612"/>
      <w:bookmarkStart w:id="114" w:name="_Toc226966685"/>
      <w:r>
        <w:rPr>
          <w:rFonts w:ascii="Times New Roman"/>
          <w:color w:val="auto"/>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color w:val="auto"/>
          <w:sz w:val="24"/>
        </w:rPr>
      </w:pPr>
      <w:r>
        <w:rPr>
          <w:rFonts w:hAnsi="宋体"/>
          <w:color w:val="auto"/>
          <w:sz w:val="24"/>
        </w:rPr>
        <w:t>中标人须向</w:t>
      </w:r>
      <w:r>
        <w:rPr>
          <w:rFonts w:hint="eastAsia" w:hAnsi="宋体"/>
          <w:color w:val="auto"/>
          <w:sz w:val="24"/>
        </w:rPr>
        <w:t>招标代理机构</w:t>
      </w:r>
      <w:r>
        <w:rPr>
          <w:rFonts w:hAnsi="宋体"/>
          <w:color w:val="auto"/>
          <w:sz w:val="24"/>
        </w:rPr>
        <w:t>交纳的招标服务费，收费标准按国家计委颁布的《招标代理服务收费管理暂行办法》（计价格</w:t>
      </w:r>
      <w:r>
        <w:rPr>
          <w:color w:val="auto"/>
          <w:sz w:val="24"/>
        </w:rPr>
        <w:t>[2002]1980</w:t>
      </w:r>
      <w:r>
        <w:rPr>
          <w:rFonts w:hAnsi="宋体"/>
          <w:color w:val="auto"/>
          <w:sz w:val="24"/>
        </w:rPr>
        <w:t>号）执行。本项目类型为</w:t>
      </w:r>
      <w:r>
        <w:rPr>
          <w:rFonts w:hAnsi="宋体"/>
          <w:b/>
          <w:color w:val="auto"/>
          <w:sz w:val="24"/>
        </w:rPr>
        <w:t>货物类</w:t>
      </w:r>
      <w:r>
        <w:rPr>
          <w:rFonts w:hAnsi="宋体"/>
          <w:color w:val="auto"/>
          <w:sz w:val="24"/>
        </w:rPr>
        <w:t>：</w:t>
      </w:r>
    </w:p>
    <w:p>
      <w:pPr>
        <w:numPr>
          <w:ilvl w:val="0"/>
          <w:numId w:val="11"/>
        </w:numPr>
        <w:spacing w:line="360" w:lineRule="auto"/>
        <w:ind w:right="-317" w:rightChars="-151"/>
        <w:rPr>
          <w:bCs/>
          <w:color w:val="auto"/>
          <w:sz w:val="24"/>
        </w:rPr>
      </w:pPr>
      <w:r>
        <w:rPr>
          <w:rFonts w:hAnsi="宋体"/>
          <w:bCs/>
          <w:color w:val="auto"/>
          <w:sz w:val="24"/>
        </w:rPr>
        <w:t>以《中标通知书》确定的中标总金额作为收费的计算基数，按差额定率累进法计算；</w:t>
      </w:r>
    </w:p>
    <w:p>
      <w:pPr>
        <w:numPr>
          <w:ilvl w:val="0"/>
          <w:numId w:val="11"/>
        </w:numPr>
        <w:spacing w:line="360" w:lineRule="auto"/>
        <w:rPr>
          <w:color w:val="auto"/>
          <w:sz w:val="24"/>
        </w:rPr>
      </w:pPr>
      <w:r>
        <w:rPr>
          <w:rFonts w:hAnsi="宋体"/>
          <w:bCs/>
          <w:color w:val="auto"/>
          <w:sz w:val="24"/>
        </w:rPr>
        <w:t>币种与《中标通知书》的币种相同。</w:t>
      </w:r>
    </w:p>
    <w:p>
      <w:pPr>
        <w:numPr>
          <w:ilvl w:val="0"/>
          <w:numId w:val="11"/>
        </w:numPr>
        <w:spacing w:line="360" w:lineRule="auto"/>
        <w:rPr>
          <w:b/>
          <w:bCs/>
          <w:color w:val="auto"/>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Ansi="宋体"/>
          <w:color w:val="auto"/>
          <w:sz w:val="24"/>
        </w:rPr>
        <w:t>中标人中标后，必须按规定向</w:t>
      </w:r>
      <w:r>
        <w:rPr>
          <w:rFonts w:hint="eastAsia" w:hAnsi="宋体"/>
          <w:color w:val="auto"/>
          <w:sz w:val="24"/>
        </w:rPr>
        <w:t>招标代理机构</w:t>
      </w:r>
      <w:r>
        <w:rPr>
          <w:rFonts w:hAnsi="宋体"/>
          <w:color w:val="auto"/>
          <w:sz w:val="24"/>
        </w:rPr>
        <w:t>直接缴交采购服务费。</w:t>
      </w:r>
    </w:p>
    <w:p>
      <w:pPr>
        <w:pStyle w:val="4"/>
        <w:keepLines w:val="0"/>
        <w:numPr>
          <w:ilvl w:val="0"/>
          <w:numId w:val="2"/>
        </w:numPr>
        <w:spacing w:before="0" w:after="0" w:line="360" w:lineRule="auto"/>
        <w:ind w:left="0" w:leftChars="0" w:right="-441" w:rightChars="-210" w:firstLine="0" w:firstLineChars="0"/>
        <w:jc w:val="center"/>
        <w:rPr>
          <w:rFonts w:hAnsi="宋体"/>
          <w:color w:val="auto"/>
          <w:kern w:val="2"/>
          <w:sz w:val="48"/>
          <w:szCs w:val="48"/>
        </w:rPr>
      </w:pPr>
      <w:bookmarkStart w:id="115" w:name="_Toc130180923"/>
      <w:bookmarkStart w:id="116" w:name="_Toc130180842"/>
      <w:bookmarkStart w:id="117" w:name="_Toc130180737"/>
      <w:bookmarkStart w:id="118" w:name="_Toc2420"/>
      <w:r>
        <w:rPr>
          <w:color w:val="auto"/>
          <w:kern w:val="2"/>
          <w:sz w:val="48"/>
          <w:szCs w:val="48"/>
        </w:rPr>
        <w:t xml:space="preserve"> </w:t>
      </w:r>
      <w:r>
        <w:rPr>
          <w:rFonts w:hAnsi="宋体"/>
          <w:color w:val="auto"/>
          <w:kern w:val="2"/>
          <w:sz w:val="48"/>
          <w:szCs w:val="48"/>
        </w:rPr>
        <w:t>采购人需求</w:t>
      </w:r>
      <w:bookmarkEnd w:id="115"/>
      <w:bookmarkEnd w:id="116"/>
      <w:bookmarkEnd w:id="117"/>
      <w:bookmarkEnd w:id="118"/>
    </w:p>
    <w:tbl>
      <w:tblPr>
        <w:tblStyle w:val="20"/>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300"/>
        <w:gridCol w:w="5683"/>
        <w:gridCol w:w="85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19" w:name="_Toc130180738"/>
            <w:bookmarkStart w:id="120" w:name="_Toc130180843"/>
            <w:bookmarkStart w:id="121" w:name="_Toc31409"/>
            <w:bookmarkStart w:id="122" w:name="_Toc130180924"/>
            <w:r>
              <w:rPr>
                <w:rFonts w:hint="eastAsia" w:ascii="宋体" w:hAnsi="宋体" w:eastAsia="宋体" w:cs="宋体"/>
                <w:i w:val="0"/>
                <w:iCs w:val="0"/>
                <w:color w:val="000000"/>
                <w:kern w:val="0"/>
                <w:sz w:val="22"/>
                <w:szCs w:val="22"/>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COD在线分析仪</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测量方法：重铬酸钾氧化分光光度法；测量范围：10-200mg/L（可扩展）重复性：≤5%；零点漂移：±5mg/L；量程漂移：≤5%；示值误差：20%* ±10% 、 50%* ±8%、 80%* ±5%；电压干扰：±5%；环境温度影响：±5%；工作作原理符合《水质化学需氧量的测定 快速消解分光光度法》（HJ/T 399-2007），具备可靠性高、定量下限低、稳定性好、抗氯离子干扰能力强，可以调节消解温度及时间，消解系统具有完善的保护功能，可有效防止高温高压下可能出现的漏液等情况，仪器内置多档量程，仪器可以根据水样COD含量自动调整量程，仪器可以自动实现校准、清洗等功能；仪器在出现故障时，具有自我检查和维护功能，确保人身安全和设备安全；当发生液体泄漏时，设备自带的湿度传感器会发生报警，并自动锁定；所有故障信息都在安卓通讯板显示终端处予以记录；仪表对外接口丰富，现场使用的各种接口（如ETHERNET/（4~20）mA输入、输出/RS232或RS485通讯/开关量输入、输出等）都具备；表具有良好的可扩展性，可以按用户需求增加设备的功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氨氮在线分析仪</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1"/>
                <w:lang w:val="en-US" w:eastAsia="zh-CN" w:bidi="ar"/>
              </w:rPr>
              <w:t>测量方法：水杨酸分光光度法；测量范围：</w:t>
            </w:r>
            <w:r>
              <w:rPr>
                <w:rStyle w:val="52"/>
                <w:rFonts w:eastAsia="宋体"/>
                <w:lang w:val="en-US" w:eastAsia="zh-CN" w:bidi="ar"/>
              </w:rPr>
              <w:t>0.01-100mg/L</w:t>
            </w:r>
            <w:r>
              <w:rPr>
                <w:rStyle w:val="51"/>
                <w:lang w:val="en-US" w:eastAsia="zh-CN" w:bidi="ar"/>
              </w:rPr>
              <w:t>（可扩展）；重复性：≤</w:t>
            </w:r>
            <w:r>
              <w:rPr>
                <w:rStyle w:val="52"/>
                <w:rFonts w:eastAsia="宋体"/>
                <w:lang w:val="en-US" w:eastAsia="zh-CN" w:bidi="ar"/>
              </w:rPr>
              <w:t>2%</w:t>
            </w:r>
            <w:r>
              <w:rPr>
                <w:rStyle w:val="51"/>
                <w:lang w:val="en-US" w:eastAsia="zh-CN" w:bidi="ar"/>
              </w:rPr>
              <w:t>；零点漂移：≤</w:t>
            </w:r>
            <w:r>
              <w:rPr>
                <w:rStyle w:val="52"/>
                <w:rFonts w:eastAsia="宋体"/>
                <w:lang w:val="en-US" w:eastAsia="zh-CN" w:bidi="ar"/>
              </w:rPr>
              <w:t>0.02mg/L</w:t>
            </w:r>
            <w:r>
              <w:rPr>
                <w:rStyle w:val="51"/>
                <w:lang w:val="en-US" w:eastAsia="zh-CN" w:bidi="ar"/>
              </w:rPr>
              <w:t>；量程漂移：≤</w:t>
            </w:r>
            <w:r>
              <w:rPr>
                <w:rStyle w:val="52"/>
                <w:rFonts w:eastAsia="宋体"/>
                <w:lang w:val="en-US" w:eastAsia="zh-CN" w:bidi="ar"/>
              </w:rPr>
              <w:t>1%</w:t>
            </w:r>
            <w:r>
              <w:rPr>
                <w:rStyle w:val="51"/>
                <w:lang w:val="en-US" w:eastAsia="zh-CN" w:bidi="ar"/>
              </w:rPr>
              <w:t>；示值误差：</w:t>
            </w:r>
            <w:r>
              <w:rPr>
                <w:rStyle w:val="52"/>
                <w:rFonts w:eastAsia="宋体"/>
                <w:lang w:val="en-US" w:eastAsia="zh-CN" w:bidi="ar"/>
              </w:rPr>
              <w:t>20%*</w:t>
            </w:r>
            <w:r>
              <w:rPr>
                <w:rStyle w:val="51"/>
                <w:lang w:val="en-US" w:eastAsia="zh-CN" w:bidi="ar"/>
              </w:rPr>
              <w:t xml:space="preserve"> ±</w:t>
            </w:r>
            <w:r>
              <w:rPr>
                <w:rStyle w:val="52"/>
                <w:rFonts w:eastAsia="宋体"/>
                <w:lang w:val="en-US" w:eastAsia="zh-CN" w:bidi="ar"/>
              </w:rPr>
              <w:t>8%</w:t>
            </w:r>
            <w:r>
              <w:rPr>
                <w:rStyle w:val="51"/>
                <w:lang w:val="en-US" w:eastAsia="zh-CN" w:bidi="ar"/>
              </w:rPr>
              <w:t xml:space="preserve"> 、 </w:t>
            </w:r>
            <w:r>
              <w:rPr>
                <w:rStyle w:val="52"/>
                <w:rFonts w:eastAsia="宋体"/>
                <w:lang w:val="en-US" w:eastAsia="zh-CN" w:bidi="ar"/>
              </w:rPr>
              <w:t>50%*</w:t>
            </w:r>
            <w:r>
              <w:rPr>
                <w:rStyle w:val="51"/>
                <w:lang w:val="en-US" w:eastAsia="zh-CN" w:bidi="ar"/>
              </w:rPr>
              <w:t xml:space="preserve"> ±</w:t>
            </w:r>
            <w:r>
              <w:rPr>
                <w:rStyle w:val="52"/>
                <w:rFonts w:eastAsia="宋体"/>
                <w:lang w:val="en-US" w:eastAsia="zh-CN" w:bidi="ar"/>
              </w:rPr>
              <w:t>5%</w:t>
            </w:r>
            <w:r>
              <w:rPr>
                <w:rStyle w:val="51"/>
                <w:lang w:val="en-US" w:eastAsia="zh-CN" w:bidi="ar"/>
              </w:rPr>
              <w:t xml:space="preserve">、 </w:t>
            </w:r>
            <w:r>
              <w:rPr>
                <w:rStyle w:val="52"/>
                <w:rFonts w:eastAsia="宋体"/>
                <w:lang w:val="en-US" w:eastAsia="zh-CN" w:bidi="ar"/>
              </w:rPr>
              <w:t>80%*</w:t>
            </w:r>
            <w:r>
              <w:rPr>
                <w:rStyle w:val="51"/>
                <w:lang w:val="en-US" w:eastAsia="zh-CN" w:bidi="ar"/>
              </w:rPr>
              <w:t xml:space="preserve"> ±</w:t>
            </w:r>
            <w:r>
              <w:rPr>
                <w:rStyle w:val="52"/>
                <w:rFonts w:eastAsia="宋体"/>
                <w:lang w:val="en-US" w:eastAsia="zh-CN" w:bidi="ar"/>
              </w:rPr>
              <w:t>3%</w:t>
            </w:r>
            <w:r>
              <w:rPr>
                <w:rStyle w:val="51"/>
                <w:lang w:val="en-US" w:eastAsia="zh-CN" w:bidi="ar"/>
              </w:rPr>
              <w:t>；电压影响：±</w:t>
            </w:r>
            <w:r>
              <w:rPr>
                <w:rStyle w:val="52"/>
                <w:rFonts w:eastAsia="宋体"/>
                <w:lang w:val="en-US" w:eastAsia="zh-CN" w:bidi="ar"/>
              </w:rPr>
              <w:t>5%</w:t>
            </w:r>
            <w:r>
              <w:rPr>
                <w:rStyle w:val="51"/>
                <w:lang w:val="en-US" w:eastAsia="zh-CN" w:bidi="ar"/>
              </w:rPr>
              <w:t>；</w:t>
            </w:r>
            <w:r>
              <w:rPr>
                <w:rStyle w:val="52"/>
                <w:rFonts w:eastAsia="宋体"/>
                <w:lang w:val="en-US" w:eastAsia="zh-CN" w:bidi="ar"/>
              </w:rPr>
              <w:t>pH</w:t>
            </w:r>
            <w:r>
              <w:rPr>
                <w:rStyle w:val="51"/>
                <w:lang w:val="en-US" w:eastAsia="zh-CN" w:bidi="ar"/>
              </w:rPr>
              <w:t>影响：±</w:t>
            </w:r>
            <w:r>
              <w:rPr>
                <w:rStyle w:val="52"/>
                <w:rFonts w:eastAsia="宋体"/>
                <w:lang w:val="en-US" w:eastAsia="zh-CN" w:bidi="ar"/>
              </w:rPr>
              <w:t>6%</w:t>
            </w:r>
            <w:r>
              <w:rPr>
                <w:rStyle w:val="51"/>
                <w:lang w:val="en-US" w:eastAsia="zh-CN" w:bidi="ar"/>
              </w:rPr>
              <w:t>；环境温度影响：±</w:t>
            </w:r>
            <w:r>
              <w:rPr>
                <w:rStyle w:val="52"/>
                <w:rFonts w:eastAsia="宋体"/>
                <w:lang w:val="en-US" w:eastAsia="zh-CN" w:bidi="ar"/>
              </w:rPr>
              <w:t>5%</w:t>
            </w:r>
            <w:r>
              <w:rPr>
                <w:rStyle w:val="51"/>
                <w:lang w:val="en-US" w:eastAsia="zh-CN" w:bidi="ar"/>
              </w:rPr>
              <w:t>；一致性：≥</w:t>
            </w:r>
            <w:r>
              <w:rPr>
                <w:rStyle w:val="52"/>
                <w:rFonts w:eastAsia="宋体"/>
                <w:lang w:val="en-US" w:eastAsia="zh-CN" w:bidi="ar"/>
              </w:rPr>
              <w:t>90%</w:t>
            </w:r>
            <w:r>
              <w:rPr>
                <w:rStyle w:val="51"/>
                <w:lang w:val="en-US" w:eastAsia="zh-CN" w:bidi="ar"/>
              </w:rPr>
              <w:t>；本产品工作原理符合《水质氨氮的测定 水杨酸分光光度法》（</w:t>
            </w:r>
            <w:r>
              <w:rPr>
                <w:rStyle w:val="52"/>
                <w:rFonts w:eastAsia="宋体"/>
                <w:lang w:val="en-US" w:eastAsia="zh-CN" w:bidi="ar"/>
              </w:rPr>
              <w:t>HJ 536-2009</w:t>
            </w:r>
            <w:r>
              <w:rPr>
                <w:rStyle w:val="51"/>
                <w:lang w:val="en-US" w:eastAsia="zh-CN" w:bidi="ar"/>
              </w:rPr>
              <w:t>）；具备可靠性高、定量下限低、稳定性好等特点；仪器内置多档量程，仪器可以根据水样氨氮含量自动调整量程；仪器可以自动实现校准、清洗等功能；仪器在出现故障时，具有自我检查和维护功能，确保人身安全和设备安全；当发生液体泄漏时，设备自带的湿度传感器会发生报警，并自动锁定；所有故障信息都在安卓通讯板显示终端处予以记录；现场使用的各种接口（如</w:t>
            </w:r>
            <w:r>
              <w:rPr>
                <w:rStyle w:val="52"/>
                <w:rFonts w:eastAsia="宋体"/>
                <w:lang w:val="en-US" w:eastAsia="zh-CN" w:bidi="ar"/>
              </w:rPr>
              <w:t>ETHERNET/</w:t>
            </w:r>
            <w:r>
              <w:rPr>
                <w:rStyle w:val="51"/>
                <w:lang w:val="en-US" w:eastAsia="zh-CN" w:bidi="ar"/>
              </w:rPr>
              <w:t>（</w:t>
            </w:r>
            <w:r>
              <w:rPr>
                <w:rStyle w:val="52"/>
                <w:rFonts w:eastAsia="宋体"/>
                <w:lang w:val="en-US" w:eastAsia="zh-CN" w:bidi="ar"/>
              </w:rPr>
              <w:t>4~20</w:t>
            </w:r>
            <w:r>
              <w:rPr>
                <w:rStyle w:val="51"/>
                <w:lang w:val="en-US" w:eastAsia="zh-CN" w:bidi="ar"/>
              </w:rPr>
              <w:t>）</w:t>
            </w:r>
            <w:r>
              <w:rPr>
                <w:rStyle w:val="52"/>
                <w:rFonts w:eastAsia="宋体"/>
                <w:lang w:val="en-US" w:eastAsia="zh-CN" w:bidi="ar"/>
              </w:rPr>
              <w:t>mA</w:t>
            </w:r>
            <w:r>
              <w:rPr>
                <w:rStyle w:val="51"/>
                <w:lang w:val="en-US" w:eastAsia="zh-CN" w:bidi="ar"/>
              </w:rPr>
              <w:t>输入、输出</w:t>
            </w:r>
            <w:r>
              <w:rPr>
                <w:rStyle w:val="52"/>
                <w:rFonts w:eastAsia="宋体"/>
                <w:lang w:val="en-US" w:eastAsia="zh-CN" w:bidi="ar"/>
              </w:rPr>
              <w:t>/RS232</w:t>
            </w:r>
            <w:r>
              <w:rPr>
                <w:rStyle w:val="51"/>
                <w:lang w:val="en-US" w:eastAsia="zh-CN" w:bidi="ar"/>
              </w:rPr>
              <w:t>或</w:t>
            </w:r>
            <w:r>
              <w:rPr>
                <w:rStyle w:val="52"/>
                <w:rFonts w:eastAsia="宋体"/>
                <w:lang w:val="en-US" w:eastAsia="zh-CN" w:bidi="ar"/>
              </w:rPr>
              <w:t>RS485</w:t>
            </w:r>
            <w:r>
              <w:rPr>
                <w:rStyle w:val="51"/>
                <w:lang w:val="en-US" w:eastAsia="zh-CN" w:bidi="ar"/>
              </w:rPr>
              <w:t>通讯</w:t>
            </w:r>
            <w:r>
              <w:rPr>
                <w:rStyle w:val="52"/>
                <w:rFonts w:eastAsia="宋体"/>
                <w:lang w:val="en-US" w:eastAsia="zh-CN" w:bidi="ar"/>
              </w:rPr>
              <w:t>/</w:t>
            </w:r>
            <w:r>
              <w:rPr>
                <w:rStyle w:val="51"/>
                <w:lang w:val="en-US" w:eastAsia="zh-CN" w:bidi="ar"/>
              </w:rPr>
              <w:t>开关量输入、输出等）都具备；表具有良好的可扩展性，可以按用户需求增加设备的功能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智能水质采样器</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样量：1~1000mL；采样量误差：5%；等比例采样量误差：8%；装瓶方式：单采、混采；时钟时间控制误差：Δ1≤0.1%及Δ12≤30s；机箱内温度控制误差：±2℃以内；垂直采样高度：≥9m；水平采样距离：≥50m；分瓶存储：1L*24；采样时间间隔：1～9999min；流量输入信号：4～20mA；流量测量范围：0～9999t/h；绝缘阻抗：＞20MΩ；工作电压：(220±10%)V AC；管路系统气密性：≤ -0.05MPa；MTBF：≥ 1440h/次；采样方式：定量、定时定量、时间等比例、定流定量、流量等比例、超标留样、同步留样、即时采样、混合采样、远程采样；工业级实时操作系统，响应时间迅速，工作稳定，扩展性强；采样瓶箱室容积大，常年恒温在4±2℃范围内；采样结构设计紧密，水质自动采样单元的管材采用优质的聚氯乙烯（PVC）硬管，采样管路无污水残留；水质自动采样单元设置有混合水样的人工比对采样口；单次采样时，采样量及采样瓶可以自由设定；超标留样泵放置于采样器内部；配置实时网络通讯接口RS232和RS485，接受上位机或指定控制装置的信息，远程采样设置、执行及应答功能；水电分离、强控制部分与机械取水部分完全分离；A/B缓存桶放置于冰箱内部并通过电子密码门禁保护；水样分配采用摇臂直灌的方式；设备具有断电保护功能，采样器可恢复掉电前的工作状态，数据不丢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6"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超声波明渠流量计</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液距范围：《4m；累积流量：0-999999999m³；分辨率：0.1㎡/h；精度：3%；盲区：0.3m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显示方式：LCD液晶显示；发射开角：6°-12°；温度补偿：温度自动补偿；模拟输出：4-20mA，最大负载750Ω；开关输出：2组继电器，容量为AC230V/5A；数字接口：RS485(ModBus 协议）；供电电源：AC220V±10%,50Hz(可选DC24V)；材质：变送器：ABS，传感器：ABS；过程连接：G2 管螺纹；安装方式：支架安装，法兰安装；线缆长度：10米（可延长）；防护等级：变送器：IP65，传感器：IP67；工作温度：变送器：－20-55'C，传感器：0-60℃；环境湿度：相对湿度≤85%；可内置多种算法，适合各种标准量水堰；采用进口压电陶瓷材料，声学匹配技术提高发射率；盲区可人工设置，屏蔽探头附近干扰信号；不与流体接触，不受污水的腐蚀和玷污；4-20mA变送输出，继电器高、低位报警控制输出，RS485通信输出等各种变量输出，系统智能控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余氯在线分析仪</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方便、数据动态显示、历数据储存；电气箱和流体箱采用分体安装，符合水、电分离的国际安全规范；测量范围：（0.00-2.00)mg/L(ppm)（0.00-20.00)mg/L，pH：2.00-12.00，温度：（0.0-99.9）℃；分辨率：余氯0.01mg/L(ppm)，pH 0.01，温度 0.1℃；准确度：余氯示值误差10%，pH 0.1pH，温度 ±0.5℃；流速：稳定的流速是测量准确的关键，进水流速推荐（0.5±0.2)m/s，当流速过低（小于0.15m/s)，余氯测量偏低，仪器无水报警，测流速过大（高于1.5m/s)，浪费水样，又可能影响测量，仪器水压过大报警；传感器寿命：pH/余氯传感12个月；通讯接口：RS485 MODBUS RTU通讯协议；通道数：双通道；技术特征：隔离、可反向、完全可调，仪表／变送双模式；通道组态：均可编程指向余氯、二氧化氯、温度、pH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环路电阻：400Ω(Max),DC 24V；传输精度：±0.1mA；控制端口：三通道，触点模式：第一路光电开关，第二、三路继电器；负载能力：负载电流50mA(Max),AC/DC 30V；控制指向：可编程（余氯、二氧化氯、温度、pH、定时）功能；系统电源：接入市电AC80-260V;50/60Hz,兼容国际所有的市电标准（110V;220V;；工作环境：温度：（5-50)℃;相对湿度：≤85% RH(无冷凝）；储存环境：温度：（－20-70)℃;相对湿度：≤85%RH(无冷凝）；安装方式：壁挂式（附预置式背板）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7"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测量范围：PH:0-14pH  ORP:-1999.9-+1999.9mV；准确度：PH:±0.05pH   ORP:±3mV；分辨率：PH:0.01pH    ORP:0.1mV；标定：标准液标定；温度补偿：PT1000 自动温度补偿；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显示：LCD液晶显示；模拟输出：4-20mA,最大负载750Ω；开关量：2组继电器，容量为AC230V/5A；数字接口：RS485(Modbus 协议）；供电电源：AC220V±10%,50Hz(可选DC24V)；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变送器：ABS；电极：玻璃（可选工程塑料Ryton外壳）；连接过程：3/4 NPT外螺纹；PG13.5 外螺纹；安装方式：支架投入式、流通式、插入式；线缆长度：10米（可延长至20米）；防护等级：变送器：1P65，电极：IP68；工作温度：变送器：－20-55'C，电极：0-60'℃、80℃、110'℃；环境湿度：相对湿度≤85%；工作压力：常温≤0.6MPa,高温≤0.4MPa；全智能、多功能、测量性能高，环境适应性强；多参数同时显示：测量值、电流值、时间，且有3种精度可选；4-20mA输出，继电器高、低报警控制输出，RS485通信输出等各种变量输出，系统智能控制；高精度AD转换技术，精度高、重复性好，采用两点校正法，可纠正传感器误差；适配多种类型测量电极，高精度自动温度补偿系统；采用工业级芯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数采仪</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模拟量输入 AI：8  路（可扩展16 路），精度12 位A/D，0～20mA/4～20mA 或 0～5V；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开关量输入 DI：4 路（可扩展 12 路），光电隔离，直流 12-48V；数字量：5 路 RS232 ，2 路 RS485；通讯方式：以太网：2 个（10M/100M），双通道冗余备份，可选 GPRS/CDMA 方式，可多中心传送；精度：≤0.2%；电磁兼容：满足 IEC 三级标准；电源：220VAC ± 15％ 50HZ ± 5％；功耗&lt;10W；安装结构：壁挂式，防水、防尘、防破坏；通讯协议：支持HJ/T212-2005、HJ/T212-2017等多协议；安装环境：相对湿度20％～90％，环境温度－10℃～＋60℃；天线外置，全天候，自带吸盘；多种类型的数据输入接口功能，系统为模块化结构设计，可方便扩展标准 I/O 口（16AI、8DI、8DO）或电量采集集单元；64M SDRAM，256M Flash，可选外部存储：SD 卡及 USB 存储设备；系统自带实时时钟，时钟能到 200M,速度快，掉电自动计时功能，支持远程校时；支持本地或远程参数设置，如：修改定时上传间隔时间，最大及最小量程、数采仪地址、报警上下限值等；支持下端反控功能；支持GPRS/CDMA/ADSL/PSTN/WLAN/短波电台等多种通讯方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空气源臭氧发生器</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氧量100g/h,浓度15mg/L-30mg/L；材质不锈钢；功率1000w（可调）；真空环氧高压包，树脂防潮涂层；变频可调电源，高密度石英发生管；放电管材质：内外级SUS316不锈钢/外壳SUS304不锈钢/介电材质99.8%高纯度二氧化硅石英管/密封：聚四氟；冷却方式：水冷散热</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明渠、巴歇尔槽安装</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明渠符合环保要求，巴歇尔槽要求国标、不锈钢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分析小屋</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3米*4米板房，配空调一台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曝气系统修复</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换厌氧生物填料、好氧生物填料、曝气头及曝气管路（因常年使用，池内淤泥、臭气、腐蚀氧化严重，需要做彻底清理和防腐防渗处理）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w:t>
            </w:r>
          </w:p>
        </w:tc>
        <w:tc>
          <w:tcPr>
            <w:tcW w:w="5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设备间及工艺池标识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7" w:type="dxa"/>
            <w:tcBorders>
              <w:top w:val="single" w:color="000000" w:sz="4" w:space="0"/>
              <w:left w:val="single" w:color="000000"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控制系统</w:t>
            </w:r>
          </w:p>
        </w:tc>
        <w:tc>
          <w:tcPr>
            <w:tcW w:w="56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1"/>
                <w:lang w:val="en-US" w:eastAsia="zh-CN" w:bidi="ar"/>
              </w:rPr>
              <w:t>更换配电柜及升级为</w:t>
            </w:r>
            <w:r>
              <w:rPr>
                <w:rStyle w:val="52"/>
                <w:rFonts w:eastAsia="宋体"/>
                <w:lang w:val="en-US" w:eastAsia="zh-CN" w:bidi="ar"/>
              </w:rPr>
              <w:t>PLC</w:t>
            </w:r>
            <w:r>
              <w:rPr>
                <w:rStyle w:val="51"/>
                <w:lang w:val="en-US" w:eastAsia="zh-CN" w:bidi="ar"/>
              </w:rPr>
              <w:t>自动控制，人机界面，工艺程序编写。</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菌种培养</w:t>
            </w:r>
          </w:p>
        </w:tc>
        <w:tc>
          <w:tcPr>
            <w:tcW w:w="5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根据取样结果判定超标参数核算，培养及调试周期一个月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72h调试检测报告</w:t>
            </w:r>
          </w:p>
        </w:tc>
        <w:tc>
          <w:tcPr>
            <w:tcW w:w="5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按环保要求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环保比对验收</w:t>
            </w:r>
          </w:p>
        </w:tc>
        <w:tc>
          <w:tcPr>
            <w:tcW w:w="5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按环保要求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28"/>
        <w:widowControl/>
        <w:numPr>
          <w:ilvl w:val="0"/>
          <w:numId w:val="0"/>
        </w:numPr>
        <w:spacing w:line="360" w:lineRule="auto"/>
        <w:jc w:val="both"/>
        <w:rPr>
          <w:rFonts w:hAnsi="宋体"/>
          <w:color w:val="auto"/>
          <w:kern w:val="2"/>
          <w:sz w:val="48"/>
          <w:szCs w:val="48"/>
        </w:rPr>
      </w:pPr>
    </w:p>
    <w:p>
      <w:pPr>
        <w:pStyle w:val="28"/>
        <w:widowControl/>
        <w:numPr>
          <w:ilvl w:val="0"/>
          <w:numId w:val="0"/>
        </w:numPr>
        <w:spacing w:line="360" w:lineRule="auto"/>
        <w:jc w:val="both"/>
        <w:rPr>
          <w:rFonts w:hAnsi="宋体"/>
          <w:color w:val="auto"/>
          <w:kern w:val="2"/>
          <w:sz w:val="48"/>
          <w:szCs w:val="48"/>
        </w:rPr>
      </w:pPr>
    </w:p>
    <w:p>
      <w:pPr>
        <w:pStyle w:val="28"/>
        <w:widowControl/>
        <w:numPr>
          <w:ilvl w:val="0"/>
          <w:numId w:val="0"/>
        </w:numPr>
        <w:spacing w:line="360" w:lineRule="auto"/>
        <w:jc w:val="both"/>
        <w:rPr>
          <w:rFonts w:hAnsi="宋体"/>
          <w:color w:val="auto"/>
          <w:kern w:val="2"/>
          <w:sz w:val="48"/>
          <w:szCs w:val="48"/>
        </w:rPr>
      </w:pPr>
    </w:p>
    <w:p>
      <w:pPr>
        <w:pStyle w:val="4"/>
        <w:keepLines w:val="0"/>
        <w:numPr>
          <w:ilvl w:val="0"/>
          <w:numId w:val="2"/>
        </w:numPr>
        <w:spacing w:before="0" w:after="0" w:line="360" w:lineRule="auto"/>
        <w:ind w:left="0" w:leftChars="0" w:right="-441" w:rightChars="-210" w:firstLine="0" w:firstLineChars="0"/>
        <w:jc w:val="center"/>
        <w:rPr>
          <w:rFonts w:hAnsi="宋体"/>
          <w:color w:val="auto"/>
          <w:kern w:val="2"/>
          <w:sz w:val="48"/>
          <w:szCs w:val="48"/>
        </w:rPr>
      </w:pPr>
      <w:r>
        <w:rPr>
          <w:color w:val="auto"/>
          <w:kern w:val="2"/>
          <w:sz w:val="48"/>
          <w:szCs w:val="48"/>
        </w:rPr>
        <w:t xml:space="preserve"> </w:t>
      </w:r>
      <w:r>
        <w:rPr>
          <w:rFonts w:hAnsi="宋体"/>
          <w:color w:val="auto"/>
          <w:kern w:val="2"/>
          <w:sz w:val="48"/>
          <w:szCs w:val="48"/>
        </w:rPr>
        <w:t>采购合同</w:t>
      </w:r>
      <w:bookmarkEnd w:id="119"/>
      <w:bookmarkEnd w:id="120"/>
      <w:bookmarkEnd w:id="121"/>
      <w:bookmarkEnd w:id="122"/>
    </w:p>
    <w:p>
      <w:pPr>
        <w:spacing w:line="360" w:lineRule="auto"/>
        <w:jc w:val="center"/>
        <w:rPr>
          <w:rFonts w:hint="eastAsia" w:eastAsia="宋体"/>
          <w:b/>
          <w:bCs/>
          <w:color w:val="auto"/>
          <w:lang w:eastAsia="zh-CN"/>
        </w:rPr>
      </w:pPr>
      <w:r>
        <w:rPr>
          <w:rFonts w:hint="eastAsia"/>
          <w:b/>
          <w:bCs/>
          <w:color w:val="auto"/>
          <w:lang w:eastAsia="zh-CN"/>
        </w:rPr>
        <w:t>（</w:t>
      </w:r>
      <w:r>
        <w:rPr>
          <w:rFonts w:hint="eastAsia"/>
          <w:b/>
          <w:bCs/>
          <w:color w:val="auto"/>
          <w:lang w:val="en-US" w:eastAsia="zh-CN"/>
        </w:rPr>
        <w:t xml:space="preserve">仅供参考 </w:t>
      </w:r>
      <w:r>
        <w:rPr>
          <w:rFonts w:hint="eastAsia"/>
          <w:b/>
          <w:bCs/>
          <w:color w:val="auto"/>
          <w:lang w:eastAsia="zh-CN"/>
        </w:rPr>
        <w:t>）</w:t>
      </w:r>
    </w:p>
    <w:p>
      <w:pPr>
        <w:adjustRightInd w:val="0"/>
        <w:snapToGrid w:val="0"/>
        <w:spacing w:line="360" w:lineRule="auto"/>
        <w:jc w:val="center"/>
        <w:rPr>
          <w:rFonts w:hint="eastAsia" w:ascii="黑体" w:eastAsia="宋体"/>
          <w:color w:val="auto"/>
          <w:sz w:val="44"/>
          <w:szCs w:val="44"/>
          <w:lang w:eastAsia="zh-CN"/>
        </w:rPr>
      </w:pPr>
      <w:bookmarkStart w:id="123" w:name="_Toc130180925"/>
      <w:bookmarkStart w:id="124" w:name="_Toc130180739"/>
      <w:bookmarkStart w:id="125" w:name="_Toc31345"/>
      <w:bookmarkStart w:id="126" w:name="_Toc130180844"/>
      <w:r>
        <w:rPr>
          <w:rFonts w:hint="eastAsia" w:ascii="黑体"/>
          <w:color w:val="auto"/>
          <w:sz w:val="44"/>
          <w:szCs w:val="44"/>
          <w:lang w:eastAsia="zh-CN"/>
        </w:rPr>
        <w:t>特克斯县妇幼保健计划生育服务中心</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50" w:firstLineChars="500"/>
        <w:rPr>
          <w:rFonts w:ascii="黑体"/>
          <w:color w:val="auto"/>
          <w:szCs w:val="21"/>
        </w:rPr>
      </w:pP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66" w:firstLineChars="345"/>
        <w:rPr>
          <w:rFonts w:hint="eastAsia" w:ascii="黑体" w:eastAsia="宋体"/>
          <w:color w:val="auto"/>
          <w:sz w:val="28"/>
          <w:szCs w:val="28"/>
          <w:lang w:eastAsia="zh-CN"/>
        </w:rPr>
      </w:pPr>
      <w:r>
        <w:rPr>
          <w:rFonts w:hint="eastAsia" w:ascii="黑体"/>
          <w:color w:val="auto"/>
          <w:sz w:val="28"/>
          <w:szCs w:val="28"/>
        </w:rPr>
        <w:t>甲  方：</w:t>
      </w:r>
      <w:r>
        <w:rPr>
          <w:rFonts w:hint="eastAsia" w:ascii="黑体"/>
          <w:color w:val="auto"/>
          <w:sz w:val="28"/>
          <w:szCs w:val="28"/>
          <w:lang w:eastAsia="zh-CN"/>
        </w:rPr>
        <w:t>特克斯县妇幼保健计划生育服务中心</w:t>
      </w:r>
    </w:p>
    <w:p>
      <w:pPr>
        <w:adjustRightInd w:val="0"/>
        <w:snapToGrid w:val="0"/>
        <w:spacing w:line="360" w:lineRule="auto"/>
        <w:ind w:firstLine="966"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0"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adjustRightInd w:val="0"/>
        <w:snapToGrid w:val="0"/>
        <w:spacing w:line="360" w:lineRule="auto"/>
        <w:rPr>
          <w:rFonts w:hint="eastAsia" w:ascii="宋体" w:hAnsi="宋体"/>
          <w:color w:val="auto"/>
          <w:szCs w:val="21"/>
        </w:rPr>
      </w:pPr>
    </w:p>
    <w:p>
      <w:pPr>
        <w:pStyle w:val="18"/>
        <w:rPr>
          <w:rFonts w:hint="eastAsia"/>
          <w:color w:val="auto"/>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r>
        <w:rPr>
          <w:rFonts w:hint="eastAsia" w:ascii="宋体" w:hAnsi="宋体" w:cs="宋体"/>
          <w:color w:val="auto"/>
          <w:sz w:val="24"/>
          <w:szCs w:val="24"/>
          <w:lang w:eastAsia="zh-CN"/>
        </w:rPr>
        <w:t>特克斯县妇幼保健计划生育服务中心</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1" w:leftChars="86" w:firstLine="376" w:firstLineChars="171"/>
        <w:rPr>
          <w:rFonts w:hint="eastAsia" w:ascii="宋体" w:hAnsi="宋体" w:eastAsia="宋体" w:cs="宋体"/>
          <w:color w:val="auto"/>
          <w:sz w:val="22"/>
          <w:szCs w:val="22"/>
        </w:rPr>
      </w:pPr>
      <w:r>
        <w:rPr>
          <w:rFonts w:hint="eastAsia" w:ascii="宋体" w:hAnsi="宋体" w:cs="宋体"/>
          <w:color w:val="auto"/>
          <w:sz w:val="22"/>
          <w:szCs w:val="22"/>
          <w:lang w:eastAsia="zh-CN"/>
        </w:rPr>
        <w:t>特克斯县妇幼保健计划生育服务中心</w:t>
      </w:r>
      <w:r>
        <w:rPr>
          <w:rFonts w:hint="eastAsia" w:ascii="宋体" w:hAnsi="宋体" w:eastAsia="宋体" w:cs="宋体"/>
          <w:color w:val="auto"/>
          <w:sz w:val="22"/>
          <w:szCs w:val="22"/>
        </w:rPr>
        <w:t>（以下简称甲方）经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20"/>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1064" w:type="dxa"/>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vMerge w:val="continue"/>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vMerge w:val="continue"/>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both"/>
              <w:rPr>
                <w:rFonts w:hint="eastAsia" w:ascii="宋体" w:hAnsi="宋体" w:eastAsia="宋体" w:cs="宋体"/>
                <w:color w:val="auto"/>
                <w:sz w:val="22"/>
                <w:szCs w:val="22"/>
              </w:rPr>
            </w:pPr>
            <w:r>
              <w:rPr>
                <w:rFonts w:hint="eastAsia" w:ascii="宋体" w:hAnsi="宋体" w:eastAsia="宋体" w:cs="宋体"/>
                <w:color w:val="auto"/>
                <w:sz w:val="22"/>
                <w:szCs w:val="22"/>
              </w:rPr>
              <w:t>单价（元/支）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tcBorders>
              <w:top w:val="single" w:color="auto" w:sz="4" w:space="0"/>
              <w:left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7447" w:type="dxa"/>
            <w:gridSpan w:val="7"/>
            <w:tcBorders>
              <w:top w:val="single" w:color="auto" w:sz="4" w:space="0"/>
              <w:left w:val="single" w:color="auto" w:sz="6"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12"/>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2"/>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0"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0" w:leftChars="100" w:firstLine="455"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0"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13"/>
        </w:num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0"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 xml:space="preserve">税号：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乙方：税号：           </w:t>
      </w:r>
    </w:p>
    <w:p>
      <w:pPr>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 xml:space="preserve">开 户 行：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开 户 行：</w:t>
      </w:r>
    </w:p>
    <w:p>
      <w:pPr>
        <w:tabs>
          <w:tab w:val="center" w:pos="5070"/>
        </w:tabs>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 xml:space="preserve">开户行号：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开户行号：</w:t>
      </w:r>
    </w:p>
    <w:p>
      <w:pPr>
        <w:widowControl/>
        <w:shd w:val="clear" w:color="auto" w:fill="FFFFFF"/>
        <w:adjustRightInd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帐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帐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 xml:space="preserve">。如果乙方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50"/>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w:t>
      </w:r>
    </w:p>
    <w:p>
      <w:pPr>
        <w:adjustRightInd w:val="0"/>
        <w:snapToGrid w:val="0"/>
        <w:spacing w:line="360" w:lineRule="auto"/>
        <w:ind w:firstLine="646"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59" w:leftChars="-171" w:firstLine="119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06" w:rightChars="-241" w:firstLine="1210"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370" w:leftChars="-57" w:right="-506" w:rightChars="-241" w:hanging="6490"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04" w:leftChars="3078" w:right="-506" w:rightChars="-241" w:hanging="440" w:hangingChars="200"/>
        <w:rPr>
          <w:rFonts w:hint="eastAsia" w:ascii="宋体" w:hAnsi="宋体" w:eastAsia="宋体" w:cs="宋体"/>
          <w:color w:val="auto"/>
          <w:sz w:val="22"/>
          <w:szCs w:val="22"/>
        </w:rPr>
      </w:pP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联系电话：            </w:t>
      </w:r>
    </w:p>
    <w:p>
      <w:pPr>
        <w:adjustRightInd w:val="0"/>
        <w:snapToGrid w:val="0"/>
        <w:spacing w:line="360" w:lineRule="auto"/>
        <w:ind w:left="-359" w:leftChars="-171" w:right="-506" w:rightChars="-241" w:firstLine="6380"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59" w:leftChars="-171" w:right="-506" w:rightChars="-241" w:firstLine="2640" w:firstLineChars="12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widowControl/>
        <w:adjustRightInd w:val="0"/>
        <w:snapToGrid w:val="0"/>
        <w:spacing w:after="150" w:line="560" w:lineRule="exact"/>
        <w:jc w:val="left"/>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3"/>
        <w:rPr>
          <w:rFonts w:hint="eastAsia"/>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pStyle w:val="18"/>
        <w:rPr>
          <w:rFonts w:hint="eastAsia" w:ascii="宋体" w:hAnsi="宋体" w:eastAsia="宋体" w:cs="宋体"/>
          <w:color w:val="auto"/>
          <w:kern w:val="0"/>
          <w:sz w:val="22"/>
          <w:szCs w:val="22"/>
        </w:rPr>
      </w:pPr>
    </w:p>
    <w:p>
      <w:pPr>
        <w:pStyle w:val="18"/>
        <w:ind w:left="0" w:leftChars="0" w:firstLine="0" w:firstLineChars="0"/>
        <w:rPr>
          <w:rFonts w:hint="eastAsia" w:ascii="宋体" w:hAnsi="宋体" w:eastAsia="宋体" w:cs="宋体"/>
          <w:color w:val="auto"/>
          <w:kern w:val="0"/>
          <w:sz w:val="22"/>
          <w:szCs w:val="22"/>
        </w:rPr>
      </w:pPr>
    </w:p>
    <w:p>
      <w:pPr>
        <w:rPr>
          <w:color w:val="auto"/>
        </w:rPr>
      </w:pPr>
    </w:p>
    <w:p>
      <w:pPr>
        <w:pStyle w:val="4"/>
        <w:keepLines w:val="0"/>
        <w:spacing w:before="0" w:after="0" w:line="360" w:lineRule="auto"/>
        <w:ind w:right="-441" w:rightChars="-210"/>
        <w:jc w:val="center"/>
        <w:rPr>
          <w:color w:val="auto"/>
          <w:kern w:val="2"/>
          <w:sz w:val="48"/>
          <w:szCs w:val="48"/>
        </w:rPr>
      </w:pPr>
      <w:r>
        <w:rPr>
          <w:rFonts w:hAnsi="宋体"/>
          <w:color w:val="auto"/>
          <w:kern w:val="2"/>
          <w:sz w:val="48"/>
          <w:szCs w:val="48"/>
        </w:rPr>
        <w:t>第五章</w:t>
      </w:r>
      <w:r>
        <w:rPr>
          <w:color w:val="auto"/>
          <w:kern w:val="2"/>
          <w:sz w:val="48"/>
          <w:szCs w:val="48"/>
        </w:rPr>
        <w:t xml:space="preserve">  </w:t>
      </w:r>
      <w:r>
        <w:rPr>
          <w:rFonts w:hAnsi="宋体"/>
          <w:color w:val="auto"/>
          <w:kern w:val="2"/>
          <w:sz w:val="48"/>
          <w:szCs w:val="48"/>
        </w:rPr>
        <w:t>投标文件格式</w:t>
      </w:r>
      <w:bookmarkEnd w:id="123"/>
      <w:bookmarkEnd w:id="124"/>
      <w:bookmarkEnd w:id="125"/>
      <w:bookmarkEnd w:id="126"/>
    </w:p>
    <w:p>
      <w:pPr>
        <w:pStyle w:val="5"/>
        <w:keepLines w:val="0"/>
        <w:spacing w:before="0" w:after="0" w:line="360" w:lineRule="auto"/>
        <w:ind w:right="-441" w:rightChars="-210"/>
        <w:rPr>
          <w:color w:val="auto"/>
        </w:rPr>
      </w:pPr>
      <w:bookmarkStart w:id="127" w:name="_Toc130139083"/>
      <w:bookmarkStart w:id="128" w:name="_Toc9490"/>
      <w:bookmarkStart w:id="129" w:name="_Toc128466400"/>
      <w:r>
        <w:rPr>
          <w:rFonts w:ascii="Times New Roman" w:hAnsi="Times New Roman" w:eastAsia="宋体"/>
          <w:color w:val="auto"/>
          <w:sz w:val="28"/>
          <w:szCs w:val="28"/>
        </w:rPr>
        <w:t>格式1 投标</w:t>
      </w:r>
      <w:bookmarkEnd w:id="127"/>
      <w:r>
        <w:rPr>
          <w:rFonts w:ascii="Times New Roman" w:hAnsi="Times New Roman" w:eastAsia="宋体"/>
          <w:color w:val="auto"/>
          <w:sz w:val="28"/>
          <w:szCs w:val="28"/>
        </w:rPr>
        <w:t>书</w:t>
      </w:r>
      <w:bookmarkEnd w:id="128"/>
    </w:p>
    <w:p>
      <w:pPr>
        <w:spacing w:line="360" w:lineRule="auto"/>
        <w:rPr>
          <w:color w:val="auto"/>
          <w:sz w:val="18"/>
          <w:szCs w:val="18"/>
        </w:rPr>
      </w:pPr>
      <w:r>
        <w:rPr>
          <w:color w:val="auto"/>
          <w:sz w:val="24"/>
        </w:rPr>
        <w:t>致：</w:t>
      </w:r>
      <w:r>
        <w:rPr>
          <w:rFonts w:hint="eastAsia"/>
          <w:color w:val="auto"/>
          <w:sz w:val="24"/>
          <w:lang w:eastAsia="zh-CN"/>
        </w:rPr>
        <w:t>新疆华域建设工程项目管理咨询有限公司</w:t>
      </w:r>
      <w:r>
        <w:rPr>
          <w:rFonts w:hint="eastAsia"/>
          <w:color w:val="auto"/>
          <w:sz w:val="24"/>
        </w:rPr>
        <w:t xml:space="preserve"> </w:t>
      </w:r>
    </w:p>
    <w:p>
      <w:pPr>
        <w:spacing w:line="360" w:lineRule="auto"/>
        <w:ind w:firstLine="480"/>
        <w:rPr>
          <w:color w:val="auto"/>
          <w:sz w:val="24"/>
        </w:rPr>
      </w:pPr>
      <w:bookmarkStart w:id="130" w:name="_Toc64113040"/>
      <w:bookmarkStart w:id="131" w:name="_Toc130139084"/>
      <w:r>
        <w:rPr>
          <w:color w:val="auto"/>
          <w:sz w:val="24"/>
        </w:rPr>
        <w:t>根据</w:t>
      </w:r>
      <w:r>
        <w:rPr>
          <w:rFonts w:hint="eastAsia"/>
          <w:color w:val="auto"/>
          <w:sz w:val="24"/>
          <w:lang w:val="en-US" w:eastAsia="zh-CN"/>
        </w:rPr>
        <w:t>XXX</w:t>
      </w:r>
      <w:r>
        <w:rPr>
          <w:rFonts w:hint="eastAsia"/>
          <w:color w:val="auto"/>
          <w:sz w:val="24"/>
          <w:lang w:eastAsia="zh-CN"/>
        </w:rPr>
        <w:t>项目</w:t>
      </w:r>
      <w:r>
        <w:rPr>
          <w:color w:val="auto"/>
          <w:sz w:val="24"/>
        </w:rPr>
        <w:t>（招标编号：</w:t>
      </w:r>
      <w:r>
        <w:rPr>
          <w:rFonts w:hint="eastAsia"/>
          <w:color w:val="auto"/>
          <w:sz w:val="24"/>
        </w:rPr>
        <w:t>HY</w:t>
      </w:r>
      <w:r>
        <w:rPr>
          <w:rFonts w:hint="eastAsia"/>
          <w:color w:val="auto"/>
          <w:sz w:val="24"/>
          <w:lang w:val="en-US" w:eastAsia="zh-CN"/>
        </w:rPr>
        <w:t>ZB</w:t>
      </w:r>
      <w:r>
        <w:rPr>
          <w:rFonts w:hint="eastAsia"/>
          <w:color w:val="auto"/>
          <w:sz w:val="24"/>
        </w:rPr>
        <w:t>-2021-</w:t>
      </w:r>
      <w:r>
        <w:rPr>
          <w:rFonts w:hint="eastAsia"/>
          <w:color w:val="auto"/>
          <w:sz w:val="24"/>
          <w:lang w:val="en-US" w:eastAsia="zh-CN"/>
        </w:rPr>
        <w:t>XX</w:t>
      </w:r>
      <w:r>
        <w:rPr>
          <w:rFonts w:hint="eastAsia"/>
          <w:color w:val="auto"/>
          <w:sz w:val="24"/>
        </w:rPr>
        <w:t>号</w:t>
      </w:r>
      <w:r>
        <w:rPr>
          <w:color w:val="auto"/>
          <w:sz w:val="24"/>
        </w:rPr>
        <w:t>）的</w:t>
      </w:r>
      <w:r>
        <w:rPr>
          <w:rFonts w:hint="eastAsia"/>
          <w:color w:val="auto"/>
          <w:sz w:val="24"/>
          <w:lang w:eastAsia="zh-CN"/>
        </w:rPr>
        <w:t>磋商</w:t>
      </w:r>
      <w:r>
        <w:rPr>
          <w:color w:val="auto"/>
          <w:sz w:val="24"/>
        </w:rPr>
        <w:t>文件要求，</w:t>
      </w:r>
      <w:r>
        <w:rPr>
          <w:color w:val="auto"/>
          <w:sz w:val="24"/>
          <w:u w:val="single"/>
        </w:rPr>
        <w:t>（</w:t>
      </w:r>
      <w:r>
        <w:rPr>
          <w:rFonts w:hint="eastAsia"/>
          <w:color w:val="auto"/>
          <w:sz w:val="24"/>
          <w:u w:val="single"/>
        </w:rPr>
        <w:t>全</w:t>
      </w:r>
      <w:r>
        <w:rPr>
          <w:color w:val="auto"/>
          <w:sz w:val="24"/>
          <w:u w:val="single"/>
        </w:rPr>
        <w:t>名及职务）</w:t>
      </w:r>
      <w:r>
        <w:rPr>
          <w:color w:val="auto"/>
          <w:sz w:val="24"/>
        </w:rPr>
        <w:t>经正式授权并以投标人</w:t>
      </w:r>
      <w:r>
        <w:rPr>
          <w:color w:val="auto"/>
          <w:sz w:val="24"/>
          <w:u w:val="single"/>
        </w:rPr>
        <w:t>（投标人名称、地址）</w:t>
      </w:r>
      <w:r>
        <w:rPr>
          <w:color w:val="auto"/>
          <w:sz w:val="24"/>
        </w:rPr>
        <w:t>的名义投标。提交投标文件正本1份（内装投标文件正本1份，投标文件电子版1份，只限</w:t>
      </w:r>
      <w:r>
        <w:rPr>
          <w:rFonts w:hint="eastAsia"/>
          <w:color w:val="auto"/>
          <w:sz w:val="24"/>
        </w:rPr>
        <w:t>U</w:t>
      </w:r>
      <w:r>
        <w:rPr>
          <w:color w:val="auto"/>
          <w:sz w:val="24"/>
        </w:rPr>
        <w:t>盘，不留密码，无病毒</w:t>
      </w:r>
      <w:r>
        <w:rPr>
          <w:rFonts w:hint="eastAsia"/>
          <w:color w:val="auto"/>
          <w:sz w:val="24"/>
          <w:lang w:eastAsia="zh-CN"/>
        </w:rPr>
        <w:t>，</w:t>
      </w:r>
      <w:r>
        <w:rPr>
          <w:rFonts w:hint="eastAsia"/>
          <w:color w:val="auto"/>
          <w:sz w:val="24"/>
          <w:lang w:val="en-US" w:eastAsia="zh-CN"/>
        </w:rPr>
        <w:t>投标一览表一份单独密封</w:t>
      </w:r>
      <w:r>
        <w:rPr>
          <w:color w:val="auto"/>
          <w:sz w:val="24"/>
        </w:rPr>
        <w:t>），副本</w:t>
      </w:r>
      <w:r>
        <w:rPr>
          <w:rFonts w:hint="eastAsia"/>
          <w:color w:val="auto"/>
          <w:sz w:val="24"/>
          <w:lang w:val="en-US" w:eastAsia="zh-CN"/>
        </w:rPr>
        <w:t>2</w:t>
      </w:r>
      <w:r>
        <w:rPr>
          <w:color w:val="auto"/>
          <w:sz w:val="24"/>
        </w:rPr>
        <w:t>份。签字代表在此声明并同意：</w:t>
      </w:r>
    </w:p>
    <w:p>
      <w:pPr>
        <w:numPr>
          <w:ilvl w:val="0"/>
          <w:numId w:val="14"/>
        </w:numPr>
        <w:tabs>
          <w:tab w:val="left" w:pos="840"/>
          <w:tab w:val="clear" w:pos="420"/>
        </w:tabs>
        <w:spacing w:line="360" w:lineRule="auto"/>
        <w:ind w:left="840" w:hanging="315"/>
        <w:rPr>
          <w:color w:val="auto"/>
          <w:sz w:val="24"/>
        </w:rPr>
      </w:pPr>
      <w:r>
        <w:rPr>
          <w:color w:val="auto"/>
          <w:sz w:val="24"/>
        </w:rPr>
        <w:t>我们愿意遵守</w:t>
      </w:r>
      <w:r>
        <w:rPr>
          <w:rFonts w:hint="eastAsia"/>
          <w:color w:val="auto"/>
          <w:sz w:val="24"/>
          <w:lang w:eastAsia="zh-CN"/>
        </w:rPr>
        <w:t>磋商</w:t>
      </w:r>
      <w:r>
        <w:rPr>
          <w:color w:val="auto"/>
          <w:sz w:val="24"/>
        </w:rPr>
        <w:t>文件的各项规定，自愿参加投标，并已清楚</w:t>
      </w:r>
      <w:r>
        <w:rPr>
          <w:rFonts w:hint="eastAsia"/>
          <w:color w:val="auto"/>
          <w:sz w:val="24"/>
          <w:lang w:eastAsia="zh-CN"/>
        </w:rPr>
        <w:t>磋商</w:t>
      </w:r>
      <w:r>
        <w:rPr>
          <w:color w:val="auto"/>
          <w:sz w:val="24"/>
        </w:rPr>
        <w:t>文件的要求及有关文件规定，并严格按照</w:t>
      </w:r>
      <w:r>
        <w:rPr>
          <w:rFonts w:hint="eastAsia"/>
          <w:color w:val="auto"/>
          <w:sz w:val="24"/>
          <w:lang w:eastAsia="zh-CN"/>
        </w:rPr>
        <w:t>磋商</w:t>
      </w:r>
      <w:r>
        <w:rPr>
          <w:color w:val="auto"/>
          <w:sz w:val="24"/>
        </w:rPr>
        <w:t>文件的规定履行全部责任和义务。</w:t>
      </w:r>
    </w:p>
    <w:p>
      <w:pPr>
        <w:numPr>
          <w:ilvl w:val="0"/>
          <w:numId w:val="14"/>
        </w:numPr>
        <w:tabs>
          <w:tab w:val="left" w:pos="840"/>
          <w:tab w:val="clear" w:pos="420"/>
        </w:tabs>
        <w:spacing w:line="360" w:lineRule="auto"/>
        <w:ind w:left="840" w:hanging="315"/>
        <w:rPr>
          <w:color w:val="auto"/>
          <w:sz w:val="24"/>
        </w:rPr>
      </w:pPr>
      <w:r>
        <w:rPr>
          <w:color w:val="auto"/>
          <w:sz w:val="24"/>
        </w:rPr>
        <w:t>我们同意本投标自投标截止之日起90天内有效。如果我们的投标被接受，则直至合同生效时止，本投标始终有效。</w:t>
      </w:r>
    </w:p>
    <w:p>
      <w:pPr>
        <w:numPr>
          <w:ilvl w:val="0"/>
          <w:numId w:val="14"/>
        </w:numPr>
        <w:tabs>
          <w:tab w:val="left" w:pos="840"/>
          <w:tab w:val="clear" w:pos="420"/>
        </w:tabs>
        <w:spacing w:line="360" w:lineRule="auto"/>
        <w:ind w:left="840" w:hanging="315"/>
        <w:rPr>
          <w:color w:val="auto"/>
          <w:sz w:val="24"/>
        </w:rPr>
      </w:pPr>
      <w:r>
        <w:rPr>
          <w:color w:val="auto"/>
          <w:sz w:val="24"/>
        </w:rPr>
        <w:t>我们已经详细地阅读并完全明白了全部</w:t>
      </w:r>
      <w:r>
        <w:rPr>
          <w:rFonts w:hint="eastAsia"/>
          <w:color w:val="auto"/>
          <w:sz w:val="24"/>
          <w:lang w:eastAsia="zh-CN"/>
        </w:rPr>
        <w:t>磋商</w:t>
      </w:r>
      <w:r>
        <w:rPr>
          <w:color w:val="auto"/>
          <w:sz w:val="24"/>
        </w:rPr>
        <w:t>文件及附件，包括澄清（如有）及参考文件，我们完全理解本</w:t>
      </w:r>
      <w:r>
        <w:rPr>
          <w:rFonts w:hint="eastAsia"/>
          <w:color w:val="auto"/>
          <w:sz w:val="24"/>
          <w:lang w:eastAsia="zh-CN"/>
        </w:rPr>
        <w:t>磋商</w:t>
      </w:r>
      <w:r>
        <w:rPr>
          <w:color w:val="auto"/>
          <w:sz w:val="24"/>
        </w:rPr>
        <w:t>文件的要求，我们同意放弃对</w:t>
      </w:r>
      <w:r>
        <w:rPr>
          <w:rFonts w:hint="eastAsia"/>
          <w:color w:val="auto"/>
          <w:sz w:val="24"/>
          <w:lang w:eastAsia="zh-CN"/>
        </w:rPr>
        <w:t>磋商</w:t>
      </w:r>
      <w:r>
        <w:rPr>
          <w:color w:val="auto"/>
          <w:sz w:val="24"/>
        </w:rPr>
        <w:t>文件提出不明或误解的一切权力。</w:t>
      </w:r>
    </w:p>
    <w:p>
      <w:pPr>
        <w:numPr>
          <w:ilvl w:val="0"/>
          <w:numId w:val="14"/>
        </w:numPr>
        <w:tabs>
          <w:tab w:val="left" w:pos="840"/>
          <w:tab w:val="clear" w:pos="420"/>
        </w:tabs>
        <w:spacing w:line="360" w:lineRule="auto"/>
        <w:ind w:left="840" w:hanging="315"/>
        <w:rPr>
          <w:color w:val="auto"/>
          <w:sz w:val="24"/>
        </w:rPr>
      </w:pPr>
      <w:r>
        <w:rPr>
          <w:color w:val="auto"/>
          <w:sz w:val="24"/>
        </w:rPr>
        <w:t>我们同意提供</w:t>
      </w:r>
      <w:r>
        <w:rPr>
          <w:rFonts w:hint="eastAsia"/>
          <w:color w:val="auto"/>
          <w:sz w:val="24"/>
        </w:rPr>
        <w:t>招标代理机构</w:t>
      </w:r>
      <w:r>
        <w:rPr>
          <w:color w:val="auto"/>
          <w:sz w:val="24"/>
        </w:rPr>
        <w:t>与评标委员会要求的有关投标的一切数据或资料。</w:t>
      </w:r>
    </w:p>
    <w:p>
      <w:pPr>
        <w:numPr>
          <w:ilvl w:val="0"/>
          <w:numId w:val="14"/>
        </w:numPr>
        <w:tabs>
          <w:tab w:val="left" w:pos="840"/>
          <w:tab w:val="clear" w:pos="420"/>
        </w:tabs>
        <w:spacing w:line="360" w:lineRule="auto"/>
        <w:ind w:left="840" w:hanging="315"/>
        <w:rPr>
          <w:color w:val="auto"/>
          <w:sz w:val="24"/>
        </w:rPr>
      </w:pPr>
      <w:r>
        <w:rPr>
          <w:color w:val="auto"/>
          <w:sz w:val="24"/>
        </w:rPr>
        <w:t>如果我们未对</w:t>
      </w:r>
      <w:r>
        <w:rPr>
          <w:rFonts w:hint="eastAsia"/>
          <w:color w:val="auto"/>
          <w:sz w:val="24"/>
          <w:lang w:eastAsia="zh-CN"/>
        </w:rPr>
        <w:t>磋商</w:t>
      </w:r>
      <w:r>
        <w:rPr>
          <w:color w:val="auto"/>
          <w:sz w:val="24"/>
        </w:rPr>
        <w:t>文件全部要求作出实质性响应，则完全同意并接受按无效投标处理。</w:t>
      </w:r>
    </w:p>
    <w:p>
      <w:pPr>
        <w:numPr>
          <w:ilvl w:val="0"/>
          <w:numId w:val="14"/>
        </w:numPr>
        <w:tabs>
          <w:tab w:val="left" w:pos="840"/>
          <w:tab w:val="clear" w:pos="420"/>
        </w:tabs>
        <w:spacing w:line="360" w:lineRule="auto"/>
        <w:ind w:left="840" w:hanging="315"/>
        <w:rPr>
          <w:color w:val="auto"/>
          <w:sz w:val="24"/>
        </w:rPr>
      </w:pPr>
      <w:r>
        <w:rPr>
          <w:color w:val="auto"/>
          <w:sz w:val="24"/>
        </w:rPr>
        <w:t>我们在投标时已明确获知采购人有权根据实际情况，调整合同中规定的相关内容，在此我们承诺，如果我们获得中标资格，将无条件接受采购人的调整方案。</w:t>
      </w:r>
    </w:p>
    <w:p>
      <w:pPr>
        <w:numPr>
          <w:ilvl w:val="0"/>
          <w:numId w:val="14"/>
        </w:numPr>
        <w:tabs>
          <w:tab w:val="left" w:pos="840"/>
          <w:tab w:val="clear" w:pos="420"/>
        </w:tabs>
        <w:spacing w:line="360" w:lineRule="auto"/>
        <w:ind w:left="840" w:hanging="315"/>
        <w:rPr>
          <w:color w:val="auto"/>
          <w:sz w:val="24"/>
        </w:rPr>
      </w:pPr>
      <w:r>
        <w:rPr>
          <w:color w:val="auto"/>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4"/>
        </w:numPr>
        <w:tabs>
          <w:tab w:val="left" w:pos="840"/>
          <w:tab w:val="left" w:pos="945"/>
          <w:tab w:val="clear" w:pos="420"/>
        </w:tabs>
        <w:spacing w:line="360" w:lineRule="auto"/>
        <w:ind w:left="840" w:hanging="315"/>
        <w:rPr>
          <w:color w:val="auto"/>
          <w:sz w:val="24"/>
        </w:rPr>
      </w:pPr>
      <w:r>
        <w:rPr>
          <w:color w:val="auto"/>
          <w:sz w:val="24"/>
        </w:rPr>
        <w:t>我们是依法注册的法人，在法律、财务及运作上完全独立于（采购人）和</w:t>
      </w:r>
      <w:r>
        <w:rPr>
          <w:rFonts w:hint="eastAsia"/>
          <w:color w:val="auto"/>
          <w:sz w:val="24"/>
          <w:lang w:eastAsia="zh-CN"/>
        </w:rPr>
        <w:t>新疆华域建设工程项目管理咨询有限公司</w:t>
      </w:r>
      <w:r>
        <w:rPr>
          <w:rFonts w:hint="eastAsia"/>
          <w:color w:val="auto"/>
          <w:sz w:val="24"/>
        </w:rPr>
        <w:t xml:space="preserve"> </w:t>
      </w:r>
      <w:r>
        <w:rPr>
          <w:color w:val="auto"/>
          <w:sz w:val="24"/>
        </w:rPr>
        <w:t>（</w:t>
      </w:r>
      <w:r>
        <w:rPr>
          <w:rFonts w:hint="eastAsia"/>
          <w:color w:val="auto"/>
          <w:sz w:val="24"/>
        </w:rPr>
        <w:t>招标代理机构</w:t>
      </w:r>
      <w:r>
        <w:rPr>
          <w:color w:val="auto"/>
          <w:sz w:val="24"/>
        </w:rPr>
        <w:t>）。</w:t>
      </w:r>
    </w:p>
    <w:p>
      <w:pPr>
        <w:numPr>
          <w:ilvl w:val="0"/>
          <w:numId w:val="14"/>
        </w:numPr>
        <w:tabs>
          <w:tab w:val="left" w:pos="840"/>
          <w:tab w:val="left" w:pos="945"/>
          <w:tab w:val="clear" w:pos="420"/>
        </w:tabs>
        <w:spacing w:line="360" w:lineRule="auto"/>
        <w:ind w:left="840" w:hanging="315"/>
        <w:rPr>
          <w:color w:val="auto"/>
        </w:rPr>
      </w:pPr>
      <w:r>
        <w:rPr>
          <w:color w:val="auto"/>
          <w:sz w:val="24"/>
        </w:rPr>
        <w:t>所有有关本次投标的函电请寄：</w:t>
      </w:r>
      <w:r>
        <w:rPr>
          <w:color w:val="auto"/>
          <w:sz w:val="24"/>
          <w:u w:val="single"/>
        </w:rPr>
        <w:t xml:space="preserve">  （投标人地址）    </w:t>
      </w:r>
      <w:r>
        <w:rPr>
          <w:color w:val="auto"/>
          <w:sz w:val="24"/>
        </w:rPr>
        <w:t xml:space="preserve">  </w:t>
      </w:r>
    </w:p>
    <w:p>
      <w:pPr>
        <w:spacing w:line="480" w:lineRule="auto"/>
        <w:ind w:left="480"/>
        <w:rPr>
          <w:color w:val="auto"/>
          <w:sz w:val="24"/>
        </w:rPr>
      </w:pPr>
      <w:r>
        <w:rPr>
          <w:color w:val="auto"/>
          <w:sz w:val="24"/>
        </w:rPr>
        <w:t>授权代表（签名）：</w:t>
      </w:r>
    </w:p>
    <w:p>
      <w:pPr>
        <w:spacing w:line="480" w:lineRule="auto"/>
        <w:ind w:left="480"/>
        <w:rPr>
          <w:color w:val="auto"/>
          <w:sz w:val="24"/>
        </w:rPr>
      </w:pPr>
      <w:r>
        <w:rPr>
          <w:color w:val="auto"/>
          <w:sz w:val="24"/>
        </w:rPr>
        <w:t>职      务：</w:t>
      </w:r>
    </w:p>
    <w:p>
      <w:pPr>
        <w:spacing w:line="480" w:lineRule="auto"/>
        <w:ind w:left="480"/>
        <w:rPr>
          <w:color w:val="auto"/>
          <w:sz w:val="24"/>
        </w:rPr>
      </w:pPr>
      <w:r>
        <w:rPr>
          <w:color w:val="auto"/>
          <w:sz w:val="24"/>
        </w:rPr>
        <w:t>投标人名称：</w:t>
      </w:r>
      <w:r>
        <w:rPr>
          <w:rFonts w:hint="eastAsia"/>
          <w:color w:val="auto"/>
          <w:sz w:val="24"/>
        </w:rPr>
        <w:t xml:space="preserve">   </w:t>
      </w:r>
      <w:r>
        <w:rPr>
          <w:color w:val="auto"/>
          <w:sz w:val="24"/>
        </w:rPr>
        <w:t>投标人印章：</w:t>
      </w:r>
      <w:r>
        <w:rPr>
          <w:rFonts w:hint="eastAsia"/>
          <w:color w:val="auto"/>
          <w:sz w:val="24"/>
        </w:rPr>
        <w:t xml:space="preserve">  </w:t>
      </w:r>
      <w:r>
        <w:rPr>
          <w:color w:val="auto"/>
          <w:sz w:val="24"/>
        </w:rPr>
        <w:t>电话：        传真：              邮编：</w:t>
      </w:r>
      <w:r>
        <w:rPr>
          <w:color w:val="auto"/>
          <w:sz w:val="24"/>
        </w:rPr>
        <w:br w:type="page"/>
      </w:r>
      <w:r>
        <w:rPr>
          <w:b/>
          <w:color w:val="auto"/>
          <w:sz w:val="28"/>
          <w:szCs w:val="28"/>
        </w:rPr>
        <w:t>格式2 投标人基本情况表</w:t>
      </w:r>
      <w:bookmarkEnd w:id="130"/>
      <w:bookmarkEnd w:id="131"/>
    </w:p>
    <w:p>
      <w:pPr>
        <w:spacing w:line="360" w:lineRule="auto"/>
        <w:rPr>
          <w:color w:val="auto"/>
          <w:sz w:val="24"/>
        </w:rPr>
      </w:pPr>
      <w:r>
        <w:rPr>
          <w:color w:val="auto"/>
          <w:sz w:val="24"/>
        </w:rPr>
        <w:t>1、公司名称：</w:t>
      </w:r>
      <w:r>
        <w:rPr>
          <w:color w:val="auto"/>
          <w:sz w:val="24"/>
          <w:u w:val="single"/>
        </w:rPr>
        <w:t xml:space="preserve">                      </w:t>
      </w:r>
      <w:r>
        <w:rPr>
          <w:color w:val="auto"/>
          <w:sz w:val="24"/>
        </w:rPr>
        <w:t xml:space="preserve">                电话号码：</w:t>
      </w:r>
      <w:r>
        <w:rPr>
          <w:color w:val="auto"/>
          <w:sz w:val="24"/>
          <w:u w:val="single"/>
        </w:rPr>
        <w:t xml:space="preserve">               </w:t>
      </w:r>
      <w:r>
        <w:rPr>
          <w:color w:val="auto"/>
          <w:sz w:val="24"/>
        </w:rPr>
        <w:t xml:space="preserve"> </w:t>
      </w:r>
    </w:p>
    <w:p>
      <w:pPr>
        <w:spacing w:line="360" w:lineRule="auto"/>
        <w:rPr>
          <w:color w:val="auto"/>
          <w:sz w:val="24"/>
        </w:rPr>
      </w:pPr>
      <w:r>
        <w:rPr>
          <w:color w:val="auto"/>
          <w:sz w:val="24"/>
        </w:rPr>
        <w:t>2、地    址：</w:t>
      </w:r>
      <w:r>
        <w:rPr>
          <w:color w:val="auto"/>
          <w:sz w:val="24"/>
          <w:u w:val="single"/>
        </w:rPr>
        <w:t xml:space="preserve">                      </w:t>
      </w:r>
      <w:r>
        <w:rPr>
          <w:color w:val="auto"/>
          <w:sz w:val="24"/>
        </w:rPr>
        <w:t xml:space="preserve">  </w:t>
      </w:r>
      <w:r>
        <w:rPr>
          <w:color w:val="auto"/>
          <w:sz w:val="24"/>
        </w:rPr>
        <w:tab/>
      </w:r>
      <w:r>
        <w:rPr>
          <w:color w:val="auto"/>
          <w:sz w:val="24"/>
        </w:rPr>
        <w:tab/>
      </w:r>
      <w:r>
        <w:rPr>
          <w:color w:val="auto"/>
          <w:sz w:val="24"/>
        </w:rPr>
        <w:tab/>
      </w:r>
      <w:r>
        <w:rPr>
          <w:color w:val="auto"/>
          <w:sz w:val="24"/>
        </w:rPr>
        <w:tab/>
      </w:r>
      <w:r>
        <w:rPr>
          <w:color w:val="auto"/>
          <w:sz w:val="24"/>
        </w:rPr>
        <w:t xml:space="preserve">  传    真：</w:t>
      </w:r>
      <w:r>
        <w:rPr>
          <w:color w:val="auto"/>
          <w:sz w:val="24"/>
          <w:u w:val="single"/>
        </w:rPr>
        <w:t xml:space="preserve">                </w:t>
      </w:r>
    </w:p>
    <w:p>
      <w:pPr>
        <w:spacing w:line="360" w:lineRule="auto"/>
        <w:rPr>
          <w:color w:val="auto"/>
          <w:sz w:val="24"/>
        </w:rPr>
      </w:pPr>
      <w:r>
        <w:rPr>
          <w:color w:val="auto"/>
          <w:sz w:val="24"/>
        </w:rPr>
        <w:t>3、职工总人数：</w:t>
      </w:r>
      <w:r>
        <w:rPr>
          <w:color w:val="auto"/>
          <w:sz w:val="24"/>
          <w:u w:val="single"/>
        </w:rPr>
        <w:t xml:space="preserve">              </w:t>
      </w:r>
      <w:r>
        <w:rPr>
          <w:color w:val="auto"/>
          <w:sz w:val="24"/>
        </w:rPr>
        <w:t>人</w:t>
      </w:r>
    </w:p>
    <w:p>
      <w:pPr>
        <w:spacing w:line="360" w:lineRule="auto"/>
        <w:rPr>
          <w:color w:val="auto"/>
          <w:sz w:val="24"/>
        </w:rPr>
      </w:pPr>
      <w:r>
        <w:rPr>
          <w:color w:val="auto"/>
          <w:sz w:val="24"/>
        </w:rPr>
        <w:t>4、具有专业技术职称的人员占职工总人数</w:t>
      </w:r>
      <w:r>
        <w:rPr>
          <w:color w:val="auto"/>
          <w:sz w:val="24"/>
          <w:u w:val="single"/>
        </w:rPr>
        <w:t xml:space="preserve">   </w:t>
      </w:r>
      <w:r>
        <w:rPr>
          <w:color w:val="auto"/>
          <w:sz w:val="24"/>
        </w:rPr>
        <w:t>%，其中高级职称：</w:t>
      </w:r>
      <w:r>
        <w:rPr>
          <w:color w:val="auto"/>
          <w:sz w:val="24"/>
          <w:u w:val="single"/>
        </w:rPr>
        <w:t xml:space="preserve">   </w:t>
      </w:r>
      <w:r>
        <w:rPr>
          <w:color w:val="auto"/>
          <w:sz w:val="24"/>
        </w:rPr>
        <w:t>人，中级职称：</w:t>
      </w:r>
      <w:r>
        <w:rPr>
          <w:color w:val="auto"/>
          <w:sz w:val="24"/>
          <w:u w:val="single"/>
        </w:rPr>
        <w:t xml:space="preserve">    </w:t>
      </w:r>
      <w:r>
        <w:rPr>
          <w:color w:val="auto"/>
          <w:sz w:val="24"/>
        </w:rPr>
        <w:t>人。</w:t>
      </w:r>
    </w:p>
    <w:p>
      <w:pPr>
        <w:spacing w:line="360" w:lineRule="auto"/>
        <w:rPr>
          <w:color w:val="auto"/>
          <w:sz w:val="24"/>
        </w:rPr>
      </w:pPr>
      <w:r>
        <w:rPr>
          <w:color w:val="auto"/>
          <w:sz w:val="24"/>
        </w:rPr>
        <w:t>5、注册资金：</w:t>
      </w:r>
      <w:r>
        <w:rPr>
          <w:color w:val="auto"/>
          <w:sz w:val="24"/>
          <w:u w:val="single"/>
        </w:rPr>
        <w:t xml:space="preserve">                </w:t>
      </w:r>
      <w:r>
        <w:rPr>
          <w:color w:val="auto"/>
          <w:sz w:val="24"/>
        </w:rPr>
        <w:t xml:space="preserve"> </w:t>
      </w:r>
    </w:p>
    <w:p>
      <w:pPr>
        <w:spacing w:line="360" w:lineRule="auto"/>
        <w:rPr>
          <w:color w:val="auto"/>
          <w:sz w:val="24"/>
        </w:rPr>
      </w:pPr>
      <w:r>
        <w:rPr>
          <w:color w:val="auto"/>
          <w:sz w:val="24"/>
        </w:rPr>
        <w:t>6、经济性质：</w:t>
      </w:r>
      <w:r>
        <w:rPr>
          <w:color w:val="auto"/>
          <w:sz w:val="24"/>
          <w:u w:val="single"/>
        </w:rPr>
        <w:t xml:space="preserve">                </w:t>
      </w:r>
    </w:p>
    <w:p>
      <w:pPr>
        <w:spacing w:line="360" w:lineRule="auto"/>
        <w:jc w:val="left"/>
        <w:rPr>
          <w:color w:val="auto"/>
          <w:sz w:val="24"/>
        </w:rPr>
      </w:pPr>
      <w:r>
        <w:rPr>
          <w:color w:val="auto"/>
          <w:sz w:val="24"/>
        </w:rPr>
        <w:t>7、近期资产负债表（截止</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pPr>
        <w:numPr>
          <w:ilvl w:val="4"/>
          <w:numId w:val="15"/>
        </w:numPr>
        <w:spacing w:line="360" w:lineRule="auto"/>
        <w:jc w:val="left"/>
        <w:rPr>
          <w:color w:val="auto"/>
          <w:sz w:val="24"/>
          <w:u w:val="single"/>
        </w:rPr>
      </w:pPr>
      <w:r>
        <w:rPr>
          <w:color w:val="auto"/>
          <w:sz w:val="24"/>
        </w:rPr>
        <w:t xml:space="preserve">固定资产:  </w:t>
      </w:r>
      <w:r>
        <w:rPr>
          <w:color w:val="auto"/>
          <w:sz w:val="24"/>
          <w:u w:val="single"/>
        </w:rPr>
        <w:t xml:space="preserve">                        </w:t>
      </w:r>
    </w:p>
    <w:p>
      <w:pPr>
        <w:numPr>
          <w:ilvl w:val="4"/>
          <w:numId w:val="15"/>
        </w:numPr>
        <w:spacing w:line="360" w:lineRule="auto"/>
        <w:jc w:val="left"/>
        <w:rPr>
          <w:color w:val="auto"/>
          <w:sz w:val="24"/>
        </w:rPr>
      </w:pPr>
      <w:r>
        <w:rPr>
          <w:color w:val="auto"/>
          <w:sz w:val="24"/>
        </w:rPr>
        <w:t xml:space="preserve">流动资产:  </w:t>
      </w:r>
      <w:r>
        <w:rPr>
          <w:color w:val="auto"/>
          <w:sz w:val="24"/>
          <w:u w:val="single"/>
        </w:rPr>
        <w:t xml:space="preserve">                        </w:t>
      </w:r>
    </w:p>
    <w:p>
      <w:pPr>
        <w:numPr>
          <w:ilvl w:val="4"/>
          <w:numId w:val="15"/>
        </w:numPr>
        <w:spacing w:line="360" w:lineRule="auto"/>
        <w:jc w:val="left"/>
        <w:rPr>
          <w:color w:val="auto"/>
          <w:sz w:val="24"/>
          <w:u w:val="single"/>
        </w:rPr>
      </w:pPr>
      <w:r>
        <w:rPr>
          <w:color w:val="auto"/>
          <w:sz w:val="24"/>
        </w:rPr>
        <w:t xml:space="preserve">长期负债:  </w:t>
      </w:r>
      <w:r>
        <w:rPr>
          <w:color w:val="auto"/>
          <w:sz w:val="24"/>
          <w:u w:val="single"/>
        </w:rPr>
        <w:t xml:space="preserve">                        </w:t>
      </w:r>
    </w:p>
    <w:p>
      <w:pPr>
        <w:numPr>
          <w:ilvl w:val="4"/>
          <w:numId w:val="15"/>
        </w:numPr>
        <w:spacing w:line="360" w:lineRule="auto"/>
        <w:jc w:val="left"/>
        <w:rPr>
          <w:color w:val="auto"/>
          <w:sz w:val="24"/>
          <w:u w:val="single"/>
        </w:rPr>
      </w:pPr>
      <w:r>
        <w:rPr>
          <w:color w:val="auto"/>
          <w:sz w:val="24"/>
        </w:rPr>
        <w:t xml:space="preserve">流动负债:  </w:t>
      </w:r>
      <w:r>
        <w:rPr>
          <w:color w:val="auto"/>
          <w:sz w:val="24"/>
          <w:u w:val="single"/>
        </w:rPr>
        <w:t xml:space="preserve">                        </w:t>
      </w:r>
    </w:p>
    <w:p>
      <w:pPr>
        <w:numPr>
          <w:ilvl w:val="4"/>
          <w:numId w:val="15"/>
        </w:numPr>
        <w:spacing w:line="360" w:lineRule="auto"/>
        <w:jc w:val="left"/>
        <w:rPr>
          <w:color w:val="auto"/>
          <w:sz w:val="24"/>
        </w:rPr>
      </w:pPr>
      <w:r>
        <w:rPr>
          <w:color w:val="auto"/>
          <w:sz w:val="24"/>
        </w:rPr>
        <w:t xml:space="preserve">净值:      </w:t>
      </w:r>
      <w:r>
        <w:rPr>
          <w:color w:val="auto"/>
          <w:sz w:val="24"/>
          <w:u w:val="single"/>
        </w:rPr>
        <w:t xml:space="preserve">                        </w:t>
      </w:r>
    </w:p>
    <w:p>
      <w:pPr>
        <w:spacing w:line="360" w:lineRule="auto"/>
        <w:jc w:val="left"/>
        <w:rPr>
          <w:color w:val="auto"/>
          <w:sz w:val="24"/>
        </w:rPr>
      </w:pPr>
      <w:r>
        <w:rPr>
          <w:color w:val="auto"/>
          <w:sz w:val="24"/>
        </w:rPr>
        <w:t>8、投标人财务状况</w:t>
      </w:r>
    </w:p>
    <w:tbl>
      <w:tblPr>
        <w:tblStyle w:val="2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color w:val="auto"/>
                <w:sz w:val="24"/>
              </w:rPr>
            </w:pPr>
            <w:r>
              <w:rPr>
                <w:color w:val="auto"/>
                <w:sz w:val="24"/>
              </w:rPr>
              <w:t>序号</w:t>
            </w:r>
          </w:p>
        </w:tc>
        <w:tc>
          <w:tcPr>
            <w:tcW w:w="1155" w:type="dxa"/>
            <w:noWrap w:val="0"/>
            <w:vAlign w:val="center"/>
          </w:tcPr>
          <w:p>
            <w:pPr>
              <w:spacing w:line="360" w:lineRule="auto"/>
              <w:jc w:val="center"/>
              <w:rPr>
                <w:color w:val="auto"/>
                <w:sz w:val="24"/>
              </w:rPr>
            </w:pPr>
            <w:r>
              <w:rPr>
                <w:color w:val="auto"/>
                <w:sz w:val="24"/>
              </w:rPr>
              <w:t>年份</w:t>
            </w:r>
          </w:p>
        </w:tc>
        <w:tc>
          <w:tcPr>
            <w:tcW w:w="1681" w:type="dxa"/>
            <w:noWrap w:val="0"/>
            <w:vAlign w:val="center"/>
          </w:tcPr>
          <w:p>
            <w:pPr>
              <w:pStyle w:val="32"/>
              <w:keepNext w:val="0"/>
              <w:adjustRightInd/>
              <w:spacing w:before="0" w:after="0" w:line="360" w:lineRule="auto"/>
              <w:textAlignment w:val="auto"/>
              <w:rPr>
                <w:snapToGrid/>
                <w:color w:val="auto"/>
                <w:spacing w:val="0"/>
                <w:kern w:val="2"/>
                <w:szCs w:val="24"/>
                <w:lang w:val="en-US" w:eastAsia="zh-CN"/>
              </w:rPr>
            </w:pPr>
            <w:r>
              <w:rPr>
                <w:snapToGrid/>
                <w:color w:val="auto"/>
                <w:spacing w:val="0"/>
                <w:kern w:val="2"/>
                <w:szCs w:val="24"/>
                <w:lang w:val="en-US" w:eastAsia="zh-CN"/>
              </w:rPr>
              <w:t>总资产</w:t>
            </w:r>
          </w:p>
        </w:tc>
        <w:tc>
          <w:tcPr>
            <w:tcW w:w="1682" w:type="dxa"/>
            <w:noWrap w:val="0"/>
            <w:vAlign w:val="center"/>
          </w:tcPr>
          <w:p>
            <w:pPr>
              <w:spacing w:line="360" w:lineRule="auto"/>
              <w:jc w:val="center"/>
              <w:rPr>
                <w:color w:val="auto"/>
                <w:sz w:val="24"/>
              </w:rPr>
            </w:pPr>
            <w:r>
              <w:rPr>
                <w:color w:val="auto"/>
                <w:sz w:val="24"/>
              </w:rPr>
              <w:t>营业收入</w:t>
            </w:r>
          </w:p>
        </w:tc>
        <w:tc>
          <w:tcPr>
            <w:tcW w:w="1682" w:type="dxa"/>
            <w:noWrap w:val="0"/>
            <w:vAlign w:val="center"/>
          </w:tcPr>
          <w:p>
            <w:pPr>
              <w:spacing w:line="360" w:lineRule="auto"/>
              <w:jc w:val="center"/>
              <w:rPr>
                <w:color w:val="auto"/>
                <w:sz w:val="24"/>
              </w:rPr>
            </w:pPr>
            <w:r>
              <w:rPr>
                <w:color w:val="auto"/>
                <w:sz w:val="24"/>
              </w:rPr>
              <w:t>净利润</w:t>
            </w:r>
          </w:p>
        </w:tc>
        <w:tc>
          <w:tcPr>
            <w:tcW w:w="1682" w:type="dxa"/>
            <w:noWrap w:val="0"/>
            <w:vAlign w:val="center"/>
          </w:tcPr>
          <w:p>
            <w:pPr>
              <w:spacing w:line="360" w:lineRule="auto"/>
              <w:jc w:val="center"/>
              <w:rPr>
                <w:color w:val="auto"/>
                <w:sz w:val="24"/>
              </w:rPr>
            </w:pPr>
            <w:r>
              <w:rPr>
                <w:color w:val="auto"/>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color w:val="auto"/>
                <w:sz w:val="24"/>
              </w:rPr>
            </w:pPr>
            <w:r>
              <w:rPr>
                <w:color w:val="auto"/>
                <w:sz w:val="24"/>
              </w:rPr>
              <w:t>1</w:t>
            </w:r>
          </w:p>
        </w:tc>
        <w:tc>
          <w:tcPr>
            <w:tcW w:w="1155" w:type="dxa"/>
            <w:noWrap w:val="0"/>
            <w:vAlign w:val="center"/>
          </w:tcPr>
          <w:p>
            <w:pPr>
              <w:spacing w:line="360" w:lineRule="auto"/>
              <w:jc w:val="center"/>
              <w:rPr>
                <w:rFonts w:hint="eastAsia" w:eastAsia="宋体"/>
                <w:color w:val="auto"/>
                <w:sz w:val="24"/>
                <w:lang w:val="en-US" w:eastAsia="zh-CN"/>
              </w:rPr>
            </w:pPr>
          </w:p>
        </w:tc>
        <w:tc>
          <w:tcPr>
            <w:tcW w:w="1681" w:type="dxa"/>
            <w:noWrap w:val="0"/>
            <w:vAlign w:val="center"/>
          </w:tcPr>
          <w:p>
            <w:pPr>
              <w:spacing w:line="360" w:lineRule="auto"/>
              <w:jc w:val="center"/>
              <w:rPr>
                <w:color w:val="auto"/>
                <w:sz w:val="24"/>
              </w:rPr>
            </w:pPr>
          </w:p>
        </w:tc>
        <w:tc>
          <w:tcPr>
            <w:tcW w:w="1682" w:type="dxa"/>
            <w:noWrap w:val="0"/>
            <w:vAlign w:val="center"/>
          </w:tcPr>
          <w:p>
            <w:pPr>
              <w:spacing w:line="360" w:lineRule="auto"/>
              <w:jc w:val="center"/>
              <w:rPr>
                <w:color w:val="auto"/>
                <w:sz w:val="24"/>
              </w:rPr>
            </w:pPr>
          </w:p>
        </w:tc>
        <w:tc>
          <w:tcPr>
            <w:tcW w:w="1682" w:type="dxa"/>
            <w:noWrap w:val="0"/>
            <w:vAlign w:val="center"/>
          </w:tcPr>
          <w:p>
            <w:pPr>
              <w:spacing w:line="360" w:lineRule="auto"/>
              <w:jc w:val="center"/>
              <w:rPr>
                <w:color w:val="auto"/>
                <w:sz w:val="24"/>
              </w:rPr>
            </w:pPr>
          </w:p>
        </w:tc>
        <w:tc>
          <w:tcPr>
            <w:tcW w:w="1682" w:type="dxa"/>
            <w:noWrap w:val="0"/>
            <w:vAlign w:val="center"/>
          </w:tcPr>
          <w:p>
            <w:pPr>
              <w:spacing w:line="360" w:lineRule="auto"/>
              <w:jc w:val="center"/>
              <w:rPr>
                <w:color w:val="auto"/>
                <w:sz w:val="24"/>
              </w:rPr>
            </w:pPr>
          </w:p>
        </w:tc>
      </w:tr>
    </w:tbl>
    <w:p>
      <w:pPr>
        <w:rPr>
          <w:color w:val="auto"/>
          <w:sz w:val="24"/>
        </w:rPr>
      </w:pPr>
    </w:p>
    <w:p>
      <w:pPr>
        <w:rPr>
          <w:color w:val="auto"/>
          <w:sz w:val="24"/>
        </w:rPr>
      </w:pPr>
      <w:r>
        <w:rPr>
          <w:color w:val="auto"/>
          <w:sz w:val="24"/>
        </w:rPr>
        <w:t>9、公司开户银行名称及帐号：                       地     址：</w:t>
      </w:r>
    </w:p>
    <w:p>
      <w:pPr>
        <w:rPr>
          <w:color w:val="auto"/>
          <w:sz w:val="24"/>
          <w:u w:val="single"/>
        </w:rPr>
      </w:pPr>
      <w:r>
        <w:rPr>
          <w:color w:val="auto"/>
          <w:sz w:val="24"/>
        </w:rPr>
        <w:t xml:space="preserve">   </w:t>
      </w:r>
      <w:r>
        <w:rPr>
          <w:color w:val="auto"/>
          <w:sz w:val="24"/>
          <w:u w:val="single"/>
        </w:rPr>
        <w:t xml:space="preserve">                      </w:t>
      </w:r>
      <w:r>
        <w:rPr>
          <w:color w:val="auto"/>
          <w:sz w:val="24"/>
        </w:rPr>
        <w:t xml:space="preserve">                         </w:t>
      </w:r>
      <w:r>
        <w:rPr>
          <w:color w:val="auto"/>
          <w:sz w:val="24"/>
          <w:u w:val="single"/>
        </w:rPr>
        <w:t xml:space="preserve">                           </w:t>
      </w:r>
    </w:p>
    <w:p>
      <w:pPr>
        <w:rPr>
          <w:color w:val="auto"/>
          <w:sz w:val="24"/>
          <w:u w:val="single"/>
        </w:rPr>
      </w:pPr>
      <w:r>
        <w:rPr>
          <w:color w:val="auto"/>
          <w:sz w:val="24"/>
        </w:rPr>
        <w:t xml:space="preserve">   </w:t>
      </w:r>
      <w:r>
        <w:rPr>
          <w:color w:val="auto"/>
          <w:sz w:val="24"/>
          <w:u w:val="single"/>
        </w:rPr>
        <w:t xml:space="preserve">                      </w:t>
      </w:r>
      <w:r>
        <w:rPr>
          <w:color w:val="auto"/>
          <w:sz w:val="24"/>
        </w:rPr>
        <w:t xml:space="preserve">                         </w:t>
      </w:r>
      <w:r>
        <w:rPr>
          <w:color w:val="auto"/>
          <w:sz w:val="24"/>
          <w:u w:val="single"/>
        </w:rPr>
        <w:t xml:space="preserve">                           </w:t>
      </w:r>
    </w:p>
    <w:p>
      <w:pPr>
        <w:spacing w:line="360" w:lineRule="auto"/>
        <w:rPr>
          <w:color w:val="auto"/>
          <w:sz w:val="24"/>
        </w:rPr>
      </w:pPr>
      <w:r>
        <w:rPr>
          <w:color w:val="auto"/>
          <w:sz w:val="24"/>
        </w:rPr>
        <w:t>10、投标人获得资质一览表</w:t>
      </w:r>
    </w:p>
    <w:tbl>
      <w:tblPr>
        <w:tblStyle w:val="20"/>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color w:val="auto"/>
                <w:sz w:val="24"/>
              </w:rPr>
            </w:pPr>
            <w:r>
              <w:rPr>
                <w:color w:val="auto"/>
                <w:sz w:val="24"/>
              </w:rPr>
              <w:t>序号</w:t>
            </w:r>
          </w:p>
        </w:tc>
        <w:tc>
          <w:tcPr>
            <w:tcW w:w="2749" w:type="dxa"/>
            <w:noWrap w:val="0"/>
            <w:vAlign w:val="center"/>
          </w:tcPr>
          <w:p>
            <w:pPr>
              <w:jc w:val="center"/>
              <w:rPr>
                <w:color w:val="auto"/>
                <w:sz w:val="24"/>
              </w:rPr>
            </w:pPr>
            <w:r>
              <w:rPr>
                <w:color w:val="auto"/>
                <w:sz w:val="24"/>
              </w:rPr>
              <w:t>证书名称</w:t>
            </w:r>
          </w:p>
        </w:tc>
        <w:tc>
          <w:tcPr>
            <w:tcW w:w="2749" w:type="dxa"/>
            <w:noWrap w:val="0"/>
            <w:vAlign w:val="center"/>
          </w:tcPr>
          <w:p>
            <w:pPr>
              <w:jc w:val="center"/>
              <w:rPr>
                <w:color w:val="auto"/>
                <w:sz w:val="24"/>
              </w:rPr>
            </w:pPr>
            <w:r>
              <w:rPr>
                <w:color w:val="auto"/>
                <w:sz w:val="24"/>
              </w:rPr>
              <w:t>发证单位</w:t>
            </w:r>
          </w:p>
        </w:tc>
        <w:tc>
          <w:tcPr>
            <w:tcW w:w="2750" w:type="dxa"/>
            <w:noWrap w:val="0"/>
            <w:vAlign w:val="center"/>
          </w:tcPr>
          <w:p>
            <w:pPr>
              <w:jc w:val="center"/>
              <w:rPr>
                <w:color w:val="auto"/>
                <w:sz w:val="24"/>
              </w:rPr>
            </w:pPr>
            <w:r>
              <w:rPr>
                <w:color w:val="auto"/>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color w:val="auto"/>
                <w:sz w:val="24"/>
              </w:rPr>
            </w:pPr>
          </w:p>
        </w:tc>
        <w:tc>
          <w:tcPr>
            <w:tcW w:w="2749" w:type="dxa"/>
            <w:noWrap w:val="0"/>
            <w:vAlign w:val="center"/>
          </w:tcPr>
          <w:p>
            <w:pPr>
              <w:jc w:val="center"/>
              <w:rPr>
                <w:color w:val="auto"/>
                <w:sz w:val="24"/>
              </w:rPr>
            </w:pPr>
          </w:p>
        </w:tc>
        <w:tc>
          <w:tcPr>
            <w:tcW w:w="2749" w:type="dxa"/>
            <w:noWrap w:val="0"/>
            <w:vAlign w:val="center"/>
          </w:tcPr>
          <w:p>
            <w:pPr>
              <w:jc w:val="center"/>
              <w:rPr>
                <w:color w:val="auto"/>
                <w:sz w:val="24"/>
              </w:rPr>
            </w:pPr>
          </w:p>
        </w:tc>
        <w:tc>
          <w:tcPr>
            <w:tcW w:w="2750" w:type="dxa"/>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color w:val="auto"/>
                <w:sz w:val="24"/>
              </w:rPr>
            </w:pPr>
          </w:p>
        </w:tc>
        <w:tc>
          <w:tcPr>
            <w:tcW w:w="2749" w:type="dxa"/>
            <w:noWrap w:val="0"/>
            <w:vAlign w:val="center"/>
          </w:tcPr>
          <w:p>
            <w:pPr>
              <w:jc w:val="center"/>
              <w:rPr>
                <w:color w:val="auto"/>
                <w:sz w:val="24"/>
              </w:rPr>
            </w:pPr>
          </w:p>
        </w:tc>
        <w:tc>
          <w:tcPr>
            <w:tcW w:w="2749" w:type="dxa"/>
            <w:noWrap w:val="0"/>
            <w:vAlign w:val="center"/>
          </w:tcPr>
          <w:p>
            <w:pPr>
              <w:jc w:val="center"/>
              <w:rPr>
                <w:color w:val="auto"/>
                <w:sz w:val="24"/>
              </w:rPr>
            </w:pPr>
          </w:p>
        </w:tc>
        <w:tc>
          <w:tcPr>
            <w:tcW w:w="2750" w:type="dxa"/>
            <w:noWrap w:val="0"/>
            <w:vAlign w:val="center"/>
          </w:tcPr>
          <w:p>
            <w:pPr>
              <w:jc w:val="center"/>
              <w:rPr>
                <w:color w:val="auto"/>
                <w:sz w:val="24"/>
              </w:rPr>
            </w:pPr>
          </w:p>
        </w:tc>
      </w:tr>
    </w:tbl>
    <w:p>
      <w:pPr>
        <w:spacing w:line="360" w:lineRule="auto"/>
        <w:rPr>
          <w:color w:val="auto"/>
          <w:sz w:val="24"/>
        </w:rPr>
      </w:pPr>
      <w:r>
        <w:rPr>
          <w:color w:val="auto"/>
          <w:sz w:val="24"/>
        </w:rPr>
        <w:t>11、营业执照注册号：</w:t>
      </w:r>
    </w:p>
    <w:p>
      <w:pPr>
        <w:spacing w:line="360" w:lineRule="auto"/>
        <w:rPr>
          <w:color w:val="auto"/>
          <w:sz w:val="24"/>
        </w:rPr>
      </w:pPr>
      <w:r>
        <w:rPr>
          <w:color w:val="auto"/>
          <w:sz w:val="24"/>
        </w:rPr>
        <w:t>12、其它投标人认为有必要附上的其他（含图片）资料：</w:t>
      </w:r>
    </w:p>
    <w:p>
      <w:pPr>
        <w:spacing w:line="360" w:lineRule="auto"/>
        <w:jc w:val="center"/>
        <w:rPr>
          <w:b/>
          <w:color w:val="auto"/>
          <w:sz w:val="24"/>
        </w:rPr>
      </w:pPr>
      <w:r>
        <w:rPr>
          <w:b/>
          <w:color w:val="auto"/>
          <w:sz w:val="24"/>
        </w:rPr>
        <w:t>我/我们声明以上所述是正确无误的，您有权进行您认为必要的所有调查。</w:t>
      </w:r>
    </w:p>
    <w:p>
      <w:pPr>
        <w:spacing w:line="480" w:lineRule="auto"/>
        <w:rPr>
          <w:bCs/>
          <w:color w:val="auto"/>
          <w:sz w:val="24"/>
        </w:rPr>
      </w:pPr>
      <w:r>
        <w:rPr>
          <w:bCs/>
          <w:color w:val="auto"/>
          <w:sz w:val="24"/>
        </w:rPr>
        <w:t>投标人全称（盖公章）：</w:t>
      </w:r>
    </w:p>
    <w:p>
      <w:pPr>
        <w:spacing w:line="480" w:lineRule="auto"/>
        <w:rPr>
          <w:bCs/>
          <w:color w:val="auto"/>
          <w:sz w:val="24"/>
        </w:rPr>
      </w:pPr>
      <w:r>
        <w:rPr>
          <w:bCs/>
          <w:color w:val="auto"/>
          <w:sz w:val="24"/>
        </w:rPr>
        <w:t>法定代表人或授权代表（签名或盖章）：</w:t>
      </w:r>
    </w:p>
    <w:p>
      <w:pPr>
        <w:spacing w:line="480" w:lineRule="auto"/>
        <w:rPr>
          <w:color w:val="auto"/>
          <w:sz w:val="24"/>
        </w:rPr>
      </w:pPr>
      <w:r>
        <w:rPr>
          <w:bCs/>
          <w:color w:val="auto"/>
          <w:sz w:val="24"/>
        </w:rPr>
        <w:t>日    期：     年   月   日</w:t>
      </w:r>
      <w:r>
        <w:rPr>
          <w:color w:val="auto"/>
        </w:rPr>
        <w:br w:type="page"/>
      </w:r>
      <w:bookmarkStart w:id="132" w:name="_Toc130139085"/>
      <w:r>
        <w:rPr>
          <w:b/>
          <w:color w:val="auto"/>
          <w:sz w:val="28"/>
          <w:szCs w:val="28"/>
        </w:rPr>
        <w:t>格式3 投标一览表</w:t>
      </w:r>
      <w:bookmarkEnd w:id="132"/>
    </w:p>
    <w:p>
      <w:pPr>
        <w:rPr>
          <w:color w:val="auto"/>
        </w:rPr>
      </w:pPr>
    </w:p>
    <w:p>
      <w:pPr>
        <w:spacing w:line="360" w:lineRule="auto"/>
        <w:ind w:left="-2" w:leftChars="-1" w:firstLine="2"/>
        <w:rPr>
          <w:rFonts w:hint="eastAsia" w:eastAsia="宋体"/>
          <w:b w:val="0"/>
          <w:bCs w:val="0"/>
          <w:color w:val="auto"/>
          <w:sz w:val="24"/>
          <w:lang w:eastAsia="zh-CN"/>
        </w:rPr>
      </w:pPr>
      <w:r>
        <w:rPr>
          <w:b/>
          <w:bCs/>
          <w:color w:val="auto"/>
          <w:sz w:val="24"/>
        </w:rPr>
        <w:t>项目名称：</w:t>
      </w:r>
      <w:r>
        <w:rPr>
          <w:rFonts w:hint="eastAsia"/>
          <w:b/>
          <w:bCs/>
          <w:color w:val="auto"/>
          <w:sz w:val="24"/>
          <w:lang w:val="en-US" w:eastAsia="zh-CN"/>
        </w:rPr>
        <w:t>XXX</w:t>
      </w:r>
      <w:r>
        <w:rPr>
          <w:rFonts w:hint="eastAsia"/>
          <w:b/>
          <w:bCs/>
          <w:color w:val="auto"/>
          <w:sz w:val="24"/>
          <w:lang w:eastAsia="zh-CN"/>
        </w:rPr>
        <w:t>项目</w:t>
      </w:r>
    </w:p>
    <w:p>
      <w:pPr>
        <w:spacing w:line="360" w:lineRule="auto"/>
        <w:ind w:left="-2" w:leftChars="-1" w:firstLine="2"/>
        <w:rPr>
          <w:rFonts w:hint="eastAsia" w:ascii="Times New Roman" w:hAnsi="Times New Roman" w:cs="Times New Roman"/>
          <w:color w:val="auto"/>
          <w:sz w:val="24"/>
        </w:rPr>
      </w:pPr>
    </w:p>
    <w:p>
      <w:pPr>
        <w:spacing w:line="360" w:lineRule="auto"/>
        <w:ind w:left="-2" w:leftChars="-1" w:firstLine="2"/>
        <w:rPr>
          <w:rFonts w:hint="eastAsia" w:ascii="Times New Roman" w:hAnsi="Times New Roman" w:cs="Times New Roman"/>
          <w:color w:val="auto"/>
          <w:sz w:val="24"/>
          <w:lang w:eastAsia="zh-CN"/>
        </w:rPr>
      </w:pPr>
      <w:r>
        <w:rPr>
          <w:rFonts w:ascii="Times New Roman" w:hAnsi="Times New Roman" w:cs="Times New Roman"/>
          <w:color w:val="auto"/>
          <w:sz w:val="24"/>
        </w:rPr>
        <w:t>招标编号：</w:t>
      </w:r>
      <w:r>
        <w:rPr>
          <w:rFonts w:hint="eastAsia" w:ascii="Times New Roman" w:hAnsi="Times New Roman" w:cs="Times New Roman"/>
          <w:color w:val="auto"/>
          <w:sz w:val="24"/>
        </w:rPr>
        <w:t>HY</w:t>
      </w:r>
      <w:r>
        <w:rPr>
          <w:rFonts w:hint="eastAsia" w:cs="Times New Roman"/>
          <w:color w:val="auto"/>
          <w:sz w:val="24"/>
          <w:lang w:val="en-US" w:eastAsia="zh-CN"/>
        </w:rPr>
        <w:t>ZB</w:t>
      </w:r>
      <w:r>
        <w:rPr>
          <w:rFonts w:hint="eastAsia" w:ascii="Times New Roman" w:hAnsi="Times New Roman" w:cs="Times New Roman"/>
          <w:color w:val="auto"/>
          <w:sz w:val="24"/>
        </w:rPr>
        <w:t>-2021</w:t>
      </w:r>
      <w:r>
        <w:rPr>
          <w:rFonts w:hint="eastAsia" w:ascii="Times New Roman" w:hAnsi="Times New Roman" w:cs="Times New Roman"/>
          <w:color w:val="auto"/>
          <w:sz w:val="24"/>
          <w:lang w:val="en-US" w:eastAsia="zh-CN"/>
        </w:rPr>
        <w:t>-</w:t>
      </w:r>
      <w:r>
        <w:rPr>
          <w:rFonts w:hint="eastAsia" w:cs="Times New Roman"/>
          <w:color w:val="auto"/>
          <w:sz w:val="24"/>
          <w:lang w:val="en-US" w:eastAsia="zh-CN"/>
        </w:rPr>
        <w:t>XXX</w:t>
      </w:r>
      <w:r>
        <w:rPr>
          <w:rFonts w:hint="eastAsia" w:ascii="Times New Roman" w:hAnsi="Times New Roman" w:cs="Times New Roman"/>
          <w:color w:val="auto"/>
          <w:sz w:val="24"/>
          <w:lang w:val="en-US" w:eastAsia="zh-CN"/>
        </w:rPr>
        <w:t>号</w:t>
      </w:r>
    </w:p>
    <w:tbl>
      <w:tblPr>
        <w:tblStyle w:val="20"/>
        <w:tblW w:w="99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892"/>
        <w:gridCol w:w="2619"/>
        <w:gridCol w:w="1180"/>
        <w:gridCol w:w="1518"/>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662" w:type="dxa"/>
            <w:noWrap w:val="0"/>
            <w:vAlign w:val="center"/>
          </w:tcPr>
          <w:p>
            <w:pPr>
              <w:spacing w:line="360" w:lineRule="auto"/>
              <w:jc w:val="center"/>
              <w:rPr>
                <w:b/>
                <w:bCs/>
                <w:color w:val="auto"/>
                <w:sz w:val="24"/>
              </w:rPr>
            </w:pPr>
            <w:r>
              <w:rPr>
                <w:b/>
                <w:bCs/>
                <w:color w:val="auto"/>
                <w:sz w:val="24"/>
              </w:rPr>
              <w:t>投标人名称</w:t>
            </w:r>
          </w:p>
        </w:tc>
        <w:tc>
          <w:tcPr>
            <w:tcW w:w="1892" w:type="dxa"/>
            <w:noWrap w:val="0"/>
            <w:vAlign w:val="center"/>
          </w:tcPr>
          <w:p>
            <w:pPr>
              <w:spacing w:line="360" w:lineRule="auto"/>
              <w:jc w:val="center"/>
              <w:rPr>
                <w:b/>
                <w:bCs/>
                <w:color w:val="auto"/>
                <w:sz w:val="24"/>
              </w:rPr>
            </w:pPr>
            <w:r>
              <w:rPr>
                <w:b/>
                <w:bCs/>
                <w:color w:val="auto"/>
                <w:sz w:val="24"/>
              </w:rPr>
              <w:t>投标总价（元）</w:t>
            </w:r>
          </w:p>
        </w:tc>
        <w:tc>
          <w:tcPr>
            <w:tcW w:w="2619" w:type="dxa"/>
            <w:noWrap w:val="0"/>
            <w:vAlign w:val="center"/>
          </w:tcPr>
          <w:p>
            <w:pPr>
              <w:spacing w:line="360" w:lineRule="auto"/>
              <w:jc w:val="center"/>
              <w:rPr>
                <w:b/>
                <w:bCs/>
                <w:color w:val="auto"/>
                <w:sz w:val="24"/>
              </w:rPr>
            </w:pPr>
            <w:r>
              <w:rPr>
                <w:rFonts w:hint="eastAsia"/>
                <w:b/>
                <w:bCs/>
                <w:color w:val="auto"/>
                <w:sz w:val="24"/>
                <w:lang w:eastAsia="zh-CN"/>
              </w:rPr>
              <w:t>合同履约期限</w:t>
            </w:r>
          </w:p>
        </w:tc>
        <w:tc>
          <w:tcPr>
            <w:tcW w:w="1180" w:type="dxa"/>
            <w:noWrap w:val="0"/>
            <w:vAlign w:val="center"/>
          </w:tcPr>
          <w:p>
            <w:pPr>
              <w:spacing w:line="360" w:lineRule="auto"/>
              <w:jc w:val="center"/>
              <w:rPr>
                <w:rFonts w:hint="eastAsia" w:eastAsia="宋体"/>
                <w:b/>
                <w:bCs/>
                <w:color w:val="auto"/>
                <w:sz w:val="24"/>
                <w:lang w:eastAsia="zh-CN"/>
              </w:rPr>
            </w:pPr>
            <w:r>
              <w:rPr>
                <w:rFonts w:hint="eastAsia"/>
                <w:b/>
                <w:bCs/>
                <w:color w:val="auto"/>
                <w:sz w:val="24"/>
                <w:lang w:eastAsia="zh-CN"/>
              </w:rPr>
              <w:t>付款方式</w:t>
            </w:r>
          </w:p>
        </w:tc>
        <w:tc>
          <w:tcPr>
            <w:tcW w:w="1518" w:type="dxa"/>
            <w:noWrap w:val="0"/>
            <w:vAlign w:val="center"/>
          </w:tcPr>
          <w:p>
            <w:pPr>
              <w:spacing w:line="360" w:lineRule="auto"/>
              <w:jc w:val="center"/>
              <w:rPr>
                <w:rFonts w:hint="default"/>
                <w:b/>
                <w:bCs/>
                <w:color w:val="auto"/>
                <w:sz w:val="24"/>
                <w:lang w:val="en-US" w:eastAsia="zh-CN"/>
              </w:rPr>
            </w:pPr>
            <w:r>
              <w:rPr>
                <w:rFonts w:hint="eastAsia"/>
                <w:b/>
                <w:bCs/>
                <w:color w:val="auto"/>
                <w:sz w:val="24"/>
                <w:lang w:val="en-US" w:eastAsia="zh-CN"/>
              </w:rPr>
              <w:t>质保期</w:t>
            </w:r>
          </w:p>
        </w:tc>
        <w:tc>
          <w:tcPr>
            <w:tcW w:w="1037" w:type="dxa"/>
            <w:noWrap w:val="0"/>
            <w:vAlign w:val="center"/>
          </w:tcPr>
          <w:p>
            <w:pPr>
              <w:spacing w:line="360" w:lineRule="auto"/>
              <w:jc w:val="center"/>
              <w:rPr>
                <w:rFonts w:hint="eastAsia"/>
                <w:b/>
                <w:bCs/>
                <w:color w:val="auto"/>
                <w:sz w:val="24"/>
                <w:lang w:eastAsia="zh-CN"/>
              </w:rPr>
            </w:pPr>
            <w:r>
              <w:rPr>
                <w:rFonts w:hint="eastAsia"/>
                <w:b/>
                <w:bCs/>
                <w:color w:val="auto"/>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662" w:type="dxa"/>
            <w:noWrap w:val="0"/>
            <w:vAlign w:val="center"/>
          </w:tcPr>
          <w:p>
            <w:pPr>
              <w:spacing w:line="360" w:lineRule="auto"/>
              <w:rPr>
                <w:bCs/>
                <w:color w:val="auto"/>
                <w:sz w:val="24"/>
              </w:rPr>
            </w:pPr>
          </w:p>
        </w:tc>
        <w:tc>
          <w:tcPr>
            <w:tcW w:w="1892" w:type="dxa"/>
            <w:noWrap w:val="0"/>
            <w:vAlign w:val="center"/>
          </w:tcPr>
          <w:p>
            <w:pPr>
              <w:rPr>
                <w:color w:val="auto"/>
              </w:rPr>
            </w:pPr>
          </w:p>
        </w:tc>
        <w:tc>
          <w:tcPr>
            <w:tcW w:w="2619" w:type="dxa"/>
            <w:noWrap w:val="0"/>
            <w:vAlign w:val="center"/>
          </w:tcPr>
          <w:p>
            <w:pPr>
              <w:spacing w:line="360" w:lineRule="auto"/>
              <w:jc w:val="center"/>
              <w:rPr>
                <w:bCs/>
                <w:color w:val="auto"/>
                <w:sz w:val="24"/>
              </w:rPr>
            </w:pPr>
          </w:p>
        </w:tc>
        <w:tc>
          <w:tcPr>
            <w:tcW w:w="1180" w:type="dxa"/>
            <w:noWrap w:val="0"/>
            <w:vAlign w:val="center"/>
          </w:tcPr>
          <w:p>
            <w:pPr>
              <w:spacing w:line="360" w:lineRule="auto"/>
              <w:jc w:val="center"/>
              <w:rPr>
                <w:bCs/>
                <w:color w:val="auto"/>
                <w:sz w:val="24"/>
              </w:rPr>
            </w:pPr>
          </w:p>
        </w:tc>
        <w:tc>
          <w:tcPr>
            <w:tcW w:w="1518" w:type="dxa"/>
            <w:noWrap w:val="0"/>
            <w:vAlign w:val="center"/>
          </w:tcPr>
          <w:p>
            <w:pPr>
              <w:spacing w:line="360" w:lineRule="auto"/>
              <w:jc w:val="center"/>
              <w:rPr>
                <w:bCs/>
                <w:color w:val="auto"/>
                <w:sz w:val="24"/>
              </w:rPr>
            </w:pPr>
          </w:p>
        </w:tc>
        <w:tc>
          <w:tcPr>
            <w:tcW w:w="1037" w:type="dxa"/>
            <w:noWrap w:val="0"/>
            <w:vAlign w:val="center"/>
          </w:tcPr>
          <w:p>
            <w:pPr>
              <w:spacing w:line="360" w:lineRule="auto"/>
              <w:jc w:val="center"/>
              <w:rPr>
                <w:bCs/>
                <w:color w:val="auto"/>
                <w:sz w:val="24"/>
              </w:rPr>
            </w:pPr>
          </w:p>
        </w:tc>
      </w:tr>
    </w:tbl>
    <w:p>
      <w:pPr>
        <w:spacing w:line="360" w:lineRule="auto"/>
        <w:rPr>
          <w:color w:val="auto"/>
          <w:sz w:val="24"/>
        </w:rPr>
      </w:pPr>
    </w:p>
    <w:p>
      <w:pPr>
        <w:spacing w:line="360" w:lineRule="auto"/>
        <w:rPr>
          <w:rFonts w:hint="eastAsia" w:eastAsia="宋体"/>
          <w:b/>
          <w:bCs w:val="0"/>
          <w:color w:val="auto"/>
          <w:sz w:val="24"/>
          <w:lang w:eastAsia="zh-CN"/>
        </w:rPr>
      </w:pPr>
      <w:r>
        <w:rPr>
          <w:rFonts w:hint="eastAsia"/>
          <w:b/>
          <w:bCs w:val="0"/>
          <w:color w:val="auto"/>
          <w:sz w:val="24"/>
          <w:lang w:eastAsia="zh-CN"/>
        </w:rPr>
        <w:t>注明：以上条款请参考投标须知</w:t>
      </w:r>
    </w:p>
    <w:p>
      <w:pPr>
        <w:spacing w:line="360" w:lineRule="auto"/>
        <w:rPr>
          <w:bCs/>
          <w:color w:val="auto"/>
          <w:sz w:val="24"/>
        </w:rPr>
      </w:pPr>
      <w:r>
        <w:rPr>
          <w:bCs/>
          <w:color w:val="auto"/>
          <w:sz w:val="24"/>
        </w:rPr>
        <w:t>投标人全称（盖公章）：</w:t>
      </w:r>
    </w:p>
    <w:p>
      <w:pPr>
        <w:spacing w:line="480" w:lineRule="auto"/>
        <w:rPr>
          <w:bCs/>
          <w:color w:val="auto"/>
          <w:sz w:val="24"/>
        </w:rPr>
      </w:pPr>
      <w:r>
        <w:rPr>
          <w:bCs/>
          <w:color w:val="auto"/>
          <w:sz w:val="24"/>
        </w:rPr>
        <w:t>法定代表人或授权代表（签名或盖章）：</w:t>
      </w:r>
    </w:p>
    <w:p>
      <w:pPr>
        <w:spacing w:line="480" w:lineRule="auto"/>
        <w:rPr>
          <w:color w:val="auto"/>
          <w:sz w:val="24"/>
        </w:rPr>
      </w:pPr>
      <w:r>
        <w:rPr>
          <w:bCs/>
          <w:color w:val="auto"/>
          <w:sz w:val="24"/>
        </w:rPr>
        <w:t>日    期：     年   月   日</w:t>
      </w:r>
    </w:p>
    <w:p>
      <w:pPr>
        <w:spacing w:line="360" w:lineRule="auto"/>
        <w:ind w:left="420" w:hanging="420"/>
        <w:rPr>
          <w:color w:val="auto"/>
          <w:sz w:val="24"/>
        </w:rPr>
      </w:pPr>
    </w:p>
    <w:p>
      <w:pPr>
        <w:spacing w:line="360" w:lineRule="auto"/>
        <w:ind w:left="420" w:hanging="420"/>
        <w:rPr>
          <w:color w:val="auto"/>
          <w:sz w:val="28"/>
          <w:szCs w:val="28"/>
        </w:rPr>
      </w:pPr>
    </w:p>
    <w:p>
      <w:pPr>
        <w:spacing w:line="360" w:lineRule="auto"/>
        <w:ind w:left="738" w:hanging="773" w:hangingChars="350"/>
        <w:rPr>
          <w:rFonts w:hint="eastAsia" w:ascii="宋体" w:hAnsi="宋体"/>
          <w:b/>
          <w:color w:val="auto"/>
          <w:sz w:val="22"/>
          <w:szCs w:val="28"/>
        </w:rPr>
      </w:pPr>
      <w:r>
        <w:rPr>
          <w:b/>
          <w:color w:val="auto"/>
          <w:sz w:val="22"/>
          <w:szCs w:val="28"/>
        </w:rPr>
        <w:t>注：</w:t>
      </w:r>
      <w:r>
        <w:rPr>
          <w:color w:val="auto"/>
          <w:sz w:val="22"/>
          <w:szCs w:val="28"/>
        </w:rPr>
        <w:t>1、</w:t>
      </w:r>
      <w:r>
        <w:rPr>
          <w:rFonts w:hint="eastAsia" w:ascii="宋体" w:hAnsi="宋体"/>
          <w:color w:val="auto"/>
          <w:sz w:val="22"/>
          <w:szCs w:val="28"/>
        </w:rPr>
        <w:t>此表一式两份，一份装在单独的“</w:t>
      </w:r>
      <w:r>
        <w:rPr>
          <w:rFonts w:hint="eastAsia" w:ascii="宋体" w:hAnsi="宋体"/>
          <w:color w:val="auto"/>
          <w:sz w:val="22"/>
          <w:szCs w:val="28"/>
          <w:lang w:val="en-US" w:eastAsia="zh-CN"/>
        </w:rPr>
        <w:t>投标一览表</w:t>
      </w:r>
      <w:r>
        <w:rPr>
          <w:rFonts w:hint="eastAsia" w:ascii="宋体" w:hAnsi="宋体"/>
          <w:color w:val="auto"/>
          <w:sz w:val="22"/>
          <w:szCs w:val="28"/>
        </w:rPr>
        <w:t>信封”内密封，封口盖公章；另一份装订在投标文件正本中；</w:t>
      </w:r>
    </w:p>
    <w:p>
      <w:pPr>
        <w:spacing w:line="360" w:lineRule="auto"/>
        <w:ind w:left="747" w:leftChars="200" w:hanging="327" w:hangingChars="149"/>
        <w:rPr>
          <w:rFonts w:hint="eastAsia" w:ascii="宋体" w:hAnsi="宋体"/>
          <w:color w:val="auto"/>
          <w:sz w:val="22"/>
          <w:szCs w:val="28"/>
        </w:rPr>
      </w:pPr>
      <w:r>
        <w:rPr>
          <w:rFonts w:hint="eastAsia" w:ascii="宋体" w:hAnsi="宋体"/>
          <w:color w:val="auto"/>
          <w:sz w:val="22"/>
          <w:szCs w:val="28"/>
        </w:rPr>
        <w:t>2、投标总价为投标人最终报价，包含一切税费及相关费用</w:t>
      </w:r>
      <w:r>
        <w:rPr>
          <w:rFonts w:hint="eastAsia" w:ascii="宋体" w:hAnsi="宋体"/>
          <w:b/>
          <w:color w:val="auto"/>
          <w:sz w:val="22"/>
          <w:szCs w:val="28"/>
        </w:rPr>
        <w:t>。</w:t>
      </w:r>
      <w:r>
        <w:rPr>
          <w:rFonts w:hint="eastAsia" w:ascii="宋体" w:hAnsi="宋体"/>
          <w:color w:val="auto"/>
          <w:sz w:val="22"/>
          <w:szCs w:val="28"/>
        </w:rPr>
        <w:t>与详细报价表中相应包的投标总价一致；</w:t>
      </w:r>
    </w:p>
    <w:p>
      <w:pPr>
        <w:spacing w:line="360" w:lineRule="auto"/>
        <w:ind w:left="420" w:leftChars="200"/>
        <w:rPr>
          <w:rFonts w:hint="eastAsia" w:ascii="宋体" w:hAnsi="宋体"/>
          <w:color w:val="auto"/>
          <w:sz w:val="22"/>
          <w:szCs w:val="28"/>
        </w:rPr>
      </w:pPr>
      <w:r>
        <w:rPr>
          <w:rFonts w:hint="eastAsia" w:ascii="宋体" w:hAnsi="宋体"/>
          <w:color w:val="auto"/>
          <w:sz w:val="22"/>
          <w:szCs w:val="28"/>
        </w:rPr>
        <w:t>3、上述日期均以日历日为单位，包括法定节假日；</w:t>
      </w:r>
    </w:p>
    <w:p>
      <w:pPr>
        <w:spacing w:line="360" w:lineRule="auto"/>
        <w:ind w:left="420" w:leftChars="200"/>
        <w:rPr>
          <w:b/>
          <w:color w:val="auto"/>
          <w:sz w:val="22"/>
          <w:szCs w:val="28"/>
        </w:rPr>
      </w:pPr>
      <w:r>
        <w:rPr>
          <w:rFonts w:hint="eastAsia" w:ascii="宋体" w:hAnsi="宋体"/>
          <w:color w:val="auto"/>
          <w:sz w:val="22"/>
          <w:szCs w:val="28"/>
        </w:rPr>
        <w:t>4、对含糊不清或不确定的报价将视为无效报价</w:t>
      </w:r>
      <w:r>
        <w:rPr>
          <w:b/>
          <w:color w:val="auto"/>
          <w:sz w:val="22"/>
          <w:szCs w:val="28"/>
        </w:rPr>
        <w:t>。</w:t>
      </w:r>
    </w:p>
    <w:p>
      <w:pPr>
        <w:spacing w:line="360" w:lineRule="auto"/>
        <w:rPr>
          <w:color w:val="auto"/>
          <w:sz w:val="24"/>
        </w:rPr>
      </w:pPr>
      <w:bookmarkStart w:id="133" w:name="_Toc130139086"/>
    </w:p>
    <w:p>
      <w:pPr>
        <w:spacing w:line="360" w:lineRule="auto"/>
        <w:rPr>
          <w:color w:val="auto"/>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5"/>
        <w:spacing w:before="0" w:after="0" w:line="360" w:lineRule="auto"/>
        <w:rPr>
          <w:rFonts w:hint="eastAsia" w:ascii="Times New Roman" w:hAnsi="Times New Roman" w:eastAsia="宋体"/>
          <w:color w:val="auto"/>
          <w:sz w:val="28"/>
          <w:szCs w:val="28"/>
        </w:rPr>
      </w:pPr>
      <w:bookmarkStart w:id="134" w:name="_Toc3281"/>
      <w:r>
        <w:rPr>
          <w:rFonts w:ascii="Times New Roman" w:hAnsi="Times New Roman" w:eastAsia="宋体"/>
          <w:color w:val="auto"/>
          <w:sz w:val="28"/>
          <w:szCs w:val="28"/>
        </w:rPr>
        <w:t xml:space="preserve">格式4 </w:t>
      </w:r>
      <w:bookmarkEnd w:id="133"/>
      <w:r>
        <w:rPr>
          <w:rFonts w:hint="eastAsia" w:ascii="Times New Roman" w:hAnsi="Times New Roman" w:eastAsia="宋体"/>
          <w:color w:val="auto"/>
          <w:sz w:val="28"/>
          <w:szCs w:val="28"/>
        </w:rPr>
        <w:t>总体方案说明</w:t>
      </w:r>
      <w:bookmarkEnd w:id="134"/>
    </w:p>
    <w:p>
      <w:pPr>
        <w:spacing w:line="360" w:lineRule="auto"/>
        <w:ind w:firstLine="480" w:firstLineChars="200"/>
        <w:rPr>
          <w:rFonts w:hint="eastAsia" w:ascii="宋体" w:hAnsi="宋体"/>
          <w:color w:val="auto"/>
          <w:sz w:val="24"/>
        </w:rPr>
      </w:pPr>
      <w:r>
        <w:rPr>
          <w:rFonts w:hint="eastAsia" w:ascii="宋体" w:hAnsi="宋体"/>
          <w:color w:val="auto"/>
          <w:sz w:val="24"/>
        </w:rPr>
        <w:t>主要内容为本项目综合说明（含但不限于项目实施方案、进度计划、</w:t>
      </w:r>
      <w:r>
        <w:rPr>
          <w:rFonts w:hint="eastAsia" w:ascii="宋体" w:hAnsi="宋体"/>
          <w:color w:val="auto"/>
          <w:sz w:val="24"/>
          <w:lang w:eastAsia="zh-CN"/>
        </w:rPr>
        <w:t>设备（货物）</w:t>
      </w:r>
      <w:r>
        <w:rPr>
          <w:rFonts w:hint="eastAsia" w:ascii="宋体" w:hAnsi="宋体"/>
          <w:color w:val="auto"/>
          <w:sz w:val="24"/>
        </w:rPr>
        <w:t>人员投入等）、项目质量总体目标及质量保证措施、验收标准及方式、技术规范性文件说明等。</w:t>
      </w:r>
    </w:p>
    <w:p>
      <w:pPr>
        <w:rPr>
          <w:rFonts w:hint="eastAsia"/>
          <w:color w:val="auto"/>
        </w:rPr>
      </w:pPr>
    </w:p>
    <w:p>
      <w:pPr>
        <w:rPr>
          <w:rFonts w:hint="eastAsia"/>
          <w:color w:val="auto"/>
        </w:rPr>
      </w:pPr>
      <w:r>
        <w:rPr>
          <w:color w:val="auto"/>
        </w:rPr>
        <w:br w:type="page"/>
      </w:r>
    </w:p>
    <w:p>
      <w:pPr>
        <w:pStyle w:val="5"/>
        <w:spacing w:before="0" w:after="0" w:line="360" w:lineRule="auto"/>
        <w:rPr>
          <w:rFonts w:hint="eastAsia"/>
          <w:color w:val="auto"/>
          <w:sz w:val="24"/>
        </w:rPr>
      </w:pPr>
      <w:bookmarkStart w:id="135" w:name="_Toc24607"/>
      <w:r>
        <w:rPr>
          <w:rFonts w:hint="eastAsia"/>
          <w:color w:val="auto"/>
        </w:rPr>
        <w:t>格式5 详细</w:t>
      </w:r>
      <w:r>
        <w:rPr>
          <w:rFonts w:hint="eastAsia" w:ascii="Times New Roman" w:hAnsi="Times New Roman" w:eastAsia="宋体"/>
          <w:color w:val="auto"/>
          <w:sz w:val="28"/>
          <w:szCs w:val="28"/>
        </w:rPr>
        <w:t>报价</w:t>
      </w:r>
      <w:r>
        <w:rPr>
          <w:rFonts w:hint="eastAsia"/>
          <w:color w:val="auto"/>
        </w:rPr>
        <w:t>清单</w:t>
      </w:r>
      <w:bookmarkEnd w:id="135"/>
    </w:p>
    <w:p>
      <w:pPr>
        <w:pStyle w:val="13"/>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13"/>
        <w:ind w:firstLine="480" w:firstLineChars="200"/>
        <w:rPr>
          <w:rFonts w:ascii="Times New Roman" w:hAnsi="Times New Roman"/>
          <w:color w:val="auto"/>
          <w:sz w:val="24"/>
          <w:szCs w:val="24"/>
        </w:rPr>
      </w:pPr>
      <w:r>
        <w:rPr>
          <w:rFonts w:hint="eastAsia" w:ascii="Times New Roman" w:hAnsi="Times New Roman"/>
          <w:color w:val="auto"/>
          <w:sz w:val="24"/>
          <w:szCs w:val="24"/>
        </w:rPr>
        <w:t>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金额单位：元</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序号</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货物</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品牌</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生产</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规格</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77"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单价</w:t>
            </w:r>
          </w:p>
        </w:tc>
        <w:tc>
          <w:tcPr>
            <w:tcW w:w="878"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数量</w:t>
            </w:r>
          </w:p>
        </w:tc>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合计</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中小</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75" w:type="dxa"/>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1</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2</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3</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3"/>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MingLiU_HKSCS" w:hAnsi="MingLiU_HKSCS" w:eastAsia="MingLiU_HKSCS" w:cs="MingLiU_HKSCS"/>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MingLiU_HKSCS" w:hAnsi="MingLiU_HKSCS" w:eastAsia="MingLiU_HKSCS" w:cs="MingLiU_HKSCS"/>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318" w:type="dxa"/>
            <w:gridSpan w:val="10"/>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包装运输费</w:t>
            </w:r>
          </w:p>
        </w:tc>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56" w:type="dxa"/>
            <w:gridSpan w:val="3"/>
            <w:vAlign w:val="center"/>
          </w:tcPr>
          <w:p>
            <w:pPr>
              <w:pStyle w:val="13"/>
              <w:jc w:val="center"/>
              <w:rPr>
                <w:rFonts w:ascii="MingLiU_HKSCS" w:hAnsi="MingLiU_HKSCS" w:eastAsia="MingLiU_HKSCS" w:cs="MingLiU_HKSCS"/>
                <w:color w:val="auto"/>
                <w:sz w:val="24"/>
                <w:szCs w:val="24"/>
              </w:rPr>
            </w:pPr>
          </w:p>
        </w:tc>
        <w:tc>
          <w:tcPr>
            <w:tcW w:w="1010" w:type="dxa"/>
            <w:gridSpan w:val="2"/>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422"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53"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3"/>
              <w:jc w:val="center"/>
              <w:rPr>
                <w:rFonts w:ascii="Times New Roman" w:hAnsi="Times New Roman"/>
                <w:color w:val="auto"/>
                <w:sz w:val="24"/>
                <w:szCs w:val="24"/>
              </w:rPr>
            </w:pPr>
          </w:p>
        </w:tc>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56" w:type="dxa"/>
            <w:gridSpan w:val="3"/>
            <w:vAlign w:val="center"/>
          </w:tcPr>
          <w:p>
            <w:pPr>
              <w:pStyle w:val="13"/>
              <w:jc w:val="center"/>
              <w:rPr>
                <w:rFonts w:ascii="MingLiU_HKSCS" w:hAnsi="MingLiU_HKSCS" w:eastAsia="MingLiU_HKSCS" w:cs="MingLiU_HKSCS"/>
                <w:color w:val="auto"/>
                <w:sz w:val="24"/>
                <w:szCs w:val="24"/>
              </w:rPr>
            </w:pPr>
          </w:p>
        </w:tc>
        <w:tc>
          <w:tcPr>
            <w:tcW w:w="1010" w:type="dxa"/>
            <w:gridSpan w:val="2"/>
            <w:vMerge w:val="continue"/>
            <w:vAlign w:val="center"/>
          </w:tcPr>
          <w:p>
            <w:pPr>
              <w:pStyle w:val="13"/>
              <w:jc w:val="center"/>
              <w:rPr>
                <w:rFonts w:ascii="MingLiU_HKSCS" w:hAnsi="MingLiU_HKSCS" w:eastAsia="MingLiU_HKSCS" w:cs="MingLiU_HKSCS"/>
                <w:color w:val="auto"/>
                <w:sz w:val="24"/>
                <w:szCs w:val="24"/>
              </w:rPr>
            </w:pPr>
          </w:p>
        </w:tc>
        <w:tc>
          <w:tcPr>
            <w:tcW w:w="1422"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422"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培训费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小计</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3"/>
              <w:jc w:val="center"/>
              <w:rPr>
                <w:rFonts w:ascii="Times New Roman" w:hAnsi="Times New Roman" w:eastAsia="MingLiU_HKSCS"/>
                <w:color w:val="auto"/>
                <w:sz w:val="24"/>
                <w:szCs w:val="24"/>
              </w:rPr>
            </w:pPr>
          </w:p>
        </w:tc>
      </w:tr>
    </w:tbl>
    <w:p>
      <w:pPr>
        <w:pStyle w:val="13"/>
        <w:ind w:firstLine="480" w:firstLineChars="200"/>
        <w:rPr>
          <w:rFonts w:ascii="宋体" w:hAnsi="宋体"/>
          <w:b/>
          <w:bCs/>
          <w:color w:val="auto"/>
          <w:szCs w:val="24"/>
        </w:rPr>
      </w:pPr>
      <w:r>
        <w:rPr>
          <w:rFonts w:hint="eastAsia" w:ascii="Times New Roman" w:hAnsi="Times New Roman"/>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firstLine="240" w:firstLineChars="100"/>
        <w:rPr>
          <w:rFonts w:ascii="宋体" w:hAnsi="宋体"/>
          <w:color w:val="auto"/>
          <w:sz w:val="24"/>
          <w:szCs w:val="21"/>
        </w:rPr>
      </w:pPr>
      <w:r>
        <w:rPr>
          <w:rFonts w:hint="eastAsia" w:ascii="宋体" w:hAnsi="宋体"/>
          <w:color w:val="auto"/>
          <w:sz w:val="24"/>
          <w:szCs w:val="21"/>
        </w:rPr>
        <w:t xml:space="preserve"> </w:t>
      </w:r>
      <w:r>
        <w:rPr>
          <w:rFonts w:hint="eastAsia" w:ascii="宋体" w:hAnsi="宋体"/>
          <w:color w:val="auto"/>
          <w:sz w:val="24"/>
          <w:szCs w:val="21"/>
          <w:lang w:val="en-US" w:eastAsia="zh-CN"/>
        </w:rPr>
        <w:t xml:space="preserve"> </w:t>
      </w:r>
      <w:r>
        <w:rPr>
          <w:rFonts w:hint="eastAsia" w:ascii="宋体" w:hAnsi="宋体"/>
          <w:color w:val="auto"/>
          <w:sz w:val="24"/>
          <w:szCs w:val="21"/>
        </w:rPr>
        <w:t>法定代表人或其委托代理人签字：</w:t>
      </w:r>
      <w:r>
        <w:rPr>
          <w:rFonts w:hint="eastAsia" w:ascii="宋体" w:hAnsi="宋体"/>
          <w:color w:val="auto"/>
          <w:sz w:val="24"/>
          <w:szCs w:val="21"/>
          <w:u w:val="single"/>
        </w:rPr>
        <w:t xml:space="preserve">       </w:t>
      </w:r>
    </w:p>
    <w:p>
      <w:pPr>
        <w:adjustRightInd w:val="0"/>
        <w:snapToGrid w:val="0"/>
        <w:spacing w:line="360" w:lineRule="auto"/>
        <w:ind w:right="24" w:firstLine="240" w:firstLineChars="1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360" w:lineRule="auto"/>
        <w:ind w:left="379" w:leftChars="30" w:hanging="316" w:hangingChars="150"/>
        <w:rPr>
          <w:rFonts w:hint="eastAsia"/>
          <w:b/>
          <w:color w:val="auto"/>
        </w:rPr>
      </w:pPr>
    </w:p>
    <w:p>
      <w:pPr>
        <w:pStyle w:val="5"/>
        <w:spacing w:before="0" w:after="0" w:line="360" w:lineRule="auto"/>
        <w:rPr>
          <w:rFonts w:ascii="Times New Roman" w:hAnsi="Times New Roman"/>
          <w:color w:val="auto"/>
          <w:sz w:val="28"/>
          <w:szCs w:val="28"/>
        </w:rPr>
      </w:pPr>
      <w:r>
        <w:rPr>
          <w:rFonts w:ascii="Times New Roman" w:hAnsi="Times New Roman"/>
          <w:color w:val="auto"/>
        </w:rPr>
        <w:br w:type="page"/>
      </w:r>
      <w:bookmarkStart w:id="136" w:name="_Toc130139089"/>
      <w:bookmarkStart w:id="137" w:name="_Toc19569"/>
      <w:r>
        <w:rPr>
          <w:rFonts w:ascii="Times New Roman" w:hAnsi="Times New Roman"/>
          <w:color w:val="auto"/>
          <w:sz w:val="28"/>
          <w:szCs w:val="28"/>
        </w:rPr>
        <w:t>格式</w:t>
      </w:r>
      <w:r>
        <w:rPr>
          <w:rFonts w:hint="eastAsia" w:ascii="Times New Roman" w:hAnsi="Times New Roman"/>
          <w:color w:val="auto"/>
          <w:sz w:val="28"/>
          <w:szCs w:val="28"/>
          <w:lang w:val="en-US" w:eastAsia="zh-CN"/>
        </w:rPr>
        <w:t>6</w:t>
      </w:r>
      <w:r>
        <w:rPr>
          <w:rFonts w:ascii="Times New Roman" w:hAnsi="Times New Roman"/>
          <w:color w:val="auto"/>
          <w:sz w:val="28"/>
          <w:szCs w:val="28"/>
        </w:rPr>
        <w:t xml:space="preserve"> 技术</w:t>
      </w:r>
      <w:r>
        <w:rPr>
          <w:rFonts w:ascii="Times New Roman" w:hAnsi="Times New Roman" w:eastAsia="宋体"/>
          <w:color w:val="auto"/>
          <w:sz w:val="28"/>
          <w:szCs w:val="28"/>
        </w:rPr>
        <w:t>规格</w:t>
      </w:r>
      <w:r>
        <w:rPr>
          <w:rFonts w:ascii="Times New Roman" w:hAnsi="Times New Roman"/>
          <w:color w:val="auto"/>
          <w:sz w:val="28"/>
          <w:szCs w:val="28"/>
        </w:rPr>
        <w:t>差异表</w:t>
      </w:r>
      <w:bookmarkEnd w:id="136"/>
      <w:bookmarkEnd w:id="137"/>
    </w:p>
    <w:p>
      <w:pPr>
        <w:rPr>
          <w:color w:val="auto"/>
        </w:rPr>
      </w:pPr>
    </w:p>
    <w:p>
      <w:pPr>
        <w:spacing w:line="360" w:lineRule="auto"/>
        <w:ind w:left="-2" w:leftChars="-1" w:firstLine="2"/>
        <w:rPr>
          <w:rFonts w:hint="default" w:eastAsia="宋体"/>
          <w:color w:val="auto"/>
          <w:sz w:val="24"/>
          <w:u w:val="single"/>
          <w:lang w:val="en-US" w:eastAsia="zh-CN"/>
        </w:rPr>
      </w:pPr>
      <w:r>
        <w:rPr>
          <w:color w:val="auto"/>
          <w:sz w:val="24"/>
        </w:rPr>
        <w:t>项目名称：</w:t>
      </w:r>
      <w:r>
        <w:rPr>
          <w:rFonts w:hint="eastAsia"/>
          <w:color w:val="auto"/>
          <w:sz w:val="24"/>
          <w:u w:val="single"/>
          <w:lang w:val="en-US" w:eastAsia="zh-CN"/>
        </w:rPr>
        <w:t xml:space="preserve">                            </w:t>
      </w:r>
    </w:p>
    <w:p>
      <w:pPr>
        <w:spacing w:line="360" w:lineRule="auto"/>
        <w:ind w:left="-2" w:leftChars="-1" w:firstLine="2"/>
        <w:rPr>
          <w:rFonts w:hint="eastAsia" w:eastAsia="宋体"/>
          <w:color w:val="auto"/>
          <w:sz w:val="24"/>
          <w:lang w:eastAsia="zh-CN"/>
        </w:rPr>
      </w:pPr>
      <w:r>
        <w:rPr>
          <w:color w:val="auto"/>
          <w:sz w:val="24"/>
        </w:rPr>
        <w:t>招标编号：</w:t>
      </w:r>
      <w:r>
        <w:rPr>
          <w:rFonts w:hint="eastAsia"/>
          <w:color w:val="auto"/>
          <w:sz w:val="24"/>
          <w:u w:val="single"/>
          <w:lang w:val="en-US" w:eastAsia="zh-CN"/>
        </w:rPr>
        <w:t xml:space="preserve">                            </w:t>
      </w:r>
    </w:p>
    <w:tbl>
      <w:tblPr>
        <w:tblStyle w:val="20"/>
        <w:tblW w:w="916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b/>
                <w:color w:val="auto"/>
                <w:sz w:val="24"/>
              </w:rPr>
            </w:pPr>
            <w:r>
              <w:rPr>
                <w:b/>
                <w:color w:val="auto"/>
                <w:sz w:val="24"/>
              </w:rPr>
              <w:t>序号</w:t>
            </w:r>
          </w:p>
        </w:tc>
        <w:tc>
          <w:tcPr>
            <w:tcW w:w="1427" w:type="dxa"/>
            <w:shd w:val="clear" w:color="auto" w:fill="D9D9D9"/>
            <w:noWrap w:val="0"/>
            <w:vAlign w:val="center"/>
          </w:tcPr>
          <w:p>
            <w:pPr>
              <w:snapToGrid w:val="0"/>
              <w:spacing w:line="360" w:lineRule="auto"/>
              <w:jc w:val="center"/>
              <w:rPr>
                <w:rFonts w:hint="eastAsia"/>
                <w:b/>
                <w:color w:val="auto"/>
                <w:sz w:val="24"/>
              </w:rPr>
            </w:pPr>
            <w:r>
              <w:rPr>
                <w:rFonts w:hint="eastAsia"/>
                <w:b/>
                <w:color w:val="auto"/>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b/>
                <w:color w:val="auto"/>
                <w:sz w:val="24"/>
              </w:rPr>
            </w:pPr>
            <w:r>
              <w:rPr>
                <w:b/>
                <w:color w:val="auto"/>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b/>
                <w:color w:val="auto"/>
                <w:sz w:val="24"/>
              </w:rPr>
            </w:pPr>
            <w:r>
              <w:rPr>
                <w:b/>
                <w:color w:val="auto"/>
                <w:sz w:val="24"/>
              </w:rPr>
              <w:t>投标人技术规范描述</w:t>
            </w:r>
          </w:p>
        </w:tc>
        <w:tc>
          <w:tcPr>
            <w:tcW w:w="1628" w:type="dxa"/>
            <w:shd w:val="clear" w:color="auto" w:fill="D9D9D9"/>
            <w:noWrap w:val="0"/>
            <w:vAlign w:val="center"/>
          </w:tcPr>
          <w:p>
            <w:pPr>
              <w:snapToGrid w:val="0"/>
              <w:spacing w:line="360" w:lineRule="auto"/>
              <w:jc w:val="center"/>
              <w:rPr>
                <w:b/>
                <w:color w:val="auto"/>
                <w:sz w:val="24"/>
              </w:rPr>
            </w:pPr>
            <w:r>
              <w:rPr>
                <w:b/>
                <w:color w:val="auto"/>
                <w:sz w:val="24"/>
              </w:rPr>
              <w:t>偏离情况</w:t>
            </w:r>
          </w:p>
          <w:p>
            <w:pPr>
              <w:snapToGrid w:val="0"/>
              <w:spacing w:line="360" w:lineRule="auto"/>
              <w:jc w:val="center"/>
              <w:rPr>
                <w:b/>
                <w:color w:val="auto"/>
                <w:sz w:val="24"/>
              </w:rPr>
            </w:pPr>
            <w:r>
              <w:rPr>
                <w:b/>
                <w:color w:val="auto"/>
                <w:sz w:val="24"/>
              </w:rPr>
              <w:t>说明</w:t>
            </w:r>
          </w:p>
          <w:p>
            <w:pPr>
              <w:snapToGrid w:val="0"/>
              <w:spacing w:line="360" w:lineRule="auto"/>
              <w:jc w:val="center"/>
              <w:rPr>
                <w:b/>
                <w:color w:val="auto"/>
                <w:sz w:val="24"/>
              </w:rPr>
            </w:pPr>
            <w:r>
              <w:rPr>
                <w:b/>
                <w:color w:val="auto"/>
                <w:sz w:val="24"/>
              </w:rPr>
              <w:t>（＋/-/=）</w:t>
            </w:r>
          </w:p>
        </w:tc>
        <w:tc>
          <w:tcPr>
            <w:tcW w:w="814" w:type="dxa"/>
            <w:shd w:val="clear" w:color="auto" w:fill="D9D9D9"/>
            <w:noWrap w:val="0"/>
            <w:vAlign w:val="center"/>
          </w:tcPr>
          <w:p>
            <w:pPr>
              <w:snapToGrid w:val="0"/>
              <w:spacing w:line="360" w:lineRule="auto"/>
              <w:jc w:val="center"/>
              <w:rPr>
                <w:b/>
                <w:color w:val="auto"/>
                <w:sz w:val="24"/>
              </w:rPr>
            </w:pPr>
            <w:r>
              <w:rPr>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color w:val="auto"/>
                <w:sz w:val="24"/>
              </w:rPr>
            </w:pPr>
            <w:r>
              <w:rPr>
                <w:color w:val="auto"/>
                <w:sz w:val="24"/>
              </w:rPr>
              <w:t>1</w:t>
            </w:r>
          </w:p>
        </w:tc>
        <w:tc>
          <w:tcPr>
            <w:tcW w:w="1427" w:type="dxa"/>
            <w:noWrap w:val="0"/>
            <w:vAlign w:val="center"/>
          </w:tcPr>
          <w:p>
            <w:pPr>
              <w:snapToGrid w:val="0"/>
              <w:spacing w:line="360" w:lineRule="auto"/>
              <w:jc w:val="center"/>
              <w:rPr>
                <w:color w:val="auto"/>
                <w:sz w:val="24"/>
              </w:rPr>
            </w:pPr>
          </w:p>
        </w:tc>
        <w:tc>
          <w:tcPr>
            <w:tcW w:w="2241" w:type="dxa"/>
            <w:noWrap w:val="0"/>
            <w:vAlign w:val="center"/>
          </w:tcPr>
          <w:p>
            <w:pPr>
              <w:snapToGrid w:val="0"/>
              <w:spacing w:line="360" w:lineRule="auto"/>
              <w:jc w:val="center"/>
              <w:rPr>
                <w:color w:val="auto"/>
                <w:sz w:val="24"/>
              </w:rPr>
            </w:pPr>
          </w:p>
        </w:tc>
        <w:tc>
          <w:tcPr>
            <w:tcW w:w="2344" w:type="dxa"/>
            <w:noWrap w:val="0"/>
            <w:vAlign w:val="center"/>
          </w:tcPr>
          <w:p>
            <w:pPr>
              <w:snapToGrid w:val="0"/>
              <w:spacing w:line="360" w:lineRule="auto"/>
              <w:jc w:val="center"/>
              <w:rPr>
                <w:color w:val="auto"/>
                <w:sz w:val="24"/>
              </w:rPr>
            </w:pPr>
          </w:p>
        </w:tc>
        <w:tc>
          <w:tcPr>
            <w:tcW w:w="1628" w:type="dxa"/>
            <w:noWrap w:val="0"/>
            <w:vAlign w:val="center"/>
          </w:tcPr>
          <w:p>
            <w:pPr>
              <w:snapToGrid w:val="0"/>
              <w:spacing w:line="360" w:lineRule="auto"/>
              <w:jc w:val="center"/>
              <w:rPr>
                <w:color w:val="auto"/>
                <w:sz w:val="24"/>
              </w:rPr>
            </w:pPr>
          </w:p>
        </w:tc>
        <w:tc>
          <w:tcPr>
            <w:tcW w:w="814" w:type="dxa"/>
            <w:noWrap w:val="0"/>
            <w:vAlign w:val="center"/>
          </w:tcPr>
          <w:p>
            <w:pPr>
              <w:snapToGrid w:val="0"/>
              <w:spacing w:line="36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color w:val="auto"/>
                <w:sz w:val="24"/>
              </w:rPr>
            </w:pPr>
            <w:r>
              <w:rPr>
                <w:rFonts w:hint="eastAsia"/>
                <w:color w:val="auto"/>
                <w:sz w:val="24"/>
              </w:rPr>
              <w:t>...</w:t>
            </w:r>
          </w:p>
        </w:tc>
        <w:tc>
          <w:tcPr>
            <w:tcW w:w="1427" w:type="dxa"/>
            <w:noWrap w:val="0"/>
            <w:vAlign w:val="center"/>
          </w:tcPr>
          <w:p>
            <w:pPr>
              <w:snapToGrid w:val="0"/>
              <w:spacing w:line="360" w:lineRule="auto"/>
              <w:jc w:val="center"/>
              <w:rPr>
                <w:color w:val="auto"/>
                <w:sz w:val="24"/>
              </w:rPr>
            </w:pPr>
          </w:p>
        </w:tc>
        <w:tc>
          <w:tcPr>
            <w:tcW w:w="2241" w:type="dxa"/>
            <w:noWrap w:val="0"/>
            <w:vAlign w:val="center"/>
          </w:tcPr>
          <w:p>
            <w:pPr>
              <w:snapToGrid w:val="0"/>
              <w:spacing w:line="360" w:lineRule="auto"/>
              <w:jc w:val="center"/>
              <w:rPr>
                <w:color w:val="auto"/>
                <w:sz w:val="24"/>
              </w:rPr>
            </w:pPr>
          </w:p>
        </w:tc>
        <w:tc>
          <w:tcPr>
            <w:tcW w:w="2344" w:type="dxa"/>
            <w:noWrap w:val="0"/>
            <w:vAlign w:val="center"/>
          </w:tcPr>
          <w:p>
            <w:pPr>
              <w:snapToGrid w:val="0"/>
              <w:spacing w:line="360" w:lineRule="auto"/>
              <w:jc w:val="center"/>
              <w:rPr>
                <w:color w:val="auto"/>
                <w:sz w:val="24"/>
              </w:rPr>
            </w:pPr>
          </w:p>
        </w:tc>
        <w:tc>
          <w:tcPr>
            <w:tcW w:w="1628" w:type="dxa"/>
            <w:noWrap w:val="0"/>
            <w:vAlign w:val="center"/>
          </w:tcPr>
          <w:p>
            <w:pPr>
              <w:snapToGrid w:val="0"/>
              <w:spacing w:line="360" w:lineRule="auto"/>
              <w:jc w:val="center"/>
              <w:rPr>
                <w:color w:val="auto"/>
                <w:sz w:val="24"/>
              </w:rPr>
            </w:pPr>
          </w:p>
        </w:tc>
        <w:tc>
          <w:tcPr>
            <w:tcW w:w="814" w:type="dxa"/>
            <w:noWrap w:val="0"/>
            <w:vAlign w:val="center"/>
          </w:tcPr>
          <w:p>
            <w:pPr>
              <w:snapToGrid w:val="0"/>
              <w:spacing w:line="360" w:lineRule="auto"/>
              <w:jc w:val="center"/>
              <w:rPr>
                <w:color w:val="auto"/>
                <w:sz w:val="24"/>
              </w:rPr>
            </w:pPr>
          </w:p>
        </w:tc>
      </w:tr>
    </w:tbl>
    <w:p>
      <w:pPr>
        <w:snapToGrid w:val="0"/>
        <w:rPr>
          <w:bCs/>
          <w:color w:val="auto"/>
          <w:sz w:val="24"/>
        </w:rPr>
      </w:pPr>
    </w:p>
    <w:p>
      <w:pPr>
        <w:spacing w:line="480" w:lineRule="auto"/>
        <w:rPr>
          <w:bCs/>
          <w:color w:val="auto"/>
          <w:sz w:val="24"/>
        </w:rPr>
      </w:pPr>
      <w:r>
        <w:rPr>
          <w:bCs/>
          <w:color w:val="auto"/>
          <w:sz w:val="24"/>
        </w:rPr>
        <w:t>投标人全称（盖公章）：</w:t>
      </w:r>
    </w:p>
    <w:p>
      <w:pPr>
        <w:spacing w:line="480" w:lineRule="auto"/>
        <w:rPr>
          <w:bCs/>
          <w:color w:val="auto"/>
          <w:sz w:val="24"/>
        </w:rPr>
      </w:pPr>
      <w:r>
        <w:rPr>
          <w:bCs/>
          <w:color w:val="auto"/>
          <w:sz w:val="24"/>
        </w:rPr>
        <w:t>法定代表人或授权代表（签名或盖章）：</w:t>
      </w:r>
    </w:p>
    <w:p>
      <w:pPr>
        <w:spacing w:line="480" w:lineRule="auto"/>
        <w:rPr>
          <w:color w:val="auto"/>
          <w:sz w:val="24"/>
        </w:rPr>
      </w:pPr>
      <w:r>
        <w:rPr>
          <w:bCs/>
          <w:color w:val="auto"/>
          <w:sz w:val="24"/>
        </w:rPr>
        <w:t>日    期：     年   月   日</w:t>
      </w:r>
    </w:p>
    <w:p>
      <w:pPr>
        <w:tabs>
          <w:tab w:val="left" w:pos="11130"/>
        </w:tabs>
        <w:snapToGrid w:val="0"/>
        <w:rPr>
          <w:bCs/>
          <w:color w:val="auto"/>
          <w:sz w:val="24"/>
        </w:rPr>
      </w:pPr>
    </w:p>
    <w:p>
      <w:pPr>
        <w:tabs>
          <w:tab w:val="left" w:pos="11130"/>
        </w:tabs>
        <w:snapToGrid w:val="0"/>
        <w:rPr>
          <w:bCs/>
          <w:color w:val="auto"/>
          <w:sz w:val="24"/>
        </w:rPr>
      </w:pPr>
    </w:p>
    <w:p>
      <w:pPr>
        <w:tabs>
          <w:tab w:val="left" w:pos="11130"/>
        </w:tabs>
        <w:snapToGrid w:val="0"/>
        <w:rPr>
          <w:bCs/>
          <w:color w:val="auto"/>
          <w:sz w:val="24"/>
        </w:rPr>
      </w:pPr>
    </w:p>
    <w:p>
      <w:pPr>
        <w:tabs>
          <w:tab w:val="left" w:pos="11130"/>
        </w:tabs>
        <w:snapToGrid w:val="0"/>
        <w:rPr>
          <w:bCs/>
          <w:color w:val="auto"/>
          <w:sz w:val="24"/>
          <w:szCs w:val="24"/>
        </w:rPr>
      </w:pPr>
    </w:p>
    <w:p>
      <w:pPr>
        <w:tabs>
          <w:tab w:val="left" w:pos="11130"/>
        </w:tabs>
        <w:snapToGrid w:val="0"/>
        <w:spacing w:line="480" w:lineRule="auto"/>
        <w:rPr>
          <w:b/>
          <w:bCs/>
          <w:color w:val="auto"/>
          <w:sz w:val="24"/>
          <w:szCs w:val="24"/>
        </w:rPr>
      </w:pPr>
      <w:r>
        <w:rPr>
          <w:b/>
          <w:bCs/>
          <w:color w:val="auto"/>
          <w:sz w:val="24"/>
          <w:szCs w:val="24"/>
        </w:rPr>
        <w:t>注：1、此表为表样，行数可自行添加，但表式不变。</w:t>
      </w:r>
    </w:p>
    <w:p>
      <w:pPr>
        <w:tabs>
          <w:tab w:val="left" w:pos="11130"/>
        </w:tabs>
        <w:snapToGrid w:val="0"/>
        <w:spacing w:line="480" w:lineRule="auto"/>
        <w:ind w:firstLine="472" w:firstLineChars="196"/>
        <w:rPr>
          <w:b/>
          <w:bCs/>
          <w:color w:val="auto"/>
          <w:sz w:val="24"/>
          <w:szCs w:val="24"/>
        </w:rPr>
      </w:pPr>
      <w:r>
        <w:rPr>
          <w:rFonts w:hint="eastAsia"/>
          <w:b/>
          <w:bCs/>
          <w:color w:val="auto"/>
          <w:sz w:val="24"/>
          <w:szCs w:val="24"/>
          <w:lang w:val="en-US" w:eastAsia="zh-CN"/>
        </w:rPr>
        <w:t>2</w:t>
      </w:r>
      <w:r>
        <w:rPr>
          <w:b/>
          <w:bCs/>
          <w:color w:val="auto"/>
          <w:sz w:val="24"/>
          <w:szCs w:val="24"/>
        </w:rPr>
        <w:t>、请在“投标人技术规范描述” 中列出所投</w:t>
      </w:r>
      <w:r>
        <w:rPr>
          <w:rFonts w:hint="eastAsia"/>
          <w:b/>
          <w:bCs/>
          <w:color w:val="auto"/>
          <w:sz w:val="24"/>
          <w:szCs w:val="24"/>
          <w:lang w:eastAsia="zh-CN"/>
        </w:rPr>
        <w:t>服务</w:t>
      </w:r>
      <w:r>
        <w:rPr>
          <w:b/>
          <w:bCs/>
          <w:color w:val="auto"/>
          <w:sz w:val="24"/>
          <w:szCs w:val="24"/>
        </w:rPr>
        <w:t>的详细技术参数情况。</w:t>
      </w:r>
    </w:p>
    <w:p>
      <w:pPr>
        <w:tabs>
          <w:tab w:val="left" w:pos="11130"/>
        </w:tabs>
        <w:snapToGrid w:val="0"/>
        <w:spacing w:line="480" w:lineRule="auto"/>
        <w:ind w:firstLine="472" w:firstLineChars="196"/>
        <w:rPr>
          <w:b/>
          <w:bCs/>
          <w:color w:val="auto"/>
          <w:sz w:val="24"/>
          <w:szCs w:val="24"/>
        </w:rPr>
      </w:pPr>
      <w:r>
        <w:rPr>
          <w:rFonts w:hint="eastAsia"/>
          <w:b/>
          <w:bCs/>
          <w:color w:val="auto"/>
          <w:sz w:val="24"/>
          <w:szCs w:val="24"/>
          <w:lang w:val="en-US" w:eastAsia="zh-CN"/>
        </w:rPr>
        <w:t>3</w:t>
      </w:r>
      <w:r>
        <w:rPr>
          <w:b/>
          <w:bCs/>
          <w:color w:val="auto"/>
          <w:sz w:val="24"/>
          <w:szCs w:val="24"/>
        </w:rPr>
        <w:t>、是否偏离用符号“+、=、-”分别表示正偏离、完全响应、负偏离，必须逐次对应响应。</w:t>
      </w:r>
    </w:p>
    <w:bookmarkEnd w:id="129"/>
    <w:p>
      <w:pPr>
        <w:rPr>
          <w:rFonts w:ascii="Times New Roman" w:hAnsi="Times New Roman"/>
          <w:color w:val="auto"/>
          <w:sz w:val="28"/>
          <w:szCs w:val="28"/>
        </w:rPr>
      </w:pPr>
      <w:bookmarkStart w:id="138" w:name="_Toc130139091"/>
      <w:r>
        <w:rPr>
          <w:rFonts w:ascii="Times New Roman" w:hAnsi="Times New Roman"/>
          <w:color w:val="auto"/>
          <w:sz w:val="24"/>
        </w:rPr>
        <w:br w:type="page"/>
      </w:r>
      <w:bookmarkStart w:id="139" w:name="_Toc30506"/>
      <w:r>
        <w:rPr>
          <w:rFonts w:ascii="Times New Roman" w:hAnsi="Times New Roman" w:eastAsia="黑体" w:cs="Times New Roman"/>
          <w:b/>
          <w:bCs/>
          <w:color w:val="auto"/>
          <w:kern w:val="2"/>
          <w:sz w:val="28"/>
          <w:szCs w:val="28"/>
          <w:lang w:val="en-US" w:eastAsia="zh-CN" w:bidi="ar-SA"/>
        </w:rPr>
        <w:t>格式</w:t>
      </w:r>
      <w:r>
        <w:rPr>
          <w:rFonts w:hint="eastAsia" w:eastAsia="黑体" w:cs="Times New Roman"/>
          <w:b/>
          <w:bCs/>
          <w:color w:val="auto"/>
          <w:kern w:val="2"/>
          <w:sz w:val="28"/>
          <w:szCs w:val="28"/>
          <w:lang w:val="en-US" w:eastAsia="zh-CN" w:bidi="ar-SA"/>
        </w:rPr>
        <w:t>7</w:t>
      </w:r>
      <w:r>
        <w:rPr>
          <w:rFonts w:ascii="Times New Roman" w:hAnsi="Times New Roman" w:eastAsia="黑体" w:cs="Times New Roman"/>
          <w:b/>
          <w:bCs/>
          <w:color w:val="auto"/>
          <w:kern w:val="2"/>
          <w:sz w:val="28"/>
          <w:szCs w:val="28"/>
          <w:lang w:val="en-US" w:eastAsia="zh-CN" w:bidi="ar-SA"/>
        </w:rPr>
        <w:t>法定代表人证明书</w:t>
      </w:r>
      <w:bookmarkEnd w:id="138"/>
      <w:bookmarkEnd w:id="139"/>
    </w:p>
    <w:p>
      <w:pPr>
        <w:spacing w:line="360" w:lineRule="auto"/>
        <w:rPr>
          <w:b/>
          <w:bCs/>
          <w:color w:val="auto"/>
          <w:sz w:val="28"/>
          <w:u w:val="single"/>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color w:val="auto"/>
          <w:sz w:val="24"/>
          <w:szCs w:val="24"/>
        </w:rPr>
        <w:t>同志，现任我单位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职务，为法定代表人，特此证明。</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有效日期：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单位（盖章）：</w:t>
      </w:r>
    </w:p>
    <w:p>
      <w:pPr>
        <w:spacing w:line="360" w:lineRule="auto"/>
        <w:rPr>
          <w:rFonts w:hint="eastAsia" w:ascii="宋体" w:hAnsi="宋体" w:eastAsia="宋体" w:cs="宋体"/>
          <w:color w:val="auto"/>
          <w:sz w:val="24"/>
          <w:szCs w:val="24"/>
        </w:rPr>
      </w:pP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代表人性别：</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年龄：</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营业执照（注册号）：</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经济性质：</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主营（产）：</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w:t>
            </w:r>
            <w:r>
              <w:rPr>
                <w:rFonts w:hint="eastAsia" w:ascii="宋体" w:hAnsi="宋体" w:eastAsia="宋体" w:cs="宋体"/>
                <w:color w:val="auto"/>
                <w:sz w:val="24"/>
                <w:szCs w:val="24"/>
                <w:lang w:eastAsia="zh-CN"/>
              </w:rPr>
              <w:t>件正面</w:t>
            </w:r>
          </w:p>
        </w:tc>
      </w:tr>
    </w:tbl>
    <w:tbl>
      <w:tblPr>
        <w:tblStyle w:val="20"/>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居民身份证复印件</w:t>
            </w:r>
            <w:r>
              <w:rPr>
                <w:rFonts w:hint="eastAsia" w:ascii="宋体" w:hAnsi="宋体" w:eastAsia="宋体" w:cs="宋体"/>
                <w:color w:val="auto"/>
                <w:sz w:val="24"/>
                <w:szCs w:val="24"/>
                <w:lang w:eastAsia="zh-CN"/>
              </w:rPr>
              <w:t>反面</w:t>
            </w:r>
          </w:p>
        </w:tc>
      </w:tr>
    </w:tbl>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rFonts w:hint="eastAsia" w:ascii="仿宋" w:hAnsi="仿宋" w:eastAsia="仿宋" w:cs="仿宋"/>
          <w:color w:val="auto"/>
          <w:sz w:val="24"/>
        </w:rPr>
      </w:pPr>
    </w:p>
    <w:p>
      <w:pPr>
        <w:spacing w:line="480" w:lineRule="auto"/>
        <w:rPr>
          <w:color w:val="auto"/>
          <w:sz w:val="24"/>
        </w:rPr>
      </w:pPr>
    </w:p>
    <w:p>
      <w:pPr>
        <w:pStyle w:val="5"/>
        <w:spacing w:before="0" w:after="0" w:line="360" w:lineRule="auto"/>
        <w:rPr>
          <w:rFonts w:ascii="Times New Roman" w:hAnsi="Times New Roman" w:eastAsia="宋体"/>
          <w:color w:val="auto"/>
          <w:sz w:val="28"/>
          <w:szCs w:val="28"/>
        </w:rPr>
      </w:pPr>
      <w:r>
        <w:rPr>
          <w:rFonts w:ascii="Times New Roman" w:hAnsi="Times New Roman" w:eastAsia="宋体"/>
          <w:color w:val="auto"/>
          <w:sz w:val="28"/>
        </w:rPr>
        <w:br w:type="page"/>
      </w:r>
      <w:bookmarkStart w:id="140" w:name="_Toc3544"/>
      <w:bookmarkStart w:id="141" w:name="_Toc130139092"/>
      <w:r>
        <w:rPr>
          <w:rFonts w:ascii="Times New Roman" w:hAnsi="Times New Roman" w:eastAsia="宋体"/>
          <w:color w:val="auto"/>
          <w:sz w:val="28"/>
          <w:szCs w:val="28"/>
        </w:rPr>
        <w:t>格式</w:t>
      </w:r>
      <w:r>
        <w:rPr>
          <w:rFonts w:hint="eastAsia" w:ascii="Times New Roman" w:hAnsi="Times New Roman" w:eastAsia="宋体"/>
          <w:color w:val="auto"/>
          <w:sz w:val="28"/>
          <w:szCs w:val="28"/>
          <w:lang w:val="en-US" w:eastAsia="zh-CN"/>
        </w:rPr>
        <w:t>8</w:t>
      </w:r>
      <w:r>
        <w:rPr>
          <w:rFonts w:ascii="Times New Roman" w:hAnsi="Times New Roman" w:eastAsia="宋体"/>
          <w:color w:val="auto"/>
          <w:sz w:val="28"/>
          <w:szCs w:val="28"/>
        </w:rPr>
        <w:t xml:space="preserve"> 法定代表人授权委托书</w:t>
      </w:r>
      <w:bookmarkEnd w:id="140"/>
      <w:bookmarkEnd w:id="141"/>
    </w:p>
    <w:p>
      <w:pPr>
        <w:rPr>
          <w:color w:val="auto"/>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（国家或地区）</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（投标人名称）</w:t>
      </w:r>
      <w:r>
        <w:rPr>
          <w:rFonts w:hint="eastAsia" w:ascii="宋体" w:hAnsi="宋体" w:eastAsia="宋体" w:cs="宋体"/>
          <w:color w:val="auto"/>
          <w:sz w:val="24"/>
          <w:szCs w:val="24"/>
        </w:rPr>
        <w:t>在下面签字的（法定代表人姓名、职务）代表本公司授权</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的在下面签字的</w:t>
      </w:r>
      <w:r>
        <w:rPr>
          <w:rFonts w:hint="eastAsia" w:ascii="宋体" w:hAnsi="宋体" w:eastAsia="宋体" w:cs="宋体"/>
          <w:color w:val="auto"/>
          <w:sz w:val="24"/>
          <w:szCs w:val="24"/>
          <w:u w:val="single"/>
        </w:rPr>
        <w:t>（授权代表姓名、职务）</w:t>
      </w:r>
      <w:r>
        <w:rPr>
          <w:rFonts w:hint="eastAsia" w:ascii="宋体" w:hAnsi="宋体" w:eastAsia="宋体" w:cs="宋体"/>
          <w:color w:val="auto"/>
          <w:sz w:val="24"/>
          <w:szCs w:val="24"/>
        </w:rPr>
        <w:t>为本公司的合法代理人，就招标编号为“HY</w:t>
      </w:r>
      <w:r>
        <w:rPr>
          <w:rFonts w:hint="eastAsia" w:ascii="宋体" w:hAnsi="宋体" w:cs="宋体"/>
          <w:color w:val="auto"/>
          <w:sz w:val="24"/>
          <w:szCs w:val="24"/>
          <w:lang w:val="en-US" w:eastAsia="zh-CN"/>
        </w:rPr>
        <w:t>ZB</w:t>
      </w:r>
      <w:r>
        <w:rPr>
          <w:rFonts w:hint="eastAsia" w:ascii="宋体" w:hAnsi="宋体" w:eastAsia="宋体" w:cs="宋体"/>
          <w:color w:val="auto"/>
          <w:sz w:val="24"/>
          <w:szCs w:val="24"/>
        </w:rPr>
        <w:t>-2021-</w:t>
      </w:r>
      <w:r>
        <w:rPr>
          <w:rFonts w:hint="eastAsia" w:ascii="宋体" w:hAnsi="宋体" w:cs="宋体"/>
          <w:color w:val="auto"/>
          <w:sz w:val="24"/>
          <w:szCs w:val="24"/>
          <w:lang w:val="en-US" w:eastAsia="zh-CN"/>
        </w:rPr>
        <w:t>XX</w:t>
      </w:r>
      <w:r>
        <w:rPr>
          <w:rFonts w:hint="eastAsia" w:ascii="宋体" w:hAnsi="宋体" w:eastAsia="宋体" w:cs="宋体"/>
          <w:color w:val="auto"/>
          <w:sz w:val="24"/>
          <w:szCs w:val="24"/>
        </w:rPr>
        <w:t>号”</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XXX项目</w:t>
      </w:r>
      <w:r>
        <w:rPr>
          <w:rFonts w:hint="eastAsia" w:ascii="宋体" w:hAnsi="宋体" w:eastAsia="宋体" w:cs="宋体"/>
          <w:color w:val="auto"/>
          <w:sz w:val="24"/>
          <w:szCs w:val="24"/>
          <w:lang w:val="en-US" w:eastAsia="zh-CN"/>
        </w:rPr>
        <w:t>的投标和合同执行，作为投标人代表以本公司的名义处理一切</w:t>
      </w:r>
      <w:r>
        <w:rPr>
          <w:rFonts w:hint="eastAsia" w:ascii="宋体" w:hAnsi="宋体" w:eastAsia="宋体" w:cs="宋体"/>
          <w:color w:val="auto"/>
          <w:sz w:val="24"/>
          <w:szCs w:val="24"/>
        </w:rPr>
        <w:t>与之有关的事宜。</w:t>
      </w:r>
    </w:p>
    <w:p>
      <w:pPr>
        <w:spacing w:line="360" w:lineRule="auto"/>
        <w:ind w:left="2"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单位名称（加盖公章）：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投标代表人（被授权人）签字：</w:t>
      </w:r>
    </w:p>
    <w:p>
      <w:pPr>
        <w:tabs>
          <w:tab w:val="center" w:pos="4535"/>
        </w:tabs>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职务：</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w:t>
            </w:r>
            <w:r>
              <w:rPr>
                <w:rFonts w:hint="eastAsia" w:ascii="宋体" w:hAnsi="宋体" w:eastAsia="宋体" w:cs="宋体"/>
                <w:color w:val="auto"/>
                <w:sz w:val="24"/>
                <w:szCs w:val="24"/>
                <w:lang w:eastAsia="zh-CN"/>
              </w:rPr>
              <w:t>件正面</w:t>
            </w:r>
          </w:p>
        </w:tc>
      </w:tr>
    </w:tbl>
    <w:tbl>
      <w:tblPr>
        <w:tblStyle w:val="20"/>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居民身份证复印件</w:t>
            </w:r>
            <w:r>
              <w:rPr>
                <w:rFonts w:hint="eastAsia" w:ascii="宋体" w:hAnsi="宋体" w:eastAsia="宋体" w:cs="宋体"/>
                <w:color w:val="auto"/>
                <w:sz w:val="24"/>
                <w:szCs w:val="24"/>
                <w:lang w:eastAsia="zh-CN"/>
              </w:rPr>
              <w:t>反面</w:t>
            </w:r>
          </w:p>
        </w:tc>
      </w:tr>
    </w:tbl>
    <w:p>
      <w:pPr>
        <w:tabs>
          <w:tab w:val="center" w:pos="4535"/>
        </w:tabs>
        <w:spacing w:line="360" w:lineRule="auto"/>
        <w:ind w:firstLine="480" w:firstLineChars="200"/>
        <w:rPr>
          <w:rFonts w:hint="eastAsia" w:ascii="宋体" w:hAnsi="宋体" w:eastAsia="宋体" w:cs="宋体"/>
          <w:color w:val="auto"/>
          <w:sz w:val="24"/>
          <w:szCs w:val="24"/>
          <w:lang w:eastAsia="zh-CN"/>
        </w:rPr>
      </w:pPr>
    </w:p>
    <w:p>
      <w:pPr>
        <w:spacing w:line="360" w:lineRule="auto"/>
        <w:ind w:firstLine="480" w:firstLineChars="200"/>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pStyle w:val="19"/>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0"/>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noWrap w:val="0"/>
            <w:vAlign w:val="center"/>
          </w:tcPr>
          <w:p>
            <w:pPr>
              <w:pStyle w:val="33"/>
              <w:ind w:left="105"/>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被授权人（授权代表）</w:t>
            </w:r>
          </w:p>
          <w:p>
            <w:pPr>
              <w:pStyle w:val="33"/>
              <w:ind w:left="10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居民身份证复印件</w:t>
            </w:r>
            <w:r>
              <w:rPr>
                <w:rFonts w:hint="eastAsia" w:ascii="宋体" w:hAnsi="宋体" w:eastAsia="宋体" w:cs="宋体"/>
                <w:color w:val="auto"/>
                <w:sz w:val="24"/>
                <w:szCs w:val="24"/>
                <w:lang w:eastAsia="zh-CN"/>
              </w:rPr>
              <w:t>正面</w:t>
            </w:r>
          </w:p>
        </w:tc>
      </w:tr>
    </w:tbl>
    <w:tbl>
      <w:tblPr>
        <w:tblStyle w:val="20"/>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noWrap w:val="0"/>
            <w:vAlign w:val="center"/>
          </w:tcPr>
          <w:p>
            <w:pPr>
              <w:pStyle w:val="33"/>
              <w:ind w:left="105"/>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被授权人（授权代表）</w:t>
            </w:r>
          </w:p>
          <w:p>
            <w:pPr>
              <w:pStyle w:val="33"/>
              <w:ind w:left="105"/>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居民身份证复印件</w:t>
            </w:r>
            <w:r>
              <w:rPr>
                <w:rFonts w:hint="eastAsia" w:ascii="宋体" w:hAnsi="宋体" w:eastAsia="宋体" w:cs="宋体"/>
                <w:color w:val="auto"/>
                <w:sz w:val="24"/>
                <w:szCs w:val="24"/>
                <w:lang w:eastAsia="zh-CN"/>
              </w:rPr>
              <w:t>反面</w:t>
            </w:r>
          </w:p>
        </w:tc>
      </w:tr>
    </w:tbl>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p>
    <w:p>
      <w:pPr>
        <w:spacing w:line="360" w:lineRule="auto"/>
        <w:rPr>
          <w:b/>
          <w:color w:val="auto"/>
        </w:rPr>
      </w:pPr>
      <w:r>
        <w:rPr>
          <w:b/>
          <w:color w:val="auto"/>
        </w:rPr>
        <w:t>注：此委托书一式两份，一份装订在投标文件正本内，另一份由授权代表携带出席开标会。</w:t>
      </w:r>
    </w:p>
    <w:p>
      <w:pPr>
        <w:pStyle w:val="5"/>
        <w:spacing w:before="0" w:after="0" w:line="360" w:lineRule="auto"/>
        <w:rPr>
          <w:rFonts w:hint="eastAsia" w:ascii="Times New Roman" w:hAnsi="Times New Roman" w:eastAsia="宋体"/>
          <w:color w:val="auto"/>
          <w:sz w:val="28"/>
          <w:szCs w:val="28"/>
        </w:rPr>
      </w:pPr>
      <w:r>
        <w:rPr>
          <w:rFonts w:ascii="Times New Roman" w:hAnsi="Times New Roman" w:eastAsia="宋体"/>
          <w:color w:val="auto"/>
        </w:rPr>
        <w:br w:type="page"/>
      </w:r>
      <w:bookmarkStart w:id="142" w:name="_Toc44"/>
      <w:bookmarkStart w:id="143" w:name="_Toc130139094"/>
      <w:r>
        <w:rPr>
          <w:rFonts w:ascii="Times New Roman" w:hAnsi="Times New Roman" w:eastAsia="宋体"/>
          <w:color w:val="auto"/>
          <w:sz w:val="28"/>
          <w:szCs w:val="28"/>
        </w:rPr>
        <w:t>格式</w:t>
      </w:r>
      <w:r>
        <w:rPr>
          <w:rFonts w:hint="eastAsia" w:ascii="Times New Roman" w:hAnsi="Times New Roman" w:eastAsia="宋体"/>
          <w:color w:val="auto"/>
          <w:sz w:val="28"/>
          <w:szCs w:val="28"/>
          <w:lang w:val="en-US" w:eastAsia="zh-CN"/>
        </w:rPr>
        <w:t>9</w:t>
      </w:r>
      <w:r>
        <w:rPr>
          <w:rFonts w:ascii="Times New Roman" w:hAnsi="Times New Roman" w:eastAsia="宋体"/>
          <w:color w:val="auto"/>
          <w:sz w:val="28"/>
          <w:szCs w:val="28"/>
        </w:rPr>
        <w:t xml:space="preserve"> 拟派本项目负责人及主要人员情况表</w:t>
      </w:r>
      <w:bookmarkEnd w:id="142"/>
    </w:p>
    <w:p>
      <w:pPr>
        <w:rPr>
          <w:rFonts w:hint="eastAsia"/>
          <w:color w:val="auto"/>
        </w:rPr>
      </w:pPr>
    </w:p>
    <w:tbl>
      <w:tblPr>
        <w:tblStyle w:val="2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0" w:type="dxa"/>
            <w:gridSpan w:val="16"/>
            <w:noWrap w:val="0"/>
            <w:vAlign w:val="center"/>
          </w:tcPr>
          <w:p>
            <w:pPr>
              <w:jc w:val="center"/>
              <w:rPr>
                <w:color w:val="auto"/>
                <w:sz w:val="24"/>
              </w:rPr>
            </w:pPr>
            <w:r>
              <w:rPr>
                <w:color w:val="auto"/>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color w:val="auto"/>
                <w:sz w:val="24"/>
              </w:rPr>
            </w:pPr>
            <w:r>
              <w:rPr>
                <w:color w:val="auto"/>
                <w:sz w:val="24"/>
              </w:rPr>
              <w:t>姓名</w:t>
            </w:r>
          </w:p>
        </w:tc>
        <w:tc>
          <w:tcPr>
            <w:tcW w:w="1452" w:type="dxa"/>
            <w:gridSpan w:val="2"/>
            <w:noWrap w:val="0"/>
            <w:vAlign w:val="center"/>
          </w:tcPr>
          <w:p>
            <w:pPr>
              <w:jc w:val="center"/>
              <w:rPr>
                <w:color w:val="auto"/>
                <w:sz w:val="24"/>
              </w:rPr>
            </w:pPr>
          </w:p>
        </w:tc>
        <w:tc>
          <w:tcPr>
            <w:tcW w:w="1325" w:type="dxa"/>
            <w:gridSpan w:val="3"/>
            <w:noWrap w:val="0"/>
            <w:vAlign w:val="center"/>
          </w:tcPr>
          <w:p>
            <w:pPr>
              <w:jc w:val="center"/>
              <w:rPr>
                <w:color w:val="auto"/>
                <w:sz w:val="24"/>
              </w:rPr>
            </w:pPr>
            <w:r>
              <w:rPr>
                <w:color w:val="auto"/>
                <w:sz w:val="24"/>
              </w:rPr>
              <w:t>性别</w:t>
            </w:r>
          </w:p>
        </w:tc>
        <w:tc>
          <w:tcPr>
            <w:tcW w:w="1697" w:type="dxa"/>
            <w:gridSpan w:val="3"/>
            <w:noWrap w:val="0"/>
            <w:vAlign w:val="center"/>
          </w:tcPr>
          <w:p>
            <w:pPr>
              <w:jc w:val="center"/>
              <w:rPr>
                <w:color w:val="auto"/>
                <w:sz w:val="24"/>
              </w:rPr>
            </w:pPr>
          </w:p>
        </w:tc>
        <w:tc>
          <w:tcPr>
            <w:tcW w:w="1797" w:type="dxa"/>
            <w:gridSpan w:val="3"/>
            <w:noWrap w:val="0"/>
            <w:vAlign w:val="center"/>
          </w:tcPr>
          <w:p>
            <w:pPr>
              <w:jc w:val="center"/>
              <w:rPr>
                <w:color w:val="auto"/>
                <w:sz w:val="24"/>
              </w:rPr>
            </w:pPr>
            <w:r>
              <w:rPr>
                <w:color w:val="auto"/>
                <w:sz w:val="24"/>
              </w:rPr>
              <w:t>年龄</w:t>
            </w:r>
          </w:p>
        </w:tc>
        <w:tc>
          <w:tcPr>
            <w:tcW w:w="2000" w:type="dxa"/>
            <w:gridSpan w:val="3"/>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color w:val="auto"/>
                <w:sz w:val="24"/>
              </w:rPr>
            </w:pPr>
            <w:r>
              <w:rPr>
                <w:color w:val="auto"/>
                <w:sz w:val="24"/>
              </w:rPr>
              <w:t>职务</w:t>
            </w:r>
          </w:p>
        </w:tc>
        <w:tc>
          <w:tcPr>
            <w:tcW w:w="1452" w:type="dxa"/>
            <w:gridSpan w:val="2"/>
            <w:noWrap w:val="0"/>
            <w:vAlign w:val="center"/>
          </w:tcPr>
          <w:p>
            <w:pPr>
              <w:jc w:val="center"/>
              <w:rPr>
                <w:color w:val="auto"/>
                <w:sz w:val="24"/>
              </w:rPr>
            </w:pPr>
          </w:p>
        </w:tc>
        <w:tc>
          <w:tcPr>
            <w:tcW w:w="1325" w:type="dxa"/>
            <w:gridSpan w:val="3"/>
            <w:noWrap w:val="0"/>
            <w:vAlign w:val="center"/>
          </w:tcPr>
          <w:p>
            <w:pPr>
              <w:jc w:val="center"/>
              <w:rPr>
                <w:color w:val="auto"/>
                <w:sz w:val="24"/>
              </w:rPr>
            </w:pPr>
            <w:r>
              <w:rPr>
                <w:color w:val="auto"/>
                <w:sz w:val="24"/>
              </w:rPr>
              <w:t>职称</w:t>
            </w:r>
          </w:p>
        </w:tc>
        <w:tc>
          <w:tcPr>
            <w:tcW w:w="1697" w:type="dxa"/>
            <w:gridSpan w:val="3"/>
            <w:noWrap w:val="0"/>
            <w:vAlign w:val="center"/>
          </w:tcPr>
          <w:p>
            <w:pPr>
              <w:jc w:val="center"/>
              <w:rPr>
                <w:color w:val="auto"/>
                <w:sz w:val="24"/>
              </w:rPr>
            </w:pPr>
          </w:p>
        </w:tc>
        <w:tc>
          <w:tcPr>
            <w:tcW w:w="1797" w:type="dxa"/>
            <w:gridSpan w:val="3"/>
            <w:noWrap w:val="0"/>
            <w:vAlign w:val="center"/>
          </w:tcPr>
          <w:p>
            <w:pPr>
              <w:jc w:val="center"/>
              <w:rPr>
                <w:color w:val="auto"/>
                <w:sz w:val="24"/>
              </w:rPr>
            </w:pPr>
            <w:r>
              <w:rPr>
                <w:color w:val="auto"/>
                <w:sz w:val="24"/>
              </w:rPr>
              <w:t>学历</w:t>
            </w:r>
          </w:p>
        </w:tc>
        <w:tc>
          <w:tcPr>
            <w:tcW w:w="2000" w:type="dxa"/>
            <w:gridSpan w:val="3"/>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color w:val="auto"/>
                <w:sz w:val="24"/>
              </w:rPr>
            </w:pPr>
            <w:r>
              <w:rPr>
                <w:color w:val="auto"/>
                <w:sz w:val="24"/>
              </w:rPr>
              <w:t>电话</w:t>
            </w:r>
          </w:p>
        </w:tc>
        <w:tc>
          <w:tcPr>
            <w:tcW w:w="8271" w:type="dxa"/>
            <w:gridSpan w:val="14"/>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noWrap w:val="0"/>
            <w:vAlign w:val="center"/>
          </w:tcPr>
          <w:p>
            <w:pPr>
              <w:jc w:val="center"/>
              <w:rPr>
                <w:color w:val="auto"/>
                <w:sz w:val="24"/>
              </w:rPr>
            </w:pPr>
            <w:r>
              <w:rPr>
                <w:color w:val="auto"/>
                <w:sz w:val="24"/>
              </w:rPr>
              <w:t>参加工作时间</w:t>
            </w:r>
          </w:p>
        </w:tc>
        <w:tc>
          <w:tcPr>
            <w:tcW w:w="1452" w:type="dxa"/>
            <w:gridSpan w:val="2"/>
            <w:noWrap w:val="0"/>
            <w:vAlign w:val="center"/>
          </w:tcPr>
          <w:p>
            <w:pPr>
              <w:jc w:val="center"/>
              <w:rPr>
                <w:color w:val="auto"/>
                <w:sz w:val="24"/>
              </w:rPr>
            </w:pPr>
          </w:p>
        </w:tc>
        <w:tc>
          <w:tcPr>
            <w:tcW w:w="4819" w:type="dxa"/>
            <w:gridSpan w:val="9"/>
            <w:noWrap w:val="0"/>
            <w:vAlign w:val="center"/>
          </w:tcPr>
          <w:p>
            <w:pPr>
              <w:pStyle w:val="34"/>
              <w:widowControl w:val="0"/>
              <w:pBdr>
                <w:bottom w:val="none" w:color="auto" w:sz="0" w:space="0"/>
                <w:right w:val="none" w:color="auto" w:sz="0" w:space="0"/>
              </w:pBdr>
              <w:spacing w:before="0" w:beforeAutospacing="0" w:after="0" w:afterAutospacing="0"/>
              <w:jc w:val="both"/>
              <w:textAlignment w:val="auto"/>
              <w:rPr>
                <w:rFonts w:hint="default" w:ascii="Times New Roman" w:hAnsi="Times New Roman" w:eastAsia="宋体"/>
                <w:color w:val="auto"/>
                <w:kern w:val="2"/>
              </w:rPr>
            </w:pPr>
            <w:r>
              <w:rPr>
                <w:rFonts w:hint="default" w:ascii="Times New Roman" w:hAnsi="Times New Roman" w:eastAsia="宋体"/>
                <w:color w:val="auto"/>
                <w:kern w:val="2"/>
              </w:rPr>
              <w:t>从事</w:t>
            </w:r>
            <w:r>
              <w:rPr>
                <w:rFonts w:hint="default" w:ascii="Times New Roman" w:hAnsi="Times New Roman" w:eastAsia="宋体"/>
                <w:color w:val="auto"/>
              </w:rPr>
              <w:t>同类</w:t>
            </w:r>
            <w:r>
              <w:rPr>
                <w:rFonts w:hint="default" w:ascii="Times New Roman" w:hAnsi="Times New Roman" w:eastAsia="宋体"/>
                <w:color w:val="auto"/>
                <w:kern w:val="2"/>
              </w:rPr>
              <w:t>项目负责人年限</w:t>
            </w:r>
          </w:p>
        </w:tc>
        <w:tc>
          <w:tcPr>
            <w:tcW w:w="2000" w:type="dxa"/>
            <w:gridSpan w:val="3"/>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noWrap w:val="0"/>
            <w:vAlign w:val="center"/>
          </w:tcPr>
          <w:p>
            <w:pPr>
              <w:jc w:val="center"/>
              <w:rPr>
                <w:color w:val="auto"/>
                <w:sz w:val="24"/>
              </w:rPr>
            </w:pPr>
            <w:r>
              <w:rPr>
                <w:color w:val="auto"/>
                <w:sz w:val="24"/>
              </w:rPr>
              <w:t>具有认证资质</w:t>
            </w:r>
          </w:p>
        </w:tc>
        <w:tc>
          <w:tcPr>
            <w:tcW w:w="8271" w:type="dxa"/>
            <w:gridSpan w:val="14"/>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360" w:type="dxa"/>
            <w:gridSpan w:val="16"/>
            <w:noWrap w:val="0"/>
            <w:vAlign w:val="center"/>
          </w:tcPr>
          <w:p>
            <w:pPr>
              <w:jc w:val="center"/>
              <w:rPr>
                <w:color w:val="auto"/>
                <w:sz w:val="24"/>
              </w:rPr>
            </w:pPr>
            <w:r>
              <w:rPr>
                <w:color w:val="auto"/>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noWrap w:val="0"/>
            <w:vAlign w:val="center"/>
          </w:tcPr>
          <w:p>
            <w:pPr>
              <w:jc w:val="center"/>
              <w:rPr>
                <w:color w:val="auto"/>
                <w:sz w:val="24"/>
              </w:rPr>
            </w:pPr>
            <w:r>
              <w:rPr>
                <w:color w:val="auto"/>
                <w:sz w:val="24"/>
              </w:rPr>
              <w:t>项目</w:t>
            </w:r>
          </w:p>
          <w:p>
            <w:pPr>
              <w:jc w:val="center"/>
              <w:rPr>
                <w:color w:val="auto"/>
                <w:sz w:val="24"/>
              </w:rPr>
            </w:pPr>
            <w:r>
              <w:rPr>
                <w:color w:val="auto"/>
                <w:sz w:val="24"/>
              </w:rPr>
              <w:t>单位</w:t>
            </w:r>
          </w:p>
        </w:tc>
        <w:tc>
          <w:tcPr>
            <w:tcW w:w="2183" w:type="dxa"/>
            <w:gridSpan w:val="5"/>
            <w:noWrap w:val="0"/>
            <w:vAlign w:val="center"/>
          </w:tcPr>
          <w:p>
            <w:pPr>
              <w:jc w:val="center"/>
              <w:rPr>
                <w:color w:val="auto"/>
                <w:sz w:val="24"/>
              </w:rPr>
            </w:pPr>
            <w:r>
              <w:rPr>
                <w:color w:val="auto"/>
                <w:sz w:val="24"/>
              </w:rPr>
              <w:t>项目名称</w:t>
            </w:r>
          </w:p>
        </w:tc>
        <w:tc>
          <w:tcPr>
            <w:tcW w:w="2178" w:type="dxa"/>
            <w:gridSpan w:val="3"/>
            <w:noWrap w:val="0"/>
            <w:vAlign w:val="center"/>
          </w:tcPr>
          <w:p>
            <w:pPr>
              <w:jc w:val="center"/>
              <w:rPr>
                <w:color w:val="auto"/>
                <w:sz w:val="24"/>
              </w:rPr>
            </w:pPr>
            <w:r>
              <w:rPr>
                <w:color w:val="auto"/>
                <w:sz w:val="24"/>
              </w:rPr>
              <w:t>主要工作内容</w:t>
            </w:r>
          </w:p>
        </w:tc>
        <w:tc>
          <w:tcPr>
            <w:tcW w:w="1287" w:type="dxa"/>
            <w:gridSpan w:val="2"/>
            <w:noWrap w:val="0"/>
            <w:vAlign w:val="center"/>
          </w:tcPr>
          <w:p>
            <w:pPr>
              <w:jc w:val="center"/>
              <w:rPr>
                <w:color w:val="auto"/>
                <w:sz w:val="24"/>
              </w:rPr>
            </w:pPr>
            <w:r>
              <w:rPr>
                <w:color w:val="auto"/>
                <w:sz w:val="24"/>
              </w:rPr>
              <w:t>项目金额</w:t>
            </w:r>
          </w:p>
        </w:tc>
        <w:tc>
          <w:tcPr>
            <w:tcW w:w="1188" w:type="dxa"/>
            <w:gridSpan w:val="3"/>
            <w:noWrap w:val="0"/>
            <w:vAlign w:val="center"/>
          </w:tcPr>
          <w:p>
            <w:pPr>
              <w:jc w:val="center"/>
              <w:rPr>
                <w:color w:val="auto"/>
                <w:sz w:val="24"/>
              </w:rPr>
            </w:pPr>
            <w:r>
              <w:rPr>
                <w:color w:val="auto"/>
                <w:sz w:val="24"/>
              </w:rPr>
              <w:t>完成日期</w:t>
            </w:r>
          </w:p>
        </w:tc>
        <w:tc>
          <w:tcPr>
            <w:tcW w:w="1506" w:type="dxa"/>
            <w:gridSpan w:val="2"/>
            <w:noWrap w:val="0"/>
            <w:vAlign w:val="center"/>
          </w:tcPr>
          <w:p>
            <w:pPr>
              <w:jc w:val="center"/>
              <w:rPr>
                <w:color w:val="auto"/>
                <w:sz w:val="24"/>
              </w:rPr>
            </w:pPr>
            <w:r>
              <w:rPr>
                <w:color w:val="auto"/>
                <w:sz w:val="24"/>
              </w:rPr>
              <w:t>成果质量</w:t>
            </w:r>
          </w:p>
          <w:p>
            <w:pPr>
              <w:jc w:val="center"/>
              <w:rPr>
                <w:color w:val="auto"/>
                <w:sz w:val="24"/>
              </w:rPr>
            </w:pPr>
            <w:r>
              <w:rPr>
                <w:color w:val="auto"/>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noWrap w:val="0"/>
            <w:vAlign w:val="center"/>
          </w:tcPr>
          <w:p>
            <w:pPr>
              <w:jc w:val="center"/>
              <w:rPr>
                <w:color w:val="auto"/>
                <w:sz w:val="24"/>
              </w:rPr>
            </w:pPr>
            <w:r>
              <w:rPr>
                <w:color w:val="auto"/>
                <w:sz w:val="24"/>
              </w:rPr>
              <w:t>1</w:t>
            </w:r>
          </w:p>
        </w:tc>
        <w:tc>
          <w:tcPr>
            <w:tcW w:w="2183" w:type="dxa"/>
            <w:gridSpan w:val="5"/>
            <w:noWrap w:val="0"/>
            <w:vAlign w:val="center"/>
          </w:tcPr>
          <w:p>
            <w:pPr>
              <w:jc w:val="center"/>
              <w:rPr>
                <w:color w:val="auto"/>
                <w:sz w:val="24"/>
              </w:rPr>
            </w:pPr>
          </w:p>
        </w:tc>
        <w:tc>
          <w:tcPr>
            <w:tcW w:w="2178" w:type="dxa"/>
            <w:gridSpan w:val="3"/>
            <w:noWrap w:val="0"/>
            <w:vAlign w:val="center"/>
          </w:tcPr>
          <w:p>
            <w:pPr>
              <w:jc w:val="center"/>
              <w:rPr>
                <w:color w:val="auto"/>
                <w:sz w:val="24"/>
              </w:rPr>
            </w:pPr>
          </w:p>
        </w:tc>
        <w:tc>
          <w:tcPr>
            <w:tcW w:w="1287" w:type="dxa"/>
            <w:gridSpan w:val="2"/>
            <w:noWrap w:val="0"/>
            <w:vAlign w:val="center"/>
          </w:tcPr>
          <w:p>
            <w:pPr>
              <w:jc w:val="center"/>
              <w:rPr>
                <w:color w:val="auto"/>
                <w:sz w:val="24"/>
              </w:rPr>
            </w:pPr>
          </w:p>
        </w:tc>
        <w:tc>
          <w:tcPr>
            <w:tcW w:w="1188" w:type="dxa"/>
            <w:gridSpan w:val="3"/>
            <w:noWrap w:val="0"/>
            <w:vAlign w:val="center"/>
          </w:tcPr>
          <w:p>
            <w:pPr>
              <w:jc w:val="center"/>
              <w:rPr>
                <w:color w:val="auto"/>
                <w:sz w:val="24"/>
              </w:rPr>
            </w:pPr>
          </w:p>
        </w:tc>
        <w:tc>
          <w:tcPr>
            <w:tcW w:w="1506" w:type="dxa"/>
            <w:gridSpan w:val="2"/>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color w:val="auto"/>
                <w:sz w:val="24"/>
              </w:rPr>
            </w:pPr>
            <w:r>
              <w:rPr>
                <w:color w:val="auto"/>
                <w:sz w:val="24"/>
              </w:rPr>
              <w:t>2</w:t>
            </w:r>
          </w:p>
        </w:tc>
        <w:tc>
          <w:tcPr>
            <w:tcW w:w="2183" w:type="dxa"/>
            <w:gridSpan w:val="5"/>
            <w:noWrap w:val="0"/>
            <w:vAlign w:val="center"/>
          </w:tcPr>
          <w:p>
            <w:pPr>
              <w:jc w:val="center"/>
              <w:rPr>
                <w:color w:val="auto"/>
                <w:sz w:val="24"/>
              </w:rPr>
            </w:pPr>
          </w:p>
        </w:tc>
        <w:tc>
          <w:tcPr>
            <w:tcW w:w="2178" w:type="dxa"/>
            <w:gridSpan w:val="3"/>
            <w:noWrap w:val="0"/>
            <w:vAlign w:val="center"/>
          </w:tcPr>
          <w:p>
            <w:pPr>
              <w:jc w:val="center"/>
              <w:rPr>
                <w:color w:val="auto"/>
                <w:sz w:val="24"/>
              </w:rPr>
            </w:pPr>
          </w:p>
        </w:tc>
        <w:tc>
          <w:tcPr>
            <w:tcW w:w="1287" w:type="dxa"/>
            <w:gridSpan w:val="2"/>
            <w:noWrap w:val="0"/>
            <w:vAlign w:val="center"/>
          </w:tcPr>
          <w:p>
            <w:pPr>
              <w:jc w:val="center"/>
              <w:rPr>
                <w:color w:val="auto"/>
                <w:sz w:val="24"/>
              </w:rPr>
            </w:pPr>
          </w:p>
        </w:tc>
        <w:tc>
          <w:tcPr>
            <w:tcW w:w="1188" w:type="dxa"/>
            <w:gridSpan w:val="3"/>
            <w:noWrap w:val="0"/>
            <w:vAlign w:val="center"/>
          </w:tcPr>
          <w:p>
            <w:pPr>
              <w:jc w:val="center"/>
              <w:rPr>
                <w:color w:val="auto"/>
                <w:sz w:val="24"/>
              </w:rPr>
            </w:pPr>
          </w:p>
        </w:tc>
        <w:tc>
          <w:tcPr>
            <w:tcW w:w="1506" w:type="dxa"/>
            <w:gridSpan w:val="2"/>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color w:val="auto"/>
                <w:sz w:val="24"/>
              </w:rPr>
            </w:pPr>
            <w:r>
              <w:rPr>
                <w:color w:val="auto"/>
                <w:sz w:val="24"/>
              </w:rPr>
              <w:t>…</w:t>
            </w:r>
          </w:p>
        </w:tc>
        <w:tc>
          <w:tcPr>
            <w:tcW w:w="2183" w:type="dxa"/>
            <w:gridSpan w:val="5"/>
            <w:noWrap w:val="0"/>
            <w:vAlign w:val="center"/>
          </w:tcPr>
          <w:p>
            <w:pPr>
              <w:jc w:val="center"/>
              <w:rPr>
                <w:color w:val="auto"/>
                <w:sz w:val="24"/>
              </w:rPr>
            </w:pPr>
            <w:r>
              <w:rPr>
                <w:color w:val="auto"/>
                <w:sz w:val="24"/>
              </w:rPr>
              <w:t>…</w:t>
            </w:r>
          </w:p>
        </w:tc>
        <w:tc>
          <w:tcPr>
            <w:tcW w:w="2178" w:type="dxa"/>
            <w:gridSpan w:val="3"/>
            <w:noWrap w:val="0"/>
            <w:vAlign w:val="center"/>
          </w:tcPr>
          <w:p>
            <w:pPr>
              <w:jc w:val="center"/>
              <w:rPr>
                <w:color w:val="auto"/>
                <w:sz w:val="24"/>
              </w:rPr>
            </w:pPr>
            <w:r>
              <w:rPr>
                <w:color w:val="auto"/>
                <w:sz w:val="24"/>
              </w:rPr>
              <w:t>…</w:t>
            </w:r>
          </w:p>
        </w:tc>
        <w:tc>
          <w:tcPr>
            <w:tcW w:w="1287" w:type="dxa"/>
            <w:gridSpan w:val="2"/>
            <w:noWrap w:val="0"/>
            <w:vAlign w:val="center"/>
          </w:tcPr>
          <w:p>
            <w:pPr>
              <w:jc w:val="center"/>
              <w:rPr>
                <w:color w:val="auto"/>
                <w:sz w:val="24"/>
              </w:rPr>
            </w:pPr>
            <w:r>
              <w:rPr>
                <w:color w:val="auto"/>
                <w:sz w:val="24"/>
              </w:rPr>
              <w:t>…</w:t>
            </w:r>
          </w:p>
        </w:tc>
        <w:tc>
          <w:tcPr>
            <w:tcW w:w="1188" w:type="dxa"/>
            <w:gridSpan w:val="3"/>
            <w:noWrap w:val="0"/>
            <w:vAlign w:val="center"/>
          </w:tcPr>
          <w:p>
            <w:pPr>
              <w:jc w:val="center"/>
              <w:rPr>
                <w:color w:val="auto"/>
                <w:sz w:val="24"/>
              </w:rPr>
            </w:pPr>
            <w:r>
              <w:rPr>
                <w:color w:val="auto"/>
                <w:sz w:val="24"/>
              </w:rPr>
              <w:t>…</w:t>
            </w:r>
          </w:p>
        </w:tc>
        <w:tc>
          <w:tcPr>
            <w:tcW w:w="1506" w:type="dxa"/>
            <w:gridSpan w:val="2"/>
            <w:noWrap w:val="0"/>
            <w:vAlign w:val="center"/>
          </w:tcPr>
          <w:p>
            <w:pPr>
              <w:jc w:val="center"/>
              <w:rPr>
                <w:color w:val="auto"/>
                <w:sz w:val="24"/>
              </w:rPr>
            </w:pP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60" w:type="dxa"/>
            <w:gridSpan w:val="16"/>
            <w:noWrap w:val="0"/>
            <w:vAlign w:val="center"/>
          </w:tcPr>
          <w:p>
            <w:pPr>
              <w:jc w:val="center"/>
              <w:rPr>
                <w:color w:val="auto"/>
                <w:sz w:val="24"/>
              </w:rPr>
            </w:pPr>
            <w:r>
              <w:rPr>
                <w:color w:val="auto"/>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color w:val="auto"/>
                <w:sz w:val="24"/>
              </w:rPr>
            </w:pPr>
            <w:r>
              <w:rPr>
                <w:color w:val="auto"/>
                <w:sz w:val="24"/>
              </w:rPr>
              <w:t>姓名</w:t>
            </w:r>
          </w:p>
        </w:tc>
        <w:tc>
          <w:tcPr>
            <w:tcW w:w="891" w:type="dxa"/>
            <w:noWrap w:val="0"/>
            <w:vAlign w:val="center"/>
          </w:tcPr>
          <w:p>
            <w:pPr>
              <w:jc w:val="center"/>
              <w:rPr>
                <w:color w:val="auto"/>
                <w:sz w:val="24"/>
              </w:rPr>
            </w:pPr>
            <w:r>
              <w:rPr>
                <w:color w:val="auto"/>
                <w:sz w:val="24"/>
              </w:rPr>
              <w:t>性别</w:t>
            </w:r>
          </w:p>
        </w:tc>
        <w:tc>
          <w:tcPr>
            <w:tcW w:w="900" w:type="dxa"/>
            <w:gridSpan w:val="2"/>
            <w:noWrap w:val="0"/>
            <w:vAlign w:val="center"/>
          </w:tcPr>
          <w:p>
            <w:pPr>
              <w:jc w:val="center"/>
              <w:rPr>
                <w:color w:val="auto"/>
                <w:sz w:val="24"/>
              </w:rPr>
            </w:pPr>
            <w:r>
              <w:rPr>
                <w:color w:val="auto"/>
                <w:sz w:val="24"/>
              </w:rPr>
              <w:t>年龄</w:t>
            </w:r>
          </w:p>
        </w:tc>
        <w:tc>
          <w:tcPr>
            <w:tcW w:w="1605" w:type="dxa"/>
            <w:gridSpan w:val="3"/>
            <w:noWrap w:val="0"/>
            <w:vAlign w:val="center"/>
          </w:tcPr>
          <w:p>
            <w:pPr>
              <w:jc w:val="center"/>
              <w:rPr>
                <w:color w:val="auto"/>
                <w:sz w:val="24"/>
              </w:rPr>
            </w:pPr>
            <w:r>
              <w:rPr>
                <w:color w:val="auto"/>
                <w:sz w:val="24"/>
              </w:rPr>
              <w:t>职称</w:t>
            </w:r>
          </w:p>
        </w:tc>
        <w:tc>
          <w:tcPr>
            <w:tcW w:w="1078" w:type="dxa"/>
            <w:gridSpan w:val="2"/>
            <w:noWrap w:val="0"/>
            <w:vAlign w:val="center"/>
          </w:tcPr>
          <w:p>
            <w:pPr>
              <w:jc w:val="center"/>
              <w:rPr>
                <w:color w:val="auto"/>
                <w:sz w:val="24"/>
              </w:rPr>
            </w:pPr>
            <w:r>
              <w:rPr>
                <w:color w:val="auto"/>
                <w:sz w:val="24"/>
              </w:rPr>
              <w:t>专业</w:t>
            </w:r>
          </w:p>
        </w:tc>
        <w:tc>
          <w:tcPr>
            <w:tcW w:w="1277" w:type="dxa"/>
            <w:gridSpan w:val="2"/>
            <w:noWrap w:val="0"/>
            <w:vAlign w:val="center"/>
          </w:tcPr>
          <w:p>
            <w:pPr>
              <w:jc w:val="center"/>
              <w:rPr>
                <w:color w:val="auto"/>
                <w:sz w:val="24"/>
              </w:rPr>
            </w:pPr>
            <w:r>
              <w:rPr>
                <w:color w:val="auto"/>
                <w:sz w:val="24"/>
              </w:rPr>
              <w:t>学历</w:t>
            </w:r>
          </w:p>
        </w:tc>
        <w:tc>
          <w:tcPr>
            <w:tcW w:w="1080" w:type="dxa"/>
            <w:gridSpan w:val="3"/>
            <w:noWrap w:val="0"/>
            <w:vAlign w:val="center"/>
          </w:tcPr>
          <w:p>
            <w:pPr>
              <w:jc w:val="center"/>
              <w:rPr>
                <w:color w:val="auto"/>
                <w:sz w:val="24"/>
              </w:rPr>
            </w:pPr>
            <w:r>
              <w:rPr>
                <w:color w:val="auto"/>
                <w:sz w:val="24"/>
              </w:rPr>
              <w:t>经验年限</w:t>
            </w:r>
          </w:p>
        </w:tc>
        <w:tc>
          <w:tcPr>
            <w:tcW w:w="1440" w:type="dxa"/>
            <w:noWrap w:val="0"/>
            <w:vAlign w:val="center"/>
          </w:tcPr>
          <w:p>
            <w:pPr>
              <w:jc w:val="center"/>
              <w:rPr>
                <w:color w:val="auto"/>
                <w:sz w:val="24"/>
              </w:rPr>
            </w:pPr>
            <w:r>
              <w:rPr>
                <w:color w:val="auto"/>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color w:val="auto"/>
                <w:sz w:val="24"/>
              </w:rPr>
            </w:pPr>
          </w:p>
        </w:tc>
        <w:tc>
          <w:tcPr>
            <w:tcW w:w="891" w:type="dxa"/>
            <w:noWrap w:val="0"/>
            <w:vAlign w:val="center"/>
          </w:tcPr>
          <w:p>
            <w:pPr>
              <w:jc w:val="center"/>
              <w:rPr>
                <w:color w:val="auto"/>
                <w:sz w:val="24"/>
              </w:rPr>
            </w:pPr>
          </w:p>
        </w:tc>
        <w:tc>
          <w:tcPr>
            <w:tcW w:w="900" w:type="dxa"/>
            <w:gridSpan w:val="2"/>
            <w:noWrap w:val="0"/>
            <w:vAlign w:val="center"/>
          </w:tcPr>
          <w:p>
            <w:pPr>
              <w:jc w:val="center"/>
              <w:rPr>
                <w:color w:val="auto"/>
                <w:sz w:val="24"/>
              </w:rPr>
            </w:pPr>
          </w:p>
        </w:tc>
        <w:tc>
          <w:tcPr>
            <w:tcW w:w="1605" w:type="dxa"/>
            <w:gridSpan w:val="3"/>
            <w:noWrap w:val="0"/>
            <w:vAlign w:val="center"/>
          </w:tcPr>
          <w:p>
            <w:pPr>
              <w:jc w:val="center"/>
              <w:rPr>
                <w:color w:val="auto"/>
                <w:sz w:val="24"/>
              </w:rPr>
            </w:pPr>
          </w:p>
        </w:tc>
        <w:tc>
          <w:tcPr>
            <w:tcW w:w="1078" w:type="dxa"/>
            <w:gridSpan w:val="2"/>
            <w:noWrap w:val="0"/>
            <w:vAlign w:val="center"/>
          </w:tcPr>
          <w:p>
            <w:pPr>
              <w:jc w:val="center"/>
              <w:rPr>
                <w:color w:val="auto"/>
                <w:sz w:val="24"/>
              </w:rPr>
            </w:pPr>
          </w:p>
        </w:tc>
        <w:tc>
          <w:tcPr>
            <w:tcW w:w="1277" w:type="dxa"/>
            <w:gridSpan w:val="2"/>
            <w:noWrap w:val="0"/>
            <w:vAlign w:val="center"/>
          </w:tcPr>
          <w:p>
            <w:pPr>
              <w:jc w:val="center"/>
              <w:rPr>
                <w:color w:val="auto"/>
                <w:sz w:val="24"/>
              </w:rPr>
            </w:pPr>
          </w:p>
        </w:tc>
        <w:tc>
          <w:tcPr>
            <w:tcW w:w="1080" w:type="dxa"/>
            <w:gridSpan w:val="3"/>
            <w:noWrap w:val="0"/>
            <w:vAlign w:val="center"/>
          </w:tcPr>
          <w:p>
            <w:pPr>
              <w:jc w:val="center"/>
              <w:rPr>
                <w:color w:val="auto"/>
                <w:sz w:val="24"/>
              </w:rPr>
            </w:pPr>
          </w:p>
        </w:tc>
        <w:tc>
          <w:tcPr>
            <w:tcW w:w="1440" w:type="dxa"/>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color w:val="auto"/>
                <w:sz w:val="24"/>
              </w:rPr>
            </w:pPr>
          </w:p>
        </w:tc>
        <w:tc>
          <w:tcPr>
            <w:tcW w:w="891" w:type="dxa"/>
            <w:noWrap w:val="0"/>
            <w:vAlign w:val="center"/>
          </w:tcPr>
          <w:p>
            <w:pPr>
              <w:jc w:val="center"/>
              <w:rPr>
                <w:color w:val="auto"/>
                <w:sz w:val="24"/>
              </w:rPr>
            </w:pPr>
          </w:p>
        </w:tc>
        <w:tc>
          <w:tcPr>
            <w:tcW w:w="900" w:type="dxa"/>
            <w:gridSpan w:val="2"/>
            <w:noWrap w:val="0"/>
            <w:vAlign w:val="center"/>
          </w:tcPr>
          <w:p>
            <w:pPr>
              <w:jc w:val="center"/>
              <w:rPr>
                <w:color w:val="auto"/>
                <w:sz w:val="24"/>
              </w:rPr>
            </w:pPr>
          </w:p>
        </w:tc>
        <w:tc>
          <w:tcPr>
            <w:tcW w:w="1605" w:type="dxa"/>
            <w:gridSpan w:val="3"/>
            <w:noWrap w:val="0"/>
            <w:vAlign w:val="center"/>
          </w:tcPr>
          <w:p>
            <w:pPr>
              <w:jc w:val="center"/>
              <w:rPr>
                <w:color w:val="auto"/>
                <w:sz w:val="24"/>
              </w:rPr>
            </w:pPr>
          </w:p>
        </w:tc>
        <w:tc>
          <w:tcPr>
            <w:tcW w:w="1078" w:type="dxa"/>
            <w:gridSpan w:val="2"/>
            <w:noWrap w:val="0"/>
            <w:vAlign w:val="center"/>
          </w:tcPr>
          <w:p>
            <w:pPr>
              <w:jc w:val="center"/>
              <w:rPr>
                <w:color w:val="auto"/>
                <w:sz w:val="24"/>
              </w:rPr>
            </w:pPr>
          </w:p>
        </w:tc>
        <w:tc>
          <w:tcPr>
            <w:tcW w:w="1277" w:type="dxa"/>
            <w:gridSpan w:val="2"/>
            <w:noWrap w:val="0"/>
            <w:vAlign w:val="center"/>
          </w:tcPr>
          <w:p>
            <w:pPr>
              <w:jc w:val="center"/>
              <w:rPr>
                <w:color w:val="auto"/>
                <w:sz w:val="24"/>
              </w:rPr>
            </w:pPr>
          </w:p>
        </w:tc>
        <w:tc>
          <w:tcPr>
            <w:tcW w:w="1080" w:type="dxa"/>
            <w:gridSpan w:val="3"/>
            <w:noWrap w:val="0"/>
            <w:vAlign w:val="center"/>
          </w:tcPr>
          <w:p>
            <w:pPr>
              <w:jc w:val="center"/>
              <w:rPr>
                <w:color w:val="auto"/>
                <w:sz w:val="24"/>
              </w:rPr>
            </w:pPr>
          </w:p>
        </w:tc>
        <w:tc>
          <w:tcPr>
            <w:tcW w:w="1440" w:type="dxa"/>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color w:val="auto"/>
                <w:sz w:val="24"/>
              </w:rPr>
            </w:pPr>
            <w:r>
              <w:rPr>
                <w:color w:val="auto"/>
                <w:sz w:val="24"/>
              </w:rPr>
              <w:t>…</w:t>
            </w:r>
          </w:p>
        </w:tc>
        <w:tc>
          <w:tcPr>
            <w:tcW w:w="891" w:type="dxa"/>
            <w:noWrap w:val="0"/>
            <w:vAlign w:val="center"/>
          </w:tcPr>
          <w:p>
            <w:pPr>
              <w:jc w:val="center"/>
              <w:rPr>
                <w:color w:val="auto"/>
                <w:sz w:val="24"/>
              </w:rPr>
            </w:pPr>
            <w:r>
              <w:rPr>
                <w:color w:val="auto"/>
                <w:sz w:val="24"/>
              </w:rPr>
              <w:t>…</w:t>
            </w:r>
          </w:p>
        </w:tc>
        <w:tc>
          <w:tcPr>
            <w:tcW w:w="900" w:type="dxa"/>
            <w:gridSpan w:val="2"/>
            <w:noWrap w:val="0"/>
            <w:vAlign w:val="center"/>
          </w:tcPr>
          <w:p>
            <w:pPr>
              <w:jc w:val="center"/>
              <w:rPr>
                <w:color w:val="auto"/>
                <w:sz w:val="24"/>
              </w:rPr>
            </w:pPr>
            <w:r>
              <w:rPr>
                <w:color w:val="auto"/>
                <w:sz w:val="24"/>
              </w:rPr>
              <w:t>…</w:t>
            </w:r>
          </w:p>
        </w:tc>
        <w:tc>
          <w:tcPr>
            <w:tcW w:w="1605" w:type="dxa"/>
            <w:gridSpan w:val="3"/>
            <w:noWrap w:val="0"/>
            <w:vAlign w:val="center"/>
          </w:tcPr>
          <w:p>
            <w:pPr>
              <w:jc w:val="center"/>
              <w:rPr>
                <w:color w:val="auto"/>
                <w:sz w:val="24"/>
              </w:rPr>
            </w:pPr>
            <w:r>
              <w:rPr>
                <w:color w:val="auto"/>
                <w:sz w:val="24"/>
              </w:rPr>
              <w:t>…</w:t>
            </w:r>
          </w:p>
        </w:tc>
        <w:tc>
          <w:tcPr>
            <w:tcW w:w="1078" w:type="dxa"/>
            <w:gridSpan w:val="2"/>
            <w:noWrap w:val="0"/>
            <w:vAlign w:val="center"/>
          </w:tcPr>
          <w:p>
            <w:pPr>
              <w:jc w:val="center"/>
              <w:rPr>
                <w:color w:val="auto"/>
                <w:sz w:val="24"/>
              </w:rPr>
            </w:pPr>
            <w:r>
              <w:rPr>
                <w:color w:val="auto"/>
                <w:sz w:val="24"/>
              </w:rPr>
              <w:t>…</w:t>
            </w:r>
          </w:p>
        </w:tc>
        <w:tc>
          <w:tcPr>
            <w:tcW w:w="1277" w:type="dxa"/>
            <w:gridSpan w:val="2"/>
            <w:noWrap w:val="0"/>
            <w:vAlign w:val="center"/>
          </w:tcPr>
          <w:p>
            <w:pPr>
              <w:jc w:val="center"/>
              <w:rPr>
                <w:color w:val="auto"/>
                <w:sz w:val="24"/>
              </w:rPr>
            </w:pPr>
            <w:r>
              <w:rPr>
                <w:color w:val="auto"/>
                <w:sz w:val="24"/>
              </w:rPr>
              <w:t>…</w:t>
            </w:r>
          </w:p>
        </w:tc>
        <w:tc>
          <w:tcPr>
            <w:tcW w:w="1080" w:type="dxa"/>
            <w:gridSpan w:val="3"/>
            <w:noWrap w:val="0"/>
            <w:vAlign w:val="center"/>
          </w:tcPr>
          <w:p>
            <w:pPr>
              <w:jc w:val="center"/>
              <w:rPr>
                <w:color w:val="auto"/>
                <w:sz w:val="24"/>
              </w:rPr>
            </w:pPr>
            <w:r>
              <w:rPr>
                <w:color w:val="auto"/>
                <w:sz w:val="24"/>
              </w:rPr>
              <w:t>…</w:t>
            </w:r>
          </w:p>
          <w:p>
            <w:pPr>
              <w:jc w:val="center"/>
              <w:rPr>
                <w:color w:val="auto"/>
                <w:sz w:val="24"/>
              </w:rPr>
            </w:pPr>
            <w:r>
              <w:rPr>
                <w:color w:val="auto"/>
                <w:sz w:val="24"/>
              </w:rPr>
              <w:t>…</w:t>
            </w:r>
          </w:p>
        </w:tc>
        <w:tc>
          <w:tcPr>
            <w:tcW w:w="1440" w:type="dxa"/>
            <w:noWrap w:val="0"/>
            <w:vAlign w:val="center"/>
          </w:tcPr>
          <w:p>
            <w:pPr>
              <w:jc w:val="center"/>
              <w:rPr>
                <w:color w:val="auto"/>
                <w:sz w:val="24"/>
              </w:rPr>
            </w:pPr>
          </w:p>
        </w:tc>
      </w:tr>
    </w:tbl>
    <w:p>
      <w:pPr>
        <w:rPr>
          <w:rFonts w:eastAsia="楷体_GB2312"/>
          <w:color w:val="auto"/>
          <w:sz w:val="24"/>
        </w:rPr>
      </w:pPr>
      <w:r>
        <w:rPr>
          <w:rFonts w:eastAsia="楷体_GB2312"/>
          <w:color w:val="auto"/>
          <w:sz w:val="24"/>
        </w:rPr>
        <w:t>（此表可延长）</w:t>
      </w:r>
    </w:p>
    <w:p>
      <w:pPr>
        <w:pStyle w:val="8"/>
        <w:rPr>
          <w:rFonts w:ascii="Times New Roman"/>
          <w:color w:val="auto"/>
          <w:sz w:val="24"/>
        </w:rPr>
      </w:pPr>
    </w:p>
    <w:p>
      <w:pPr>
        <w:tabs>
          <w:tab w:val="left" w:pos="1050"/>
          <w:tab w:val="left" w:pos="1838"/>
        </w:tabs>
        <w:spacing w:line="360" w:lineRule="auto"/>
        <w:rPr>
          <w:b/>
          <w:color w:val="auto"/>
          <w:sz w:val="22"/>
          <w:szCs w:val="22"/>
        </w:rPr>
      </w:pPr>
      <w:r>
        <w:rPr>
          <w:b/>
          <w:color w:val="auto"/>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b/>
          <w:color w:val="auto"/>
          <w:sz w:val="22"/>
          <w:szCs w:val="22"/>
        </w:rPr>
      </w:pPr>
      <w:r>
        <w:rPr>
          <w:b/>
          <w:color w:val="auto"/>
          <w:sz w:val="22"/>
          <w:szCs w:val="22"/>
        </w:rPr>
        <w:t>2、须出具上述人员在本公司服务的外部证明，如：（如加盖社会保险基金管理中心印章的打印日期在本项目投标截止日之前</w:t>
      </w:r>
      <w:r>
        <w:rPr>
          <w:rFonts w:hint="eastAsia"/>
          <w:b/>
          <w:color w:val="auto"/>
          <w:sz w:val="22"/>
          <w:szCs w:val="22"/>
          <w:lang w:eastAsia="zh-CN"/>
        </w:rPr>
        <w:t>近半年</w:t>
      </w:r>
      <w:r>
        <w:rPr>
          <w:b/>
          <w:color w:val="auto"/>
          <w:sz w:val="22"/>
          <w:szCs w:val="22"/>
        </w:rPr>
        <w:t>以内的《投保单》或《社会保险参保人员证明》，或单位代缴个人所得税税单等）复印件。</w:t>
      </w:r>
    </w:p>
    <w:p>
      <w:pPr>
        <w:ind w:left="3360" w:leftChars="1600" w:firstLine="960" w:firstLineChars="400"/>
        <w:rPr>
          <w:color w:val="auto"/>
          <w:sz w:val="24"/>
        </w:rPr>
      </w:pPr>
    </w:p>
    <w:p>
      <w:pPr>
        <w:ind w:left="3360" w:leftChars="1600" w:firstLine="960" w:firstLineChars="400"/>
        <w:rPr>
          <w:color w:val="auto"/>
          <w:sz w:val="24"/>
        </w:rPr>
      </w:pPr>
    </w:p>
    <w:p>
      <w:pPr>
        <w:spacing w:line="480" w:lineRule="auto"/>
        <w:ind w:firstLine="4303" w:firstLineChars="1793"/>
        <w:rPr>
          <w:bCs/>
          <w:color w:val="auto"/>
          <w:sz w:val="24"/>
        </w:rPr>
      </w:pPr>
      <w:r>
        <w:rPr>
          <w:bCs/>
          <w:color w:val="auto"/>
          <w:sz w:val="24"/>
        </w:rPr>
        <w:t>投标人全称（盖公章）：</w:t>
      </w:r>
    </w:p>
    <w:p>
      <w:pPr>
        <w:spacing w:line="480" w:lineRule="auto"/>
        <w:ind w:firstLine="4303" w:firstLineChars="1793"/>
        <w:rPr>
          <w:bCs/>
          <w:color w:val="auto"/>
          <w:sz w:val="24"/>
        </w:rPr>
      </w:pPr>
      <w:r>
        <w:rPr>
          <w:bCs/>
          <w:color w:val="auto"/>
          <w:sz w:val="24"/>
        </w:rPr>
        <w:t>法定代表人或授权代表（签名或盖章）：</w:t>
      </w:r>
    </w:p>
    <w:p>
      <w:pPr>
        <w:spacing w:line="480" w:lineRule="auto"/>
        <w:ind w:firstLine="4488" w:firstLineChars="2040"/>
        <w:rPr>
          <w:color w:val="auto"/>
          <w:sz w:val="28"/>
          <w:szCs w:val="28"/>
        </w:rPr>
      </w:pPr>
      <w:r>
        <w:rPr>
          <w:color w:val="auto"/>
          <w:sz w:val="22"/>
          <w:szCs w:val="28"/>
        </w:rPr>
        <w:t>日    期：     年   月   日</w:t>
      </w:r>
    </w:p>
    <w:p>
      <w:pPr>
        <w:pStyle w:val="5"/>
        <w:spacing w:before="0" w:after="0" w:line="360" w:lineRule="auto"/>
        <w:rPr>
          <w:rFonts w:ascii="Times New Roman" w:hAnsi="Times New Roman" w:eastAsia="宋体"/>
          <w:color w:val="auto"/>
          <w:sz w:val="28"/>
          <w:szCs w:val="28"/>
        </w:rPr>
      </w:pPr>
      <w:bookmarkStart w:id="144" w:name="_Toc7556"/>
      <w:r>
        <w:rPr>
          <w:rFonts w:ascii="Times New Roman" w:hAnsi="Times New Roman" w:eastAsia="宋体"/>
          <w:color w:val="auto"/>
          <w:sz w:val="28"/>
          <w:szCs w:val="28"/>
        </w:rPr>
        <w:t>格式1</w:t>
      </w:r>
      <w:r>
        <w:rPr>
          <w:rFonts w:hint="eastAsia" w:ascii="Times New Roman" w:hAnsi="Times New Roman" w:eastAsia="宋体"/>
          <w:color w:val="auto"/>
          <w:sz w:val="28"/>
          <w:szCs w:val="28"/>
          <w:lang w:val="en-US" w:eastAsia="zh-CN"/>
        </w:rPr>
        <w:t>0  2019年12月至投标文件递交截止日前</w:t>
      </w:r>
      <w:bookmarkEnd w:id="143"/>
      <w:r>
        <w:rPr>
          <w:rFonts w:hint="eastAsia" w:ascii="Times New Roman" w:hAnsi="Times New Roman" w:eastAsia="宋体"/>
          <w:color w:val="auto"/>
          <w:sz w:val="28"/>
          <w:szCs w:val="28"/>
        </w:rPr>
        <w:t>销售同类产品情况一览表</w:t>
      </w:r>
      <w:bookmarkEnd w:id="144"/>
    </w:p>
    <w:p>
      <w:pPr>
        <w:rPr>
          <w:color w:val="auto"/>
        </w:rPr>
      </w:pPr>
    </w:p>
    <w:p>
      <w:pPr>
        <w:spacing w:line="400" w:lineRule="exact"/>
        <w:rPr>
          <w:rFonts w:hint="default" w:eastAsia="宋体"/>
          <w:color w:val="auto"/>
          <w:sz w:val="24"/>
          <w:lang w:val="en-US" w:eastAsia="zh-CN"/>
        </w:rPr>
      </w:pPr>
      <w:r>
        <w:rPr>
          <w:color w:val="auto"/>
          <w:sz w:val="24"/>
        </w:rPr>
        <w:t>项目名</w:t>
      </w:r>
      <w:r>
        <w:rPr>
          <w:rFonts w:hint="eastAsia" w:eastAsia="宋体"/>
          <w:color w:val="auto"/>
          <w:sz w:val="24"/>
          <w:lang w:eastAsia="zh-CN"/>
        </w:rPr>
        <w:t>称：</w:t>
      </w:r>
      <w:r>
        <w:rPr>
          <w:rFonts w:hint="eastAsia"/>
          <w:color w:val="auto"/>
          <w:sz w:val="24"/>
          <w:u w:val="single"/>
          <w:lang w:val="en-US" w:eastAsia="zh-CN"/>
        </w:rPr>
        <w:t xml:space="preserve">                                     </w:t>
      </w:r>
    </w:p>
    <w:p>
      <w:pPr>
        <w:spacing w:line="400" w:lineRule="exact"/>
        <w:rPr>
          <w:rFonts w:hint="eastAsia" w:eastAsia="宋体"/>
          <w:color w:val="auto"/>
          <w:sz w:val="24"/>
          <w:lang w:eastAsia="zh-CN"/>
        </w:rPr>
      </w:pPr>
      <w:r>
        <w:rPr>
          <w:color w:val="auto"/>
          <w:sz w:val="24"/>
        </w:rPr>
        <w:t>招标编号：</w:t>
      </w:r>
      <w:r>
        <w:rPr>
          <w:rFonts w:hint="eastAsia"/>
          <w:color w:val="auto"/>
          <w:sz w:val="24"/>
          <w:u w:val="single"/>
          <w:lang w:val="en-US" w:eastAsia="zh-CN"/>
        </w:rPr>
        <w:t xml:space="preserve">                                     </w:t>
      </w:r>
    </w:p>
    <w:tbl>
      <w:tblPr>
        <w:tblStyle w:val="20"/>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b/>
                <w:color w:val="auto"/>
                <w:sz w:val="24"/>
              </w:rPr>
            </w:pPr>
            <w:r>
              <w:rPr>
                <w:b/>
                <w:color w:val="auto"/>
                <w:sz w:val="24"/>
              </w:rPr>
              <w:t>序号</w:t>
            </w:r>
          </w:p>
        </w:tc>
        <w:tc>
          <w:tcPr>
            <w:tcW w:w="1421" w:type="dxa"/>
            <w:shd w:val="clear" w:color="auto" w:fill="E0E0E0"/>
            <w:noWrap w:val="0"/>
            <w:vAlign w:val="center"/>
          </w:tcPr>
          <w:p>
            <w:pPr>
              <w:jc w:val="center"/>
              <w:rPr>
                <w:b/>
                <w:color w:val="auto"/>
                <w:sz w:val="24"/>
              </w:rPr>
            </w:pPr>
            <w:r>
              <w:rPr>
                <w:b/>
                <w:color w:val="auto"/>
                <w:sz w:val="24"/>
              </w:rPr>
              <w:t>业主名称</w:t>
            </w:r>
          </w:p>
        </w:tc>
        <w:tc>
          <w:tcPr>
            <w:tcW w:w="1717" w:type="dxa"/>
            <w:shd w:val="clear" w:color="auto" w:fill="E0E0E0"/>
            <w:noWrap w:val="0"/>
            <w:vAlign w:val="center"/>
          </w:tcPr>
          <w:p>
            <w:pPr>
              <w:jc w:val="center"/>
              <w:rPr>
                <w:rFonts w:hint="eastAsia" w:eastAsia="宋体"/>
                <w:b/>
                <w:color w:val="auto"/>
                <w:sz w:val="24"/>
                <w:lang w:eastAsia="zh-CN"/>
              </w:rPr>
            </w:pPr>
            <w:r>
              <w:rPr>
                <w:rFonts w:hint="eastAsia"/>
                <w:b/>
                <w:color w:val="auto"/>
                <w:sz w:val="24"/>
                <w:lang w:eastAsia="zh-CN"/>
              </w:rPr>
              <w:t>服务</w:t>
            </w:r>
            <w:r>
              <w:rPr>
                <w:rFonts w:hint="eastAsia"/>
                <w:b/>
                <w:color w:val="auto"/>
                <w:sz w:val="24"/>
                <w:lang w:val="en-US" w:eastAsia="zh-CN"/>
              </w:rPr>
              <w:t>内容</w:t>
            </w:r>
          </w:p>
        </w:tc>
        <w:tc>
          <w:tcPr>
            <w:tcW w:w="1699" w:type="dxa"/>
            <w:shd w:val="clear" w:color="auto" w:fill="E0E0E0"/>
            <w:noWrap w:val="0"/>
            <w:vAlign w:val="center"/>
          </w:tcPr>
          <w:p>
            <w:pPr>
              <w:jc w:val="center"/>
              <w:rPr>
                <w:b/>
                <w:color w:val="auto"/>
                <w:sz w:val="24"/>
              </w:rPr>
            </w:pPr>
            <w:r>
              <w:rPr>
                <w:b/>
                <w:color w:val="auto"/>
                <w:sz w:val="24"/>
              </w:rPr>
              <w:t>合同总价</w:t>
            </w:r>
          </w:p>
        </w:tc>
        <w:tc>
          <w:tcPr>
            <w:tcW w:w="1678" w:type="dxa"/>
            <w:shd w:val="clear" w:color="auto" w:fill="E0E0E0"/>
            <w:noWrap w:val="0"/>
            <w:vAlign w:val="center"/>
          </w:tcPr>
          <w:p>
            <w:pPr>
              <w:jc w:val="center"/>
              <w:rPr>
                <w:b/>
                <w:color w:val="auto"/>
                <w:sz w:val="24"/>
              </w:rPr>
            </w:pPr>
            <w:r>
              <w:rPr>
                <w:b/>
                <w:color w:val="auto"/>
                <w:sz w:val="24"/>
              </w:rPr>
              <w:t>完成时间</w:t>
            </w:r>
          </w:p>
        </w:tc>
        <w:tc>
          <w:tcPr>
            <w:tcW w:w="1699" w:type="dxa"/>
            <w:shd w:val="clear" w:color="auto" w:fill="E0E0E0"/>
            <w:noWrap w:val="0"/>
            <w:vAlign w:val="center"/>
          </w:tcPr>
          <w:p>
            <w:pPr>
              <w:jc w:val="center"/>
              <w:rPr>
                <w:b/>
                <w:color w:val="auto"/>
                <w:sz w:val="24"/>
              </w:rPr>
            </w:pPr>
            <w:r>
              <w:rPr>
                <w:b/>
                <w:color w:val="auto"/>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pStyle w:val="32"/>
              <w:keepNext w:val="0"/>
              <w:adjustRightInd/>
              <w:spacing w:before="0" w:after="0" w:line="480" w:lineRule="auto"/>
              <w:textAlignment w:val="auto"/>
              <w:rPr>
                <w:snapToGrid/>
                <w:color w:val="auto"/>
                <w:spacing w:val="0"/>
                <w:kern w:val="2"/>
                <w:szCs w:val="24"/>
                <w:lang w:val="en-US" w:eastAsia="zh-CN"/>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color w:val="auto"/>
                <w:sz w:val="24"/>
              </w:rPr>
            </w:pPr>
          </w:p>
        </w:tc>
        <w:tc>
          <w:tcPr>
            <w:tcW w:w="1421" w:type="dxa"/>
            <w:noWrap w:val="0"/>
            <w:vAlign w:val="center"/>
          </w:tcPr>
          <w:p>
            <w:pPr>
              <w:spacing w:line="480" w:lineRule="auto"/>
              <w:jc w:val="center"/>
              <w:rPr>
                <w:color w:val="auto"/>
                <w:sz w:val="24"/>
              </w:rPr>
            </w:pPr>
          </w:p>
        </w:tc>
        <w:tc>
          <w:tcPr>
            <w:tcW w:w="1717"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c>
          <w:tcPr>
            <w:tcW w:w="1678" w:type="dxa"/>
            <w:noWrap w:val="0"/>
            <w:vAlign w:val="center"/>
          </w:tcPr>
          <w:p>
            <w:pPr>
              <w:spacing w:line="480" w:lineRule="auto"/>
              <w:jc w:val="center"/>
              <w:rPr>
                <w:color w:val="auto"/>
                <w:sz w:val="24"/>
              </w:rPr>
            </w:pPr>
          </w:p>
        </w:tc>
        <w:tc>
          <w:tcPr>
            <w:tcW w:w="1699" w:type="dxa"/>
            <w:noWrap w:val="0"/>
            <w:vAlign w:val="center"/>
          </w:tcPr>
          <w:p>
            <w:pPr>
              <w:spacing w:line="480" w:lineRule="auto"/>
              <w:jc w:val="center"/>
              <w:rPr>
                <w:color w:val="auto"/>
                <w:sz w:val="24"/>
              </w:rPr>
            </w:pPr>
          </w:p>
        </w:tc>
      </w:tr>
    </w:tbl>
    <w:p>
      <w:pPr>
        <w:spacing w:line="360" w:lineRule="auto"/>
        <w:rPr>
          <w:color w:val="auto"/>
          <w:sz w:val="24"/>
        </w:rPr>
      </w:pPr>
    </w:p>
    <w:p>
      <w:pPr>
        <w:spacing w:line="480" w:lineRule="auto"/>
        <w:rPr>
          <w:bCs/>
          <w:color w:val="auto"/>
          <w:sz w:val="24"/>
        </w:rPr>
      </w:pPr>
      <w:r>
        <w:rPr>
          <w:bCs/>
          <w:color w:val="auto"/>
          <w:sz w:val="24"/>
        </w:rPr>
        <w:t>投标人全称（盖公章）：</w:t>
      </w:r>
    </w:p>
    <w:p>
      <w:pPr>
        <w:spacing w:line="480" w:lineRule="auto"/>
        <w:rPr>
          <w:bCs/>
          <w:color w:val="auto"/>
          <w:sz w:val="24"/>
        </w:rPr>
      </w:pPr>
      <w:r>
        <w:rPr>
          <w:bCs/>
          <w:color w:val="auto"/>
          <w:sz w:val="24"/>
        </w:rPr>
        <w:t>法定代表人或授权代表（签名或盖章）：</w:t>
      </w:r>
    </w:p>
    <w:p>
      <w:pPr>
        <w:spacing w:line="480" w:lineRule="auto"/>
        <w:rPr>
          <w:color w:val="auto"/>
          <w:sz w:val="24"/>
        </w:rPr>
      </w:pPr>
      <w:r>
        <w:rPr>
          <w:bCs/>
          <w:color w:val="auto"/>
          <w:sz w:val="24"/>
        </w:rPr>
        <w:t>日    期：     年   月   日</w:t>
      </w:r>
    </w:p>
    <w:p>
      <w:pPr>
        <w:spacing w:line="360" w:lineRule="auto"/>
        <w:rPr>
          <w:color w:val="auto"/>
          <w:sz w:val="24"/>
        </w:rPr>
      </w:pPr>
    </w:p>
    <w:p>
      <w:pPr>
        <w:spacing w:line="360" w:lineRule="auto"/>
        <w:rPr>
          <w:b/>
          <w:color w:val="auto"/>
          <w:sz w:val="28"/>
          <w:szCs w:val="28"/>
        </w:rPr>
      </w:pPr>
      <w:r>
        <w:rPr>
          <w:b/>
          <w:color w:val="auto"/>
          <w:sz w:val="22"/>
          <w:szCs w:val="28"/>
        </w:rPr>
        <w:t>注：请附上相关合同</w:t>
      </w:r>
      <w:r>
        <w:rPr>
          <w:rFonts w:hint="eastAsia"/>
          <w:b/>
          <w:color w:val="auto"/>
          <w:sz w:val="22"/>
          <w:szCs w:val="28"/>
          <w:lang w:eastAsia="zh-CN"/>
        </w:rPr>
        <w:t>或中标通知书</w:t>
      </w:r>
      <w:r>
        <w:rPr>
          <w:b/>
          <w:color w:val="auto"/>
          <w:sz w:val="22"/>
          <w:szCs w:val="28"/>
        </w:rPr>
        <w:t>等复印件，否则该项业绩视为无效。</w:t>
      </w:r>
    </w:p>
    <w:p>
      <w:pPr>
        <w:rPr>
          <w:color w:val="auto"/>
        </w:rPr>
      </w:pPr>
    </w:p>
    <w:p>
      <w:pPr>
        <w:pStyle w:val="5"/>
        <w:spacing w:before="0" w:after="0" w:line="360" w:lineRule="auto"/>
        <w:rPr>
          <w:rFonts w:ascii="宋体" w:hAnsi="宋体" w:eastAsia="宋体"/>
          <w:color w:val="auto"/>
          <w:sz w:val="28"/>
          <w:szCs w:val="28"/>
        </w:rPr>
      </w:pPr>
      <w:r>
        <w:rPr>
          <w:rFonts w:ascii="Times New Roman" w:hAnsi="Times New Roman"/>
          <w:color w:val="auto"/>
        </w:rPr>
        <w:br w:type="page"/>
      </w:r>
      <w:bookmarkStart w:id="145" w:name="_Toc25141"/>
      <w:bookmarkStart w:id="146" w:name="_Toc130139095"/>
      <w:r>
        <w:rPr>
          <w:rFonts w:ascii="宋体" w:hAnsi="宋体" w:eastAsia="宋体"/>
          <w:color w:val="auto"/>
          <w:sz w:val="28"/>
          <w:szCs w:val="28"/>
        </w:rPr>
        <w:t>格式1</w:t>
      </w:r>
      <w:bookmarkStart w:id="147" w:name="_Toc170699953"/>
      <w:bookmarkStart w:id="148" w:name="_Toc271888140"/>
      <w:r>
        <w:rPr>
          <w:rFonts w:hint="eastAsia" w:ascii="宋体" w:hAnsi="宋体" w:eastAsia="宋体"/>
          <w:color w:val="auto"/>
          <w:sz w:val="28"/>
          <w:szCs w:val="28"/>
          <w:lang w:val="en-US" w:eastAsia="zh-CN"/>
        </w:rPr>
        <w:t>1</w:t>
      </w:r>
      <w:r>
        <w:rPr>
          <w:rFonts w:hint="eastAsia" w:ascii="宋体" w:hAnsi="宋体" w:eastAsia="宋体"/>
          <w:color w:val="auto"/>
          <w:sz w:val="28"/>
          <w:szCs w:val="28"/>
        </w:rPr>
        <w:t>投标服务方案</w:t>
      </w:r>
      <w:bookmarkEnd w:id="145"/>
    </w:p>
    <w:p>
      <w:pPr>
        <w:spacing w:line="520" w:lineRule="exact"/>
        <w:rPr>
          <w:rFonts w:hint="eastAsia" w:ascii="宋体" w:hAnsi="宋体"/>
          <w:b/>
          <w:color w:val="auto"/>
          <w:sz w:val="24"/>
        </w:rPr>
      </w:pPr>
    </w:p>
    <w:p>
      <w:pPr>
        <w:spacing w:line="520" w:lineRule="exact"/>
        <w:rPr>
          <w:rFonts w:hint="eastAsia" w:ascii="宋体" w:hAnsi="宋体"/>
          <w:b/>
          <w:color w:val="auto"/>
          <w:sz w:val="24"/>
        </w:rPr>
      </w:pPr>
      <w:r>
        <w:rPr>
          <w:rFonts w:hint="eastAsia" w:ascii="宋体" w:hAnsi="宋体"/>
          <w:b/>
          <w:color w:val="auto"/>
          <w:sz w:val="24"/>
        </w:rPr>
        <w:t>主要内容应包括但不限于以下内容（格式自定）：</w:t>
      </w:r>
    </w:p>
    <w:bookmarkEnd w:id="146"/>
    <w:bookmarkEnd w:id="147"/>
    <w:bookmarkEnd w:id="148"/>
    <w:p>
      <w:pPr>
        <w:tabs>
          <w:tab w:val="left" w:pos="630"/>
        </w:tabs>
        <w:spacing w:line="360" w:lineRule="auto"/>
        <w:ind w:left="315" w:leftChars="150"/>
        <w:rPr>
          <w:rFonts w:hint="eastAsia"/>
          <w:color w:val="auto"/>
          <w:sz w:val="24"/>
        </w:rPr>
      </w:pPr>
      <w:r>
        <w:rPr>
          <w:rFonts w:hint="eastAsia"/>
          <w:color w:val="auto"/>
          <w:sz w:val="24"/>
        </w:rPr>
        <w:t>(1) 项目实施方案、技术方案或服务方案；</w:t>
      </w:r>
    </w:p>
    <w:p>
      <w:pPr>
        <w:tabs>
          <w:tab w:val="left" w:pos="630"/>
        </w:tabs>
        <w:spacing w:line="360" w:lineRule="auto"/>
        <w:ind w:left="315" w:leftChars="150"/>
        <w:rPr>
          <w:rFonts w:hint="eastAsia"/>
          <w:color w:val="auto"/>
          <w:sz w:val="24"/>
        </w:rPr>
      </w:pPr>
      <w:r>
        <w:rPr>
          <w:rFonts w:hint="eastAsia"/>
          <w:color w:val="auto"/>
          <w:sz w:val="24"/>
        </w:rPr>
        <w:t>(2) 投标供应商必须提供投标设备的详细配置及参数说明；</w:t>
      </w:r>
    </w:p>
    <w:p>
      <w:pPr>
        <w:tabs>
          <w:tab w:val="left" w:pos="630"/>
        </w:tabs>
        <w:spacing w:line="360" w:lineRule="auto"/>
        <w:ind w:left="315" w:leftChars="150"/>
        <w:rPr>
          <w:rFonts w:hint="eastAsia"/>
          <w:color w:val="auto"/>
          <w:sz w:val="24"/>
        </w:rPr>
      </w:pPr>
      <w:r>
        <w:rPr>
          <w:rFonts w:hint="eastAsia"/>
          <w:color w:val="auto"/>
          <w:sz w:val="24"/>
        </w:rPr>
        <w:t>(3) 质量保证措施；</w:t>
      </w:r>
    </w:p>
    <w:p>
      <w:pPr>
        <w:tabs>
          <w:tab w:val="left" w:pos="630"/>
        </w:tabs>
        <w:spacing w:line="360" w:lineRule="auto"/>
        <w:ind w:left="315" w:leftChars="150"/>
        <w:rPr>
          <w:rFonts w:hint="eastAsia"/>
          <w:color w:val="auto"/>
          <w:sz w:val="24"/>
        </w:rPr>
      </w:pPr>
      <w:r>
        <w:rPr>
          <w:rFonts w:hint="eastAsia"/>
          <w:color w:val="auto"/>
          <w:sz w:val="24"/>
        </w:rPr>
        <w:t>(4) 针对本项目执行进度计划；</w:t>
      </w:r>
    </w:p>
    <w:p>
      <w:pPr>
        <w:tabs>
          <w:tab w:val="left" w:pos="630"/>
        </w:tabs>
        <w:spacing w:line="360" w:lineRule="auto"/>
        <w:ind w:left="315" w:leftChars="150"/>
        <w:rPr>
          <w:rFonts w:hint="eastAsia"/>
          <w:color w:val="auto"/>
          <w:sz w:val="24"/>
        </w:rPr>
      </w:pPr>
      <w:r>
        <w:rPr>
          <w:rFonts w:hint="eastAsia"/>
          <w:color w:val="auto"/>
          <w:sz w:val="24"/>
        </w:rPr>
        <w:t>(5) 技术服务偏离表；</w:t>
      </w:r>
    </w:p>
    <w:p>
      <w:pPr>
        <w:tabs>
          <w:tab w:val="left" w:pos="630"/>
        </w:tabs>
        <w:spacing w:line="360" w:lineRule="auto"/>
        <w:ind w:left="315" w:leftChars="150"/>
        <w:rPr>
          <w:color w:val="auto"/>
          <w:sz w:val="24"/>
        </w:rPr>
      </w:pPr>
      <w:r>
        <w:rPr>
          <w:rFonts w:hint="eastAsia"/>
          <w:color w:val="auto"/>
          <w:sz w:val="24"/>
        </w:rPr>
        <w:t>(7) 投标人售后服务方案；</w:t>
      </w:r>
    </w:p>
    <w:p>
      <w:pPr>
        <w:pStyle w:val="5"/>
        <w:spacing w:before="0" w:after="0" w:line="360" w:lineRule="auto"/>
        <w:rPr>
          <w:rFonts w:ascii="Times New Roman" w:hAnsi="Times New Roman"/>
          <w:color w:val="auto"/>
        </w:rPr>
      </w:pPr>
      <w:bookmarkStart w:id="149" w:name="_Toc130139097"/>
      <w:r>
        <w:rPr>
          <w:rFonts w:ascii="Times New Roman" w:hAnsi="Times New Roman" w:eastAsia="宋体"/>
          <w:color w:val="auto"/>
          <w:sz w:val="24"/>
        </w:rPr>
        <w:br w:type="page"/>
      </w:r>
      <w:bookmarkEnd w:id="149"/>
      <w:bookmarkStart w:id="150" w:name="_Toc243976061"/>
      <w:bookmarkStart w:id="151" w:name="_Toc32597"/>
      <w:bookmarkStart w:id="152" w:name="_Toc226860618"/>
      <w:r>
        <w:rPr>
          <w:rFonts w:ascii="Times New Roman" w:hAnsi="Times New Roman" w:eastAsia="宋体"/>
          <w:color w:val="auto"/>
          <w:sz w:val="28"/>
          <w:szCs w:val="28"/>
        </w:rPr>
        <w:t>格式1</w:t>
      </w:r>
      <w:r>
        <w:rPr>
          <w:rFonts w:hint="eastAsia" w:ascii="Times New Roman" w:hAnsi="Times New Roman" w:eastAsia="宋体"/>
          <w:color w:val="auto"/>
          <w:sz w:val="28"/>
          <w:szCs w:val="28"/>
          <w:lang w:val="en-US" w:eastAsia="zh-CN"/>
        </w:rPr>
        <w:t>2</w:t>
      </w:r>
      <w:r>
        <w:rPr>
          <w:rFonts w:ascii="Times New Roman" w:hAnsi="Times New Roman" w:eastAsia="宋体"/>
          <w:color w:val="auto"/>
          <w:sz w:val="28"/>
          <w:szCs w:val="28"/>
        </w:rPr>
        <w:t>投标人资格声明函</w:t>
      </w:r>
      <w:bookmarkEnd w:id="150"/>
      <w:bookmarkEnd w:id="151"/>
    </w:p>
    <w:p>
      <w:pPr>
        <w:jc w:val="center"/>
        <w:rPr>
          <w:b/>
          <w:color w:val="auto"/>
          <w:sz w:val="24"/>
        </w:rPr>
      </w:pPr>
    </w:p>
    <w:p>
      <w:pPr>
        <w:jc w:val="center"/>
        <w:rPr>
          <w:b/>
          <w:color w:val="auto"/>
          <w:sz w:val="28"/>
          <w:szCs w:val="28"/>
          <w:highlight w:val="none"/>
        </w:rPr>
      </w:pPr>
      <w:r>
        <w:rPr>
          <w:b/>
          <w:color w:val="auto"/>
          <w:sz w:val="28"/>
          <w:szCs w:val="28"/>
          <w:highlight w:val="none"/>
        </w:rPr>
        <w:t>投标人资格声明函</w:t>
      </w:r>
      <w:bookmarkEnd w:id="152"/>
    </w:p>
    <w:p>
      <w:pPr>
        <w:jc w:val="center"/>
        <w:rPr>
          <w:color w:val="auto"/>
        </w:rPr>
      </w:pPr>
    </w:p>
    <w:p>
      <w:pPr>
        <w:rPr>
          <w:color w:val="auto"/>
          <w:sz w:val="24"/>
        </w:rPr>
      </w:pPr>
      <w:r>
        <w:rPr>
          <w:rFonts w:hint="eastAsia"/>
          <w:color w:val="auto"/>
          <w:sz w:val="24"/>
          <w:lang w:eastAsia="zh-CN"/>
        </w:rPr>
        <w:t>新疆华域建设工程项目管理咨询有限公司</w:t>
      </w:r>
      <w:r>
        <w:rPr>
          <w:rFonts w:hint="eastAsia"/>
          <w:color w:val="auto"/>
          <w:sz w:val="24"/>
        </w:rPr>
        <w:t xml:space="preserve"> </w:t>
      </w:r>
      <w:r>
        <w:rPr>
          <w:color w:val="auto"/>
          <w:sz w:val="24"/>
        </w:rPr>
        <w:t>：</w:t>
      </w:r>
    </w:p>
    <w:p>
      <w:pPr>
        <w:rPr>
          <w:color w:val="auto"/>
          <w:sz w:val="24"/>
        </w:rPr>
      </w:pPr>
    </w:p>
    <w:p>
      <w:pPr>
        <w:snapToGrid w:val="0"/>
        <w:spacing w:before="120" w:beforeLines="50" w:line="360" w:lineRule="auto"/>
        <w:ind w:firstLine="600" w:firstLineChars="250"/>
        <w:rPr>
          <w:color w:val="auto"/>
          <w:sz w:val="24"/>
        </w:rPr>
      </w:pPr>
      <w:r>
        <w:rPr>
          <w:color w:val="auto"/>
          <w:sz w:val="24"/>
        </w:rPr>
        <w:t>关于贵公司</w:t>
      </w:r>
      <w:r>
        <w:rPr>
          <w:color w:val="auto"/>
          <w:sz w:val="24"/>
          <w:u w:val="single"/>
        </w:rPr>
        <w:t>　　　</w:t>
      </w:r>
      <w:r>
        <w:rPr>
          <w:color w:val="auto"/>
          <w:sz w:val="24"/>
        </w:rPr>
        <w:t>年</w:t>
      </w:r>
      <w:r>
        <w:rPr>
          <w:color w:val="auto"/>
          <w:sz w:val="24"/>
          <w:u w:val="single"/>
        </w:rPr>
        <w:t>　　</w:t>
      </w:r>
      <w:r>
        <w:rPr>
          <w:color w:val="auto"/>
          <w:sz w:val="24"/>
        </w:rPr>
        <w:t>月</w:t>
      </w:r>
      <w:r>
        <w:rPr>
          <w:color w:val="auto"/>
          <w:sz w:val="24"/>
          <w:u w:val="single"/>
        </w:rPr>
        <w:t>　　</w:t>
      </w:r>
      <w:r>
        <w:rPr>
          <w:color w:val="auto"/>
          <w:sz w:val="24"/>
        </w:rPr>
        <w:t>日发</w:t>
      </w:r>
      <w:r>
        <w:rPr>
          <w:color w:val="auto"/>
          <w:sz w:val="24"/>
          <w:highlight w:val="none"/>
        </w:rPr>
        <w:t>布</w:t>
      </w:r>
      <w:r>
        <w:rPr>
          <w:rFonts w:hint="eastAsia"/>
          <w:color w:val="auto"/>
          <w:sz w:val="24"/>
          <w:highlight w:val="none"/>
          <w:u w:val="single"/>
          <w:lang w:val="en-US" w:eastAsia="zh-CN"/>
        </w:rPr>
        <w:t>XXXX项目</w:t>
      </w:r>
      <w:r>
        <w:rPr>
          <w:color w:val="auto"/>
          <w:sz w:val="24"/>
          <w:highlight w:val="none"/>
        </w:rPr>
        <w:t>（招标编号</w:t>
      </w:r>
      <w:r>
        <w:rPr>
          <w:color w:val="auto"/>
          <w:sz w:val="24"/>
        </w:rPr>
        <w:t>：</w:t>
      </w:r>
      <w:r>
        <w:rPr>
          <w:rFonts w:hint="eastAsia"/>
          <w:color w:val="auto"/>
          <w:sz w:val="24"/>
        </w:rPr>
        <w:t>HY</w:t>
      </w:r>
      <w:r>
        <w:rPr>
          <w:rFonts w:hint="eastAsia"/>
          <w:color w:val="auto"/>
          <w:sz w:val="24"/>
          <w:lang w:val="en-US" w:eastAsia="zh-CN"/>
        </w:rPr>
        <w:t>ZB</w:t>
      </w:r>
      <w:r>
        <w:rPr>
          <w:rFonts w:hint="eastAsia"/>
          <w:color w:val="auto"/>
          <w:sz w:val="24"/>
        </w:rPr>
        <w:t>-2021-</w:t>
      </w:r>
      <w:r>
        <w:rPr>
          <w:rFonts w:hint="eastAsia"/>
          <w:color w:val="auto"/>
          <w:sz w:val="24"/>
          <w:lang w:val="en-US" w:eastAsia="zh-CN"/>
        </w:rPr>
        <w:t>XXX</w:t>
      </w:r>
      <w:r>
        <w:rPr>
          <w:rFonts w:hint="eastAsia"/>
          <w:color w:val="auto"/>
          <w:sz w:val="24"/>
        </w:rPr>
        <w:t>号</w:t>
      </w:r>
      <w:r>
        <w:rPr>
          <w:color w:val="auto"/>
          <w:sz w:val="24"/>
          <w:highlight w:val="none"/>
        </w:rPr>
        <w:t>）的采购公</w:t>
      </w:r>
      <w:r>
        <w:rPr>
          <w:color w:val="auto"/>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color w:val="auto"/>
          <w:sz w:val="24"/>
          <w:lang w:eastAsia="zh-CN"/>
        </w:rPr>
        <w:t>磋商</w:t>
      </w:r>
      <w:r>
        <w:rPr>
          <w:color w:val="auto"/>
          <w:sz w:val="24"/>
        </w:rPr>
        <w:t>文件的要求及有关文件规定。并承诺在本次招标采购活动中，如有违法、违规、弄虚作假行为，所造成的损失、不良后果及法律责任，一律由我公司（企业）承担。</w:t>
      </w:r>
    </w:p>
    <w:p>
      <w:pPr>
        <w:spacing w:line="360" w:lineRule="auto"/>
        <w:ind w:firstLine="420"/>
        <w:rPr>
          <w:color w:val="auto"/>
          <w:sz w:val="24"/>
        </w:rPr>
      </w:pPr>
    </w:p>
    <w:p>
      <w:pPr>
        <w:spacing w:line="360" w:lineRule="auto"/>
        <w:ind w:firstLine="420"/>
        <w:rPr>
          <w:color w:val="auto"/>
          <w:sz w:val="24"/>
        </w:rPr>
      </w:pPr>
    </w:p>
    <w:p>
      <w:pPr>
        <w:spacing w:line="360" w:lineRule="auto"/>
        <w:ind w:firstLine="420"/>
        <w:rPr>
          <w:color w:val="auto"/>
          <w:sz w:val="24"/>
        </w:rPr>
      </w:pPr>
      <w:r>
        <w:rPr>
          <w:color w:val="auto"/>
          <w:sz w:val="24"/>
        </w:rPr>
        <w:t>特此声明！</w:t>
      </w:r>
    </w:p>
    <w:p>
      <w:pPr>
        <w:spacing w:line="360" w:lineRule="auto"/>
        <w:ind w:firstLine="420"/>
        <w:rPr>
          <w:color w:val="auto"/>
          <w:sz w:val="24"/>
        </w:rPr>
      </w:pPr>
    </w:p>
    <w:p>
      <w:pPr>
        <w:spacing w:line="360" w:lineRule="auto"/>
        <w:ind w:firstLine="420"/>
        <w:rPr>
          <w:color w:val="auto"/>
          <w:sz w:val="24"/>
        </w:rPr>
      </w:pPr>
    </w:p>
    <w:p>
      <w:pPr>
        <w:spacing w:line="480" w:lineRule="auto"/>
        <w:ind w:firstLine="420"/>
        <w:rPr>
          <w:color w:val="auto"/>
          <w:sz w:val="24"/>
        </w:rPr>
      </w:pPr>
      <w:r>
        <w:rPr>
          <w:color w:val="auto"/>
          <w:sz w:val="24"/>
        </w:rPr>
        <w:t>单位名称：　　　　　　　　　　　　　　　　　　公司（企业）法定代表人签字：</w:t>
      </w:r>
    </w:p>
    <w:p>
      <w:pPr>
        <w:spacing w:line="480" w:lineRule="auto"/>
        <w:ind w:firstLine="420"/>
        <w:rPr>
          <w:color w:val="auto"/>
          <w:sz w:val="24"/>
        </w:rPr>
      </w:pPr>
      <w:r>
        <w:rPr>
          <w:color w:val="auto"/>
          <w:sz w:val="24"/>
        </w:rPr>
        <w:t>单位地址：　　　　　　　　　　　　　　　　　　单位公章：</w:t>
      </w:r>
    </w:p>
    <w:p>
      <w:pPr>
        <w:spacing w:line="480" w:lineRule="auto"/>
        <w:ind w:firstLine="420"/>
        <w:rPr>
          <w:color w:val="auto"/>
          <w:sz w:val="24"/>
        </w:rPr>
      </w:pPr>
      <w:r>
        <w:rPr>
          <w:color w:val="auto"/>
          <w:sz w:val="24"/>
        </w:rPr>
        <w:t>邮政编码：　　　　　　　　　　　　　　　　　　日期：</w:t>
      </w:r>
    </w:p>
    <w:p>
      <w:pPr>
        <w:spacing w:line="480" w:lineRule="auto"/>
        <w:ind w:firstLine="420" w:firstLineChars="175"/>
        <w:rPr>
          <w:color w:val="auto"/>
          <w:sz w:val="24"/>
        </w:rPr>
      </w:pPr>
      <w:r>
        <w:rPr>
          <w:color w:val="auto"/>
          <w:sz w:val="24"/>
        </w:rPr>
        <w:t>联系电话：</w:t>
      </w:r>
    </w:p>
    <w:p>
      <w:pPr>
        <w:pStyle w:val="5"/>
        <w:spacing w:before="0" w:after="0" w:line="360" w:lineRule="auto"/>
        <w:rPr>
          <w:rFonts w:ascii="宋体" w:hAnsi="宋体" w:eastAsia="宋体"/>
          <w:color w:val="auto"/>
          <w:sz w:val="28"/>
          <w:szCs w:val="28"/>
        </w:rPr>
      </w:pPr>
      <w:r>
        <w:rPr>
          <w:rFonts w:ascii="Times New Roman" w:hAnsi="Times New Roman"/>
          <w:color w:val="auto"/>
        </w:rPr>
        <w:br w:type="page"/>
      </w:r>
      <w:bookmarkStart w:id="153" w:name="_Toc6977"/>
      <w:bookmarkStart w:id="154" w:name="_Toc130139098"/>
      <w:r>
        <w:rPr>
          <w:rFonts w:ascii="宋体" w:hAnsi="宋体" w:eastAsia="宋体"/>
          <w:color w:val="auto"/>
          <w:sz w:val="28"/>
          <w:szCs w:val="28"/>
        </w:rPr>
        <w:t>格式1</w:t>
      </w:r>
      <w:r>
        <w:rPr>
          <w:rFonts w:hint="eastAsia" w:ascii="宋体" w:hAnsi="宋体" w:eastAsia="宋体"/>
          <w:color w:val="auto"/>
          <w:sz w:val="28"/>
          <w:szCs w:val="28"/>
          <w:lang w:val="en-US" w:eastAsia="zh-CN"/>
        </w:rPr>
        <w:t>3</w:t>
      </w:r>
      <w:r>
        <w:rPr>
          <w:rFonts w:ascii="宋体" w:hAnsi="宋体" w:eastAsia="宋体"/>
          <w:color w:val="auto"/>
          <w:sz w:val="28"/>
          <w:szCs w:val="28"/>
        </w:rPr>
        <w:t>资格文件</w:t>
      </w:r>
      <w:bookmarkEnd w:id="153"/>
      <w:bookmarkEnd w:id="154"/>
    </w:p>
    <w:p>
      <w:pPr>
        <w:rPr>
          <w:color w:val="auto"/>
          <w:sz w:val="24"/>
        </w:rPr>
      </w:pPr>
    </w:p>
    <w:p>
      <w:pPr>
        <w:spacing w:line="360" w:lineRule="auto"/>
        <w:rPr>
          <w:color w:val="auto"/>
          <w:sz w:val="24"/>
        </w:rPr>
      </w:pPr>
      <w:r>
        <w:rPr>
          <w:color w:val="auto"/>
          <w:sz w:val="24"/>
        </w:rPr>
        <w:t>投标人必须按下列要求提交资格文件：</w:t>
      </w:r>
    </w:p>
    <w:p>
      <w:pPr>
        <w:numPr>
          <w:ilvl w:val="0"/>
          <w:numId w:val="0"/>
        </w:numPr>
        <w:spacing w:line="420" w:lineRule="exact"/>
        <w:ind w:leftChars="0"/>
        <w:rPr>
          <w:rFonts w:hint="eastAsia"/>
          <w:color w:val="auto"/>
          <w:sz w:val="24"/>
          <w:lang w:val="en-US" w:eastAsia="zh-CN"/>
        </w:rPr>
      </w:pPr>
      <w:r>
        <w:rPr>
          <w:rFonts w:hint="eastAsia"/>
          <w:color w:val="auto"/>
          <w:sz w:val="24"/>
          <w:lang w:val="en-US" w:eastAsia="zh-CN"/>
        </w:rPr>
        <w:t>1、企业营业执照副本；</w:t>
      </w:r>
    </w:p>
    <w:p>
      <w:pPr>
        <w:numPr>
          <w:ilvl w:val="0"/>
          <w:numId w:val="0"/>
        </w:numPr>
        <w:spacing w:line="420" w:lineRule="exact"/>
        <w:ind w:leftChars="0"/>
        <w:rPr>
          <w:rFonts w:hint="eastAsia"/>
          <w:color w:val="auto"/>
          <w:sz w:val="24"/>
          <w:lang w:val="en-US" w:eastAsia="zh-CN"/>
        </w:rPr>
      </w:pPr>
      <w:r>
        <w:rPr>
          <w:rFonts w:hint="eastAsia"/>
          <w:color w:val="auto"/>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加盖公章）；</w:t>
      </w:r>
    </w:p>
    <w:p>
      <w:pPr>
        <w:numPr>
          <w:ilvl w:val="0"/>
          <w:numId w:val="0"/>
        </w:numPr>
        <w:spacing w:line="420" w:lineRule="exact"/>
        <w:ind w:leftChars="0"/>
        <w:rPr>
          <w:rFonts w:hint="eastAsia"/>
          <w:color w:val="auto"/>
          <w:sz w:val="24"/>
          <w:lang w:val="en-US" w:eastAsia="zh-CN"/>
        </w:rPr>
      </w:pPr>
      <w:r>
        <w:rPr>
          <w:rFonts w:hint="eastAsia"/>
          <w:color w:val="auto"/>
          <w:sz w:val="24"/>
          <w:lang w:val="en-US" w:eastAsia="zh-CN"/>
        </w:rPr>
        <w:t>3、法定代表人参加时提供：身份证原件，或委托代理人参加时提供：身份证原件、法定代表人身份证明、授权委托书；</w:t>
      </w:r>
    </w:p>
    <w:p>
      <w:pPr>
        <w:numPr>
          <w:ilvl w:val="0"/>
          <w:numId w:val="0"/>
        </w:numPr>
        <w:spacing w:line="420" w:lineRule="exact"/>
        <w:ind w:leftChars="0"/>
        <w:rPr>
          <w:rFonts w:hint="eastAsia"/>
          <w:color w:val="auto"/>
          <w:sz w:val="24"/>
          <w:lang w:val="en-US" w:eastAsia="zh-CN"/>
        </w:rPr>
      </w:pPr>
      <w:r>
        <w:rPr>
          <w:rFonts w:hint="eastAsia"/>
          <w:color w:val="auto"/>
          <w:sz w:val="24"/>
          <w:lang w:val="en-US" w:eastAsia="zh-CN"/>
        </w:rPr>
        <w:t>4、投标保证金汇款凭证。</w:t>
      </w:r>
    </w:p>
    <w:p>
      <w:pPr>
        <w:numPr>
          <w:ilvl w:val="0"/>
          <w:numId w:val="0"/>
        </w:numPr>
        <w:spacing w:line="420" w:lineRule="exact"/>
        <w:ind w:leftChars="0"/>
        <w:rPr>
          <w:rFonts w:hint="eastAsia" w:ascii="宋体" w:hAnsi="宋体"/>
          <w:color w:val="auto"/>
          <w:sz w:val="24"/>
        </w:rPr>
      </w:pPr>
      <w:r>
        <w:rPr>
          <w:rFonts w:hint="eastAsia"/>
          <w:color w:val="auto"/>
          <w:sz w:val="24"/>
          <w:lang w:val="en-US" w:eastAsia="zh-CN"/>
        </w:rPr>
        <w:t>5、其他投标人认为有必要的资质文件。</w:t>
      </w:r>
    </w:p>
    <w:p>
      <w:pPr>
        <w:spacing w:line="360" w:lineRule="auto"/>
        <w:ind w:firstLine="525" w:firstLineChars="219"/>
        <w:rPr>
          <w:color w:val="auto"/>
          <w:sz w:val="24"/>
        </w:rPr>
      </w:pPr>
    </w:p>
    <w:p>
      <w:pPr>
        <w:spacing w:line="360" w:lineRule="auto"/>
        <w:rPr>
          <w:color w:val="auto"/>
          <w:sz w:val="28"/>
          <w:szCs w:val="28"/>
        </w:rPr>
      </w:pPr>
      <w:r>
        <w:rPr>
          <w:b/>
          <w:bCs/>
          <w:color w:val="auto"/>
          <w:sz w:val="22"/>
          <w:szCs w:val="28"/>
        </w:rPr>
        <w:t>注：投标人应自行承担所提供上述资料任何错漏而导致的一切后果。</w:t>
      </w:r>
    </w:p>
    <w:p>
      <w:pPr>
        <w:spacing w:line="500" w:lineRule="exact"/>
        <w:ind w:firstLine="960"/>
        <w:rPr>
          <w:color w:val="auto"/>
          <w:sz w:val="24"/>
        </w:rPr>
      </w:pPr>
    </w:p>
    <w:p>
      <w:pPr>
        <w:tabs>
          <w:tab w:val="left" w:pos="1260"/>
        </w:tabs>
        <w:spacing w:before="40" w:after="40"/>
        <w:rPr>
          <w:color w:val="auto"/>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eastAsia="华文新魏"/>
          <w:b/>
          <w:color w:val="auto"/>
          <w:sz w:val="36"/>
          <w:szCs w:val="36"/>
          <w:lang w:eastAsia="zh-CN"/>
        </w:rPr>
      </w:pPr>
      <w:r>
        <w:rPr>
          <w:rFonts w:eastAsia="华文新魏"/>
          <w:b/>
          <w:color w:val="auto"/>
          <w:sz w:val="36"/>
          <w:szCs w:val="36"/>
        </w:rPr>
        <w:t>招标编号：</w:t>
      </w:r>
      <w:r>
        <w:rPr>
          <w:rFonts w:hint="eastAsia" w:eastAsia="华文新魏"/>
          <w:b/>
          <w:color w:val="auto"/>
          <w:sz w:val="36"/>
          <w:szCs w:val="36"/>
          <w:lang w:eastAsia="zh-CN"/>
        </w:rPr>
        <w:t>HYZB-2021-120</w:t>
      </w:r>
    </w:p>
    <w:p>
      <w:pPr>
        <w:spacing w:line="360" w:lineRule="auto"/>
        <w:jc w:val="both"/>
        <w:rPr>
          <w:rFonts w:eastAsia="华文新魏"/>
          <w:b/>
          <w:color w:val="auto"/>
          <w:w w:val="150"/>
          <w:sz w:val="96"/>
        </w:rPr>
      </w:pPr>
    </w:p>
    <w:p>
      <w:pPr>
        <w:spacing w:line="360" w:lineRule="auto"/>
        <w:jc w:val="center"/>
        <w:rPr>
          <w:rFonts w:eastAsia="华文新魏"/>
          <w:b/>
          <w:color w:val="auto"/>
          <w:w w:val="150"/>
          <w:sz w:val="96"/>
        </w:rPr>
      </w:pPr>
      <w:r>
        <w:rPr>
          <w:rFonts w:eastAsia="华文新魏"/>
          <w:b/>
          <w:color w:val="auto"/>
          <w:w w:val="150"/>
          <w:sz w:val="96"/>
        </w:rPr>
        <w:t>评</w:t>
      </w:r>
    </w:p>
    <w:p>
      <w:pPr>
        <w:spacing w:line="360" w:lineRule="auto"/>
        <w:jc w:val="center"/>
        <w:rPr>
          <w:rFonts w:eastAsia="华文新魏"/>
          <w:b/>
          <w:color w:val="auto"/>
          <w:w w:val="150"/>
          <w:sz w:val="96"/>
        </w:rPr>
      </w:pPr>
      <w:r>
        <w:rPr>
          <w:rFonts w:eastAsia="华文新魏"/>
          <w:b/>
          <w:color w:val="auto"/>
          <w:w w:val="150"/>
          <w:sz w:val="96"/>
        </w:rPr>
        <w:t>标</w:t>
      </w:r>
    </w:p>
    <w:p>
      <w:pPr>
        <w:spacing w:line="360" w:lineRule="auto"/>
        <w:jc w:val="center"/>
        <w:rPr>
          <w:rFonts w:eastAsia="华文新魏"/>
          <w:b/>
          <w:color w:val="auto"/>
          <w:w w:val="150"/>
          <w:sz w:val="96"/>
        </w:rPr>
      </w:pPr>
      <w:r>
        <w:rPr>
          <w:rFonts w:eastAsia="华文新魏"/>
          <w:b/>
          <w:color w:val="auto"/>
          <w:w w:val="150"/>
          <w:sz w:val="96"/>
        </w:rPr>
        <w:t>文</w:t>
      </w:r>
    </w:p>
    <w:p>
      <w:pPr>
        <w:spacing w:line="360" w:lineRule="auto"/>
        <w:jc w:val="center"/>
        <w:rPr>
          <w:rFonts w:eastAsia="华文新魏"/>
          <w:b/>
          <w:color w:val="auto"/>
          <w:w w:val="150"/>
          <w:sz w:val="96"/>
        </w:rPr>
      </w:pPr>
      <w:r>
        <w:rPr>
          <w:rFonts w:eastAsia="华文新魏"/>
          <w:b/>
          <w:color w:val="auto"/>
          <w:w w:val="150"/>
          <w:sz w:val="96"/>
        </w:rPr>
        <w:t>件</w:t>
      </w:r>
    </w:p>
    <w:p>
      <w:pPr>
        <w:pStyle w:val="5"/>
        <w:rPr>
          <w:color w:val="auto"/>
        </w:rPr>
      </w:pPr>
    </w:p>
    <w:p>
      <w:pPr>
        <w:spacing w:line="360" w:lineRule="auto"/>
        <w:jc w:val="center"/>
        <w:rPr>
          <w:rFonts w:hint="eastAsia" w:ascii="宋体" w:hAnsi="宋体" w:eastAsia="宋体" w:cs="宋体"/>
          <w:b/>
          <w:bCs w:val="0"/>
          <w:i w:val="0"/>
          <w:iCs w:val="0"/>
          <w:color w:val="auto"/>
          <w:w w:val="150"/>
          <w:sz w:val="24"/>
          <w:szCs w:val="24"/>
          <w:lang w:val="en-US" w:eastAsia="zh-CN"/>
        </w:rPr>
      </w:pPr>
      <w:r>
        <w:rPr>
          <w:rFonts w:hint="eastAsia" w:ascii="宋体" w:hAnsi="宋体" w:cs="宋体"/>
          <w:b/>
          <w:bCs w:val="0"/>
          <w:i w:val="0"/>
          <w:iCs w:val="0"/>
          <w:color w:val="auto"/>
          <w:w w:val="150"/>
          <w:sz w:val="24"/>
          <w:szCs w:val="24"/>
          <w:lang w:val="en-US" w:eastAsia="zh-CN"/>
        </w:rPr>
        <w:t>特克斯县妇幼保健计划生育服务中心</w:t>
      </w:r>
    </w:p>
    <w:p>
      <w:pPr>
        <w:spacing w:line="360" w:lineRule="auto"/>
        <w:jc w:val="center"/>
        <w:rPr>
          <w:rFonts w:eastAsia="华文新魏"/>
          <w:b/>
          <w:color w:val="auto"/>
          <w:sz w:val="36"/>
          <w:szCs w:val="36"/>
        </w:rPr>
      </w:pPr>
      <w:r>
        <w:rPr>
          <w:rFonts w:hint="eastAsia" w:eastAsia="华文新魏"/>
          <w:b/>
          <w:color w:val="auto"/>
          <w:sz w:val="36"/>
          <w:szCs w:val="36"/>
          <w:lang w:eastAsia="zh-CN"/>
        </w:rPr>
        <w:t>新疆华域建设工程项目管理咨询有限公司</w:t>
      </w:r>
      <w:r>
        <w:rPr>
          <w:rFonts w:hint="eastAsia" w:eastAsia="华文新魏"/>
          <w:b/>
          <w:color w:val="auto"/>
          <w:sz w:val="36"/>
          <w:szCs w:val="36"/>
        </w:rPr>
        <w:t xml:space="preserve"> </w:t>
      </w:r>
      <w:r>
        <w:rPr>
          <w:rFonts w:eastAsia="华文新魏"/>
          <w:b/>
          <w:color w:val="auto"/>
          <w:sz w:val="36"/>
          <w:szCs w:val="36"/>
        </w:rPr>
        <w:t>编制</w:t>
      </w:r>
    </w:p>
    <w:p>
      <w:pPr>
        <w:spacing w:line="360" w:lineRule="auto"/>
        <w:jc w:val="center"/>
        <w:rPr>
          <w:color w:val="auto"/>
        </w:rPr>
      </w:pPr>
      <w:r>
        <w:rPr>
          <w:rFonts w:eastAsia="华文新魏"/>
          <w:b/>
          <w:color w:val="auto"/>
          <w:sz w:val="36"/>
          <w:szCs w:val="36"/>
        </w:rPr>
        <w:t>二</w:t>
      </w:r>
      <w:r>
        <w:rPr>
          <w:b/>
          <w:color w:val="auto"/>
          <w:sz w:val="36"/>
          <w:szCs w:val="36"/>
        </w:rPr>
        <w:t>〇</w:t>
      </w:r>
      <w:r>
        <w:rPr>
          <w:rFonts w:hint="eastAsia" w:eastAsia="华文新魏"/>
          <w:b/>
          <w:color w:val="auto"/>
          <w:sz w:val="36"/>
          <w:szCs w:val="36"/>
          <w:lang w:eastAsia="zh-CN"/>
        </w:rPr>
        <w:t>二一</w:t>
      </w:r>
      <w:r>
        <w:rPr>
          <w:rFonts w:eastAsia="华文新魏"/>
          <w:b/>
          <w:color w:val="auto"/>
          <w:sz w:val="36"/>
          <w:szCs w:val="36"/>
        </w:rPr>
        <w:t>年</w:t>
      </w:r>
      <w:r>
        <w:rPr>
          <w:rFonts w:hint="eastAsia" w:eastAsia="华文新魏"/>
          <w:b/>
          <w:color w:val="auto"/>
          <w:sz w:val="36"/>
          <w:szCs w:val="36"/>
          <w:lang w:val="en-US" w:eastAsia="zh-CN"/>
        </w:rPr>
        <w:t>十一</w:t>
      </w:r>
      <w:r>
        <w:rPr>
          <w:rFonts w:eastAsia="华文新魏"/>
          <w:b/>
          <w:color w:val="auto"/>
          <w:sz w:val="36"/>
          <w:szCs w:val="36"/>
        </w:rPr>
        <w:t>月</w:t>
      </w:r>
    </w:p>
    <w:p>
      <w:pPr>
        <w:pStyle w:val="5"/>
        <w:numPr>
          <w:ilvl w:val="0"/>
          <w:numId w:val="16"/>
        </w:numPr>
        <w:spacing w:before="0" w:after="0" w:line="360" w:lineRule="auto"/>
        <w:rPr>
          <w:rFonts w:ascii="Times New Roman" w:hAnsi="Times New Roman" w:eastAsia="宋体"/>
          <w:color w:val="auto"/>
          <w:sz w:val="28"/>
          <w:szCs w:val="28"/>
        </w:rPr>
      </w:pPr>
      <w:bookmarkStart w:id="155" w:name="_Toc130695636"/>
      <w:bookmarkStart w:id="156" w:name="_Toc271105728"/>
      <w:bookmarkStart w:id="157" w:name="_Toc243743405"/>
      <w:bookmarkStart w:id="158" w:name="_Toc226966736"/>
      <w:bookmarkStart w:id="159" w:name="_Toc272350660"/>
      <w:bookmarkStart w:id="160" w:name="_Toc279046915"/>
      <w:bookmarkStart w:id="161" w:name="_Toc209258324"/>
      <w:bookmarkStart w:id="162" w:name="_Toc243923419"/>
      <w:bookmarkStart w:id="163" w:name="_Toc245203933"/>
      <w:bookmarkStart w:id="164" w:name="_Toc191353064"/>
      <w:bookmarkStart w:id="165" w:name="_Toc130180745"/>
      <w:bookmarkStart w:id="166" w:name="_Toc2499"/>
      <w:bookmarkStart w:id="167" w:name="_Toc130697228"/>
      <w:bookmarkStart w:id="168" w:name="_Toc130180931"/>
      <w:bookmarkStart w:id="169" w:name="_Toc130180850"/>
      <w:r>
        <w:rPr>
          <w:rFonts w:ascii="Times New Roman" w:hAnsi="Times New Roman" w:eastAsia="宋体"/>
          <w:color w:val="auto"/>
          <w:sz w:val="28"/>
          <w:szCs w:val="28"/>
        </w:rPr>
        <w:t>说明</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6"/>
        <w:numPr>
          <w:ilvl w:val="0"/>
          <w:numId w:val="17"/>
        </w:numPr>
        <w:spacing w:before="120" w:beforeLines="50" w:line="360" w:lineRule="auto"/>
        <w:rPr>
          <w:rFonts w:ascii="Times New Roman" w:hAnsi="Times New Roman"/>
          <w:bCs w:val="0"/>
          <w:color w:val="auto"/>
          <w:sz w:val="24"/>
        </w:rPr>
      </w:pPr>
      <w:bookmarkStart w:id="170" w:name="_Toc243923420"/>
      <w:bookmarkStart w:id="171" w:name="_Toc153615335"/>
      <w:bookmarkStart w:id="172" w:name="_Toc209258325"/>
      <w:bookmarkStart w:id="173" w:name="_Toc130697229"/>
      <w:bookmarkStart w:id="174" w:name="_Toc243743406"/>
      <w:bookmarkStart w:id="175" w:name="_Toc130695637"/>
      <w:bookmarkStart w:id="176" w:name="_Toc226966737"/>
      <w:bookmarkStart w:id="177" w:name="_Toc277758545"/>
      <w:bookmarkStart w:id="178" w:name="_Toc278958209"/>
      <w:bookmarkStart w:id="179" w:name="_Toc271105729"/>
      <w:bookmarkStart w:id="180" w:name="_Toc272350661"/>
      <w:bookmarkStart w:id="181" w:name="_Toc191353065"/>
      <w:bookmarkStart w:id="182" w:name="_Toc279046916"/>
      <w:bookmarkStart w:id="183" w:name="_Toc16983"/>
      <w:bookmarkStart w:id="184" w:name="_Toc226521749"/>
      <w:bookmarkStart w:id="185" w:name="_Toc245203934"/>
      <w:bookmarkStart w:id="186" w:name="_Toc185747627"/>
      <w:r>
        <w:rPr>
          <w:rFonts w:ascii="Times New Roman" w:hAnsi="Times New Roman"/>
          <w:bCs w:val="0"/>
          <w:color w:val="auto"/>
          <w:sz w:val="24"/>
        </w:rPr>
        <w:t>概述</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80" w:firstLineChars="200"/>
        <w:rPr>
          <w:bCs/>
          <w:color w:val="auto"/>
          <w:sz w:val="24"/>
        </w:rPr>
      </w:pPr>
      <w:r>
        <w:rPr>
          <w:bCs/>
          <w:color w:val="auto"/>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color w:val="auto"/>
          <w:sz w:val="24"/>
          <w:lang w:eastAsia="zh-CN"/>
        </w:rPr>
        <w:t>新疆华域建设工程项目管理咨询有限公司</w:t>
      </w:r>
      <w:r>
        <w:rPr>
          <w:rFonts w:hint="eastAsia"/>
          <w:bCs/>
          <w:color w:val="auto"/>
          <w:sz w:val="24"/>
        </w:rPr>
        <w:t xml:space="preserve"> </w:t>
      </w:r>
      <w:r>
        <w:rPr>
          <w:bCs/>
          <w:color w:val="auto"/>
          <w:sz w:val="24"/>
        </w:rPr>
        <w:t>制定本评标文件，并经评标委员会确认。内容包括本次评标的评审过程和方法。</w:t>
      </w:r>
    </w:p>
    <w:p>
      <w:pPr>
        <w:pStyle w:val="6"/>
        <w:numPr>
          <w:ilvl w:val="0"/>
          <w:numId w:val="17"/>
        </w:numPr>
        <w:spacing w:before="120" w:beforeLines="50" w:line="360" w:lineRule="auto"/>
        <w:rPr>
          <w:rFonts w:ascii="Times New Roman" w:hAnsi="Times New Roman"/>
          <w:bCs w:val="0"/>
          <w:color w:val="auto"/>
          <w:sz w:val="24"/>
        </w:rPr>
      </w:pPr>
      <w:bookmarkStart w:id="187" w:name="_Toc279046917"/>
      <w:bookmarkStart w:id="188" w:name="_Toc277758546"/>
      <w:bookmarkStart w:id="189" w:name="_Toc153615336"/>
      <w:bookmarkStart w:id="190" w:name="_Toc191353066"/>
      <w:bookmarkStart w:id="191" w:name="_Toc278958210"/>
      <w:bookmarkStart w:id="192" w:name="_Toc271105730"/>
      <w:bookmarkStart w:id="193" w:name="_Toc130695638"/>
      <w:bookmarkStart w:id="194" w:name="_Toc226521750"/>
      <w:bookmarkStart w:id="195" w:name="_Toc243923421"/>
      <w:bookmarkStart w:id="196" w:name="_Toc23918"/>
      <w:bookmarkStart w:id="197" w:name="_Toc272350662"/>
      <w:bookmarkStart w:id="198" w:name="_Toc243743407"/>
      <w:bookmarkStart w:id="199" w:name="_Toc226966738"/>
      <w:bookmarkStart w:id="200" w:name="_Toc245203935"/>
      <w:bookmarkStart w:id="201" w:name="_Toc130697230"/>
      <w:bookmarkStart w:id="202" w:name="_Toc185747628"/>
      <w:bookmarkStart w:id="203" w:name="_Toc209258326"/>
      <w:r>
        <w:rPr>
          <w:rFonts w:ascii="Times New Roman" w:hAnsi="Times New Roman"/>
          <w:bCs w:val="0"/>
          <w:color w:val="auto"/>
          <w:sz w:val="24"/>
        </w:rPr>
        <w:t>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18"/>
        </w:numPr>
        <w:tabs>
          <w:tab w:val="left" w:pos="1050"/>
        </w:tabs>
        <w:spacing w:line="360" w:lineRule="auto"/>
        <w:ind w:left="1050" w:hanging="630"/>
        <w:rPr>
          <w:bCs/>
          <w:color w:val="auto"/>
          <w:sz w:val="24"/>
        </w:rPr>
      </w:pPr>
      <w:r>
        <w:rPr>
          <w:bCs/>
          <w:color w:val="auto"/>
          <w:sz w:val="24"/>
        </w:rPr>
        <w:t>“采购人”系指依法进行政府采购的国家机关、事业单位、团体组织，本项目的采购人是</w:t>
      </w:r>
      <w:r>
        <w:rPr>
          <w:rFonts w:hint="eastAsia"/>
          <w:bCs/>
          <w:color w:val="auto"/>
          <w:sz w:val="24"/>
          <w:lang w:eastAsia="zh-CN"/>
        </w:rPr>
        <w:t>特克斯县妇幼保健计划生育服务中心</w:t>
      </w:r>
      <w:r>
        <w:rPr>
          <w:bCs/>
          <w:color w:val="auto"/>
          <w:sz w:val="24"/>
        </w:rPr>
        <w:t>。</w:t>
      </w:r>
    </w:p>
    <w:p>
      <w:pPr>
        <w:numPr>
          <w:ilvl w:val="0"/>
          <w:numId w:val="18"/>
        </w:numPr>
        <w:tabs>
          <w:tab w:val="left" w:pos="1050"/>
        </w:tabs>
        <w:spacing w:line="360" w:lineRule="auto"/>
        <w:ind w:left="1050" w:hanging="630"/>
        <w:rPr>
          <w:bCs/>
          <w:color w:val="auto"/>
          <w:sz w:val="24"/>
        </w:rPr>
      </w:pPr>
      <w:r>
        <w:rPr>
          <w:bCs/>
          <w:color w:val="auto"/>
          <w:sz w:val="24"/>
        </w:rPr>
        <w:t>“业主/用户”系指本采购项目的最终使用单位，本项目的业主/用户是</w:t>
      </w:r>
      <w:r>
        <w:rPr>
          <w:rFonts w:hint="eastAsia"/>
          <w:bCs/>
          <w:color w:val="auto"/>
          <w:sz w:val="24"/>
          <w:lang w:eastAsia="zh-CN"/>
        </w:rPr>
        <w:t>特克斯县妇幼保健计划生育服务中心</w:t>
      </w:r>
      <w:r>
        <w:rPr>
          <w:bCs/>
          <w:color w:val="auto"/>
          <w:sz w:val="24"/>
        </w:rPr>
        <w:t>。</w:t>
      </w:r>
    </w:p>
    <w:p>
      <w:pPr>
        <w:numPr>
          <w:ilvl w:val="0"/>
          <w:numId w:val="18"/>
        </w:numPr>
        <w:tabs>
          <w:tab w:val="left" w:pos="1050"/>
        </w:tabs>
        <w:spacing w:line="360" w:lineRule="auto"/>
        <w:ind w:left="1050" w:hanging="630"/>
        <w:rPr>
          <w:bCs/>
          <w:color w:val="auto"/>
          <w:sz w:val="24"/>
        </w:rPr>
      </w:pPr>
      <w:r>
        <w:rPr>
          <w:bCs/>
          <w:color w:val="auto"/>
          <w:sz w:val="24"/>
        </w:rPr>
        <w:t>“</w:t>
      </w:r>
      <w:r>
        <w:rPr>
          <w:rFonts w:hint="eastAsia"/>
          <w:bCs/>
          <w:color w:val="auto"/>
          <w:sz w:val="24"/>
        </w:rPr>
        <w:t>招标代理机构</w:t>
      </w:r>
      <w:r>
        <w:rPr>
          <w:bCs/>
          <w:color w:val="auto"/>
          <w:sz w:val="24"/>
        </w:rPr>
        <w:t>”系指</w:t>
      </w:r>
      <w:r>
        <w:rPr>
          <w:rFonts w:hint="eastAsia"/>
          <w:bCs/>
          <w:color w:val="auto"/>
          <w:sz w:val="24"/>
          <w:lang w:eastAsia="zh-CN"/>
        </w:rPr>
        <w:t>新疆华域建设工程项目管理咨询有限公司</w:t>
      </w:r>
      <w:r>
        <w:rPr>
          <w:rFonts w:hint="eastAsia"/>
          <w:bCs/>
          <w:color w:val="auto"/>
          <w:sz w:val="24"/>
        </w:rPr>
        <w:t xml:space="preserve"> </w:t>
      </w:r>
      <w:r>
        <w:rPr>
          <w:bCs/>
          <w:color w:val="auto"/>
          <w:sz w:val="24"/>
        </w:rPr>
        <w:t>。</w:t>
      </w:r>
    </w:p>
    <w:p>
      <w:pPr>
        <w:numPr>
          <w:ilvl w:val="0"/>
          <w:numId w:val="18"/>
        </w:numPr>
        <w:tabs>
          <w:tab w:val="left" w:pos="1050"/>
        </w:tabs>
        <w:spacing w:line="360" w:lineRule="auto"/>
        <w:ind w:left="1050" w:hanging="630"/>
        <w:rPr>
          <w:bCs/>
          <w:color w:val="auto"/>
          <w:sz w:val="24"/>
        </w:rPr>
      </w:pPr>
      <w:r>
        <w:rPr>
          <w:bCs/>
          <w:color w:val="auto"/>
          <w:sz w:val="24"/>
        </w:rPr>
        <w:t>“投标人”系指向</w:t>
      </w:r>
      <w:r>
        <w:rPr>
          <w:rFonts w:hint="eastAsia"/>
          <w:bCs/>
          <w:color w:val="auto"/>
          <w:sz w:val="24"/>
        </w:rPr>
        <w:t>招标代理机构</w:t>
      </w:r>
      <w:r>
        <w:rPr>
          <w:bCs/>
          <w:color w:val="auto"/>
          <w:sz w:val="24"/>
        </w:rPr>
        <w:t>提交投标文件的合格供应商。</w:t>
      </w:r>
    </w:p>
    <w:p>
      <w:pPr>
        <w:numPr>
          <w:ilvl w:val="0"/>
          <w:numId w:val="18"/>
        </w:numPr>
        <w:tabs>
          <w:tab w:val="left" w:pos="1050"/>
        </w:tabs>
        <w:spacing w:line="360" w:lineRule="auto"/>
        <w:ind w:left="1050" w:hanging="630"/>
        <w:rPr>
          <w:bCs/>
          <w:color w:val="auto"/>
          <w:sz w:val="24"/>
        </w:rPr>
      </w:pPr>
      <w:r>
        <w:rPr>
          <w:bCs/>
          <w:color w:val="auto"/>
          <w:sz w:val="24"/>
        </w:rPr>
        <w:t>“中标人”系指经评标委员会评审推荐、采购人确认的获得本项目中标资格的投标人。</w:t>
      </w:r>
    </w:p>
    <w:p>
      <w:pPr>
        <w:numPr>
          <w:ilvl w:val="0"/>
          <w:numId w:val="18"/>
        </w:numPr>
        <w:tabs>
          <w:tab w:val="left" w:pos="1050"/>
        </w:tabs>
        <w:spacing w:line="360" w:lineRule="auto"/>
        <w:ind w:left="1050" w:hanging="630"/>
        <w:rPr>
          <w:bCs/>
          <w:color w:val="auto"/>
          <w:sz w:val="24"/>
        </w:rPr>
      </w:pPr>
      <w:r>
        <w:rPr>
          <w:bCs/>
          <w:color w:val="auto"/>
          <w:sz w:val="24"/>
        </w:rPr>
        <w:t>“实质性响应”系指符合</w:t>
      </w:r>
      <w:r>
        <w:rPr>
          <w:rFonts w:hint="eastAsia"/>
          <w:bCs/>
          <w:color w:val="auto"/>
          <w:sz w:val="24"/>
          <w:lang w:eastAsia="zh-CN"/>
        </w:rPr>
        <w:t>磋商</w:t>
      </w:r>
      <w:r>
        <w:rPr>
          <w:bCs/>
          <w:color w:val="auto"/>
          <w:sz w:val="24"/>
        </w:rPr>
        <w:t>文件的所有要求、条款、条件和规定，且没有不利于项目实施质量效果和服务保障的重大偏离或保留。</w:t>
      </w:r>
    </w:p>
    <w:p>
      <w:pPr>
        <w:numPr>
          <w:ilvl w:val="0"/>
          <w:numId w:val="18"/>
        </w:numPr>
        <w:tabs>
          <w:tab w:val="left" w:pos="1050"/>
        </w:tabs>
        <w:spacing w:line="360" w:lineRule="auto"/>
        <w:ind w:left="1050" w:hanging="630"/>
        <w:rPr>
          <w:bCs/>
          <w:color w:val="auto"/>
          <w:sz w:val="24"/>
        </w:rPr>
      </w:pPr>
      <w:r>
        <w:rPr>
          <w:bCs/>
          <w:color w:val="auto"/>
          <w:sz w:val="24"/>
        </w:rPr>
        <w:t>“重大偏离或保留”系指影响到</w:t>
      </w:r>
      <w:r>
        <w:rPr>
          <w:rFonts w:hint="eastAsia"/>
          <w:bCs/>
          <w:color w:val="auto"/>
          <w:sz w:val="24"/>
          <w:lang w:eastAsia="zh-CN"/>
        </w:rPr>
        <w:t>磋商</w:t>
      </w:r>
      <w:r>
        <w:rPr>
          <w:bCs/>
          <w:color w:val="auto"/>
          <w:sz w:val="24"/>
        </w:rPr>
        <w:t>文件规定的范围、质量和性能或限制了采购人的权力和投标人义务的规定，而纠正这些偏离将影响到其它投标人的公平竞争地位。</w:t>
      </w:r>
    </w:p>
    <w:p>
      <w:pPr>
        <w:pStyle w:val="6"/>
        <w:numPr>
          <w:ilvl w:val="0"/>
          <w:numId w:val="17"/>
        </w:numPr>
        <w:spacing w:before="120" w:beforeLines="50" w:line="360" w:lineRule="auto"/>
        <w:rPr>
          <w:rFonts w:ascii="Times New Roman" w:hAnsi="Times New Roman"/>
          <w:bCs w:val="0"/>
          <w:color w:val="auto"/>
          <w:sz w:val="24"/>
        </w:rPr>
      </w:pPr>
      <w:bookmarkStart w:id="204" w:name="_Toc191353067"/>
      <w:bookmarkStart w:id="205" w:name="_Toc271105731"/>
      <w:bookmarkStart w:id="206" w:name="_Toc130695639"/>
      <w:bookmarkStart w:id="207" w:name="_Toc243923422"/>
      <w:bookmarkStart w:id="208" w:name="_Toc245203936"/>
      <w:bookmarkStart w:id="209" w:name="_Toc279046918"/>
      <w:bookmarkStart w:id="210" w:name="_Toc226521751"/>
      <w:bookmarkStart w:id="211" w:name="_Toc209258327"/>
      <w:bookmarkStart w:id="212" w:name="_Toc277758547"/>
      <w:bookmarkStart w:id="213" w:name="_Toc22182"/>
      <w:bookmarkStart w:id="214" w:name="_Toc153615337"/>
      <w:bookmarkStart w:id="215" w:name="_Toc278958211"/>
      <w:bookmarkStart w:id="216" w:name="_Toc130697231"/>
      <w:bookmarkStart w:id="217" w:name="_Toc226966739"/>
      <w:bookmarkStart w:id="218" w:name="_Toc243743408"/>
      <w:bookmarkStart w:id="219" w:name="_Toc185747629"/>
      <w:bookmarkStart w:id="220" w:name="_Toc272350663"/>
      <w:r>
        <w:rPr>
          <w:rFonts w:ascii="Times New Roman" w:hAnsi="Times New Roman"/>
          <w:bCs w:val="0"/>
          <w:color w:val="auto"/>
          <w:sz w:val="24"/>
        </w:rPr>
        <w:t>评标委员会组成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11"/>
        <w:spacing w:line="360" w:lineRule="auto"/>
        <w:rPr>
          <w:rFonts w:ascii="Times New Roman" w:hAnsi="Times New Roman"/>
          <w:color w:val="auto"/>
          <w:sz w:val="24"/>
        </w:rPr>
      </w:pPr>
      <w:r>
        <w:rPr>
          <w:rFonts w:ascii="Times New Roman" w:hAnsi="Times New Roman"/>
          <w:color w:val="auto"/>
          <w:sz w:val="24"/>
        </w:rPr>
        <w:t>全部评标过程由依法组建的评标委员会负责完成，</w:t>
      </w:r>
      <w:r>
        <w:rPr>
          <w:rFonts w:ascii="Times New Roman" w:hAnsi="Times New Roman"/>
          <w:bCs/>
          <w:color w:val="auto"/>
          <w:sz w:val="24"/>
        </w:rPr>
        <w:t>评标委员会由</w:t>
      </w:r>
      <w:r>
        <w:rPr>
          <w:rFonts w:hint="eastAsia" w:ascii="Times New Roman" w:hAnsi="Times New Roman"/>
          <w:bCs/>
          <w:color w:val="auto"/>
          <w:sz w:val="24"/>
          <w:lang w:val="en-US" w:eastAsia="zh-CN"/>
        </w:rPr>
        <w:t>3</w:t>
      </w:r>
      <w:r>
        <w:rPr>
          <w:rFonts w:ascii="Times New Roman" w:hAnsi="Times New Roman"/>
          <w:b/>
          <w:bCs/>
          <w:color w:val="auto"/>
          <w:sz w:val="24"/>
          <w:u w:val="single"/>
        </w:rPr>
        <w:t>人</w:t>
      </w:r>
      <w:r>
        <w:rPr>
          <w:rFonts w:ascii="Times New Roman" w:hAnsi="Times New Roman"/>
          <w:bCs/>
          <w:color w:val="auto"/>
          <w:sz w:val="24"/>
        </w:rPr>
        <w:t>组成，其中采购人代表</w:t>
      </w:r>
      <w:r>
        <w:rPr>
          <w:rFonts w:hint="eastAsia" w:ascii="Times New Roman" w:hAnsi="Times New Roman"/>
          <w:b/>
          <w:bCs/>
          <w:color w:val="auto"/>
          <w:sz w:val="24"/>
          <w:u w:val="single"/>
        </w:rPr>
        <w:t>1</w:t>
      </w:r>
      <w:r>
        <w:rPr>
          <w:rFonts w:ascii="Times New Roman" w:hAnsi="Times New Roman"/>
          <w:b/>
          <w:bCs/>
          <w:color w:val="auto"/>
          <w:sz w:val="24"/>
          <w:u w:val="single"/>
        </w:rPr>
        <w:t>名</w:t>
      </w:r>
      <w:r>
        <w:rPr>
          <w:rFonts w:ascii="Times New Roman" w:hAnsi="Times New Roman"/>
          <w:bCs/>
          <w:color w:val="auto"/>
          <w:sz w:val="24"/>
        </w:rPr>
        <w:t>，其余</w:t>
      </w:r>
      <w:r>
        <w:rPr>
          <w:rFonts w:hint="eastAsia" w:ascii="Times New Roman" w:hAnsi="Times New Roman"/>
          <w:b/>
          <w:bCs/>
          <w:color w:val="auto"/>
          <w:sz w:val="24"/>
          <w:u w:val="single"/>
          <w:lang w:val="en-US" w:eastAsia="zh-CN"/>
        </w:rPr>
        <w:t>2</w:t>
      </w:r>
      <w:r>
        <w:rPr>
          <w:rFonts w:ascii="Times New Roman" w:hAnsi="Times New Roman"/>
          <w:b/>
          <w:bCs/>
          <w:color w:val="auto"/>
          <w:sz w:val="24"/>
          <w:u w:val="single"/>
        </w:rPr>
        <w:t>名</w:t>
      </w:r>
      <w:r>
        <w:rPr>
          <w:rFonts w:ascii="Times New Roman" w:hAnsi="Times New Roman"/>
          <w:bCs/>
          <w:color w:val="auto"/>
          <w:sz w:val="24"/>
        </w:rPr>
        <w:t>均从</w:t>
      </w:r>
      <w:r>
        <w:rPr>
          <w:rFonts w:ascii="Times New Roman" w:hAnsi="Times New Roman"/>
          <w:b/>
          <w:bCs w:val="0"/>
          <w:color w:val="auto"/>
          <w:sz w:val="24"/>
        </w:rPr>
        <w:t>政府采购专家库</w:t>
      </w:r>
      <w:r>
        <w:rPr>
          <w:rFonts w:ascii="Times New Roman" w:hAnsi="Times New Roman"/>
          <w:bCs/>
          <w:color w:val="auto"/>
          <w:sz w:val="24"/>
        </w:rPr>
        <w:t>中随机抽取产生。</w:t>
      </w:r>
      <w:r>
        <w:rPr>
          <w:rFonts w:ascii="Times New Roman" w:hAnsi="Times New Roman"/>
          <w:color w:val="auto"/>
          <w:sz w:val="24"/>
        </w:rPr>
        <w:t>评标委员会下设评标工作小组，主要由</w:t>
      </w:r>
      <w:r>
        <w:rPr>
          <w:rFonts w:hint="eastAsia" w:ascii="Times New Roman" w:hAnsi="Times New Roman"/>
          <w:color w:val="auto"/>
          <w:sz w:val="24"/>
        </w:rPr>
        <w:t>招标代理机构</w:t>
      </w:r>
      <w:r>
        <w:rPr>
          <w:rFonts w:ascii="Times New Roman" w:hAnsi="Times New Roman"/>
          <w:color w:val="auto"/>
          <w:sz w:val="24"/>
        </w:rPr>
        <w:t>工作人员组成，负责整理投标文件、统计评分等工作。</w:t>
      </w:r>
    </w:p>
    <w:p>
      <w:pPr>
        <w:pStyle w:val="5"/>
        <w:numPr>
          <w:ilvl w:val="0"/>
          <w:numId w:val="16"/>
        </w:numPr>
        <w:spacing w:before="0" w:after="0" w:line="360" w:lineRule="auto"/>
        <w:rPr>
          <w:rFonts w:ascii="Times New Roman" w:hAnsi="Times New Roman" w:eastAsia="宋体"/>
          <w:color w:val="auto"/>
          <w:sz w:val="28"/>
          <w:szCs w:val="28"/>
        </w:rPr>
      </w:pPr>
      <w:bookmarkStart w:id="221" w:name="_Toc226966740"/>
      <w:bookmarkStart w:id="222" w:name="_Toc272350664"/>
      <w:bookmarkStart w:id="223" w:name="_Toc130695640"/>
      <w:bookmarkStart w:id="224" w:name="_Toc186"/>
      <w:bookmarkStart w:id="225" w:name="_Toc130180851"/>
      <w:bookmarkStart w:id="226" w:name="_Toc279046919"/>
      <w:bookmarkStart w:id="227" w:name="_Toc191353068"/>
      <w:bookmarkStart w:id="228" w:name="_Toc130697232"/>
      <w:bookmarkStart w:id="229" w:name="_Toc271105732"/>
      <w:bookmarkStart w:id="230" w:name="_Toc245203937"/>
      <w:bookmarkStart w:id="231" w:name="_Toc243743409"/>
      <w:bookmarkStart w:id="232" w:name="_Toc130180746"/>
      <w:bookmarkStart w:id="233" w:name="_Toc130180932"/>
      <w:bookmarkStart w:id="234" w:name="_Toc209258328"/>
      <w:bookmarkStart w:id="235" w:name="_Toc243923423"/>
      <w:r>
        <w:rPr>
          <w:rFonts w:ascii="Times New Roman" w:hAnsi="Times New Roman" w:eastAsia="宋体"/>
          <w:color w:val="auto"/>
          <w:sz w:val="28"/>
          <w:szCs w:val="28"/>
        </w:rPr>
        <w:t>评标须知</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6"/>
        <w:numPr>
          <w:ilvl w:val="0"/>
          <w:numId w:val="19"/>
        </w:numPr>
        <w:spacing w:before="120" w:beforeLines="50" w:line="360" w:lineRule="auto"/>
        <w:ind w:left="357" w:hanging="357"/>
        <w:rPr>
          <w:rFonts w:ascii="Times New Roman" w:hAnsi="Times New Roman"/>
          <w:bCs w:val="0"/>
          <w:color w:val="auto"/>
          <w:sz w:val="24"/>
        </w:rPr>
      </w:pPr>
      <w:bookmarkStart w:id="236" w:name="_Toc279046920"/>
      <w:bookmarkStart w:id="237" w:name="_Toc130697233"/>
      <w:bookmarkStart w:id="238" w:name="_Toc245203938"/>
      <w:bookmarkStart w:id="239" w:name="_Toc243923424"/>
      <w:bookmarkStart w:id="240" w:name="_Toc271105733"/>
      <w:bookmarkStart w:id="241" w:name="_Toc278958213"/>
      <w:bookmarkStart w:id="242" w:name="_Toc272350665"/>
      <w:bookmarkStart w:id="243" w:name="_Toc153615339"/>
      <w:bookmarkStart w:id="244" w:name="_Toc185747631"/>
      <w:bookmarkStart w:id="245" w:name="_Toc8628"/>
      <w:bookmarkStart w:id="246" w:name="_Toc209258329"/>
      <w:bookmarkStart w:id="247" w:name="_Toc191353069"/>
      <w:bookmarkStart w:id="248" w:name="_Toc243743410"/>
      <w:bookmarkStart w:id="249" w:name="_Toc130695641"/>
      <w:bookmarkStart w:id="250" w:name="_Toc277758549"/>
      <w:bookmarkStart w:id="251" w:name="_Toc226521753"/>
      <w:bookmarkStart w:id="252" w:name="_Toc226966741"/>
      <w:r>
        <w:rPr>
          <w:rFonts w:ascii="Times New Roman" w:hAnsi="Times New Roman"/>
          <w:bCs w:val="0"/>
          <w:color w:val="auto"/>
          <w:sz w:val="24"/>
        </w:rPr>
        <w:t>关于评标方案</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20"/>
        </w:numPr>
        <w:tabs>
          <w:tab w:val="left" w:pos="1050"/>
        </w:tabs>
        <w:spacing w:line="360" w:lineRule="auto"/>
        <w:ind w:left="1050" w:hanging="630"/>
        <w:rPr>
          <w:bCs/>
          <w:color w:val="auto"/>
          <w:sz w:val="24"/>
        </w:rPr>
      </w:pPr>
      <w:r>
        <w:rPr>
          <w:bCs/>
          <w:color w:val="auto"/>
          <w:sz w:val="24"/>
        </w:rPr>
        <w:t>评标委员会的每位成员（简称评委，下同）应认真地阅读并确认已经正确理解了评标方案；</w:t>
      </w:r>
    </w:p>
    <w:p>
      <w:pPr>
        <w:numPr>
          <w:ilvl w:val="0"/>
          <w:numId w:val="20"/>
        </w:numPr>
        <w:tabs>
          <w:tab w:val="left" w:pos="1050"/>
        </w:tabs>
        <w:spacing w:line="360" w:lineRule="auto"/>
        <w:ind w:left="1050" w:hanging="630"/>
        <w:rPr>
          <w:bCs/>
          <w:color w:val="auto"/>
          <w:sz w:val="24"/>
        </w:rPr>
      </w:pPr>
      <w:r>
        <w:rPr>
          <w:bCs/>
          <w:color w:val="auto"/>
          <w:sz w:val="24"/>
        </w:rPr>
        <w:t>评委如对评标方案有异议，应在评标开始前提出。</w:t>
      </w:r>
    </w:p>
    <w:p>
      <w:pPr>
        <w:pStyle w:val="6"/>
        <w:numPr>
          <w:ilvl w:val="0"/>
          <w:numId w:val="19"/>
        </w:numPr>
        <w:spacing w:before="120" w:beforeLines="50" w:line="360" w:lineRule="auto"/>
        <w:ind w:left="357" w:hanging="357"/>
        <w:rPr>
          <w:rFonts w:ascii="Times New Roman" w:hAnsi="Times New Roman"/>
          <w:bCs w:val="0"/>
          <w:color w:val="auto"/>
          <w:sz w:val="24"/>
        </w:rPr>
      </w:pPr>
      <w:bookmarkStart w:id="253" w:name="_Toc130695642"/>
      <w:bookmarkStart w:id="254" w:name="_Toc153615340"/>
      <w:bookmarkStart w:id="255" w:name="_Toc272350666"/>
      <w:bookmarkStart w:id="256" w:name="_Toc185747632"/>
      <w:bookmarkStart w:id="257" w:name="_Toc209258330"/>
      <w:bookmarkStart w:id="258" w:name="_Toc32719"/>
      <w:bookmarkStart w:id="259" w:name="_Toc226521754"/>
      <w:bookmarkStart w:id="260" w:name="_Toc243743411"/>
      <w:bookmarkStart w:id="261" w:name="_Toc191353070"/>
      <w:bookmarkStart w:id="262" w:name="_Toc277758550"/>
      <w:bookmarkStart w:id="263" w:name="_Toc279046921"/>
      <w:bookmarkStart w:id="264" w:name="_Toc271105734"/>
      <w:bookmarkStart w:id="265" w:name="_Toc226966742"/>
      <w:bookmarkStart w:id="266" w:name="_Toc245203939"/>
      <w:bookmarkStart w:id="267" w:name="_Toc243923425"/>
      <w:bookmarkStart w:id="268" w:name="_Toc278958214"/>
      <w:bookmarkStart w:id="269" w:name="_Toc130697234"/>
      <w:r>
        <w:rPr>
          <w:rFonts w:ascii="Times New Roman" w:hAnsi="Times New Roman"/>
          <w:bCs w:val="0"/>
          <w:color w:val="auto"/>
          <w:sz w:val="24"/>
        </w:rPr>
        <w:t>关于评标纪律</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0"/>
          <w:numId w:val="21"/>
        </w:numPr>
        <w:tabs>
          <w:tab w:val="left" w:pos="1050"/>
        </w:tabs>
        <w:spacing w:line="360" w:lineRule="auto"/>
        <w:ind w:left="1050" w:hanging="630"/>
        <w:rPr>
          <w:bCs/>
          <w:color w:val="auto"/>
          <w:sz w:val="24"/>
        </w:rPr>
      </w:pPr>
      <w:r>
        <w:rPr>
          <w:bCs/>
          <w:color w:val="auto"/>
          <w:sz w:val="24"/>
        </w:rPr>
        <w:t>评标委员会成员不得与任何投标人或者与招标结果有利害关系的人进行私下接触，不得收受投标人、中介人、其他利害关系人的财物或者其他好处；</w:t>
      </w:r>
    </w:p>
    <w:p>
      <w:pPr>
        <w:numPr>
          <w:ilvl w:val="0"/>
          <w:numId w:val="21"/>
        </w:numPr>
        <w:tabs>
          <w:tab w:val="left" w:pos="1050"/>
        </w:tabs>
        <w:spacing w:line="360" w:lineRule="auto"/>
        <w:ind w:left="1050" w:hanging="630"/>
        <w:rPr>
          <w:bCs/>
          <w:color w:val="auto"/>
          <w:sz w:val="24"/>
        </w:rPr>
      </w:pPr>
      <w:r>
        <w:rPr>
          <w:bCs/>
          <w:color w:val="auto"/>
          <w:sz w:val="24"/>
        </w:rPr>
        <w:t>评委应本着客观、公正的原则独立给出评价意见；</w:t>
      </w:r>
    </w:p>
    <w:p>
      <w:pPr>
        <w:numPr>
          <w:ilvl w:val="0"/>
          <w:numId w:val="21"/>
        </w:numPr>
        <w:tabs>
          <w:tab w:val="left" w:pos="1050"/>
        </w:tabs>
        <w:spacing w:line="360" w:lineRule="auto"/>
        <w:ind w:left="1050" w:hanging="630"/>
        <w:rPr>
          <w:bCs/>
          <w:color w:val="auto"/>
          <w:sz w:val="24"/>
        </w:rPr>
      </w:pPr>
      <w:r>
        <w:rPr>
          <w:bCs/>
          <w:color w:val="auto"/>
          <w:sz w:val="24"/>
        </w:rPr>
        <w:t>评委之间不得相互串通进行评分；</w:t>
      </w:r>
    </w:p>
    <w:p>
      <w:pPr>
        <w:numPr>
          <w:ilvl w:val="0"/>
          <w:numId w:val="21"/>
        </w:numPr>
        <w:tabs>
          <w:tab w:val="left" w:pos="1050"/>
        </w:tabs>
        <w:spacing w:line="360" w:lineRule="auto"/>
        <w:ind w:left="1050" w:hanging="630"/>
        <w:rPr>
          <w:bCs/>
          <w:color w:val="auto"/>
          <w:sz w:val="24"/>
        </w:rPr>
      </w:pPr>
      <w:r>
        <w:rPr>
          <w:bCs/>
          <w:color w:val="auto"/>
          <w:sz w:val="24"/>
        </w:rPr>
        <w:t>评委不得试图影响其他评委的评价意见；</w:t>
      </w:r>
    </w:p>
    <w:p>
      <w:pPr>
        <w:numPr>
          <w:ilvl w:val="0"/>
          <w:numId w:val="21"/>
        </w:numPr>
        <w:tabs>
          <w:tab w:val="left" w:pos="1050"/>
        </w:tabs>
        <w:spacing w:line="360" w:lineRule="auto"/>
        <w:ind w:left="1050" w:hanging="630"/>
        <w:rPr>
          <w:bCs/>
          <w:color w:val="auto"/>
          <w:sz w:val="24"/>
        </w:rPr>
      </w:pPr>
      <w:r>
        <w:rPr>
          <w:bCs/>
          <w:color w:val="auto"/>
          <w:sz w:val="24"/>
        </w:rPr>
        <w:t>评委应关闭通讯工具或设置为振动状态，并统一交由工作人员保管。</w:t>
      </w:r>
    </w:p>
    <w:p>
      <w:pPr>
        <w:pStyle w:val="6"/>
        <w:numPr>
          <w:ilvl w:val="0"/>
          <w:numId w:val="19"/>
        </w:numPr>
        <w:spacing w:before="120" w:beforeLines="50" w:line="360" w:lineRule="auto"/>
        <w:ind w:left="357" w:hanging="357"/>
        <w:rPr>
          <w:rFonts w:ascii="Times New Roman" w:hAnsi="Times New Roman"/>
          <w:bCs w:val="0"/>
          <w:color w:val="auto"/>
          <w:sz w:val="24"/>
        </w:rPr>
      </w:pPr>
      <w:bookmarkStart w:id="270" w:name="_Toc245203940"/>
      <w:bookmarkStart w:id="271" w:name="_Toc130695643"/>
      <w:bookmarkStart w:id="272" w:name="_Toc191353071"/>
      <w:bookmarkStart w:id="273" w:name="_Toc243743412"/>
      <w:bookmarkStart w:id="274" w:name="_Toc243923426"/>
      <w:bookmarkStart w:id="275" w:name="_Toc271105735"/>
      <w:bookmarkStart w:id="276" w:name="_Toc185747633"/>
      <w:bookmarkStart w:id="277" w:name="_Toc226966743"/>
      <w:bookmarkStart w:id="278" w:name="_Toc279046922"/>
      <w:bookmarkStart w:id="279" w:name="_Toc1622"/>
      <w:bookmarkStart w:id="280" w:name="_Toc153615341"/>
      <w:bookmarkStart w:id="281" w:name="_Toc277758551"/>
      <w:bookmarkStart w:id="282" w:name="_Toc209258331"/>
      <w:bookmarkStart w:id="283" w:name="_Toc278958215"/>
      <w:bookmarkStart w:id="284" w:name="_Toc130697235"/>
      <w:bookmarkStart w:id="285" w:name="_Toc226521755"/>
      <w:bookmarkStart w:id="286" w:name="_Toc272350667"/>
      <w:r>
        <w:rPr>
          <w:rFonts w:ascii="Times New Roman" w:hAnsi="Times New Roman"/>
          <w:bCs w:val="0"/>
          <w:color w:val="auto"/>
          <w:sz w:val="24"/>
        </w:rPr>
        <w:t>关于评标责任</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numPr>
          <w:ilvl w:val="0"/>
          <w:numId w:val="22"/>
        </w:numPr>
        <w:tabs>
          <w:tab w:val="left" w:pos="1050"/>
        </w:tabs>
        <w:spacing w:line="360" w:lineRule="auto"/>
        <w:ind w:hanging="300"/>
        <w:rPr>
          <w:bCs/>
          <w:color w:val="auto"/>
          <w:sz w:val="24"/>
        </w:rPr>
      </w:pPr>
      <w:r>
        <w:rPr>
          <w:bCs/>
          <w:color w:val="auto"/>
          <w:sz w:val="24"/>
        </w:rPr>
        <w:t>评委应在其书面评审意见上签字确认；</w:t>
      </w:r>
    </w:p>
    <w:p>
      <w:pPr>
        <w:numPr>
          <w:ilvl w:val="0"/>
          <w:numId w:val="22"/>
        </w:numPr>
        <w:tabs>
          <w:tab w:val="left" w:pos="1050"/>
        </w:tabs>
        <w:spacing w:line="360" w:lineRule="auto"/>
        <w:ind w:hanging="300"/>
        <w:rPr>
          <w:bCs/>
          <w:color w:val="auto"/>
          <w:sz w:val="24"/>
        </w:rPr>
      </w:pPr>
      <w:r>
        <w:rPr>
          <w:bCs/>
          <w:color w:val="auto"/>
          <w:sz w:val="24"/>
        </w:rPr>
        <w:t>评委对其所提出的评审意见承担个人责任。</w:t>
      </w:r>
    </w:p>
    <w:p>
      <w:pPr>
        <w:pStyle w:val="6"/>
        <w:numPr>
          <w:ilvl w:val="0"/>
          <w:numId w:val="19"/>
        </w:numPr>
        <w:spacing w:before="120" w:beforeLines="50" w:line="360" w:lineRule="auto"/>
        <w:ind w:left="357" w:hanging="357"/>
        <w:rPr>
          <w:rFonts w:ascii="Times New Roman" w:hAnsi="Times New Roman"/>
          <w:bCs w:val="0"/>
          <w:color w:val="auto"/>
          <w:sz w:val="24"/>
        </w:rPr>
      </w:pPr>
      <w:bookmarkStart w:id="287" w:name="_Toc130695644"/>
      <w:bookmarkStart w:id="288" w:name="_Toc272350668"/>
      <w:bookmarkStart w:id="289" w:name="_Toc226966744"/>
      <w:bookmarkStart w:id="290" w:name="_Toc130697236"/>
      <w:bookmarkStart w:id="291" w:name="_Toc245203941"/>
      <w:bookmarkStart w:id="292" w:name="_Toc271105736"/>
      <w:bookmarkStart w:id="293" w:name="_Toc226521756"/>
      <w:bookmarkStart w:id="294" w:name="_Toc153615342"/>
      <w:bookmarkStart w:id="295" w:name="_Toc243743413"/>
      <w:bookmarkStart w:id="296" w:name="_Toc185747634"/>
      <w:bookmarkStart w:id="297" w:name="_Toc278958216"/>
      <w:bookmarkStart w:id="298" w:name="_Toc9324"/>
      <w:bookmarkStart w:id="299" w:name="_Toc277758552"/>
      <w:bookmarkStart w:id="300" w:name="_Toc191353072"/>
      <w:bookmarkStart w:id="301" w:name="_Toc279046923"/>
      <w:bookmarkStart w:id="302" w:name="_Toc243923427"/>
      <w:bookmarkStart w:id="303" w:name="_Toc209258332"/>
      <w:r>
        <w:rPr>
          <w:rFonts w:ascii="Times New Roman" w:hAnsi="Times New Roman"/>
          <w:bCs w:val="0"/>
          <w:color w:val="auto"/>
          <w:sz w:val="24"/>
        </w:rPr>
        <w:t>关于回避</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360" w:lineRule="auto"/>
        <w:ind w:firstLine="480" w:firstLineChars="200"/>
        <w:rPr>
          <w:bCs/>
          <w:color w:val="auto"/>
          <w:sz w:val="24"/>
        </w:rPr>
      </w:pPr>
      <w:r>
        <w:rPr>
          <w:bCs/>
          <w:color w:val="auto"/>
          <w:sz w:val="24"/>
        </w:rPr>
        <w:t>有下列情形之一的，不得担任评标委员会成员，如事先不知情的，应在宣读投标人名单及评标纪律后主动提出回避：</w:t>
      </w:r>
    </w:p>
    <w:p>
      <w:pPr>
        <w:numPr>
          <w:ilvl w:val="0"/>
          <w:numId w:val="23"/>
        </w:numPr>
        <w:tabs>
          <w:tab w:val="left" w:pos="945"/>
          <w:tab w:val="clear" w:pos="720"/>
        </w:tabs>
        <w:spacing w:line="360" w:lineRule="auto"/>
        <w:ind w:left="1050" w:hanging="630"/>
        <w:rPr>
          <w:bCs/>
          <w:color w:val="auto"/>
          <w:sz w:val="24"/>
        </w:rPr>
      </w:pPr>
      <w:r>
        <w:rPr>
          <w:bCs/>
          <w:color w:val="auto"/>
          <w:sz w:val="24"/>
        </w:rPr>
        <w:t>是投标人或者投标人主要负责人的近亲属；</w:t>
      </w:r>
    </w:p>
    <w:p>
      <w:pPr>
        <w:numPr>
          <w:ilvl w:val="0"/>
          <w:numId w:val="23"/>
        </w:numPr>
        <w:tabs>
          <w:tab w:val="left" w:pos="945"/>
          <w:tab w:val="left" w:pos="1050"/>
          <w:tab w:val="clear" w:pos="720"/>
        </w:tabs>
        <w:spacing w:line="360" w:lineRule="auto"/>
        <w:ind w:left="1050" w:hanging="630"/>
        <w:rPr>
          <w:bCs/>
          <w:color w:val="auto"/>
          <w:sz w:val="24"/>
        </w:rPr>
      </w:pPr>
      <w:r>
        <w:rPr>
          <w:bCs/>
          <w:color w:val="auto"/>
          <w:sz w:val="24"/>
        </w:rPr>
        <w:t>是投标项目的上级单位人员；</w:t>
      </w:r>
    </w:p>
    <w:p>
      <w:pPr>
        <w:numPr>
          <w:ilvl w:val="0"/>
          <w:numId w:val="23"/>
        </w:numPr>
        <w:tabs>
          <w:tab w:val="left" w:pos="945"/>
          <w:tab w:val="left" w:pos="1050"/>
          <w:tab w:val="clear" w:pos="720"/>
        </w:tabs>
        <w:spacing w:line="360" w:lineRule="auto"/>
        <w:ind w:left="1050" w:hanging="630"/>
        <w:rPr>
          <w:bCs/>
          <w:color w:val="auto"/>
          <w:sz w:val="24"/>
        </w:rPr>
      </w:pPr>
      <w:r>
        <w:rPr>
          <w:bCs/>
          <w:color w:val="auto"/>
          <w:sz w:val="24"/>
        </w:rPr>
        <w:t>是某投标人的项目主管部门或是某投标人的行政监督部门的人员；</w:t>
      </w:r>
    </w:p>
    <w:p>
      <w:pPr>
        <w:numPr>
          <w:ilvl w:val="0"/>
          <w:numId w:val="23"/>
        </w:numPr>
        <w:tabs>
          <w:tab w:val="left" w:pos="945"/>
          <w:tab w:val="left" w:pos="1050"/>
          <w:tab w:val="clear" w:pos="720"/>
        </w:tabs>
        <w:spacing w:line="360" w:lineRule="auto"/>
        <w:ind w:left="1050" w:hanging="630"/>
        <w:rPr>
          <w:bCs/>
          <w:color w:val="auto"/>
          <w:sz w:val="24"/>
        </w:rPr>
      </w:pPr>
      <w:r>
        <w:rPr>
          <w:bCs/>
          <w:color w:val="auto"/>
          <w:sz w:val="24"/>
        </w:rPr>
        <w:t>与投标人有经济利益关系，可能影响对投标公正评审的；</w:t>
      </w:r>
    </w:p>
    <w:p>
      <w:pPr>
        <w:numPr>
          <w:ilvl w:val="0"/>
          <w:numId w:val="23"/>
        </w:numPr>
        <w:tabs>
          <w:tab w:val="left" w:pos="945"/>
          <w:tab w:val="left" w:pos="1050"/>
          <w:tab w:val="clear" w:pos="720"/>
        </w:tabs>
        <w:spacing w:line="360" w:lineRule="auto"/>
        <w:ind w:left="1050" w:hanging="630"/>
        <w:rPr>
          <w:bCs/>
          <w:color w:val="auto"/>
          <w:sz w:val="24"/>
        </w:rPr>
      </w:pPr>
      <w:r>
        <w:rPr>
          <w:bCs/>
          <w:color w:val="auto"/>
          <w:sz w:val="24"/>
        </w:rPr>
        <w:t>曾因在招标、评标以及其他与招标投标有关活动中从事违法行为而受过行政处罚或刑事处罚的。</w:t>
      </w:r>
    </w:p>
    <w:p>
      <w:pPr>
        <w:pStyle w:val="6"/>
        <w:numPr>
          <w:ilvl w:val="0"/>
          <w:numId w:val="19"/>
        </w:numPr>
        <w:spacing w:before="120" w:beforeLines="50" w:line="360" w:lineRule="auto"/>
        <w:ind w:left="357" w:hanging="357"/>
        <w:rPr>
          <w:rFonts w:ascii="Times New Roman" w:hAnsi="Times New Roman"/>
          <w:bCs w:val="0"/>
          <w:color w:val="auto"/>
          <w:sz w:val="24"/>
        </w:rPr>
      </w:pPr>
      <w:bookmarkStart w:id="304" w:name="_Toc130695645"/>
      <w:bookmarkStart w:id="305" w:name="_Toc130697237"/>
      <w:bookmarkStart w:id="306" w:name="_Toc278958217"/>
      <w:bookmarkStart w:id="307" w:name="_Toc243923428"/>
      <w:bookmarkStart w:id="308" w:name="_Toc14492"/>
      <w:bookmarkStart w:id="309" w:name="_Toc226966745"/>
      <w:bookmarkStart w:id="310" w:name="_Toc243743414"/>
      <w:bookmarkStart w:id="311" w:name="_Toc271105737"/>
      <w:bookmarkStart w:id="312" w:name="_Toc279046924"/>
      <w:bookmarkStart w:id="313" w:name="_Toc226521757"/>
      <w:bookmarkStart w:id="314" w:name="_Toc277758553"/>
      <w:bookmarkStart w:id="315" w:name="_Toc209258333"/>
      <w:bookmarkStart w:id="316" w:name="_Toc272350669"/>
      <w:bookmarkStart w:id="317" w:name="_Toc245203942"/>
      <w:bookmarkStart w:id="318" w:name="_Toc185747635"/>
      <w:bookmarkStart w:id="319" w:name="_Toc153615343"/>
      <w:bookmarkStart w:id="320" w:name="_Toc191353073"/>
      <w:r>
        <w:rPr>
          <w:rFonts w:ascii="Times New Roman" w:hAnsi="Times New Roman"/>
          <w:bCs w:val="0"/>
          <w:color w:val="auto"/>
          <w:sz w:val="24"/>
        </w:rPr>
        <w:t>关于保密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line="360" w:lineRule="auto"/>
        <w:ind w:firstLine="480" w:firstLineChars="200"/>
        <w:rPr>
          <w:bCs/>
          <w:color w:val="auto"/>
          <w:sz w:val="24"/>
        </w:rPr>
      </w:pPr>
      <w:r>
        <w:rPr>
          <w:bCs/>
          <w:color w:val="auto"/>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color w:val="auto"/>
          <w:sz w:val="24"/>
        </w:rPr>
      </w:pPr>
      <w:r>
        <w:rPr>
          <w:bCs/>
          <w:color w:val="auto"/>
          <w:sz w:val="24"/>
        </w:rPr>
        <w:t>前款所称与评标活动有关的工作人员，是指评标委员会成员以外的因参与评标监督工作或者事务性工作而知悉有关评标情况的所有人员。</w:t>
      </w:r>
    </w:p>
    <w:p>
      <w:pPr>
        <w:pStyle w:val="5"/>
        <w:numPr>
          <w:ilvl w:val="0"/>
          <w:numId w:val="16"/>
        </w:numPr>
        <w:spacing w:before="0" w:after="0" w:line="360" w:lineRule="auto"/>
        <w:rPr>
          <w:rFonts w:ascii="Times New Roman" w:hAnsi="Times New Roman" w:eastAsia="宋体"/>
          <w:color w:val="auto"/>
          <w:sz w:val="28"/>
          <w:szCs w:val="28"/>
        </w:rPr>
      </w:pPr>
      <w:bookmarkStart w:id="321" w:name="_Toc243923429"/>
      <w:bookmarkStart w:id="322" w:name="_Toc226966746"/>
      <w:bookmarkStart w:id="323" w:name="_Toc279046925"/>
      <w:bookmarkStart w:id="324" w:name="_Toc272350670"/>
      <w:bookmarkStart w:id="325" w:name="_Toc245203943"/>
      <w:bookmarkStart w:id="326" w:name="_Toc243743415"/>
      <w:bookmarkStart w:id="327" w:name="_Toc130180933"/>
      <w:bookmarkStart w:id="328" w:name="_Toc271105738"/>
      <w:bookmarkStart w:id="329" w:name="_Toc209258334"/>
      <w:bookmarkStart w:id="330" w:name="_Toc130695646"/>
      <w:bookmarkStart w:id="331" w:name="_Toc130180852"/>
      <w:bookmarkStart w:id="332" w:name="_Toc26214"/>
      <w:bookmarkStart w:id="333" w:name="_Toc130697238"/>
      <w:bookmarkStart w:id="334" w:name="_Toc191353074"/>
      <w:bookmarkStart w:id="335" w:name="_Toc130180747"/>
      <w:r>
        <w:rPr>
          <w:rFonts w:ascii="Times New Roman" w:hAnsi="Times New Roman" w:eastAsia="宋体"/>
          <w:color w:val="auto"/>
          <w:sz w:val="28"/>
          <w:szCs w:val="28"/>
        </w:rPr>
        <w:t>评标原则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firstLine="480" w:firstLineChars="200"/>
        <w:rPr>
          <w:bCs/>
          <w:color w:val="auto"/>
          <w:sz w:val="24"/>
        </w:rPr>
      </w:pPr>
      <w:r>
        <w:rPr>
          <w:bCs/>
          <w:color w:val="auto"/>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5"/>
        <w:numPr>
          <w:ilvl w:val="0"/>
          <w:numId w:val="16"/>
        </w:numPr>
        <w:spacing w:before="0" w:after="0" w:line="360" w:lineRule="auto"/>
        <w:rPr>
          <w:rFonts w:ascii="Times New Roman" w:hAnsi="Times New Roman" w:eastAsia="宋体"/>
          <w:color w:val="auto"/>
          <w:sz w:val="28"/>
          <w:szCs w:val="28"/>
        </w:rPr>
      </w:pPr>
      <w:bookmarkStart w:id="336" w:name="_Toc15592"/>
      <w:bookmarkStart w:id="337" w:name="_Toc245203944"/>
      <w:bookmarkStart w:id="338" w:name="_Toc272350671"/>
      <w:bookmarkStart w:id="339" w:name="_Toc130180853"/>
      <w:bookmarkStart w:id="340" w:name="_Toc243923430"/>
      <w:bookmarkStart w:id="341" w:name="_Toc271105739"/>
      <w:bookmarkStart w:id="342" w:name="_Toc226966747"/>
      <w:bookmarkStart w:id="343" w:name="_Toc191353075"/>
      <w:bookmarkStart w:id="344" w:name="_Toc130695647"/>
      <w:bookmarkStart w:id="345" w:name="_Toc130180934"/>
      <w:bookmarkStart w:id="346" w:name="_Toc130697239"/>
      <w:bookmarkStart w:id="347" w:name="_Toc243743416"/>
      <w:bookmarkStart w:id="348" w:name="_Toc130180748"/>
      <w:bookmarkStart w:id="349" w:name="_Toc279046926"/>
      <w:bookmarkStart w:id="350" w:name="_Toc209258335"/>
      <w:r>
        <w:rPr>
          <w:rFonts w:ascii="Times New Roman" w:hAnsi="Times New Roman" w:eastAsia="宋体"/>
          <w:color w:val="auto"/>
          <w:sz w:val="28"/>
          <w:szCs w:val="28"/>
        </w:rPr>
        <w:t>评标方法及流程</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6"/>
        <w:numPr>
          <w:ilvl w:val="0"/>
          <w:numId w:val="24"/>
        </w:numPr>
        <w:spacing w:before="120" w:beforeLines="50" w:line="360" w:lineRule="auto"/>
        <w:ind w:left="357" w:hanging="357"/>
        <w:rPr>
          <w:rFonts w:ascii="Times New Roman" w:hAnsi="Times New Roman"/>
          <w:bCs w:val="0"/>
          <w:color w:val="auto"/>
          <w:sz w:val="24"/>
        </w:rPr>
      </w:pPr>
      <w:bookmarkStart w:id="351" w:name="_Toc245203945"/>
      <w:bookmarkStart w:id="352" w:name="_Toc226966748"/>
      <w:bookmarkStart w:id="353" w:name="_Toc153615346"/>
      <w:bookmarkStart w:id="354" w:name="_Toc209258336"/>
      <w:bookmarkStart w:id="355" w:name="_Toc279046927"/>
      <w:bookmarkStart w:id="356" w:name="_Toc191353076"/>
      <w:bookmarkStart w:id="357" w:name="_Toc278958220"/>
      <w:bookmarkStart w:id="358" w:name="_Toc272350672"/>
      <w:bookmarkStart w:id="359" w:name="_Toc31987"/>
      <w:bookmarkStart w:id="360" w:name="_Toc226521760"/>
      <w:bookmarkStart w:id="361" w:name="_Toc277758556"/>
      <w:bookmarkStart w:id="362" w:name="_Toc130697240"/>
      <w:bookmarkStart w:id="363" w:name="_Toc243923431"/>
      <w:bookmarkStart w:id="364" w:name="_Toc271105740"/>
      <w:bookmarkStart w:id="365" w:name="_Toc243743417"/>
      <w:bookmarkStart w:id="366" w:name="_Toc130695648"/>
      <w:bookmarkStart w:id="367" w:name="_Toc185747638"/>
      <w:r>
        <w:rPr>
          <w:rFonts w:ascii="Times New Roman" w:hAnsi="Times New Roman"/>
          <w:bCs w:val="0"/>
          <w:color w:val="auto"/>
          <w:sz w:val="24"/>
        </w:rPr>
        <w:t>评标方法</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line="360" w:lineRule="auto"/>
        <w:ind w:firstLine="480" w:firstLineChars="200"/>
        <w:rPr>
          <w:bCs/>
          <w:color w:val="auto"/>
          <w:sz w:val="24"/>
        </w:rPr>
      </w:pPr>
      <w:r>
        <w:rPr>
          <w:bCs/>
          <w:color w:val="auto"/>
          <w:sz w:val="24"/>
        </w:rPr>
        <w:t>本次招标的评标方法采用综合评分方法。</w:t>
      </w:r>
    </w:p>
    <w:p>
      <w:pPr>
        <w:pStyle w:val="6"/>
        <w:numPr>
          <w:ilvl w:val="0"/>
          <w:numId w:val="24"/>
        </w:numPr>
        <w:spacing w:before="120" w:beforeLines="50" w:line="360" w:lineRule="auto"/>
        <w:ind w:left="357" w:hanging="357"/>
        <w:rPr>
          <w:rFonts w:ascii="Times New Roman" w:hAnsi="Times New Roman"/>
          <w:bCs w:val="0"/>
          <w:color w:val="auto"/>
          <w:sz w:val="24"/>
        </w:rPr>
      </w:pPr>
      <w:bookmarkStart w:id="368" w:name="_Toc153615347"/>
      <w:bookmarkStart w:id="369" w:name="_Toc243923432"/>
      <w:bookmarkStart w:id="370" w:name="_Toc226521761"/>
      <w:bookmarkStart w:id="371" w:name="_Toc130697241"/>
      <w:bookmarkStart w:id="372" w:name="_Toc243743418"/>
      <w:bookmarkStart w:id="373" w:name="_Toc2186"/>
      <w:bookmarkStart w:id="374" w:name="_Toc278958221"/>
      <w:bookmarkStart w:id="375" w:name="_Toc279046928"/>
      <w:bookmarkStart w:id="376" w:name="_Toc185747639"/>
      <w:bookmarkStart w:id="377" w:name="_Toc277758557"/>
      <w:bookmarkStart w:id="378" w:name="_Toc271105741"/>
      <w:bookmarkStart w:id="379" w:name="_Toc226966749"/>
      <w:bookmarkStart w:id="380" w:name="_Toc245203946"/>
      <w:bookmarkStart w:id="381" w:name="_Toc191353077"/>
      <w:bookmarkStart w:id="382" w:name="_Toc209258337"/>
      <w:bookmarkStart w:id="383" w:name="_Toc130695649"/>
      <w:bookmarkStart w:id="384" w:name="_Toc272350673"/>
      <w:r>
        <w:rPr>
          <w:rFonts w:ascii="Times New Roman" w:hAnsi="Times New Roman"/>
          <w:bCs w:val="0"/>
          <w:color w:val="auto"/>
          <w:sz w:val="24"/>
        </w:rPr>
        <w:t>评标流程</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80" w:firstLineChars="200"/>
        <w:rPr>
          <w:bCs/>
          <w:color w:val="auto"/>
          <w:sz w:val="24"/>
        </w:rPr>
      </w:pPr>
      <w:r>
        <w:rPr>
          <w:bCs/>
          <w:color w:val="auto"/>
          <w:sz w:val="24"/>
        </w:rPr>
        <w:t>评标分两个阶段进行：投标文件符合性审查和投标文件详细评审。具体方法及流程如下：</w:t>
      </w:r>
    </w:p>
    <w:p>
      <w:pPr>
        <w:spacing w:line="360" w:lineRule="auto"/>
        <w:rPr>
          <w:bCs/>
          <w:color w:val="auto"/>
          <w:sz w:val="24"/>
        </w:rPr>
      </w:pPr>
      <w:r>
        <w:rPr>
          <w:bCs/>
          <w:color w:val="auto"/>
          <w:sz w:val="24"/>
        </w:rPr>
        <w:t>（1）投标文件符合性审查</w:t>
      </w:r>
    </w:p>
    <w:p>
      <w:pPr>
        <w:spacing w:line="360" w:lineRule="auto"/>
        <w:ind w:firstLine="480" w:firstLineChars="200"/>
        <w:rPr>
          <w:bCs/>
          <w:color w:val="auto"/>
          <w:sz w:val="24"/>
        </w:rPr>
      </w:pPr>
      <w:r>
        <w:rPr>
          <w:bCs/>
          <w:color w:val="auto"/>
          <w:sz w:val="24"/>
        </w:rPr>
        <w:t>各评委对各投标文件按照</w:t>
      </w:r>
      <w:r>
        <w:rPr>
          <w:rFonts w:hint="eastAsia"/>
          <w:bCs/>
          <w:color w:val="auto"/>
          <w:sz w:val="24"/>
          <w:lang w:eastAsia="zh-CN"/>
        </w:rPr>
        <w:t>磋商</w:t>
      </w:r>
      <w:r>
        <w:rPr>
          <w:bCs/>
          <w:color w:val="auto"/>
          <w:sz w:val="24"/>
        </w:rPr>
        <w:t>文件要求的响应情况进行符合性审查。符合性审查必须根据</w:t>
      </w:r>
      <w:r>
        <w:rPr>
          <w:rFonts w:hint="eastAsia"/>
          <w:bCs/>
          <w:color w:val="auto"/>
          <w:sz w:val="24"/>
          <w:lang w:eastAsia="zh-CN"/>
        </w:rPr>
        <w:t>磋商</w:t>
      </w:r>
      <w:r>
        <w:rPr>
          <w:bCs/>
          <w:color w:val="auto"/>
          <w:sz w:val="24"/>
        </w:rPr>
        <w:t>文件中对投标人的要求和投标文件中的响应进行。</w:t>
      </w:r>
    </w:p>
    <w:p>
      <w:pPr>
        <w:spacing w:line="360" w:lineRule="auto"/>
        <w:ind w:left="-2" w:leftChars="-1" w:firstLine="480" w:firstLineChars="200"/>
        <w:jc w:val="left"/>
        <w:rPr>
          <w:bCs/>
          <w:color w:val="auto"/>
          <w:sz w:val="24"/>
        </w:rPr>
      </w:pPr>
      <w:r>
        <w:rPr>
          <w:bCs/>
          <w:color w:val="auto"/>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color w:val="auto"/>
          <w:sz w:val="24"/>
        </w:rPr>
      </w:pPr>
      <w:r>
        <w:rPr>
          <w:bCs/>
          <w:color w:val="auto"/>
          <w:sz w:val="24"/>
        </w:rPr>
        <w:t>在评审中发现关键指标/参数/货物/功能等未能达到</w:t>
      </w:r>
      <w:r>
        <w:rPr>
          <w:rFonts w:hint="eastAsia"/>
          <w:bCs/>
          <w:color w:val="auto"/>
          <w:sz w:val="24"/>
          <w:lang w:eastAsia="zh-CN"/>
        </w:rPr>
        <w:t>磋商</w:t>
      </w:r>
      <w:r>
        <w:rPr>
          <w:bCs/>
          <w:color w:val="auto"/>
          <w:sz w:val="24"/>
        </w:rPr>
        <w:t>文件中的规定或有虚假情况时，评标委员会有权取消其投标资格。</w:t>
      </w:r>
    </w:p>
    <w:p>
      <w:pPr>
        <w:spacing w:line="500" w:lineRule="exact"/>
        <w:ind w:firstLine="240" w:firstLineChars="100"/>
        <w:rPr>
          <w:rFonts w:ascii="宋体" w:hAnsi="宋体"/>
          <w:color w:val="auto"/>
          <w:kern w:val="0"/>
          <w:sz w:val="24"/>
          <w:szCs w:val="24"/>
        </w:rPr>
      </w:pPr>
      <w:r>
        <w:rPr>
          <w:bCs/>
          <w:color w:val="auto"/>
          <w:sz w:val="24"/>
        </w:rPr>
        <w:t>投标人只有完全通过符合性审查，才能进入下一阶段的详细评审，否则视为无效投标。</w:t>
      </w:r>
      <w:r>
        <w:rPr>
          <w:rFonts w:ascii="宋体" w:hAnsi="宋体"/>
          <w:color w:val="auto"/>
          <w:kern w:val="0"/>
          <w:sz w:val="24"/>
          <w:szCs w:val="24"/>
        </w:rPr>
        <w:t xml:space="preserve">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bCs/>
          <w:color w:val="auto"/>
          <w:sz w:val="24"/>
        </w:rPr>
      </w:pPr>
      <w:r>
        <w:rPr>
          <w:rFonts w:hint="eastAsia" w:ascii="宋体" w:hAnsi="宋体"/>
          <w:color w:val="auto"/>
          <w:kern w:val="0"/>
          <w:sz w:val="24"/>
          <w:szCs w:val="24"/>
        </w:rPr>
        <w:t>(六)法律、法规和招标文件规定的其他无效情形。</w:t>
      </w:r>
    </w:p>
    <w:p>
      <w:pPr>
        <w:spacing w:line="360" w:lineRule="auto"/>
        <w:rPr>
          <w:bCs/>
          <w:color w:val="auto"/>
          <w:sz w:val="24"/>
        </w:rPr>
      </w:pPr>
      <w:r>
        <w:rPr>
          <w:bCs/>
          <w:color w:val="auto"/>
          <w:sz w:val="24"/>
        </w:rPr>
        <w:t>（2）投标文件详细评审</w:t>
      </w:r>
    </w:p>
    <w:p>
      <w:pPr>
        <w:spacing w:line="360" w:lineRule="auto"/>
        <w:ind w:firstLine="480" w:firstLineChars="200"/>
        <w:rPr>
          <w:bCs/>
          <w:color w:val="auto"/>
          <w:sz w:val="24"/>
        </w:rPr>
      </w:pPr>
      <w:r>
        <w:rPr>
          <w:bCs/>
          <w:color w:val="auto"/>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bCs/>
          <w:color w:val="auto"/>
          <w:sz w:val="24"/>
          <w:lang w:eastAsia="zh-CN"/>
        </w:rPr>
        <w:t>，</w:t>
      </w:r>
      <w:r>
        <w:rPr>
          <w:bCs/>
          <w:color w:val="auto"/>
          <w:sz w:val="24"/>
        </w:rPr>
        <w:t>第</w:t>
      </w:r>
      <w:r>
        <w:rPr>
          <w:rFonts w:hint="eastAsia"/>
          <w:bCs/>
          <w:color w:val="auto"/>
          <w:sz w:val="24"/>
          <w:lang w:val="en-US" w:eastAsia="zh-CN"/>
        </w:rPr>
        <w:t>三</w:t>
      </w:r>
      <w:r>
        <w:rPr>
          <w:bCs/>
          <w:color w:val="auto"/>
          <w:sz w:val="24"/>
        </w:rPr>
        <w:t>中标候选单位一名。</w:t>
      </w:r>
    </w:p>
    <w:p>
      <w:pPr>
        <w:spacing w:line="360" w:lineRule="auto"/>
        <w:ind w:firstLine="480" w:firstLineChars="200"/>
        <w:rPr>
          <w:bCs/>
          <w:color w:val="auto"/>
          <w:sz w:val="24"/>
        </w:rPr>
      </w:pPr>
      <w:r>
        <w:rPr>
          <w:bCs/>
          <w:color w:val="auto"/>
          <w:sz w:val="24"/>
        </w:rPr>
        <w:t>当通过符合性审查的投标人少于三家时，评标委员会否决所有投标文件，提请依法重新招标。</w:t>
      </w:r>
    </w:p>
    <w:p>
      <w:pPr>
        <w:pStyle w:val="6"/>
        <w:numPr>
          <w:ilvl w:val="0"/>
          <w:numId w:val="24"/>
        </w:numPr>
        <w:spacing w:before="120" w:beforeLines="50" w:line="360" w:lineRule="auto"/>
        <w:ind w:left="357" w:hanging="357"/>
        <w:rPr>
          <w:rFonts w:ascii="Times New Roman" w:hAnsi="Times New Roman"/>
          <w:bCs w:val="0"/>
          <w:color w:val="auto"/>
          <w:sz w:val="24"/>
        </w:rPr>
      </w:pPr>
      <w:bookmarkStart w:id="385" w:name="_Toc209258338"/>
      <w:bookmarkStart w:id="386" w:name="_Toc185747640"/>
      <w:bookmarkStart w:id="387" w:name="_Toc245203947"/>
      <w:bookmarkStart w:id="388" w:name="_Toc191353078"/>
      <w:bookmarkStart w:id="389" w:name="_Toc243923433"/>
      <w:bookmarkStart w:id="390" w:name="_Toc226966750"/>
      <w:bookmarkStart w:id="391" w:name="_Toc278958222"/>
      <w:bookmarkStart w:id="392" w:name="_Toc279046929"/>
      <w:bookmarkStart w:id="393" w:name="_Toc272350674"/>
      <w:bookmarkStart w:id="394" w:name="_Toc226521762"/>
      <w:bookmarkStart w:id="395" w:name="_Toc243743419"/>
      <w:bookmarkStart w:id="396" w:name="_Toc130695650"/>
      <w:bookmarkStart w:id="397" w:name="_Toc277758558"/>
      <w:bookmarkStart w:id="398" w:name="_Toc271105742"/>
      <w:bookmarkStart w:id="399" w:name="_Toc32591"/>
      <w:bookmarkStart w:id="400" w:name="_Toc130697242"/>
      <w:bookmarkStart w:id="401" w:name="_Toc153615348"/>
      <w:r>
        <w:rPr>
          <w:rFonts w:ascii="Times New Roman" w:hAnsi="Times New Roman"/>
          <w:bCs w:val="0"/>
          <w:color w:val="auto"/>
          <w:sz w:val="24"/>
        </w:rPr>
        <w:t>投标文件的澄清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numPr>
          <w:ilvl w:val="0"/>
          <w:numId w:val="25"/>
        </w:numPr>
        <w:tabs>
          <w:tab w:val="left" w:pos="1155"/>
        </w:tabs>
        <w:spacing w:line="360" w:lineRule="auto"/>
        <w:ind w:left="0" w:firstLine="525"/>
        <w:rPr>
          <w:color w:val="auto"/>
          <w:sz w:val="24"/>
        </w:rPr>
      </w:pPr>
      <w:r>
        <w:rPr>
          <w:color w:val="auto"/>
          <w:sz w:val="24"/>
        </w:rPr>
        <w:t>对投标文件中含义不明确、同类问题表述不一致或者有明显文字和计算错误的内容，评标委员会可以书面形式要求投标人作出必要的澄清和说明。</w:t>
      </w:r>
    </w:p>
    <w:p>
      <w:pPr>
        <w:numPr>
          <w:ilvl w:val="0"/>
          <w:numId w:val="25"/>
        </w:numPr>
        <w:tabs>
          <w:tab w:val="left" w:pos="1155"/>
        </w:tabs>
        <w:spacing w:line="360" w:lineRule="auto"/>
        <w:ind w:left="0" w:firstLine="525"/>
        <w:rPr>
          <w:color w:val="auto"/>
          <w:sz w:val="24"/>
        </w:rPr>
      </w:pPr>
      <w:r>
        <w:rPr>
          <w:color w:val="auto"/>
          <w:sz w:val="24"/>
        </w:rPr>
        <w:t>投标人的澄清和说明应当采用书面形式，由其授权的代表签字，并不得超出投标文件的范围或者改变投标文件的实质性内容。</w:t>
      </w:r>
    </w:p>
    <w:p>
      <w:pPr>
        <w:numPr>
          <w:ilvl w:val="0"/>
          <w:numId w:val="25"/>
        </w:numPr>
        <w:tabs>
          <w:tab w:val="left" w:pos="1155"/>
        </w:tabs>
        <w:spacing w:line="360" w:lineRule="auto"/>
        <w:ind w:left="0" w:firstLine="525"/>
        <w:rPr>
          <w:color w:val="auto"/>
          <w:sz w:val="24"/>
        </w:rPr>
      </w:pPr>
      <w:r>
        <w:rPr>
          <w:color w:val="auto"/>
          <w:sz w:val="24"/>
        </w:rPr>
        <w:t>除上述规定的情形之外，评标委员会在评审过程中，不得接收来自评审现场以外的任何形式的文件资料。</w:t>
      </w:r>
    </w:p>
    <w:p>
      <w:pPr>
        <w:pStyle w:val="5"/>
        <w:numPr>
          <w:ilvl w:val="0"/>
          <w:numId w:val="16"/>
        </w:numPr>
        <w:spacing w:before="0" w:after="0" w:line="360" w:lineRule="auto"/>
        <w:rPr>
          <w:rFonts w:ascii="Times New Roman" w:hAnsi="Times New Roman" w:eastAsia="宋体"/>
          <w:color w:val="auto"/>
          <w:sz w:val="28"/>
          <w:szCs w:val="28"/>
        </w:rPr>
      </w:pPr>
      <w:bookmarkStart w:id="402" w:name="_Toc6227"/>
      <w:bookmarkStart w:id="403" w:name="_Toc130697243"/>
      <w:bookmarkStart w:id="404" w:name="_Toc243743420"/>
      <w:bookmarkStart w:id="405" w:name="_Toc245203948"/>
      <w:bookmarkStart w:id="406" w:name="_Toc279046930"/>
      <w:bookmarkStart w:id="407" w:name="_Toc226966751"/>
      <w:bookmarkStart w:id="408" w:name="_Toc272350675"/>
      <w:bookmarkStart w:id="409" w:name="_Toc130695651"/>
      <w:bookmarkStart w:id="410" w:name="_Toc130180935"/>
      <w:bookmarkStart w:id="411" w:name="_Toc191353079"/>
      <w:bookmarkStart w:id="412" w:name="_Toc271105743"/>
      <w:bookmarkStart w:id="413" w:name="_Toc130180749"/>
      <w:bookmarkStart w:id="414" w:name="_Toc243923434"/>
      <w:bookmarkStart w:id="415" w:name="_Toc130180854"/>
      <w:bookmarkStart w:id="416" w:name="_Toc209258339"/>
      <w:r>
        <w:rPr>
          <w:rFonts w:ascii="Times New Roman" w:hAnsi="Times New Roman" w:eastAsia="宋体"/>
          <w:color w:val="auto"/>
          <w:sz w:val="28"/>
          <w:szCs w:val="28"/>
        </w:rPr>
        <w:t>废标处理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color w:val="auto"/>
          <w:sz w:val="24"/>
        </w:rPr>
      </w:pPr>
      <w:r>
        <w:rPr>
          <w:color w:val="auto"/>
          <w:sz w:val="24"/>
        </w:rPr>
        <w:t>下列情况出现将视为招标失败，即废标：</w:t>
      </w:r>
    </w:p>
    <w:p>
      <w:pPr>
        <w:pStyle w:val="13"/>
        <w:numPr>
          <w:ilvl w:val="0"/>
          <w:numId w:val="26"/>
        </w:numPr>
        <w:rPr>
          <w:rFonts w:ascii="Times New Roman" w:hAnsi="Times New Roman"/>
          <w:color w:val="auto"/>
        </w:rPr>
      </w:pPr>
      <w:r>
        <w:rPr>
          <w:rFonts w:ascii="Times New Roman" w:hAnsi="Times New Roman"/>
          <w:color w:val="auto"/>
        </w:rPr>
        <w:t>符合专业条件的投标人或者对</w:t>
      </w:r>
      <w:r>
        <w:rPr>
          <w:rFonts w:hint="eastAsia" w:ascii="Times New Roman" w:hAnsi="Times New Roman"/>
          <w:color w:val="auto"/>
          <w:lang w:eastAsia="zh-CN"/>
        </w:rPr>
        <w:t>磋商</w:t>
      </w:r>
      <w:r>
        <w:rPr>
          <w:rFonts w:ascii="Times New Roman" w:hAnsi="Times New Roman"/>
          <w:color w:val="auto"/>
        </w:rPr>
        <w:t>文件作实质响应的投标人不足三家的；</w:t>
      </w:r>
    </w:p>
    <w:p>
      <w:pPr>
        <w:spacing w:line="360" w:lineRule="auto"/>
        <w:ind w:left="840" w:leftChars="400" w:firstLine="480" w:firstLineChars="200"/>
        <w:rPr>
          <w:color w:val="auto"/>
          <w:sz w:val="24"/>
          <w:u w:val="single"/>
        </w:rPr>
      </w:pPr>
      <w:r>
        <w:rPr>
          <w:color w:val="auto"/>
          <w:sz w:val="24"/>
        </w:rPr>
        <w:t>特别说明：</w:t>
      </w:r>
      <w:r>
        <w:rPr>
          <w:color w:val="auto"/>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3"/>
        <w:numPr>
          <w:ilvl w:val="0"/>
          <w:numId w:val="26"/>
        </w:numPr>
        <w:rPr>
          <w:rFonts w:ascii="Times New Roman" w:hAnsi="Times New Roman"/>
          <w:color w:val="auto"/>
        </w:rPr>
      </w:pPr>
      <w:r>
        <w:rPr>
          <w:rFonts w:ascii="Times New Roman" w:hAnsi="Times New Roman"/>
          <w:color w:val="auto"/>
        </w:rPr>
        <w:t>出现影响采购公正的违法、违规行为的；</w:t>
      </w:r>
    </w:p>
    <w:p>
      <w:pPr>
        <w:pStyle w:val="13"/>
        <w:numPr>
          <w:ilvl w:val="0"/>
          <w:numId w:val="26"/>
        </w:numPr>
        <w:rPr>
          <w:rFonts w:ascii="Times New Roman" w:hAnsi="Times New Roman"/>
          <w:color w:val="auto"/>
        </w:rPr>
      </w:pPr>
      <w:r>
        <w:rPr>
          <w:rFonts w:ascii="Times New Roman" w:hAnsi="Times New Roman"/>
          <w:color w:val="auto"/>
        </w:rPr>
        <w:t>投标人的报价均超过了采购预算，采购人不能支付的；</w:t>
      </w:r>
    </w:p>
    <w:p>
      <w:pPr>
        <w:pStyle w:val="13"/>
        <w:numPr>
          <w:ilvl w:val="0"/>
          <w:numId w:val="26"/>
        </w:numPr>
        <w:rPr>
          <w:rFonts w:ascii="Times New Roman" w:hAnsi="Times New Roman"/>
          <w:color w:val="auto"/>
        </w:rPr>
      </w:pPr>
      <w:r>
        <w:rPr>
          <w:rFonts w:ascii="Times New Roman" w:hAnsi="Times New Roman"/>
          <w:color w:val="auto"/>
        </w:rPr>
        <w:t>因重大变故，采购任务取消的。</w:t>
      </w:r>
    </w:p>
    <w:p>
      <w:pPr>
        <w:pStyle w:val="5"/>
        <w:numPr>
          <w:ilvl w:val="0"/>
          <w:numId w:val="16"/>
        </w:numPr>
        <w:spacing w:before="0" w:after="0" w:line="360" w:lineRule="auto"/>
        <w:rPr>
          <w:rFonts w:ascii="Times New Roman" w:hAnsi="Times New Roman" w:eastAsia="宋体"/>
          <w:color w:val="auto"/>
          <w:sz w:val="28"/>
          <w:szCs w:val="28"/>
          <w:highlight w:val="none"/>
        </w:rPr>
      </w:pPr>
      <w:bookmarkStart w:id="417" w:name="附表1"/>
      <w:bookmarkEnd w:id="417"/>
      <w:bookmarkStart w:id="418" w:name="_Toc130180750"/>
      <w:bookmarkStart w:id="419" w:name="_Toc130695652"/>
      <w:bookmarkStart w:id="420" w:name="_Toc279046931"/>
      <w:bookmarkStart w:id="421" w:name="_Toc209258340"/>
      <w:bookmarkStart w:id="422" w:name="_Toc226966752"/>
      <w:bookmarkStart w:id="423" w:name="_Toc272350676"/>
      <w:bookmarkStart w:id="424" w:name="_Toc243743421"/>
      <w:bookmarkStart w:id="425" w:name="_Toc245203949"/>
      <w:bookmarkStart w:id="426" w:name="_Toc130697244"/>
      <w:bookmarkStart w:id="427" w:name="_Toc271105744"/>
      <w:bookmarkStart w:id="428" w:name="_Toc130180855"/>
      <w:bookmarkStart w:id="429" w:name="_Toc191353080"/>
      <w:bookmarkStart w:id="430" w:name="_Toc243923435"/>
      <w:bookmarkStart w:id="431" w:name="_Toc130180936"/>
      <w:bookmarkStart w:id="432" w:name="_Toc14205"/>
      <w:r>
        <w:rPr>
          <w:rFonts w:ascii="Times New Roman" w:hAnsi="Times New Roman" w:eastAsia="宋体"/>
          <w:color w:val="auto"/>
          <w:sz w:val="28"/>
          <w:szCs w:val="28"/>
          <w:highlight w:val="none"/>
        </w:rPr>
        <w:t>评分标准</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bl>
      <w:tblPr>
        <w:tblStyle w:val="20"/>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bookmarkStart w:id="433" w:name="_Toc185747645"/>
            <w:bookmarkStart w:id="434" w:name="_Toc272350679"/>
            <w:bookmarkStart w:id="435" w:name="_Toc191353083"/>
            <w:bookmarkStart w:id="436" w:name="_Toc226966755"/>
            <w:bookmarkStart w:id="437" w:name="_Toc245203952"/>
            <w:bookmarkStart w:id="438" w:name="_Toc153615353"/>
            <w:bookmarkStart w:id="439" w:name="_Toc130695655"/>
            <w:bookmarkStart w:id="440" w:name="_Toc226521767"/>
            <w:bookmarkStart w:id="441" w:name="_Toc278958227"/>
            <w:bookmarkStart w:id="442" w:name="_Toc209258343"/>
            <w:bookmarkStart w:id="443" w:name="_Toc130697247"/>
            <w:bookmarkStart w:id="444" w:name="_Toc277758563"/>
            <w:bookmarkStart w:id="445" w:name="_Toc6359"/>
            <w:bookmarkStart w:id="446" w:name="_Toc271105747"/>
            <w:bookmarkStart w:id="447" w:name="_Toc243743424"/>
            <w:bookmarkStart w:id="448" w:name="_Toc279046934"/>
            <w:bookmarkStart w:id="449" w:name="_Toc243923438"/>
            <w:r>
              <w:rPr>
                <w:rFonts w:hint="eastAsia" w:ascii="宋体" w:hAnsi="宋体"/>
                <w:color w:val="auto"/>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auto"/>
                <w:sz w:val="24"/>
                <w:szCs w:val="24"/>
              </w:rPr>
            </w:pPr>
            <w:r>
              <w:rPr>
                <w:rFonts w:hint="eastAsia" w:ascii="宋体" w:hAnsi="宋体" w:cs="仿宋_GB2312"/>
                <w:b/>
                <w:bCs/>
                <w:color w:val="auto"/>
                <w:sz w:val="24"/>
                <w:szCs w:val="24"/>
              </w:rPr>
              <w:t>商务部分(报价得分)</w:t>
            </w:r>
          </w:p>
          <w:p>
            <w:pPr>
              <w:spacing w:line="440" w:lineRule="exact"/>
              <w:jc w:val="center"/>
              <w:rPr>
                <w:rFonts w:ascii="宋体" w:hAnsi="宋体"/>
                <w:color w:val="auto"/>
                <w:sz w:val="24"/>
                <w:szCs w:val="24"/>
              </w:rPr>
            </w:pPr>
            <w:r>
              <w:rPr>
                <w:rFonts w:hint="eastAsia" w:ascii="宋体" w:hAnsi="宋体" w:cs="仿宋_GB2312"/>
                <w:b/>
                <w:bCs/>
                <w:color w:val="auto"/>
                <w:sz w:val="24"/>
                <w:szCs w:val="24"/>
                <w:lang w:val="en-US" w:eastAsia="zh-CN"/>
              </w:rPr>
              <w:t>3</w:t>
            </w:r>
            <w:r>
              <w:rPr>
                <w:rFonts w:hint="eastAsia" w:ascii="宋体" w:hAnsi="宋体" w:cs="仿宋_GB2312"/>
                <w:b/>
                <w:bCs/>
                <w:color w:val="auto"/>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报价得分=(评标基准价/投标报价)×</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0%×100</w:t>
            </w:r>
          </w:p>
          <w:p>
            <w:pPr>
              <w:adjustRightInd w:val="0"/>
              <w:snapToGrid w:val="0"/>
              <w:spacing w:line="440" w:lineRule="exact"/>
              <w:jc w:val="left"/>
              <w:rPr>
                <w:rFonts w:ascii="宋体" w:hAnsi="宋体"/>
                <w:color w:val="auto"/>
                <w:sz w:val="24"/>
                <w:szCs w:val="24"/>
              </w:rPr>
            </w:pPr>
            <w:r>
              <w:rPr>
                <w:rFonts w:hint="eastAsia" w:ascii="宋体" w:hAnsi="宋体" w:cs="仿宋_GB2312"/>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s="仿宋_GB2312"/>
                <w:b/>
                <w:bCs/>
                <w:color w:val="auto"/>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（一）中小企业（含中型、小型、微型企业）应当同时符合以下条件：</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③小型、微型企业提供中型企业制造的货物的，视同为中型企业。</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（二）价格扣除办法：</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（三）小型和微型企业适用价格扣除办法时应提供的相关资料：</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①、《中小企业声明函》；</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②、提供投标人工商行政登记所在地管理部门出具的小微企业证明文件。</w:t>
            </w:r>
          </w:p>
          <w:p>
            <w:pPr>
              <w:pStyle w:val="13"/>
              <w:snapToGrid w:val="0"/>
              <w:spacing w:line="440" w:lineRule="exact"/>
              <w:ind w:left="0" w:leftChars="0" w:firstLine="0" w:firstLineChars="0"/>
              <w:rPr>
                <w:rFonts w:cs="仿宋_GB2312"/>
                <w:color w:val="auto"/>
                <w:sz w:val="24"/>
                <w:szCs w:val="24"/>
              </w:rPr>
            </w:pPr>
            <w:r>
              <w:rPr>
                <w:rFonts w:hint="eastAsia" w:cs="仿宋_GB2312"/>
                <w:color w:val="auto"/>
                <w:sz w:val="24"/>
                <w:szCs w:val="24"/>
              </w:rPr>
              <w:t>③、提供所代理产品生产厂家的属地主管部门出具的小微企业证明文件；</w:t>
            </w:r>
          </w:p>
          <w:p>
            <w:pPr>
              <w:pStyle w:val="13"/>
              <w:snapToGrid w:val="0"/>
              <w:spacing w:line="440" w:lineRule="exact"/>
              <w:rPr>
                <w:color w:val="auto"/>
                <w:sz w:val="24"/>
                <w:szCs w:val="24"/>
              </w:rPr>
            </w:pPr>
            <w:r>
              <w:rPr>
                <w:rFonts w:hint="eastAsia"/>
                <w:color w:val="auto"/>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color w:val="auto"/>
                <w:sz w:val="24"/>
                <w:szCs w:val="24"/>
              </w:rPr>
            </w:pPr>
            <w:r>
              <w:rPr>
                <w:rFonts w:hint="eastAsia" w:hAnsi="宋体"/>
                <w:b/>
                <w:color w:val="auto"/>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line="400" w:lineRule="exact"/>
              <w:rPr>
                <w:color w:val="auto"/>
                <w:sz w:val="24"/>
                <w:szCs w:val="24"/>
              </w:rPr>
            </w:pPr>
            <w:r>
              <w:rPr>
                <w:rFonts w:hint="eastAsia"/>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color w:val="auto"/>
                <w:sz w:val="24"/>
                <w:szCs w:val="24"/>
              </w:rPr>
            </w:pPr>
            <w:r>
              <w:rPr>
                <w:rFonts w:hint="eastAsia"/>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color w:val="auto"/>
                <w:sz w:val="24"/>
                <w:szCs w:val="24"/>
              </w:rPr>
            </w:pPr>
            <w:r>
              <w:rPr>
                <w:rFonts w:hint="eastAsia"/>
                <w:color w:val="auto"/>
                <w:sz w:val="24"/>
                <w:szCs w:val="24"/>
              </w:rPr>
              <w:t>注：1、提供最新《节能产品政府采购清单》关于投标产品当前页的打印件；</w:t>
            </w:r>
          </w:p>
          <w:p>
            <w:pPr>
              <w:pStyle w:val="13"/>
              <w:spacing w:line="440" w:lineRule="exact"/>
              <w:jc w:val="center"/>
              <w:rPr>
                <w:color w:val="auto"/>
                <w:sz w:val="24"/>
                <w:szCs w:val="24"/>
              </w:rPr>
            </w:pPr>
            <w:r>
              <w:rPr>
                <w:rFonts w:hint="eastAsia"/>
                <w:color w:val="auto"/>
                <w:sz w:val="24"/>
                <w:szCs w:val="24"/>
              </w:rPr>
              <w:t>2、提供最新《环境标志产品政府采购清单》关于投标产品当前页的打印件。</w:t>
            </w:r>
          </w:p>
        </w:tc>
      </w:tr>
    </w:tbl>
    <w:p>
      <w:pPr>
        <w:pStyle w:val="13"/>
        <w:snapToGrid w:val="0"/>
        <w:spacing w:line="440" w:lineRule="exact"/>
        <w:ind w:left="0" w:leftChars="0" w:firstLine="0" w:firstLineChars="0"/>
        <w:rPr>
          <w:color w:val="auto"/>
          <w:sz w:val="24"/>
          <w:szCs w:val="24"/>
        </w:rPr>
      </w:pPr>
    </w:p>
    <w:p>
      <w:pPr>
        <w:rPr>
          <w:rFonts w:hint="eastAsia"/>
          <w:color w:val="auto"/>
        </w:rPr>
      </w:pPr>
    </w:p>
    <w:p>
      <w:pPr>
        <w:pStyle w:val="5"/>
        <w:rPr>
          <w:rFonts w:hint="eastAsia"/>
          <w:color w:val="auto"/>
        </w:rPr>
      </w:pPr>
    </w:p>
    <w:tbl>
      <w:tblPr>
        <w:tblStyle w:val="21"/>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 w:hRule="atLeast"/>
        </w:trPr>
        <w:tc>
          <w:tcPr>
            <w:tcW w:w="1970"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color w:val="auto"/>
                <w:sz w:val="24"/>
                <w:vertAlign w:val="baseline"/>
              </w:rPr>
            </w:pPr>
          </w:p>
        </w:tc>
      </w:t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tbl>
    <w:p>
      <w:pPr>
        <w:pStyle w:val="13"/>
        <w:snapToGrid w:val="0"/>
        <w:spacing w:line="440" w:lineRule="exact"/>
        <w:rPr>
          <w:rFonts w:hint="eastAsia"/>
          <w:color w:val="auto"/>
          <w:sz w:val="24"/>
          <w:szCs w:val="24"/>
        </w:rPr>
      </w:pPr>
      <w:r>
        <w:rPr>
          <w:rFonts w:hint="eastAsia"/>
          <w:color w:val="auto"/>
          <w:sz w:val="24"/>
          <w:szCs w:val="24"/>
        </w:rPr>
        <w:t>商务、技术部分评分表</w:t>
      </w:r>
    </w:p>
    <w:tbl>
      <w:tblPr>
        <w:tblStyle w:val="20"/>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992"/>
        <w:gridCol w:w="855"/>
        <w:gridCol w:w="73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商务技术部分（70分）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标书制作</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0-2</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2</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业绩</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投标供应商提供近二年（2019年</w:t>
            </w:r>
            <w:r>
              <w:rPr>
                <w:rFonts w:hint="eastAsia" w:ascii="宋体" w:hAnsi="宋体" w:cs="仿宋_GB2312"/>
                <w:bCs/>
                <w:color w:val="auto"/>
                <w:sz w:val="22"/>
                <w:szCs w:val="22"/>
                <w:lang w:val="en-US" w:eastAsia="zh-CN"/>
              </w:rPr>
              <w:t>12月</w:t>
            </w:r>
            <w:r>
              <w:rPr>
                <w:rFonts w:hint="eastAsia" w:ascii="宋体" w:hAnsi="宋体" w:cs="仿宋_GB2312"/>
                <w:bCs/>
                <w:color w:val="auto"/>
                <w:sz w:val="22"/>
                <w:szCs w:val="22"/>
              </w:rPr>
              <w:t>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bookmarkStart w:id="450"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技术参数</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20</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“★”号条款不满足每条扣</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一般条款不满足每条扣</w:t>
            </w:r>
            <w:r>
              <w:rPr>
                <w:rFonts w:hint="eastAsia" w:ascii="宋体" w:hAnsi="宋体" w:cs="仿宋_GB2312"/>
                <w:bCs/>
                <w:color w:val="auto"/>
                <w:sz w:val="22"/>
                <w:szCs w:val="22"/>
                <w:lang w:val="en-US" w:eastAsia="zh-CN"/>
              </w:rPr>
              <w:t>3</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漏报技术条款视为该条不满足。</w:t>
            </w:r>
          </w:p>
          <w:p>
            <w:pPr>
              <w:adjustRightInd w:val="0"/>
              <w:snapToGrid w:val="0"/>
              <w:spacing w:line="420" w:lineRule="exact"/>
              <w:jc w:val="left"/>
              <w:rPr>
                <w:color w:val="auto"/>
                <w:sz w:val="20"/>
                <w:szCs w:val="18"/>
              </w:rPr>
            </w:pPr>
            <w:r>
              <w:rPr>
                <w:rFonts w:hint="eastAsia" w:ascii="宋体" w:hAnsi="宋体" w:cs="仿宋_GB2312"/>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4</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产品质量性能、配置</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lang w:val="en-US" w:eastAsia="zh-CN"/>
              </w:rPr>
              <w:t>产品</w:t>
            </w:r>
            <w:r>
              <w:rPr>
                <w:rFonts w:hint="eastAsia" w:ascii="宋体" w:hAnsi="宋体" w:cs="仿宋_GB2312"/>
                <w:bCs/>
                <w:color w:val="auto"/>
                <w:sz w:val="22"/>
                <w:szCs w:val="22"/>
              </w:rPr>
              <w:t>的功能性、整体配套性、经济性、先进性、稳定性是否最佳化。</w:t>
            </w:r>
            <w:r>
              <w:rPr>
                <w:rFonts w:hint="eastAsia" w:ascii="宋体" w:hAnsi="宋体" w:cs="仿宋_GB2312"/>
                <w:bCs/>
                <w:color w:val="auto"/>
                <w:sz w:val="22"/>
                <w:szCs w:val="22"/>
                <w:lang w:val="en-US" w:eastAsia="zh-CN"/>
              </w:rPr>
              <w:t>产品</w:t>
            </w:r>
            <w:r>
              <w:rPr>
                <w:rFonts w:hint="eastAsia" w:ascii="宋体" w:hAnsi="宋体" w:cs="仿宋_GB2312"/>
                <w:bCs/>
                <w:color w:val="auto"/>
                <w:sz w:val="22"/>
                <w:szCs w:val="22"/>
              </w:rPr>
              <w:t>的选材是否优质、合理，质量是否可靠。充分体现技术功能性能：优得：</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分；良得：</w:t>
            </w:r>
            <w:r>
              <w:rPr>
                <w:rFonts w:hint="eastAsia" w:ascii="宋体" w:hAnsi="宋体" w:cs="仿宋_GB2312"/>
                <w:bCs/>
                <w:color w:val="auto"/>
                <w:sz w:val="22"/>
                <w:szCs w:val="22"/>
                <w:lang w:val="en-US" w:eastAsia="zh-CN"/>
              </w:rPr>
              <w:t>6</w:t>
            </w:r>
            <w:r>
              <w:rPr>
                <w:rFonts w:hint="eastAsia" w:ascii="宋体" w:hAnsi="宋体" w:cs="仿宋_GB2312"/>
                <w:bCs/>
                <w:color w:val="auto"/>
                <w:sz w:val="22"/>
                <w:szCs w:val="22"/>
              </w:rPr>
              <w:t>-</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分；一般：1-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9"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5</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 xml:space="preserve">保证措施 </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结合项目实施的实际情况，考察本项目难点重点分析和相应措施、质量保证措施是否有针对性。对本项目的复杂性针对性好，措施具体、成熟。要求能列出项目关键点和难点的预见及处理办法等。</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1）重点、难点突出，针对性强、有具体详细可行的解决方案或措施得</w:t>
            </w:r>
            <w:r>
              <w:rPr>
                <w:rFonts w:hint="eastAsia" w:ascii="宋体" w:hAnsi="宋体"/>
                <w:color w:val="auto"/>
                <w:kern w:val="0"/>
                <w:sz w:val="22"/>
                <w:szCs w:val="22"/>
                <w:lang w:val="en-US" w:eastAsia="zh-CN"/>
              </w:rPr>
              <w:t>11</w:t>
            </w:r>
            <w:r>
              <w:rPr>
                <w:rFonts w:hint="eastAsia" w:ascii="宋体" w:hAnsi="宋体"/>
                <w:color w:val="auto"/>
                <w:kern w:val="0"/>
                <w:sz w:val="22"/>
                <w:szCs w:val="22"/>
              </w:rPr>
              <w:t>-1</w:t>
            </w:r>
            <w:r>
              <w:rPr>
                <w:rFonts w:hint="eastAsia" w:ascii="宋体" w:hAnsi="宋体"/>
                <w:color w:val="auto"/>
                <w:kern w:val="0"/>
                <w:sz w:val="22"/>
                <w:szCs w:val="22"/>
                <w:lang w:val="en-US" w:eastAsia="zh-CN"/>
              </w:rPr>
              <w:t>5</w:t>
            </w:r>
            <w:r>
              <w:rPr>
                <w:rFonts w:hint="eastAsia" w:ascii="宋体" w:hAnsi="宋体"/>
                <w:color w:val="auto"/>
                <w:kern w:val="0"/>
                <w:sz w:val="22"/>
                <w:szCs w:val="22"/>
              </w:rPr>
              <w:t>分；</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2）重点、难点突出，针对性一般，解决方案或措施较具体详细、可行得选择和对难点的解决方案上措施一般得</w:t>
            </w:r>
            <w:r>
              <w:rPr>
                <w:rFonts w:hint="eastAsia" w:ascii="宋体" w:hAnsi="宋体"/>
                <w:color w:val="auto"/>
                <w:kern w:val="0"/>
                <w:sz w:val="22"/>
                <w:szCs w:val="22"/>
                <w:lang w:val="en-US" w:eastAsia="zh-CN"/>
              </w:rPr>
              <w:t>6</w:t>
            </w:r>
            <w:r>
              <w:rPr>
                <w:rFonts w:hint="eastAsia" w:ascii="宋体" w:hAnsi="宋体"/>
                <w:color w:val="auto"/>
                <w:kern w:val="0"/>
                <w:sz w:val="22"/>
                <w:szCs w:val="22"/>
              </w:rPr>
              <w:t>-</w:t>
            </w:r>
            <w:r>
              <w:rPr>
                <w:rFonts w:hint="eastAsia" w:ascii="宋体" w:hAnsi="宋体"/>
                <w:color w:val="auto"/>
                <w:kern w:val="0"/>
                <w:sz w:val="22"/>
                <w:szCs w:val="22"/>
                <w:lang w:val="en-US" w:eastAsia="zh-CN"/>
              </w:rPr>
              <w:t>10</w:t>
            </w:r>
            <w:r>
              <w:rPr>
                <w:rFonts w:hint="eastAsia" w:ascii="宋体" w:hAnsi="宋体"/>
                <w:color w:val="auto"/>
                <w:kern w:val="0"/>
                <w:sz w:val="22"/>
                <w:szCs w:val="22"/>
              </w:rPr>
              <w:t>分；</w:t>
            </w:r>
          </w:p>
          <w:p>
            <w:pPr>
              <w:spacing w:line="500" w:lineRule="exact"/>
              <w:ind w:firstLine="220" w:firstLineChars="100"/>
              <w:rPr>
                <w:rFonts w:ascii="宋体" w:hAnsi="宋体" w:cs="仿宋_GB2312"/>
                <w:bCs/>
                <w:color w:val="auto"/>
                <w:sz w:val="22"/>
                <w:szCs w:val="22"/>
              </w:rPr>
            </w:pPr>
            <w:r>
              <w:rPr>
                <w:rFonts w:hint="eastAsia" w:ascii="宋体" w:hAnsi="宋体"/>
                <w:color w:val="auto"/>
                <w:kern w:val="0"/>
                <w:sz w:val="22"/>
                <w:szCs w:val="22"/>
              </w:rPr>
              <w:t>3）重点、难点不突出，针对性不强，无解决方案或措施</w:t>
            </w:r>
            <w:r>
              <w:rPr>
                <w:rFonts w:hint="eastAsia" w:ascii="宋体" w:hAnsi="宋体"/>
                <w:color w:val="auto"/>
                <w:kern w:val="0"/>
                <w:sz w:val="22"/>
                <w:szCs w:val="22"/>
                <w:lang w:eastAsia="zh-CN"/>
              </w:rPr>
              <w:t>，</w:t>
            </w:r>
            <w:r>
              <w:rPr>
                <w:rFonts w:hint="eastAsia" w:ascii="宋体" w:hAnsi="宋体"/>
                <w:color w:val="auto"/>
                <w:kern w:val="0"/>
                <w:sz w:val="22"/>
                <w:szCs w:val="22"/>
              </w:rPr>
              <w:t>或者方案或措施不具体得1-</w:t>
            </w:r>
            <w:r>
              <w:rPr>
                <w:rFonts w:hint="eastAsia" w:ascii="宋体" w:hAnsi="宋体"/>
                <w:color w:val="auto"/>
                <w:kern w:val="0"/>
                <w:sz w:val="22"/>
                <w:szCs w:val="22"/>
                <w:lang w:val="en-US" w:eastAsia="zh-CN"/>
              </w:rPr>
              <w:t>5</w:t>
            </w:r>
            <w:r>
              <w:rPr>
                <w:rFonts w:hint="eastAsia" w:ascii="宋体" w:hAnsi="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6</w:t>
            </w:r>
          </w:p>
        </w:tc>
        <w:tc>
          <w:tcPr>
            <w:tcW w:w="992"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ind w:left="0" w:leftChars="0" w:firstLine="0" w:firstLineChars="0"/>
              <w:jc w:val="both"/>
              <w:rPr>
                <w:rFonts w:cs="仿宋_GB2312"/>
                <w:bCs/>
                <w:color w:val="auto"/>
                <w:sz w:val="22"/>
                <w:szCs w:val="22"/>
              </w:rPr>
            </w:pPr>
            <w:r>
              <w:rPr>
                <w:rFonts w:hint="eastAsia" w:cs="仿宋_GB2312"/>
                <w:bCs/>
                <w:color w:val="auto"/>
                <w:sz w:val="22"/>
                <w:szCs w:val="22"/>
              </w:rPr>
              <w:t>售后服务</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323"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jc w:val="left"/>
              <w:rPr>
                <w:rFonts w:cs="仿宋_GB2312"/>
                <w:bCs/>
                <w:color w:val="auto"/>
                <w:sz w:val="22"/>
                <w:szCs w:val="22"/>
              </w:rPr>
            </w:pPr>
            <w:r>
              <w:rPr>
                <w:rFonts w:hint="eastAsia" w:cs="仿宋_GB2312"/>
                <w:bCs/>
                <w:color w:val="auto"/>
                <w:sz w:val="22"/>
                <w:szCs w:val="22"/>
              </w:rPr>
              <w:t>售后服务说明：保修、售后服务方案，服务响应时间、修复时间、应急处理等售后计划措施符合本项目情况的、供应商售后机构健全、人员齐全。</w:t>
            </w:r>
          </w:p>
          <w:p>
            <w:pPr>
              <w:pStyle w:val="13"/>
              <w:snapToGrid w:val="0"/>
              <w:spacing w:line="420" w:lineRule="exact"/>
              <w:jc w:val="left"/>
              <w:rPr>
                <w:rFonts w:cs="仿宋_GB2312"/>
                <w:bCs/>
                <w:color w:val="auto"/>
                <w:sz w:val="22"/>
                <w:szCs w:val="22"/>
              </w:rPr>
            </w:pPr>
            <w:r>
              <w:rPr>
                <w:rFonts w:hint="eastAsia" w:cs="仿宋_GB2312"/>
                <w:bCs/>
                <w:color w:val="auto"/>
                <w:sz w:val="22"/>
                <w:szCs w:val="22"/>
              </w:rPr>
              <w:t>售后服务保证措施优得8-10分；良得5-7分 ，一般得1-4分；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7"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7</w:t>
            </w:r>
          </w:p>
        </w:tc>
        <w:tc>
          <w:tcPr>
            <w:tcW w:w="992" w:type="dxa"/>
            <w:tcBorders>
              <w:top w:val="single" w:color="auto" w:sz="4" w:space="0"/>
              <w:left w:val="single" w:color="auto" w:sz="4" w:space="0"/>
              <w:right w:val="single" w:color="auto" w:sz="4" w:space="0"/>
            </w:tcBorders>
            <w:vAlign w:val="center"/>
          </w:tcPr>
          <w:p>
            <w:pPr>
              <w:pStyle w:val="13"/>
              <w:snapToGrid w:val="0"/>
              <w:spacing w:line="420" w:lineRule="exact"/>
              <w:ind w:left="0" w:leftChars="0" w:firstLine="0" w:firstLineChars="0"/>
              <w:jc w:val="both"/>
              <w:rPr>
                <w:rFonts w:hint="eastAsia" w:cs="仿宋_GB2312"/>
                <w:bCs/>
                <w:color w:val="auto"/>
                <w:sz w:val="22"/>
                <w:szCs w:val="22"/>
              </w:rPr>
            </w:pPr>
            <w:r>
              <w:rPr>
                <w:rFonts w:hint="eastAsia" w:cs="仿宋_GB2312"/>
                <w:bCs/>
                <w:color w:val="auto"/>
                <w:sz w:val="22"/>
                <w:szCs w:val="22"/>
              </w:rPr>
              <w:t>人员培训</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2"/>
                <w:szCs w:val="22"/>
              </w:rPr>
            </w:pPr>
            <w:r>
              <w:rPr>
                <w:rFonts w:hint="eastAsia" w:ascii="宋体" w:hAnsi="宋体" w:cs="仿宋_GB2312"/>
                <w:bCs/>
                <w:color w:val="auto"/>
                <w:sz w:val="22"/>
                <w:szCs w:val="22"/>
              </w:rPr>
              <w:t>0-5</w:t>
            </w:r>
          </w:p>
        </w:tc>
        <w:tc>
          <w:tcPr>
            <w:tcW w:w="7323"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jc w:val="left"/>
              <w:rPr>
                <w:rFonts w:hint="eastAsia" w:cs="仿宋_GB2312"/>
                <w:bCs/>
                <w:color w:val="auto"/>
                <w:sz w:val="22"/>
                <w:szCs w:val="22"/>
              </w:rPr>
            </w:pPr>
            <w:r>
              <w:rPr>
                <w:rFonts w:hint="eastAsia" w:cs="仿宋_GB2312"/>
                <w:bCs/>
                <w:color w:val="auto"/>
                <w:sz w:val="22"/>
                <w:szCs w:val="22"/>
              </w:rPr>
              <w:t>提供的培训计划完善合理的，得3-5分；培训计划欠合理的或一般的，得0-2分。</w:t>
            </w:r>
          </w:p>
        </w:tc>
      </w:tr>
      <w:bookmarkEnd w:id="450"/>
    </w:tbl>
    <w:p>
      <w:pPr>
        <w:pStyle w:val="19"/>
        <w:ind w:left="0" w:leftChars="0" w:firstLine="0" w:firstLineChars="0"/>
        <w:rPr>
          <w:color w:val="auto"/>
        </w:rPr>
      </w:pPr>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v:textbox>
            </v:shape>
          </w:pict>
        </mc:Fallback>
      </mc:AlternateContent>
    </w:r>
    <w:r>
      <w:t xml:space="preserve">        </w:t>
    </w:r>
    <w:r>
      <w:rPr>
        <w:rStyle w:val="37"/>
      </w:rPr>
      <w:t xml:space="preserve">                      </w:t>
    </w:r>
    <w:r>
      <w:rPr>
        <w:rFonts w:hint="eastAsia" w:ascii="Times New Roman" w:hAnsi="Times New Roman"/>
      </w:rPr>
      <w:t xml:space="preserve">   </w:t>
    </w:r>
    <w:r>
      <w:rPr>
        <w:rStyle w:val="37"/>
      </w:rPr>
      <w:t xml:space="preserve"> </w:t>
    </w:r>
    <w:r>
      <w:rPr>
        <w:rStyle w:val="37"/>
        <w:rFonts w:hint="eastAsia"/>
      </w:rPr>
      <w:t xml:space="preserve"> </w:t>
    </w:r>
    <w:r>
      <w:rPr>
        <w:rStyle w:val="37"/>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 xml:space="preserve">第二章 投标人须知           </w:t>
    </w:r>
    <w:r>
      <w:rPr>
        <w:rStyle w:val="37"/>
      </w:rPr>
      <w:t xml:space="preserve">                      </w:t>
    </w:r>
    <w:r>
      <w:rPr>
        <w:rFonts w:hint="eastAsia"/>
      </w:rPr>
      <w:t>2-</w:t>
    </w:r>
    <w:r>
      <w:fldChar w:fldCharType="begin"/>
    </w:r>
    <w:r>
      <w:rPr>
        <w:rStyle w:val="25"/>
        <w:rFonts w:eastAsia="宋体"/>
      </w:rPr>
      <w:instrText xml:space="preserve"> PAGE </w:instrText>
    </w:r>
    <w:r>
      <w:fldChar w:fldCharType="separate"/>
    </w:r>
    <w:r>
      <w:rPr>
        <w:rStyle w:val="25"/>
        <w:rFonts w:eastAsia="宋体"/>
      </w:rPr>
      <w:t>4</w:t>
    </w:r>
    <w:r>
      <w:fldChar w:fldCharType="end"/>
    </w:r>
    <w:r>
      <w:rPr>
        <w:rStyle w:val="37"/>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lang w:eastAsia="zh-CN"/>
      </w:rPr>
      <w:t>新疆华域建设工程项目管理咨询有限公司</w:t>
    </w:r>
    <w:r>
      <w:rPr>
        <w:rFonts w:hint="eastAsia"/>
      </w:rPr>
      <w:t xml:space="preserve">                                                                            5-</w:t>
    </w:r>
    <w:r>
      <w:fldChar w:fldCharType="begin"/>
    </w:r>
    <w:r>
      <w:rPr>
        <w:rStyle w:val="25"/>
        <w:rFonts w:ascii="Times New Roman" w:hAnsi="Times New Roman" w:eastAsia="宋体"/>
      </w:rPr>
      <w:instrText xml:space="preserve"> PAGE </w:instrText>
    </w:r>
    <w:r>
      <w:fldChar w:fldCharType="separate"/>
    </w:r>
    <w:r>
      <w:rPr>
        <w:rStyle w:val="25"/>
        <w:rFonts w:ascii="Times New Roman" w:hAnsi="Times New Roman" w:eastAsia="宋体"/>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BBCCB3CA"/>
    <w:multiLevelType w:val="singleLevel"/>
    <w:tmpl w:val="BBCCB3CA"/>
    <w:lvl w:ilvl="0" w:tentative="0">
      <w:start w:val="1"/>
      <w:numFmt w:val="decimal"/>
      <w:suff w:val="nothing"/>
      <w:lvlText w:val="（%1）"/>
      <w:lvlJc w:val="left"/>
    </w:lvl>
  </w:abstractNum>
  <w:abstractNum w:abstractNumId="2">
    <w:nsid w:val="BD2442D7"/>
    <w:multiLevelType w:val="singleLevel"/>
    <w:tmpl w:val="BD2442D7"/>
    <w:lvl w:ilvl="0" w:tentative="0">
      <w:start w:val="1"/>
      <w:numFmt w:val="chineseCounting"/>
      <w:suff w:val="space"/>
      <w:lvlText w:val="第%1章"/>
      <w:lvlJc w:val="left"/>
      <w:rPr>
        <w:rFonts w:hint="eastAsia"/>
      </w:rPr>
    </w:lvl>
  </w:abstractNum>
  <w:abstractNum w:abstractNumId="3">
    <w:nsid w:val="E38A0821"/>
    <w:multiLevelType w:val="singleLevel"/>
    <w:tmpl w:val="E38A0821"/>
    <w:lvl w:ilvl="0" w:tentative="0">
      <w:start w:val="4"/>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5">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7">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0">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4">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6">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8">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1">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3">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B500E89"/>
    <w:multiLevelType w:val="singleLevel"/>
    <w:tmpl w:val="6B500E89"/>
    <w:lvl w:ilvl="0" w:tentative="0">
      <w:start w:val="1"/>
      <w:numFmt w:val="decimal"/>
      <w:suff w:val="nothing"/>
      <w:lvlText w:val="%1、"/>
      <w:lvlJc w:val="left"/>
    </w:lvl>
  </w:abstractNum>
  <w:num w:numId="1">
    <w:abstractNumId w:val="24"/>
  </w:num>
  <w:num w:numId="2">
    <w:abstractNumId w:val="2"/>
  </w:num>
  <w:num w:numId="3">
    <w:abstractNumId w:val="0"/>
  </w:num>
  <w:num w:numId="4">
    <w:abstractNumId w:val="25"/>
  </w:num>
  <w:num w:numId="5">
    <w:abstractNumId w:val="18"/>
  </w:num>
  <w:num w:numId="6">
    <w:abstractNumId w:val="19"/>
  </w:num>
  <w:num w:numId="7">
    <w:abstractNumId w:val="10"/>
  </w:num>
  <w:num w:numId="8">
    <w:abstractNumId w:val="5"/>
  </w:num>
  <w:num w:numId="9">
    <w:abstractNumId w:val="4"/>
  </w:num>
  <w:num w:numId="10">
    <w:abstractNumId w:val="22"/>
  </w:num>
  <w:num w:numId="11">
    <w:abstractNumId w:val="6"/>
  </w:num>
  <w:num w:numId="12">
    <w:abstractNumId w:val="3"/>
  </w:num>
  <w:num w:numId="13">
    <w:abstractNumId w:val="1"/>
  </w:num>
  <w:num w:numId="14">
    <w:abstractNumId w:val="16"/>
  </w:num>
  <w:num w:numId="15">
    <w:abstractNumId w:val="11"/>
  </w:num>
  <w:num w:numId="16">
    <w:abstractNumId w:val="17"/>
  </w:num>
  <w:num w:numId="17">
    <w:abstractNumId w:val="9"/>
  </w:num>
  <w:num w:numId="18">
    <w:abstractNumId w:val="8"/>
    <w:lvlOverride w:ilvl="0">
      <w:startOverride w:val="1"/>
    </w:lvlOverride>
  </w:num>
  <w:num w:numId="19">
    <w:abstractNumId w:val="15"/>
  </w:num>
  <w:num w:numId="20">
    <w:abstractNumId w:val="14"/>
    <w:lvlOverride w:ilvl="0">
      <w:startOverride w:val="1"/>
    </w:lvlOverride>
  </w:num>
  <w:num w:numId="21">
    <w:abstractNumId w:val="23"/>
    <w:lvlOverride w:ilvl="0">
      <w:startOverride w:val="1"/>
    </w:lvlOverride>
  </w:num>
  <w:num w:numId="22">
    <w:abstractNumId w:val="21"/>
    <w:lvlOverride w:ilvl="0">
      <w:startOverride w:val="1"/>
    </w:lvlOverride>
  </w:num>
  <w:num w:numId="23">
    <w:abstractNumId w:val="12"/>
  </w:num>
  <w:num w:numId="24">
    <w:abstractNumId w:val="20"/>
  </w:num>
  <w:num w:numId="25">
    <w:abstractNumId w:val="7"/>
    <w:lvlOverride w:ilvl="0">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80064"/>
    <w:rsid w:val="000B2BDF"/>
    <w:rsid w:val="002F5F6D"/>
    <w:rsid w:val="003E41E3"/>
    <w:rsid w:val="006304C5"/>
    <w:rsid w:val="00A92AB0"/>
    <w:rsid w:val="0149387F"/>
    <w:rsid w:val="015B1711"/>
    <w:rsid w:val="01913F2E"/>
    <w:rsid w:val="01E01396"/>
    <w:rsid w:val="0201024B"/>
    <w:rsid w:val="020A582B"/>
    <w:rsid w:val="020B2FCD"/>
    <w:rsid w:val="02307626"/>
    <w:rsid w:val="02424C63"/>
    <w:rsid w:val="025261A4"/>
    <w:rsid w:val="0253501B"/>
    <w:rsid w:val="02711675"/>
    <w:rsid w:val="02C77FF1"/>
    <w:rsid w:val="02ED4FFA"/>
    <w:rsid w:val="03051614"/>
    <w:rsid w:val="03583042"/>
    <w:rsid w:val="043F6B5C"/>
    <w:rsid w:val="0442248D"/>
    <w:rsid w:val="04B56119"/>
    <w:rsid w:val="04D97739"/>
    <w:rsid w:val="05071939"/>
    <w:rsid w:val="051D4ABC"/>
    <w:rsid w:val="055C7DBF"/>
    <w:rsid w:val="05AD2A4A"/>
    <w:rsid w:val="05BC4C88"/>
    <w:rsid w:val="05D2498E"/>
    <w:rsid w:val="05E8024A"/>
    <w:rsid w:val="06194C1F"/>
    <w:rsid w:val="06730A58"/>
    <w:rsid w:val="070944A2"/>
    <w:rsid w:val="07111D16"/>
    <w:rsid w:val="07DD405D"/>
    <w:rsid w:val="08080B38"/>
    <w:rsid w:val="0824537E"/>
    <w:rsid w:val="08862889"/>
    <w:rsid w:val="08C761C3"/>
    <w:rsid w:val="08EB6363"/>
    <w:rsid w:val="09005079"/>
    <w:rsid w:val="09491769"/>
    <w:rsid w:val="0949606C"/>
    <w:rsid w:val="096D5ED4"/>
    <w:rsid w:val="0974577D"/>
    <w:rsid w:val="09745C99"/>
    <w:rsid w:val="099217C1"/>
    <w:rsid w:val="09B47989"/>
    <w:rsid w:val="09B57722"/>
    <w:rsid w:val="09D973F0"/>
    <w:rsid w:val="09DC5D64"/>
    <w:rsid w:val="0A2419F4"/>
    <w:rsid w:val="0A544707"/>
    <w:rsid w:val="0A670558"/>
    <w:rsid w:val="0A856C30"/>
    <w:rsid w:val="0AF27D49"/>
    <w:rsid w:val="0B2B1E84"/>
    <w:rsid w:val="0B463A69"/>
    <w:rsid w:val="0B5D2C83"/>
    <w:rsid w:val="0B8C1A60"/>
    <w:rsid w:val="0BA51CE9"/>
    <w:rsid w:val="0BD779A0"/>
    <w:rsid w:val="0BEF25E8"/>
    <w:rsid w:val="0C071593"/>
    <w:rsid w:val="0C61058B"/>
    <w:rsid w:val="0C986E0F"/>
    <w:rsid w:val="0CA35A93"/>
    <w:rsid w:val="0CBE6BB8"/>
    <w:rsid w:val="0CEF778A"/>
    <w:rsid w:val="0D5F633D"/>
    <w:rsid w:val="0DB372EB"/>
    <w:rsid w:val="0DBE0BAB"/>
    <w:rsid w:val="0EA21020"/>
    <w:rsid w:val="0EA868AD"/>
    <w:rsid w:val="0EA87391"/>
    <w:rsid w:val="0EEA34ED"/>
    <w:rsid w:val="0EEC00F8"/>
    <w:rsid w:val="0F296723"/>
    <w:rsid w:val="0F470243"/>
    <w:rsid w:val="0F9F0794"/>
    <w:rsid w:val="0FA83572"/>
    <w:rsid w:val="0FD33393"/>
    <w:rsid w:val="10004C14"/>
    <w:rsid w:val="101200E7"/>
    <w:rsid w:val="10233173"/>
    <w:rsid w:val="10294227"/>
    <w:rsid w:val="10825F80"/>
    <w:rsid w:val="10E05EE0"/>
    <w:rsid w:val="10FB41BF"/>
    <w:rsid w:val="11086FF2"/>
    <w:rsid w:val="11261D15"/>
    <w:rsid w:val="11BC70DF"/>
    <w:rsid w:val="11D66BD3"/>
    <w:rsid w:val="122116AA"/>
    <w:rsid w:val="12215409"/>
    <w:rsid w:val="12897F91"/>
    <w:rsid w:val="12BE5C3A"/>
    <w:rsid w:val="13005E30"/>
    <w:rsid w:val="130415A7"/>
    <w:rsid w:val="13342BBC"/>
    <w:rsid w:val="136B39E7"/>
    <w:rsid w:val="13776035"/>
    <w:rsid w:val="13851B4B"/>
    <w:rsid w:val="13935F69"/>
    <w:rsid w:val="13DE32F5"/>
    <w:rsid w:val="13EB2909"/>
    <w:rsid w:val="14214D47"/>
    <w:rsid w:val="1460693B"/>
    <w:rsid w:val="148C5CE3"/>
    <w:rsid w:val="14D7710F"/>
    <w:rsid w:val="14E80064"/>
    <w:rsid w:val="14E84005"/>
    <w:rsid w:val="15C40F54"/>
    <w:rsid w:val="15DB116D"/>
    <w:rsid w:val="15E62ABE"/>
    <w:rsid w:val="15FC1289"/>
    <w:rsid w:val="167124B1"/>
    <w:rsid w:val="16CB1E6E"/>
    <w:rsid w:val="16DE62B7"/>
    <w:rsid w:val="17A9609E"/>
    <w:rsid w:val="17C16375"/>
    <w:rsid w:val="17DE6FE5"/>
    <w:rsid w:val="17E0107E"/>
    <w:rsid w:val="18182FC2"/>
    <w:rsid w:val="18194D00"/>
    <w:rsid w:val="18457DC0"/>
    <w:rsid w:val="18624A54"/>
    <w:rsid w:val="1876405C"/>
    <w:rsid w:val="1891222E"/>
    <w:rsid w:val="18E522DC"/>
    <w:rsid w:val="18F71640"/>
    <w:rsid w:val="194F12DF"/>
    <w:rsid w:val="199D69EC"/>
    <w:rsid w:val="19BD250E"/>
    <w:rsid w:val="19DD25B8"/>
    <w:rsid w:val="19DF40F8"/>
    <w:rsid w:val="1A0F6516"/>
    <w:rsid w:val="1A181FF9"/>
    <w:rsid w:val="1A1F5FD3"/>
    <w:rsid w:val="1A530AF8"/>
    <w:rsid w:val="1A822AEC"/>
    <w:rsid w:val="1AEB51C6"/>
    <w:rsid w:val="1B3D192B"/>
    <w:rsid w:val="1B5669EE"/>
    <w:rsid w:val="1B89378A"/>
    <w:rsid w:val="1C1C39B3"/>
    <w:rsid w:val="1C2838BF"/>
    <w:rsid w:val="1C3D0B31"/>
    <w:rsid w:val="1C4306F9"/>
    <w:rsid w:val="1CA03045"/>
    <w:rsid w:val="1CCF5801"/>
    <w:rsid w:val="1D571E93"/>
    <w:rsid w:val="1D9751A0"/>
    <w:rsid w:val="1DCC3099"/>
    <w:rsid w:val="1DD12460"/>
    <w:rsid w:val="1DD5539C"/>
    <w:rsid w:val="1E01438A"/>
    <w:rsid w:val="1E085B47"/>
    <w:rsid w:val="1E4F5A7B"/>
    <w:rsid w:val="1EA943EC"/>
    <w:rsid w:val="1ED61694"/>
    <w:rsid w:val="1F152835"/>
    <w:rsid w:val="1F2D6B9F"/>
    <w:rsid w:val="1F3F789D"/>
    <w:rsid w:val="1FF97A7C"/>
    <w:rsid w:val="200B3CEB"/>
    <w:rsid w:val="203B617F"/>
    <w:rsid w:val="206766B3"/>
    <w:rsid w:val="20786A36"/>
    <w:rsid w:val="20E61817"/>
    <w:rsid w:val="20EF0E4F"/>
    <w:rsid w:val="21253DCE"/>
    <w:rsid w:val="21257669"/>
    <w:rsid w:val="2164183D"/>
    <w:rsid w:val="21815F4B"/>
    <w:rsid w:val="21EA7F94"/>
    <w:rsid w:val="221C7F7A"/>
    <w:rsid w:val="225B1A18"/>
    <w:rsid w:val="22A86407"/>
    <w:rsid w:val="22F369D5"/>
    <w:rsid w:val="2358370B"/>
    <w:rsid w:val="23705A35"/>
    <w:rsid w:val="238064DA"/>
    <w:rsid w:val="23B07D9F"/>
    <w:rsid w:val="2412563A"/>
    <w:rsid w:val="24F63006"/>
    <w:rsid w:val="252B2B76"/>
    <w:rsid w:val="254A7B63"/>
    <w:rsid w:val="258B7677"/>
    <w:rsid w:val="25977383"/>
    <w:rsid w:val="25BA1451"/>
    <w:rsid w:val="25C96BD9"/>
    <w:rsid w:val="25CC18FD"/>
    <w:rsid w:val="25DF6D25"/>
    <w:rsid w:val="25EF7EB4"/>
    <w:rsid w:val="26017199"/>
    <w:rsid w:val="26751DF6"/>
    <w:rsid w:val="26EC048E"/>
    <w:rsid w:val="274365E7"/>
    <w:rsid w:val="27816401"/>
    <w:rsid w:val="27AB7F0C"/>
    <w:rsid w:val="27C14EAB"/>
    <w:rsid w:val="281A4A03"/>
    <w:rsid w:val="28793E20"/>
    <w:rsid w:val="28915073"/>
    <w:rsid w:val="28915A91"/>
    <w:rsid w:val="289353F5"/>
    <w:rsid w:val="28D430FD"/>
    <w:rsid w:val="28D92B11"/>
    <w:rsid w:val="28E10DCA"/>
    <w:rsid w:val="28EB6431"/>
    <w:rsid w:val="298D3A93"/>
    <w:rsid w:val="29A75D96"/>
    <w:rsid w:val="29EC44EC"/>
    <w:rsid w:val="2A085940"/>
    <w:rsid w:val="2A0B4A72"/>
    <w:rsid w:val="2A211240"/>
    <w:rsid w:val="2A235F6B"/>
    <w:rsid w:val="2A866EFF"/>
    <w:rsid w:val="2A93214D"/>
    <w:rsid w:val="2AB12710"/>
    <w:rsid w:val="2ABA1ABD"/>
    <w:rsid w:val="2ABC0600"/>
    <w:rsid w:val="2B144FF9"/>
    <w:rsid w:val="2B775256"/>
    <w:rsid w:val="2B8D1764"/>
    <w:rsid w:val="2BBB474F"/>
    <w:rsid w:val="2BC82CD1"/>
    <w:rsid w:val="2C0C4FAB"/>
    <w:rsid w:val="2C1A544E"/>
    <w:rsid w:val="2C634FD8"/>
    <w:rsid w:val="2CA945A8"/>
    <w:rsid w:val="2CB87278"/>
    <w:rsid w:val="2CFF48FC"/>
    <w:rsid w:val="2D207A6E"/>
    <w:rsid w:val="2D60482A"/>
    <w:rsid w:val="2D650C74"/>
    <w:rsid w:val="2D73689F"/>
    <w:rsid w:val="2D8D4316"/>
    <w:rsid w:val="2E047BD9"/>
    <w:rsid w:val="2E073604"/>
    <w:rsid w:val="2E727C09"/>
    <w:rsid w:val="2E8207CF"/>
    <w:rsid w:val="2EC6256C"/>
    <w:rsid w:val="2ED74269"/>
    <w:rsid w:val="2EEC383E"/>
    <w:rsid w:val="2F3E191F"/>
    <w:rsid w:val="2F3F343D"/>
    <w:rsid w:val="2F45568A"/>
    <w:rsid w:val="2F7B66D0"/>
    <w:rsid w:val="2F847F27"/>
    <w:rsid w:val="2FC242FE"/>
    <w:rsid w:val="2FD72582"/>
    <w:rsid w:val="2FE72824"/>
    <w:rsid w:val="30754171"/>
    <w:rsid w:val="309970A5"/>
    <w:rsid w:val="31094153"/>
    <w:rsid w:val="3152227B"/>
    <w:rsid w:val="315B1113"/>
    <w:rsid w:val="31692558"/>
    <w:rsid w:val="317A5B1B"/>
    <w:rsid w:val="31A17F1D"/>
    <w:rsid w:val="31B509DA"/>
    <w:rsid w:val="31DE6E9B"/>
    <w:rsid w:val="31EF65C4"/>
    <w:rsid w:val="31F864CD"/>
    <w:rsid w:val="32224CF4"/>
    <w:rsid w:val="322E3AE0"/>
    <w:rsid w:val="32384B7E"/>
    <w:rsid w:val="325D50EF"/>
    <w:rsid w:val="32D700C1"/>
    <w:rsid w:val="334A7EA4"/>
    <w:rsid w:val="337F7260"/>
    <w:rsid w:val="3381002D"/>
    <w:rsid w:val="33941D8B"/>
    <w:rsid w:val="33E25A21"/>
    <w:rsid w:val="33F71CB6"/>
    <w:rsid w:val="34382E6A"/>
    <w:rsid w:val="34692F9B"/>
    <w:rsid w:val="347708B6"/>
    <w:rsid w:val="34AC10D9"/>
    <w:rsid w:val="34AF5BBF"/>
    <w:rsid w:val="35152562"/>
    <w:rsid w:val="351C7EC1"/>
    <w:rsid w:val="351F18AB"/>
    <w:rsid w:val="35634DCD"/>
    <w:rsid w:val="357B6FFD"/>
    <w:rsid w:val="359953D6"/>
    <w:rsid w:val="35DC5D64"/>
    <w:rsid w:val="3607238A"/>
    <w:rsid w:val="364D1BC2"/>
    <w:rsid w:val="365F4A1C"/>
    <w:rsid w:val="366652B8"/>
    <w:rsid w:val="36CF005F"/>
    <w:rsid w:val="36FB3175"/>
    <w:rsid w:val="37690328"/>
    <w:rsid w:val="3770184A"/>
    <w:rsid w:val="378C298F"/>
    <w:rsid w:val="37A93C63"/>
    <w:rsid w:val="37FE1C4C"/>
    <w:rsid w:val="38874A6D"/>
    <w:rsid w:val="38892B0F"/>
    <w:rsid w:val="38AC5690"/>
    <w:rsid w:val="38BE0AC7"/>
    <w:rsid w:val="38CA31D2"/>
    <w:rsid w:val="38FF78FB"/>
    <w:rsid w:val="394C157B"/>
    <w:rsid w:val="396A50BF"/>
    <w:rsid w:val="399A1E48"/>
    <w:rsid w:val="39D97827"/>
    <w:rsid w:val="39E6090E"/>
    <w:rsid w:val="3A1B045D"/>
    <w:rsid w:val="3A563FC1"/>
    <w:rsid w:val="3AAB3C48"/>
    <w:rsid w:val="3B2732F2"/>
    <w:rsid w:val="3B407196"/>
    <w:rsid w:val="3B6C0E00"/>
    <w:rsid w:val="3B73443D"/>
    <w:rsid w:val="3C1C326E"/>
    <w:rsid w:val="3C9B34CE"/>
    <w:rsid w:val="3D1037AC"/>
    <w:rsid w:val="3D2441A7"/>
    <w:rsid w:val="3D2F3321"/>
    <w:rsid w:val="3D5578FF"/>
    <w:rsid w:val="3E0529A7"/>
    <w:rsid w:val="3E44789A"/>
    <w:rsid w:val="3E614CE2"/>
    <w:rsid w:val="3E702C2C"/>
    <w:rsid w:val="3EBE3373"/>
    <w:rsid w:val="3ECE7A25"/>
    <w:rsid w:val="3F0B5CB4"/>
    <w:rsid w:val="3F2C52F0"/>
    <w:rsid w:val="3FAE26EB"/>
    <w:rsid w:val="3FB63989"/>
    <w:rsid w:val="400A22B3"/>
    <w:rsid w:val="407B787C"/>
    <w:rsid w:val="40FE4A6B"/>
    <w:rsid w:val="410455F8"/>
    <w:rsid w:val="412913B3"/>
    <w:rsid w:val="413F2208"/>
    <w:rsid w:val="42196DDF"/>
    <w:rsid w:val="421A1D78"/>
    <w:rsid w:val="42470697"/>
    <w:rsid w:val="42486FCB"/>
    <w:rsid w:val="424D246F"/>
    <w:rsid w:val="4254039B"/>
    <w:rsid w:val="42582607"/>
    <w:rsid w:val="428D386D"/>
    <w:rsid w:val="42DC236B"/>
    <w:rsid w:val="430B1EA2"/>
    <w:rsid w:val="431C742A"/>
    <w:rsid w:val="439257F0"/>
    <w:rsid w:val="43A14668"/>
    <w:rsid w:val="43A242EA"/>
    <w:rsid w:val="43B361C0"/>
    <w:rsid w:val="44153F75"/>
    <w:rsid w:val="442422ED"/>
    <w:rsid w:val="44315D0E"/>
    <w:rsid w:val="44DA35C7"/>
    <w:rsid w:val="44FC5E43"/>
    <w:rsid w:val="45331274"/>
    <w:rsid w:val="453D5985"/>
    <w:rsid w:val="458911AC"/>
    <w:rsid w:val="458C71F1"/>
    <w:rsid w:val="45902270"/>
    <w:rsid w:val="45E02D1E"/>
    <w:rsid w:val="45E532CF"/>
    <w:rsid w:val="45EE38F9"/>
    <w:rsid w:val="461D0077"/>
    <w:rsid w:val="46241386"/>
    <w:rsid w:val="46573CAF"/>
    <w:rsid w:val="46A21315"/>
    <w:rsid w:val="46A31ED0"/>
    <w:rsid w:val="46BA58D8"/>
    <w:rsid w:val="46BB6628"/>
    <w:rsid w:val="46E87790"/>
    <w:rsid w:val="47643C7B"/>
    <w:rsid w:val="476D3550"/>
    <w:rsid w:val="478C3746"/>
    <w:rsid w:val="47E524E0"/>
    <w:rsid w:val="47F60B91"/>
    <w:rsid w:val="47F73673"/>
    <w:rsid w:val="480601DB"/>
    <w:rsid w:val="492406B9"/>
    <w:rsid w:val="49422E32"/>
    <w:rsid w:val="498F36CA"/>
    <w:rsid w:val="49F11DE2"/>
    <w:rsid w:val="4A235BFF"/>
    <w:rsid w:val="4A253068"/>
    <w:rsid w:val="4A71274F"/>
    <w:rsid w:val="4A7F30BC"/>
    <w:rsid w:val="4A977748"/>
    <w:rsid w:val="4AC76C4F"/>
    <w:rsid w:val="4B5D6199"/>
    <w:rsid w:val="4B6107AF"/>
    <w:rsid w:val="4B907299"/>
    <w:rsid w:val="4BFE1DC3"/>
    <w:rsid w:val="4C4B65A9"/>
    <w:rsid w:val="4C582E1C"/>
    <w:rsid w:val="4CC17DB9"/>
    <w:rsid w:val="4D7847DB"/>
    <w:rsid w:val="4D8545D5"/>
    <w:rsid w:val="4D917728"/>
    <w:rsid w:val="4DA5785B"/>
    <w:rsid w:val="4E2C1C98"/>
    <w:rsid w:val="4E705801"/>
    <w:rsid w:val="4E857A95"/>
    <w:rsid w:val="4EB32FAB"/>
    <w:rsid w:val="4EB83768"/>
    <w:rsid w:val="4F361873"/>
    <w:rsid w:val="4F712DB5"/>
    <w:rsid w:val="4FCC64EB"/>
    <w:rsid w:val="502D1505"/>
    <w:rsid w:val="50501542"/>
    <w:rsid w:val="50556BD9"/>
    <w:rsid w:val="507A71C3"/>
    <w:rsid w:val="51316887"/>
    <w:rsid w:val="51B82697"/>
    <w:rsid w:val="52233BB7"/>
    <w:rsid w:val="522C7020"/>
    <w:rsid w:val="52447115"/>
    <w:rsid w:val="524B5A4F"/>
    <w:rsid w:val="52D57040"/>
    <w:rsid w:val="52DE3784"/>
    <w:rsid w:val="52F23789"/>
    <w:rsid w:val="52FA7B7D"/>
    <w:rsid w:val="5306304F"/>
    <w:rsid w:val="531E277F"/>
    <w:rsid w:val="5335367D"/>
    <w:rsid w:val="5374613B"/>
    <w:rsid w:val="537617D2"/>
    <w:rsid w:val="537A5F69"/>
    <w:rsid w:val="53A54913"/>
    <w:rsid w:val="53C01368"/>
    <w:rsid w:val="53C637A4"/>
    <w:rsid w:val="53E43AF4"/>
    <w:rsid w:val="53F93F95"/>
    <w:rsid w:val="54037803"/>
    <w:rsid w:val="546772D8"/>
    <w:rsid w:val="546876C3"/>
    <w:rsid w:val="5495796A"/>
    <w:rsid w:val="54DF470C"/>
    <w:rsid w:val="551A3848"/>
    <w:rsid w:val="556C2528"/>
    <w:rsid w:val="556E0DAD"/>
    <w:rsid w:val="557F2C14"/>
    <w:rsid w:val="558E4CFF"/>
    <w:rsid w:val="55BF4163"/>
    <w:rsid w:val="562C6014"/>
    <w:rsid w:val="563E0835"/>
    <w:rsid w:val="564938B9"/>
    <w:rsid w:val="567C4300"/>
    <w:rsid w:val="56C907A9"/>
    <w:rsid w:val="56E541F9"/>
    <w:rsid w:val="57256D9D"/>
    <w:rsid w:val="581A42F7"/>
    <w:rsid w:val="58612945"/>
    <w:rsid w:val="58886B28"/>
    <w:rsid w:val="58C07D7B"/>
    <w:rsid w:val="59154BEF"/>
    <w:rsid w:val="59254EBA"/>
    <w:rsid w:val="59266DFD"/>
    <w:rsid w:val="59465F32"/>
    <w:rsid w:val="598633F7"/>
    <w:rsid w:val="59870090"/>
    <w:rsid w:val="5992781E"/>
    <w:rsid w:val="59CC1752"/>
    <w:rsid w:val="59FD190B"/>
    <w:rsid w:val="5AA03AB8"/>
    <w:rsid w:val="5B0F69FF"/>
    <w:rsid w:val="5B4104F6"/>
    <w:rsid w:val="5BA5289C"/>
    <w:rsid w:val="5BB00A38"/>
    <w:rsid w:val="5BD13460"/>
    <w:rsid w:val="5BD448EE"/>
    <w:rsid w:val="5BE35900"/>
    <w:rsid w:val="5BF07652"/>
    <w:rsid w:val="5C760D2C"/>
    <w:rsid w:val="5C961BA3"/>
    <w:rsid w:val="5CB9024A"/>
    <w:rsid w:val="5CD079AF"/>
    <w:rsid w:val="5CE14FD6"/>
    <w:rsid w:val="5D2B228A"/>
    <w:rsid w:val="5D941B94"/>
    <w:rsid w:val="5D9B14E3"/>
    <w:rsid w:val="5DA1700F"/>
    <w:rsid w:val="5DFC012C"/>
    <w:rsid w:val="5E404B80"/>
    <w:rsid w:val="5E431BF9"/>
    <w:rsid w:val="5E8369F8"/>
    <w:rsid w:val="5F1576F7"/>
    <w:rsid w:val="5F4A7286"/>
    <w:rsid w:val="5F55078D"/>
    <w:rsid w:val="5F950838"/>
    <w:rsid w:val="5F9B3732"/>
    <w:rsid w:val="5FB23D44"/>
    <w:rsid w:val="5FE72AD7"/>
    <w:rsid w:val="60236AFD"/>
    <w:rsid w:val="609D0D91"/>
    <w:rsid w:val="60A71AB0"/>
    <w:rsid w:val="60B979CF"/>
    <w:rsid w:val="60CE7B5E"/>
    <w:rsid w:val="60D360FA"/>
    <w:rsid w:val="610C4CFA"/>
    <w:rsid w:val="617C19B7"/>
    <w:rsid w:val="618C769B"/>
    <w:rsid w:val="61A92A12"/>
    <w:rsid w:val="61B52ACC"/>
    <w:rsid w:val="62943D5E"/>
    <w:rsid w:val="62A36648"/>
    <w:rsid w:val="62C43E0A"/>
    <w:rsid w:val="62C96A53"/>
    <w:rsid w:val="62D00F0C"/>
    <w:rsid w:val="62E76825"/>
    <w:rsid w:val="6308085A"/>
    <w:rsid w:val="631D29BD"/>
    <w:rsid w:val="633657AF"/>
    <w:rsid w:val="63545317"/>
    <w:rsid w:val="63C215AA"/>
    <w:rsid w:val="64122457"/>
    <w:rsid w:val="641727BB"/>
    <w:rsid w:val="641C6E32"/>
    <w:rsid w:val="64AE324D"/>
    <w:rsid w:val="65255D4F"/>
    <w:rsid w:val="656A5E0D"/>
    <w:rsid w:val="657B11CD"/>
    <w:rsid w:val="658406C7"/>
    <w:rsid w:val="65C15EE3"/>
    <w:rsid w:val="66405755"/>
    <w:rsid w:val="66A236C2"/>
    <w:rsid w:val="66AA2EA6"/>
    <w:rsid w:val="66B23126"/>
    <w:rsid w:val="6711345A"/>
    <w:rsid w:val="675E7762"/>
    <w:rsid w:val="6802621D"/>
    <w:rsid w:val="687F1367"/>
    <w:rsid w:val="68B83031"/>
    <w:rsid w:val="68CF45AF"/>
    <w:rsid w:val="694B21B9"/>
    <w:rsid w:val="695F5FF7"/>
    <w:rsid w:val="69A03790"/>
    <w:rsid w:val="69B0692E"/>
    <w:rsid w:val="69C96AEC"/>
    <w:rsid w:val="6A031450"/>
    <w:rsid w:val="6A044069"/>
    <w:rsid w:val="6A2D7FEB"/>
    <w:rsid w:val="6A374C7D"/>
    <w:rsid w:val="6ABC2401"/>
    <w:rsid w:val="6BA42A0E"/>
    <w:rsid w:val="6BBB033E"/>
    <w:rsid w:val="6BC6036C"/>
    <w:rsid w:val="6BD81F61"/>
    <w:rsid w:val="6BE31224"/>
    <w:rsid w:val="6C325783"/>
    <w:rsid w:val="6C4877AE"/>
    <w:rsid w:val="6C4B29AA"/>
    <w:rsid w:val="6CD206FF"/>
    <w:rsid w:val="6D2D3E5E"/>
    <w:rsid w:val="6D58035D"/>
    <w:rsid w:val="6D623B4B"/>
    <w:rsid w:val="6E1D75A0"/>
    <w:rsid w:val="6E90142A"/>
    <w:rsid w:val="6EE848B2"/>
    <w:rsid w:val="6EF14556"/>
    <w:rsid w:val="6EF16FA6"/>
    <w:rsid w:val="6F35373C"/>
    <w:rsid w:val="6F700FB0"/>
    <w:rsid w:val="6F8E6027"/>
    <w:rsid w:val="703B19BD"/>
    <w:rsid w:val="704B1EF7"/>
    <w:rsid w:val="70536956"/>
    <w:rsid w:val="70D144B9"/>
    <w:rsid w:val="70E64F62"/>
    <w:rsid w:val="71247CD8"/>
    <w:rsid w:val="712F200C"/>
    <w:rsid w:val="714C335C"/>
    <w:rsid w:val="71851022"/>
    <w:rsid w:val="71AE518F"/>
    <w:rsid w:val="71C33F7F"/>
    <w:rsid w:val="71D90F33"/>
    <w:rsid w:val="725833BF"/>
    <w:rsid w:val="726F7452"/>
    <w:rsid w:val="7271087F"/>
    <w:rsid w:val="729D2F29"/>
    <w:rsid w:val="73203DF6"/>
    <w:rsid w:val="73502676"/>
    <w:rsid w:val="736D76AA"/>
    <w:rsid w:val="739B6425"/>
    <w:rsid w:val="73F6597E"/>
    <w:rsid w:val="745C7348"/>
    <w:rsid w:val="74616F16"/>
    <w:rsid w:val="746B346A"/>
    <w:rsid w:val="746C2597"/>
    <w:rsid w:val="748F53FE"/>
    <w:rsid w:val="74BA14F0"/>
    <w:rsid w:val="74C54EC2"/>
    <w:rsid w:val="74FB761D"/>
    <w:rsid w:val="750A7951"/>
    <w:rsid w:val="753A7BC5"/>
    <w:rsid w:val="7548026C"/>
    <w:rsid w:val="754A7064"/>
    <w:rsid w:val="757A7E5C"/>
    <w:rsid w:val="758962F1"/>
    <w:rsid w:val="75D24941"/>
    <w:rsid w:val="76056631"/>
    <w:rsid w:val="761A17D3"/>
    <w:rsid w:val="76223555"/>
    <w:rsid w:val="76597F55"/>
    <w:rsid w:val="76900D15"/>
    <w:rsid w:val="76BA3D3B"/>
    <w:rsid w:val="76BD6F5B"/>
    <w:rsid w:val="770E47C2"/>
    <w:rsid w:val="77356731"/>
    <w:rsid w:val="774122F4"/>
    <w:rsid w:val="774B1AB0"/>
    <w:rsid w:val="7753216C"/>
    <w:rsid w:val="77684BC7"/>
    <w:rsid w:val="779D2FE5"/>
    <w:rsid w:val="78232A2D"/>
    <w:rsid w:val="783C484E"/>
    <w:rsid w:val="78583582"/>
    <w:rsid w:val="785D4155"/>
    <w:rsid w:val="78730EE9"/>
    <w:rsid w:val="789C56AB"/>
    <w:rsid w:val="789F19A6"/>
    <w:rsid w:val="78D5378B"/>
    <w:rsid w:val="79075E27"/>
    <w:rsid w:val="7931117A"/>
    <w:rsid w:val="7966477A"/>
    <w:rsid w:val="79BF1E65"/>
    <w:rsid w:val="7A276FAC"/>
    <w:rsid w:val="7A6B08D1"/>
    <w:rsid w:val="7A85352B"/>
    <w:rsid w:val="7AAF505E"/>
    <w:rsid w:val="7AB8735B"/>
    <w:rsid w:val="7B461839"/>
    <w:rsid w:val="7B4A235B"/>
    <w:rsid w:val="7B4F58E7"/>
    <w:rsid w:val="7BA55DC6"/>
    <w:rsid w:val="7BDB36D3"/>
    <w:rsid w:val="7C05223E"/>
    <w:rsid w:val="7C207A72"/>
    <w:rsid w:val="7CAA4D9F"/>
    <w:rsid w:val="7CF10A8B"/>
    <w:rsid w:val="7CF95B0B"/>
    <w:rsid w:val="7D106983"/>
    <w:rsid w:val="7D4B48DE"/>
    <w:rsid w:val="7DBC3708"/>
    <w:rsid w:val="7DC169BF"/>
    <w:rsid w:val="7DD633BF"/>
    <w:rsid w:val="7E0B20A3"/>
    <w:rsid w:val="7E2B2C36"/>
    <w:rsid w:val="7E3E5DFF"/>
    <w:rsid w:val="7E6D5049"/>
    <w:rsid w:val="7E7F7EB6"/>
    <w:rsid w:val="7EB73E9A"/>
    <w:rsid w:val="7EB97C47"/>
    <w:rsid w:val="7EC56B4A"/>
    <w:rsid w:val="7F0B3A8B"/>
    <w:rsid w:val="7F0B44E9"/>
    <w:rsid w:val="7F2A28D2"/>
    <w:rsid w:val="7F71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link w:val="23"/>
    <w:semiHidden/>
    <w:qFormat/>
    <w:uiPriority w:val="0"/>
    <w:rPr>
      <w:rFonts w:ascii="Tahoma" w:hAnsi="Tahoma" w:cs="仿宋_GB2312"/>
      <w:sz w:val="24"/>
      <w:szCs w:val="28"/>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00" w:afterAutospacing="1"/>
      <w:ind w:left="102"/>
    </w:pPr>
    <w:rPr>
      <w:rFonts w:ascii="宋体" w:hAnsi="宋体" w:cs="宋体"/>
      <w:szCs w:val="21"/>
    </w:rPr>
  </w:style>
  <w:style w:type="paragraph" w:styleId="3">
    <w:name w:val="Date"/>
    <w:basedOn w:val="1"/>
    <w:next w:val="1"/>
    <w:qFormat/>
    <w:uiPriority w:val="0"/>
    <w:rPr>
      <w:color w:val="000000"/>
      <w:kern w:val="0"/>
      <w:sz w:val="30"/>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qFormat/>
    <w:uiPriority w:val="0"/>
    <w:pPr>
      <w:jc w:val="left"/>
    </w:pPr>
    <w:rPr>
      <w:szCs w:val="24"/>
    </w:rPr>
  </w:style>
  <w:style w:type="paragraph" w:styleId="11">
    <w:name w:val="Body Text Indent"/>
    <w:basedOn w:val="1"/>
    <w:next w:val="7"/>
    <w:qFormat/>
    <w:uiPriority w:val="0"/>
    <w:pPr>
      <w:ind w:firstLine="570"/>
    </w:pPr>
    <w:rPr>
      <w:rFonts w:ascii="宋体" w:hAnsi="宋体"/>
      <w:sz w:val="28"/>
      <w:szCs w:val="20"/>
    </w:rPr>
  </w:style>
  <w:style w:type="paragraph" w:styleId="12">
    <w:name w:val="toc 3"/>
    <w:basedOn w:val="1"/>
    <w:next w:val="1"/>
    <w:qFormat/>
    <w:uiPriority w:val="39"/>
    <w:pPr>
      <w:ind w:left="420"/>
      <w:jc w:val="left"/>
    </w:pPr>
    <w:rPr>
      <w:i/>
      <w:iCs/>
    </w:rPr>
  </w:style>
  <w:style w:type="paragraph" w:styleId="13">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4">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5">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8">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9">
    <w:name w:val="Body Text First Indent 2"/>
    <w:basedOn w:val="11"/>
    <w:next w:val="1"/>
    <w:qFormat/>
    <w:uiPriority w:val="99"/>
    <w:pPr>
      <w:spacing w:after="120" w:line="312" w:lineRule="auto"/>
      <w:ind w:left="420" w:leftChars="200" w:firstLine="420"/>
      <w:jc w:val="both"/>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w:basedOn w:val="1"/>
    <w:link w:val="22"/>
    <w:qFormat/>
    <w:uiPriority w:val="0"/>
    <w:rPr>
      <w:rFonts w:ascii="Tahoma" w:hAnsi="Tahoma" w:cs="仿宋_GB2312"/>
      <w:sz w:val="24"/>
      <w:szCs w:val="28"/>
    </w:rPr>
  </w:style>
  <w:style w:type="character" w:styleId="24">
    <w:name w:val="Strong"/>
    <w:basedOn w:val="22"/>
    <w:qFormat/>
    <w:uiPriority w:val="0"/>
    <w:rPr>
      <w:b/>
    </w:rPr>
  </w:style>
  <w:style w:type="character" w:styleId="25">
    <w:name w:val="page number"/>
    <w:basedOn w:val="22"/>
    <w:qFormat/>
    <w:uiPriority w:val="0"/>
    <w:rPr>
      <w:rFonts w:ascii="宋体" w:hAnsi="宋体" w:eastAsia="Times New Roman"/>
      <w:spacing w:val="0"/>
      <w:kern w:val="18"/>
      <w:position w:val="0"/>
      <w:sz w:val="18"/>
      <w:szCs w:val="18"/>
    </w:rPr>
  </w:style>
  <w:style w:type="character" w:styleId="26">
    <w:name w:val="Hyperlink"/>
    <w:basedOn w:val="22"/>
    <w:qFormat/>
    <w:uiPriority w:val="99"/>
    <w:rPr>
      <w:color w:val="0000FF"/>
      <w:u w:val="single"/>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表名称"/>
    <w:basedOn w:val="8"/>
    <w:qFormat/>
    <w:uiPriority w:val="0"/>
    <w:pPr>
      <w:numPr>
        <w:ilvl w:val="0"/>
        <w:numId w:val="1"/>
      </w:numPr>
      <w:ind w:firstLine="0" w:firstLineChars="0"/>
      <w:jc w:val="center"/>
    </w:pPr>
  </w:style>
  <w:style w:type="character" w:customStyle="1" w:styleId="29">
    <w:name w:val="font131"/>
    <w:basedOn w:val="22"/>
    <w:qFormat/>
    <w:uiPriority w:val="99"/>
    <w:rPr>
      <w:rFonts w:ascii="宋体" w:hAnsi="宋体" w:eastAsia="宋体" w:cs="宋体"/>
      <w:color w:val="000000"/>
      <w:sz w:val="20"/>
      <w:szCs w:val="20"/>
      <w:u w:val="none"/>
    </w:rPr>
  </w:style>
  <w:style w:type="paragraph" w:styleId="30">
    <w:name w:val="List Paragraph"/>
    <w:basedOn w:val="1"/>
    <w:qFormat/>
    <w:uiPriority w:val="99"/>
    <w:pPr>
      <w:ind w:firstLine="420" w:firstLineChars="200"/>
    </w:pPr>
  </w:style>
  <w:style w:type="character" w:customStyle="1" w:styleId="31">
    <w:name w:val="font181"/>
    <w:basedOn w:val="22"/>
    <w:qFormat/>
    <w:uiPriority w:val="99"/>
    <w:rPr>
      <w:rFonts w:ascii="宋体" w:hAnsi="宋体" w:eastAsia="宋体" w:cs="宋体"/>
      <w:color w:val="000000"/>
      <w:sz w:val="18"/>
      <w:szCs w:val="18"/>
      <w:u w:val="none"/>
    </w:rPr>
  </w:style>
  <w:style w:type="paragraph" w:customStyle="1" w:styleId="3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3">
    <w:name w:val="样式 小四 段前: 5 磅 段后: 5 磅 首行缩进:  2 字符"/>
    <w:basedOn w:val="1"/>
    <w:qFormat/>
    <w:uiPriority w:val="0"/>
    <w:pPr>
      <w:spacing w:line="400" w:lineRule="exact"/>
    </w:pPr>
    <w:rPr>
      <w:rFonts w:ascii="宋体" w:hAnsi="宋体"/>
      <w:sz w:val="24"/>
    </w:rPr>
  </w:style>
  <w:style w:type="paragraph" w:customStyle="1" w:styleId="3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6">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37">
    <w:name w:val="页脚2 Char"/>
    <w:basedOn w:val="22"/>
    <w:qFormat/>
    <w:uiPriority w:val="0"/>
    <w:rPr>
      <w:rFonts w:ascii="宋体" w:hAnsi="宋体" w:eastAsia="宋体"/>
      <w:sz w:val="18"/>
      <w:szCs w:val="18"/>
      <w:lang w:val="en-US" w:eastAsia="zh-CN" w:bidi="ar-SA"/>
    </w:rPr>
  </w:style>
  <w:style w:type="paragraph" w:customStyle="1" w:styleId="38">
    <w:name w:val="列表段落2"/>
    <w:basedOn w:val="1"/>
    <w:qFormat/>
    <w:uiPriority w:val="99"/>
    <w:pPr>
      <w:ind w:firstLine="420" w:firstLineChars="200"/>
    </w:pPr>
    <w:rPr>
      <w:rFonts w:ascii="Times New Roman" w:hAnsi="Times New Roman"/>
    </w:rPr>
  </w:style>
  <w:style w:type="character" w:customStyle="1" w:styleId="39">
    <w:name w:val="font41"/>
    <w:qFormat/>
    <w:uiPriority w:val="0"/>
    <w:rPr>
      <w:rFonts w:hint="eastAsia" w:ascii="宋体" w:hAnsi="宋体" w:eastAsia="宋体" w:cs="宋体"/>
      <w:color w:val="000000"/>
      <w:sz w:val="22"/>
      <w:szCs w:val="22"/>
      <w:u w:val="none"/>
    </w:rPr>
  </w:style>
  <w:style w:type="paragraph" w:customStyle="1" w:styleId="40">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1">
    <w:name w:val="列表段落1"/>
    <w:basedOn w:val="1"/>
    <w:qFormat/>
    <w:uiPriority w:val="34"/>
    <w:pPr>
      <w:ind w:firstLine="420" w:firstLineChars="200"/>
    </w:pPr>
  </w:style>
  <w:style w:type="paragraph" w:customStyle="1" w:styleId="42">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首行缩进"/>
    <w:basedOn w:val="1"/>
    <w:qFormat/>
    <w:uiPriority w:val="0"/>
    <w:pPr>
      <w:ind w:firstLine="480" w:firstLineChars="200"/>
    </w:pPr>
    <w:rPr>
      <w:lang w:val="zh-CN"/>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character" w:customStyle="1" w:styleId="46">
    <w:name w:val="font51"/>
    <w:basedOn w:val="22"/>
    <w:qFormat/>
    <w:uiPriority w:val="0"/>
    <w:rPr>
      <w:rFonts w:hint="eastAsia" w:ascii="宋体" w:hAnsi="宋体" w:eastAsia="宋体" w:cs="宋体"/>
      <w:color w:val="000000"/>
      <w:sz w:val="20"/>
      <w:szCs w:val="20"/>
      <w:u w:val="none"/>
    </w:rPr>
  </w:style>
  <w:style w:type="character" w:customStyle="1" w:styleId="47">
    <w:name w:val="font21"/>
    <w:basedOn w:val="22"/>
    <w:qFormat/>
    <w:uiPriority w:val="0"/>
    <w:rPr>
      <w:rFonts w:hint="default" w:ascii="Times New Roman" w:hAnsi="Times New Roman" w:cs="Times New Roman"/>
      <w:color w:val="000000"/>
      <w:sz w:val="20"/>
      <w:szCs w:val="20"/>
      <w:u w:val="none"/>
    </w:rPr>
  </w:style>
  <w:style w:type="character" w:customStyle="1" w:styleId="48">
    <w:name w:val="font11"/>
    <w:basedOn w:val="22"/>
    <w:qFormat/>
    <w:uiPriority w:val="0"/>
    <w:rPr>
      <w:rFonts w:hint="eastAsia" w:ascii="宋体" w:hAnsi="宋体" w:eastAsia="宋体" w:cs="宋体"/>
      <w:color w:val="000000"/>
      <w:sz w:val="20"/>
      <w:szCs w:val="20"/>
      <w:u w:val="none"/>
    </w:rPr>
  </w:style>
  <w:style w:type="character" w:customStyle="1" w:styleId="49">
    <w:name w:val="font71"/>
    <w:basedOn w:val="22"/>
    <w:qFormat/>
    <w:uiPriority w:val="0"/>
    <w:rPr>
      <w:rFonts w:ascii="Arial" w:hAnsi="Arial" w:cs="Arial"/>
      <w:color w:val="000000"/>
      <w:sz w:val="20"/>
      <w:szCs w:val="20"/>
      <w:u w:val="none"/>
    </w:rPr>
  </w:style>
  <w:style w:type="character" w:customStyle="1" w:styleId="50">
    <w:name w:val="NormalCharacter"/>
    <w:semiHidden/>
    <w:qFormat/>
    <w:uiPriority w:val="0"/>
  </w:style>
  <w:style w:type="character" w:customStyle="1" w:styleId="51">
    <w:name w:val="font01"/>
    <w:basedOn w:val="22"/>
    <w:qFormat/>
    <w:uiPriority w:val="0"/>
    <w:rPr>
      <w:rFonts w:hint="eastAsia" w:ascii="宋体" w:hAnsi="宋体" w:eastAsia="宋体" w:cs="宋体"/>
      <w:color w:val="000000"/>
      <w:sz w:val="22"/>
      <w:szCs w:val="22"/>
      <w:u w:val="none"/>
    </w:rPr>
  </w:style>
  <w:style w:type="character" w:customStyle="1" w:styleId="52">
    <w:name w:val="font31"/>
    <w:basedOn w:val="22"/>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Administrator</cp:lastModifiedBy>
  <cp:lastPrinted>2019-10-31T02:12:00Z</cp:lastPrinted>
  <dcterms:modified xsi:type="dcterms:W3CDTF">2021-12-01T04:34:18Z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DEB2C363A1DE4895A5C22D73F52BE56A</vt:lpwstr>
  </property>
</Properties>
</file>