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cstheme="minorEastAsia"/>
          <w:b/>
          <w:color w:val="auto"/>
          <w:sz w:val="44"/>
          <w:szCs w:val="44"/>
          <w:highlight w:val="none"/>
          <w:lang w:eastAsia="zh-CN"/>
        </w:rPr>
      </w:pPr>
    </w:p>
    <w:p>
      <w:pPr>
        <w:spacing w:line="240" w:lineRule="atLeast"/>
        <w:jc w:val="center"/>
        <w:rPr>
          <w:rFonts w:hint="eastAsia" w:asciiTheme="minorEastAsia" w:hAnsiTheme="minorEastAsia" w:eastAsiaTheme="minorEastAsia" w:cstheme="minorEastAsia"/>
          <w:b/>
          <w:color w:val="auto"/>
          <w:sz w:val="40"/>
          <w:szCs w:val="40"/>
          <w:highlight w:val="none"/>
          <w:lang w:eastAsia="zh-CN"/>
        </w:rPr>
      </w:pPr>
      <w:r>
        <w:rPr>
          <w:rFonts w:hint="eastAsia" w:asciiTheme="minorEastAsia" w:hAnsiTheme="minorEastAsia" w:eastAsiaTheme="minorEastAsia" w:cstheme="minorEastAsia"/>
          <w:b/>
          <w:color w:val="auto"/>
          <w:sz w:val="40"/>
          <w:szCs w:val="40"/>
          <w:highlight w:val="none"/>
          <w:lang w:eastAsia="zh-CN"/>
        </w:rPr>
        <w:t>喀什职业技术学院普通话考试中心建设项目</w:t>
      </w:r>
    </w:p>
    <w:p>
      <w:pPr>
        <w:spacing w:line="240" w:lineRule="atLeast"/>
        <w:jc w:val="center"/>
        <w:rPr>
          <w:rFonts w:hint="eastAsia" w:asciiTheme="minorEastAsia" w:hAnsiTheme="minorEastAsia" w:eastAsiaTheme="minorEastAsia" w:cstheme="minorEastAsia"/>
          <w:bCs/>
          <w:color w:val="auto"/>
          <w:sz w:val="48"/>
          <w:szCs w:val="48"/>
          <w:highlight w:val="none"/>
        </w:rPr>
      </w:pPr>
    </w:p>
    <w:p>
      <w:pPr>
        <w:spacing w:line="240" w:lineRule="atLeast"/>
        <w:jc w:val="center"/>
        <w:rPr>
          <w:rFonts w:hint="eastAsia" w:asciiTheme="minorEastAsia" w:hAnsiTheme="minorEastAsia" w:eastAsiaTheme="minorEastAsia" w:cstheme="minorEastAsia"/>
          <w:b/>
          <w:color w:val="auto"/>
          <w:sz w:val="44"/>
          <w:szCs w:val="44"/>
          <w:highlight w:val="none"/>
          <w:lang w:eastAsia="zh-CN"/>
        </w:rPr>
      </w:pPr>
      <w:r>
        <w:rPr>
          <w:rFonts w:hint="eastAsia" w:asciiTheme="minorEastAsia" w:hAnsiTheme="minorEastAsia" w:eastAsiaTheme="minorEastAsia" w:cstheme="minorEastAsia"/>
          <w:b/>
          <w:color w:val="auto"/>
          <w:sz w:val="44"/>
          <w:szCs w:val="44"/>
          <w:highlight w:val="none"/>
          <w:lang w:eastAsia="zh-CN"/>
        </w:rPr>
        <w:t>竞争性磋商文件</w:t>
      </w:r>
    </w:p>
    <w:p>
      <w:pPr>
        <w:autoSpaceDE w:val="0"/>
        <w:autoSpaceDN w:val="0"/>
        <w:spacing w:line="360" w:lineRule="auto"/>
        <w:rPr>
          <w:rFonts w:hint="eastAsia" w:asciiTheme="minorEastAsia" w:hAnsiTheme="minorEastAsia" w:eastAsiaTheme="minorEastAsia" w:cstheme="minorEastAsia"/>
          <w:b/>
          <w:bCs/>
          <w:color w:val="auto"/>
          <w:kern w:val="0"/>
          <w:sz w:val="24"/>
          <w:highlight w:val="none"/>
          <w:lang w:bidi="ar"/>
        </w:rPr>
      </w:pPr>
    </w:p>
    <w:p>
      <w:pPr>
        <w:autoSpaceDE w:val="0"/>
        <w:autoSpaceDN w:val="0"/>
        <w:spacing w:line="360" w:lineRule="auto"/>
        <w:jc w:val="center"/>
        <w:outlineLvl w:val="1"/>
        <w:rPr>
          <w:rFonts w:hint="eastAsia" w:asciiTheme="minorEastAsia" w:hAnsiTheme="minorEastAsia" w:eastAsiaTheme="minorEastAsia" w:cstheme="minorEastAsia"/>
          <w:b/>
          <w:bCs w:val="0"/>
          <w:color w:val="auto"/>
          <w:kern w:val="0"/>
          <w:sz w:val="36"/>
          <w:szCs w:val="36"/>
          <w:highlight w:val="none"/>
          <w:lang w:eastAsia="zh-CN" w:bidi="ar"/>
        </w:rPr>
      </w:pPr>
      <w:r>
        <w:rPr>
          <w:rFonts w:hint="eastAsia" w:asciiTheme="minorEastAsia" w:hAnsiTheme="minorEastAsia" w:eastAsiaTheme="minorEastAsia" w:cstheme="minorEastAsia"/>
          <w:b/>
          <w:bCs w:val="0"/>
          <w:color w:val="auto"/>
          <w:sz w:val="32"/>
          <w:szCs w:val="32"/>
          <w:highlight w:val="none"/>
        </w:rPr>
        <w:t>项目编号：XJXBY(</w:t>
      </w:r>
      <w:r>
        <w:rPr>
          <w:rFonts w:hint="eastAsia" w:asciiTheme="minorEastAsia" w:hAnsiTheme="minorEastAsia" w:eastAsiaTheme="minorEastAsia" w:cstheme="minorEastAsia"/>
          <w:b/>
          <w:bCs w:val="0"/>
          <w:color w:val="auto"/>
          <w:sz w:val="32"/>
          <w:szCs w:val="32"/>
          <w:highlight w:val="none"/>
          <w:lang w:eastAsia="zh-CN"/>
        </w:rPr>
        <w:t>CS</w:t>
      </w:r>
      <w:r>
        <w:rPr>
          <w:rFonts w:hint="eastAsia" w:asciiTheme="minorEastAsia" w:hAnsiTheme="minorEastAsia" w:eastAsiaTheme="minorEastAsia" w:cstheme="minorEastAsia"/>
          <w:b/>
          <w:bCs w:val="0"/>
          <w:color w:val="auto"/>
          <w:sz w:val="32"/>
          <w:szCs w:val="32"/>
          <w:highlight w:val="none"/>
        </w:rPr>
        <w:t>)2021-01</w:t>
      </w:r>
      <w:r>
        <w:rPr>
          <w:rFonts w:hint="eastAsia" w:asciiTheme="minorEastAsia" w:hAnsiTheme="minorEastAsia" w:eastAsiaTheme="minorEastAsia" w:cstheme="minorEastAsia"/>
          <w:b/>
          <w:bCs w:val="0"/>
          <w:color w:val="auto"/>
          <w:sz w:val="32"/>
          <w:szCs w:val="32"/>
          <w:highlight w:val="none"/>
          <w:lang w:val="en-US" w:eastAsia="zh-CN"/>
        </w:rPr>
        <w:t>3</w:t>
      </w:r>
    </w:p>
    <w:p>
      <w:pPr>
        <w:autoSpaceDE w:val="0"/>
        <w:autoSpaceDN w:val="0"/>
        <w:spacing w:line="360" w:lineRule="auto"/>
        <w:rPr>
          <w:rFonts w:hint="eastAsia" w:asciiTheme="minorEastAsia" w:hAnsiTheme="minorEastAsia" w:eastAsiaTheme="minorEastAsia" w:cstheme="minorEastAsia"/>
          <w:b/>
          <w:bCs/>
          <w:color w:val="auto"/>
          <w:kern w:val="0"/>
          <w:sz w:val="24"/>
          <w:highlight w:val="none"/>
          <w:lang w:bidi="ar"/>
        </w:rPr>
      </w:pPr>
    </w:p>
    <w:p>
      <w:pPr>
        <w:spacing w:line="240" w:lineRule="atLeast"/>
        <w:ind w:left="1079" w:leftChars="257" w:hanging="540"/>
        <w:jc w:val="center"/>
        <w:outlineLvl w:val="0"/>
        <w:rPr>
          <w:rFonts w:hint="eastAsia" w:asciiTheme="minorEastAsia" w:hAnsiTheme="minorEastAsia" w:eastAsiaTheme="minorEastAsia" w:cstheme="minorEastAsia"/>
          <w:b/>
          <w:color w:val="auto"/>
          <w:sz w:val="48"/>
          <w:szCs w:val="48"/>
          <w:highlight w:val="none"/>
        </w:rPr>
      </w:pPr>
    </w:p>
    <w:p>
      <w:pPr>
        <w:spacing w:line="240" w:lineRule="atLeast"/>
        <w:jc w:val="center"/>
        <w:outlineLvl w:val="0"/>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w:t>
      </w:r>
      <w:r>
        <w:rPr>
          <w:rFonts w:hint="eastAsia" w:asciiTheme="minorEastAsia" w:hAnsiTheme="minorEastAsia" w:eastAsiaTheme="minorEastAsia" w:cstheme="minorEastAsia"/>
          <w:b/>
          <w:color w:val="auto"/>
          <w:sz w:val="48"/>
          <w:szCs w:val="48"/>
          <w:highlight w:val="none"/>
          <w:lang w:eastAsia="zh-CN"/>
        </w:rPr>
        <w:t>一</w:t>
      </w:r>
      <w:r>
        <w:rPr>
          <w:rFonts w:hint="eastAsia" w:asciiTheme="minorEastAsia" w:hAnsiTheme="minorEastAsia" w:eastAsiaTheme="minorEastAsia" w:cstheme="minorEastAsia"/>
          <w:b/>
          <w:color w:val="auto"/>
          <w:sz w:val="48"/>
          <w:szCs w:val="48"/>
          <w:highlight w:val="none"/>
        </w:rPr>
        <w:t>册</w:t>
      </w:r>
    </w:p>
    <w:p>
      <w:pPr>
        <w:autoSpaceDE w:val="0"/>
        <w:autoSpaceDN w:val="0"/>
        <w:spacing w:line="600" w:lineRule="exact"/>
        <w:ind w:firstLine="840" w:firstLineChars="300"/>
        <w:rPr>
          <w:rFonts w:hint="eastAsia" w:asciiTheme="minorEastAsia" w:hAnsiTheme="minorEastAsia" w:eastAsiaTheme="minorEastAsia" w:cstheme="minorEastAsia"/>
          <w:b/>
          <w:bCs/>
          <w:color w:val="auto"/>
          <w:kern w:val="0"/>
          <w:sz w:val="28"/>
          <w:szCs w:val="28"/>
          <w:highlight w:val="none"/>
          <w:lang w:bidi="ar"/>
        </w:rPr>
      </w:pPr>
    </w:p>
    <w:p>
      <w:pPr>
        <w:autoSpaceDE w:val="0"/>
        <w:autoSpaceDN w:val="0"/>
        <w:spacing w:line="600" w:lineRule="exact"/>
        <w:ind w:firstLine="840" w:firstLineChars="300"/>
        <w:rPr>
          <w:rFonts w:hint="eastAsia" w:asciiTheme="minorEastAsia" w:hAnsiTheme="minorEastAsia" w:eastAsiaTheme="minorEastAsia" w:cstheme="minorEastAsia"/>
          <w:b/>
          <w:bCs/>
          <w:color w:val="auto"/>
          <w:kern w:val="0"/>
          <w:sz w:val="28"/>
          <w:szCs w:val="28"/>
          <w:highlight w:val="none"/>
          <w:lang w:bidi="ar"/>
        </w:rPr>
      </w:pPr>
    </w:p>
    <w:p>
      <w:pPr>
        <w:autoSpaceDE w:val="0"/>
        <w:autoSpaceDN w:val="0"/>
        <w:spacing w:line="600" w:lineRule="exact"/>
        <w:ind w:left="6997" w:leftChars="399" w:hanging="6160" w:hangingChars="2200"/>
        <w:outlineLvl w:val="1"/>
        <w:rPr>
          <w:rFonts w:hint="eastAsia" w:asciiTheme="minorEastAsia" w:hAnsiTheme="minorEastAsia" w:eastAsiaTheme="minorEastAsia" w:cstheme="minorEastAsia"/>
          <w:b/>
          <w:bCs/>
          <w:color w:val="auto"/>
          <w:kern w:val="0"/>
          <w:sz w:val="28"/>
          <w:szCs w:val="28"/>
          <w:highlight w:val="none"/>
          <w:lang w:bidi="ar"/>
        </w:rPr>
      </w:pPr>
      <w:r>
        <w:rPr>
          <w:rFonts w:hint="eastAsia" w:asciiTheme="minorEastAsia" w:hAnsiTheme="minorEastAsia" w:eastAsiaTheme="minorEastAsia" w:cstheme="minorEastAsia"/>
          <w:b/>
          <w:bCs/>
          <w:color w:val="auto"/>
          <w:kern w:val="0"/>
          <w:sz w:val="28"/>
          <w:szCs w:val="28"/>
          <w:highlight w:val="none"/>
          <w:lang w:bidi="ar"/>
        </w:rPr>
        <w:t>采购单位：</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   </w:t>
      </w:r>
      <w:r>
        <w:rPr>
          <w:rFonts w:hint="eastAsia" w:asciiTheme="minorEastAsia" w:hAnsiTheme="minorEastAsia" w:eastAsiaTheme="minorEastAsia" w:cstheme="minorEastAsia"/>
          <w:b/>
          <w:bCs/>
          <w:color w:val="auto"/>
          <w:kern w:val="0"/>
          <w:sz w:val="28"/>
          <w:szCs w:val="28"/>
          <w:highlight w:val="none"/>
          <w:u w:val="single"/>
          <w:lang w:eastAsia="zh-CN" w:bidi="ar"/>
        </w:rPr>
        <w:t>喀什</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职业技术学院    </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       </w:t>
      </w:r>
      <w:r>
        <w:rPr>
          <w:rFonts w:hint="eastAsia" w:asciiTheme="minorEastAsia" w:hAnsiTheme="minorEastAsia" w:eastAsiaTheme="minorEastAsia" w:cstheme="minorEastAsia"/>
          <w:b/>
          <w:bCs/>
          <w:color w:val="auto"/>
          <w:kern w:val="0"/>
          <w:sz w:val="28"/>
          <w:szCs w:val="28"/>
          <w:highlight w:val="none"/>
          <w:lang w:bidi="ar"/>
        </w:rPr>
        <w:t>（公章）</w:t>
      </w:r>
    </w:p>
    <w:p>
      <w:pPr>
        <w:autoSpaceDE w:val="0"/>
        <w:autoSpaceDN w:val="0"/>
        <w:spacing w:line="600" w:lineRule="exact"/>
        <w:ind w:firstLine="840" w:firstLineChars="300"/>
        <w:outlineLvl w:val="1"/>
        <w:rPr>
          <w:rFonts w:hint="default" w:asciiTheme="minorEastAsia" w:hAnsiTheme="minorEastAsia" w:eastAsiaTheme="minorEastAsia" w:cstheme="minorEastAsia"/>
          <w:b/>
          <w:bCs/>
          <w:color w:val="auto"/>
          <w:kern w:val="0"/>
          <w:sz w:val="28"/>
          <w:szCs w:val="28"/>
          <w:highlight w:val="none"/>
          <w:u w:val="single"/>
          <w:lang w:val="en-US" w:eastAsia="zh-CN" w:bidi="ar"/>
        </w:rPr>
      </w:pPr>
      <w:r>
        <w:rPr>
          <w:rFonts w:hint="eastAsia" w:asciiTheme="minorEastAsia" w:hAnsiTheme="minorEastAsia" w:eastAsiaTheme="minorEastAsia" w:cstheme="minorEastAsia"/>
          <w:b/>
          <w:bCs/>
          <w:color w:val="auto"/>
          <w:kern w:val="0"/>
          <w:sz w:val="28"/>
          <w:szCs w:val="28"/>
          <w:highlight w:val="none"/>
          <w:lang w:bidi="ar"/>
        </w:rPr>
        <w:t>联 系 人：</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kern w:val="0"/>
          <w:sz w:val="28"/>
          <w:szCs w:val="28"/>
          <w:highlight w:val="none"/>
          <w:u w:val="single"/>
          <w:lang w:eastAsia="zh-CN" w:bidi="ar"/>
        </w:rPr>
        <w:t>张浩</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  </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      </w:t>
      </w:r>
    </w:p>
    <w:p>
      <w:pPr>
        <w:autoSpaceDE w:val="0"/>
        <w:autoSpaceDN w:val="0"/>
        <w:spacing w:line="600" w:lineRule="exact"/>
        <w:ind w:firstLine="840" w:firstLineChars="300"/>
        <w:outlineLvl w:val="1"/>
        <w:rPr>
          <w:rFonts w:hint="default" w:asciiTheme="minorEastAsia" w:hAnsiTheme="minorEastAsia" w:eastAsiaTheme="minorEastAsia" w:cstheme="minorEastAsia"/>
          <w:b/>
          <w:bCs/>
          <w:color w:val="auto"/>
          <w:kern w:val="0"/>
          <w:sz w:val="28"/>
          <w:szCs w:val="28"/>
          <w:highlight w:val="none"/>
          <w:u w:val="single"/>
          <w:lang w:val="en-US" w:eastAsia="zh-CN" w:bidi="ar"/>
        </w:rPr>
      </w:pPr>
      <w:r>
        <w:rPr>
          <w:rFonts w:hint="eastAsia" w:asciiTheme="minorEastAsia" w:hAnsiTheme="minorEastAsia" w:eastAsiaTheme="minorEastAsia" w:cstheme="minorEastAsia"/>
          <w:b/>
          <w:bCs/>
          <w:color w:val="auto"/>
          <w:kern w:val="0"/>
          <w:sz w:val="28"/>
          <w:szCs w:val="28"/>
          <w:highlight w:val="none"/>
          <w:lang w:bidi="ar"/>
        </w:rPr>
        <w:t>联系电话：</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sz w:val="28"/>
          <w:szCs w:val="28"/>
          <w:highlight w:val="none"/>
          <w:u w:val="single"/>
          <w:lang w:eastAsia="zh-CN"/>
        </w:rPr>
        <w:t xml:space="preserve">18193369033 </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 </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 </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    </w:t>
      </w:r>
    </w:p>
    <w:p>
      <w:pPr>
        <w:autoSpaceDE w:val="0"/>
        <w:autoSpaceDN w:val="0"/>
        <w:spacing w:line="600" w:lineRule="exact"/>
        <w:ind w:firstLine="840" w:firstLineChars="300"/>
        <w:outlineLvl w:val="1"/>
        <w:rPr>
          <w:rFonts w:hint="eastAsia" w:asciiTheme="minorEastAsia" w:hAnsiTheme="minorEastAsia" w:eastAsiaTheme="minorEastAsia" w:cstheme="minorEastAsia"/>
          <w:b/>
          <w:bCs/>
          <w:color w:val="auto"/>
          <w:kern w:val="0"/>
          <w:sz w:val="28"/>
          <w:szCs w:val="28"/>
          <w:highlight w:val="none"/>
          <w:lang w:bidi="ar"/>
        </w:rPr>
      </w:pPr>
      <w:r>
        <w:rPr>
          <w:rFonts w:hint="eastAsia" w:asciiTheme="minorEastAsia" w:hAnsiTheme="minorEastAsia" w:eastAsiaTheme="minorEastAsia" w:cstheme="minorEastAsia"/>
          <w:b/>
          <w:bCs/>
          <w:color w:val="auto"/>
          <w:kern w:val="0"/>
          <w:sz w:val="28"/>
          <w:szCs w:val="28"/>
          <w:highlight w:val="none"/>
          <w:lang w:bidi="ar"/>
        </w:rPr>
        <w:t>代理机构：</w:t>
      </w:r>
      <w:r>
        <w:rPr>
          <w:rFonts w:hint="eastAsia" w:asciiTheme="minorEastAsia" w:hAnsiTheme="minorEastAsia" w:eastAsiaTheme="minorEastAsia" w:cstheme="minorEastAsia"/>
          <w:b/>
          <w:bCs/>
          <w:color w:val="auto"/>
          <w:kern w:val="0"/>
          <w:sz w:val="28"/>
          <w:szCs w:val="28"/>
          <w:highlight w:val="none"/>
          <w:u w:val="single"/>
          <w:lang w:eastAsia="zh-CN" w:bidi="ar"/>
        </w:rPr>
        <w:t>新疆鑫倍源工程项目管理有限公司</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 </w:t>
      </w:r>
      <w:r>
        <w:rPr>
          <w:rFonts w:hint="eastAsia" w:asciiTheme="minorEastAsia" w:hAnsiTheme="minorEastAsia" w:eastAsiaTheme="minorEastAsia" w:cstheme="minorEastAsia"/>
          <w:b/>
          <w:bCs/>
          <w:color w:val="auto"/>
          <w:kern w:val="0"/>
          <w:sz w:val="28"/>
          <w:szCs w:val="28"/>
          <w:highlight w:val="none"/>
          <w:lang w:bidi="ar"/>
        </w:rPr>
        <w:t>（公章）</w:t>
      </w:r>
    </w:p>
    <w:p>
      <w:pPr>
        <w:autoSpaceDE w:val="0"/>
        <w:autoSpaceDN w:val="0"/>
        <w:spacing w:line="600" w:lineRule="exact"/>
        <w:ind w:firstLine="840" w:firstLineChars="300"/>
        <w:outlineLvl w:val="1"/>
        <w:rPr>
          <w:rFonts w:hint="default" w:asciiTheme="minorEastAsia" w:hAnsiTheme="minorEastAsia" w:eastAsiaTheme="minorEastAsia" w:cstheme="minorEastAsia"/>
          <w:b/>
          <w:bCs/>
          <w:color w:val="auto"/>
          <w:kern w:val="0"/>
          <w:sz w:val="28"/>
          <w:szCs w:val="28"/>
          <w:highlight w:val="none"/>
          <w:u w:val="single"/>
          <w:lang w:val="en-US" w:eastAsia="zh-CN" w:bidi="ar"/>
        </w:rPr>
      </w:pPr>
      <w:r>
        <w:rPr>
          <w:rFonts w:hint="eastAsia" w:asciiTheme="minorEastAsia" w:hAnsiTheme="minorEastAsia" w:eastAsiaTheme="minorEastAsia" w:cstheme="minorEastAsia"/>
          <w:b/>
          <w:bCs/>
          <w:color w:val="auto"/>
          <w:kern w:val="0"/>
          <w:sz w:val="28"/>
          <w:szCs w:val="28"/>
          <w:highlight w:val="none"/>
          <w:lang w:bidi="ar"/>
        </w:rPr>
        <w:t>联 系 人：</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kern w:val="0"/>
          <w:sz w:val="28"/>
          <w:szCs w:val="28"/>
          <w:highlight w:val="none"/>
          <w:u w:val="single"/>
          <w:lang w:eastAsia="zh-CN" w:bidi="ar"/>
        </w:rPr>
        <w:t>杨红</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   </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kern w:val="0"/>
          <w:sz w:val="28"/>
          <w:szCs w:val="28"/>
          <w:highlight w:val="none"/>
          <w:u w:val="single"/>
          <w:lang w:val="en-US" w:eastAsia="zh-CN" w:bidi="ar"/>
        </w:rPr>
        <w:t xml:space="preserve">      </w:t>
      </w:r>
    </w:p>
    <w:p>
      <w:pPr>
        <w:autoSpaceDE w:val="0"/>
        <w:autoSpaceDN w:val="0"/>
        <w:spacing w:line="600" w:lineRule="exact"/>
        <w:ind w:firstLine="840" w:firstLineChars="300"/>
        <w:outlineLvl w:val="1"/>
        <w:rPr>
          <w:rFonts w:hint="default" w:asciiTheme="minorEastAsia" w:hAnsiTheme="minorEastAsia" w:eastAsiaTheme="minorEastAsia" w:cstheme="minorEastAsia"/>
          <w:b/>
          <w:bCs/>
          <w:color w:val="auto"/>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highlight w:val="none"/>
          <w:lang w:bidi="ar"/>
        </w:rPr>
        <w:t>联系电话：</w:t>
      </w:r>
      <w:r>
        <w:rPr>
          <w:rFonts w:hint="eastAsia" w:asciiTheme="minorEastAsia" w:hAnsiTheme="minorEastAsia" w:eastAsiaTheme="minorEastAsia" w:cstheme="minorEastAsia"/>
          <w:b/>
          <w:bCs/>
          <w:color w:val="auto"/>
          <w:kern w:val="0"/>
          <w:sz w:val="28"/>
          <w:szCs w:val="28"/>
          <w:highlight w:val="none"/>
          <w:u w:val="single"/>
          <w:lang w:bidi="ar"/>
        </w:rPr>
        <w:t xml:space="preserve">        </w:t>
      </w:r>
      <w:r>
        <w:rPr>
          <w:rFonts w:hint="eastAsia" w:asciiTheme="minorEastAsia" w:hAnsiTheme="minorEastAsia" w:eastAsiaTheme="minorEastAsia" w:cstheme="minorEastAsia"/>
          <w:b/>
          <w:bCs/>
          <w:color w:val="auto"/>
          <w:sz w:val="24"/>
          <w:highlight w:val="none"/>
          <w:u w:val="single"/>
          <w:lang w:val="en-US" w:eastAsia="zh-CN"/>
        </w:rPr>
        <w:t>13899169116</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u w:val="single"/>
          <w:lang w:val="en-US" w:eastAsia="zh-CN"/>
        </w:rPr>
        <w:t xml:space="preserve">     </w:t>
      </w:r>
    </w:p>
    <w:p>
      <w:pPr>
        <w:pStyle w:val="24"/>
        <w:spacing w:line="600" w:lineRule="exact"/>
        <w:rPr>
          <w:rFonts w:hint="eastAsia" w:asciiTheme="minorEastAsia" w:hAnsiTheme="minorEastAsia" w:eastAsiaTheme="minorEastAsia" w:cstheme="minorEastAsia"/>
          <w:b/>
          <w:bCs/>
          <w:color w:val="auto"/>
          <w:sz w:val="28"/>
          <w:szCs w:val="28"/>
          <w:highlight w:val="none"/>
          <w:u w:val="single"/>
        </w:rPr>
      </w:pPr>
    </w:p>
    <w:p>
      <w:pPr>
        <w:pStyle w:val="24"/>
        <w:spacing w:line="600" w:lineRule="exact"/>
        <w:ind w:firstLine="3080" w:firstLineChars="1100"/>
        <w:jc w:val="right"/>
        <w:outlineLvl w:val="1"/>
        <w:rPr>
          <w:rFonts w:hint="eastAsia" w:asciiTheme="minorEastAsia" w:hAnsiTheme="minorEastAsia" w:eastAsiaTheme="minorEastAsia" w:cstheme="minorEastAsia"/>
          <w:b/>
          <w:bCs/>
          <w:color w:val="auto"/>
          <w:kern w:val="0"/>
          <w:sz w:val="28"/>
          <w:szCs w:val="28"/>
          <w:highlight w:val="none"/>
          <w:lang w:bidi="ar"/>
        </w:rPr>
      </w:pPr>
      <w:r>
        <w:rPr>
          <w:rFonts w:hint="eastAsia" w:asciiTheme="minorEastAsia" w:hAnsiTheme="minorEastAsia" w:eastAsiaTheme="minorEastAsia" w:cstheme="minorEastAsia"/>
          <w:b/>
          <w:bCs/>
          <w:color w:val="auto"/>
          <w:kern w:val="0"/>
          <w:sz w:val="28"/>
          <w:szCs w:val="28"/>
          <w:highlight w:val="none"/>
          <w:lang w:val="en-US" w:eastAsia="zh-CN" w:bidi="ar"/>
        </w:rPr>
        <w:t>日期：</w:t>
      </w:r>
      <w:r>
        <w:rPr>
          <w:rFonts w:hint="eastAsia" w:asciiTheme="minorEastAsia" w:hAnsiTheme="minorEastAsia" w:eastAsiaTheme="minorEastAsia" w:cstheme="minorEastAsia"/>
          <w:b/>
          <w:bCs/>
          <w:color w:val="auto"/>
          <w:kern w:val="0"/>
          <w:sz w:val="28"/>
          <w:szCs w:val="28"/>
          <w:highlight w:val="none"/>
          <w:lang w:eastAsia="zh-CN" w:bidi="ar"/>
        </w:rPr>
        <w:t>2021年</w:t>
      </w:r>
      <w:r>
        <w:rPr>
          <w:rFonts w:hint="eastAsia" w:asciiTheme="minorEastAsia" w:hAnsiTheme="minorEastAsia" w:eastAsiaTheme="minorEastAsia" w:cstheme="minorEastAsia"/>
          <w:b/>
          <w:bCs/>
          <w:color w:val="auto"/>
          <w:kern w:val="0"/>
          <w:sz w:val="28"/>
          <w:szCs w:val="28"/>
          <w:highlight w:val="none"/>
          <w:lang w:val="en-US" w:eastAsia="zh-CN" w:bidi="ar"/>
        </w:rPr>
        <w:t>12</w:t>
      </w:r>
      <w:r>
        <w:rPr>
          <w:rFonts w:hint="eastAsia" w:asciiTheme="minorEastAsia" w:hAnsiTheme="minorEastAsia" w:eastAsiaTheme="minorEastAsia" w:cstheme="minorEastAsia"/>
          <w:b/>
          <w:bCs/>
          <w:color w:val="auto"/>
          <w:kern w:val="0"/>
          <w:sz w:val="28"/>
          <w:szCs w:val="28"/>
          <w:highlight w:val="none"/>
          <w:lang w:eastAsia="zh-CN" w:bidi="ar"/>
        </w:rPr>
        <w:t>月</w:t>
      </w:r>
      <w:r>
        <w:rPr>
          <w:rFonts w:hint="eastAsia" w:asciiTheme="minorEastAsia" w:hAnsiTheme="minorEastAsia" w:eastAsiaTheme="minorEastAsia" w:cstheme="minorEastAsia"/>
          <w:b/>
          <w:bCs/>
          <w:color w:val="auto"/>
          <w:kern w:val="0"/>
          <w:sz w:val="28"/>
          <w:szCs w:val="28"/>
          <w:highlight w:val="none"/>
          <w:lang w:bidi="ar"/>
        </w:rPr>
        <w:t xml:space="preserve">  </w:t>
      </w:r>
    </w:p>
    <w:p>
      <w:pPr>
        <w:pStyle w:val="24"/>
        <w:spacing w:line="600" w:lineRule="exact"/>
        <w:ind w:firstLine="3080" w:firstLineChars="1100"/>
        <w:outlineLvl w:val="1"/>
        <w:rPr>
          <w:rFonts w:hint="eastAsia" w:asciiTheme="minorEastAsia" w:hAnsiTheme="minorEastAsia" w:eastAsiaTheme="minorEastAsia" w:cstheme="minorEastAsia"/>
          <w:b/>
          <w:bCs/>
          <w:color w:val="auto"/>
          <w:kern w:val="0"/>
          <w:sz w:val="28"/>
          <w:szCs w:val="28"/>
          <w:highlight w:val="none"/>
          <w:lang w:bidi="ar"/>
        </w:rPr>
      </w:pPr>
    </w:p>
    <w:p>
      <w:pPr>
        <w:pStyle w:val="24"/>
        <w:spacing w:line="600" w:lineRule="exact"/>
        <w:ind w:firstLine="3080" w:firstLineChars="1100"/>
        <w:outlineLvl w:val="1"/>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bCs/>
          <w:color w:val="auto"/>
          <w:kern w:val="0"/>
          <w:sz w:val="28"/>
          <w:szCs w:val="28"/>
          <w:highlight w:val="none"/>
          <w:lang w:bidi="ar"/>
        </w:rPr>
        <w:t xml:space="preserve">              </w:t>
      </w:r>
    </w:p>
    <w:p>
      <w:pPr>
        <w:pStyle w:val="22"/>
        <w:tabs>
          <w:tab w:val="right" w:leader="dot" w:pos="8312"/>
        </w:tabs>
        <w:spacing w:line="300" w:lineRule="exact"/>
        <w:rPr>
          <w:rFonts w:hint="eastAsia" w:asciiTheme="minorEastAsia" w:hAnsiTheme="minorEastAsia" w:eastAsiaTheme="minorEastAsia" w:cstheme="minorEastAsia"/>
          <w:color w:val="auto"/>
          <w:kern w:val="0"/>
          <w:szCs w:val="21"/>
          <w:highlight w:val="none"/>
        </w:rPr>
        <w:sectPr>
          <w:headerReference r:id="rId3" w:type="default"/>
          <w:footerReference r:id="rId4" w:type="default"/>
          <w:pgSz w:w="11906" w:h="16838"/>
          <w:pgMar w:top="1440" w:right="1797" w:bottom="1440" w:left="1797" w:header="454" w:footer="992" w:gutter="0"/>
          <w:pgNumType w:start="1"/>
          <w:cols w:space="720" w:num="1"/>
          <w:docGrid w:type="linesAndChars" w:linePitch="312" w:charSpace="0"/>
        </w:sectPr>
      </w:pPr>
    </w:p>
    <w:p>
      <w:pPr>
        <w:pStyle w:val="22"/>
        <w:tabs>
          <w:tab w:val="right" w:leader="dot" w:pos="8312"/>
        </w:tabs>
        <w:spacing w:line="400" w:lineRule="exact"/>
        <w:rPr>
          <w:rFonts w:hint="eastAsia" w:asciiTheme="minorEastAsia" w:hAnsiTheme="minorEastAsia" w:eastAsiaTheme="minorEastAsia" w:cstheme="minorEastAsia"/>
          <w:color w:val="auto"/>
          <w:sz w:val="24"/>
          <w:highlight w:val="none"/>
        </w:rPr>
      </w:pPr>
      <w:bookmarkStart w:id="0" w:name="_Toc9228"/>
      <w:bookmarkStart w:id="1" w:name="_Toc216582804"/>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5"/>
        <w:rPr>
          <w:rFonts w:hint="eastAsia"/>
          <w:color w:val="auto"/>
          <w:highlight w:val="none"/>
        </w:rPr>
        <w:sectPr>
          <w:footerReference r:id="rId7" w:type="first"/>
          <w:footerReference r:id="rId5" w:type="default"/>
          <w:footerReference r:id="rId6" w:type="even"/>
          <w:pgSz w:w="11906" w:h="16838"/>
          <w:pgMar w:top="1440" w:right="1797" w:bottom="1440" w:left="1797" w:header="851" w:footer="992" w:gutter="0"/>
          <w:pgNumType w:fmt="decimal" w:start="1"/>
          <w:cols w:space="720" w:num="1"/>
          <w:docGrid w:type="linesAndChars" w:linePitch="312" w:charSpace="0"/>
        </w:sectPr>
      </w:pPr>
    </w:p>
    <w:p>
      <w:pPr>
        <w:rPr>
          <w:rFonts w:hint="eastAsia"/>
          <w:color w:val="auto"/>
          <w:highlight w:val="none"/>
        </w:rPr>
      </w:pPr>
    </w:p>
    <w:p>
      <w:pPr>
        <w:jc w:val="center"/>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目录</w:t>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TOC \o "1-2" \h \u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"_Toc16197"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 xml:space="preserve">第1章 </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须知</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_Toc16197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"_Toc29867"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一   总  则</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_Toc29867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"_Toc23787"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二   磋商文件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_Toc23787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"_Toc26563"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三   响应文件的编制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_Toc26563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4</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"_Toc9633"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四   响应文件的递交</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_Toc9633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7</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"_Toc5445"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五   磋商开启及评审</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_Toc5445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8</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"_Toc15697"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六   确定成交</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_Toc15697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13</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"_Toc21808"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第2章 响应文件格式</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_Toc21808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21</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"_Toc30069"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 xml:space="preserve">第一部分 </w:t>
      </w:r>
      <w:r>
        <w:rPr>
          <w:rFonts w:hint="eastAsia" w:asciiTheme="minorEastAsia" w:hAnsiTheme="minorEastAsia" w:eastAsiaTheme="minorEastAsia" w:cstheme="minorEastAsia"/>
          <w:color w:val="auto"/>
          <w:sz w:val="22"/>
          <w:szCs w:val="22"/>
          <w:highlight w:val="none"/>
          <w:lang w:eastAsia="zh-CN"/>
        </w:rPr>
        <w:t>报价</w:t>
      </w:r>
      <w:r>
        <w:rPr>
          <w:rFonts w:hint="eastAsia" w:asciiTheme="minorEastAsia" w:hAnsiTheme="minorEastAsia" w:eastAsiaTheme="minorEastAsia" w:cstheme="minorEastAsia"/>
          <w:color w:val="auto"/>
          <w:sz w:val="22"/>
          <w:szCs w:val="22"/>
          <w:highlight w:val="none"/>
        </w:rPr>
        <w:t>一览表及资格证明文件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_Toc30069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21</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t xml:space="preserve"> </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"_Toc11138"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 xml:space="preserve">1  </w:t>
      </w:r>
      <w:r>
        <w:rPr>
          <w:rFonts w:hint="eastAsia" w:asciiTheme="minorEastAsia" w:hAnsiTheme="minorEastAsia" w:eastAsiaTheme="minorEastAsia" w:cstheme="minorEastAsia"/>
          <w:color w:val="auto"/>
          <w:sz w:val="22"/>
          <w:szCs w:val="22"/>
          <w:highlight w:val="none"/>
          <w:lang w:eastAsia="zh-CN"/>
        </w:rPr>
        <w:t>报价</w:t>
      </w:r>
      <w:r>
        <w:rPr>
          <w:rFonts w:hint="eastAsia" w:asciiTheme="minorEastAsia" w:hAnsiTheme="minorEastAsia" w:eastAsiaTheme="minorEastAsia" w:cstheme="minorEastAsia"/>
          <w:color w:val="auto"/>
          <w:sz w:val="22"/>
          <w:szCs w:val="22"/>
          <w:highlight w:val="none"/>
        </w:rPr>
        <w:t>一览表（</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格式一）</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_Toc11138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21</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"_Toc16184"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  法人或者非法人组织的营业执照等证明文件或自然人的身份证明</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_Toc16184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24</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"_Toc13107"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  法定代表人授权书（见</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格式二，自然人</w:t>
      </w: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color w:val="auto"/>
          <w:sz w:val="22"/>
          <w:szCs w:val="22"/>
          <w:highlight w:val="none"/>
        </w:rPr>
        <w:t>的无需提供）</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_Toc13107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25</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4  </w:t>
      </w:r>
      <w:r>
        <w:rPr>
          <w:rFonts w:hint="eastAsia" w:asciiTheme="minorEastAsia" w:hAnsiTheme="minorEastAsia" w:eastAsiaTheme="minorEastAsia" w:cstheme="minorEastAsia"/>
          <w:color w:val="auto"/>
          <w:sz w:val="22"/>
          <w:szCs w:val="22"/>
          <w:highlight w:val="none"/>
        </w:rPr>
        <w:t>具有良好的商业信誉和健全的财务会计制度的证明文件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26</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"_Toc6113"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 xml:space="preserve">5  </w:t>
      </w:r>
      <w:r>
        <w:rPr>
          <w:rFonts w:hint="eastAsia" w:asciiTheme="minorEastAsia" w:hAnsiTheme="minorEastAsia" w:eastAsiaTheme="minorEastAsia" w:cstheme="minorEastAsia"/>
          <w:color w:val="auto"/>
          <w:sz w:val="22"/>
          <w:szCs w:val="22"/>
          <w:highlight w:val="none"/>
          <w:lang w:val="en-US" w:eastAsia="zh-CN"/>
        </w:rPr>
        <w:t>磋商保证金缴纳凭证复印件或投标担保函</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lang w:val="en-US" w:eastAsia="zh-CN"/>
        </w:rPr>
        <w:t>7</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"_Toc32295"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6  社会保障资金的缴纳记录</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_Toc32295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31</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"_Toc19412"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7  参加政府采购活动前3年内在经营活动中没有重大违法记录的书面声明</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_Toc19412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31</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"_Toc10181"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 xml:space="preserve">8  </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须知资料表要求的其他资格证明文件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lang w:val="en-US" w:eastAsia="zh-CN"/>
        </w:rPr>
        <w:t>1</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   进口产品制造厂家的授权书（响应文件格式四）</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31</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auto"/>
          <w:sz w:val="22"/>
          <w:szCs w:val="22"/>
          <w:highlight w:val="none"/>
          <w:lang w:val="en-US" w:eastAsia="zh-CN"/>
        </w:rPr>
      </w:pPr>
      <w:r>
        <w:rPr>
          <w:rFonts w:hint="default" w:asciiTheme="minorEastAsia" w:hAnsiTheme="minorEastAsia" w:eastAsiaTheme="minorEastAsia" w:cstheme="minorEastAsia"/>
          <w:color w:val="auto"/>
          <w:sz w:val="22"/>
          <w:szCs w:val="22"/>
          <w:highlight w:val="none"/>
          <w:lang w:val="en-US" w:eastAsia="zh-CN"/>
        </w:rPr>
        <w:t>第二部分  商务及技术文件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32</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fldChar w:fldCharType="begin"/>
      </w:r>
      <w:r>
        <w:rPr>
          <w:rFonts w:hint="eastAsia" w:asciiTheme="minorEastAsia" w:hAnsiTheme="minorEastAsia" w:eastAsiaTheme="minorEastAsia" w:cstheme="minorEastAsia"/>
          <w:color w:val="auto"/>
          <w:sz w:val="22"/>
          <w:szCs w:val="22"/>
          <w:highlight w:val="none"/>
          <w:lang w:eastAsia="zh-CN"/>
        </w:rPr>
        <w:instrText xml:space="preserve"> HYPERLINK \l "_Toc28097" </w:instrText>
      </w:r>
      <w:r>
        <w:rPr>
          <w:rFonts w:hint="eastAsia" w:asciiTheme="minorEastAsia" w:hAnsiTheme="minorEastAsia" w:eastAsiaTheme="minorEastAsia" w:cstheme="minorEastAsia"/>
          <w:color w:val="auto"/>
          <w:sz w:val="22"/>
          <w:szCs w:val="22"/>
          <w:highlight w:val="none"/>
          <w:lang w:eastAsia="zh-CN"/>
        </w:rPr>
        <w:fldChar w:fldCharType="separate"/>
      </w:r>
      <w:r>
        <w:rPr>
          <w:rFonts w:hint="eastAsia" w:asciiTheme="minorEastAsia" w:hAnsiTheme="minorEastAsia" w:eastAsiaTheme="minorEastAsia" w:cstheme="minorEastAsia"/>
          <w:color w:val="auto"/>
          <w:sz w:val="22"/>
          <w:szCs w:val="22"/>
          <w:highlight w:val="none"/>
          <w:lang w:eastAsia="zh-CN"/>
        </w:rPr>
        <w:t>1   磋商响应函（响应文件格式五）</w:t>
      </w:r>
      <w:r>
        <w:rPr>
          <w:rFonts w:hint="eastAsia" w:asciiTheme="minorEastAsia" w:hAnsiTheme="minorEastAsia" w:eastAsiaTheme="minorEastAsia" w:cstheme="minorEastAsia"/>
          <w:color w:val="auto"/>
          <w:sz w:val="22"/>
          <w:szCs w:val="22"/>
          <w:highlight w:val="none"/>
          <w:lang w:eastAsia="zh-CN"/>
        </w:rPr>
        <w:tab/>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eastAsia="zh-CN"/>
        </w:rPr>
        <w:fldChar w:fldCharType="end"/>
      </w:r>
      <w:r>
        <w:rPr>
          <w:rFonts w:hint="eastAsia" w:asciiTheme="minorEastAsia" w:hAnsiTheme="minorEastAsia" w:eastAsiaTheme="minorEastAsia" w:cstheme="minorEastAsia"/>
          <w:color w:val="auto"/>
          <w:sz w:val="22"/>
          <w:szCs w:val="22"/>
          <w:highlight w:val="none"/>
          <w:lang w:val="en-US" w:eastAsia="zh-CN"/>
        </w:rPr>
        <w:t>3</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 xml:space="preserve">2   </w:t>
      </w:r>
      <w:r>
        <w:rPr>
          <w:rFonts w:hint="eastAsia" w:asciiTheme="minorEastAsia" w:hAnsiTheme="minorEastAsia" w:eastAsiaTheme="minorEastAsia" w:cstheme="minorEastAsia"/>
          <w:color w:val="auto"/>
          <w:sz w:val="22"/>
          <w:szCs w:val="22"/>
          <w:highlight w:val="none"/>
          <w:lang w:val="en-US" w:eastAsia="zh-CN"/>
        </w:rPr>
        <w:t>磋商</w:t>
      </w:r>
      <w:r>
        <w:rPr>
          <w:rFonts w:hint="eastAsia" w:asciiTheme="minorEastAsia" w:hAnsiTheme="minorEastAsia" w:eastAsiaTheme="minorEastAsia" w:cstheme="minorEastAsia"/>
          <w:color w:val="auto"/>
          <w:sz w:val="22"/>
          <w:szCs w:val="22"/>
          <w:highlight w:val="none"/>
          <w:lang w:eastAsia="zh-CN"/>
        </w:rPr>
        <w:t>保证金缴纳凭证复印件或投标担保函</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34</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t>3   投标分项报价表（响应文件格式七）</w:t>
      </w:r>
      <w:r>
        <w:rPr>
          <w:rFonts w:hint="eastAsia" w:asciiTheme="minorEastAsia" w:hAnsiTheme="minorEastAsia" w:eastAsiaTheme="minorEastAsia" w:cstheme="minorEastAsia"/>
          <w:color w:val="auto"/>
          <w:sz w:val="22"/>
          <w:szCs w:val="22"/>
          <w:highlight w:val="none"/>
          <w:lang w:eastAsia="zh-CN"/>
        </w:rPr>
        <w:tab/>
      </w:r>
      <w:r>
        <w:rPr>
          <w:rFonts w:hint="eastAsia" w:asciiTheme="minorEastAsia" w:hAnsiTheme="minorEastAsia" w:eastAsiaTheme="minorEastAsia" w:cstheme="minorEastAsia"/>
          <w:color w:val="auto"/>
          <w:sz w:val="22"/>
          <w:szCs w:val="22"/>
          <w:highlight w:val="none"/>
          <w:lang w:val="en-US" w:eastAsia="zh-CN"/>
        </w:rPr>
        <w:t>36</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auto"/>
          <w:sz w:val="22"/>
          <w:szCs w:val="22"/>
          <w:highlight w:val="none"/>
          <w:lang w:val="en-US" w:eastAsia="zh-CN"/>
        </w:rPr>
      </w:pPr>
      <w:r>
        <w:rPr>
          <w:rFonts w:hint="default" w:asciiTheme="minorEastAsia" w:hAnsiTheme="minorEastAsia" w:eastAsiaTheme="minorEastAsia" w:cstheme="minorEastAsia"/>
          <w:color w:val="auto"/>
          <w:sz w:val="22"/>
          <w:szCs w:val="22"/>
          <w:highlight w:val="none"/>
          <w:lang w:val="en-US" w:eastAsia="zh-CN"/>
        </w:rPr>
        <w:t>4   货物说明一览表（响应文件格式八）</w:t>
      </w:r>
      <w:r>
        <w:rPr>
          <w:rFonts w:hint="eastAsia" w:asciiTheme="minorEastAsia" w:hAnsiTheme="minorEastAsia" w:eastAsiaTheme="minorEastAsia" w:cstheme="minorEastAsia"/>
          <w:color w:val="auto"/>
          <w:sz w:val="22"/>
          <w:szCs w:val="22"/>
          <w:highlight w:val="none"/>
          <w:lang w:eastAsia="zh-CN"/>
        </w:rPr>
        <w:tab/>
      </w:r>
      <w:r>
        <w:rPr>
          <w:rFonts w:hint="eastAsia" w:asciiTheme="minorEastAsia" w:hAnsiTheme="minorEastAsia" w:eastAsiaTheme="minorEastAsia" w:cstheme="minorEastAsia"/>
          <w:color w:val="auto"/>
          <w:sz w:val="22"/>
          <w:szCs w:val="22"/>
          <w:highlight w:val="none"/>
          <w:lang w:val="en-US" w:eastAsia="zh-CN"/>
        </w:rPr>
        <w:t>37</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fldChar w:fldCharType="begin"/>
      </w:r>
      <w:r>
        <w:rPr>
          <w:rFonts w:hint="eastAsia" w:asciiTheme="minorEastAsia" w:hAnsiTheme="minorEastAsia" w:eastAsiaTheme="minorEastAsia" w:cstheme="minorEastAsia"/>
          <w:color w:val="auto"/>
          <w:sz w:val="22"/>
          <w:szCs w:val="22"/>
          <w:highlight w:val="none"/>
          <w:lang w:eastAsia="zh-CN"/>
        </w:rPr>
        <w:instrText xml:space="preserve"> HYPERLINK \l "_Toc1399" </w:instrText>
      </w:r>
      <w:r>
        <w:rPr>
          <w:rFonts w:hint="eastAsia" w:asciiTheme="minorEastAsia" w:hAnsiTheme="minorEastAsia" w:eastAsiaTheme="minorEastAsia" w:cstheme="minorEastAsia"/>
          <w:color w:val="auto"/>
          <w:sz w:val="22"/>
          <w:szCs w:val="22"/>
          <w:highlight w:val="none"/>
          <w:lang w:eastAsia="zh-CN"/>
        </w:rPr>
        <w:fldChar w:fldCharType="separate"/>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lang w:eastAsia="zh-CN"/>
        </w:rPr>
        <w:t xml:space="preserve">   技术规格偏离表（响应文件格式九）</w:t>
      </w:r>
      <w:r>
        <w:rPr>
          <w:rFonts w:hint="eastAsia" w:asciiTheme="minorEastAsia" w:hAnsiTheme="minorEastAsia" w:eastAsiaTheme="minorEastAsia" w:cstheme="minorEastAsia"/>
          <w:color w:val="auto"/>
          <w:sz w:val="22"/>
          <w:szCs w:val="22"/>
          <w:highlight w:val="none"/>
          <w:lang w:eastAsia="zh-CN"/>
        </w:rPr>
        <w:tab/>
      </w:r>
      <w:r>
        <w:rPr>
          <w:rFonts w:hint="eastAsia" w:asciiTheme="minorEastAsia" w:hAnsiTheme="minorEastAsia" w:eastAsiaTheme="minorEastAsia" w:cstheme="minorEastAsia"/>
          <w:color w:val="auto"/>
          <w:sz w:val="22"/>
          <w:szCs w:val="22"/>
          <w:highlight w:val="none"/>
          <w:lang w:eastAsia="zh-CN"/>
        </w:rPr>
        <w:fldChar w:fldCharType="end"/>
      </w:r>
      <w:r>
        <w:rPr>
          <w:rFonts w:hint="eastAsia" w:asciiTheme="minorEastAsia" w:hAnsiTheme="minorEastAsia" w:eastAsiaTheme="minorEastAsia" w:cstheme="minorEastAsia"/>
          <w:color w:val="auto"/>
          <w:sz w:val="22"/>
          <w:szCs w:val="22"/>
          <w:highlight w:val="none"/>
          <w:lang w:val="en-US" w:eastAsia="zh-CN"/>
        </w:rPr>
        <w:t>38</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auto"/>
          <w:sz w:val="22"/>
          <w:szCs w:val="22"/>
          <w:highlight w:val="none"/>
          <w:lang w:val="en-US" w:eastAsia="zh-CN"/>
        </w:rPr>
      </w:pPr>
      <w:r>
        <w:rPr>
          <w:rFonts w:hint="default" w:asciiTheme="minorEastAsia" w:hAnsiTheme="minorEastAsia" w:eastAsiaTheme="minorEastAsia" w:cstheme="minorEastAsia"/>
          <w:color w:val="auto"/>
          <w:sz w:val="22"/>
          <w:szCs w:val="22"/>
          <w:highlight w:val="none"/>
          <w:lang w:val="en-US" w:eastAsia="zh-CN"/>
        </w:rPr>
        <w:t>6   商务条款偏离表（响应文件格式十）</w:t>
      </w:r>
      <w:r>
        <w:rPr>
          <w:rFonts w:hint="eastAsia" w:asciiTheme="minorEastAsia" w:hAnsiTheme="minorEastAsia" w:eastAsiaTheme="minorEastAsia" w:cstheme="minorEastAsia"/>
          <w:color w:val="auto"/>
          <w:sz w:val="22"/>
          <w:szCs w:val="22"/>
          <w:highlight w:val="none"/>
          <w:lang w:eastAsia="zh-CN"/>
        </w:rPr>
        <w:tab/>
      </w:r>
      <w:r>
        <w:rPr>
          <w:rFonts w:hint="eastAsia" w:asciiTheme="minorEastAsia" w:hAnsiTheme="minorEastAsia" w:eastAsiaTheme="minorEastAsia" w:cstheme="minorEastAsia"/>
          <w:color w:val="auto"/>
          <w:sz w:val="22"/>
          <w:szCs w:val="22"/>
          <w:highlight w:val="none"/>
          <w:lang w:val="en-US" w:eastAsia="zh-CN"/>
        </w:rPr>
        <w:t>39</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eastAsia="zh-CN"/>
        </w:rPr>
        <w:fldChar w:fldCharType="begin"/>
      </w:r>
      <w:r>
        <w:rPr>
          <w:rFonts w:hint="eastAsia" w:asciiTheme="minorEastAsia" w:hAnsiTheme="minorEastAsia" w:eastAsiaTheme="minorEastAsia" w:cstheme="minorEastAsia"/>
          <w:color w:val="auto"/>
          <w:sz w:val="22"/>
          <w:szCs w:val="22"/>
          <w:highlight w:val="none"/>
          <w:lang w:eastAsia="zh-CN"/>
        </w:rPr>
        <w:instrText xml:space="preserve"> HYPERLINK \l "_Toc3916" </w:instrText>
      </w:r>
      <w:r>
        <w:rPr>
          <w:rFonts w:hint="eastAsia" w:asciiTheme="minorEastAsia" w:hAnsiTheme="minorEastAsia" w:eastAsiaTheme="minorEastAsia" w:cstheme="minorEastAsia"/>
          <w:color w:val="auto"/>
          <w:sz w:val="22"/>
          <w:szCs w:val="22"/>
          <w:highlight w:val="none"/>
          <w:lang w:eastAsia="zh-CN"/>
        </w:rPr>
        <w:fldChar w:fldCharType="separate"/>
      </w:r>
      <w:r>
        <w:rPr>
          <w:rFonts w:hint="eastAsia" w:asciiTheme="minorEastAsia" w:hAnsiTheme="minorEastAsia" w:eastAsiaTheme="minorEastAsia" w:cstheme="minorEastAsia"/>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lang w:eastAsia="zh-CN"/>
        </w:rPr>
        <w:t>-1  供应商企业（单位）类型声明函（响应文件格式十一）</w:t>
      </w:r>
      <w:r>
        <w:rPr>
          <w:rFonts w:hint="eastAsia" w:asciiTheme="minorEastAsia" w:hAnsiTheme="minorEastAsia" w:eastAsiaTheme="minorEastAsia" w:cstheme="minorEastAsia"/>
          <w:color w:val="auto"/>
          <w:sz w:val="22"/>
          <w:szCs w:val="22"/>
          <w:highlight w:val="none"/>
          <w:lang w:eastAsia="zh-CN"/>
        </w:rPr>
        <w:tab/>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lang w:eastAsia="zh-CN"/>
        </w:rPr>
        <w:fldChar w:fldCharType="end"/>
      </w:r>
      <w:r>
        <w:rPr>
          <w:rFonts w:hint="eastAsia" w:asciiTheme="minorEastAsia" w:hAnsiTheme="minorEastAsia" w:eastAsiaTheme="minorEastAsia" w:cstheme="minorEastAsia"/>
          <w:color w:val="auto"/>
          <w:sz w:val="22"/>
          <w:szCs w:val="22"/>
          <w:highlight w:val="none"/>
          <w:lang w:val="en-US" w:eastAsia="zh-CN"/>
        </w:rPr>
        <w:t>40</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auto"/>
          <w:sz w:val="22"/>
          <w:szCs w:val="22"/>
          <w:highlight w:val="none"/>
          <w:lang w:val="en-US"/>
        </w:rPr>
      </w:pPr>
      <w:r>
        <w:rPr>
          <w:rFonts w:hint="eastAsia" w:asciiTheme="minorEastAsia" w:hAnsiTheme="minorEastAsia" w:eastAsiaTheme="minorEastAsia" w:cstheme="minorEastAsia"/>
          <w:color w:val="auto"/>
          <w:sz w:val="22"/>
          <w:szCs w:val="22"/>
          <w:highlight w:val="none"/>
          <w:lang w:eastAsia="zh-CN"/>
        </w:rPr>
        <w:fldChar w:fldCharType="begin"/>
      </w:r>
      <w:r>
        <w:rPr>
          <w:rFonts w:hint="eastAsia" w:asciiTheme="minorEastAsia" w:hAnsiTheme="minorEastAsia" w:eastAsiaTheme="minorEastAsia" w:cstheme="minorEastAsia"/>
          <w:color w:val="auto"/>
          <w:sz w:val="22"/>
          <w:szCs w:val="22"/>
          <w:highlight w:val="none"/>
          <w:lang w:eastAsia="zh-CN"/>
        </w:rPr>
        <w:instrText xml:space="preserve"> HYPERLINK \l "_Toc30941" </w:instrText>
      </w:r>
      <w:r>
        <w:rPr>
          <w:rFonts w:hint="eastAsia" w:asciiTheme="minorEastAsia" w:hAnsiTheme="minorEastAsia" w:eastAsiaTheme="minorEastAsia" w:cstheme="minorEastAsia"/>
          <w:color w:val="auto"/>
          <w:sz w:val="22"/>
          <w:szCs w:val="22"/>
          <w:highlight w:val="none"/>
          <w:lang w:eastAsia="zh-CN"/>
        </w:rPr>
        <w:fldChar w:fldCharType="separate"/>
      </w:r>
      <w:r>
        <w:rPr>
          <w:rFonts w:hint="eastAsia" w:asciiTheme="minorEastAsia" w:hAnsiTheme="minorEastAsia" w:eastAsiaTheme="minorEastAsia" w:cstheme="minorEastAsia"/>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lang w:eastAsia="zh-CN"/>
        </w:rPr>
        <w:t>-2   制造商企业（单位）类型声明函（响应文件格式十二）</w:t>
      </w:r>
      <w:r>
        <w:rPr>
          <w:rFonts w:hint="eastAsia" w:asciiTheme="minorEastAsia" w:hAnsiTheme="minorEastAsia" w:eastAsiaTheme="minorEastAsia" w:cstheme="minorEastAsia"/>
          <w:color w:val="auto"/>
          <w:sz w:val="22"/>
          <w:szCs w:val="22"/>
          <w:highlight w:val="none"/>
          <w:lang w:eastAsia="zh-CN"/>
        </w:rPr>
        <w:tab/>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lang w:eastAsia="zh-CN"/>
        </w:rPr>
        <w:fldChar w:fldCharType="end"/>
      </w:r>
      <w:r>
        <w:rPr>
          <w:rFonts w:hint="eastAsia" w:asciiTheme="minorEastAsia" w:hAnsiTheme="minorEastAsia" w:eastAsiaTheme="minorEastAsia" w:cstheme="minorEastAsia"/>
          <w:color w:val="auto"/>
          <w:sz w:val="22"/>
          <w:szCs w:val="22"/>
          <w:highlight w:val="none"/>
          <w:lang w:val="en-US" w:eastAsia="zh-CN"/>
        </w:rPr>
        <w:t>41</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"_Toc31054"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rPr>
        <w:t>-3   残疾人福利性单位声明函（</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格式十三）</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lang w:val="en-US" w:eastAsia="zh-CN"/>
        </w:rPr>
        <w:t>42</w:t>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"_Toc17980"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关联单位的说明</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 xml:space="preserve">43 </w:t>
      </w:r>
      <w:r>
        <w:rPr>
          <w:rFonts w:hint="eastAsia" w:asciiTheme="minorEastAsia" w:hAnsiTheme="minorEastAsia" w:eastAsiaTheme="minorEastAsia" w:cstheme="minorEastAsia"/>
          <w:color w:val="auto"/>
          <w:sz w:val="22"/>
          <w:szCs w:val="22"/>
          <w:highlight w:val="none"/>
        </w:rPr>
        <w:fldChar w:fldCharType="end"/>
      </w:r>
    </w:p>
    <w:p>
      <w:pPr>
        <w:pStyle w:val="27"/>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"_Toc9124"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lang w:val="en-US" w:eastAsia="zh-CN"/>
        </w:rPr>
        <w:t>9</w:t>
      </w:r>
      <w:r>
        <w:rPr>
          <w:rFonts w:hint="eastAsia" w:asciiTheme="minorEastAsia" w:hAnsiTheme="minorEastAsia" w:eastAsiaTheme="minorEastAsia" w:cstheme="minorEastAsia"/>
          <w:color w:val="auto"/>
          <w:sz w:val="22"/>
          <w:szCs w:val="22"/>
          <w:highlight w:val="none"/>
        </w:rPr>
        <w:t xml:space="preserve">   </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还应包括</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须知第10条的所有技术文件</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 xml:space="preserve">43 </w:t>
      </w:r>
      <w:r>
        <w:rPr>
          <w:rFonts w:hint="eastAsia" w:asciiTheme="minorEastAsia" w:hAnsiTheme="minorEastAsia" w:eastAsiaTheme="minorEastAsia" w:cstheme="minorEastAsia"/>
          <w:color w:val="auto"/>
          <w:sz w:val="22"/>
          <w:szCs w:val="22"/>
          <w:highlight w:val="none"/>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"_Toc31119"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第3章  磋商邀请</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_Toc31119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45</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"_Toc22427"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 xml:space="preserve">第4章  </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须知资料表</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t>4</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lang w:val="en-US" w:eastAsia="zh-CN"/>
        </w:rPr>
        <w:t>9</w:t>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"_Toc21132"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 xml:space="preserve">第5章  </w:t>
      </w:r>
      <w:r>
        <w:rPr>
          <w:rFonts w:hint="eastAsia" w:asciiTheme="minorEastAsia" w:hAnsiTheme="minorEastAsia" w:eastAsiaTheme="minorEastAsia" w:cstheme="minorEastAsia"/>
          <w:color w:val="auto"/>
          <w:sz w:val="22"/>
          <w:szCs w:val="22"/>
          <w:highlight w:val="none"/>
          <w:lang w:val="en-US" w:eastAsia="zh-CN"/>
        </w:rPr>
        <w:t>项目</w:t>
      </w:r>
      <w:r>
        <w:rPr>
          <w:rFonts w:hint="eastAsia" w:asciiTheme="minorEastAsia" w:hAnsiTheme="minorEastAsia" w:eastAsiaTheme="minorEastAsia" w:cstheme="minorEastAsia"/>
          <w:color w:val="auto"/>
          <w:sz w:val="22"/>
          <w:szCs w:val="22"/>
          <w:highlight w:val="none"/>
        </w:rPr>
        <w:t>需求</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PAGEREF _Toc21132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53</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rPr>
        <w:fldChar w:fldCharType="end"/>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"_Toc29954"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第6章  评审方法和标准</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lang w:val="en-US" w:eastAsia="zh-CN"/>
        </w:rPr>
        <w:t>7</w:t>
      </w:r>
    </w:p>
    <w:p>
      <w:pPr>
        <w:pStyle w:val="22"/>
        <w:keepNext w:val="0"/>
        <w:keepLines w:val="0"/>
        <w:pageBreakBefore w:val="0"/>
        <w:widowControl w:val="0"/>
        <w:tabs>
          <w:tab w:val="right" w:leader="dot" w:pos="8312"/>
        </w:tabs>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fldChar w:fldCharType="begin"/>
      </w:r>
      <w:r>
        <w:rPr>
          <w:rFonts w:hint="eastAsia" w:asciiTheme="minorEastAsia" w:hAnsiTheme="minorEastAsia" w:eastAsiaTheme="minorEastAsia" w:cstheme="minorEastAsia"/>
          <w:color w:val="auto"/>
          <w:sz w:val="22"/>
          <w:szCs w:val="22"/>
          <w:highlight w:val="none"/>
        </w:rPr>
        <w:instrText xml:space="preserve"> HYPERLINK \l "_Toc1882" </w:instrText>
      </w:r>
      <w:r>
        <w:rPr>
          <w:rFonts w:hint="eastAsia" w:asciiTheme="minorEastAsia" w:hAnsiTheme="minorEastAsia" w:eastAsiaTheme="minorEastAsia" w:cstheme="minorEastAsia"/>
          <w:color w:val="auto"/>
          <w:sz w:val="22"/>
          <w:szCs w:val="22"/>
          <w:highlight w:val="none"/>
        </w:rPr>
        <w:fldChar w:fldCharType="separate"/>
      </w:r>
      <w:r>
        <w:rPr>
          <w:rFonts w:hint="eastAsia" w:asciiTheme="minorEastAsia" w:hAnsiTheme="minorEastAsia" w:eastAsiaTheme="minorEastAsia" w:cstheme="minorEastAsia"/>
          <w:color w:val="auto"/>
          <w:sz w:val="22"/>
          <w:szCs w:val="22"/>
          <w:highlight w:val="none"/>
        </w:rPr>
        <w:t>第7章  政府采购合同</w:t>
      </w:r>
      <w:r>
        <w:rPr>
          <w:rFonts w:hint="eastAsia" w:asciiTheme="minorEastAsia" w:hAnsiTheme="minorEastAsia" w:eastAsiaTheme="minorEastAsia" w:cstheme="minorEastAsia"/>
          <w:color w:val="auto"/>
          <w:sz w:val="22"/>
          <w:szCs w:val="22"/>
          <w:highlight w:val="none"/>
        </w:rPr>
        <w:tab/>
      </w:r>
      <w:r>
        <w:rPr>
          <w:rFonts w:hint="eastAsia" w:asciiTheme="minorEastAsia" w:hAnsiTheme="minorEastAsia" w:eastAsiaTheme="minorEastAsia" w:cstheme="minorEastAsia"/>
          <w:color w:val="auto"/>
          <w:sz w:val="22"/>
          <w:szCs w:val="22"/>
          <w:highlight w:val="none"/>
        </w:rPr>
        <w:fldChar w:fldCharType="end"/>
      </w:r>
      <w:r>
        <w:rPr>
          <w:rFonts w:hint="eastAsia" w:asciiTheme="minorEastAsia" w:hAnsiTheme="minorEastAsia" w:eastAsiaTheme="minorEastAsia" w:cstheme="minorEastAsia"/>
          <w:color w:val="auto"/>
          <w:sz w:val="22"/>
          <w:szCs w:val="22"/>
          <w:highlight w:val="none"/>
          <w:lang w:val="en-US" w:eastAsia="zh-CN"/>
        </w:rPr>
        <w:t>77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2"/>
          <w:szCs w:val="22"/>
          <w:highlight w:val="none"/>
        </w:rPr>
        <w:fldChar w:fldCharType="end"/>
      </w:r>
    </w:p>
    <w:p>
      <w:pPr>
        <w:spacing w:line="400" w:lineRule="exact"/>
        <w:jc w:val="center"/>
        <w:rPr>
          <w:rFonts w:hint="eastAsia" w:asciiTheme="minorEastAsia" w:hAnsiTheme="minorEastAsia" w:eastAsiaTheme="minorEastAsia" w:cstheme="minorEastAsia"/>
          <w:color w:val="auto"/>
          <w:sz w:val="24"/>
          <w:highlight w:val="none"/>
        </w:rPr>
      </w:pPr>
    </w:p>
    <w:p>
      <w:pPr>
        <w:spacing w:line="400" w:lineRule="exact"/>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 xml:space="preserve">第一章  </w:t>
      </w:r>
      <w:bookmarkStart w:id="2" w:name="_Toc518923059"/>
      <w:bookmarkStart w:id="3" w:name="_Toc16197"/>
      <w:r>
        <w:rPr>
          <w:rFonts w:hint="eastAsia" w:asciiTheme="minorEastAsia" w:hAnsiTheme="minorEastAsia" w:eastAsiaTheme="minorEastAsia" w:cstheme="minorEastAsia"/>
          <w:b/>
          <w:color w:val="auto"/>
          <w:sz w:val="30"/>
          <w:szCs w:val="30"/>
          <w:highlight w:val="none"/>
          <w:lang w:eastAsia="zh-CN"/>
        </w:rPr>
        <w:t>供应商</w:t>
      </w:r>
      <w:r>
        <w:rPr>
          <w:rFonts w:hint="eastAsia" w:asciiTheme="minorEastAsia" w:hAnsiTheme="minorEastAsia" w:eastAsiaTheme="minorEastAsia" w:cstheme="minorEastAsia"/>
          <w:b/>
          <w:color w:val="auto"/>
          <w:sz w:val="30"/>
          <w:szCs w:val="30"/>
          <w:highlight w:val="none"/>
        </w:rPr>
        <w:t>须知</w:t>
      </w:r>
      <w:bookmarkEnd w:id="0"/>
      <w:bookmarkEnd w:id="1"/>
      <w:bookmarkEnd w:id="2"/>
      <w:bookmarkEnd w:id="3"/>
    </w:p>
    <w:p>
      <w:pPr>
        <w:pStyle w:val="5"/>
        <w:spacing w:before="0" w:line="240" w:lineRule="auto"/>
        <w:ind w:left="1079" w:leftChars="257" w:hanging="540"/>
        <w:rPr>
          <w:rFonts w:hint="eastAsia" w:asciiTheme="minorEastAsia" w:hAnsiTheme="minorEastAsia" w:eastAsiaTheme="minorEastAsia" w:cstheme="minorEastAsia"/>
          <w:color w:val="auto"/>
          <w:highlight w:val="none"/>
        </w:rPr>
      </w:pPr>
      <w:bookmarkStart w:id="4" w:name="_Toc216582805"/>
      <w:bookmarkStart w:id="5" w:name="_Toc520356143"/>
      <w:bookmarkStart w:id="6" w:name="_Toc9485"/>
      <w:bookmarkStart w:id="7" w:name="_Toc29867"/>
      <w:bookmarkStart w:id="8" w:name="_Toc518923060"/>
      <w:bookmarkStart w:id="9" w:name="_Toc25430_WPSOffice_Level1"/>
      <w:r>
        <w:rPr>
          <w:rFonts w:hint="eastAsia" w:asciiTheme="minorEastAsia" w:hAnsiTheme="minorEastAsia" w:eastAsiaTheme="minorEastAsia" w:cstheme="minorEastAsia"/>
          <w:color w:val="auto"/>
          <w:sz w:val="28"/>
          <w:highlight w:val="none"/>
        </w:rPr>
        <w:t xml:space="preserve">一   </w:t>
      </w:r>
      <w:bookmarkEnd w:id="4"/>
      <w:bookmarkEnd w:id="5"/>
      <w:r>
        <w:rPr>
          <w:rFonts w:hint="eastAsia" w:asciiTheme="minorEastAsia" w:hAnsiTheme="minorEastAsia" w:eastAsiaTheme="minorEastAsia" w:cstheme="minorEastAsia"/>
          <w:color w:val="auto"/>
          <w:sz w:val="28"/>
          <w:highlight w:val="none"/>
        </w:rPr>
        <w:t>总  则</w:t>
      </w:r>
      <w:bookmarkEnd w:id="6"/>
      <w:bookmarkEnd w:id="7"/>
      <w:bookmarkEnd w:id="8"/>
      <w:bookmarkEnd w:id="9"/>
    </w:p>
    <w:p>
      <w:pPr>
        <w:pStyle w:val="6"/>
        <w:spacing w:before="0" w:after="0" w:line="400" w:lineRule="exact"/>
        <w:rPr>
          <w:rFonts w:hint="eastAsia" w:asciiTheme="minorEastAsia" w:hAnsiTheme="minorEastAsia" w:eastAsiaTheme="minorEastAsia" w:cstheme="minorEastAsia"/>
          <w:color w:val="auto"/>
          <w:highlight w:val="none"/>
          <w:u w:val="none"/>
          <w:lang w:eastAsia="zh-CN"/>
        </w:rPr>
      </w:pPr>
      <w:bookmarkStart w:id="10" w:name="_Toc520356144"/>
      <w:bookmarkStart w:id="11" w:name="_Toc4676_WPSOffice_Level2"/>
      <w:bookmarkStart w:id="12" w:name="_Toc518923061"/>
      <w:bookmarkStart w:id="13" w:name="_Toc16905_WPSOffice_Level2"/>
      <w:bookmarkStart w:id="14" w:name="_Toc12013"/>
      <w:r>
        <w:rPr>
          <w:rFonts w:hint="eastAsia" w:asciiTheme="minorEastAsia" w:hAnsiTheme="minorEastAsia" w:eastAsiaTheme="minorEastAsia" w:cstheme="minorEastAsia"/>
          <w:color w:val="auto"/>
          <w:highlight w:val="none"/>
          <w:u w:val="none"/>
        </w:rPr>
        <w:t>1.采购人、采购代理机构及</w:t>
      </w:r>
      <w:bookmarkEnd w:id="10"/>
      <w:bookmarkEnd w:id="11"/>
      <w:bookmarkEnd w:id="12"/>
      <w:bookmarkEnd w:id="13"/>
      <w:bookmarkEnd w:id="14"/>
      <w:r>
        <w:rPr>
          <w:rFonts w:hint="eastAsia" w:asciiTheme="minorEastAsia" w:hAnsiTheme="minorEastAsia" w:eastAsiaTheme="minorEastAsia" w:cstheme="minorEastAsia"/>
          <w:color w:val="auto"/>
          <w:highlight w:val="none"/>
          <w:u w:val="none"/>
          <w:lang w:eastAsia="zh-CN"/>
        </w:rPr>
        <w:t>供应商</w:t>
      </w:r>
    </w:p>
    <w:p>
      <w:pPr>
        <w:numPr>
          <w:ilvl w:val="1"/>
          <w:numId w:val="2"/>
        </w:numPr>
        <w:tabs>
          <w:tab w:val="left" w:pos="0"/>
          <w:tab w:val="clear" w:pos="900"/>
        </w:tabs>
        <w:spacing w:line="400" w:lineRule="exact"/>
        <w:ind w:hanging="8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采购人：是指依法开展政府采购活动的国家机关、事业单位、团体组织。</w:t>
      </w:r>
    </w:p>
    <w:p>
      <w:pPr>
        <w:tabs>
          <w:tab w:val="left" w:pos="0"/>
        </w:tabs>
        <w:spacing w:line="400" w:lineRule="exact"/>
        <w:ind w:left="9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本项目的采购人见</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w:t>
      </w:r>
    </w:p>
    <w:p>
      <w:pPr>
        <w:numPr>
          <w:ilvl w:val="1"/>
          <w:numId w:val="2"/>
        </w:numPr>
        <w:tabs>
          <w:tab w:val="left" w:pos="0"/>
          <w:tab w:val="clear" w:pos="900"/>
        </w:tabs>
        <w:spacing w:line="400" w:lineRule="exact"/>
        <w:ind w:hanging="89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采购代理机构：是指集中采购机构或从事采购代理业务的社会中介机构。本项目的采购代理机构见</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w:t>
      </w:r>
    </w:p>
    <w:p>
      <w:pPr>
        <w:numPr>
          <w:ilvl w:val="1"/>
          <w:numId w:val="2"/>
        </w:numPr>
        <w:spacing w:line="400" w:lineRule="exact"/>
        <w:ind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：是指向采购人提供货物、工程或者服务的法人、非法人组织或者自然人。本项目的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须满足以下条件：</w:t>
      </w:r>
    </w:p>
    <w:p>
      <w:pPr>
        <w:spacing w:line="400" w:lineRule="exac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在中华人民共和国境内注册，能够独立承担民事责任，有生产或供应能力的本国</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具备《中华人民共和国政府采购法》第二十二条关于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条件的规定，遵守本项目采购人本级和上级财政部门政府采购的有关规定。</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   以采购代理机构认可的方式获得了本项目的磋商文件。</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   符合</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中规定的其他要求。</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   若</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中写明专门面向中小企业采购的，如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为非中小企业，其</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     如</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中允许联合体</w:t>
      </w:r>
      <w:r>
        <w:rPr>
          <w:rFonts w:hint="eastAsia" w:asciiTheme="minorEastAsia" w:hAnsiTheme="minorEastAsia" w:eastAsiaTheme="minorEastAsia" w:cstheme="minorEastAsia"/>
          <w:color w:val="auto"/>
          <w:sz w:val="24"/>
          <w:highlight w:val="none"/>
          <w:lang w:eastAsia="zh-CN"/>
        </w:rPr>
        <w:t>递交响应文件</w:t>
      </w:r>
      <w:r>
        <w:rPr>
          <w:rFonts w:hint="eastAsia" w:asciiTheme="minorEastAsia" w:hAnsiTheme="minorEastAsia" w:eastAsiaTheme="minorEastAsia" w:cstheme="minorEastAsia"/>
          <w:color w:val="auto"/>
          <w:sz w:val="24"/>
          <w:highlight w:val="none"/>
        </w:rPr>
        <w:t>，对联合体规定如下：</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两个以上</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可以组成一个联合体，以一个</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的身份</w:t>
      </w:r>
      <w:r>
        <w:rPr>
          <w:rFonts w:hint="eastAsia" w:asciiTheme="minorEastAsia" w:hAnsiTheme="minorEastAsia" w:eastAsiaTheme="minorEastAsia" w:cstheme="minorEastAsia"/>
          <w:color w:val="auto"/>
          <w:sz w:val="24"/>
          <w:highlight w:val="none"/>
          <w:lang w:eastAsia="zh-CN"/>
        </w:rPr>
        <w:t>递交响应文件</w:t>
      </w:r>
      <w:r>
        <w:rPr>
          <w:rFonts w:hint="eastAsia" w:asciiTheme="minorEastAsia" w:hAnsiTheme="minorEastAsia" w:eastAsiaTheme="minorEastAsia" w:cstheme="minorEastAsia"/>
          <w:color w:val="auto"/>
          <w:sz w:val="24"/>
          <w:highlight w:val="none"/>
        </w:rPr>
        <w:t>。</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联合体各方均应符合《中华人民共和国政府采购法》第二十二条规定的条件。</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   采购人根据采购项目对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的特殊要求，联合体中至少应当有一方符合相关规定。</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   联合体各方应签订共同</w:t>
      </w:r>
      <w:r>
        <w:rPr>
          <w:rFonts w:hint="eastAsia" w:asciiTheme="minorEastAsia" w:hAnsiTheme="minorEastAsia" w:eastAsiaTheme="minorEastAsia" w:cstheme="minorEastAsia"/>
          <w:color w:val="auto"/>
          <w:sz w:val="24"/>
          <w:highlight w:val="none"/>
          <w:lang w:eastAsia="zh-CN"/>
        </w:rPr>
        <w:t>响应本磋商文件</w:t>
      </w:r>
      <w:r>
        <w:rPr>
          <w:rFonts w:hint="eastAsia" w:asciiTheme="minorEastAsia" w:hAnsiTheme="minorEastAsia" w:eastAsiaTheme="minorEastAsia" w:cstheme="minorEastAsia"/>
          <w:color w:val="auto"/>
          <w:sz w:val="24"/>
          <w:highlight w:val="none"/>
        </w:rPr>
        <w:t>协议，明确约定联合体各方承担的工作和相应的责任，并将共同</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协议连同响应文件一并提交采购单位。</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1.4.5   大中型企业、其他自然人、法人或者非法人组织与小型、微型企业组成联合体共同参加</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，共同</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协议中应写明小型、微型企业的协议合同金额占到共同</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协议</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总金额的比例。</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1.4.6  联合体中有同类资质的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按照联合体分工承担相同工作的，按照资质等级较低的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确定资质等级。</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1.4.7  以联合体形式参加政府采购活动的，联合体各方不得再单独参加或者与其他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另外组成联合体参加本项目</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，否则相关</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1.4.8   对联合体</w:t>
      </w:r>
      <w:r>
        <w:rPr>
          <w:rFonts w:hint="eastAsia" w:asciiTheme="minorEastAsia" w:hAnsiTheme="minorEastAsia" w:eastAsiaTheme="minorEastAsia" w:cstheme="minorEastAsia"/>
          <w:color w:val="auto"/>
          <w:sz w:val="24"/>
          <w:highlight w:val="none"/>
          <w:lang w:eastAsia="zh-CN"/>
        </w:rPr>
        <w:t>提交响应文件</w:t>
      </w:r>
      <w:r>
        <w:rPr>
          <w:rFonts w:hint="eastAsia" w:asciiTheme="minorEastAsia" w:hAnsiTheme="minorEastAsia" w:eastAsiaTheme="minorEastAsia" w:cstheme="minorEastAsia"/>
          <w:color w:val="auto"/>
          <w:sz w:val="24"/>
          <w:highlight w:val="none"/>
        </w:rPr>
        <w:t>的其他资格要求见</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    单位负责人为同一人或者存在直接控股、管理关系的不同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，其相关</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    为本项目提供过整体设计、规范编制或者项目管理、监理、检测等服务的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，不得再参加本项目上述服务以外的其他采购活动。否则其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磋商响应</w:t>
      </w:r>
      <w:r>
        <w:rPr>
          <w:rFonts w:hint="eastAsia" w:asciiTheme="minorEastAsia" w:hAnsiTheme="minorEastAsia" w:eastAsiaTheme="minorEastAsia" w:cstheme="minorEastAsia"/>
          <w:color w:val="auto"/>
          <w:sz w:val="24"/>
          <w:highlight w:val="none"/>
        </w:rPr>
        <w:t>过程中不得向采购人提供或给予影响其正常决策行为的任何有价值物品或服务。一经发现，其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15" w:name="_Toc518923062"/>
      <w:bookmarkStart w:id="16" w:name="_Toc2643"/>
      <w:bookmarkStart w:id="17" w:name="_Toc11813_WPSOffice_Level2"/>
      <w:bookmarkStart w:id="18" w:name="_Toc11482_WPSOffice_Level2"/>
      <w:r>
        <w:rPr>
          <w:rFonts w:hint="eastAsia" w:asciiTheme="minorEastAsia" w:hAnsiTheme="minorEastAsia" w:eastAsiaTheme="minorEastAsia" w:cstheme="minorEastAsia"/>
          <w:color w:val="auto"/>
          <w:highlight w:val="none"/>
          <w:u w:val="none"/>
        </w:rPr>
        <w:t>2.资金来源</w:t>
      </w:r>
      <w:bookmarkEnd w:id="15"/>
      <w:bookmarkEnd w:id="16"/>
      <w:bookmarkEnd w:id="17"/>
      <w:bookmarkEnd w:id="18"/>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本项目的采购人已获得足以支付本次</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后所签订的合同项下的资金（包括财政性资金和本项目采购中无法与财政性资金分割的非财政性资金）。</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项目预算金额和分项或分包最高限价</w:t>
      </w:r>
      <w:r>
        <w:rPr>
          <w:rFonts w:hint="eastAsia" w:asciiTheme="minorEastAsia" w:hAnsiTheme="minorEastAsia" w:eastAsiaTheme="minorEastAsia" w:cstheme="minorEastAsia"/>
          <w:color w:val="auto"/>
          <w:sz w:val="24"/>
          <w:highlight w:val="none"/>
          <w:u w:val="single"/>
        </w:rPr>
        <w:t>见</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报价超过磋商文件规定的预算金额或者分项、分包最高限价的，其报价将被认定为无效。</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19" w:name="_Toc28166"/>
      <w:bookmarkStart w:id="20" w:name="_Toc8601_WPSOffice_Level2"/>
      <w:bookmarkStart w:id="21" w:name="_Toc518923063"/>
      <w:bookmarkStart w:id="22" w:name="_Toc520356145"/>
      <w:bookmarkStart w:id="23" w:name="_Toc8946_WPSOffice_Level2"/>
      <w:r>
        <w:rPr>
          <w:rFonts w:hint="eastAsia" w:asciiTheme="minorEastAsia" w:hAnsiTheme="minorEastAsia" w:eastAsiaTheme="minorEastAsia" w:cstheme="minorEastAsia"/>
          <w:color w:val="auto"/>
          <w:highlight w:val="none"/>
          <w:u w:val="none"/>
        </w:rPr>
        <w:t>3.磋商费用</w:t>
      </w:r>
      <w:bookmarkEnd w:id="19"/>
      <w:bookmarkEnd w:id="20"/>
      <w:bookmarkEnd w:id="21"/>
      <w:bookmarkEnd w:id="22"/>
      <w:bookmarkEnd w:id="23"/>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不论磋商的结果如何，</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应承担所有与准备和参加磋商有关的费用。</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24" w:name="_Toc1523_WPSOffice_Level2"/>
      <w:bookmarkStart w:id="25" w:name="_Toc32365"/>
      <w:bookmarkStart w:id="26" w:name="_Toc8368_WPSOffice_Level2"/>
      <w:bookmarkStart w:id="27" w:name="_Toc518923064"/>
      <w:r>
        <w:rPr>
          <w:rFonts w:hint="eastAsia" w:asciiTheme="minorEastAsia" w:hAnsiTheme="minorEastAsia" w:eastAsiaTheme="minorEastAsia" w:cstheme="minorEastAsia"/>
          <w:color w:val="auto"/>
          <w:highlight w:val="none"/>
          <w:u w:val="none"/>
        </w:rPr>
        <w:t>4.适用法律</w:t>
      </w:r>
      <w:bookmarkEnd w:id="24"/>
      <w:bookmarkEnd w:id="25"/>
      <w:bookmarkEnd w:id="26"/>
      <w:bookmarkEnd w:id="27"/>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本项目采购人、采购代理机构、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、评审委员会的相关行为均受《中华人民共和国政府采购法》、《中华人民共和国政府采购法实施条例》</w:t>
      </w:r>
      <w:r>
        <w:rPr>
          <w:rFonts w:hint="eastAsia" w:asciiTheme="minorEastAsia" w:hAnsiTheme="minorEastAsia" w:eastAsiaTheme="minorEastAsia" w:cstheme="minorEastAsia"/>
          <w:color w:val="auto"/>
          <w:sz w:val="24"/>
          <w:highlight w:val="none"/>
          <w:lang w:eastAsia="zh-CN"/>
        </w:rPr>
        <w:t>、《政府采购竞争性磋商采购方式管理暂行办法》</w:t>
      </w:r>
      <w:r>
        <w:rPr>
          <w:rFonts w:hint="eastAsia" w:asciiTheme="minorEastAsia" w:hAnsiTheme="minorEastAsia" w:eastAsiaTheme="minorEastAsia" w:cstheme="minorEastAsia"/>
          <w:color w:val="auto"/>
          <w:sz w:val="24"/>
          <w:highlight w:val="none"/>
        </w:rPr>
        <w:t>及本项目本级和上级财政部门政府采购有关规定的约束，其权利受到上述法律法规的保护。</w:t>
      </w:r>
    </w:p>
    <w:p>
      <w:pPr>
        <w:pStyle w:val="5"/>
        <w:spacing w:before="0" w:line="400" w:lineRule="exact"/>
        <w:ind w:left="1079" w:leftChars="257" w:hanging="540"/>
        <w:rPr>
          <w:rFonts w:hint="eastAsia" w:asciiTheme="minorEastAsia" w:hAnsiTheme="minorEastAsia" w:eastAsiaTheme="minorEastAsia" w:cstheme="minorEastAsia"/>
          <w:color w:val="auto"/>
          <w:highlight w:val="none"/>
        </w:rPr>
      </w:pPr>
      <w:bookmarkStart w:id="28" w:name="_Toc520356146"/>
      <w:bookmarkStart w:id="29" w:name="_Toc518923065"/>
      <w:bookmarkStart w:id="30" w:name="_Toc809"/>
      <w:bookmarkStart w:id="31" w:name="_Toc216582806"/>
      <w:bookmarkStart w:id="32" w:name="_Toc10894_WPSOffice_Level1"/>
      <w:bookmarkStart w:id="33" w:name="_Toc23787"/>
      <w:r>
        <w:rPr>
          <w:rFonts w:hint="eastAsia" w:asciiTheme="minorEastAsia" w:hAnsiTheme="minorEastAsia" w:eastAsiaTheme="minorEastAsia" w:cstheme="minorEastAsia"/>
          <w:color w:val="auto"/>
          <w:sz w:val="28"/>
          <w:highlight w:val="none"/>
        </w:rPr>
        <w:t xml:space="preserve">二   </w:t>
      </w:r>
      <w:bookmarkEnd w:id="28"/>
      <w:bookmarkEnd w:id="29"/>
      <w:bookmarkEnd w:id="30"/>
      <w:bookmarkEnd w:id="31"/>
      <w:r>
        <w:rPr>
          <w:rFonts w:hint="eastAsia" w:asciiTheme="minorEastAsia" w:hAnsiTheme="minorEastAsia" w:eastAsiaTheme="minorEastAsia" w:cstheme="minorEastAsia"/>
          <w:color w:val="auto"/>
          <w:sz w:val="28"/>
          <w:highlight w:val="none"/>
        </w:rPr>
        <w:t>磋商文件</w:t>
      </w:r>
      <w:bookmarkEnd w:id="32"/>
      <w:bookmarkEnd w:id="33"/>
    </w:p>
    <w:p>
      <w:pPr>
        <w:pStyle w:val="6"/>
        <w:spacing w:before="0" w:after="0" w:line="400" w:lineRule="exact"/>
        <w:rPr>
          <w:rFonts w:hint="eastAsia" w:asciiTheme="minorEastAsia" w:hAnsiTheme="minorEastAsia" w:eastAsiaTheme="minorEastAsia" w:cstheme="minorEastAsia"/>
          <w:color w:val="auto"/>
          <w:highlight w:val="none"/>
          <w:u w:val="none"/>
        </w:rPr>
      </w:pPr>
      <w:bookmarkStart w:id="34" w:name="_Toc15303_WPSOffice_Level2"/>
      <w:bookmarkStart w:id="35" w:name="_Toc15218_WPSOffice_Level2"/>
      <w:bookmarkStart w:id="36" w:name="_Toc520356147"/>
      <w:bookmarkStart w:id="37" w:name="_Toc22990"/>
      <w:bookmarkStart w:id="38" w:name="_Toc518923066"/>
      <w:r>
        <w:rPr>
          <w:rFonts w:hint="eastAsia" w:asciiTheme="minorEastAsia" w:hAnsiTheme="minorEastAsia" w:eastAsiaTheme="minorEastAsia" w:cstheme="minorEastAsia"/>
          <w:color w:val="auto"/>
          <w:highlight w:val="none"/>
          <w:u w:val="none"/>
        </w:rPr>
        <w:t>5.磋商文件构成</w:t>
      </w:r>
      <w:bookmarkEnd w:id="34"/>
      <w:bookmarkEnd w:id="35"/>
      <w:bookmarkEnd w:id="36"/>
      <w:bookmarkEnd w:id="37"/>
      <w:bookmarkEnd w:id="38"/>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磋商文件分为三册共7章，内容如下：</w:t>
      </w:r>
    </w:p>
    <w:p>
      <w:pPr>
        <w:spacing w:line="400" w:lineRule="exact"/>
        <w:ind w:left="1078" w:leftChars="428"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第一册</w:t>
      </w:r>
    </w:p>
    <w:p>
      <w:pPr>
        <w:numPr>
          <w:ilvl w:val="0"/>
          <w:numId w:val="3"/>
        </w:numPr>
        <w:tabs>
          <w:tab w:val="left" w:pos="0"/>
        </w:tabs>
        <w:spacing w:line="400" w:lineRule="exact"/>
        <w:ind w:left="993" w:firstLine="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w:t>
      </w:r>
    </w:p>
    <w:p>
      <w:pPr>
        <w:numPr>
          <w:ilvl w:val="0"/>
          <w:numId w:val="3"/>
        </w:numPr>
        <w:spacing w:line="400" w:lineRule="exac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响应文件格式</w:t>
      </w:r>
    </w:p>
    <w:p>
      <w:pPr>
        <w:spacing w:line="400" w:lineRule="exac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第二册</w:t>
      </w:r>
    </w:p>
    <w:p>
      <w:pPr>
        <w:numPr>
          <w:ilvl w:val="0"/>
          <w:numId w:val="3"/>
        </w:numPr>
        <w:spacing w:line="400" w:lineRule="exac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磋商邀请 </w:t>
      </w:r>
    </w:p>
    <w:p>
      <w:pPr>
        <w:numPr>
          <w:ilvl w:val="0"/>
          <w:numId w:val="3"/>
        </w:numPr>
        <w:spacing w:line="400" w:lineRule="exac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须知资料表</w:t>
      </w:r>
    </w:p>
    <w:p>
      <w:pPr>
        <w:numPr>
          <w:ilvl w:val="0"/>
          <w:numId w:val="3"/>
        </w:numPr>
        <w:spacing w:line="400" w:lineRule="exac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项目需求</w:t>
      </w:r>
    </w:p>
    <w:p>
      <w:pPr>
        <w:numPr>
          <w:ilvl w:val="0"/>
          <w:numId w:val="3"/>
        </w:numPr>
        <w:spacing w:line="400" w:lineRule="exac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评审方法和标准</w:t>
      </w:r>
    </w:p>
    <w:p>
      <w:pPr>
        <w:spacing w:line="400" w:lineRule="exact"/>
        <w:ind w:left="90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第三册</w:t>
      </w:r>
    </w:p>
    <w:p>
      <w:pPr>
        <w:numPr>
          <w:ilvl w:val="0"/>
          <w:numId w:val="3"/>
        </w:numPr>
        <w:spacing w:line="400" w:lineRule="exac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政府采购合同格式</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如本文件的前后内容不一致，以最后描述为准。</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5.3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应认真阅读磋商文件所有的事项、格式、条款和技术规范等。如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没有按照磋商文件要求提交全部资料，或者响应文件没有对磋商文件在各方面都做出实质性响应，可能导致其</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pStyle w:val="6"/>
        <w:spacing w:before="0" w:after="0" w:line="400" w:lineRule="exact"/>
        <w:rPr>
          <w:rFonts w:hint="eastAsia" w:asciiTheme="minorEastAsia" w:hAnsiTheme="minorEastAsia" w:eastAsiaTheme="minorEastAsia" w:cstheme="minorEastAsia"/>
          <w:b w:val="0"/>
          <w:color w:val="auto"/>
          <w:highlight w:val="none"/>
          <w:u w:val="none"/>
        </w:rPr>
      </w:pPr>
      <w:bookmarkStart w:id="39" w:name="_Toc520356148"/>
      <w:bookmarkStart w:id="40" w:name="_Toc21314"/>
      <w:bookmarkStart w:id="41" w:name="_Toc90_WPSOffice_Level2"/>
      <w:bookmarkStart w:id="42" w:name="_Toc518923067"/>
      <w:bookmarkStart w:id="43" w:name="_Toc29081_WPSOffice_Level2"/>
      <w:r>
        <w:rPr>
          <w:rFonts w:hint="eastAsia" w:asciiTheme="minorEastAsia" w:hAnsiTheme="minorEastAsia" w:eastAsiaTheme="minorEastAsia" w:cstheme="minorEastAsia"/>
          <w:color w:val="auto"/>
          <w:highlight w:val="none"/>
          <w:u w:val="none"/>
        </w:rPr>
        <w:t>6.磋商文件的澄清</w:t>
      </w:r>
      <w:bookmarkEnd w:id="39"/>
      <w:r>
        <w:rPr>
          <w:rFonts w:hint="eastAsia" w:asciiTheme="minorEastAsia" w:hAnsiTheme="minorEastAsia" w:eastAsiaTheme="minorEastAsia" w:cstheme="minorEastAsia"/>
          <w:color w:val="auto"/>
          <w:highlight w:val="none"/>
          <w:u w:val="none"/>
        </w:rPr>
        <w:t>与修改</w:t>
      </w:r>
      <w:bookmarkEnd w:id="40"/>
      <w:bookmarkEnd w:id="41"/>
      <w:bookmarkEnd w:id="42"/>
      <w:bookmarkEnd w:id="43"/>
    </w:p>
    <w:p>
      <w:pPr>
        <w:pStyle w:val="10"/>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6.1    为了保证对磋商文件的澄清和修改满足法律的时限要求，</w:t>
      </w:r>
      <w:bookmarkStart w:id="44" w:name="_Ref467378678"/>
      <w:bookmarkStart w:id="45" w:name="_Toc520356149"/>
      <w:r>
        <w:rPr>
          <w:rFonts w:hint="eastAsia" w:asciiTheme="minorEastAsia" w:hAnsiTheme="minorEastAsia" w:eastAsiaTheme="minorEastAsia" w:cstheme="minorEastAsia"/>
          <w:color w:val="auto"/>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w:t>
      </w:r>
      <w:r>
        <w:rPr>
          <w:rFonts w:hint="eastAsia" w:asciiTheme="minorEastAsia" w:hAnsiTheme="minorEastAsia" w:eastAsiaTheme="minorEastAsia" w:cstheme="minorEastAsia"/>
          <w:color w:val="auto"/>
          <w:szCs w:val="24"/>
          <w:highlight w:val="none"/>
          <w:lang w:eastAsia="zh-CN"/>
        </w:rPr>
        <w:t>供应商</w:t>
      </w:r>
      <w:r>
        <w:rPr>
          <w:rFonts w:hint="eastAsia" w:asciiTheme="minorEastAsia" w:hAnsiTheme="minorEastAsia" w:eastAsiaTheme="minorEastAsia" w:cstheme="minorEastAsia"/>
          <w:color w:val="auto"/>
          <w:szCs w:val="24"/>
          <w:highlight w:val="none"/>
        </w:rPr>
        <w:t>；不足5日的，采购人、采购代理机构应当顺延提交首次响应文件截止时间。</w:t>
      </w:r>
    </w:p>
    <w:p>
      <w:pPr>
        <w:pStyle w:val="10"/>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6.2</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t>采购人可主动地或在解答</w:t>
      </w:r>
      <w:r>
        <w:rPr>
          <w:rFonts w:hint="eastAsia" w:asciiTheme="minorEastAsia" w:hAnsiTheme="minorEastAsia" w:eastAsiaTheme="minorEastAsia" w:cstheme="minorEastAsia"/>
          <w:color w:val="auto"/>
          <w:szCs w:val="24"/>
          <w:highlight w:val="none"/>
          <w:lang w:eastAsia="zh-CN"/>
        </w:rPr>
        <w:t>供应商</w:t>
      </w:r>
      <w:r>
        <w:rPr>
          <w:rFonts w:hint="eastAsia" w:asciiTheme="minorEastAsia" w:hAnsiTheme="minorEastAsia" w:eastAsiaTheme="minorEastAsia" w:cstheme="minorEastAsia"/>
          <w:color w:val="auto"/>
          <w:szCs w:val="24"/>
          <w:highlight w:val="none"/>
        </w:rPr>
        <w:t>提出的澄清问题时对磋商文件澄清或修改。采购代理机构将以发布澄清（更正）公告的方式，澄清或修改磋商文件，澄清或修改内容作为磋商文件的组成部分。</w:t>
      </w:r>
    </w:p>
    <w:p>
      <w:pPr>
        <w:pStyle w:val="10"/>
        <w:spacing w:line="400" w:lineRule="exact"/>
        <w:ind w:left="840" w:hanging="840" w:hangingChars="35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6.3</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t>澄清或者修改的内容可能影响响应文件编制的，采购代理机构将以书面形式通知所有购买磋商文件的潜在</w:t>
      </w:r>
      <w:r>
        <w:rPr>
          <w:rFonts w:hint="eastAsia" w:asciiTheme="minorEastAsia" w:hAnsiTheme="minorEastAsia" w:eastAsiaTheme="minorEastAsia" w:cstheme="minorEastAsia"/>
          <w:color w:val="auto"/>
          <w:szCs w:val="24"/>
          <w:highlight w:val="none"/>
          <w:lang w:eastAsia="zh-CN"/>
        </w:rPr>
        <w:t>供应商</w:t>
      </w:r>
      <w:r>
        <w:rPr>
          <w:rFonts w:hint="eastAsia" w:asciiTheme="minorEastAsia" w:hAnsiTheme="minorEastAsia" w:eastAsiaTheme="minorEastAsia" w:cstheme="minorEastAsia"/>
          <w:color w:val="auto"/>
          <w:szCs w:val="24"/>
          <w:highlight w:val="none"/>
        </w:rPr>
        <w:t>，并对其具有约束力。</w:t>
      </w:r>
      <w:r>
        <w:rPr>
          <w:rFonts w:hint="eastAsia" w:asciiTheme="minorEastAsia" w:hAnsiTheme="minorEastAsia" w:eastAsiaTheme="minorEastAsia" w:cstheme="minorEastAsia"/>
          <w:color w:val="auto"/>
          <w:szCs w:val="24"/>
          <w:highlight w:val="none"/>
          <w:lang w:eastAsia="zh-CN"/>
        </w:rPr>
        <w:t>供应商</w:t>
      </w:r>
      <w:r>
        <w:rPr>
          <w:rFonts w:hint="eastAsia" w:asciiTheme="minorEastAsia" w:hAnsiTheme="minorEastAsia" w:eastAsiaTheme="minorEastAsia" w:cstheme="minorEastAsia"/>
          <w:color w:val="auto"/>
          <w:szCs w:val="24"/>
          <w:highlight w:val="none"/>
        </w:rPr>
        <w:t>在收到上述通知后，应及时向采购代理机构回函确认。</w:t>
      </w:r>
    </w:p>
    <w:p>
      <w:pPr>
        <w:pStyle w:val="6"/>
        <w:tabs>
          <w:tab w:val="left" w:pos="900"/>
        </w:tabs>
        <w:spacing w:before="0" w:after="0" w:line="400" w:lineRule="exact"/>
        <w:rPr>
          <w:rFonts w:hint="eastAsia" w:asciiTheme="minorEastAsia" w:hAnsiTheme="minorEastAsia" w:eastAsiaTheme="minorEastAsia" w:cstheme="minorEastAsia"/>
          <w:color w:val="auto"/>
          <w:highlight w:val="none"/>
          <w:u w:val="none"/>
        </w:rPr>
      </w:pPr>
      <w:bookmarkStart w:id="46" w:name="_Toc10994"/>
      <w:bookmarkStart w:id="47" w:name="_Toc518923068"/>
      <w:bookmarkStart w:id="48" w:name="_Toc31699_WPSOffice_Level2"/>
      <w:bookmarkStart w:id="49" w:name="_Toc9694_WPSOffice_Level2"/>
      <w:r>
        <w:rPr>
          <w:rFonts w:hint="eastAsia" w:asciiTheme="minorEastAsia" w:hAnsiTheme="minorEastAsia" w:eastAsiaTheme="minorEastAsia" w:cstheme="minorEastAsia"/>
          <w:color w:val="auto"/>
          <w:highlight w:val="none"/>
          <w:u w:val="none"/>
        </w:rPr>
        <w:t>7</w:t>
      </w:r>
      <w:bookmarkEnd w:id="44"/>
      <w:bookmarkEnd w:id="45"/>
      <w:r>
        <w:rPr>
          <w:rFonts w:hint="eastAsia" w:asciiTheme="minorEastAsia" w:hAnsiTheme="minorEastAsia" w:eastAsiaTheme="minorEastAsia" w:cstheme="minorEastAsia"/>
          <w:color w:val="auto"/>
          <w:highlight w:val="none"/>
          <w:u w:val="none"/>
        </w:rPr>
        <w:t>.响应文件递交截止时间的顺延</w:t>
      </w:r>
      <w:bookmarkEnd w:id="46"/>
      <w:bookmarkEnd w:id="47"/>
      <w:bookmarkEnd w:id="48"/>
      <w:bookmarkEnd w:id="49"/>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为使</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准备</w:t>
      </w:r>
      <w:r>
        <w:rPr>
          <w:rFonts w:hint="eastAsia" w:asciiTheme="minorEastAsia" w:hAnsiTheme="minorEastAsia" w:eastAsiaTheme="minorEastAsia" w:cstheme="minorEastAsia"/>
          <w:color w:val="auto"/>
          <w:sz w:val="24"/>
          <w:highlight w:val="none"/>
          <w:lang w:eastAsia="zh-CN"/>
        </w:rPr>
        <w:t>递交响应文件</w:t>
      </w:r>
      <w:r>
        <w:rPr>
          <w:rFonts w:hint="eastAsia" w:asciiTheme="minorEastAsia" w:hAnsiTheme="minorEastAsia" w:eastAsiaTheme="minorEastAsia" w:cstheme="minorEastAsia"/>
          <w:color w:val="auto"/>
          <w:sz w:val="24"/>
          <w:highlight w:val="none"/>
        </w:rPr>
        <w:t>时有足够的时间对磋商文件的澄清或者修改部分进行研究，采购人将依法决定是否顺延响应文件递交截止时间。</w:t>
      </w:r>
    </w:p>
    <w:p>
      <w:pPr>
        <w:pStyle w:val="5"/>
        <w:tabs>
          <w:tab w:val="left" w:pos="900"/>
        </w:tabs>
        <w:spacing w:before="0" w:line="400" w:lineRule="exact"/>
        <w:ind w:left="1079" w:leftChars="257" w:hanging="540"/>
        <w:rPr>
          <w:rFonts w:hint="eastAsia" w:asciiTheme="minorEastAsia" w:hAnsiTheme="minorEastAsia" w:eastAsiaTheme="minorEastAsia" w:cstheme="minorEastAsia"/>
          <w:color w:val="auto"/>
          <w:highlight w:val="none"/>
        </w:rPr>
      </w:pPr>
      <w:bookmarkStart w:id="50" w:name="_Toc516367020"/>
      <w:bookmarkStart w:id="51" w:name="_Toc518923069"/>
      <w:bookmarkStart w:id="52" w:name="_Toc26563"/>
      <w:bookmarkStart w:id="53" w:name="_Toc520356150"/>
      <w:bookmarkStart w:id="54" w:name="_Toc4436_WPSOffice_Level1"/>
      <w:bookmarkStart w:id="55" w:name="_Toc216582807"/>
      <w:bookmarkStart w:id="56" w:name="_Toc25389"/>
      <w:r>
        <w:rPr>
          <w:rFonts w:hint="eastAsia" w:asciiTheme="minorEastAsia" w:hAnsiTheme="minorEastAsia" w:eastAsiaTheme="minorEastAsia" w:cstheme="minorEastAsia"/>
          <w:color w:val="auto"/>
          <w:sz w:val="28"/>
          <w:highlight w:val="none"/>
        </w:rPr>
        <w:t xml:space="preserve">三   </w:t>
      </w:r>
      <w:bookmarkEnd w:id="50"/>
      <w:r>
        <w:rPr>
          <w:rFonts w:hint="eastAsia" w:asciiTheme="minorEastAsia" w:hAnsiTheme="minorEastAsia" w:eastAsiaTheme="minorEastAsia" w:cstheme="minorEastAsia"/>
          <w:color w:val="auto"/>
          <w:sz w:val="28"/>
          <w:highlight w:val="none"/>
        </w:rPr>
        <w:t>响应文件的编制</w:t>
      </w:r>
      <w:bookmarkEnd w:id="51"/>
      <w:bookmarkEnd w:id="52"/>
      <w:bookmarkEnd w:id="53"/>
      <w:bookmarkEnd w:id="54"/>
      <w:bookmarkEnd w:id="55"/>
      <w:bookmarkEnd w:id="56"/>
    </w:p>
    <w:p>
      <w:pPr>
        <w:pStyle w:val="6"/>
        <w:tabs>
          <w:tab w:val="left" w:pos="900"/>
        </w:tabs>
        <w:spacing w:before="0" w:after="0" w:line="400" w:lineRule="exact"/>
        <w:rPr>
          <w:rFonts w:hint="eastAsia" w:asciiTheme="minorEastAsia" w:hAnsiTheme="minorEastAsia" w:eastAsiaTheme="minorEastAsia" w:cstheme="minorEastAsia"/>
          <w:color w:val="auto"/>
          <w:highlight w:val="none"/>
          <w:u w:val="none"/>
        </w:rPr>
      </w:pPr>
      <w:bookmarkStart w:id="57" w:name="_Toc20686_WPSOffice_Level2"/>
      <w:bookmarkStart w:id="58" w:name="_Toc13590_WPSOffice_Level2"/>
      <w:bookmarkStart w:id="59" w:name="_Toc518923070"/>
      <w:bookmarkStart w:id="60" w:name="_Toc6728"/>
      <w:bookmarkStart w:id="61" w:name="_Toc516367021"/>
      <w:bookmarkStart w:id="62" w:name="_Toc520356151"/>
      <w:r>
        <w:rPr>
          <w:rFonts w:hint="eastAsia" w:asciiTheme="minorEastAsia" w:hAnsiTheme="minorEastAsia" w:eastAsiaTheme="minorEastAsia" w:cstheme="minorEastAsia"/>
          <w:color w:val="auto"/>
          <w:highlight w:val="none"/>
          <w:u w:val="none"/>
        </w:rPr>
        <w:t>8.</w:t>
      </w:r>
      <w:r>
        <w:rPr>
          <w:rFonts w:hint="eastAsia" w:asciiTheme="minorEastAsia" w:hAnsiTheme="minorEastAsia" w:eastAsiaTheme="minorEastAsia" w:cstheme="minorEastAsia"/>
          <w:color w:val="auto"/>
          <w:highlight w:val="none"/>
          <w:u w:val="none"/>
        </w:rPr>
        <w:tab/>
      </w:r>
      <w:r>
        <w:rPr>
          <w:rFonts w:hint="eastAsia" w:asciiTheme="minorEastAsia" w:hAnsiTheme="minorEastAsia" w:eastAsiaTheme="minorEastAsia" w:cstheme="minorEastAsia"/>
          <w:color w:val="auto"/>
          <w:highlight w:val="none"/>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项目有分包的，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可对磋商文件其中一个或几个分包进行</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，除非在</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中另有规定。</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8.2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应当对所投分包磋商文件中“项目需求”所列的所有服务内容进行</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，如仅响应分包中的部分内容，其</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     无论磋商文件第5章项目需求中是否要求，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所投服务均应符合国家强制性标准。</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8.4     除磋商文件中有特殊要求外，响应文件中所使用的计量单位，应采用中华人民共和国法定计量单位。</w:t>
      </w:r>
    </w:p>
    <w:p>
      <w:pPr>
        <w:pStyle w:val="6"/>
        <w:tabs>
          <w:tab w:val="left" w:pos="900"/>
        </w:tabs>
        <w:spacing w:before="0" w:after="0" w:line="400" w:lineRule="exact"/>
        <w:rPr>
          <w:rFonts w:hint="eastAsia" w:asciiTheme="minorEastAsia" w:hAnsiTheme="minorEastAsia" w:eastAsiaTheme="minorEastAsia" w:cstheme="minorEastAsia"/>
          <w:color w:val="auto"/>
          <w:highlight w:val="none"/>
          <w:u w:val="none"/>
        </w:rPr>
      </w:pPr>
      <w:bookmarkStart w:id="63" w:name="_Toc516367022"/>
      <w:bookmarkStart w:id="64" w:name="_Ref467306676"/>
      <w:bookmarkStart w:id="65" w:name="_Ref467306195"/>
      <w:bookmarkStart w:id="66" w:name="_Toc520356152"/>
      <w:bookmarkStart w:id="67" w:name="_Toc31935_WPSOffice_Level2"/>
      <w:bookmarkStart w:id="68" w:name="_Toc15487"/>
      <w:bookmarkStart w:id="69" w:name="_Toc518923071"/>
      <w:bookmarkStart w:id="70" w:name="_Toc28579_WPSOffice_Level2"/>
      <w:r>
        <w:rPr>
          <w:rFonts w:hint="eastAsia" w:asciiTheme="minorEastAsia" w:hAnsiTheme="minorEastAsia" w:eastAsiaTheme="minorEastAsia" w:cstheme="minorEastAsia"/>
          <w:color w:val="auto"/>
          <w:highlight w:val="none"/>
          <w:u w:val="none"/>
        </w:rPr>
        <w:t>9.</w:t>
      </w:r>
      <w:bookmarkEnd w:id="63"/>
      <w:bookmarkEnd w:id="64"/>
      <w:bookmarkEnd w:id="65"/>
      <w:r>
        <w:rPr>
          <w:rFonts w:hint="eastAsia" w:asciiTheme="minorEastAsia" w:hAnsiTheme="minorEastAsia" w:eastAsiaTheme="minorEastAsia" w:cstheme="minorEastAsia"/>
          <w:color w:val="auto"/>
          <w:highlight w:val="none"/>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hint="eastAsia" w:asciiTheme="minorEastAsia" w:hAnsiTheme="minorEastAsia" w:eastAsiaTheme="minorEastAsia" w:cstheme="minorEastAsia"/>
          <w:b/>
          <w:color w:val="auto"/>
          <w:kern w:val="0"/>
          <w:sz w:val="24"/>
          <w:szCs w:val="20"/>
          <w:highlight w:val="none"/>
          <w:u w:val="single"/>
        </w:rPr>
      </w:pPr>
      <w:bookmarkStart w:id="71" w:name="_Ref467052588"/>
      <w:r>
        <w:rPr>
          <w:rFonts w:hint="eastAsia" w:asciiTheme="minorEastAsia" w:hAnsiTheme="minorEastAsia" w:eastAsiaTheme="minorEastAsia" w:cstheme="minorEastAsia"/>
          <w:color w:val="auto"/>
          <w:sz w:val="24"/>
          <w:highlight w:val="none"/>
        </w:rPr>
        <w:t xml:space="preserve">9.1    </w:t>
      </w:r>
      <w:bookmarkEnd w:id="71"/>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应完整地按磋商文件提供的</w:t>
      </w:r>
      <w:r>
        <w:rPr>
          <w:rFonts w:hint="eastAsia" w:asciiTheme="minorEastAsia" w:hAnsiTheme="minorEastAsia" w:eastAsiaTheme="minorEastAsia" w:cstheme="minorEastAsia"/>
          <w:color w:val="auto"/>
          <w:sz w:val="24"/>
          <w:highlight w:val="none"/>
          <w:u w:val="single"/>
          <w:lang w:eastAsia="zh-CN"/>
        </w:rPr>
        <w:t>响应文件</w:t>
      </w:r>
      <w:r>
        <w:rPr>
          <w:rFonts w:hint="eastAsia" w:asciiTheme="minorEastAsia" w:hAnsiTheme="minorEastAsia" w:eastAsiaTheme="minorEastAsia" w:cstheme="minorEastAsia"/>
          <w:color w:val="auto"/>
          <w:sz w:val="24"/>
          <w:highlight w:val="none"/>
          <w:u w:val="single"/>
        </w:rPr>
        <w:t>格式及要求</w:t>
      </w:r>
      <w:r>
        <w:rPr>
          <w:rFonts w:hint="eastAsia" w:asciiTheme="minorEastAsia" w:hAnsiTheme="minorEastAsia" w:eastAsiaTheme="minorEastAsia" w:cstheme="minorEastAsia"/>
          <w:color w:val="auto"/>
          <w:sz w:val="24"/>
          <w:highlight w:val="none"/>
          <w:u w:val="single"/>
          <w:lang w:val="en-US" w:eastAsia="zh-CN"/>
        </w:rPr>
        <w:t>编</w:t>
      </w:r>
      <w:r>
        <w:rPr>
          <w:rFonts w:hint="eastAsia" w:asciiTheme="minorEastAsia" w:hAnsiTheme="minorEastAsia" w:eastAsiaTheme="minorEastAsia" w:cstheme="minorEastAsia"/>
          <w:color w:val="auto"/>
          <w:sz w:val="24"/>
          <w:highlight w:val="none"/>
          <w:u w:val="single"/>
        </w:rPr>
        <w:t>写</w:t>
      </w:r>
      <w:r>
        <w:rPr>
          <w:rFonts w:hint="eastAsia" w:asciiTheme="minorEastAsia" w:hAnsiTheme="minorEastAsia" w:eastAsiaTheme="minorEastAsia" w:cstheme="minorEastAsia"/>
          <w:color w:val="auto"/>
          <w:sz w:val="24"/>
          <w:highlight w:val="none"/>
          <w:u w:val="single"/>
          <w:lang w:eastAsia="zh-CN"/>
        </w:rPr>
        <w:t>响应文件</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u w:val="single"/>
          <w:lang w:eastAsia="zh-CN"/>
        </w:rPr>
        <w:t>响应文件</w:t>
      </w:r>
      <w:r>
        <w:rPr>
          <w:rFonts w:hint="eastAsia" w:asciiTheme="minorEastAsia" w:hAnsiTheme="minorEastAsia" w:eastAsiaTheme="minorEastAsia" w:cstheme="minorEastAsia"/>
          <w:color w:val="auto"/>
          <w:sz w:val="24"/>
          <w:highlight w:val="none"/>
          <w:u w:val="single"/>
        </w:rPr>
        <w:t>应包括“</w:t>
      </w:r>
      <w:r>
        <w:rPr>
          <w:rFonts w:hint="eastAsia" w:asciiTheme="minorEastAsia" w:hAnsiTheme="minorEastAsia" w:eastAsiaTheme="minorEastAsia" w:cstheme="minorEastAsia"/>
          <w:color w:val="auto"/>
          <w:sz w:val="24"/>
          <w:highlight w:val="none"/>
          <w:u w:val="single"/>
          <w:lang w:eastAsia="zh-CN"/>
        </w:rPr>
        <w:t>报价</w:t>
      </w:r>
      <w:r>
        <w:rPr>
          <w:rFonts w:hint="eastAsia" w:asciiTheme="minorEastAsia" w:hAnsiTheme="minorEastAsia" w:eastAsiaTheme="minorEastAsia" w:cstheme="minorEastAsia"/>
          <w:color w:val="auto"/>
          <w:sz w:val="24"/>
          <w:highlight w:val="none"/>
          <w:u w:val="single"/>
        </w:rPr>
        <w:t>一览表及资格证明文件”和“商务及技术文件”两部分，两部分合订成一册，密封递交。</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应承担封装失误产生的任何后果。</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    上述文件应按照磋商文件规定的格式填写、签署和盖章。</w:t>
      </w:r>
    </w:p>
    <w:p>
      <w:pPr>
        <w:pStyle w:val="6"/>
        <w:tabs>
          <w:tab w:val="left" w:pos="900"/>
        </w:tabs>
        <w:spacing w:before="0" w:after="0" w:line="400" w:lineRule="exact"/>
        <w:rPr>
          <w:rFonts w:hint="eastAsia" w:asciiTheme="minorEastAsia" w:hAnsiTheme="minorEastAsia" w:eastAsiaTheme="minorEastAsia" w:cstheme="minorEastAsia"/>
          <w:color w:val="auto"/>
          <w:highlight w:val="none"/>
          <w:u w:val="none"/>
        </w:rPr>
      </w:pPr>
      <w:bookmarkStart w:id="72" w:name="_Toc508185920"/>
      <w:bookmarkStart w:id="73" w:name="_Toc516367023"/>
      <w:bookmarkStart w:id="74" w:name="_Toc518923072"/>
      <w:bookmarkStart w:id="75" w:name="_Toc10751_WPSOffice_Level2"/>
      <w:bookmarkStart w:id="76" w:name="_Toc2671"/>
      <w:bookmarkStart w:id="77" w:name="_Toc5768_WPSOffice_Level2"/>
      <w:bookmarkStart w:id="78" w:name="_Toc520356153"/>
      <w:bookmarkStart w:id="79" w:name="_Toc520356155"/>
      <w:r>
        <w:rPr>
          <w:rFonts w:hint="eastAsia" w:asciiTheme="minorEastAsia" w:hAnsiTheme="minorEastAsia" w:eastAsiaTheme="minorEastAsia" w:cstheme="minorEastAsia"/>
          <w:color w:val="auto"/>
          <w:highlight w:val="none"/>
          <w:u w:val="none"/>
        </w:rPr>
        <w:t>10.</w:t>
      </w:r>
      <w:r>
        <w:rPr>
          <w:rFonts w:hint="eastAsia" w:asciiTheme="minorEastAsia" w:hAnsiTheme="minorEastAsia" w:eastAsiaTheme="minorEastAsia" w:cstheme="minorEastAsia"/>
          <w:color w:val="auto"/>
          <w:highlight w:val="none"/>
          <w:u w:val="none"/>
        </w:rPr>
        <w:tab/>
      </w:r>
      <w:bookmarkEnd w:id="72"/>
      <w:bookmarkEnd w:id="73"/>
      <w:bookmarkEnd w:id="74"/>
      <w:bookmarkEnd w:id="75"/>
      <w:bookmarkEnd w:id="76"/>
      <w:bookmarkEnd w:id="77"/>
      <w:bookmarkEnd w:id="78"/>
      <w:r>
        <w:rPr>
          <w:rFonts w:hint="eastAsia" w:asciiTheme="minorEastAsia" w:hAnsiTheme="minorEastAsia" w:eastAsiaTheme="minorEastAsia" w:cstheme="minorEastAsia"/>
          <w:color w:val="auto"/>
          <w:highlight w:val="none"/>
          <w:u w:val="none"/>
        </w:rPr>
        <w:t>证明投标标的的合格性和符合</w:t>
      </w:r>
      <w:r>
        <w:rPr>
          <w:rFonts w:hint="eastAsia" w:asciiTheme="minorEastAsia" w:hAnsiTheme="minorEastAsia" w:eastAsiaTheme="minorEastAsia" w:cstheme="minorEastAsia"/>
          <w:color w:val="auto"/>
          <w:highlight w:val="none"/>
          <w:u w:val="none"/>
          <w:lang w:val="en-US" w:eastAsia="zh-CN"/>
        </w:rPr>
        <w:t>磋商</w:t>
      </w:r>
      <w:r>
        <w:rPr>
          <w:rFonts w:hint="eastAsia" w:asciiTheme="minorEastAsia" w:hAnsiTheme="minorEastAsia" w:eastAsiaTheme="minorEastAsia" w:cstheme="minorEastAsia"/>
          <w:color w:val="auto"/>
          <w:highlight w:val="none"/>
          <w:u w:val="none"/>
        </w:rPr>
        <w:t>文件规定的技术文件</w:t>
      </w:r>
    </w:p>
    <w:p>
      <w:pPr>
        <w:pStyle w:val="6"/>
        <w:spacing w:before="0" w:after="0" w:line="400" w:lineRule="exact"/>
        <w:rPr>
          <w:rFonts w:hint="eastAsia" w:asciiTheme="minorEastAsia" w:hAnsiTheme="minorEastAsia" w:eastAsiaTheme="minorEastAsia" w:cstheme="minorEastAsia"/>
          <w:b w:val="0"/>
          <w:color w:val="auto"/>
          <w:kern w:val="2"/>
          <w:sz w:val="24"/>
          <w:szCs w:val="24"/>
          <w:highlight w:val="none"/>
          <w:u w:val="none"/>
          <w:lang w:val="en-US" w:eastAsia="zh-CN" w:bidi="ar-SA"/>
        </w:rPr>
      </w:pPr>
      <w:bookmarkStart w:id="80" w:name="_Toc518923073"/>
      <w:bookmarkStart w:id="81" w:name="_Toc8529"/>
      <w:bookmarkStart w:id="82" w:name="_Toc15335_WPSOffice_Level2"/>
      <w:bookmarkStart w:id="83" w:name="_Toc32368_WPSOffice_Level2"/>
      <w:r>
        <w:rPr>
          <w:rFonts w:hint="eastAsia" w:asciiTheme="minorEastAsia" w:hAnsiTheme="minorEastAsia" w:eastAsiaTheme="minorEastAsia" w:cstheme="minorEastAsia"/>
          <w:b w:val="0"/>
          <w:color w:val="auto"/>
          <w:kern w:val="2"/>
          <w:sz w:val="24"/>
          <w:szCs w:val="24"/>
          <w:highlight w:val="none"/>
          <w:u w:val="none"/>
          <w:lang w:val="en-US" w:eastAsia="zh-CN" w:bidi="ar-SA"/>
        </w:rPr>
        <w:t>10.1</w:t>
      </w:r>
      <w:r>
        <w:rPr>
          <w:rFonts w:hint="eastAsia" w:asciiTheme="minorEastAsia" w:hAnsiTheme="minorEastAsia" w:eastAsiaTheme="minorEastAsia" w:cstheme="minorEastAsia"/>
          <w:b w:val="0"/>
          <w:color w:val="auto"/>
          <w:kern w:val="2"/>
          <w:sz w:val="24"/>
          <w:szCs w:val="24"/>
          <w:highlight w:val="none"/>
          <w:u w:val="none"/>
          <w:lang w:val="en-US" w:eastAsia="zh-CN" w:bidi="ar-SA"/>
        </w:rPr>
        <w:tab/>
      </w:r>
      <w:r>
        <w:rPr>
          <w:rFonts w:hint="eastAsia" w:asciiTheme="minorEastAsia" w:hAnsiTheme="minorEastAsia" w:eastAsiaTheme="minorEastAsia" w:cstheme="minorEastAsia"/>
          <w:b w:val="0"/>
          <w:color w:val="auto"/>
          <w:kern w:val="2"/>
          <w:sz w:val="24"/>
          <w:szCs w:val="24"/>
          <w:highlight w:val="none"/>
          <w:u w:val="none"/>
          <w:lang w:val="en-US" w:eastAsia="zh-CN" w:bidi="ar-SA"/>
        </w:rPr>
        <w:t>投标人应提交证明文件，证明其投标内容符合磋商文件规定。该证明文件是响应文件的一部分。</w:t>
      </w:r>
    </w:p>
    <w:p>
      <w:pPr>
        <w:pStyle w:val="6"/>
        <w:spacing w:before="0" w:after="0" w:line="400" w:lineRule="exact"/>
        <w:rPr>
          <w:rFonts w:hint="eastAsia" w:asciiTheme="minorEastAsia" w:hAnsiTheme="minorEastAsia" w:eastAsiaTheme="minorEastAsia" w:cstheme="minorEastAsia"/>
          <w:b w:val="0"/>
          <w:color w:val="auto"/>
          <w:kern w:val="2"/>
          <w:sz w:val="24"/>
          <w:szCs w:val="24"/>
          <w:highlight w:val="none"/>
          <w:u w:val="none"/>
          <w:lang w:val="en-US" w:eastAsia="zh-CN" w:bidi="ar-SA"/>
        </w:rPr>
      </w:pPr>
      <w:bookmarkStart w:id="84" w:name="_Ref467306244"/>
      <w:r>
        <w:rPr>
          <w:rFonts w:hint="eastAsia" w:asciiTheme="minorEastAsia" w:hAnsiTheme="minorEastAsia" w:eastAsiaTheme="minorEastAsia" w:cstheme="minorEastAsia"/>
          <w:b w:val="0"/>
          <w:color w:val="auto"/>
          <w:kern w:val="2"/>
          <w:sz w:val="24"/>
          <w:szCs w:val="24"/>
          <w:highlight w:val="none"/>
          <w:u w:val="none"/>
          <w:lang w:val="en-US" w:eastAsia="zh-CN" w:bidi="ar-SA"/>
        </w:rPr>
        <w:t>10.2</w:t>
      </w:r>
      <w:r>
        <w:rPr>
          <w:rFonts w:hint="eastAsia" w:asciiTheme="minorEastAsia" w:hAnsiTheme="minorEastAsia" w:eastAsiaTheme="minorEastAsia" w:cstheme="minorEastAsia"/>
          <w:b w:val="0"/>
          <w:color w:val="auto"/>
          <w:kern w:val="2"/>
          <w:sz w:val="24"/>
          <w:szCs w:val="24"/>
          <w:highlight w:val="none"/>
          <w:u w:val="none"/>
          <w:lang w:val="en-US" w:eastAsia="zh-CN" w:bidi="ar-SA"/>
        </w:rPr>
        <w:tab/>
      </w:r>
      <w:r>
        <w:rPr>
          <w:rFonts w:hint="eastAsia" w:asciiTheme="minorEastAsia" w:hAnsiTheme="minorEastAsia" w:eastAsiaTheme="minorEastAsia" w:cstheme="minorEastAsia"/>
          <w:b w:val="0"/>
          <w:color w:val="auto"/>
          <w:kern w:val="2"/>
          <w:sz w:val="24"/>
          <w:szCs w:val="24"/>
          <w:highlight w:val="none"/>
          <w:u w:val="none"/>
          <w:lang w:val="en-US" w:eastAsia="zh-CN" w:bidi="ar-SA"/>
        </w:rPr>
        <w:t>上款所述的证明文件，可以是文字资料、图纸和数据，</w:t>
      </w:r>
      <w:bookmarkEnd w:id="84"/>
      <w:r>
        <w:rPr>
          <w:rFonts w:hint="eastAsia" w:asciiTheme="minorEastAsia" w:hAnsiTheme="minorEastAsia" w:eastAsiaTheme="minorEastAsia" w:cstheme="minorEastAsia"/>
          <w:b w:val="0"/>
          <w:color w:val="auto"/>
          <w:kern w:val="2"/>
          <w:sz w:val="24"/>
          <w:szCs w:val="24"/>
          <w:highlight w:val="none"/>
          <w:u w:val="none"/>
          <w:lang w:val="en-US" w:eastAsia="zh-CN" w:bidi="ar-SA"/>
        </w:rPr>
        <w:t>它包括：</w:t>
      </w:r>
    </w:p>
    <w:p>
      <w:pPr>
        <w:pStyle w:val="6"/>
        <w:spacing w:before="0" w:after="0" w:line="400" w:lineRule="exact"/>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10.2.1</w:t>
      </w:r>
      <w:r>
        <w:rPr>
          <w:rFonts w:hint="eastAsia" w:asciiTheme="minorEastAsia" w:hAnsiTheme="minorEastAsia" w:eastAsiaTheme="minorEastAsia" w:cstheme="minorEastAsia"/>
          <w:b w:val="0"/>
          <w:color w:val="auto"/>
          <w:kern w:val="2"/>
          <w:sz w:val="24"/>
          <w:szCs w:val="24"/>
          <w:highlight w:val="none"/>
          <w:u w:val="none"/>
          <w:lang w:val="en-US" w:eastAsia="zh-CN" w:bidi="ar-SA"/>
        </w:rPr>
        <w:tab/>
      </w:r>
      <w:r>
        <w:rPr>
          <w:rFonts w:hint="eastAsia" w:asciiTheme="minorEastAsia" w:hAnsiTheme="minorEastAsia" w:eastAsiaTheme="minorEastAsia" w:cstheme="minorEastAsia"/>
          <w:b w:val="0"/>
          <w:color w:val="auto"/>
          <w:kern w:val="2"/>
          <w:sz w:val="24"/>
          <w:szCs w:val="24"/>
          <w:highlight w:val="none"/>
          <w:u w:val="none"/>
          <w:lang w:val="en-US" w:eastAsia="zh-CN" w:bidi="ar-SA"/>
        </w:rPr>
        <w:t>货物主要技术指标和性能的详细说明；</w:t>
      </w:r>
    </w:p>
    <w:p>
      <w:pPr>
        <w:pStyle w:val="6"/>
        <w:spacing w:before="0" w:after="0" w:line="400" w:lineRule="exact"/>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10.2.2</w:t>
      </w:r>
      <w:r>
        <w:rPr>
          <w:rFonts w:hint="eastAsia" w:asciiTheme="minorEastAsia" w:hAnsiTheme="minorEastAsia" w:eastAsiaTheme="minorEastAsia" w:cstheme="minorEastAsia"/>
          <w:b w:val="0"/>
          <w:color w:val="auto"/>
          <w:kern w:val="2"/>
          <w:sz w:val="24"/>
          <w:szCs w:val="24"/>
          <w:highlight w:val="none"/>
          <w:u w:val="none"/>
          <w:lang w:val="en-US" w:eastAsia="zh-CN" w:bidi="ar-SA"/>
        </w:rPr>
        <w:tab/>
      </w:r>
      <w:r>
        <w:rPr>
          <w:rFonts w:hint="eastAsia" w:asciiTheme="minorEastAsia" w:hAnsiTheme="minorEastAsia" w:eastAsiaTheme="minorEastAsia" w:cstheme="minorEastAsia"/>
          <w:b w:val="0"/>
          <w:color w:val="auto"/>
          <w:kern w:val="2"/>
          <w:sz w:val="24"/>
          <w:szCs w:val="24"/>
          <w:highlight w:val="none"/>
          <w:u w:val="none"/>
          <w:lang w:val="en-US" w:eastAsia="zh-CN" w:bidi="ar-SA"/>
        </w:rPr>
        <w:t>货物从买方开始使用至招标文件规定的保质期内正常、连续地使用所必须的备件和专用工具清单，包括备件和专用工具的货源及现行价格；</w:t>
      </w:r>
    </w:p>
    <w:p>
      <w:pPr>
        <w:pStyle w:val="6"/>
        <w:spacing w:before="0" w:after="0" w:line="400" w:lineRule="exact"/>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10.2.3</w:t>
      </w:r>
      <w:r>
        <w:rPr>
          <w:rFonts w:hint="eastAsia" w:asciiTheme="minorEastAsia" w:hAnsiTheme="minorEastAsia" w:eastAsiaTheme="minorEastAsia" w:cstheme="minorEastAsia"/>
          <w:b w:val="0"/>
          <w:color w:val="auto"/>
          <w:kern w:val="2"/>
          <w:sz w:val="24"/>
          <w:szCs w:val="24"/>
          <w:highlight w:val="none"/>
          <w:u w:val="none"/>
          <w:lang w:val="en-US" w:eastAsia="zh-CN" w:bidi="ar-SA"/>
        </w:rPr>
        <w:tab/>
      </w:r>
      <w:r>
        <w:rPr>
          <w:rFonts w:hint="eastAsia" w:asciiTheme="minorEastAsia" w:hAnsiTheme="minorEastAsia" w:eastAsiaTheme="minorEastAsia" w:cstheme="minorEastAsia"/>
          <w:b w:val="0"/>
          <w:color w:val="auto"/>
          <w:kern w:val="2"/>
          <w:sz w:val="24"/>
          <w:szCs w:val="24"/>
          <w:highlight w:val="none"/>
          <w:u w:val="none"/>
          <w:lang w:val="en-US" w:eastAsia="zh-CN" w:bidi="ar-SA"/>
        </w:rPr>
        <w:t>对照招标文件技术规格，逐条说明所提供货物及伴随的工程和服务已对招标文件的技术规格做出了实质性的响应，或申明与技术规格条文的偏差和例外。</w:t>
      </w:r>
    </w:p>
    <w:p>
      <w:pPr>
        <w:pStyle w:val="6"/>
        <w:spacing w:before="0" w:after="0" w:line="400" w:lineRule="exact"/>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10.3</w:t>
      </w:r>
      <w:r>
        <w:rPr>
          <w:rFonts w:hint="eastAsia" w:asciiTheme="minorEastAsia" w:hAnsiTheme="minorEastAsia" w:eastAsiaTheme="minorEastAsia" w:cstheme="minorEastAsia"/>
          <w:b w:val="0"/>
          <w:color w:val="auto"/>
          <w:kern w:val="2"/>
          <w:sz w:val="24"/>
          <w:szCs w:val="24"/>
          <w:highlight w:val="none"/>
          <w:u w:val="none"/>
          <w:lang w:val="en-US" w:eastAsia="zh-CN" w:bidi="ar-SA"/>
        </w:rPr>
        <w:tab/>
      </w:r>
      <w:r>
        <w:rPr>
          <w:rFonts w:hint="eastAsia" w:asciiTheme="minorEastAsia" w:hAnsiTheme="minorEastAsia" w:eastAsiaTheme="minorEastAsia" w:cstheme="minorEastAsia"/>
          <w:b w:val="0"/>
          <w:color w:val="auto"/>
          <w:kern w:val="2"/>
          <w:sz w:val="24"/>
          <w:szCs w:val="24"/>
          <w:highlight w:val="none"/>
          <w:u w:val="none"/>
          <w:lang w:val="en-US" w:eastAsia="zh-CN" w:bidi="ar-SA"/>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6"/>
        <w:spacing w:before="0" w:after="0" w:line="400" w:lineRule="exact"/>
        <w:rPr>
          <w:rFonts w:hint="eastAsia" w:asciiTheme="minorEastAsia" w:hAnsiTheme="minorEastAsia" w:eastAsiaTheme="minorEastAsia" w:cstheme="minorEastAsia"/>
          <w:color w:val="auto"/>
          <w:highlight w:val="none"/>
          <w:u w:val="none"/>
        </w:rPr>
      </w:pPr>
      <w:r>
        <w:rPr>
          <w:rFonts w:hint="eastAsia" w:asciiTheme="minorEastAsia" w:hAnsiTheme="minorEastAsia" w:eastAsiaTheme="minorEastAsia" w:cstheme="minorEastAsia"/>
          <w:color w:val="auto"/>
          <w:highlight w:val="none"/>
          <w:u w:val="none"/>
        </w:rPr>
        <w:t>11.</w:t>
      </w:r>
      <w:bookmarkEnd w:id="79"/>
      <w:bookmarkEnd w:id="80"/>
      <w:bookmarkEnd w:id="81"/>
      <w:r>
        <w:rPr>
          <w:rFonts w:hint="eastAsia" w:asciiTheme="minorEastAsia" w:hAnsiTheme="minorEastAsia" w:eastAsiaTheme="minorEastAsia" w:cstheme="minorEastAsia"/>
          <w:color w:val="auto"/>
          <w:highlight w:val="none"/>
          <w:u w:val="none"/>
        </w:rPr>
        <w:t>磋商报价</w:t>
      </w:r>
      <w:bookmarkEnd w:id="82"/>
      <w:bookmarkEnd w:id="83"/>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所有响应文件均以人民币报价。</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的磋商报价应遵守《中华人民共和国价格法》。同时，根据《中华人民共和国政府采购法》第二条的规定，为保证公平竞争，如有主体</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标的的赠与行为，其</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应在投标分项报价表上标明投标货物及相关服务的单价（如适用）和总价，并由法定代表人或其授权代表签署。</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采购人不接受具有附加条件的报价。</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所报的各分项磋商报价在合同履行过程中是固定不变的，不得以任何理由予以变更。任何包含价格调整要求的</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pStyle w:val="24"/>
        <w:spacing w:line="400" w:lineRule="exact"/>
        <w:ind w:left="720" w:hanging="720" w:hangingChars="300"/>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color w:val="auto"/>
          <w:sz w:val="24"/>
          <w:highlight w:val="none"/>
        </w:rPr>
        <w:t xml:space="preserve">11.5   </w:t>
      </w:r>
      <w:r>
        <w:rPr>
          <w:rFonts w:hint="eastAsia" w:asciiTheme="minorEastAsia" w:hAnsiTheme="minorEastAsia" w:eastAsiaTheme="minorEastAsia" w:cstheme="minorEastAsia"/>
          <w:b/>
          <w:bCs/>
          <w:color w:val="auto"/>
          <w:sz w:val="24"/>
          <w:highlight w:val="none"/>
          <w:u w:val="single"/>
        </w:rPr>
        <w:t>竞争性磋商共有两次报价，二次报价为最终报价，磋商小组所有成员集中与单一</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分别进行磋商，并给予所有参加磋商的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平等的磋商机会， 磋商小组要求所有实质性响应的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在规定时间内提交最后报价，最后报价是</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响应文件的有效组成部分，经磋商确定最终采购需求和提交最后报价的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后，由磋商小组采用综合评分法对提交最后报价的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的响应文件和最后报价进行综合评分。磋商小组应当从质量和服务均能满足采购文件实质性响应要求的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中，按照综合评分由高到低的顺序</w:t>
      </w:r>
      <w:r>
        <w:rPr>
          <w:rFonts w:hint="eastAsia" w:asciiTheme="minorEastAsia" w:hAnsiTheme="minorEastAsia" w:eastAsiaTheme="minorEastAsia" w:cstheme="minorEastAsia"/>
          <w:b/>
          <w:bCs/>
          <w:color w:val="auto"/>
          <w:sz w:val="24"/>
          <w:highlight w:val="none"/>
          <w:u w:val="single"/>
          <w:lang w:val="en-US" w:eastAsia="zh-CN"/>
        </w:rPr>
        <w:t>推荐</w:t>
      </w:r>
      <w:r>
        <w:rPr>
          <w:rFonts w:hint="eastAsia" w:asciiTheme="minorEastAsia" w:hAnsiTheme="minorEastAsia" w:eastAsiaTheme="minorEastAsia" w:cstheme="minorEastAsia"/>
          <w:b/>
          <w:bCs/>
          <w:color w:val="auto"/>
          <w:sz w:val="24"/>
          <w:highlight w:val="none"/>
          <w:u w:val="single"/>
        </w:rPr>
        <w:t>成交候选人，并编写评审报告，将结果通知所有参加磋商的未成交的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85" w:name="_Toc520356156"/>
      <w:bookmarkStart w:id="86" w:name="_Ref467306513"/>
      <w:bookmarkStart w:id="87" w:name="_Toc16199"/>
      <w:bookmarkStart w:id="88" w:name="_Toc518923074"/>
      <w:bookmarkStart w:id="89" w:name="_Toc24125_WPSOffice_Level2"/>
      <w:bookmarkStart w:id="90" w:name="_Toc25748_WPSOffice_Level2"/>
      <w:r>
        <w:rPr>
          <w:rFonts w:hint="eastAsia" w:asciiTheme="minorEastAsia" w:hAnsiTheme="minorEastAsia" w:eastAsiaTheme="minorEastAsia" w:cstheme="minorEastAsia"/>
          <w:color w:val="auto"/>
          <w:highlight w:val="none"/>
          <w:u w:val="none"/>
        </w:rPr>
        <w:t>12.</w:t>
      </w:r>
      <w:bookmarkEnd w:id="85"/>
      <w:bookmarkEnd w:id="86"/>
      <w:bookmarkEnd w:id="87"/>
      <w:bookmarkEnd w:id="88"/>
      <w:r>
        <w:rPr>
          <w:rFonts w:hint="eastAsia" w:asciiTheme="minorEastAsia" w:hAnsiTheme="minorEastAsia" w:eastAsiaTheme="minorEastAsia" w:cstheme="minorEastAsia"/>
          <w:color w:val="auto"/>
          <w:highlight w:val="none"/>
          <w:u w:val="none"/>
        </w:rPr>
        <w:t>磋商保证金</w:t>
      </w:r>
      <w:bookmarkEnd w:id="89"/>
      <w:bookmarkEnd w:id="90"/>
    </w:p>
    <w:p>
      <w:pPr>
        <w:spacing w:line="400" w:lineRule="exact"/>
        <w:ind w:left="900" w:hanging="900" w:hangingChars="375"/>
        <w:rPr>
          <w:rFonts w:hint="eastAsia" w:asciiTheme="minorEastAsia" w:hAnsiTheme="minorEastAsia" w:eastAsiaTheme="minorEastAsia" w:cstheme="minorEastAsia"/>
          <w:color w:val="auto"/>
          <w:sz w:val="24"/>
          <w:highlight w:val="none"/>
        </w:rPr>
      </w:pPr>
      <w:bookmarkStart w:id="91" w:name="_Ref467306302"/>
      <w:r>
        <w:rPr>
          <w:rFonts w:hint="eastAsia" w:asciiTheme="minorEastAsia" w:hAnsiTheme="minorEastAsia" w:eastAsiaTheme="minorEastAsia" w:cstheme="minorEastAsia"/>
          <w:color w:val="auto"/>
          <w:sz w:val="24"/>
          <w:highlight w:val="none"/>
        </w:rPr>
        <w:t>12.1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应提交</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中规定的</w:t>
      </w:r>
      <w:bookmarkEnd w:id="91"/>
      <w:r>
        <w:rPr>
          <w:rFonts w:hint="eastAsia" w:asciiTheme="minorEastAsia" w:hAnsiTheme="minorEastAsia" w:eastAsiaTheme="minorEastAsia" w:cstheme="minorEastAsia"/>
          <w:color w:val="auto"/>
          <w:sz w:val="24"/>
          <w:highlight w:val="none"/>
        </w:rPr>
        <w:t>磋商保证金，并作为其</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的一部分。</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存在下列情形的，磋商保证金不予退还：</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（1）在磋商有效期内，撤销</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w:t>
      </w:r>
    </w:p>
    <w:p>
      <w:pPr>
        <w:pStyle w:val="15"/>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（2）成交后不按本须知第30条的规定与采购人签订合同的；</w:t>
      </w:r>
    </w:p>
    <w:p>
      <w:pPr>
        <w:pStyle w:val="15"/>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（3）成交后不按本须知第31条的规定提交履约保证金的；</w:t>
      </w:r>
    </w:p>
    <w:p>
      <w:pPr>
        <w:pStyle w:val="15"/>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（4）成交后不按本须知第32条的规定缴纳成交服务费的；</w:t>
      </w:r>
    </w:p>
    <w:p>
      <w:pPr>
        <w:pStyle w:val="15"/>
        <w:tabs>
          <w:tab w:val="left" w:pos="2240"/>
        </w:tabs>
        <w:spacing w:line="400" w:lineRule="exact"/>
        <w:ind w:left="1079" w:leftChars="371" w:hanging="300" w:hangingChars="1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（5）存在其他违法违规行为的。</w:t>
      </w:r>
    </w:p>
    <w:p>
      <w:pPr>
        <w:spacing w:line="400" w:lineRule="exact"/>
        <w:ind w:left="900" w:hanging="900" w:hangingChars="375"/>
        <w:rPr>
          <w:rFonts w:hint="eastAsia" w:asciiTheme="minorEastAsia" w:hAnsiTheme="minorEastAsia" w:eastAsiaTheme="minorEastAsia" w:cstheme="minorEastAsia"/>
          <w:color w:val="auto"/>
          <w:sz w:val="24"/>
          <w:highlight w:val="none"/>
        </w:rPr>
      </w:pPr>
      <w:bookmarkStart w:id="92" w:name="_Ref467306336"/>
      <w:r>
        <w:rPr>
          <w:rFonts w:hint="eastAsia" w:asciiTheme="minorEastAsia" w:hAnsiTheme="minorEastAsia" w:eastAsiaTheme="minorEastAsia" w:cstheme="minorEastAsia"/>
          <w:color w:val="auto"/>
          <w:sz w:val="24"/>
          <w:highlight w:val="none"/>
        </w:rPr>
        <w:t>12.3</w:t>
      </w:r>
      <w:r>
        <w:rPr>
          <w:rFonts w:hint="eastAsia" w:asciiTheme="minorEastAsia" w:hAnsiTheme="minorEastAsia" w:eastAsiaTheme="minorEastAsia" w:cstheme="minorEastAsia"/>
          <w:color w:val="auto"/>
          <w:sz w:val="24"/>
          <w:highlight w:val="none"/>
        </w:rPr>
        <w:tab/>
      </w:r>
      <w:bookmarkEnd w:id="92"/>
      <w:r>
        <w:rPr>
          <w:rFonts w:hint="eastAsia" w:asciiTheme="minorEastAsia" w:hAnsiTheme="minorEastAsia" w:eastAsiaTheme="minorEastAsia" w:cstheme="minorEastAsia"/>
          <w:color w:val="auto"/>
          <w:sz w:val="24"/>
          <w:highlight w:val="none"/>
        </w:rPr>
        <w:t>政府采购信用担保试点范围内的项目，接受符合财政部门规定的政府采购</w:t>
      </w:r>
      <w:r>
        <w:rPr>
          <w:rFonts w:hint="eastAsia" w:asciiTheme="minorEastAsia" w:hAnsiTheme="minorEastAsia" w:eastAsiaTheme="minorEastAsia" w:cstheme="minorEastAsia"/>
          <w:color w:val="auto"/>
          <w:sz w:val="24"/>
          <w:highlight w:val="none"/>
          <w:lang w:eastAsia="zh-CN"/>
        </w:rPr>
        <w:t>投标担保函</w:t>
      </w:r>
      <w:r>
        <w:rPr>
          <w:rFonts w:hint="eastAsia" w:asciiTheme="minorEastAsia" w:hAnsiTheme="minorEastAsia" w:eastAsiaTheme="minorEastAsia" w:cstheme="minorEastAsia"/>
          <w:color w:val="auto"/>
          <w:sz w:val="24"/>
          <w:highlight w:val="none"/>
        </w:rPr>
        <w:t>原件。</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未按本须知第12.1和12.3条规定提交磋商保证金的，其磋商资格将被认定为</w:t>
      </w: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highlight w:val="none"/>
        </w:rPr>
        <w:t>。</w:t>
      </w:r>
    </w:p>
    <w:p>
      <w:pPr>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  采用电汇形式的，一般可以实时入账；</w:t>
      </w:r>
    </w:p>
    <w:p>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12.4.2  采用支票形式的，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则应充分考虑支票入账时间，以确保磋商保证金能按时进入指定账户。根据银行信息交换和付款时间，支票从递交至实际入账一般需要4-5个工作日。如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    联合体</w:t>
      </w:r>
      <w:r>
        <w:rPr>
          <w:rFonts w:hint="eastAsia" w:asciiTheme="minorEastAsia" w:hAnsiTheme="minorEastAsia" w:eastAsiaTheme="minorEastAsia" w:cstheme="minorEastAsia"/>
          <w:color w:val="auto"/>
          <w:sz w:val="24"/>
          <w:highlight w:val="none"/>
          <w:lang w:eastAsia="zh-CN"/>
        </w:rPr>
        <w:t>递交响应文件</w:t>
      </w:r>
      <w:r>
        <w:rPr>
          <w:rFonts w:hint="eastAsia" w:asciiTheme="minorEastAsia" w:hAnsiTheme="minorEastAsia" w:eastAsiaTheme="minorEastAsia" w:cstheme="minorEastAsia"/>
          <w:color w:val="auto"/>
          <w:sz w:val="24"/>
          <w:highlight w:val="none"/>
        </w:rPr>
        <w:t>的，可以由联合体中的一方或者共同提交磋商保证金。以一方名义提交磋商保证金的，对联合体各方均具有约束力。</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磋商保证金的退还</w:t>
      </w:r>
    </w:p>
    <w:p>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12.6.1  成交</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应在与采购人签订合同之日起5个工作日内，及时联系保证金收受机构办理磋商保证金无息退还手续。</w:t>
      </w:r>
    </w:p>
    <w:p>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12.6.2  未成交</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的磋商保证金</w:t>
      </w:r>
      <w:r>
        <w:rPr>
          <w:rFonts w:hint="eastAsia" w:asciiTheme="minorEastAsia" w:hAnsiTheme="minorEastAsia" w:eastAsiaTheme="minorEastAsia" w:cstheme="minorEastAsia"/>
          <w:color w:val="auto"/>
          <w:sz w:val="24"/>
          <w:highlight w:val="none"/>
          <w:lang w:val="en-US" w:eastAsia="zh-CN"/>
        </w:rPr>
        <w:t>应当</w:t>
      </w:r>
      <w:r>
        <w:rPr>
          <w:rFonts w:hint="eastAsia" w:asciiTheme="minorEastAsia" w:hAnsiTheme="minorEastAsia" w:eastAsiaTheme="minorEastAsia" w:cstheme="minorEastAsia"/>
          <w:color w:val="auto"/>
          <w:sz w:val="24"/>
          <w:highlight w:val="none"/>
        </w:rPr>
        <w:t>在成交通知书发出</w:t>
      </w:r>
      <w:r>
        <w:rPr>
          <w:rFonts w:hint="eastAsia" w:asciiTheme="minorEastAsia" w:hAnsiTheme="minorEastAsia" w:eastAsiaTheme="minorEastAsia" w:cstheme="minorEastAsia"/>
          <w:color w:val="auto"/>
          <w:sz w:val="24"/>
          <w:highlight w:val="none"/>
          <w:lang w:val="en-US" w:eastAsia="zh-CN"/>
        </w:rPr>
        <w:t>后</w:t>
      </w:r>
      <w:r>
        <w:rPr>
          <w:rFonts w:hint="eastAsia" w:asciiTheme="minorEastAsia" w:hAnsiTheme="minorEastAsia" w:eastAsiaTheme="minorEastAsia" w:cstheme="minorEastAsia"/>
          <w:color w:val="auto"/>
          <w:sz w:val="24"/>
          <w:highlight w:val="none"/>
        </w:rPr>
        <w:t>5个工作日内无息退还。</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及时联系保证金收受机构办理退还磋商保证金手续。</w:t>
      </w:r>
      <w:bookmarkStart w:id="93" w:name="_Toc518923075"/>
    </w:p>
    <w:p>
      <w:pPr>
        <w:spacing w:line="400" w:lineRule="exact"/>
        <w:ind w:left="893" w:hanging="892" w:hangingChars="425"/>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12.6.3  </w:t>
      </w:r>
      <w:r>
        <w:rPr>
          <w:rFonts w:hint="eastAsia" w:asciiTheme="minorEastAsia" w:hAnsiTheme="minorEastAsia" w:eastAsiaTheme="minorEastAsia" w:cstheme="minorEastAsia"/>
          <w:color w:val="auto"/>
          <w:sz w:val="24"/>
          <w:highlight w:val="none"/>
        </w:rPr>
        <w:t>政府采购</w:t>
      </w:r>
      <w:r>
        <w:rPr>
          <w:rFonts w:hint="eastAsia" w:asciiTheme="minorEastAsia" w:hAnsiTheme="minorEastAsia" w:eastAsiaTheme="minorEastAsia" w:cstheme="minorEastAsia"/>
          <w:color w:val="auto"/>
          <w:sz w:val="24"/>
          <w:highlight w:val="none"/>
          <w:lang w:eastAsia="zh-CN"/>
        </w:rPr>
        <w:t>投标担保函</w:t>
      </w:r>
      <w:r>
        <w:rPr>
          <w:rFonts w:hint="eastAsia" w:asciiTheme="minorEastAsia" w:hAnsiTheme="minorEastAsia" w:eastAsiaTheme="minorEastAsia" w:cstheme="minorEastAsia"/>
          <w:color w:val="auto"/>
          <w:sz w:val="24"/>
          <w:highlight w:val="none"/>
        </w:rPr>
        <w:t>不予退回。</w:t>
      </w:r>
      <w:bookmarkEnd w:id="93"/>
    </w:p>
    <w:p>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   因</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自身原因导致无法及时退还的，采购人或采购代理机构将不承担相应责任。</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94" w:name="_Toc520356157"/>
      <w:bookmarkStart w:id="95" w:name="_Toc518923076"/>
      <w:bookmarkStart w:id="96" w:name="_Toc20355"/>
      <w:bookmarkStart w:id="97" w:name="_Toc11106_WPSOffice_Level2"/>
      <w:bookmarkStart w:id="98" w:name="_Toc4716_WPSOffice_Level2"/>
      <w:r>
        <w:rPr>
          <w:rFonts w:hint="eastAsia" w:asciiTheme="minorEastAsia" w:hAnsiTheme="minorEastAsia" w:eastAsiaTheme="minorEastAsia" w:cstheme="minorEastAsia"/>
          <w:color w:val="auto"/>
          <w:highlight w:val="none"/>
          <w:u w:val="none"/>
        </w:rPr>
        <w:t>13.</w:t>
      </w:r>
      <w:bookmarkEnd w:id="94"/>
      <w:bookmarkEnd w:id="95"/>
      <w:bookmarkEnd w:id="96"/>
      <w:r>
        <w:rPr>
          <w:rFonts w:hint="eastAsia" w:asciiTheme="minorEastAsia" w:hAnsiTheme="minorEastAsia" w:eastAsiaTheme="minorEastAsia" w:cstheme="minorEastAsia"/>
          <w:color w:val="auto"/>
          <w:highlight w:val="none"/>
          <w:u w:val="none"/>
        </w:rPr>
        <w:t>磋商有效期</w:t>
      </w:r>
      <w:bookmarkEnd w:id="97"/>
      <w:bookmarkEnd w:id="98"/>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磋商应在</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中规定时间内保持有效。磋商有效期不满足要求的响应，其磋商资格将被认定为</w:t>
      </w: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highlight w:val="none"/>
        </w:rPr>
        <w:t>。</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为保证有充分时间签订合同，采购人或采购代理机构可根据实际情况，在原磋商有效期截止之前，要求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延长响应文件的有效期。接受该要求的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将不会被要求和允许修正其</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，且本须知中有关磋商保证金的要求须在延长的有效期内继续有效。</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可以拒绝延长磋商有效期的要求，其磋商保证金将及时按规定无息退还。上述要求和答复都应以书面形式提交。</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99" w:name="_Toc520356158"/>
      <w:bookmarkStart w:id="100" w:name="_Toc13034_WPSOffice_Level2"/>
      <w:bookmarkStart w:id="101" w:name="_Toc31308_WPSOffice_Level2"/>
      <w:bookmarkStart w:id="102" w:name="_Toc518923077"/>
      <w:bookmarkStart w:id="103" w:name="_Toc27303"/>
      <w:r>
        <w:rPr>
          <w:rFonts w:hint="eastAsia" w:asciiTheme="minorEastAsia" w:hAnsiTheme="minorEastAsia" w:eastAsiaTheme="minorEastAsia" w:cstheme="minorEastAsia"/>
          <w:color w:val="auto"/>
          <w:highlight w:val="none"/>
          <w:u w:val="none"/>
        </w:rPr>
        <w:t>14.响应文件的签署</w:t>
      </w:r>
      <w:bookmarkEnd w:id="99"/>
      <w:r>
        <w:rPr>
          <w:rFonts w:hint="eastAsia" w:asciiTheme="minorEastAsia" w:hAnsiTheme="minorEastAsia" w:eastAsiaTheme="minorEastAsia" w:cstheme="minorEastAsia"/>
          <w:color w:val="auto"/>
          <w:highlight w:val="none"/>
          <w:u w:val="none"/>
        </w:rPr>
        <w:t>及规定</w:t>
      </w:r>
      <w:bookmarkEnd w:id="100"/>
      <w:bookmarkEnd w:id="101"/>
      <w:bookmarkEnd w:id="102"/>
      <w:bookmarkEnd w:id="103"/>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应按</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的正本需打印或用不褪色墨水书写，并由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的法定代表人或其委托代理人</w:t>
      </w:r>
      <w:r>
        <w:rPr>
          <w:rFonts w:hint="eastAsia" w:asciiTheme="minorEastAsia" w:hAnsiTheme="minorEastAsia" w:eastAsiaTheme="minorEastAsia" w:cstheme="minorEastAsia"/>
          <w:color w:val="auto"/>
          <w:sz w:val="24"/>
          <w:highlight w:val="none"/>
          <w:lang w:val="en-US" w:eastAsia="zh-CN"/>
        </w:rPr>
        <w:t>按磋商文件规定</w:t>
      </w:r>
      <w:r>
        <w:rPr>
          <w:rFonts w:hint="eastAsia" w:asciiTheme="minorEastAsia" w:hAnsiTheme="minorEastAsia" w:eastAsiaTheme="minorEastAsia" w:cstheme="minorEastAsia"/>
          <w:color w:val="auto"/>
          <w:sz w:val="24"/>
          <w:highlight w:val="none"/>
        </w:rPr>
        <w:t>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上</w:t>
      </w:r>
      <w:r>
        <w:rPr>
          <w:rFonts w:hint="eastAsia" w:asciiTheme="minorEastAsia" w:hAnsiTheme="minorEastAsia" w:eastAsiaTheme="minorEastAsia" w:cstheme="minorEastAsia"/>
          <w:color w:val="auto"/>
          <w:sz w:val="24"/>
          <w:highlight w:val="none"/>
          <w:lang w:val="en-US" w:eastAsia="zh-CN"/>
        </w:rPr>
        <w:t>签署处</w:t>
      </w:r>
      <w:r>
        <w:rPr>
          <w:rFonts w:hint="eastAsia" w:asciiTheme="minorEastAsia" w:hAnsiTheme="minorEastAsia" w:eastAsiaTheme="minorEastAsia" w:cstheme="minorEastAsia"/>
          <w:color w:val="auto"/>
          <w:sz w:val="24"/>
          <w:highlight w:val="none"/>
        </w:rPr>
        <w:t>签字并加盖单位印章。委托代理人须持有书面的“法定代表人授权委托书”（</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格式二），并将其附在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中。如对</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进行了修改，则应由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的法定代表人或其委托代理人在每一修改处签字。</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的副本可采用正本的复印件。</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14.3    所有响应文件采用不可拆装的胶订方式装订，否则将被认定为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响应文件因字迹潦草、表达不清或装订不当所引起的后果由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负责。</w:t>
      </w:r>
    </w:p>
    <w:p>
      <w:pPr>
        <w:pStyle w:val="5"/>
        <w:spacing w:before="0" w:line="400" w:lineRule="exact"/>
        <w:ind w:left="1079" w:leftChars="257" w:hanging="540"/>
        <w:rPr>
          <w:rFonts w:hint="eastAsia" w:asciiTheme="minorEastAsia" w:hAnsiTheme="minorEastAsia" w:eastAsiaTheme="minorEastAsia" w:cstheme="minorEastAsia"/>
          <w:color w:val="auto"/>
          <w:highlight w:val="none"/>
        </w:rPr>
      </w:pPr>
      <w:bookmarkStart w:id="104" w:name="_Toc22303"/>
      <w:bookmarkStart w:id="105" w:name="_Toc216582808"/>
      <w:bookmarkStart w:id="106" w:name="_Toc520356159"/>
      <w:bookmarkStart w:id="107" w:name="_Toc518923078"/>
      <w:bookmarkStart w:id="108" w:name="_Toc9633"/>
      <w:bookmarkStart w:id="109" w:name="_Toc30674_WPSOffice_Level1"/>
      <w:r>
        <w:rPr>
          <w:rFonts w:hint="eastAsia" w:asciiTheme="minorEastAsia" w:hAnsiTheme="minorEastAsia" w:eastAsiaTheme="minorEastAsia" w:cstheme="minorEastAsia"/>
          <w:color w:val="auto"/>
          <w:sz w:val="24"/>
          <w:highlight w:val="none"/>
        </w:rPr>
        <w:t>四   响应文件的递交</w:t>
      </w:r>
      <w:bookmarkEnd w:id="104"/>
      <w:bookmarkEnd w:id="105"/>
      <w:bookmarkEnd w:id="106"/>
      <w:bookmarkEnd w:id="107"/>
      <w:bookmarkEnd w:id="108"/>
      <w:bookmarkEnd w:id="109"/>
    </w:p>
    <w:p>
      <w:pPr>
        <w:pStyle w:val="6"/>
        <w:spacing w:before="0" w:after="0" w:line="400" w:lineRule="exact"/>
        <w:rPr>
          <w:rFonts w:hint="eastAsia" w:asciiTheme="minorEastAsia" w:hAnsiTheme="minorEastAsia" w:eastAsiaTheme="minorEastAsia" w:cstheme="minorEastAsia"/>
          <w:color w:val="auto"/>
          <w:highlight w:val="none"/>
          <w:u w:val="none"/>
        </w:rPr>
      </w:pPr>
      <w:bookmarkStart w:id="110" w:name="_Toc520356160"/>
      <w:bookmarkStart w:id="111" w:name="_Toc518923079"/>
      <w:bookmarkStart w:id="112" w:name="_Toc13247"/>
      <w:bookmarkStart w:id="113" w:name="_Toc22654_WPSOffice_Level2"/>
      <w:bookmarkStart w:id="114" w:name="_Toc24004_WPSOffice_Level2"/>
      <w:r>
        <w:rPr>
          <w:rFonts w:hint="eastAsia" w:asciiTheme="minorEastAsia" w:hAnsiTheme="minorEastAsia" w:eastAsiaTheme="minorEastAsia" w:cstheme="minorEastAsia"/>
          <w:color w:val="auto"/>
          <w:highlight w:val="none"/>
          <w:u w:val="none"/>
        </w:rPr>
        <w:t>15.响应文件的密封和标记</w:t>
      </w:r>
      <w:bookmarkEnd w:id="110"/>
      <w:bookmarkEnd w:id="111"/>
      <w:bookmarkEnd w:id="112"/>
      <w:bookmarkEnd w:id="113"/>
      <w:bookmarkEnd w:id="114"/>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   为方便磋商开启及进行资格审查，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应将响应文件第一部分和第二部分合订成册密封提交，并在封皮正面标明“响应文件”字样，正副本分开密封提交。</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   所有包装封皮和信封上均应：</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注明采购公告或</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邀请书中指明的项目名称、采购编号、</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名称和“在（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开启时间）之前不得启封”的字样。</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在封口处加盖投标人单位章，</w:t>
      </w:r>
      <w:r>
        <w:rPr>
          <w:rFonts w:hint="eastAsia" w:asciiTheme="minorEastAsia" w:hAnsiTheme="minorEastAsia" w:eastAsiaTheme="minorEastAsia" w:cstheme="minorEastAsia"/>
          <w:color w:val="auto"/>
          <w:sz w:val="24"/>
          <w:highlight w:val="none"/>
          <w:lang w:eastAsia="zh-CN"/>
        </w:rPr>
        <w:t>并</w:t>
      </w:r>
      <w:r>
        <w:rPr>
          <w:rFonts w:hint="eastAsia" w:asciiTheme="minorEastAsia" w:hAnsiTheme="minorEastAsia" w:eastAsiaTheme="minorEastAsia" w:cstheme="minorEastAsia"/>
          <w:color w:val="auto"/>
          <w:sz w:val="24"/>
          <w:highlight w:val="none"/>
        </w:rPr>
        <w:t>由法定代表人（或其委托代理人）签字。</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如果</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未按上述要求密封，其响应文件将被拒绝接收。</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115" w:name="_Toc14358_WPSOffice_Level2"/>
      <w:bookmarkStart w:id="116" w:name="_Toc25787"/>
      <w:bookmarkStart w:id="117" w:name="_Toc178_WPSOffice_Level2"/>
      <w:bookmarkStart w:id="118" w:name="_Toc518923080"/>
      <w:bookmarkStart w:id="119" w:name="_Toc520356161"/>
      <w:r>
        <w:rPr>
          <w:rFonts w:hint="eastAsia" w:asciiTheme="minorEastAsia" w:hAnsiTheme="minorEastAsia" w:eastAsiaTheme="minorEastAsia" w:cstheme="minorEastAsia"/>
          <w:color w:val="auto"/>
          <w:highlight w:val="none"/>
          <w:u w:val="none"/>
        </w:rPr>
        <w:t>16.磋商截止</w:t>
      </w:r>
      <w:bookmarkEnd w:id="115"/>
      <w:bookmarkEnd w:id="116"/>
      <w:bookmarkEnd w:id="117"/>
      <w:bookmarkEnd w:id="118"/>
      <w:bookmarkEnd w:id="119"/>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应在磋商邀请书中规定的截止时间前，将响应文件递交到磋商邀请书中规定的地点。</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采购人和采购代理机构有权按本须知的规定，延迟响应文件递交截止时间。在此情况下，采购人、采购代理机构和</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受响应文件递交截止时间制约的所有权利和义务均应延长至新的截止时间。</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120" w:name="_Toc13921"/>
      <w:bookmarkStart w:id="121" w:name="_Toc26522_WPSOffice_Level2"/>
      <w:bookmarkStart w:id="122" w:name="_Toc17985_WPSOffice_Level2"/>
      <w:bookmarkStart w:id="123" w:name="_Toc520356162"/>
      <w:bookmarkStart w:id="124" w:name="_Toc518923081"/>
      <w:r>
        <w:rPr>
          <w:rFonts w:hint="eastAsia" w:asciiTheme="minorEastAsia" w:hAnsiTheme="minorEastAsia" w:eastAsiaTheme="minorEastAsia" w:cstheme="minorEastAsia"/>
          <w:color w:val="auto"/>
          <w:highlight w:val="none"/>
          <w:u w:val="none"/>
        </w:rPr>
        <w:t>17.响应文件的接收、修改与撤回</w:t>
      </w:r>
      <w:bookmarkEnd w:id="120"/>
      <w:bookmarkEnd w:id="121"/>
      <w:bookmarkEnd w:id="122"/>
      <w:bookmarkEnd w:id="123"/>
      <w:bookmarkEnd w:id="124"/>
    </w:p>
    <w:p>
      <w:pPr>
        <w:spacing w:line="400" w:lineRule="exact"/>
        <w:ind w:left="900" w:hanging="900" w:hangingChars="37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 w:val="24"/>
          <w:highlight w:val="none"/>
        </w:rPr>
        <w:t>17.1   在响应文件递交截止时间后送达响应文件的，采购人和采购代理机构将拒绝接收。</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采购人或者采购代理机构收到响应文件后，应当如实记载响应文件的送达时间和密封情况，并向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出具以下签收回执。</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17.3   递交响应文件以后，如果</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要进行修改或撤回</w:t>
      </w:r>
      <w:r>
        <w:rPr>
          <w:rFonts w:hint="eastAsia" w:asciiTheme="minorEastAsia" w:hAnsiTheme="minorEastAsia" w:eastAsiaTheme="minorEastAsia" w:cstheme="minorEastAsia"/>
          <w:color w:val="auto"/>
          <w:sz w:val="24"/>
          <w:highlight w:val="none"/>
          <w:lang w:eastAsia="zh-CN"/>
        </w:rPr>
        <w:t>响应文</w:t>
      </w:r>
      <w:r>
        <w:rPr>
          <w:rFonts w:hint="eastAsia" w:asciiTheme="minorEastAsia" w:hAnsiTheme="minorEastAsia" w:eastAsiaTheme="minorEastAsia" w:cstheme="minorEastAsia"/>
          <w:color w:val="auto"/>
          <w:sz w:val="24"/>
          <w:highlight w:val="none"/>
          <w:lang w:val="en-US" w:eastAsia="zh-CN"/>
        </w:rPr>
        <w:t>件</w:t>
      </w:r>
      <w:r>
        <w:rPr>
          <w:rFonts w:hint="eastAsia" w:asciiTheme="minorEastAsia" w:hAnsiTheme="minorEastAsia" w:eastAsiaTheme="minorEastAsia" w:cstheme="minorEastAsia"/>
          <w:color w:val="auto"/>
          <w:sz w:val="24"/>
          <w:highlight w:val="none"/>
        </w:rPr>
        <w:t>，须提出书面申请并在响应文件递交截止时间前送达磋商开启地点，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对响应文件的修改或撤回通知应按本须知规定编制、密封、标记。</w:t>
      </w:r>
    </w:p>
    <w:p>
      <w:pPr>
        <w:spacing w:line="400" w:lineRule="exact"/>
        <w:ind w:left="735" w:leftChars="350"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采购人和采购代理机构将予以接收，并视为响应文件的组成部分。</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17.4</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在响应文件递交截止期之后，采购人和采购代理机构不接受</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主动对其响应文件做任何修改。</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17.5</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采购人和采购代理机构对所接收响应文件概不退回。</w:t>
      </w:r>
      <w:bookmarkStart w:id="125" w:name="_Toc520356163"/>
      <w:bookmarkStart w:id="126" w:name="_Toc10257"/>
      <w:bookmarkStart w:id="127" w:name="_Toc518923082"/>
      <w:bookmarkStart w:id="128" w:name="_Toc216582809"/>
    </w:p>
    <w:p>
      <w:pPr>
        <w:pStyle w:val="5"/>
        <w:spacing w:before="0" w:line="400" w:lineRule="exact"/>
        <w:ind w:left="1079" w:leftChars="257" w:hanging="540"/>
        <w:rPr>
          <w:rFonts w:hint="eastAsia" w:asciiTheme="minorEastAsia" w:hAnsiTheme="minorEastAsia" w:eastAsiaTheme="minorEastAsia" w:cstheme="minorEastAsia"/>
          <w:color w:val="auto"/>
          <w:highlight w:val="none"/>
        </w:rPr>
      </w:pPr>
      <w:bookmarkStart w:id="129" w:name="_Toc6601_WPSOffice_Level1"/>
      <w:bookmarkStart w:id="130" w:name="_Toc5445"/>
      <w:r>
        <w:rPr>
          <w:rFonts w:hint="eastAsia" w:asciiTheme="minorEastAsia" w:hAnsiTheme="minorEastAsia" w:eastAsiaTheme="minorEastAsia" w:cstheme="minorEastAsia"/>
          <w:color w:val="auto"/>
          <w:sz w:val="24"/>
          <w:highlight w:val="none"/>
        </w:rPr>
        <w:t>五   磋商开启及</w:t>
      </w:r>
      <w:bookmarkEnd w:id="125"/>
      <w:bookmarkEnd w:id="126"/>
      <w:bookmarkEnd w:id="127"/>
      <w:bookmarkEnd w:id="128"/>
      <w:r>
        <w:rPr>
          <w:rFonts w:hint="eastAsia" w:asciiTheme="minorEastAsia" w:hAnsiTheme="minorEastAsia" w:eastAsiaTheme="minorEastAsia" w:cstheme="minorEastAsia"/>
          <w:color w:val="auto"/>
          <w:sz w:val="24"/>
          <w:highlight w:val="none"/>
        </w:rPr>
        <w:t>评审</w:t>
      </w:r>
      <w:bookmarkEnd w:id="129"/>
      <w:bookmarkEnd w:id="130"/>
    </w:p>
    <w:p>
      <w:pPr>
        <w:pStyle w:val="6"/>
        <w:spacing w:before="0" w:after="0" w:line="400" w:lineRule="exact"/>
        <w:rPr>
          <w:rFonts w:hint="eastAsia" w:asciiTheme="minorEastAsia" w:hAnsiTheme="minorEastAsia" w:eastAsiaTheme="minorEastAsia" w:cstheme="minorEastAsia"/>
          <w:color w:val="auto"/>
          <w:highlight w:val="none"/>
          <w:u w:val="none"/>
        </w:rPr>
      </w:pPr>
      <w:bookmarkStart w:id="131" w:name="_Toc520356164"/>
      <w:bookmarkStart w:id="132" w:name="_Toc518923083"/>
      <w:bookmarkStart w:id="133" w:name="_Toc8653"/>
      <w:bookmarkStart w:id="134" w:name="_Toc32308_WPSOffice_Level2"/>
      <w:bookmarkStart w:id="135" w:name="_Toc13011_WPSOffice_Level2"/>
      <w:r>
        <w:rPr>
          <w:rFonts w:hint="eastAsia" w:asciiTheme="minorEastAsia" w:hAnsiTheme="minorEastAsia" w:eastAsiaTheme="minorEastAsia" w:cstheme="minorEastAsia"/>
          <w:color w:val="auto"/>
          <w:highlight w:val="none"/>
          <w:u w:val="none"/>
        </w:rPr>
        <w:t>18.</w:t>
      </w:r>
      <w:bookmarkEnd w:id="131"/>
      <w:bookmarkEnd w:id="132"/>
      <w:bookmarkEnd w:id="133"/>
      <w:r>
        <w:rPr>
          <w:rFonts w:hint="eastAsia" w:asciiTheme="minorEastAsia" w:hAnsiTheme="minorEastAsia" w:eastAsiaTheme="minorEastAsia" w:cstheme="minorEastAsia"/>
          <w:color w:val="auto"/>
          <w:highlight w:val="none"/>
          <w:u w:val="none"/>
        </w:rPr>
        <w:t>磋商开启</w:t>
      </w:r>
      <w:bookmarkEnd w:id="134"/>
      <w:bookmarkEnd w:id="135"/>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采购人和采购代理机构将按</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中规定的磋商开启时间和地点组织公开磋商开启并邀请所有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 xml:space="preserve">代表参加。  </w:t>
      </w:r>
    </w:p>
    <w:p>
      <w:pPr>
        <w:spacing w:line="400" w:lineRule="exact"/>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不足3家的，不得磋商开启。</w:t>
      </w:r>
    </w:p>
    <w:p>
      <w:pPr>
        <w:spacing w:line="400" w:lineRule="exact"/>
        <w:ind w:left="960" w:hanging="960" w:hanging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    磋商开启时，由</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或其推选的代表检查自己或所代表的响应文件的密封情况，经记录后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lang w:val="en-US" w:eastAsia="zh-CN"/>
        </w:rPr>
        <w:t>退场</w:t>
      </w:r>
      <w:r>
        <w:rPr>
          <w:rFonts w:hint="eastAsia" w:asciiTheme="minorEastAsia" w:hAnsiTheme="minorEastAsia" w:eastAsiaTheme="minorEastAsia" w:cstheme="minorEastAsia"/>
          <w:color w:val="auto"/>
          <w:sz w:val="24"/>
          <w:highlight w:val="none"/>
        </w:rPr>
        <w:t>，由采购人或采购代理机构拆封响应文件第一部分，宣读</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eastAsia="zh-CN"/>
        </w:rPr>
        <w:t>报价一览表</w:t>
      </w:r>
      <w:r>
        <w:rPr>
          <w:rFonts w:hint="eastAsia" w:asciiTheme="minorEastAsia" w:hAnsiTheme="minorEastAsia" w:eastAsiaTheme="minorEastAsia" w:cstheme="minorEastAsia"/>
          <w:color w:val="auto"/>
          <w:sz w:val="24"/>
          <w:highlight w:val="none"/>
        </w:rPr>
        <w:t>价格及磋商文件规定的内容。对于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在响应文件递交截止期前递交的</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声明，在磋商开启时宣读，评审时有效。</w:t>
      </w:r>
    </w:p>
    <w:p>
      <w:pPr>
        <w:spacing w:line="400" w:lineRule="exact"/>
        <w:ind w:left="1078" w:leftChars="428" w:hanging="180" w:hangingChars="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未宣读</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价格、价格折扣等实质内容，评审时不予承认。</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    采购人或采购代理机构将对磋商开启过程进行记录</w:t>
      </w:r>
      <w:bookmarkStart w:id="136" w:name="_Toc520356165"/>
      <w:r>
        <w:rPr>
          <w:rFonts w:hint="eastAsia" w:asciiTheme="minorEastAsia" w:hAnsiTheme="minorEastAsia" w:eastAsiaTheme="minorEastAsia" w:cstheme="minorEastAsia"/>
          <w:color w:val="auto"/>
          <w:sz w:val="24"/>
          <w:highlight w:val="none"/>
        </w:rPr>
        <w:t>，由参加磋商开启的各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代表和相关工作人员签字确认，并存档备查。</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18.4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代表对磋商开启过程和磋商开启记录有疑义，以及认为采购人、采购代理机构相关工作人员有需要回避的情形的，应当场提出询问或者回避申请。</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137" w:name="_Toc21320_WPSOffice_Level2"/>
      <w:bookmarkStart w:id="138" w:name="_Toc518923084"/>
      <w:bookmarkStart w:id="139" w:name="_Toc34"/>
      <w:bookmarkStart w:id="140" w:name="_Toc4350_WPSOffice_Level2"/>
      <w:r>
        <w:rPr>
          <w:rFonts w:hint="eastAsia" w:asciiTheme="minorEastAsia" w:hAnsiTheme="minorEastAsia" w:eastAsiaTheme="minorEastAsia" w:cstheme="minorEastAsia"/>
          <w:color w:val="auto"/>
          <w:highlight w:val="none"/>
          <w:u w:val="none"/>
        </w:rPr>
        <w:t>19</w:t>
      </w:r>
      <w:bookmarkEnd w:id="136"/>
      <w:r>
        <w:rPr>
          <w:rFonts w:hint="eastAsia" w:asciiTheme="minorEastAsia" w:hAnsiTheme="minorEastAsia" w:eastAsiaTheme="minorEastAsia" w:cstheme="minorEastAsia"/>
          <w:color w:val="auto"/>
          <w:highlight w:val="none"/>
          <w:u w:val="none"/>
        </w:rPr>
        <w:t>.资格审查及组建评审委员会</w:t>
      </w:r>
      <w:bookmarkEnd w:id="137"/>
      <w:bookmarkEnd w:id="138"/>
      <w:bookmarkEnd w:id="139"/>
      <w:bookmarkEnd w:id="140"/>
    </w:p>
    <w:p>
      <w:pPr>
        <w:spacing w:line="400" w:lineRule="exact"/>
        <w:ind w:left="638" w:leftChars="0" w:hanging="638" w:hangingChars="266"/>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19.1 采购人或采购代理机构依据法律法规和磋商文件中规定的内容，对</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的资格进行审查。未通过资格审查的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不进入评审；进入评审的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不足3家的，不得评审。</w:t>
      </w:r>
    </w:p>
    <w:p>
      <w:pPr>
        <w:widowControl/>
        <w:spacing w:line="400" w:lineRule="exact"/>
        <w:ind w:firstLine="480"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参加本次</w:t>
      </w:r>
      <w:r>
        <w:rPr>
          <w:rFonts w:hint="eastAsia" w:asciiTheme="minorEastAsia" w:hAnsiTheme="minorEastAsia" w:eastAsiaTheme="minorEastAsia" w:cstheme="minorEastAsia"/>
          <w:b/>
          <w:bCs/>
          <w:color w:val="auto"/>
          <w:sz w:val="24"/>
          <w:highlight w:val="none"/>
          <w:lang w:eastAsia="zh-CN"/>
        </w:rPr>
        <w:t>磋商</w:t>
      </w:r>
      <w:r>
        <w:rPr>
          <w:rFonts w:hint="eastAsia" w:asciiTheme="minorEastAsia" w:hAnsiTheme="minorEastAsia" w:eastAsiaTheme="minorEastAsia" w:cstheme="minorEastAsia"/>
          <w:b/>
          <w:bCs/>
          <w:color w:val="auto"/>
          <w:sz w:val="24"/>
          <w:highlight w:val="none"/>
        </w:rPr>
        <w:t>的供应商除符合《中华人民共和国政府采购法》第二十二条规定的条件外，还需满足下列要求：</w:t>
      </w:r>
    </w:p>
    <w:p>
      <w:pPr>
        <w:widowControl/>
        <w:spacing w:line="400" w:lineRule="exact"/>
        <w:ind w:firstLine="480"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本项目现场磋商开启</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lang w:val="en-US" w:eastAsia="zh-CN"/>
        </w:rPr>
        <w:t>1-8项</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必须提供原件或可扫描二维码</w:t>
      </w:r>
      <w:r>
        <w:rPr>
          <w:rFonts w:hint="eastAsia" w:asciiTheme="minorEastAsia" w:hAnsiTheme="minorEastAsia" w:eastAsiaTheme="minorEastAsia" w:cstheme="minorEastAsia"/>
          <w:b/>
          <w:bCs/>
          <w:color w:val="auto"/>
          <w:sz w:val="24"/>
          <w:highlight w:val="none"/>
          <w:lang w:val="en-US" w:eastAsia="zh-CN"/>
        </w:rPr>
        <w:t>并加盖公章</w:t>
      </w:r>
      <w:r>
        <w:rPr>
          <w:rFonts w:hint="eastAsia" w:asciiTheme="minorEastAsia" w:hAnsiTheme="minorEastAsia" w:eastAsiaTheme="minorEastAsia" w:cstheme="minorEastAsia"/>
          <w:b/>
          <w:bCs/>
          <w:color w:val="auto"/>
          <w:sz w:val="24"/>
          <w:highlight w:val="none"/>
        </w:rPr>
        <w:t>的复印件</w:t>
      </w:r>
      <w:r>
        <w:rPr>
          <w:rFonts w:hint="eastAsia" w:asciiTheme="minorEastAsia" w:hAnsiTheme="minorEastAsia" w:eastAsiaTheme="minorEastAsia" w:cstheme="minorEastAsia"/>
          <w:b/>
          <w:bCs/>
          <w:color w:val="auto"/>
          <w:sz w:val="24"/>
          <w:highlight w:val="none"/>
          <w:lang w:val="en-US" w:eastAsia="zh-CN"/>
        </w:rPr>
        <w:t>如下</w:t>
      </w:r>
      <w:r>
        <w:rPr>
          <w:rFonts w:hint="eastAsia" w:asciiTheme="minorEastAsia" w:hAnsiTheme="minorEastAsia" w:eastAsiaTheme="minorEastAsia" w:cstheme="minorEastAsia"/>
          <w:b/>
          <w:bCs/>
          <w:color w:val="auto"/>
          <w:sz w:val="24"/>
          <w:highlight w:val="none"/>
        </w:rPr>
        <w:t>：</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（1）具有合格有效的营业执照副本（三证合一）；</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（2）依法缴纳近3个月社会保险的凭据；</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（3）法定代表人授权委托书及被委托人身份证（法定代表人投标提供法定代表人身份证）； </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（4）2020年度的财务审计报告（注册成立未满一年新公司提供银行资信证明）；</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（5）具有依法缴纳2021年近3个月的税收良好记录证明（完税证明）；</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（6）参加政府采购活动前3年内在经营活动中没有重大违法记录的书面声明；</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（7）投标单位（供应商）针对本次项目《反商业贿赂承诺书》书面承诺；</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（8）磋商保证金有效凭证；</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9）供应商在“信用中国”网站、国家企业信用信息公示系统未被列入严重违法失信企业名单、重大税收违法案件当事人名单，在中国政府采购网未被列入政府采购严重违法失信行为记录名单及新疆政府采购网未被列入严重违法失信行为信息记录。（以采购代理机构于开标前1个工作日至投标截止后1小时的期间内查询结果为准）</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（10）本项目不接受联合体投标。</w:t>
      </w:r>
    </w:p>
    <w:p>
      <w:pPr>
        <w:spacing w:line="40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提示：上述资质开标现场能够通过官方网站查证的，均视为有效证件(需供应商自行提供可查询官方网站）。</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采购人或采购代理机构将在磋商开启前1个工作日至</w:t>
      </w:r>
      <w:r>
        <w:rPr>
          <w:rFonts w:hint="eastAsia" w:asciiTheme="minorEastAsia" w:hAnsiTheme="minorEastAsia" w:eastAsiaTheme="minorEastAsia" w:cstheme="minorEastAsia"/>
          <w:color w:val="auto"/>
          <w:sz w:val="24"/>
          <w:highlight w:val="none"/>
          <w:lang w:eastAsia="zh-CN"/>
        </w:rPr>
        <w:t>递交响应文件</w:t>
      </w:r>
      <w:r>
        <w:rPr>
          <w:rFonts w:hint="eastAsia" w:asciiTheme="minorEastAsia" w:hAnsiTheme="minorEastAsia" w:eastAsiaTheme="minorEastAsia" w:cstheme="minorEastAsia"/>
          <w:color w:val="auto"/>
          <w:sz w:val="24"/>
          <w:highlight w:val="none"/>
        </w:rPr>
        <w:t>截止后1小时的期间内查询</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的信用记录。</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存在不良信用记录的，其</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spacing w:line="400" w:lineRule="exact"/>
        <w:ind w:left="857" w:leftChars="2" w:hanging="85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19.2.1  不良信用记录指：</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lang w:val="en-US" w:eastAsia="zh-CN"/>
        </w:rPr>
        <w:t>在“信用中国”网站、国家企业信用信息公示系统被列入严重违法失信企业名单、重大税收违法案件当事人名单，在中国政府采购网被列入政府采购严重违法失信行为记录名单及新疆政府采购网被列入严重违法失信行为信息记录</w:t>
      </w:r>
      <w:r>
        <w:rPr>
          <w:rFonts w:hint="eastAsia" w:asciiTheme="minorEastAsia" w:hAnsiTheme="minorEastAsia" w:eastAsiaTheme="minorEastAsia" w:cstheme="minorEastAsia"/>
          <w:color w:val="auto"/>
          <w:sz w:val="24"/>
          <w:highlight w:val="none"/>
          <w:lang w:eastAsia="zh-CN"/>
        </w:rPr>
        <w:t>，以及存在《中华人民共和国政府采购法实施条例》第十九条规定的行政处罚记录。</w:t>
      </w:r>
    </w:p>
    <w:p>
      <w:pPr>
        <w:spacing w:line="400" w:lineRule="exact"/>
        <w:ind w:left="850" w:leftChars="40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以联合体形式参加</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的，联合体任何成员存在以上不良信用记录的，联合体</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pStyle w:val="10"/>
        <w:spacing w:line="400" w:lineRule="exact"/>
        <w:ind w:left="850" w:hanging="849" w:hangingChars="35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19.2.2 查询及记录方式：采购人或采购代理机构经办人将查询网页打印、签字并存档备查。</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不良信用记录以采购人或采购代理机构查询结果为准。</w:t>
      </w:r>
    </w:p>
    <w:p>
      <w:pPr>
        <w:pStyle w:val="10"/>
        <w:spacing w:line="400" w:lineRule="exact"/>
        <w:ind w:left="850" w:leftChars="405" w:firstLine="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在本磋商文件规定的查询时间之后，网站信息发生的任何变更均不再作为评审依据。</w:t>
      </w:r>
    </w:p>
    <w:p>
      <w:pPr>
        <w:pStyle w:val="10"/>
        <w:spacing w:line="400" w:lineRule="exact"/>
        <w:ind w:left="850" w:leftChars="405" w:firstLine="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自行提供的与网站信息不一致的其他证明材料亦不作为资格审查的依据。</w:t>
      </w:r>
    </w:p>
    <w:p>
      <w:pPr>
        <w:spacing w:line="400" w:lineRule="exac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   按照《中华人民共和国政府采购法》、《中华人民共和国政府采购法实施条例》及本项目本级和上级财政部门的有关规定依法组建的评审委员会，负责本项目评审工作。</w:t>
      </w:r>
      <w:bookmarkStart w:id="141" w:name="_Toc520356166"/>
    </w:p>
    <w:p>
      <w:pPr>
        <w:spacing w:line="400" w:lineRule="exact"/>
        <w:ind w:left="957" w:leftChars="456" w:firstLine="117" w:firstLineChars="49"/>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rPr>
        <w:t>本项目磋商小组</w:t>
      </w:r>
      <w:r>
        <w:rPr>
          <w:rFonts w:hint="eastAsia" w:asciiTheme="minorEastAsia" w:hAnsiTheme="minorEastAsia" w:eastAsiaTheme="minorEastAsia" w:cstheme="minorEastAsia"/>
          <w:b/>
          <w:bCs/>
          <w:color w:val="auto"/>
          <w:sz w:val="24"/>
          <w:highlight w:val="none"/>
          <w:u w:val="single"/>
          <w:lang w:eastAsia="zh-CN"/>
        </w:rPr>
        <w:t>由</w:t>
      </w:r>
      <w:r>
        <w:rPr>
          <w:rFonts w:hint="eastAsia" w:asciiTheme="minorEastAsia" w:hAnsiTheme="minorEastAsia" w:eastAsiaTheme="minorEastAsia" w:cstheme="minorEastAsia"/>
          <w:b/>
          <w:bCs/>
          <w:color w:val="auto"/>
          <w:sz w:val="24"/>
          <w:highlight w:val="none"/>
          <w:u w:val="single"/>
          <w:lang w:val="en-US" w:eastAsia="zh-CN"/>
        </w:rPr>
        <w:t>3</w:t>
      </w:r>
      <w:r>
        <w:rPr>
          <w:rFonts w:hint="eastAsia" w:asciiTheme="minorEastAsia" w:hAnsiTheme="minorEastAsia" w:eastAsiaTheme="minorEastAsia" w:cstheme="minorEastAsia"/>
          <w:b/>
          <w:bCs/>
          <w:color w:val="auto"/>
          <w:sz w:val="24"/>
          <w:highlight w:val="none"/>
          <w:u w:val="single"/>
          <w:lang w:eastAsia="zh-CN"/>
        </w:rPr>
        <w:t>人单数组成。</w:t>
      </w:r>
      <w:r>
        <w:rPr>
          <w:rFonts w:hint="eastAsia" w:asciiTheme="minorEastAsia" w:hAnsiTheme="minorEastAsia" w:eastAsiaTheme="minorEastAsia" w:cstheme="minorEastAsia"/>
          <w:b/>
          <w:bCs/>
          <w:color w:val="auto"/>
          <w:sz w:val="24"/>
          <w:highlight w:val="none"/>
          <w:u w:val="single"/>
          <w:lang w:val="en-US" w:eastAsia="zh-CN"/>
        </w:rPr>
        <w:t>其中：招标人代表0人，评标专家3人，均由政采云专家库抽取确定</w:t>
      </w:r>
      <w:r>
        <w:rPr>
          <w:rFonts w:hint="eastAsia" w:asciiTheme="minorEastAsia" w:hAnsiTheme="minorEastAsia" w:eastAsiaTheme="minorEastAsia" w:cstheme="minorEastAsia"/>
          <w:b/>
          <w:bCs/>
          <w:color w:val="auto"/>
          <w:sz w:val="24"/>
          <w:highlight w:val="none"/>
          <w:u w:val="single"/>
          <w:lang w:eastAsia="zh-CN"/>
        </w:rPr>
        <w:t>。</w:t>
      </w:r>
    </w:p>
    <w:p>
      <w:pPr>
        <w:pStyle w:val="6"/>
        <w:spacing w:before="0" w:after="0" w:line="400" w:lineRule="exact"/>
        <w:rPr>
          <w:rFonts w:hint="eastAsia" w:asciiTheme="minorEastAsia" w:hAnsiTheme="minorEastAsia" w:eastAsiaTheme="minorEastAsia" w:cstheme="minorEastAsia"/>
          <w:b w:val="0"/>
          <w:bCs/>
          <w:color w:val="auto"/>
          <w:highlight w:val="none"/>
          <w:bdr w:val="single" w:color="auto" w:sz="4" w:space="0"/>
        </w:rPr>
      </w:pPr>
      <w:bookmarkStart w:id="142" w:name="_Toc31689_WPSOffice_Level2"/>
      <w:bookmarkStart w:id="143" w:name="_Toc6842"/>
      <w:bookmarkStart w:id="144" w:name="_Toc17843_WPSOffice_Level2"/>
      <w:bookmarkStart w:id="145" w:name="_Toc518923085"/>
      <w:r>
        <w:rPr>
          <w:rFonts w:hint="eastAsia" w:asciiTheme="minorEastAsia" w:hAnsiTheme="minorEastAsia" w:eastAsiaTheme="minorEastAsia" w:cstheme="minorEastAsia"/>
          <w:color w:val="auto"/>
          <w:highlight w:val="none"/>
          <w:u w:val="none"/>
        </w:rPr>
        <w:t>20.响应文件的</w:t>
      </w:r>
      <w:bookmarkEnd w:id="141"/>
      <w:r>
        <w:rPr>
          <w:rFonts w:hint="eastAsia" w:asciiTheme="minorEastAsia" w:hAnsiTheme="minorEastAsia" w:eastAsiaTheme="minorEastAsia" w:cstheme="minorEastAsia"/>
          <w:color w:val="auto"/>
          <w:highlight w:val="none"/>
          <w:u w:val="none"/>
        </w:rPr>
        <w:t>符合性审查与澄清</w:t>
      </w:r>
      <w:bookmarkEnd w:id="142"/>
      <w:bookmarkEnd w:id="143"/>
      <w:bookmarkEnd w:id="144"/>
      <w:bookmarkEnd w:id="145"/>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响应文件的澄清</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20.2.1  在评审期间，评审委员会将以书面方式要求</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对其响应文件中含义不明确、对同类问题表述不一致或者有明显文字和计算错误的内容，以及评审委员会认为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的报价明显低于其他通过符合性检查</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的报价，有可能影响履约的情况作必要的澄清、说明或补正。</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澄清、说明或补正。应在评审委员会规定的时间内以书面方式进行，并不得超出响应文件范围或者改变响应文件的实质性内容。</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20.2.2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的澄清、说明或补正将作为响应文件的一部分。</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   响应文件报价出现前后不一致的，按照下列规定修正：</w:t>
      </w:r>
    </w:p>
    <w:p>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（一）响应文件中</w:t>
      </w:r>
      <w:r>
        <w:rPr>
          <w:rFonts w:hint="eastAsia" w:asciiTheme="minorEastAsia" w:hAnsiTheme="minorEastAsia" w:eastAsiaTheme="minorEastAsia" w:cstheme="minorEastAsia"/>
          <w:color w:val="auto"/>
          <w:sz w:val="24"/>
          <w:highlight w:val="none"/>
          <w:lang w:eastAsia="zh-CN"/>
        </w:rPr>
        <w:t>报价一览表</w:t>
      </w:r>
      <w:r>
        <w:rPr>
          <w:rFonts w:hint="eastAsia" w:asciiTheme="minorEastAsia" w:hAnsiTheme="minorEastAsia" w:eastAsiaTheme="minorEastAsia" w:cstheme="minorEastAsia"/>
          <w:color w:val="auto"/>
          <w:sz w:val="24"/>
          <w:highlight w:val="none"/>
        </w:rPr>
        <w:t>（报价表）内容与响应文件中相应内容不一致的，以</w:t>
      </w:r>
      <w:r>
        <w:rPr>
          <w:rFonts w:hint="eastAsia" w:asciiTheme="minorEastAsia" w:hAnsiTheme="minorEastAsia" w:eastAsiaTheme="minorEastAsia" w:cstheme="minorEastAsia"/>
          <w:color w:val="auto"/>
          <w:sz w:val="24"/>
          <w:highlight w:val="none"/>
          <w:lang w:eastAsia="zh-CN"/>
        </w:rPr>
        <w:t>报价一览表</w:t>
      </w:r>
      <w:r>
        <w:rPr>
          <w:rFonts w:hint="eastAsia" w:asciiTheme="minorEastAsia" w:hAnsiTheme="minorEastAsia" w:eastAsiaTheme="minorEastAsia" w:cstheme="minorEastAsia"/>
          <w:color w:val="auto"/>
          <w:sz w:val="24"/>
          <w:highlight w:val="none"/>
        </w:rPr>
        <w:t>（报价表）为准；</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（二）大写金额和小写金额不一致的，以大写金额为准；</w:t>
      </w:r>
    </w:p>
    <w:p>
      <w:pPr>
        <w:spacing w:line="400" w:lineRule="exact"/>
        <w:ind w:left="1020" w:hanging="1020" w:hangingChars="4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（三）单价金额小数点或者百分比有明显错位的，以</w:t>
      </w:r>
      <w:r>
        <w:rPr>
          <w:rFonts w:hint="eastAsia" w:asciiTheme="minorEastAsia" w:hAnsiTheme="minorEastAsia" w:eastAsiaTheme="minorEastAsia" w:cstheme="minorEastAsia"/>
          <w:color w:val="auto"/>
          <w:sz w:val="24"/>
          <w:highlight w:val="none"/>
          <w:lang w:eastAsia="zh-CN"/>
        </w:rPr>
        <w:t>报价一览表</w:t>
      </w:r>
      <w:r>
        <w:rPr>
          <w:rFonts w:hint="eastAsia" w:asciiTheme="minorEastAsia" w:hAnsiTheme="minorEastAsia" w:eastAsiaTheme="minorEastAsia" w:cstheme="minorEastAsia"/>
          <w:color w:val="auto"/>
          <w:sz w:val="24"/>
          <w:highlight w:val="none"/>
        </w:rPr>
        <w:t>的总价为准，并修改单价；</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（四）总价金额与按单价汇总金额不一致的，以单价金额计算结果为准。</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同时出现两种以上不一致的，按照前款规定的顺序修正。修正后的报价按照第20.2条的规定经</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确认后产生约束力，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不确认的，将被认定为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spacing w:line="400" w:lineRule="exact"/>
        <w:ind w:left="735" w:leftChars="350"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对不同文字文本响应文件的解释发生异议的，以中文文本为准。</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20.4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为提供服务所伴随</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的产品如被列入财政部与国家主管部门颁发的节能产品目录或环境标志产品目录或无线局域网产品目录，应提供相关证明，在评审时予以优先采购，具体优先采购办法见第6章评审方法和标准。</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148" w:name="_Toc8603"/>
      <w:bookmarkStart w:id="149" w:name="_Toc26452_WPSOffice_Level2"/>
      <w:bookmarkStart w:id="150" w:name="_Toc518923086"/>
      <w:bookmarkStart w:id="151" w:name="_Toc6346_WPSOffice_Level2"/>
      <w:r>
        <w:rPr>
          <w:rFonts w:hint="eastAsia" w:asciiTheme="minorEastAsia" w:hAnsiTheme="minorEastAsia" w:eastAsiaTheme="minorEastAsia" w:cstheme="minorEastAsia"/>
          <w:color w:val="auto"/>
          <w:highlight w:val="none"/>
          <w:u w:val="none"/>
        </w:rPr>
        <w:t>21.响应偏离</w:t>
      </w:r>
      <w:bookmarkEnd w:id="148"/>
      <w:bookmarkEnd w:id="149"/>
      <w:bookmarkEnd w:id="150"/>
      <w:bookmarkEnd w:id="151"/>
    </w:p>
    <w:p>
      <w:pPr>
        <w:spacing w:line="400" w:lineRule="exact"/>
        <w:ind w:left="847" w:leftChars="99" w:hanging="640" w:hangingChars="26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评审委员会可以接受响应文件中不构成实质性偏离的不正规或不一致</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但技术参数除外，即技术参数均不允许有负偏离现象，否则按无效投标处理</w:t>
      </w:r>
      <w:r>
        <w:rPr>
          <w:rFonts w:hint="eastAsia" w:asciiTheme="minorEastAsia" w:hAnsiTheme="minorEastAsia" w:eastAsiaTheme="minorEastAsia" w:cstheme="minorEastAsia"/>
          <w:color w:val="auto"/>
          <w:sz w:val="24"/>
          <w:highlight w:val="none"/>
        </w:rPr>
        <w:t>。</w:t>
      </w:r>
    </w:p>
    <w:p>
      <w:pPr>
        <w:pStyle w:val="6"/>
        <w:spacing w:before="0" w:after="0" w:line="400" w:lineRule="exact"/>
        <w:rPr>
          <w:rFonts w:hint="eastAsia" w:asciiTheme="minorEastAsia" w:hAnsiTheme="minorEastAsia" w:eastAsiaTheme="minorEastAsia" w:cstheme="minorEastAsia"/>
          <w:color w:val="auto"/>
          <w:highlight w:val="none"/>
          <w:u w:val="none"/>
        </w:rPr>
      </w:pPr>
      <w:bookmarkStart w:id="152" w:name="_Toc25255"/>
      <w:bookmarkStart w:id="153" w:name="_Toc25236_WPSOffice_Level2"/>
      <w:bookmarkStart w:id="154" w:name="_Toc11645_WPSOffice_Level2"/>
      <w:bookmarkStart w:id="155" w:name="_Toc518923087"/>
      <w:r>
        <w:rPr>
          <w:rFonts w:hint="eastAsia" w:asciiTheme="minorEastAsia" w:hAnsiTheme="minorEastAsia" w:eastAsiaTheme="minorEastAsia" w:cstheme="minorEastAsia"/>
          <w:color w:val="auto"/>
          <w:highlight w:val="none"/>
          <w:u w:val="none"/>
        </w:rPr>
        <w:t>22.响应无效</w:t>
      </w:r>
      <w:bookmarkEnd w:id="152"/>
      <w:bookmarkEnd w:id="153"/>
      <w:bookmarkEnd w:id="154"/>
      <w:bookmarkEnd w:id="155"/>
    </w:p>
    <w:p>
      <w:pPr>
        <w:spacing w:line="400" w:lineRule="exact"/>
        <w:ind w:left="852" w:leftChars="-23"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不得通过修正或撤销不符合要求的偏离从而使其</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成为实质上响应。</w:t>
      </w:r>
    </w:p>
    <w:p>
      <w:pPr>
        <w:spacing w:line="400" w:lineRule="exact"/>
        <w:ind w:left="791" w:leftChars="37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磋商小组决定磋商的响应性只根据磋商文件要求、响应文件内容及财政主管部门指定相关信息发布媒体。</w:t>
      </w:r>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如发现下列情况之一的，其磋商将被认定为无效：（</w:t>
      </w:r>
      <w:r>
        <w:rPr>
          <w:rFonts w:hint="eastAsia" w:asciiTheme="minorEastAsia" w:hAnsiTheme="minorEastAsia" w:eastAsiaTheme="minorEastAsia" w:cstheme="minorEastAsia"/>
          <w:b/>
          <w:color w:val="auto"/>
          <w:sz w:val="24"/>
          <w:highlight w:val="none"/>
        </w:rPr>
        <w:t>以下情形应当在磋商文件中规定，并以醒目的方式标明</w:t>
      </w:r>
      <w:r>
        <w:rPr>
          <w:rFonts w:hint="eastAsia" w:asciiTheme="minorEastAsia" w:hAnsiTheme="minorEastAsia" w:eastAsiaTheme="minorEastAsia" w:cstheme="minorEastAsia"/>
          <w:color w:val="auto"/>
          <w:sz w:val="24"/>
          <w:highlight w:val="none"/>
        </w:rPr>
        <w:t>）</w:t>
      </w:r>
    </w:p>
    <w:p>
      <w:pPr>
        <w:numPr>
          <w:ilvl w:val="0"/>
          <w:numId w:val="4"/>
        </w:numPr>
        <w:spacing w:line="400" w:lineRule="exact"/>
        <w:ind w:left="1080"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未按磋商文件规定的形式和金额提交磋商保证金的；</w:t>
      </w:r>
    </w:p>
    <w:p>
      <w:pPr>
        <w:numPr>
          <w:ilvl w:val="0"/>
          <w:numId w:val="4"/>
        </w:numPr>
        <w:spacing w:line="400" w:lineRule="exact"/>
        <w:ind w:left="1080"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未按照磋商文件规定要求签署、盖章的；</w:t>
      </w:r>
    </w:p>
    <w:p>
      <w:pPr>
        <w:numPr>
          <w:ilvl w:val="0"/>
          <w:numId w:val="4"/>
        </w:numPr>
        <w:spacing w:line="400" w:lineRule="exact"/>
        <w:ind w:left="1080"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未满足磋商文件中技术条款的实质性要求；</w:t>
      </w:r>
    </w:p>
    <w:p>
      <w:pPr>
        <w:numPr>
          <w:ilvl w:val="0"/>
          <w:numId w:val="4"/>
        </w:numPr>
        <w:spacing w:line="400" w:lineRule="exact"/>
        <w:ind w:left="1080"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与其他</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串通参加磋商，或者与采购人串通参加磋商；</w:t>
      </w:r>
    </w:p>
    <w:p>
      <w:pPr>
        <w:numPr>
          <w:ilvl w:val="0"/>
          <w:numId w:val="4"/>
        </w:numPr>
        <w:spacing w:line="400" w:lineRule="exact"/>
        <w:ind w:left="1080"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属于磋商文件规定的其他</w:t>
      </w:r>
      <w:r>
        <w:rPr>
          <w:rFonts w:hint="eastAsia" w:asciiTheme="minorEastAsia" w:hAnsiTheme="minorEastAsia" w:eastAsiaTheme="minorEastAsia" w:cstheme="minorEastAsia"/>
          <w:b/>
          <w:bCs/>
          <w:color w:val="auto"/>
          <w:sz w:val="24"/>
          <w:highlight w:val="none"/>
          <w:lang w:eastAsia="zh-CN"/>
        </w:rPr>
        <w:t>响应</w:t>
      </w:r>
      <w:r>
        <w:rPr>
          <w:rFonts w:hint="eastAsia" w:asciiTheme="minorEastAsia" w:hAnsiTheme="minorEastAsia" w:eastAsiaTheme="minorEastAsia" w:cstheme="minorEastAsia"/>
          <w:b/>
          <w:bCs/>
          <w:color w:val="auto"/>
          <w:sz w:val="24"/>
          <w:highlight w:val="none"/>
        </w:rPr>
        <w:t>无效情形；</w:t>
      </w:r>
    </w:p>
    <w:p>
      <w:pPr>
        <w:numPr>
          <w:ilvl w:val="0"/>
          <w:numId w:val="4"/>
        </w:numPr>
        <w:spacing w:line="400" w:lineRule="exact"/>
        <w:ind w:left="1080"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评审委员会认为</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的报价明显低于其他通过符合性检查供</w:t>
      </w:r>
    </w:p>
    <w:p>
      <w:pPr>
        <w:spacing w:line="400" w:lineRule="exact"/>
        <w:ind w:left="957" w:leftChars="456"/>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应商的报价，有可能影响履约的，且</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未按照规定证明其报价合理性的；</w:t>
      </w:r>
    </w:p>
    <w:p>
      <w:pPr>
        <w:numPr>
          <w:ilvl w:val="0"/>
          <w:numId w:val="4"/>
        </w:numPr>
        <w:spacing w:line="400" w:lineRule="exact"/>
        <w:ind w:left="1080" w:leftChars="429" w:hanging="18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响应文件含有采购人不能接受的附加条件的；</w:t>
      </w:r>
    </w:p>
    <w:p>
      <w:pPr>
        <w:numPr>
          <w:ilvl w:val="0"/>
          <w:numId w:val="4"/>
        </w:numPr>
        <w:spacing w:line="400" w:lineRule="exact"/>
        <w:ind w:left="1080" w:leftChars="429" w:hanging="1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不符合法规和磋商文件中规定的其他实质性要求的。</w:t>
      </w:r>
    </w:p>
    <w:p>
      <w:pPr>
        <w:spacing w:line="400" w:lineRule="exact"/>
        <w:outlineLvl w:val="2"/>
        <w:rPr>
          <w:rFonts w:hint="eastAsia" w:asciiTheme="minorEastAsia" w:hAnsiTheme="minorEastAsia" w:eastAsiaTheme="minorEastAsia" w:cstheme="minorEastAsia"/>
          <w:b/>
          <w:bCs/>
          <w:color w:val="auto"/>
          <w:sz w:val="24"/>
          <w:highlight w:val="none"/>
        </w:rPr>
      </w:pPr>
      <w:bookmarkStart w:id="156" w:name="_Toc14330_WPSOffice_Level2"/>
      <w:bookmarkStart w:id="157" w:name="_Toc22743_WPSOffice_Level2"/>
      <w:bookmarkStart w:id="158" w:name="_Toc20835"/>
      <w:bookmarkStart w:id="159" w:name="_Toc518923088"/>
      <w:r>
        <w:rPr>
          <w:rFonts w:hint="eastAsia" w:asciiTheme="minorEastAsia" w:hAnsiTheme="minorEastAsia" w:eastAsiaTheme="minorEastAsia" w:cstheme="minorEastAsia"/>
          <w:b/>
          <w:bCs/>
          <w:color w:val="auto"/>
          <w:sz w:val="24"/>
          <w:highlight w:val="none"/>
        </w:rPr>
        <w:t>23</w:t>
      </w:r>
      <w:bookmarkEnd w:id="147"/>
      <w:r>
        <w:rPr>
          <w:rFonts w:hint="eastAsia" w:asciiTheme="minorEastAsia" w:hAnsiTheme="minorEastAsia" w:eastAsiaTheme="minorEastAsia" w:cstheme="minorEastAsia"/>
          <w:b/>
          <w:bCs/>
          <w:color w:val="auto"/>
          <w:sz w:val="24"/>
          <w:highlight w:val="none"/>
        </w:rPr>
        <w:t>.比较与评价</w:t>
      </w:r>
      <w:bookmarkEnd w:id="156"/>
      <w:bookmarkEnd w:id="157"/>
      <w:bookmarkEnd w:id="158"/>
      <w:bookmarkEnd w:id="159"/>
    </w:p>
    <w:p>
      <w:pPr>
        <w:spacing w:line="4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经符合性审查合格的响应文件，评审委员会将根据磋商文件确定的评审方法和标准，对其技术部分和商务部分作进一步的比较和评价。</w:t>
      </w:r>
    </w:p>
    <w:p>
      <w:pPr>
        <w:pStyle w:val="24"/>
        <w:ind w:left="718" w:leftChars="342" w:firstLine="240" w:firstLineChars="100"/>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rPr>
        <w:t>竞争性磋商共有两次报价，二次报价为最终报价，磋商小组所有成员集中与单一</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分别进行磋商，并给予所有参加磋商的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平等的磋商机会， 磋商小组要求所有实质性响应的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在规定时间内提交最后报价，最后报价是</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响应文件的有效组成部分，经磋商确定最终采购需求和提交最后报价的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后，由磋商小组采用综合评分法对提交最后报价的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的响应文件和最后报价进行综合评分。磋商小组各成员应当独立对每个有效响应的文件进行评价、打分，汇总每个</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每项评分因素的得分。磋商小组应当从质量和服务均能满足采购文件实质性响应要求的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中，按照综合评分由高到低的顺序</w:t>
      </w:r>
      <w:r>
        <w:rPr>
          <w:rFonts w:hint="eastAsia" w:asciiTheme="minorEastAsia" w:hAnsiTheme="minorEastAsia" w:eastAsiaTheme="minorEastAsia" w:cstheme="minorEastAsia"/>
          <w:b/>
          <w:bCs/>
          <w:color w:val="auto"/>
          <w:sz w:val="24"/>
          <w:highlight w:val="none"/>
          <w:u w:val="single"/>
          <w:lang w:val="en-US" w:eastAsia="zh-CN"/>
        </w:rPr>
        <w:t>推荐</w:t>
      </w:r>
      <w:r>
        <w:rPr>
          <w:rFonts w:hint="eastAsia" w:asciiTheme="minorEastAsia" w:hAnsiTheme="minorEastAsia" w:eastAsiaTheme="minorEastAsia" w:cstheme="minorEastAsia"/>
          <w:b/>
          <w:bCs/>
          <w:color w:val="auto"/>
          <w:sz w:val="24"/>
          <w:highlight w:val="none"/>
          <w:u w:val="single"/>
        </w:rPr>
        <w:t>成交候选人，并编写评审报告，将结果通知所有参加磋商的未成交的</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b/>
          <w:bCs/>
          <w:color w:val="auto"/>
          <w:sz w:val="24"/>
          <w:highlight w:val="none"/>
          <w:u w:val="single"/>
        </w:rPr>
        <w:t>；</w:t>
      </w:r>
    </w:p>
    <w:p>
      <w:pPr>
        <w:spacing w:line="400" w:lineRule="exact"/>
        <w:ind w:left="900" w:hanging="900" w:hangingChars="37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23.2  </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评审严格按照磋商文件的要求和条件进行。根据实际情况，在</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中规定采用下列一种评审方法，详细评审标准见磋商文件第六章</w:t>
      </w:r>
      <w:r>
        <w:rPr>
          <w:rFonts w:hint="eastAsia" w:asciiTheme="minorEastAsia" w:hAnsiTheme="minorEastAsia" w:eastAsiaTheme="minorEastAsia" w:cstheme="minorEastAsia"/>
          <w:color w:val="auto"/>
          <w:sz w:val="24"/>
          <w:highlight w:val="none"/>
          <w:lang w:eastAsia="zh-CN"/>
        </w:rPr>
        <w:t>。</w:t>
      </w:r>
    </w:p>
    <w:p>
      <w:pPr>
        <w:pStyle w:val="15"/>
        <w:spacing w:line="400" w:lineRule="exact"/>
        <w:ind w:left="957" w:leftChars="456" w:firstLine="33" w:firstLineChars="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综合评分法，是指响应文件满足磋商文件全部实质性要求，且按照评审因素的量化指标评审得分最高的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为成交候选人的评审方法。</w:t>
      </w:r>
    </w:p>
    <w:p>
      <w:pPr>
        <w:pStyle w:val="15"/>
        <w:spacing w:line="400" w:lineRule="exact"/>
        <w:ind w:left="957" w:leftChars="456" w:firstLine="33" w:firstLineChars="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本项目采用采购方式：竞争性磋商，评分方法：综合评分法</w:t>
      </w:r>
    </w:p>
    <w:p>
      <w:pPr>
        <w:spacing w:line="400" w:lineRule="exact"/>
        <w:ind w:left="958" w:leftChars="342" w:hanging="240" w:hangingChars="1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1、价格因素：</w:t>
      </w:r>
      <w:r>
        <w:rPr>
          <w:rFonts w:hint="eastAsia" w:asciiTheme="minorEastAsia" w:hAnsiTheme="minorEastAsia" w:eastAsiaTheme="minorEastAsia" w:cstheme="minorEastAsia"/>
          <w:color w:val="auto"/>
          <w:sz w:val="24"/>
          <w:highlight w:val="none"/>
          <w:lang w:val="en-US" w:eastAsia="zh-CN"/>
        </w:rPr>
        <w:t>40</w:t>
      </w:r>
      <w:r>
        <w:rPr>
          <w:rFonts w:hint="eastAsia" w:asciiTheme="minorEastAsia" w:hAnsiTheme="minorEastAsia" w:eastAsiaTheme="minorEastAsia" w:cstheme="minorEastAsia"/>
          <w:color w:val="auto"/>
          <w:sz w:val="24"/>
          <w:highlight w:val="none"/>
        </w:rPr>
        <w:t>分（磋商报价得分=(磋商基准价/最终磋商报价）</w:t>
      </w:r>
      <w:r>
        <w:rPr>
          <w:rFonts w:hint="default" w:ascii="Arial" w:hAnsi="Arial" w:cs="Arial" w:eastAsiaTheme="minorEastAsia"/>
          <w:color w:val="auto"/>
          <w:sz w:val="24"/>
          <w:highlight w:val="none"/>
        </w:rPr>
        <w:t>×</w:t>
      </w:r>
      <w:r>
        <w:rPr>
          <w:rFonts w:hint="eastAsia" w:asciiTheme="minorEastAsia" w:hAnsiTheme="minorEastAsia" w:eastAsiaTheme="minorEastAsia" w:cstheme="minorEastAsia"/>
          <w:color w:val="auto"/>
          <w:sz w:val="24"/>
          <w:highlight w:val="none"/>
        </w:rPr>
        <w:t>价格权值</w:t>
      </w:r>
      <w:r>
        <w:rPr>
          <w:rFonts w:hint="default" w:ascii="Arial" w:hAnsi="Arial" w:cs="Arial" w:eastAsiaTheme="minorEastAsia"/>
          <w:color w:val="auto"/>
          <w:sz w:val="24"/>
          <w:highlight w:val="none"/>
        </w:rPr>
        <w:t>×</w:t>
      </w:r>
      <w:r>
        <w:rPr>
          <w:rFonts w:hint="eastAsia" w:asciiTheme="minorEastAsia" w:hAnsiTheme="minorEastAsia" w:eastAsiaTheme="minorEastAsia" w:cstheme="minorEastAsia"/>
          <w:color w:val="auto"/>
          <w:sz w:val="24"/>
          <w:highlight w:val="none"/>
        </w:rPr>
        <w:t>100）</w:t>
      </w:r>
    </w:p>
    <w:p>
      <w:pPr>
        <w:pStyle w:val="15"/>
        <w:spacing w:line="4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2、商务及技术因素：</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分</w:t>
      </w:r>
    </w:p>
    <w:p>
      <w:pPr>
        <w:pStyle w:val="15"/>
        <w:spacing w:line="400" w:lineRule="exact"/>
        <w:ind w:left="900" w:hanging="900" w:hangingChars="3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23.3  根据</w:t>
      </w:r>
      <w:r>
        <w:rPr>
          <w:rFonts w:hint="eastAsia" w:asciiTheme="minorEastAsia" w:hAnsiTheme="minorEastAsia" w:eastAsiaTheme="minorEastAsia" w:cstheme="minorEastAsia"/>
          <w:color w:val="auto"/>
          <w:sz w:val="24"/>
          <w:szCs w:val="24"/>
          <w:highlight w:val="none"/>
          <w:lang w:eastAsia="zh-CN"/>
        </w:rPr>
        <w:t>《政府采购促进中小企业发展管理办法》（财库〔2020〕46号）</w:t>
      </w:r>
      <w:r>
        <w:rPr>
          <w:rFonts w:hint="eastAsia" w:asciiTheme="minorEastAsia" w:hAnsiTheme="minorEastAsia" w:eastAsiaTheme="minorEastAsia" w:cstheme="minorEastAsia"/>
          <w:color w:val="auto"/>
          <w:sz w:val="24"/>
          <w:szCs w:val="24"/>
          <w:highlight w:val="none"/>
        </w:rPr>
        <w:t>、《财政部司法部关于政府采购支持监狱企业发展有关问题的通知》（财库〔2014〕68号）和《三部门联合发布关于促进残疾人就业政府采购政策的通知》（</w:t>
      </w:r>
      <w:bookmarkStart w:id="160" w:name="sendNo"/>
      <w:r>
        <w:rPr>
          <w:rFonts w:hint="eastAsia" w:asciiTheme="minorEastAsia" w:hAnsiTheme="minorEastAsia" w:eastAsiaTheme="minorEastAsia" w:cstheme="minorEastAsia"/>
          <w:color w:val="auto"/>
          <w:sz w:val="24"/>
          <w:szCs w:val="24"/>
          <w:highlight w:val="none"/>
        </w:rPr>
        <w:t>财库〔</w:t>
      </w:r>
      <w:bookmarkEnd w:id="160"/>
      <w:r>
        <w:rPr>
          <w:rFonts w:hint="eastAsia" w:asciiTheme="minorEastAsia" w:hAnsiTheme="minorEastAsia" w:eastAsiaTheme="minorEastAsia" w:cstheme="minorEastAsia"/>
          <w:color w:val="auto"/>
          <w:sz w:val="24"/>
          <w:szCs w:val="24"/>
          <w:highlight w:val="none"/>
        </w:rPr>
        <w:t>2017〕141号）的规定，对满足价格扣除条件且在响应文件中提交了《</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企业类型声明函》或省级以上监狱管理局、戒毒管理局（含新疆生产建设兵团）出具的属于监狱企业的证明文件的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，其磋商报价扣除6-10%后参与评审。具体办法详见磋商文件第6章。</w:t>
      </w:r>
    </w:p>
    <w:p>
      <w:pPr>
        <w:pStyle w:val="6"/>
        <w:spacing w:before="0" w:after="0" w:line="300" w:lineRule="exact"/>
        <w:rPr>
          <w:rFonts w:hint="eastAsia" w:asciiTheme="minorEastAsia" w:hAnsiTheme="minorEastAsia" w:eastAsiaTheme="minorEastAsia" w:cstheme="minorEastAsia"/>
          <w:color w:val="auto"/>
          <w:kern w:val="2"/>
          <w:szCs w:val="24"/>
          <w:highlight w:val="none"/>
          <w:u w:val="none"/>
        </w:rPr>
      </w:pPr>
      <w:bookmarkStart w:id="161" w:name="_Toc520356168"/>
      <w:bookmarkStart w:id="162" w:name="_Toc518923089"/>
      <w:bookmarkStart w:id="163" w:name="_Toc21686_WPSOffice_Level2"/>
      <w:bookmarkStart w:id="164" w:name="_Toc27560_WPSOffice_Level2"/>
      <w:bookmarkStart w:id="165" w:name="_Toc5823"/>
      <w:r>
        <w:rPr>
          <w:rFonts w:hint="eastAsia" w:asciiTheme="minorEastAsia" w:hAnsiTheme="minorEastAsia" w:eastAsiaTheme="minorEastAsia" w:cstheme="minorEastAsia"/>
          <w:color w:val="auto"/>
          <w:kern w:val="2"/>
          <w:szCs w:val="24"/>
          <w:highlight w:val="none"/>
          <w:u w:val="none"/>
        </w:rPr>
        <w:t>24</w:t>
      </w:r>
      <w:bookmarkEnd w:id="161"/>
      <w:r>
        <w:rPr>
          <w:rFonts w:hint="eastAsia" w:asciiTheme="minorEastAsia" w:hAnsiTheme="minorEastAsia" w:eastAsiaTheme="minorEastAsia" w:cstheme="minorEastAsia"/>
          <w:color w:val="auto"/>
          <w:kern w:val="2"/>
          <w:szCs w:val="24"/>
          <w:highlight w:val="none"/>
          <w:u w:val="none"/>
        </w:rPr>
        <w:t>.废标</w:t>
      </w:r>
      <w:bookmarkEnd w:id="162"/>
      <w:bookmarkEnd w:id="163"/>
      <w:bookmarkEnd w:id="164"/>
      <w:bookmarkEnd w:id="165"/>
    </w:p>
    <w:p>
      <w:pPr>
        <w:spacing w:line="300" w:lineRule="exact"/>
        <w:ind w:left="897" w:leftChars="399" w:hanging="60" w:hangingChars="2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出现下列情形之一，将导致项目废标： </w:t>
      </w:r>
    </w:p>
    <w:p>
      <w:pPr>
        <w:spacing w:line="300" w:lineRule="exact"/>
        <w:ind w:left="900" w:hanging="900" w:hangingChars="37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ab/>
      </w:r>
      <w:r>
        <w:rPr>
          <w:rFonts w:hint="eastAsia" w:asciiTheme="minorEastAsia" w:hAnsiTheme="minorEastAsia" w:eastAsiaTheme="minorEastAsia" w:cstheme="minorEastAsia"/>
          <w:b/>
          <w:bCs/>
          <w:color w:val="auto"/>
          <w:sz w:val="24"/>
          <w:highlight w:val="none"/>
        </w:rPr>
        <w:t>（1）符合专业条件的</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或者对磋商文件做实质性响应的</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不足三家；</w:t>
      </w:r>
    </w:p>
    <w:p>
      <w:pPr>
        <w:spacing w:line="300" w:lineRule="exact"/>
        <w:ind w:left="900" w:hanging="900" w:hangingChars="375"/>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ab/>
      </w:r>
      <w:r>
        <w:rPr>
          <w:rFonts w:hint="eastAsia" w:asciiTheme="minorEastAsia" w:hAnsiTheme="minorEastAsia" w:eastAsiaTheme="minorEastAsia" w:cstheme="minorEastAsia"/>
          <w:b/>
          <w:bCs/>
          <w:color w:val="auto"/>
          <w:sz w:val="24"/>
          <w:highlight w:val="none"/>
        </w:rPr>
        <w:t>（2）出现影响采购公正的违法、违规行为的；</w:t>
      </w:r>
    </w:p>
    <w:p>
      <w:pPr>
        <w:spacing w:line="300" w:lineRule="exact"/>
        <w:ind w:firstLine="840" w:firstLineChars="3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eastAsiaTheme="minorEastAsia" w:cstheme="minorEastAsia"/>
          <w:b/>
          <w:bCs/>
          <w:color w:val="auto"/>
          <w:sz w:val="24"/>
          <w:highlight w:val="none"/>
          <w:lang w:eastAsia="zh-CN"/>
        </w:rPr>
        <w:t>供应商</w:t>
      </w:r>
      <w:r>
        <w:rPr>
          <w:rFonts w:hint="eastAsia" w:asciiTheme="minorEastAsia" w:hAnsiTheme="minorEastAsia" w:eastAsiaTheme="minorEastAsia" w:cstheme="minorEastAsia"/>
          <w:b/>
          <w:bCs/>
          <w:color w:val="auto"/>
          <w:sz w:val="24"/>
          <w:highlight w:val="none"/>
        </w:rPr>
        <w:t>的报价均超过了采购预算，采购人不能支付的；</w:t>
      </w:r>
    </w:p>
    <w:p>
      <w:pPr>
        <w:spacing w:line="300" w:lineRule="exact"/>
        <w:ind w:firstLine="840" w:firstLineChars="3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 xml:space="preserve">（4）因重大变故，采购任务取消的。  </w:t>
      </w:r>
      <w:r>
        <w:rPr>
          <w:rFonts w:hint="eastAsia" w:asciiTheme="minorEastAsia" w:hAnsiTheme="minorEastAsia" w:eastAsiaTheme="minorEastAsia" w:cstheme="minorEastAsia"/>
          <w:color w:val="auto"/>
          <w:sz w:val="24"/>
          <w:highlight w:val="none"/>
        </w:rPr>
        <w:t xml:space="preserve"> </w:t>
      </w:r>
    </w:p>
    <w:p>
      <w:pPr>
        <w:pStyle w:val="6"/>
        <w:spacing w:before="0" w:after="0" w:line="300" w:lineRule="exact"/>
        <w:rPr>
          <w:rFonts w:hint="eastAsia" w:asciiTheme="minorEastAsia" w:hAnsiTheme="minorEastAsia" w:eastAsiaTheme="minorEastAsia" w:cstheme="minorEastAsia"/>
          <w:color w:val="auto"/>
          <w:highlight w:val="none"/>
          <w:u w:val="none"/>
        </w:rPr>
      </w:pPr>
      <w:bookmarkStart w:id="166" w:name="_Toc4205_WPSOffice_Level2"/>
      <w:bookmarkStart w:id="167" w:name="_Toc518923090"/>
      <w:bookmarkStart w:id="168" w:name="_Toc16649_WPSOffice_Level2"/>
      <w:bookmarkStart w:id="169" w:name="_Toc23660"/>
      <w:bookmarkStart w:id="170" w:name="_Toc520356169"/>
      <w:r>
        <w:rPr>
          <w:rFonts w:hint="eastAsia" w:asciiTheme="minorEastAsia" w:hAnsiTheme="minorEastAsia" w:eastAsiaTheme="minorEastAsia" w:cstheme="minorEastAsia"/>
          <w:color w:val="auto"/>
          <w:highlight w:val="none"/>
          <w:u w:val="none"/>
        </w:rPr>
        <w:t>25.保密原则</w:t>
      </w:r>
      <w:bookmarkEnd w:id="166"/>
      <w:bookmarkEnd w:id="167"/>
      <w:bookmarkEnd w:id="168"/>
      <w:bookmarkEnd w:id="169"/>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评审将在严格保密的情况下进行。</w:t>
      </w:r>
    </w:p>
    <w:p>
      <w:pPr>
        <w:spacing w:line="300" w:lineRule="exact"/>
        <w:ind w:left="900" w:hanging="900" w:hangingChars="3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25.2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政府采购评审专家应当遵守评审工作纪律，不得泄露评审文件、评审情况和评审中获悉的商业秘密。</w:t>
      </w:r>
      <w:bookmarkStart w:id="171" w:name="_Toc216582810"/>
      <w:bookmarkStart w:id="172" w:name="_Toc10964"/>
      <w:bookmarkStart w:id="173" w:name="_Toc518923091"/>
      <w:bookmarkStart w:id="174" w:name="_Toc15697"/>
      <w:bookmarkStart w:id="175" w:name="_Toc4193_WPSOffice_Level1"/>
    </w:p>
    <w:p>
      <w:pPr>
        <w:pStyle w:val="24"/>
        <w:rPr>
          <w:rFonts w:hint="eastAsia" w:asciiTheme="minorEastAsia" w:hAnsiTheme="minorEastAsia" w:eastAsiaTheme="minorEastAsia" w:cstheme="minorEastAsia"/>
          <w:color w:val="auto"/>
          <w:highlight w:val="none"/>
        </w:rPr>
      </w:pPr>
    </w:p>
    <w:p>
      <w:pPr>
        <w:pStyle w:val="5"/>
        <w:spacing w:before="0" w:line="30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六   </w:t>
      </w:r>
      <w:bookmarkEnd w:id="170"/>
      <w:r>
        <w:rPr>
          <w:rFonts w:hint="eastAsia" w:asciiTheme="minorEastAsia" w:hAnsiTheme="minorEastAsia" w:eastAsiaTheme="minorEastAsia" w:cstheme="minorEastAsia"/>
          <w:color w:val="auto"/>
          <w:sz w:val="24"/>
          <w:highlight w:val="none"/>
        </w:rPr>
        <w:t>确定</w:t>
      </w:r>
      <w:bookmarkEnd w:id="171"/>
      <w:bookmarkEnd w:id="172"/>
      <w:bookmarkEnd w:id="173"/>
      <w:r>
        <w:rPr>
          <w:rFonts w:hint="eastAsia" w:asciiTheme="minorEastAsia" w:hAnsiTheme="minorEastAsia" w:eastAsiaTheme="minorEastAsia" w:cstheme="minorEastAsia"/>
          <w:color w:val="auto"/>
          <w:sz w:val="24"/>
          <w:highlight w:val="none"/>
        </w:rPr>
        <w:t>成交</w:t>
      </w:r>
      <w:bookmarkEnd w:id="174"/>
      <w:bookmarkEnd w:id="175"/>
    </w:p>
    <w:p>
      <w:pPr>
        <w:pStyle w:val="10"/>
        <w:spacing w:line="300" w:lineRule="exact"/>
        <w:rPr>
          <w:rFonts w:hint="eastAsia" w:asciiTheme="minorEastAsia" w:hAnsiTheme="minorEastAsia" w:eastAsiaTheme="minorEastAsia" w:cstheme="minorEastAsia"/>
          <w:color w:val="auto"/>
          <w:highlight w:val="none"/>
        </w:rPr>
      </w:pPr>
    </w:p>
    <w:p>
      <w:pPr>
        <w:pStyle w:val="6"/>
        <w:spacing w:before="0" w:after="0" w:line="300" w:lineRule="exact"/>
        <w:rPr>
          <w:rFonts w:hint="eastAsia" w:asciiTheme="minorEastAsia" w:hAnsiTheme="minorEastAsia" w:eastAsiaTheme="minorEastAsia" w:cstheme="minorEastAsia"/>
          <w:color w:val="auto"/>
          <w:highlight w:val="none"/>
          <w:u w:val="none"/>
        </w:rPr>
      </w:pPr>
      <w:bookmarkStart w:id="176" w:name="_Toc4749_WPSOffice_Level2"/>
      <w:bookmarkStart w:id="177" w:name="_Toc518923092"/>
      <w:bookmarkStart w:id="178" w:name="_Ref467307010"/>
      <w:bookmarkStart w:id="179" w:name="_Toc31921_WPSOffice_Level2"/>
      <w:bookmarkStart w:id="180" w:name="_Toc32578"/>
      <w:bookmarkStart w:id="181" w:name="_Toc520356170"/>
      <w:r>
        <w:rPr>
          <w:rFonts w:hint="eastAsia" w:asciiTheme="minorEastAsia" w:hAnsiTheme="minorEastAsia" w:eastAsiaTheme="minorEastAsia" w:cstheme="minorEastAsia"/>
          <w:color w:val="auto"/>
          <w:highlight w:val="none"/>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除第28条规定外，对实质上响应磋商文件的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按下列方法进行排序，确定成交候选人：</w:t>
      </w:r>
    </w:p>
    <w:p>
      <w:pPr>
        <w:spacing w:line="300" w:lineRule="exact"/>
        <w:ind w:left="901"/>
        <w:rPr>
          <w:rFonts w:hint="eastAsia" w:asciiTheme="minorEastAsia" w:hAnsiTheme="minorEastAsia" w:eastAsiaTheme="minorEastAsia" w:cstheme="minorEastAsia"/>
          <w:b/>
          <w:bCs/>
          <w:color w:val="auto"/>
          <w:sz w:val="24"/>
          <w:highlight w:val="none"/>
          <w:u w:val="single"/>
        </w:rPr>
      </w:pPr>
      <w:r>
        <w:rPr>
          <w:rFonts w:hint="eastAsia" w:asciiTheme="minorEastAsia" w:hAnsiTheme="minorEastAsia" w:eastAsiaTheme="minorEastAsia" w:cstheme="minorEastAsia"/>
          <w:b/>
          <w:bCs/>
          <w:color w:val="auto"/>
          <w:sz w:val="24"/>
          <w:highlight w:val="none"/>
          <w:u w:val="single"/>
        </w:rPr>
        <w:t>采用综合评分法，评审结果按评审后得分由高到低顺序排列。得分相同的，按修正和扣除后的磋商报价由低到高顺序排列。得分与磋商报价均相同的处理方式详见磋商文件第6章。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hint="eastAsia" w:asciiTheme="minorEastAsia" w:hAnsiTheme="minorEastAsia" w:eastAsiaTheme="minorEastAsia" w:cstheme="minorEastAsia"/>
          <w:color w:val="auto"/>
          <w:highlight w:val="none"/>
          <w:u w:val="none"/>
        </w:rPr>
      </w:pPr>
      <w:bookmarkStart w:id="182" w:name="_Toc520356171"/>
      <w:bookmarkStart w:id="183" w:name="_Toc3689_WPSOffice_Level2"/>
      <w:bookmarkStart w:id="184" w:name="_Toc518923093"/>
      <w:bookmarkStart w:id="185" w:name="_Toc10555"/>
      <w:bookmarkStart w:id="186" w:name="_Toc2420_WPSOffice_Level2"/>
      <w:r>
        <w:rPr>
          <w:rFonts w:hint="eastAsia" w:asciiTheme="minorEastAsia" w:hAnsiTheme="minorEastAsia" w:eastAsiaTheme="minorEastAsia" w:cstheme="minorEastAsia"/>
          <w:color w:val="auto"/>
          <w:highlight w:val="none"/>
          <w:u w:val="none"/>
        </w:rPr>
        <w:t>27</w:t>
      </w:r>
      <w:bookmarkEnd w:id="182"/>
      <w:r>
        <w:rPr>
          <w:rFonts w:hint="eastAsia" w:asciiTheme="minorEastAsia" w:hAnsiTheme="minorEastAsia" w:eastAsiaTheme="minorEastAsia" w:cstheme="minorEastAsia"/>
          <w:color w:val="auto"/>
          <w:highlight w:val="none"/>
          <w:u w:val="none"/>
        </w:rPr>
        <w:t>.确定成交候选人和成交人</w:t>
      </w:r>
      <w:bookmarkEnd w:id="183"/>
      <w:bookmarkEnd w:id="184"/>
      <w:bookmarkEnd w:id="185"/>
      <w:bookmarkEnd w:id="186"/>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评审委员会将根据评审标准，按</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须知资料表中</w:t>
      </w:r>
      <w:r>
        <w:rPr>
          <w:rFonts w:hint="eastAsia" w:asciiTheme="minorEastAsia" w:hAnsiTheme="minorEastAsia" w:eastAsiaTheme="minorEastAsia" w:cstheme="minorEastAsia"/>
          <w:color w:val="auto"/>
          <w:sz w:val="24"/>
          <w:highlight w:val="none"/>
        </w:rPr>
        <w:t>规定数量推荐成交候选人；</w:t>
      </w:r>
      <w:r>
        <w:rPr>
          <w:rFonts w:hint="eastAsia" w:asciiTheme="minorEastAsia" w:hAnsiTheme="minorEastAsia" w:eastAsiaTheme="minorEastAsia" w:cstheme="minorEastAsia"/>
          <w:b/>
          <w:bCs/>
          <w:color w:val="auto"/>
          <w:sz w:val="24"/>
          <w:highlight w:val="none"/>
          <w:u w:val="single"/>
        </w:rPr>
        <w:t>磋商小组应当根据综合评分情况，按照评审得分由高到低顺序推荐3名以上成交候选</w:t>
      </w:r>
      <w:r>
        <w:rPr>
          <w:rFonts w:hint="eastAsia" w:asciiTheme="minorEastAsia" w:hAnsiTheme="minorEastAsia" w:eastAsiaTheme="minorEastAsia" w:cstheme="minorEastAsia"/>
          <w:b/>
          <w:bCs/>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rPr>
        <w:t>或根据采购人的委托，直接确定成交人。</w:t>
      </w:r>
    </w:p>
    <w:p>
      <w:pPr>
        <w:pStyle w:val="6"/>
        <w:tabs>
          <w:tab w:val="left" w:pos="900"/>
        </w:tabs>
        <w:spacing w:before="0" w:after="0" w:line="300" w:lineRule="exact"/>
        <w:rPr>
          <w:rFonts w:hint="eastAsia" w:asciiTheme="minorEastAsia" w:hAnsiTheme="minorEastAsia" w:eastAsiaTheme="minorEastAsia" w:cstheme="minorEastAsia"/>
          <w:color w:val="auto"/>
          <w:highlight w:val="none"/>
          <w:u w:val="none"/>
        </w:rPr>
      </w:pPr>
      <w:bookmarkStart w:id="187" w:name="_Toc520356173"/>
      <w:bookmarkStart w:id="188" w:name="_Ref467306874"/>
      <w:bookmarkStart w:id="189" w:name="_Toc620_WPSOffice_Level2"/>
      <w:bookmarkStart w:id="190" w:name="_Toc17336_WPSOffice_Level2"/>
      <w:bookmarkStart w:id="191" w:name="_Toc518923094"/>
      <w:bookmarkStart w:id="192" w:name="_Toc17138"/>
      <w:r>
        <w:rPr>
          <w:rFonts w:hint="eastAsia" w:asciiTheme="minorEastAsia" w:hAnsiTheme="minorEastAsia" w:eastAsiaTheme="minorEastAsia" w:cstheme="minorEastAsia"/>
          <w:color w:val="auto"/>
          <w:highlight w:val="none"/>
          <w:u w:val="none"/>
        </w:rPr>
        <w:t>28</w:t>
      </w:r>
      <w:bookmarkEnd w:id="187"/>
      <w:bookmarkEnd w:id="188"/>
      <w:r>
        <w:rPr>
          <w:rFonts w:hint="eastAsia" w:asciiTheme="minorEastAsia" w:hAnsiTheme="minorEastAsia" w:eastAsiaTheme="minorEastAsia" w:cstheme="minorEastAsia"/>
          <w:color w:val="auto"/>
          <w:highlight w:val="none"/>
          <w:u w:val="none"/>
        </w:rPr>
        <w:t>.采购任务取消</w:t>
      </w:r>
      <w:bookmarkEnd w:id="189"/>
      <w:bookmarkEnd w:id="190"/>
      <w:bookmarkEnd w:id="191"/>
      <w:bookmarkEnd w:id="192"/>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因重大变故采购任务取消时，采购人有权拒绝任何</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成交，且对受影响的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不承担任何责任。</w:t>
      </w:r>
      <w:bookmarkStart w:id="193" w:name="_Toc520356174"/>
    </w:p>
    <w:p>
      <w:pPr>
        <w:pStyle w:val="6"/>
        <w:spacing w:before="0" w:after="0" w:line="300" w:lineRule="exact"/>
        <w:rPr>
          <w:rFonts w:hint="eastAsia" w:asciiTheme="minorEastAsia" w:hAnsiTheme="minorEastAsia" w:eastAsiaTheme="minorEastAsia" w:cstheme="minorEastAsia"/>
          <w:color w:val="auto"/>
          <w:highlight w:val="none"/>
          <w:u w:val="none"/>
        </w:rPr>
      </w:pPr>
      <w:bookmarkStart w:id="194" w:name="_Toc22810_WPSOffice_Level2"/>
      <w:bookmarkStart w:id="195" w:name="_Toc7273_WPSOffice_Level2"/>
      <w:bookmarkStart w:id="196" w:name="_Toc18072"/>
      <w:bookmarkStart w:id="197" w:name="_Toc518923095"/>
      <w:r>
        <w:rPr>
          <w:rFonts w:hint="eastAsia" w:asciiTheme="minorEastAsia" w:hAnsiTheme="minorEastAsia" w:eastAsiaTheme="minorEastAsia" w:cstheme="minorEastAsia"/>
          <w:color w:val="auto"/>
          <w:highlight w:val="none"/>
          <w:u w:val="none"/>
        </w:rPr>
        <w:t>29.成交通知书</w:t>
      </w:r>
      <w:bookmarkEnd w:id="193"/>
      <w:r>
        <w:rPr>
          <w:rFonts w:hint="eastAsia" w:asciiTheme="minorEastAsia" w:hAnsiTheme="minorEastAsia" w:eastAsiaTheme="minorEastAsia" w:cstheme="minorEastAsia"/>
          <w:color w:val="auto"/>
          <w:highlight w:val="none"/>
          <w:u w:val="none"/>
        </w:rPr>
        <w:t>和采购结果通知书</w:t>
      </w:r>
      <w:bookmarkEnd w:id="194"/>
      <w:bookmarkEnd w:id="195"/>
      <w:bookmarkEnd w:id="196"/>
      <w:bookmarkEnd w:id="197"/>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在磋商有效期内，成交人确定后，采购人或者采购代理机构发布成交公告，同时以书面形式向成交人发出成交通知书；</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成交通知书是合同的组成部分；</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29.3    采购结果通知书和成交通知书同时发出。采购结果通知书中将告知未通过资格审查的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未通过的原因；采用综合评分法评审的，还将告知未成交人本人的评审得分和排序。</w:t>
      </w:r>
    </w:p>
    <w:p>
      <w:pPr>
        <w:pStyle w:val="6"/>
        <w:spacing w:before="0" w:after="0" w:line="300" w:lineRule="exact"/>
        <w:rPr>
          <w:rFonts w:hint="eastAsia" w:asciiTheme="minorEastAsia" w:hAnsiTheme="minorEastAsia" w:eastAsiaTheme="minorEastAsia" w:cstheme="minorEastAsia"/>
          <w:color w:val="auto"/>
          <w:highlight w:val="none"/>
          <w:u w:val="none"/>
        </w:rPr>
      </w:pPr>
      <w:bookmarkStart w:id="198" w:name="_Toc9717_WPSOffice_Level2"/>
      <w:bookmarkStart w:id="199" w:name="_Toc16952"/>
      <w:bookmarkStart w:id="200" w:name="_Toc518923096"/>
      <w:bookmarkStart w:id="201" w:name="_Ref467306978"/>
      <w:bookmarkStart w:id="202" w:name="_Toc23285_WPSOffice_Level2"/>
      <w:bookmarkStart w:id="203" w:name="_Ref467306377"/>
      <w:bookmarkStart w:id="204" w:name="_Ref467307062"/>
      <w:bookmarkStart w:id="205" w:name="_Toc520356175"/>
      <w:bookmarkStart w:id="206" w:name="_Ref467307204"/>
      <w:r>
        <w:rPr>
          <w:rFonts w:hint="eastAsia" w:asciiTheme="minorEastAsia" w:hAnsiTheme="minorEastAsia" w:eastAsiaTheme="minorEastAsia" w:cstheme="minorEastAsia"/>
          <w:color w:val="auto"/>
          <w:highlight w:val="none"/>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成交人应当自发出成交通知书之日起30日内，与采购人签订合同。</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w:t>
      </w:r>
      <w:r>
        <w:rPr>
          <w:rFonts w:hint="eastAsia" w:asciiTheme="minorEastAsia" w:hAnsiTheme="minorEastAsia" w:eastAsiaTheme="minorEastAsia" w:cstheme="minorEastAsia"/>
          <w:color w:val="auto"/>
          <w:sz w:val="24"/>
          <w:highlight w:val="none"/>
        </w:rPr>
        <w:tab/>
      </w:r>
      <w:bookmarkStart w:id="207" w:name="_Ref467306425"/>
      <w:bookmarkStart w:id="208" w:name="_Toc520356176"/>
      <w:bookmarkStart w:id="209" w:name="_Ref467307090"/>
      <w:r>
        <w:rPr>
          <w:rFonts w:hint="eastAsia" w:asciiTheme="minorEastAsia" w:hAnsiTheme="minorEastAsia" w:eastAsiaTheme="minorEastAsia" w:cstheme="minorEastAsia"/>
          <w:color w:val="auto"/>
          <w:sz w:val="24"/>
          <w:highlight w:val="none"/>
        </w:rPr>
        <w:t>磋商文件、成交人的响应文件及其澄清文件等，均为签订合同的依据。</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30.4   当出现法规规定的</w:t>
      </w:r>
      <w:r>
        <w:rPr>
          <w:rFonts w:hint="eastAsia" w:asciiTheme="minorEastAsia" w:hAnsiTheme="minorEastAsia" w:eastAsiaTheme="minorEastAsia" w:cstheme="minorEastAsia"/>
          <w:b/>
          <w:color w:val="auto"/>
          <w:sz w:val="24"/>
          <w:highlight w:val="none"/>
        </w:rPr>
        <w:t>成交无效或成交结果无效</w:t>
      </w:r>
      <w:r>
        <w:rPr>
          <w:rFonts w:hint="eastAsia" w:asciiTheme="minorEastAsia" w:hAnsiTheme="minorEastAsia" w:eastAsiaTheme="minorEastAsia" w:cstheme="minorEastAsia"/>
          <w:color w:val="auto"/>
          <w:sz w:val="24"/>
          <w:highlight w:val="none"/>
        </w:rPr>
        <w:t>情形时，采购人可与排名下一位的成交候选人另行签订合同，或依法重新开展采购活动。</w:t>
      </w:r>
    </w:p>
    <w:p>
      <w:pPr>
        <w:pStyle w:val="6"/>
        <w:spacing w:before="0" w:after="0" w:line="300" w:lineRule="exact"/>
        <w:rPr>
          <w:rFonts w:hint="eastAsia" w:asciiTheme="minorEastAsia" w:hAnsiTheme="minorEastAsia" w:eastAsiaTheme="minorEastAsia" w:cstheme="minorEastAsia"/>
          <w:color w:val="auto"/>
          <w:highlight w:val="none"/>
          <w:u w:val="none"/>
        </w:rPr>
      </w:pPr>
      <w:bookmarkStart w:id="210" w:name="_Toc4147_WPSOffice_Level2"/>
      <w:bookmarkStart w:id="211" w:name="_Toc10642_WPSOffice_Level2"/>
      <w:bookmarkStart w:id="212" w:name="_Toc4302"/>
      <w:bookmarkStart w:id="213" w:name="_Toc518923097"/>
      <w:r>
        <w:rPr>
          <w:rFonts w:hint="eastAsia" w:asciiTheme="minorEastAsia" w:hAnsiTheme="minorEastAsia" w:eastAsiaTheme="minorEastAsia" w:cstheme="minorEastAsia"/>
          <w:color w:val="auto"/>
          <w:highlight w:val="none"/>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成交人应按照</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规定向采购人缴纳履约保证金（如采用保函形式，格式见本章附件1）。</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31.2</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hint="eastAsia" w:asciiTheme="minorEastAsia" w:hAnsiTheme="minorEastAsia" w:eastAsiaTheme="minorEastAsia" w:cstheme="minorEastAsia"/>
          <w:color w:val="auto"/>
          <w:highlight w:val="none"/>
          <w:u w:val="none"/>
        </w:rPr>
      </w:pPr>
      <w:bookmarkStart w:id="214" w:name="_Toc12960_WPSOffice_Level2"/>
      <w:bookmarkStart w:id="215" w:name="_Toc21635_WPSOffice_Level2"/>
      <w:bookmarkStart w:id="216" w:name="_Toc8476"/>
      <w:bookmarkStart w:id="217" w:name="_Toc518923098"/>
      <w:r>
        <w:rPr>
          <w:rFonts w:hint="eastAsia" w:asciiTheme="minorEastAsia" w:hAnsiTheme="minorEastAsia" w:eastAsiaTheme="minorEastAsia" w:cstheme="minorEastAsia"/>
          <w:color w:val="auto"/>
          <w:highlight w:val="none"/>
          <w:u w:val="none"/>
        </w:rPr>
        <w:t>32.成交服务费</w:t>
      </w:r>
      <w:bookmarkEnd w:id="214"/>
      <w:bookmarkEnd w:id="215"/>
      <w:bookmarkEnd w:id="216"/>
      <w:bookmarkEnd w:id="217"/>
    </w:p>
    <w:p>
      <w:pPr>
        <w:spacing w:line="300" w:lineRule="exact"/>
        <w:ind w:left="840" w:leftChars="200" w:hanging="420" w:hangingChars="1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成交人须按照</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规定，向采购代理机构支付成交服务费。</w:t>
      </w:r>
    </w:p>
    <w:p>
      <w:pPr>
        <w:pStyle w:val="6"/>
        <w:spacing w:before="0" w:after="0" w:line="300" w:lineRule="exact"/>
        <w:rPr>
          <w:rFonts w:hint="eastAsia" w:asciiTheme="minorEastAsia" w:hAnsiTheme="minorEastAsia" w:eastAsiaTheme="minorEastAsia" w:cstheme="minorEastAsia"/>
          <w:color w:val="auto"/>
          <w:highlight w:val="none"/>
          <w:u w:val="none"/>
        </w:rPr>
      </w:pPr>
      <w:bookmarkStart w:id="218" w:name="_Toc518923099"/>
      <w:bookmarkStart w:id="219" w:name="_Toc9330_WPSOffice_Level2"/>
      <w:bookmarkStart w:id="220" w:name="_Toc30567_WPSOffice_Level2"/>
      <w:bookmarkStart w:id="221" w:name="_Toc31411"/>
      <w:r>
        <w:rPr>
          <w:rFonts w:hint="eastAsia" w:asciiTheme="minorEastAsia" w:hAnsiTheme="minorEastAsia" w:eastAsiaTheme="minorEastAsia" w:cstheme="minorEastAsia"/>
          <w:color w:val="auto"/>
          <w:highlight w:val="none"/>
          <w:u w:val="none"/>
        </w:rPr>
        <w:t>33.政府采购信用担保</w:t>
      </w:r>
      <w:bookmarkEnd w:id="218"/>
      <w:bookmarkEnd w:id="219"/>
      <w:bookmarkEnd w:id="220"/>
      <w:bookmarkEnd w:id="221"/>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本项目是否属于信用担保试点范围见</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w:t>
      </w:r>
    </w:p>
    <w:p>
      <w:pPr>
        <w:spacing w:line="300" w:lineRule="exact"/>
        <w:ind w:left="850" w:hanging="849" w:hangingChars="35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如属于政府采购信用担保试点范围内，中小型企业</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可以自由按照财政部门的规定，采用</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担保、履约担保和融资担保。</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33.2.1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递交的</w:t>
      </w:r>
      <w:r>
        <w:rPr>
          <w:rFonts w:hint="eastAsia" w:asciiTheme="minorEastAsia" w:hAnsiTheme="minorEastAsia" w:eastAsiaTheme="minorEastAsia" w:cstheme="minorEastAsia"/>
          <w:color w:val="auto"/>
          <w:sz w:val="24"/>
          <w:highlight w:val="none"/>
          <w:lang w:eastAsia="zh-CN"/>
        </w:rPr>
        <w:t>投标担保函</w:t>
      </w:r>
      <w:r>
        <w:rPr>
          <w:rFonts w:hint="eastAsia" w:asciiTheme="minorEastAsia" w:hAnsiTheme="minorEastAsia" w:eastAsiaTheme="minorEastAsia" w:cstheme="minorEastAsia"/>
          <w:color w:val="auto"/>
          <w:sz w:val="24"/>
          <w:highlight w:val="none"/>
        </w:rPr>
        <w:t>和履约担保函应符合本磋商文件的规定。</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33.2.2 成交人可以采取融资担保的形式为政府采购项目履约进行融资。</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33.2.3 合格的政府采购专业信用担保机构见</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w:t>
      </w:r>
    </w:p>
    <w:p>
      <w:pPr>
        <w:pStyle w:val="6"/>
        <w:spacing w:before="0" w:after="0" w:line="300" w:lineRule="exact"/>
        <w:rPr>
          <w:rFonts w:hint="eastAsia" w:asciiTheme="minorEastAsia" w:hAnsiTheme="minorEastAsia" w:eastAsiaTheme="minorEastAsia" w:cstheme="minorEastAsia"/>
          <w:color w:val="auto"/>
          <w:highlight w:val="none"/>
          <w:u w:val="none"/>
        </w:rPr>
      </w:pPr>
      <w:bookmarkStart w:id="222" w:name="_Toc5233_WPSOffice_Level2"/>
      <w:bookmarkStart w:id="223" w:name="_Toc9469_WPSOffice_Level2"/>
      <w:bookmarkStart w:id="224" w:name="_Toc518923100"/>
      <w:bookmarkStart w:id="225" w:name="_Toc4701"/>
      <w:r>
        <w:rPr>
          <w:rFonts w:hint="eastAsia" w:asciiTheme="minorEastAsia" w:hAnsiTheme="minorEastAsia" w:eastAsiaTheme="minorEastAsia" w:cstheme="minorEastAsia"/>
          <w:color w:val="auto"/>
          <w:highlight w:val="none"/>
          <w:u w:val="none"/>
        </w:rPr>
        <w:t>34.廉洁自律规定</w:t>
      </w:r>
      <w:bookmarkEnd w:id="222"/>
      <w:bookmarkEnd w:id="223"/>
      <w:bookmarkEnd w:id="224"/>
      <w:bookmarkEnd w:id="225"/>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34.1   采购代理机构工作人员不得以不正当手段获取政府采购代理业务，不得与采购人、</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恶意串通操纵政府采购活动。</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34.2   采购代理机构工作人员不得接受采购人或者</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组织的宴请、旅游、娱乐，不得收受礼品、现金、有价证券等，不得向采购人或者</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报销应当由个人承担的费用。</w:t>
      </w:r>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34.3   为强化采购代理机构内部监督机制，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可按</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须知资料表中的</w:t>
      </w:r>
      <w:r>
        <w:rPr>
          <w:rFonts w:hint="eastAsia" w:asciiTheme="minorEastAsia" w:hAnsiTheme="minorEastAsia" w:eastAsiaTheme="minorEastAsia" w:cstheme="minorEastAsia"/>
          <w:color w:val="auto"/>
          <w:sz w:val="24"/>
          <w:highlight w:val="none"/>
        </w:rPr>
        <w:t>监督电话和信箱，反映采购代理机构的廉洁自律等问题。</w:t>
      </w:r>
    </w:p>
    <w:p>
      <w:pPr>
        <w:pStyle w:val="6"/>
        <w:spacing w:before="0" w:after="0" w:line="300" w:lineRule="exact"/>
        <w:rPr>
          <w:rFonts w:hint="eastAsia" w:asciiTheme="minorEastAsia" w:hAnsiTheme="minorEastAsia" w:eastAsiaTheme="minorEastAsia" w:cstheme="minorEastAsia"/>
          <w:color w:val="auto"/>
          <w:highlight w:val="none"/>
          <w:u w:val="none"/>
        </w:rPr>
      </w:pPr>
      <w:bookmarkStart w:id="226" w:name="_Toc518923101"/>
      <w:bookmarkStart w:id="227" w:name="_Toc27811_WPSOffice_Level2"/>
      <w:bookmarkStart w:id="228" w:name="_Toc21055"/>
      <w:bookmarkStart w:id="229" w:name="_Toc27272_WPSOffice_Level2"/>
      <w:r>
        <w:rPr>
          <w:rFonts w:hint="eastAsia" w:asciiTheme="minorEastAsia" w:hAnsiTheme="minorEastAsia" w:eastAsiaTheme="minorEastAsia" w:cstheme="minorEastAsia"/>
          <w:color w:val="auto"/>
          <w:highlight w:val="none"/>
          <w:u w:val="none"/>
        </w:rPr>
        <w:t>35.人员回避</w:t>
      </w:r>
      <w:bookmarkEnd w:id="226"/>
      <w:bookmarkEnd w:id="227"/>
      <w:bookmarkEnd w:id="228"/>
      <w:bookmarkEnd w:id="229"/>
    </w:p>
    <w:p>
      <w:pPr>
        <w:spacing w:line="300" w:lineRule="exact"/>
        <w:ind w:left="900" w:hanging="900" w:hangingChars="3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认为采购人员及其相关人员有法律法规所列与其他</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有利害关系的，可以向采购人或采购代理机构书面提出回避申请，并说明理由。</w:t>
      </w:r>
    </w:p>
    <w:p>
      <w:pPr>
        <w:ind w:left="904" w:hanging="900" w:hangingChars="375"/>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36.质疑与接收</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36.1 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认为磋商文件、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过程和</w:t>
      </w:r>
      <w:r>
        <w:rPr>
          <w:rFonts w:hint="eastAsia" w:asciiTheme="minorEastAsia" w:hAnsiTheme="minorEastAsia" w:eastAsiaTheme="minorEastAsia" w:cstheme="minorEastAsia"/>
          <w:color w:val="auto"/>
          <w:sz w:val="24"/>
          <w:highlight w:val="none"/>
          <w:lang w:eastAsia="zh-CN"/>
        </w:rPr>
        <w:t>成交</w:t>
      </w:r>
      <w:r>
        <w:rPr>
          <w:rFonts w:hint="eastAsia" w:asciiTheme="minorEastAsia" w:hAnsiTheme="minorEastAsia" w:eastAsiaTheme="minorEastAsia" w:cstheme="minorEastAsia"/>
          <w:color w:val="auto"/>
          <w:sz w:val="24"/>
          <w:highlight w:val="none"/>
        </w:rPr>
        <w:t>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36.2    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超出法定质疑期的、重复提出的、分次提出的或内容、形式不符合《政府采购质疑和投诉办法》的，质疑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将依法承担不利后果。</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36.3    采购代理机构质疑函接收部门、联系电话和通讯地址, 见</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须知资料表。</w:t>
      </w:r>
    </w:p>
    <w:p>
      <w:pPr>
        <w:ind w:left="900" w:hanging="900" w:hangingChars="375"/>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36.4、</w:t>
      </w:r>
      <w:r>
        <w:rPr>
          <w:rFonts w:hint="eastAsia" w:asciiTheme="minorEastAsia" w:hAnsiTheme="minorEastAsia" w:eastAsiaTheme="minorEastAsia" w:cstheme="minorEastAsia"/>
          <w:b/>
          <w:bCs/>
          <w:color w:val="auto"/>
          <w:sz w:val="24"/>
          <w:highlight w:val="none"/>
        </w:rPr>
        <w:t>质疑的提出</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36.5   本采购文件中所称质疑及答复，是指参加本次采购活动的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对政府采购活动中的采购文件、采购过程和成交结果向采购方提出质疑，采购方答复质疑的行为。</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36.6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认为采购文件、采购过程和成交结果使自己的权益受到损害的，可以在知道或者应知其权益受到损害之日起7个工作日内，以书面形式向采购方提出质疑。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应知其权益受到损害之日，是指：</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（一）对可以质疑的采购文件提出质疑的，为收到采购文件之日或者采购文件公告期限届满之日；</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（二）对采购过程提出质疑的，为各采购程序环节结束之日；</w:t>
      </w:r>
    </w:p>
    <w:p>
      <w:pPr>
        <w:ind w:firstLine="720" w:firstLineChars="3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（三）对成交结果提出质疑的，为成交结果公告期限届满之日。</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36.9   提出质疑应当符合下列条件：</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（一）质疑主体应当符合有关规定；</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（二）在质疑法定期限内提出；</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（三）属于可以提出质疑的政府采购事项受理范围和本项目采购人的管辖权范围；</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（四）政府采购法律、法规、规章规定的其他条件。</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40.1   质疑人所提供的证明材料应当具有真实性、合法性以及与质疑事项的关联性和证明力，否则不能作为认定该质疑事项成立的依据。</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40.2   质疑人提出质疑时应当提交质疑函。质疑函包括下列内容：</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（一）提出质疑的质疑人的名称、地址、邮编、联系人及联系电话等；</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（二）质疑项目的名称、编号；</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（三）质疑事项；</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（四）事实依据和证明材料；</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（五）法律依据；</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（六）提出质疑的日期。</w:t>
      </w:r>
    </w:p>
    <w:p>
      <w:pPr>
        <w:ind w:left="957" w:leftChars="456" w:firstLine="60" w:firstLineChars="2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40.3    质疑人可以委托代理人进行质疑。代理人应当提交授权委托书。授权委托书应当载明委托代理的具体权限、期限和相关事项。</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40.4、  质疑的审查和受理</w:t>
      </w:r>
    </w:p>
    <w:p>
      <w:pPr>
        <w:ind w:left="957" w:leftChars="456" w:firstLine="60" w:firstLineChars="2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采购方在收到质疑函后应当及时审查是否符合质疑受理条件，对符合质疑受理条件的，及时予以受理。</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40.5    对不符合质疑受理条件的，分别按照下列不同情形予以处理：</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（二）质疑主体不符合有关规定的，告知质疑人不予受理；</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（三）超过质疑法定期限提出质疑的，告知质疑人不予受理；</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（四）对不属于可以提出质疑的政府采购事项提出质疑的，告知质疑人不予受理；</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（五）质疑不属于本项目采购方管辖的，告知质疑人向有管辖权的采购人提出质疑；</w:t>
      </w:r>
    </w:p>
    <w:p>
      <w:pPr>
        <w:ind w:left="898" w:leftChars="342" w:hanging="180" w:hangingChars="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（六）质疑不符合其他条件的，告知质疑人不予受理。</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40.6、 质疑的处理和答复</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40.7   采购方受理质疑后，将及时把质疑函发送给被质疑人，并要求其在一定限期内提交书面答复，同时提供有关证据、依据和相关材料。</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40.8    对于质疑事项中涉及的问题较多、情况比较复杂的，为了全面查清事实、取得充分的证据，采购方认为有必要时，可以进行调查取证或者组织质证。</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40.9    对评审过程、成交结果提出质疑的，采购方可以组织原评审委员会协助答复质疑。</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    质疑处理过程中，质疑人书面申请撤回质疑的，将终止质疑处理程序。</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41.2   采购方将在正式受理质疑后7个工作日内作出答复。</w:t>
      </w:r>
    </w:p>
    <w:p>
      <w:pPr>
        <w:pStyle w:val="4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41.3   质疑答复应当包括下列内容：</w:t>
      </w:r>
    </w:p>
    <w:p>
      <w:pPr>
        <w:pStyle w:val="4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（一）质疑人的姓名或者名称；</w:t>
      </w:r>
    </w:p>
    <w:p>
      <w:pPr>
        <w:pStyle w:val="4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（二）收到质疑函的日期、质疑项目名称及编号；</w:t>
      </w:r>
    </w:p>
    <w:p>
      <w:pPr>
        <w:pStyle w:val="4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（三）质疑事项、质疑答复的具体内容、事实依据和法律依据；</w:t>
      </w:r>
    </w:p>
    <w:p>
      <w:pPr>
        <w:pStyle w:val="48"/>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（四）告知质疑</w:t>
      </w:r>
      <w:r>
        <w:rPr>
          <w:rFonts w:hint="eastAsia" w:asciiTheme="minorEastAsia" w:hAnsiTheme="minorEastAsia" w:eastAsiaTheme="minorEastAsia" w:cstheme="minorEastAsia"/>
          <w:color w:val="auto"/>
          <w:highlight w:val="none"/>
          <w:lang w:eastAsia="zh-CN"/>
        </w:rPr>
        <w:t>供应商</w:t>
      </w:r>
      <w:r>
        <w:rPr>
          <w:rFonts w:hint="eastAsia" w:asciiTheme="minorEastAsia" w:hAnsiTheme="minorEastAsia" w:eastAsiaTheme="minorEastAsia" w:cstheme="minorEastAsia"/>
          <w:color w:val="auto"/>
          <w:highlight w:val="none"/>
        </w:rPr>
        <w:t>依法投诉的权利；</w:t>
      </w:r>
    </w:p>
    <w:p>
      <w:pPr>
        <w:pStyle w:val="48"/>
        <w:ind w:firstLine="960" w:firstLine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（五）质疑答复人名称；</w:t>
      </w:r>
    </w:p>
    <w:p>
      <w:pPr>
        <w:ind w:left="718" w:leftChars="342" w:firstLine="240" w:firstLineChars="1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（六）答复质疑的日期。</w:t>
      </w:r>
    </w:p>
    <w:p>
      <w:pPr>
        <w:jc w:val="center"/>
        <w:outlineLvl w:val="1"/>
        <w:rPr>
          <w:rFonts w:hint="eastAsia" w:asciiTheme="minorEastAsia" w:hAnsiTheme="minorEastAsia" w:eastAsiaTheme="minorEastAsia" w:cstheme="minorEastAsia"/>
          <w:b/>
          <w:bCs/>
          <w:color w:val="auto"/>
          <w:sz w:val="24"/>
          <w:highlight w:val="none"/>
        </w:rPr>
      </w:pPr>
    </w:p>
    <w:p>
      <w:pPr>
        <w:jc w:val="center"/>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质疑函范本</w:t>
      </w:r>
    </w:p>
    <w:p>
      <w:pPr>
        <w:adjustRightInd w:val="0"/>
        <w:snapToGrid w:val="0"/>
        <w:spacing w:before="312" w:beforeLines="100" w:line="360" w:lineRule="auto"/>
        <w:outlineLvl w:val="1"/>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基本信息</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outlineLvl w:val="1"/>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outlineLvl w:val="1"/>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adjustRightInd w:val="0"/>
        <w:snapToGrid w:val="0"/>
        <w:spacing w:line="360" w:lineRule="auto"/>
        <w:outlineLvl w:val="1"/>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pPr>
        <w:adjustRightInd w:val="0"/>
        <w:snapToGrid w:val="0"/>
        <w:spacing w:line="360" w:lineRule="auto"/>
        <w:rPr>
          <w:rFonts w:hint="eastAsia" w:asciiTheme="minorEastAsia" w:hAnsiTheme="minorEastAsia" w:eastAsiaTheme="minorEastAsia" w:cstheme="minorEastAsia"/>
          <w:color w:val="auto"/>
          <w:sz w:val="24"/>
          <w:highlight w:val="none"/>
        </w:rPr>
      </w:pPr>
    </w:p>
    <w:p>
      <w:pPr>
        <w:adjustRightInd w:val="0"/>
        <w:snapToGrid w:val="0"/>
        <w:spacing w:line="360" w:lineRule="auto"/>
        <w:rPr>
          <w:rFonts w:hint="eastAsia" w:asciiTheme="minorEastAsia" w:hAnsiTheme="minorEastAsia" w:eastAsiaTheme="minorEastAsia" w:cstheme="minorEastAsia"/>
          <w:color w:val="auto"/>
          <w:sz w:val="24"/>
          <w:highlight w:val="none"/>
        </w:rPr>
      </w:pPr>
    </w:p>
    <w:p>
      <w:pPr>
        <w:pStyle w:val="10"/>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p>
    <w:p>
      <w:pPr>
        <w:pStyle w:val="10"/>
        <w:rPr>
          <w:rFonts w:hint="eastAsia" w:asciiTheme="minorEastAsia" w:hAnsiTheme="minorEastAsia" w:eastAsiaTheme="minorEastAsia" w:cstheme="minorEastAsia"/>
          <w:color w:val="auto"/>
          <w:sz w:val="24"/>
          <w:highlight w:val="none"/>
        </w:rPr>
      </w:pPr>
    </w:p>
    <w:p>
      <w:pPr>
        <w:rPr>
          <w:rFonts w:hint="eastAsia"/>
          <w:color w:val="auto"/>
          <w:highlight w:val="none"/>
        </w:rPr>
      </w:pPr>
    </w:p>
    <w:p>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pPr>
        <w:widowControl/>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提出质疑时，应提交质疑函和必要的证明材料。</w:t>
      </w:r>
    </w:p>
    <w:p>
      <w:pPr>
        <w:widowControl/>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lang w:eastAsia="zh-CN"/>
        </w:rPr>
        <w:t>供应商</w:t>
      </w:r>
      <w:r>
        <w:rPr>
          <w:rFonts w:hint="eastAsia" w:asciiTheme="minorEastAsia" w:hAnsiTheme="minorEastAsia" w:eastAsiaTheme="minorEastAsia" w:cstheme="minorEastAsia"/>
          <w:color w:val="auto"/>
          <w:kern w:val="0"/>
          <w:sz w:val="24"/>
          <w:highlight w:val="none"/>
        </w:rPr>
        <w:t>签署的授权委托书。授权委托书应载明代理人的姓名或者名称、代理事项、具体权限、期限和相关事项。</w:t>
      </w:r>
    </w:p>
    <w:p>
      <w:pPr>
        <w:widowControl/>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若对项目的某一分包进行质疑，质疑函中应列明具体分包号。</w:t>
      </w:r>
    </w:p>
    <w:p>
      <w:pPr>
        <w:widowControl/>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pPr>
        <w:widowControl/>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pPr>
        <w:widowControl/>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为自然人的，质疑函应由本人签字；质疑</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为法人或者其他组织的，质疑函应由法定代表人、主要负责人，或者其授权代表签字或者盖章，并加盖公章。</w:t>
      </w:r>
    </w:p>
    <w:p>
      <w:pPr>
        <w:pStyle w:val="5"/>
        <w:spacing w:before="0" w:line="240" w:lineRule="atLeast"/>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br w:type="page"/>
      </w:r>
      <w:bookmarkStart w:id="230" w:name="_Toc18483"/>
      <w:bookmarkStart w:id="231" w:name="_Toc518923103"/>
      <w:bookmarkStart w:id="232" w:name="_Toc21504_WPSOffice_Level1"/>
      <w:bookmarkStart w:id="233" w:name="_Toc3584_WPSOffice_Level1"/>
      <w:bookmarkStart w:id="234" w:name="_Toc22084_WPSOffice_Level1"/>
      <w:bookmarkStart w:id="235" w:name="_Toc23883"/>
      <w:r>
        <w:rPr>
          <w:rFonts w:hint="eastAsia" w:asciiTheme="minorEastAsia" w:hAnsiTheme="minorEastAsia" w:eastAsiaTheme="minorEastAsia" w:cstheme="minorEastAsia"/>
          <w:color w:val="auto"/>
          <w:szCs w:val="24"/>
          <w:highlight w:val="none"/>
        </w:rPr>
        <w:t>附件1：履约保证金保函（格式）</w:t>
      </w:r>
      <w:bookmarkEnd w:id="230"/>
      <w:bookmarkEnd w:id="231"/>
      <w:bookmarkEnd w:id="232"/>
      <w:bookmarkEnd w:id="233"/>
      <w:bookmarkEnd w:id="234"/>
      <w:bookmarkEnd w:id="235"/>
    </w:p>
    <w:p>
      <w:pPr>
        <w:pStyle w:val="15"/>
        <w:spacing w:line="240" w:lineRule="atLeast"/>
        <w:ind w:left="1079" w:leftChars="257" w:hanging="54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                         （成交后开具）</w:t>
      </w:r>
    </w:p>
    <w:p>
      <w:pPr>
        <w:pStyle w:val="15"/>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 (</w:t>
      </w:r>
      <w:r>
        <w:rPr>
          <w:rFonts w:hint="eastAsia" w:asciiTheme="minorEastAsia" w:hAnsiTheme="minorEastAsia" w:eastAsiaTheme="minorEastAsia" w:cstheme="minorEastAsia"/>
          <w:color w:val="auto"/>
          <w:sz w:val="24"/>
          <w:highlight w:val="none"/>
          <w:u w:val="single"/>
        </w:rPr>
        <w:t>买方名称</w:t>
      </w:r>
      <w:r>
        <w:rPr>
          <w:rFonts w:hint="eastAsia" w:asciiTheme="minorEastAsia" w:hAnsiTheme="minorEastAsia" w:eastAsiaTheme="minorEastAsia" w:cstheme="minorEastAsia"/>
          <w:color w:val="auto"/>
          <w:sz w:val="24"/>
          <w:highlight w:val="none"/>
        </w:rPr>
        <w:t>)</w:t>
      </w:r>
    </w:p>
    <w:p>
      <w:pPr>
        <w:pStyle w:val="15"/>
        <w:spacing w:line="240" w:lineRule="atLeast"/>
        <w:ind w:left="1079" w:leftChars="257" w:hanging="54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号合同履约保函</w:t>
      </w:r>
    </w:p>
    <w:p>
      <w:pPr>
        <w:pStyle w:val="15"/>
        <w:spacing w:line="240" w:lineRule="atLeast"/>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本保函作为贵方与(</w:t>
      </w:r>
      <w:r>
        <w:rPr>
          <w:rFonts w:hint="eastAsia" w:asciiTheme="minorEastAsia" w:hAnsiTheme="minorEastAsia" w:eastAsiaTheme="minorEastAsia" w:cstheme="minorEastAsia"/>
          <w:color w:val="auto"/>
          <w:sz w:val="24"/>
          <w:highlight w:val="none"/>
          <w:u w:val="single"/>
        </w:rPr>
        <w:t>卖方名称</w:t>
      </w:r>
      <w:r>
        <w:rPr>
          <w:rFonts w:hint="eastAsia" w:asciiTheme="minorEastAsia" w:hAnsiTheme="minorEastAsia" w:eastAsiaTheme="minorEastAsia" w:cstheme="minorEastAsia"/>
          <w:color w:val="auto"/>
          <w:sz w:val="24"/>
          <w:highlight w:val="none"/>
        </w:rPr>
        <w:t>)(以下简称卖方)于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日就</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项目(以下简称项目)项下提供(</w:t>
      </w:r>
      <w:r>
        <w:rPr>
          <w:rFonts w:hint="eastAsia" w:asciiTheme="minorEastAsia" w:hAnsiTheme="minorEastAsia" w:eastAsiaTheme="minorEastAsia" w:cstheme="minorEastAsia"/>
          <w:color w:val="auto"/>
          <w:sz w:val="24"/>
          <w:highlight w:val="none"/>
          <w:u w:val="single"/>
        </w:rPr>
        <w:t>服务名称</w:t>
      </w:r>
      <w:r>
        <w:rPr>
          <w:rFonts w:hint="eastAsia" w:asciiTheme="minorEastAsia" w:hAnsiTheme="minorEastAsia" w:eastAsiaTheme="minorEastAsia" w:cstheme="minorEastAsia"/>
          <w:color w:val="auto"/>
          <w:sz w:val="24"/>
          <w:highlight w:val="none"/>
        </w:rPr>
        <w:t>)(以下简称服务)签订的(</w:t>
      </w:r>
      <w:r>
        <w:rPr>
          <w:rFonts w:hint="eastAsia" w:asciiTheme="minorEastAsia" w:hAnsiTheme="minorEastAsia" w:eastAsiaTheme="minorEastAsia" w:cstheme="minorEastAsia"/>
          <w:color w:val="auto"/>
          <w:sz w:val="24"/>
          <w:highlight w:val="none"/>
          <w:u w:val="single"/>
        </w:rPr>
        <w:t>合同号</w:t>
      </w:r>
      <w:r>
        <w:rPr>
          <w:rFonts w:hint="eastAsia" w:asciiTheme="minorEastAsia" w:hAnsiTheme="minorEastAsia" w:eastAsiaTheme="minorEastAsia" w:cstheme="minorEastAsia"/>
          <w:color w:val="auto"/>
          <w:sz w:val="24"/>
          <w:highlight w:val="none"/>
        </w:rPr>
        <w:t>)号合同的履约保函。</w:t>
      </w:r>
    </w:p>
    <w:p>
      <w:pPr>
        <w:pStyle w:val="15"/>
        <w:spacing w:line="240" w:lineRule="atLeas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出具保函的银行名称</w:t>
      </w:r>
      <w:r>
        <w:rPr>
          <w:rFonts w:hint="eastAsia" w:asciiTheme="minorEastAsia" w:hAnsiTheme="minorEastAsia" w:eastAsiaTheme="minorEastAsia" w:cstheme="minorEastAsia"/>
          <w:color w:val="auto"/>
          <w:sz w:val="24"/>
          <w:highlight w:val="none"/>
        </w:rPr>
        <w:t>)(以下简称银行)无条件地、不可撤销地具结保证本行、其继承人和受让人无追索地向贵方以(</w:t>
      </w:r>
      <w:r>
        <w:rPr>
          <w:rFonts w:hint="eastAsia" w:asciiTheme="minorEastAsia" w:hAnsiTheme="minorEastAsia" w:eastAsiaTheme="minorEastAsia" w:cstheme="minorEastAsia"/>
          <w:color w:val="auto"/>
          <w:sz w:val="24"/>
          <w:highlight w:val="none"/>
          <w:u w:val="single"/>
        </w:rPr>
        <w:t>货币名称</w:t>
      </w:r>
      <w:r>
        <w:rPr>
          <w:rFonts w:hint="eastAsia" w:asciiTheme="minorEastAsia" w:hAnsiTheme="minorEastAsia" w:eastAsiaTheme="minorEastAsia" w:cstheme="minorEastAsia"/>
          <w:color w:val="auto"/>
          <w:sz w:val="24"/>
          <w:highlight w:val="none"/>
        </w:rPr>
        <w:t>)支付总额不超过(</w:t>
      </w:r>
      <w:r>
        <w:rPr>
          <w:rFonts w:hint="eastAsia" w:asciiTheme="minorEastAsia" w:hAnsiTheme="minorEastAsia" w:eastAsiaTheme="minorEastAsia" w:cstheme="minorEastAsia"/>
          <w:color w:val="auto"/>
          <w:sz w:val="24"/>
          <w:highlight w:val="none"/>
          <w:u w:val="single"/>
        </w:rPr>
        <w:t>货币数量</w:t>
      </w:r>
      <w:r>
        <w:rPr>
          <w:rFonts w:hint="eastAsia" w:asciiTheme="minorEastAsia" w:hAnsiTheme="minorEastAsia" w:eastAsiaTheme="minorEastAsia" w:cstheme="minorEastAsia"/>
          <w:color w:val="auto"/>
          <w:sz w:val="24"/>
          <w:highlight w:val="none"/>
        </w:rPr>
        <w:t>),即相当于合同价格的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%,并以此约定如下:</w:t>
      </w:r>
    </w:p>
    <w:p>
      <w:pPr>
        <w:pStyle w:val="15"/>
        <w:ind w:left="539" w:leftChars="25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5"/>
        <w:spacing w:line="240" w:lineRule="atLeast"/>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5"/>
        <w:spacing w:line="240" w:lineRule="atLeast"/>
        <w:ind w:left="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5"/>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4.本保函在本合同规定的保证期期满前完全有效。</w:t>
      </w:r>
    </w:p>
    <w:p>
      <w:pPr>
        <w:pStyle w:val="15"/>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谨启</w:t>
      </w:r>
    </w:p>
    <w:p>
      <w:pPr>
        <w:pStyle w:val="15"/>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出具保函银行名称：</w:t>
      </w:r>
      <w:r>
        <w:rPr>
          <w:rFonts w:hint="eastAsia" w:asciiTheme="minorEastAsia" w:hAnsiTheme="minorEastAsia" w:eastAsiaTheme="minorEastAsia" w:cstheme="minorEastAsia"/>
          <w:color w:val="auto"/>
          <w:sz w:val="24"/>
          <w:highlight w:val="none"/>
          <w:u w:val="single"/>
        </w:rPr>
        <w:t xml:space="preserve">                             </w:t>
      </w:r>
    </w:p>
    <w:p>
      <w:pPr>
        <w:pStyle w:val="15"/>
        <w:spacing w:line="240" w:lineRule="atLeast"/>
        <w:ind w:left="1079" w:leftChars="257" w:hanging="54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签字人姓名和职务：</w:t>
      </w:r>
      <w:r>
        <w:rPr>
          <w:rFonts w:hint="eastAsia" w:asciiTheme="minorEastAsia" w:hAnsiTheme="minorEastAsia" w:eastAsiaTheme="minorEastAsia" w:cstheme="minorEastAsia"/>
          <w:color w:val="auto"/>
          <w:sz w:val="24"/>
          <w:highlight w:val="none"/>
          <w:u w:val="single"/>
        </w:rPr>
        <w:t xml:space="preserve">                             </w:t>
      </w:r>
    </w:p>
    <w:p>
      <w:pPr>
        <w:pStyle w:val="15"/>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签字人签名：</w:t>
      </w:r>
      <w:r>
        <w:rPr>
          <w:rFonts w:hint="eastAsia" w:asciiTheme="minorEastAsia" w:hAnsiTheme="minorEastAsia" w:eastAsiaTheme="minorEastAsia" w:cstheme="minorEastAsia"/>
          <w:color w:val="auto"/>
          <w:sz w:val="24"/>
          <w:highlight w:val="none"/>
          <w:u w:val="single"/>
        </w:rPr>
        <w:t xml:space="preserve">                                   </w:t>
      </w:r>
    </w:p>
    <w:p>
      <w:pPr>
        <w:pStyle w:val="15"/>
        <w:spacing w:line="240" w:lineRule="atLeast"/>
        <w:ind w:left="1079" w:leftChars="257" w:hanging="54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pPr>
        <w:pStyle w:val="5"/>
        <w:spacing w:before="0" w:line="240" w:lineRule="atLeast"/>
        <w:jc w:val="both"/>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highlight w:val="none"/>
        </w:rPr>
        <w:br w:type="page"/>
      </w:r>
      <w:bookmarkStart w:id="236" w:name="_Toc25500_WPSOffice_Level1"/>
      <w:bookmarkStart w:id="237" w:name="_Toc9904"/>
      <w:bookmarkStart w:id="238" w:name="_Toc27788"/>
      <w:bookmarkStart w:id="239" w:name="_Toc10323_WPSOffice_Level1"/>
      <w:bookmarkStart w:id="240" w:name="_Toc518923104"/>
      <w:bookmarkStart w:id="241" w:name="_Toc391_WPSOffice_Level1"/>
      <w:r>
        <w:rPr>
          <w:rFonts w:hint="eastAsia" w:asciiTheme="minorEastAsia" w:hAnsiTheme="minorEastAsia" w:eastAsiaTheme="minorEastAsia" w:cstheme="minorEastAsia"/>
          <w:color w:val="auto"/>
          <w:szCs w:val="24"/>
          <w:highlight w:val="none"/>
        </w:rPr>
        <w:t>附件2：履约担保函格式</w:t>
      </w:r>
      <w:bookmarkEnd w:id="236"/>
      <w:bookmarkEnd w:id="237"/>
      <w:bookmarkEnd w:id="238"/>
      <w:bookmarkEnd w:id="239"/>
      <w:bookmarkEnd w:id="240"/>
      <w:bookmarkEnd w:id="241"/>
    </w:p>
    <w:p>
      <w:pPr>
        <w:pStyle w:val="5"/>
        <w:spacing w:before="0" w:line="240" w:lineRule="atLeast"/>
        <w:ind w:left="1079" w:leftChars="257" w:hanging="540"/>
        <w:rPr>
          <w:rFonts w:hint="eastAsia" w:asciiTheme="minorEastAsia" w:hAnsiTheme="minorEastAsia" w:eastAsiaTheme="minorEastAsia" w:cstheme="minorEastAsia"/>
          <w:b w:val="0"/>
          <w:color w:val="auto"/>
          <w:highlight w:val="none"/>
        </w:rPr>
      </w:pPr>
      <w:bookmarkStart w:id="242" w:name="_Toc30995"/>
      <w:bookmarkStart w:id="243" w:name="_Toc20933_WPSOffice_Level1"/>
      <w:bookmarkStart w:id="244" w:name="_Toc515904842"/>
      <w:bookmarkStart w:id="245" w:name="_Toc13630"/>
      <w:bookmarkStart w:id="246" w:name="_Toc11516_WPSOffice_Level1"/>
      <w:bookmarkStart w:id="247" w:name="_Toc518923105"/>
      <w:bookmarkStart w:id="248" w:name="_Toc27405_WPSOffice_Level1"/>
      <w:r>
        <w:rPr>
          <w:rFonts w:hint="eastAsia" w:asciiTheme="minorEastAsia" w:hAnsiTheme="minorEastAsia" w:eastAsiaTheme="minorEastAsia" w:cstheme="minorEastAsia"/>
          <w:color w:val="auto"/>
          <w:szCs w:val="24"/>
          <w:highlight w:val="none"/>
        </w:rPr>
        <w:t>（采用政府采购信用担保形式时使用）</w:t>
      </w:r>
      <w:bookmarkEnd w:id="242"/>
      <w:bookmarkEnd w:id="243"/>
      <w:bookmarkEnd w:id="244"/>
      <w:bookmarkEnd w:id="245"/>
      <w:bookmarkEnd w:id="246"/>
      <w:bookmarkEnd w:id="247"/>
      <w:bookmarkEnd w:id="248"/>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政府采购履约担保函（项目用）</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编号：</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鉴于你方与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（以下简称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日签定编号为   的《</w:t>
      </w:r>
      <w:r>
        <w:rPr>
          <w:rFonts w:hint="eastAsia" w:asciiTheme="minorEastAsia" w:hAnsiTheme="minorEastAsia" w:eastAsiaTheme="minorEastAsia" w:cstheme="minorEastAsia"/>
          <w:color w:val="auto"/>
          <w:sz w:val="24"/>
          <w:highlight w:val="none"/>
          <w:u w:val="single"/>
        </w:rPr>
        <w:t>政府采购合同</w:t>
      </w:r>
      <w:r>
        <w:rPr>
          <w:rFonts w:hint="eastAsia" w:asciiTheme="minorEastAsia" w:hAnsiTheme="minorEastAsia" w:eastAsiaTheme="minorEastAsia" w:cstheme="minorEastAsia"/>
          <w:color w:val="auto"/>
          <w:sz w:val="24"/>
          <w:highlight w:val="none"/>
        </w:rPr>
        <w:t>》（以下简称主合同），且依据该合同的约定，</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日前向你方交纳履约保证金，且可以履约担保函的形式交纳履约保证金。应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的申请，我方以保证的方式向你方提供如下履约保证金担保：</w:t>
      </w:r>
    </w:p>
    <w:p>
      <w:pPr>
        <w:spacing w:line="360" w:lineRule="auto"/>
        <w:ind w:firstLine="480" w:firstLineChars="200"/>
        <w:outlineLvl w:val="1"/>
        <w:rPr>
          <w:rFonts w:hint="eastAsia" w:asciiTheme="minorEastAsia" w:hAnsiTheme="minorEastAsia" w:eastAsiaTheme="minorEastAsia" w:cstheme="minorEastAsia"/>
          <w:color w:val="auto"/>
          <w:sz w:val="24"/>
          <w:highlight w:val="none"/>
        </w:rPr>
      </w:pPr>
      <w:bookmarkStart w:id="249" w:name="_Toc10654_WPSOffice_Level1"/>
      <w:bookmarkStart w:id="250" w:name="_Toc11823_WPSOffice_Level1"/>
      <w:r>
        <w:rPr>
          <w:rFonts w:hint="eastAsia" w:asciiTheme="minorEastAsia" w:hAnsiTheme="minorEastAsia" w:eastAsiaTheme="minorEastAsia" w:cstheme="minorEastAsia"/>
          <w:color w:val="auto"/>
          <w:sz w:val="24"/>
          <w:highlight w:val="none"/>
        </w:rPr>
        <w:t>一、保证责任的情形及保证金额</w:t>
      </w:r>
      <w:bookmarkEnd w:id="249"/>
      <w:bookmarkEnd w:id="250"/>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出现下列情形之一时，我方承担保证责任：</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1．将成交项目转让给他人，或者在响应文件中未说明，且未经采购招标机构人同意，将成交项目分包给他人的；</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2．主合同约定的应当缴纳履约保证金的情形: </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（1）未按主合同约定的质量、数量和期限供应货物/提供服务/完成工程的；</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（二）我方的保证范围是主合同约定的合同价款总额的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%数额为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），币种为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。（即主合同履约保证金金额）</w:t>
      </w:r>
    </w:p>
    <w:p>
      <w:pPr>
        <w:ind w:firstLine="480" w:firstLineChars="200"/>
        <w:outlineLvl w:val="1"/>
        <w:rPr>
          <w:rFonts w:hint="eastAsia" w:asciiTheme="minorEastAsia" w:hAnsiTheme="minorEastAsia" w:eastAsiaTheme="minorEastAsia" w:cstheme="minorEastAsia"/>
          <w:color w:val="auto"/>
          <w:sz w:val="24"/>
          <w:highlight w:val="none"/>
        </w:rPr>
      </w:pPr>
      <w:bookmarkStart w:id="251" w:name="_Toc3896_WPSOffice_Level1"/>
      <w:bookmarkStart w:id="252" w:name="_Toc7886_WPSOffice_Level1"/>
      <w:r>
        <w:rPr>
          <w:rFonts w:hint="eastAsia" w:asciiTheme="minorEastAsia" w:hAnsiTheme="minorEastAsia" w:eastAsiaTheme="minorEastAsia" w:cstheme="minorEastAsia"/>
          <w:color w:val="auto"/>
          <w:sz w:val="24"/>
          <w:highlight w:val="none"/>
        </w:rPr>
        <w:t>二、保证的方式及保证期间</w:t>
      </w:r>
      <w:bookmarkEnd w:id="251"/>
      <w:bookmarkEnd w:id="252"/>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我方保证的方式为：连带责任保证。</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我方保证的期间为：自本合同生效之日起至</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按照主合同约定的供货/完工期限届满后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日内。</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未按主合同约定向贵方供应货物/提供服务/完成工程的，由我方在保证金额内向你方支付上述款项。</w:t>
      </w:r>
    </w:p>
    <w:p>
      <w:pPr>
        <w:ind w:firstLine="480" w:firstLineChars="200"/>
        <w:outlineLvl w:val="1"/>
        <w:rPr>
          <w:rFonts w:hint="eastAsia" w:asciiTheme="minorEastAsia" w:hAnsiTheme="minorEastAsia" w:eastAsiaTheme="minorEastAsia" w:cstheme="minorEastAsia"/>
          <w:color w:val="auto"/>
          <w:sz w:val="24"/>
          <w:highlight w:val="none"/>
        </w:rPr>
      </w:pPr>
      <w:bookmarkStart w:id="253" w:name="_Toc6638_WPSOffice_Level1"/>
      <w:bookmarkStart w:id="254" w:name="_Toc13180_WPSOffice_Level1"/>
      <w:r>
        <w:rPr>
          <w:rFonts w:hint="eastAsia" w:asciiTheme="minorEastAsia" w:hAnsiTheme="minorEastAsia" w:eastAsiaTheme="minorEastAsia" w:cstheme="minorEastAsia"/>
          <w:color w:val="auto"/>
          <w:sz w:val="24"/>
          <w:highlight w:val="none"/>
        </w:rPr>
        <w:t>三、承担保证责任的程序</w:t>
      </w:r>
      <w:bookmarkEnd w:id="253"/>
      <w:bookmarkEnd w:id="254"/>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1．你方要求我方承担保证责任的，应在本保函保证期间内向我方发出书面索赔通知。索赔通知应写明要求索赔的金额，支付款项应到达的帐号。并附有证明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违约事实的证明材料。</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如果你方与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因货物质量问题产生争议，你方还需同时提供</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部门出具的质量检测报告，或经诉讼（仲裁）程序裁决后的裁决书、调解书，本保证人即按照检测结果或裁决书、调解书决定是否承担保证责任。</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我方收到你方的书面索赔通知及相应证明材料，在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工作日内进行核定后按照本保函的承诺承担保证责任。</w:t>
      </w:r>
    </w:p>
    <w:p>
      <w:pPr>
        <w:ind w:firstLine="480" w:firstLineChars="200"/>
        <w:outlineLvl w:val="1"/>
        <w:rPr>
          <w:rFonts w:hint="eastAsia" w:asciiTheme="minorEastAsia" w:hAnsiTheme="minorEastAsia" w:eastAsiaTheme="minorEastAsia" w:cstheme="minorEastAsia"/>
          <w:color w:val="auto"/>
          <w:sz w:val="24"/>
          <w:highlight w:val="none"/>
        </w:rPr>
      </w:pPr>
      <w:bookmarkStart w:id="255" w:name="_Toc14402_WPSOffice_Level1"/>
      <w:bookmarkStart w:id="256" w:name="_Toc32368_WPSOffice_Level1"/>
      <w:r>
        <w:rPr>
          <w:rFonts w:hint="eastAsia" w:asciiTheme="minorEastAsia" w:hAnsiTheme="minorEastAsia" w:eastAsiaTheme="minorEastAsia" w:cstheme="minorEastAsia"/>
          <w:color w:val="auto"/>
          <w:sz w:val="24"/>
          <w:highlight w:val="none"/>
        </w:rPr>
        <w:t>四、保证责任的终止</w:t>
      </w:r>
      <w:bookmarkEnd w:id="255"/>
      <w:bookmarkEnd w:id="256"/>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2．我方按照本保函向你方履行了保证责任后，自我方向你方支付款项（支付款项从我方账户划出）之日起，保证责任即终止。</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3．按照法律法规的规定或出现应终止我方保证责任的其它情形的，我方在本保函项下的保证责任亦终止。</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4．你方与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修改主合同，加重我方保证责任的，我方对加重部分不承担保证责任，但该等修改事先经我方书面同意的除外；你方与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修改主合同履行期限，我方保证期间仍依修改前的履行期限计算，但该等修改事先经我方书面同意的除外。</w:t>
      </w:r>
    </w:p>
    <w:p>
      <w:pPr>
        <w:ind w:firstLine="480" w:firstLineChars="200"/>
        <w:outlineLvl w:val="1"/>
        <w:rPr>
          <w:rFonts w:hint="eastAsia" w:asciiTheme="minorEastAsia" w:hAnsiTheme="minorEastAsia" w:eastAsiaTheme="minorEastAsia" w:cstheme="minorEastAsia"/>
          <w:color w:val="auto"/>
          <w:sz w:val="24"/>
          <w:highlight w:val="none"/>
        </w:rPr>
      </w:pPr>
      <w:bookmarkStart w:id="257" w:name="_Toc15921_WPSOffice_Level1"/>
      <w:bookmarkStart w:id="258" w:name="_Toc23917_WPSOffice_Level1"/>
      <w:r>
        <w:rPr>
          <w:rFonts w:hint="eastAsia" w:asciiTheme="minorEastAsia" w:hAnsiTheme="minorEastAsia" w:eastAsiaTheme="minorEastAsia" w:cstheme="minorEastAsia"/>
          <w:color w:val="auto"/>
          <w:sz w:val="24"/>
          <w:highlight w:val="none"/>
        </w:rPr>
        <w:t>五、免责条款</w:t>
      </w:r>
      <w:bookmarkEnd w:id="257"/>
      <w:bookmarkEnd w:id="258"/>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1．因你方违反主合同约定致使</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不能履行义务的，我方不承担保证责任。</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2．依照法律法规的规定或你方与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的另行约定，全部或者部分免除</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应缴纳的保证金义务的，我方亦免除相应的保证责任。</w:t>
      </w:r>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3．因不可抗力造成</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不能履行供货义务的，我方不承担保证责任。</w:t>
      </w:r>
    </w:p>
    <w:p>
      <w:pPr>
        <w:ind w:firstLine="480" w:firstLineChars="200"/>
        <w:outlineLvl w:val="1"/>
        <w:rPr>
          <w:rFonts w:hint="eastAsia" w:asciiTheme="minorEastAsia" w:hAnsiTheme="minorEastAsia" w:eastAsiaTheme="minorEastAsia" w:cstheme="minorEastAsia"/>
          <w:color w:val="auto"/>
          <w:sz w:val="24"/>
          <w:highlight w:val="none"/>
        </w:rPr>
      </w:pPr>
      <w:bookmarkStart w:id="259" w:name="_Toc6543_WPSOffice_Level1"/>
      <w:bookmarkStart w:id="260" w:name="_Toc2970_WPSOffice_Level1"/>
      <w:r>
        <w:rPr>
          <w:rFonts w:hint="eastAsia" w:asciiTheme="minorEastAsia" w:hAnsiTheme="minorEastAsia" w:eastAsiaTheme="minorEastAsia" w:cstheme="minorEastAsia"/>
          <w:color w:val="auto"/>
          <w:sz w:val="24"/>
          <w:highlight w:val="none"/>
        </w:rPr>
        <w:t>六、争议的解决</w:t>
      </w:r>
      <w:bookmarkEnd w:id="259"/>
      <w:bookmarkEnd w:id="260"/>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因本保函发生的纠纷，由你我双方协商解决，协商不成的，通过诉讼程序解决，诉讼管辖地法院为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法院。</w:t>
      </w:r>
    </w:p>
    <w:p>
      <w:pPr>
        <w:ind w:firstLine="480" w:firstLineChars="200"/>
        <w:outlineLvl w:val="1"/>
        <w:rPr>
          <w:rFonts w:hint="eastAsia" w:asciiTheme="minorEastAsia" w:hAnsiTheme="minorEastAsia" w:eastAsiaTheme="minorEastAsia" w:cstheme="minorEastAsia"/>
          <w:color w:val="auto"/>
          <w:sz w:val="24"/>
          <w:highlight w:val="none"/>
        </w:rPr>
      </w:pPr>
      <w:bookmarkStart w:id="261" w:name="_Toc548_WPSOffice_Level1"/>
      <w:bookmarkStart w:id="262" w:name="_Toc3482_WPSOffice_Level1"/>
      <w:r>
        <w:rPr>
          <w:rFonts w:hint="eastAsia" w:asciiTheme="minorEastAsia" w:hAnsiTheme="minorEastAsia" w:eastAsiaTheme="minorEastAsia" w:cstheme="minorEastAsia"/>
          <w:color w:val="auto"/>
          <w:sz w:val="24"/>
          <w:highlight w:val="none"/>
        </w:rPr>
        <w:t>七、保函的生效</w:t>
      </w:r>
      <w:bookmarkEnd w:id="261"/>
      <w:bookmarkEnd w:id="262"/>
    </w:p>
    <w:p>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本保函自我方加盖公章之日起生效。    </w:t>
      </w:r>
    </w:p>
    <w:p>
      <w:pPr>
        <w:ind w:firstLine="5400" w:firstLineChars="2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保证人：（公章）</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pStyle w:val="10"/>
        <w:spacing w:line="240" w:lineRule="atLeast"/>
        <w:ind w:firstLine="0"/>
        <w:rPr>
          <w:rFonts w:hint="eastAsia" w:asciiTheme="minorEastAsia" w:hAnsiTheme="minorEastAsia" w:eastAsiaTheme="minorEastAsia" w:cstheme="minorEastAsia"/>
          <w:color w:val="auto"/>
          <w:kern w:val="2"/>
          <w:szCs w:val="24"/>
          <w:highlight w:val="none"/>
        </w:rPr>
      </w:pPr>
      <w:r>
        <w:rPr>
          <w:rFonts w:hint="eastAsia" w:asciiTheme="minorEastAsia" w:hAnsiTheme="minorEastAsia" w:eastAsiaTheme="minorEastAsia" w:cstheme="minorEastAsia"/>
          <w:b/>
          <w:color w:val="auto"/>
          <w:highlight w:val="none"/>
        </w:rPr>
        <w:br w:type="page"/>
      </w:r>
    </w:p>
    <w:p>
      <w:pPr>
        <w:pStyle w:val="4"/>
        <w:spacing w:before="0" w:after="0" w:line="240" w:lineRule="atLeast"/>
        <w:rPr>
          <w:rFonts w:hint="eastAsia" w:asciiTheme="minorEastAsia" w:hAnsiTheme="minorEastAsia" w:eastAsiaTheme="minorEastAsia" w:cstheme="minorEastAsia"/>
          <w:color w:val="auto"/>
          <w:highlight w:val="none"/>
        </w:rPr>
      </w:pPr>
      <w:bookmarkStart w:id="263" w:name="_Toc6923"/>
      <w:bookmarkStart w:id="264" w:name="_Toc216582812"/>
      <w:bookmarkStart w:id="265" w:name="_Toc21808"/>
      <w:bookmarkStart w:id="266" w:name="_Toc518923106"/>
      <w:bookmarkStart w:id="267" w:name="_Toc22577_WPSOffice_Level1"/>
      <w:r>
        <w:rPr>
          <w:rFonts w:hint="eastAsia" w:asciiTheme="minorEastAsia" w:hAnsiTheme="minorEastAsia" w:eastAsiaTheme="minorEastAsia" w:cstheme="minorEastAsia"/>
          <w:color w:val="auto"/>
          <w:highlight w:val="none"/>
        </w:rPr>
        <w:t>第二章 响应文件格式</w:t>
      </w:r>
      <w:bookmarkEnd w:id="263"/>
      <w:bookmarkEnd w:id="264"/>
      <w:bookmarkEnd w:id="265"/>
      <w:bookmarkEnd w:id="266"/>
      <w:bookmarkEnd w:id="267"/>
    </w:p>
    <w:p>
      <w:pPr>
        <w:spacing w:line="240" w:lineRule="atLeast"/>
        <w:ind w:left="735" w:leftChars="350" w:firstLine="120" w:firstLineChars="50"/>
        <w:rPr>
          <w:rFonts w:hint="eastAsia" w:asciiTheme="minorEastAsia" w:hAnsiTheme="minorEastAsia" w:eastAsiaTheme="minorEastAsia" w:cstheme="minorEastAsia"/>
          <w:color w:val="auto"/>
          <w:sz w:val="24"/>
          <w:highlight w:val="none"/>
        </w:rPr>
      </w:pPr>
    </w:p>
    <w:p>
      <w:pPr>
        <w:pStyle w:val="5"/>
        <w:spacing w:before="0" w:line="360" w:lineRule="exact"/>
        <w:ind w:left="1079" w:leftChars="257" w:hanging="540"/>
        <w:rPr>
          <w:rFonts w:hint="eastAsia" w:asciiTheme="minorEastAsia" w:hAnsiTheme="minorEastAsia" w:eastAsiaTheme="minorEastAsia" w:cstheme="minorEastAsia"/>
          <w:color w:val="auto"/>
          <w:sz w:val="24"/>
          <w:highlight w:val="none"/>
        </w:rPr>
      </w:pPr>
      <w:bookmarkStart w:id="268" w:name="_Toc18694"/>
      <w:bookmarkStart w:id="269" w:name="_Toc30069"/>
      <w:bookmarkStart w:id="270" w:name="_Toc975"/>
      <w:bookmarkStart w:id="271" w:name="_Toc27612"/>
      <w:bookmarkStart w:id="272" w:name="_Toc515647803"/>
      <w:bookmarkStart w:id="273" w:name="_Toc18974"/>
      <w:bookmarkStart w:id="274" w:name="_Toc25620_WPSOffice_Level2"/>
      <w:bookmarkStart w:id="275" w:name="_Toc6762_WPSOffice_Level2"/>
      <w:r>
        <w:rPr>
          <w:rFonts w:hint="eastAsia" w:asciiTheme="minorEastAsia" w:hAnsiTheme="minorEastAsia" w:eastAsiaTheme="minorEastAsia" w:cstheme="minorEastAsia"/>
          <w:color w:val="auto"/>
          <w:sz w:val="24"/>
          <w:highlight w:val="none"/>
        </w:rPr>
        <w:t xml:space="preserve">第一部分 </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hint="eastAsia" w:asciiTheme="minorEastAsia" w:hAnsiTheme="minorEastAsia" w:eastAsiaTheme="minorEastAsia" w:cstheme="minorEastAsia"/>
          <w:color w:val="auto"/>
          <w:sz w:val="24"/>
          <w:highlight w:val="none"/>
        </w:rPr>
      </w:pPr>
    </w:p>
    <w:p>
      <w:pPr>
        <w:tabs>
          <w:tab w:val="left" w:pos="5580"/>
        </w:tabs>
        <w:spacing w:line="360" w:lineRule="exact"/>
        <w:ind w:firstLine="424" w:firstLineChars="177"/>
        <w:rPr>
          <w:rFonts w:hint="eastAsia" w:asciiTheme="minorEastAsia" w:hAnsiTheme="minorEastAsia" w:eastAsiaTheme="minorEastAsia" w:cstheme="minorEastAsia"/>
          <w:color w:val="auto"/>
          <w:sz w:val="24"/>
          <w:highlight w:val="none"/>
          <w:lang w:eastAsia="zh-CN"/>
        </w:rPr>
      </w:pPr>
      <w:bookmarkStart w:id="276" w:name="_Toc515647816"/>
      <w:bookmarkStart w:id="277" w:name="_Toc11180"/>
      <w:bookmarkStart w:id="278" w:name="_Toc216582813"/>
      <w:bookmarkStart w:id="279" w:name="_Toc520356217"/>
      <w:bookmarkStart w:id="280" w:name="_Ref467988698"/>
      <w:bookmarkStart w:id="281" w:name="_Toc480942349"/>
      <w:r>
        <w:rPr>
          <w:rFonts w:hint="eastAsia" w:asciiTheme="minorEastAsia" w:hAnsiTheme="minorEastAsia" w:eastAsiaTheme="minorEastAsia" w:cstheme="minorEastAsia"/>
          <w:color w:val="auto"/>
          <w:sz w:val="24"/>
          <w:highlight w:val="none"/>
        </w:rPr>
        <w:t xml:space="preserve"> 1</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一览表（见</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格式一）</w:t>
      </w:r>
      <w:r>
        <w:rPr>
          <w:rFonts w:hint="eastAsia" w:asciiTheme="minorEastAsia" w:hAnsiTheme="minorEastAsia" w:eastAsiaTheme="minorEastAsia" w:cstheme="minorEastAsia"/>
          <w:color w:val="auto"/>
          <w:sz w:val="24"/>
          <w:highlight w:val="none"/>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2、法人或者非法人组织的营业执照等证明文件复印件（须加盖本单位章）或自然人的身份证明复印件</w:t>
      </w:r>
      <w:r>
        <w:rPr>
          <w:rFonts w:hint="eastAsia" w:asciiTheme="minorEastAsia" w:hAnsiTheme="minorEastAsia" w:eastAsiaTheme="minorEastAsia" w:cstheme="minorEastAsia"/>
          <w:color w:val="auto"/>
          <w:sz w:val="24"/>
          <w:highlight w:val="none"/>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3、法定代表人授权书（见</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格式二，自然人</w:t>
      </w: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的无需提供）</w:t>
      </w:r>
      <w:r>
        <w:rPr>
          <w:rFonts w:hint="eastAsia" w:asciiTheme="minorEastAsia" w:hAnsiTheme="minorEastAsia" w:eastAsiaTheme="minorEastAsia" w:cstheme="minorEastAsia"/>
          <w:color w:val="auto"/>
          <w:sz w:val="24"/>
          <w:highlight w:val="none"/>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具有良好的商业信誉和健全的财务会计制度的证明文件</w:t>
      </w:r>
      <w:r>
        <w:rPr>
          <w:rFonts w:hint="eastAsia" w:asciiTheme="minorEastAsia" w:hAnsiTheme="minorEastAsia" w:eastAsiaTheme="minorEastAsia" w:cstheme="minorEastAsia"/>
          <w:color w:val="auto"/>
          <w:sz w:val="24"/>
          <w:highlight w:val="none"/>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5、磋商保证金缴纳凭证复印件或投标担保函</w:t>
      </w:r>
      <w:r>
        <w:rPr>
          <w:rFonts w:hint="eastAsia" w:asciiTheme="minorEastAsia" w:hAnsiTheme="minorEastAsia" w:eastAsiaTheme="minorEastAsia" w:cstheme="minorEastAsia"/>
          <w:color w:val="auto"/>
          <w:sz w:val="24"/>
          <w:highlight w:val="none"/>
        </w:rPr>
        <w:t>；</w:t>
      </w:r>
    </w:p>
    <w:p>
      <w:pPr>
        <w:tabs>
          <w:tab w:val="left" w:pos="5580"/>
        </w:tabs>
        <w:spacing w:line="360" w:lineRule="exact"/>
        <w:ind w:left="1" w:firstLine="564" w:firstLineChars="235"/>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6、社会保障资金的缴纳记录</w:t>
      </w:r>
    </w:p>
    <w:p>
      <w:pPr>
        <w:tabs>
          <w:tab w:val="left" w:pos="5580"/>
        </w:tabs>
        <w:spacing w:line="360" w:lineRule="exact"/>
        <w:ind w:left="1" w:firstLine="564" w:firstLineChars="2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、参加政府采购活动前3年内在经营活动中没有重大违法记录的书面声明</w:t>
      </w:r>
      <w:r>
        <w:rPr>
          <w:rFonts w:hint="eastAsia" w:asciiTheme="minorEastAsia" w:hAnsiTheme="minorEastAsia" w:eastAsiaTheme="minorEastAsia" w:cstheme="minorEastAsia"/>
          <w:color w:val="auto"/>
          <w:sz w:val="24"/>
          <w:highlight w:val="none"/>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须知资料表要求的其他资格证明文件</w:t>
      </w:r>
      <w:r>
        <w:rPr>
          <w:rFonts w:hint="eastAsia" w:asciiTheme="minorEastAsia" w:hAnsiTheme="minorEastAsia" w:eastAsiaTheme="minorEastAsia" w:cstheme="minorEastAsia"/>
          <w:color w:val="auto"/>
          <w:sz w:val="24"/>
          <w:highlight w:val="none"/>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所投产品为进口产品按照</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须知资料表中规定提供制造厂家的授权书见</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格式四</w:t>
      </w:r>
      <w:r>
        <w:rPr>
          <w:rFonts w:hint="eastAsia" w:asciiTheme="minorEastAsia" w:hAnsiTheme="minorEastAsia" w:eastAsiaTheme="minorEastAsia" w:cstheme="minorEastAsia"/>
          <w:color w:val="auto"/>
          <w:sz w:val="24"/>
          <w:highlight w:val="none"/>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tabs>
          <w:tab w:val="left" w:pos="5580"/>
        </w:tabs>
        <w:spacing w:line="240" w:lineRule="atLeast"/>
        <w:ind w:left="1" w:firstLine="564" w:firstLineChars="235"/>
        <w:rPr>
          <w:rFonts w:hint="eastAsia" w:asciiTheme="minorEastAsia" w:hAnsiTheme="minorEastAsia" w:eastAsiaTheme="minorEastAsia" w:cstheme="minorEastAsia"/>
          <w:color w:val="auto"/>
          <w:sz w:val="24"/>
          <w:highlight w:val="none"/>
        </w:rPr>
      </w:pPr>
    </w:p>
    <w:p>
      <w:pPr>
        <w:pStyle w:val="10"/>
        <w:ind w:firstLine="0"/>
        <w:rPr>
          <w:rFonts w:hint="eastAsia" w:asciiTheme="minorEastAsia" w:hAnsiTheme="minorEastAsia" w:eastAsiaTheme="minorEastAsia" w:cstheme="minorEastAsia"/>
          <w:color w:val="auto"/>
          <w:highlight w:val="none"/>
        </w:rPr>
      </w:pPr>
    </w:p>
    <w:p>
      <w:pPr>
        <w:pStyle w:val="10"/>
        <w:rPr>
          <w:rFonts w:hint="eastAsia" w:asciiTheme="minorEastAsia" w:hAnsiTheme="minorEastAsia" w:eastAsiaTheme="minorEastAsia" w:cstheme="minorEastAsia"/>
          <w:color w:val="auto"/>
          <w:highlight w:val="none"/>
        </w:rPr>
      </w:pPr>
    </w:p>
    <w:p>
      <w:pPr>
        <w:pStyle w:val="10"/>
        <w:ind w:firstLine="0"/>
        <w:rPr>
          <w:rFonts w:hint="eastAsia" w:asciiTheme="minorEastAsia" w:hAnsiTheme="minorEastAsia" w:eastAsiaTheme="minorEastAsia" w:cstheme="minorEastAsia"/>
          <w:color w:val="auto"/>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bookmarkStart w:id="282" w:name="_Toc515647804"/>
      <w:bookmarkStart w:id="283" w:name="_Toc30630"/>
      <w:bookmarkStart w:id="284" w:name="_Toc30524"/>
      <w:bookmarkStart w:id="285" w:name="_Toc11138"/>
      <w:bookmarkStart w:id="286" w:name="_Toc14118"/>
      <w:bookmarkStart w:id="287" w:name="_Toc3620"/>
      <w:bookmarkStart w:id="288" w:name="_Toc16750"/>
      <w:bookmarkStart w:id="289" w:name="_Toc16568"/>
      <w:bookmarkStart w:id="290" w:name="_Toc21614"/>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p>
      <w:pPr>
        <w:rPr>
          <w:rFonts w:hint="eastAsia"/>
          <w:color w:val="auto"/>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079" w:leftChars="257" w:right="-867" w:rightChars="-413" w:hanging="540"/>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  </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一览表（</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格式一）</w:t>
      </w:r>
    </w:p>
    <w:p>
      <w:pPr>
        <w:pStyle w:val="15"/>
        <w:tabs>
          <w:tab w:val="left" w:pos="5580"/>
        </w:tabs>
        <w:spacing w:line="240" w:lineRule="atLeast"/>
        <w:rPr>
          <w:rFonts w:hint="eastAsia" w:asciiTheme="minorEastAsia" w:hAnsiTheme="minorEastAsia" w:eastAsiaTheme="minorEastAsia" w:cstheme="minorEastAsia"/>
          <w:color w:val="auto"/>
          <w:sz w:val="24"/>
          <w:szCs w:val="24"/>
          <w:highlight w:val="none"/>
        </w:rPr>
      </w:pPr>
    </w:p>
    <w:p>
      <w:pPr>
        <w:pStyle w:val="10"/>
        <w:tabs>
          <w:tab w:val="left" w:pos="5580"/>
        </w:tabs>
        <w:spacing w:line="240" w:lineRule="atLeast"/>
        <w:ind w:left="1079" w:leftChars="257" w:hanging="540"/>
        <w:jc w:val="center"/>
        <w:outlineLvl w:val="1"/>
        <w:rPr>
          <w:rFonts w:hint="eastAsia" w:asciiTheme="minorEastAsia" w:hAnsiTheme="minorEastAsia" w:eastAsiaTheme="minorEastAsia" w:cstheme="minorEastAsia"/>
          <w:color w:val="auto"/>
          <w:highlight w:val="none"/>
        </w:rPr>
      </w:pPr>
      <w:bookmarkStart w:id="291" w:name="_Hlt520356241"/>
      <w:bookmarkEnd w:id="291"/>
      <w:bookmarkStart w:id="292" w:name="_Toc494296984"/>
      <w:r>
        <w:rPr>
          <w:rFonts w:hint="eastAsia" w:asciiTheme="minorEastAsia" w:hAnsiTheme="minorEastAsia" w:eastAsiaTheme="minorEastAsia" w:cstheme="minorEastAsia"/>
          <w:b/>
          <w:color w:val="auto"/>
          <w:highlight w:val="none"/>
          <w:lang w:eastAsia="zh-CN"/>
        </w:rPr>
        <w:t>报价</w:t>
      </w:r>
      <w:r>
        <w:rPr>
          <w:rFonts w:hint="eastAsia" w:asciiTheme="minorEastAsia" w:hAnsiTheme="minorEastAsia" w:eastAsiaTheme="minorEastAsia" w:cstheme="minorEastAsia"/>
          <w:b/>
          <w:color w:val="auto"/>
          <w:highlight w:val="none"/>
        </w:rPr>
        <w:t>一览表</w:t>
      </w:r>
      <w:bookmarkEnd w:id="292"/>
    </w:p>
    <w:p>
      <w:pPr>
        <w:tabs>
          <w:tab w:val="left" w:pos="1800"/>
          <w:tab w:val="left" w:pos="5580"/>
        </w:tabs>
        <w:spacing w:line="240" w:lineRule="atLeast"/>
        <w:ind w:left="1079" w:leftChars="257" w:right="-867" w:rightChars="-413" w:hanging="54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rPr>
        <w:t xml:space="preserve">项目名称：　           </w:t>
      </w:r>
      <w:r>
        <w:rPr>
          <w:rFonts w:hint="eastAsia" w:asciiTheme="minorEastAsia" w:hAnsiTheme="minorEastAsia" w:eastAsiaTheme="minorEastAsia" w:cstheme="minorEastAsia"/>
          <w:b w:val="0"/>
          <w:bCs w:val="0"/>
          <w:color w:val="auto"/>
          <w:sz w:val="24"/>
          <w:highlight w:val="none"/>
        </w:rPr>
        <w:t xml:space="preserve">   </w:t>
      </w:r>
      <w:r>
        <w:rPr>
          <w:rFonts w:hint="eastAsia" w:asciiTheme="minorEastAsia" w:hAnsiTheme="minorEastAsia" w:eastAsiaTheme="minorEastAsia" w:cstheme="minorEastAsia"/>
          <w:b w:val="0"/>
          <w:bCs w:val="0"/>
          <w:color w:val="auto"/>
          <w:sz w:val="24"/>
          <w:highlight w:val="none"/>
          <w:lang w:eastAsia="zh-CN"/>
        </w:rPr>
        <w:t>磋商文件</w:t>
      </w:r>
      <w:r>
        <w:rPr>
          <w:rFonts w:hint="eastAsia" w:asciiTheme="minorEastAsia" w:hAnsiTheme="minorEastAsia" w:eastAsiaTheme="minorEastAsia" w:cstheme="minorEastAsia"/>
          <w:b w:val="0"/>
          <w:bCs w:val="0"/>
          <w:color w:val="auto"/>
          <w:sz w:val="24"/>
          <w:highlight w:val="none"/>
        </w:rPr>
        <w:t xml:space="preserve">编号：            包号：         </w:t>
      </w:r>
    </w:p>
    <w:p>
      <w:pPr>
        <w:tabs>
          <w:tab w:val="left" w:pos="1800"/>
          <w:tab w:val="left" w:pos="5580"/>
        </w:tabs>
        <w:spacing w:line="240" w:lineRule="atLeast"/>
        <w:ind w:left="1079" w:leftChars="257" w:right="-867" w:rightChars="-413" w:hanging="54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报价单位：人民币元</w:t>
      </w:r>
    </w:p>
    <w:tbl>
      <w:tblPr>
        <w:tblStyle w:val="34"/>
        <w:tblW w:w="9584" w:type="dxa"/>
        <w:jc w:val="center"/>
        <w:tblLayout w:type="fixed"/>
        <w:tblCellMar>
          <w:top w:w="0" w:type="dxa"/>
          <w:left w:w="0" w:type="dxa"/>
          <w:bottom w:w="0" w:type="dxa"/>
          <w:right w:w="0" w:type="dxa"/>
        </w:tblCellMar>
      </w:tblPr>
      <w:tblGrid>
        <w:gridCol w:w="1420"/>
        <w:gridCol w:w="2340"/>
        <w:gridCol w:w="1805"/>
        <w:gridCol w:w="1499"/>
        <w:gridCol w:w="1380"/>
        <w:gridCol w:w="1140"/>
      </w:tblGrid>
      <w:tr>
        <w:tblPrEx>
          <w:tblCellMar>
            <w:top w:w="0" w:type="dxa"/>
            <w:left w:w="0" w:type="dxa"/>
            <w:bottom w:w="0" w:type="dxa"/>
            <w:right w:w="0" w:type="dxa"/>
          </w:tblCellMar>
        </w:tblPrEx>
        <w:trPr>
          <w:trHeight w:val="662" w:hRule="atLeast"/>
          <w:jc w:val="center"/>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项目</w:t>
            </w:r>
            <w:r>
              <w:rPr>
                <w:rFonts w:hint="eastAsia" w:asciiTheme="minorEastAsia" w:hAnsiTheme="minorEastAsia" w:eastAsiaTheme="minorEastAsia" w:cstheme="minorEastAsia"/>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保证金</w:t>
            </w:r>
          </w:p>
        </w:tc>
        <w:tc>
          <w:tcPr>
            <w:tcW w:w="1499"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供货期</w:t>
            </w:r>
          </w:p>
        </w:tc>
        <w:tc>
          <w:tcPr>
            <w:tcW w:w="1380"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供货地点</w:t>
            </w:r>
          </w:p>
        </w:tc>
        <w:tc>
          <w:tcPr>
            <w:tcW w:w="1140"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tblPrEx>
          <w:tblCellMar>
            <w:top w:w="0" w:type="dxa"/>
            <w:left w:w="0" w:type="dxa"/>
            <w:bottom w:w="0" w:type="dxa"/>
            <w:right w:w="0" w:type="dxa"/>
          </w:tblCellMar>
        </w:tblPrEx>
        <w:trPr>
          <w:cantSplit/>
          <w:trHeight w:val="1640" w:hRule="atLeast"/>
          <w:jc w:val="center"/>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p>
            <w:pPr>
              <w:tabs>
                <w:tab w:val="left" w:pos="5580"/>
              </w:tabs>
              <w:spacing w:line="240" w:lineRule="atLeas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c>
          <w:tcPr>
            <w:tcW w:w="1499"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c>
          <w:tcPr>
            <w:tcW w:w="1380"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c>
          <w:tcPr>
            <w:tcW w:w="1140"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color w:val="auto"/>
                <w:sz w:val="24"/>
                <w:highlight w:val="none"/>
              </w:rPr>
            </w:pPr>
          </w:p>
        </w:tc>
      </w:tr>
    </w:tbl>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u w:val="singl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名称（单位盖章）：</w:t>
      </w:r>
      <w:r>
        <w:rPr>
          <w:rFonts w:hint="eastAsia" w:asciiTheme="minorEastAsia" w:hAnsiTheme="minorEastAsia" w:eastAsiaTheme="minorEastAsia" w:cstheme="minorEastAsia"/>
          <w:color w:val="auto"/>
          <w:sz w:val="24"/>
          <w:highlight w:val="none"/>
          <w:u w:val="single"/>
        </w:rPr>
        <w:t xml:space="preserve">                       </w:t>
      </w: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法定代表人或委托代理(签字):</w:t>
      </w:r>
      <w:r>
        <w:rPr>
          <w:rFonts w:hint="eastAsia" w:asciiTheme="minorEastAsia" w:hAnsiTheme="minorEastAsia" w:eastAsiaTheme="minorEastAsia" w:cstheme="minorEastAsia"/>
          <w:color w:val="auto"/>
          <w:sz w:val="24"/>
          <w:highlight w:val="none"/>
          <w:u w:val="single"/>
        </w:rPr>
        <w:tab/>
      </w: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注:1、此表应按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须知的规定装订密封。</w:t>
      </w:r>
    </w:p>
    <w:p>
      <w:pPr>
        <w:pStyle w:val="15"/>
        <w:numPr>
          <w:ilvl w:val="0"/>
          <w:numId w:val="5"/>
        </w:numPr>
        <w:tabs>
          <w:tab w:val="left" w:pos="5580"/>
        </w:tabs>
        <w:spacing w:line="240" w:lineRule="atLeast"/>
        <w:ind w:left="1078" w:leftChars="428" w:hanging="180" w:hangingChars="75"/>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此表中，</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总价应和</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分项报价表的总价相一致。</w:t>
      </w:r>
    </w:p>
    <w:p>
      <w:pPr>
        <w:pStyle w:val="15"/>
        <w:numPr>
          <w:ilvl w:val="0"/>
          <w:numId w:val="5"/>
        </w:numPr>
        <w:tabs>
          <w:tab w:val="left" w:pos="5580"/>
        </w:tabs>
        <w:spacing w:line="240" w:lineRule="atLeast"/>
        <w:ind w:left="1078" w:leftChars="428" w:hanging="180" w:hangingChars="75"/>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w:t>
      </w:r>
      <w:r>
        <w:rPr>
          <w:rFonts w:hint="eastAsia" w:asciiTheme="minorEastAsia" w:hAnsiTheme="minorEastAsia" w:eastAsiaTheme="minorEastAsia" w:cstheme="minorEastAsia"/>
          <w:color w:val="auto"/>
          <w:sz w:val="24"/>
          <w:highlight w:val="none"/>
        </w:rPr>
        <w:t>商报价时包含税费等一切与本次项目相关的费用。</w:t>
      </w:r>
    </w:p>
    <w:p>
      <w:pPr>
        <w:pStyle w:val="15"/>
        <w:tabs>
          <w:tab w:val="left" w:pos="5580"/>
        </w:tabs>
        <w:spacing w:line="240" w:lineRule="atLeast"/>
        <w:rPr>
          <w:rFonts w:hint="eastAsia" w:asciiTheme="minorEastAsia" w:hAnsiTheme="minorEastAsia" w:eastAsiaTheme="minorEastAsia" w:cstheme="minorEastAsia"/>
          <w:b/>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b/>
          <w:color w:val="auto"/>
          <w:sz w:val="24"/>
          <w:highlight w:val="none"/>
        </w:rPr>
      </w:pPr>
    </w:p>
    <w:p>
      <w:pPr>
        <w:pStyle w:val="5"/>
        <w:spacing w:before="0" w:line="240" w:lineRule="atLeast"/>
        <w:ind w:left="1079" w:leftChars="257" w:hanging="540"/>
        <w:jc w:val="left"/>
        <w:rPr>
          <w:rFonts w:hint="eastAsia" w:asciiTheme="minorEastAsia" w:hAnsiTheme="minorEastAsia" w:eastAsiaTheme="minorEastAsia" w:cstheme="minorEastAsia"/>
          <w:color w:val="auto"/>
          <w:sz w:val="24"/>
          <w:highlight w:val="none"/>
        </w:rPr>
      </w:pPr>
    </w:p>
    <w:p>
      <w:pPr>
        <w:pStyle w:val="5"/>
        <w:spacing w:before="0" w:line="240" w:lineRule="atLeast"/>
        <w:ind w:left="1079" w:leftChars="257" w:hanging="540"/>
        <w:jc w:val="left"/>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rPr>
      </w:pPr>
      <w:bookmarkStart w:id="293" w:name="_Toc18765"/>
      <w:bookmarkStart w:id="294" w:name="_Toc27002"/>
      <w:bookmarkStart w:id="295" w:name="_Toc6278"/>
      <w:bookmarkStart w:id="296" w:name="_Toc14931"/>
      <w:r>
        <w:rPr>
          <w:rFonts w:hint="eastAsia" w:asciiTheme="minorEastAsia" w:hAnsiTheme="minorEastAsia" w:eastAsiaTheme="minorEastAsia" w:cstheme="minorEastAsia"/>
          <w:color w:val="auto"/>
          <w:sz w:val="24"/>
          <w:highlight w:val="none"/>
        </w:rPr>
        <w:br w:type="page"/>
      </w:r>
    </w:p>
    <w:p>
      <w:pPr>
        <w:pStyle w:val="5"/>
        <w:spacing w:before="0"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法人或者非法人组织的营业执照等证明文件或自然人的身份证明</w:t>
      </w:r>
      <w:bookmarkEnd w:id="293"/>
      <w:bookmarkEnd w:id="294"/>
      <w:bookmarkEnd w:id="295"/>
      <w:bookmarkEnd w:id="296"/>
    </w:p>
    <w:p>
      <w:pPr>
        <w:pStyle w:val="15"/>
        <w:tabs>
          <w:tab w:val="left" w:pos="5580"/>
        </w:tabs>
        <w:spacing w:line="240" w:lineRule="atLeast"/>
        <w:ind w:left="1079" w:leftChars="257" w:hanging="540"/>
        <w:jc w:val="center"/>
        <w:rPr>
          <w:rFonts w:hint="eastAsia" w:ascii="仿宋_GB2312" w:hAnsi="宋体" w:eastAsia="仿宋_GB2312"/>
          <w:b/>
          <w:color w:val="auto"/>
          <w:sz w:val="24"/>
          <w:highlight w:val="none"/>
        </w:rPr>
      </w:pPr>
    </w:p>
    <w:p>
      <w:pPr>
        <w:pStyle w:val="15"/>
        <w:tabs>
          <w:tab w:val="left" w:pos="5580"/>
        </w:tabs>
        <w:spacing w:line="240" w:lineRule="atLeast"/>
        <w:ind w:left="1079" w:leftChars="257" w:hanging="540"/>
        <w:rPr>
          <w:rFonts w:hint="eastAsia" w:ascii="仿宋_GB2312" w:hAnsi="宋体" w:eastAsia="仿宋_GB2312"/>
          <w:b/>
          <w:color w:val="auto"/>
          <w:sz w:val="24"/>
          <w:highlight w:val="none"/>
        </w:rPr>
      </w:pPr>
    </w:p>
    <w:p>
      <w:pPr>
        <w:pStyle w:val="15"/>
        <w:tabs>
          <w:tab w:val="left" w:pos="5580"/>
        </w:tabs>
        <w:spacing w:line="240" w:lineRule="atLeast"/>
        <w:ind w:left="1079" w:leftChars="257" w:hanging="540"/>
        <w:rPr>
          <w:rFonts w:hint="eastAsia" w:ascii="仿宋_GB2312" w:hAnsi="宋体" w:eastAsia="仿宋_GB2312"/>
          <w:b/>
          <w:color w:val="auto"/>
          <w:sz w:val="24"/>
          <w:highlight w:val="none"/>
        </w:rPr>
      </w:pPr>
    </w:p>
    <w:p>
      <w:pPr>
        <w:pStyle w:val="15"/>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说明：1.提供有效的营业执照等证明文件复印件，复印件上应加盖本单位章。</w:t>
      </w:r>
    </w:p>
    <w:p>
      <w:pPr>
        <w:pStyle w:val="15"/>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2.投标人为自然人的，应提供身份证明的复印件。</w:t>
      </w:r>
    </w:p>
    <w:p>
      <w:pPr>
        <w:pStyle w:val="15"/>
        <w:tabs>
          <w:tab w:val="left" w:pos="5580"/>
        </w:tabs>
        <w:spacing w:line="240" w:lineRule="atLeast"/>
        <w:ind w:left="1079" w:leftChars="257" w:hanging="54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3.联合体投标应提供联合体各方满足以上要求的证明文件。（本项目不接受联合体投标）</w:t>
      </w:r>
    </w:p>
    <w:p>
      <w:pPr>
        <w:pStyle w:val="15"/>
        <w:tabs>
          <w:tab w:val="left" w:pos="5580"/>
        </w:tabs>
        <w:spacing w:line="240" w:lineRule="atLeast"/>
        <w:rPr>
          <w:rFonts w:hint="eastAsia" w:asciiTheme="minorEastAsia" w:hAnsiTheme="minorEastAsia" w:eastAsiaTheme="minorEastAsia" w:cstheme="minorEastAsia"/>
          <w:b/>
          <w:color w:val="auto"/>
          <w:sz w:val="24"/>
          <w:highlight w:val="none"/>
        </w:rPr>
      </w:pPr>
    </w:p>
    <w:p>
      <w:pP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0"/>
          <w:highlight w:val="none"/>
        </w:rPr>
        <w:t xml:space="preserve">             </w:t>
      </w: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highlight w:val="none"/>
        </w:rPr>
      </w:pPr>
      <w:bookmarkStart w:id="297" w:name="_Toc32302"/>
      <w:bookmarkStart w:id="298" w:name="_Toc16184"/>
      <w:bookmarkStart w:id="299" w:name="_Toc3087"/>
      <w:bookmarkStart w:id="300" w:name="_Toc515647805"/>
      <w:bookmarkStart w:id="301" w:name="_Toc29899"/>
      <w:bookmarkStart w:id="302" w:name="_Toc28979"/>
      <w:bookmarkStart w:id="303" w:name="_Toc1957"/>
      <w:bookmarkStart w:id="304" w:name="_Toc17577"/>
      <w:bookmarkStart w:id="305" w:name="_Toc6475"/>
      <w:r>
        <w:rPr>
          <w:rFonts w:hint="eastAsia" w:asciiTheme="minorEastAsia" w:hAnsiTheme="minorEastAsia" w:eastAsiaTheme="minorEastAsia" w:cstheme="minorEastAsia"/>
          <w:color w:val="auto"/>
          <w:sz w:val="24"/>
          <w:highlight w:val="none"/>
        </w:rPr>
        <w:br w:type="page"/>
      </w:r>
    </w:p>
    <w:p>
      <w:pPr>
        <w:pStyle w:val="5"/>
        <w:spacing w:before="0"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  </w:t>
      </w:r>
      <w:bookmarkEnd w:id="297"/>
      <w:bookmarkEnd w:id="298"/>
      <w:bookmarkEnd w:id="299"/>
      <w:bookmarkEnd w:id="300"/>
      <w:bookmarkEnd w:id="301"/>
      <w:bookmarkEnd w:id="302"/>
      <w:bookmarkEnd w:id="303"/>
      <w:bookmarkEnd w:id="304"/>
      <w:bookmarkEnd w:id="305"/>
      <w:r>
        <w:rPr>
          <w:rFonts w:hint="eastAsia" w:asciiTheme="minorEastAsia" w:hAnsiTheme="minorEastAsia" w:eastAsiaTheme="minorEastAsia" w:cstheme="minorEastAsia"/>
          <w:b/>
          <w:color w:val="auto"/>
          <w:sz w:val="24"/>
          <w:highlight w:val="none"/>
        </w:rPr>
        <w:t>法定代表人身份证明</w:t>
      </w:r>
    </w:p>
    <w:p>
      <w:pP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u w:val="single"/>
          <w:lang w:val="en-US" w:eastAsia="zh-CN"/>
        </w:rPr>
        <w:t xml:space="preserve">         </w:t>
      </w:r>
      <w:r>
        <w:rPr>
          <w:rFonts w:hint="eastAsia" w:asciiTheme="minorEastAsia" w:hAnsiTheme="minorEastAsia" w:eastAsiaTheme="minorEastAsia" w:cstheme="minorEastAsia"/>
          <w:color w:val="auto"/>
          <w:sz w:val="24"/>
          <w:szCs w:val="20"/>
          <w:highlight w:val="none"/>
        </w:rPr>
        <w:t>同志，现任我单位</w:t>
      </w:r>
      <w:r>
        <w:rPr>
          <w:rFonts w:hint="eastAsia" w:asciiTheme="minorEastAsia" w:hAnsiTheme="minorEastAsia" w:eastAsiaTheme="minorEastAsia" w:cstheme="minorEastAsia"/>
          <w:color w:val="auto"/>
          <w:sz w:val="24"/>
          <w:szCs w:val="20"/>
          <w:highlight w:val="none"/>
          <w:u w:val="single"/>
        </w:rPr>
        <w:t xml:space="preserve">          </w:t>
      </w:r>
      <w:r>
        <w:rPr>
          <w:rFonts w:hint="eastAsia" w:asciiTheme="minorEastAsia" w:hAnsiTheme="minorEastAsia" w:eastAsiaTheme="minorEastAsia" w:cstheme="minorEastAsia"/>
          <w:color w:val="auto"/>
          <w:sz w:val="24"/>
          <w:szCs w:val="20"/>
          <w:highlight w:val="none"/>
          <w:u w:val="single"/>
          <w:lang w:val="en-US" w:eastAsia="zh-CN"/>
        </w:rPr>
        <w:t xml:space="preserve">  </w:t>
      </w:r>
      <w:r>
        <w:rPr>
          <w:rFonts w:hint="eastAsia" w:asciiTheme="minorEastAsia" w:hAnsiTheme="minorEastAsia" w:eastAsiaTheme="minorEastAsia" w:cstheme="minorEastAsia"/>
          <w:color w:val="auto"/>
          <w:sz w:val="24"/>
          <w:szCs w:val="20"/>
          <w:highlight w:val="none"/>
        </w:rPr>
        <w:t>职务，为法定代表人，特此证明。</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Theme="minorEastAsia" w:hAnsiTheme="minorEastAsia" w:eastAsiaTheme="minorEastAsia" w:cstheme="minorEastAsia"/>
          <w:color w:val="auto"/>
          <w:sz w:val="24"/>
          <w:szCs w:val="20"/>
          <w:highlight w:val="none"/>
          <w:u w:val="single"/>
          <w:lang w:val="en-US" w:eastAsia="zh-CN"/>
        </w:rPr>
      </w:pPr>
      <w:r>
        <w:rPr>
          <w:rFonts w:hint="eastAsia" w:asciiTheme="minorEastAsia" w:hAnsiTheme="minorEastAsia" w:eastAsiaTheme="minorEastAsia" w:cstheme="minorEastAsia"/>
          <w:color w:val="auto"/>
          <w:sz w:val="24"/>
          <w:szCs w:val="20"/>
          <w:highlight w:val="none"/>
        </w:rPr>
        <w:t>附：代表人性别：</w:t>
      </w:r>
      <w:r>
        <w:rPr>
          <w:rFonts w:hint="eastAsia" w:asciiTheme="minorEastAsia" w:hAnsiTheme="minorEastAsia" w:eastAsiaTheme="minorEastAsia" w:cstheme="minorEastAsia"/>
          <w:color w:val="auto"/>
          <w:sz w:val="24"/>
          <w:szCs w:val="20"/>
          <w:highlight w:val="none"/>
          <w:u w:val="single"/>
        </w:rPr>
        <w:t xml:space="preserve">       </w:t>
      </w:r>
      <w:r>
        <w:rPr>
          <w:rFonts w:hint="eastAsia" w:asciiTheme="minorEastAsia" w:hAnsiTheme="minorEastAsia" w:eastAsiaTheme="minorEastAsia" w:cstheme="minorEastAsia"/>
          <w:color w:val="auto"/>
          <w:sz w:val="24"/>
          <w:szCs w:val="20"/>
          <w:highlight w:val="none"/>
        </w:rPr>
        <w:t>年龄：</w:t>
      </w:r>
      <w:r>
        <w:rPr>
          <w:rFonts w:hint="eastAsia" w:asciiTheme="minorEastAsia" w:hAnsiTheme="minorEastAsia" w:eastAsiaTheme="minorEastAsia" w:cstheme="minorEastAsia"/>
          <w:color w:val="auto"/>
          <w:sz w:val="24"/>
          <w:szCs w:val="20"/>
          <w:highlight w:val="none"/>
          <w:u w:val="single"/>
        </w:rPr>
        <w:t xml:space="preserve">      </w:t>
      </w:r>
      <w:r>
        <w:rPr>
          <w:rFonts w:hint="eastAsia" w:asciiTheme="minorEastAsia" w:hAnsiTheme="minorEastAsia" w:eastAsiaTheme="minorEastAsia" w:cstheme="minorEastAsia"/>
          <w:color w:val="auto"/>
          <w:sz w:val="24"/>
          <w:szCs w:val="20"/>
          <w:highlight w:val="none"/>
        </w:rPr>
        <w:t>身份证号码：</w:t>
      </w:r>
      <w:r>
        <w:rPr>
          <w:rFonts w:hint="eastAsia" w:asciiTheme="minorEastAsia" w:hAnsiTheme="minorEastAsia" w:eastAsiaTheme="minorEastAsia" w:cstheme="minorEastAsia"/>
          <w:color w:val="auto"/>
          <w:sz w:val="24"/>
          <w:szCs w:val="2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rPr>
        <w:t>联系电话：</w:t>
      </w:r>
      <w:r>
        <w:rPr>
          <w:rFonts w:hint="eastAsia" w:asciiTheme="minorEastAsia" w:hAnsiTheme="minorEastAsia" w:eastAsiaTheme="minorEastAsia" w:cstheme="minorEastAsia"/>
          <w:color w:val="auto"/>
          <w:sz w:val="24"/>
          <w:szCs w:val="2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default"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rPr>
        <w:t>营业执照号码：</w:t>
      </w:r>
      <w:r>
        <w:rPr>
          <w:rFonts w:hint="eastAsia" w:asciiTheme="minorEastAsia" w:hAnsiTheme="minorEastAsia" w:eastAsiaTheme="minorEastAsia" w:cstheme="minorEastAsia"/>
          <w:color w:val="auto"/>
          <w:sz w:val="24"/>
          <w:szCs w:val="20"/>
          <w:highlight w:val="none"/>
          <w:u w:val="single"/>
        </w:rPr>
        <w:t xml:space="preserve">              </w:t>
      </w:r>
      <w:r>
        <w:rPr>
          <w:rFonts w:hint="eastAsia" w:asciiTheme="minorEastAsia" w:hAnsiTheme="minorEastAsia" w:eastAsiaTheme="minorEastAsia" w:cstheme="minorEastAsia"/>
          <w:color w:val="auto"/>
          <w:sz w:val="24"/>
          <w:szCs w:val="20"/>
          <w:highlight w:val="none"/>
        </w:rPr>
        <w:t>经济性质：</w:t>
      </w:r>
      <w:r>
        <w:rPr>
          <w:rFonts w:hint="eastAsia" w:asciiTheme="minorEastAsia" w:hAnsiTheme="minorEastAsia" w:eastAsiaTheme="minorEastAsia" w:cstheme="minorEastAsia"/>
          <w:color w:val="auto"/>
          <w:sz w:val="24"/>
          <w:szCs w:val="20"/>
          <w:highlight w:val="none"/>
          <w:u w:val="single"/>
          <w:lang w:val="en-US" w:eastAsia="zh-CN"/>
        </w:rPr>
        <w:t xml:space="preserve">                        </w:t>
      </w: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说明：</w:t>
      </w:r>
    </w:p>
    <w:p>
      <w:pPr>
        <w:ind w:firstLine="240" w:firstLineChars="100"/>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1、法定代表人为企业事业单位、国家机关、社会团体的主要行政负责人。</w:t>
      </w:r>
    </w:p>
    <w:p>
      <w:pP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  </w:t>
      </w:r>
    </w:p>
    <w:p>
      <w:pP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2、内容必须填写真实、清楚、涂改无效，不得转让。</w:t>
      </w:r>
    </w:p>
    <w:p>
      <w:pPr>
        <w:rPr>
          <w:rFonts w:hint="eastAsia" w:asciiTheme="minorEastAsia" w:hAnsiTheme="minorEastAsia" w:eastAsiaTheme="minorEastAsia" w:cstheme="minorEastAsia"/>
          <w:color w:val="auto"/>
          <w:sz w:val="24"/>
          <w:szCs w:val="20"/>
          <w:highlight w:val="none"/>
        </w:rPr>
      </w:pPr>
    </w:p>
    <w:p>
      <w:pP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0" t="0" r="18415" b="2540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0"/>
                            </w:pPr>
                          </w:p>
                          <w:p>
                            <w:pPr>
                              <w:pStyle w:val="10"/>
                            </w:pPr>
                          </w:p>
                          <w:p>
                            <w:pPr>
                              <w:pStyle w:val="10"/>
                            </w:pPr>
                          </w:p>
                          <w:p>
                            <w:pPr>
                              <w:pStyle w:val="10"/>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0"/>
                      </w:pPr>
                    </w:p>
                    <w:p>
                      <w:pPr>
                        <w:pStyle w:val="10"/>
                      </w:pPr>
                    </w:p>
                    <w:p>
                      <w:pPr>
                        <w:pStyle w:val="10"/>
                      </w:pPr>
                    </w:p>
                    <w:p>
                      <w:pPr>
                        <w:pStyle w:val="10"/>
                      </w:pPr>
                    </w:p>
                  </w:txbxContent>
                </v:textbox>
              </v:roundrect>
            </w:pict>
          </mc:Fallback>
        </mc:AlternateContent>
      </w:r>
      <w:r>
        <w:rPr>
          <w:rFonts w:hint="eastAsia" w:asciiTheme="minorEastAsia" w:hAnsiTheme="minorEastAsia" w:eastAsiaTheme="minorEastAsia" w:cstheme="minorEastAsia"/>
          <w:color w:val="auto"/>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0" t="0" r="19050" b="11430"/>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宋体"/>
                                <w:szCs w:val="21"/>
                                <w:lang w:eastAsia="zh-CN"/>
                              </w:rPr>
                            </w:pPr>
                            <w:r>
                              <w:rPr>
                                <w:rFonts w:hint="eastAsia" w:hAnsi="宋体"/>
                                <w:szCs w:val="21"/>
                              </w:rPr>
                              <w:t>法人身份证复印件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宋体"/>
                          <w:szCs w:val="21"/>
                          <w:lang w:eastAsia="zh-CN"/>
                        </w:rPr>
                      </w:pPr>
                      <w:r>
                        <w:rPr>
                          <w:rFonts w:hint="eastAsia" w:hAnsi="宋体"/>
                          <w:szCs w:val="21"/>
                        </w:rPr>
                        <w:t>法人身份证复印件</w:t>
                      </w:r>
                      <w:r>
                        <w:rPr>
                          <w:rFonts w:hint="eastAsia" w:hAnsi="宋体"/>
                          <w:szCs w:val="21"/>
                          <w:lang w:eastAsia="zh-CN"/>
                        </w:rPr>
                        <w:t>正面</w:t>
                      </w:r>
                    </w:p>
                  </w:txbxContent>
                </v:textbox>
              </v:shape>
            </w:pict>
          </mc:Fallback>
        </mc:AlternateContent>
      </w:r>
    </w:p>
    <w:p>
      <w:pPr>
        <w:rPr>
          <w:rFonts w:hint="eastAsia" w:asciiTheme="minorEastAsia" w:hAnsiTheme="minorEastAsia" w:eastAsiaTheme="minorEastAsia" w:cstheme="minorEastAsia"/>
          <w:color w:val="auto"/>
          <w:sz w:val="24"/>
          <w:szCs w:val="20"/>
          <w:highlight w:val="none"/>
        </w:rPr>
      </w:pPr>
    </w:p>
    <w:p>
      <w:pPr>
        <w:autoSpaceDE w:val="0"/>
        <w:autoSpaceDN w:val="0"/>
        <w:adjustRightInd w:val="0"/>
        <w:ind w:right="246"/>
        <w:rPr>
          <w:rFonts w:hint="eastAsia" w:asciiTheme="minorEastAsia" w:hAnsiTheme="minorEastAsia" w:eastAsiaTheme="minorEastAsia" w:cstheme="minorEastAsia"/>
          <w:color w:val="auto"/>
          <w:sz w:val="24"/>
          <w:szCs w:val="20"/>
          <w:highlight w:val="none"/>
        </w:rPr>
      </w:pPr>
    </w:p>
    <w:p>
      <w:pPr>
        <w:autoSpaceDE w:val="0"/>
        <w:autoSpaceDN w:val="0"/>
        <w:adjustRightInd w:val="0"/>
        <w:ind w:right="246" w:firstLine="784" w:firstLineChars="327"/>
        <w:rPr>
          <w:rFonts w:hint="eastAsia" w:asciiTheme="minorEastAsia" w:hAnsiTheme="minorEastAsia" w:eastAsiaTheme="minorEastAsia" w:cstheme="minorEastAsia"/>
          <w:color w:val="auto"/>
          <w:sz w:val="24"/>
          <w:szCs w:val="20"/>
          <w:highlight w:val="none"/>
        </w:rPr>
      </w:pPr>
    </w:p>
    <w:p>
      <w:pPr>
        <w:autoSpaceDE w:val="0"/>
        <w:autoSpaceDN w:val="0"/>
        <w:adjustRightInd w:val="0"/>
        <w:ind w:right="246" w:firstLine="784" w:firstLineChars="327"/>
        <w:rPr>
          <w:rFonts w:hint="eastAsia" w:asciiTheme="minorEastAsia" w:hAnsiTheme="minorEastAsia" w:eastAsiaTheme="minorEastAsia" w:cstheme="minorEastAsia"/>
          <w:color w:val="auto"/>
          <w:sz w:val="24"/>
          <w:szCs w:val="20"/>
          <w:highlight w:val="none"/>
        </w:rPr>
      </w:pPr>
    </w:p>
    <w:p>
      <w:pPr>
        <w:autoSpaceDE w:val="0"/>
        <w:autoSpaceDN w:val="0"/>
        <w:adjustRightInd w:val="0"/>
        <w:ind w:right="246" w:firstLine="784" w:firstLineChars="327"/>
        <w:rPr>
          <w:rFonts w:hint="eastAsia" w:asciiTheme="minorEastAsia" w:hAnsiTheme="minorEastAsia" w:eastAsiaTheme="minorEastAsia" w:cstheme="minorEastAsia"/>
          <w:color w:val="auto"/>
          <w:sz w:val="24"/>
          <w:szCs w:val="20"/>
          <w:highlight w:val="none"/>
        </w:rPr>
      </w:pPr>
    </w:p>
    <w:p>
      <w:pPr>
        <w:autoSpaceDE w:val="0"/>
        <w:autoSpaceDN w:val="0"/>
        <w:adjustRightInd w:val="0"/>
        <w:ind w:right="246" w:firstLine="784" w:firstLineChars="327"/>
        <w:rPr>
          <w:rFonts w:hint="eastAsia" w:asciiTheme="minorEastAsia" w:hAnsiTheme="minorEastAsia" w:eastAsiaTheme="minorEastAsia" w:cstheme="minorEastAsia"/>
          <w:color w:val="auto"/>
          <w:sz w:val="24"/>
          <w:szCs w:val="20"/>
          <w:highlight w:val="none"/>
        </w:rPr>
      </w:pPr>
    </w:p>
    <w:p>
      <w:pPr>
        <w:autoSpaceDE w:val="0"/>
        <w:autoSpaceDN w:val="0"/>
        <w:adjustRightInd w:val="0"/>
        <w:ind w:right="246" w:firstLine="784" w:firstLineChars="327"/>
        <w:rPr>
          <w:rFonts w:hint="eastAsia" w:asciiTheme="minorEastAsia" w:hAnsiTheme="minorEastAsia" w:eastAsiaTheme="minorEastAsia" w:cstheme="minorEastAsia"/>
          <w:color w:val="auto"/>
          <w:sz w:val="24"/>
          <w:szCs w:val="20"/>
          <w:highlight w:val="none"/>
        </w:rPr>
      </w:pPr>
    </w:p>
    <w:p>
      <w:pPr>
        <w:autoSpaceDE w:val="0"/>
        <w:autoSpaceDN w:val="0"/>
        <w:adjustRightInd w:val="0"/>
        <w:ind w:right="246" w:firstLine="784" w:firstLineChars="327"/>
        <w:rPr>
          <w:rFonts w:hint="eastAsia" w:asciiTheme="minorEastAsia" w:hAnsiTheme="minorEastAsia" w:eastAsiaTheme="minorEastAsia" w:cstheme="minorEastAsia"/>
          <w:color w:val="auto"/>
          <w:sz w:val="24"/>
          <w:szCs w:val="20"/>
          <w:highlight w:val="none"/>
          <w:lang w:eastAsia="zh-CN"/>
        </w:rPr>
      </w:pPr>
    </w:p>
    <w:p>
      <w:pPr>
        <w:autoSpaceDE w:val="0"/>
        <w:autoSpaceDN w:val="0"/>
        <w:adjustRightInd w:val="0"/>
        <w:ind w:right="246" w:firstLine="784" w:firstLineChars="327"/>
        <w:rPr>
          <w:rFonts w:hint="eastAsia" w:asciiTheme="minorEastAsia" w:hAnsiTheme="minorEastAsia" w:eastAsiaTheme="minorEastAsia" w:cstheme="minorEastAsia"/>
          <w:color w:val="auto"/>
          <w:sz w:val="24"/>
          <w:szCs w:val="20"/>
          <w:highlight w:val="none"/>
          <w:lang w:eastAsia="zh-CN"/>
        </w:rPr>
      </w:pPr>
    </w:p>
    <w:p>
      <w:pPr>
        <w:autoSpaceDE w:val="0"/>
        <w:autoSpaceDN w:val="0"/>
        <w:adjustRightInd w:val="0"/>
        <w:ind w:right="246" w:firstLine="784" w:firstLineChars="327"/>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eastAsia="zh-CN"/>
        </w:rPr>
        <w:t>供应商</w:t>
      </w:r>
      <w:r>
        <w:rPr>
          <w:rFonts w:hint="eastAsia" w:asciiTheme="minorEastAsia" w:hAnsiTheme="minorEastAsia" w:eastAsiaTheme="minorEastAsia" w:cstheme="minorEastAsia"/>
          <w:color w:val="auto"/>
          <w:sz w:val="24"/>
          <w:szCs w:val="20"/>
          <w:highlight w:val="none"/>
        </w:rPr>
        <w:t>（盖章）：</w:t>
      </w:r>
      <w:r>
        <w:rPr>
          <w:rFonts w:hint="eastAsia" w:asciiTheme="minorEastAsia" w:hAnsiTheme="minorEastAsia" w:eastAsiaTheme="minorEastAsia" w:cstheme="minorEastAsia"/>
          <w:color w:val="auto"/>
          <w:sz w:val="24"/>
          <w:szCs w:val="20"/>
          <w:highlight w:val="none"/>
          <w:u w:val="single"/>
        </w:rPr>
        <w:t xml:space="preserve">                           </w:t>
      </w:r>
      <w:r>
        <w:rPr>
          <w:rFonts w:hint="eastAsia" w:asciiTheme="minorEastAsia" w:hAnsiTheme="minorEastAsia" w:eastAsiaTheme="minorEastAsia" w:cstheme="minorEastAsia"/>
          <w:color w:val="auto"/>
          <w:sz w:val="24"/>
          <w:szCs w:val="20"/>
          <w:highlight w:val="none"/>
        </w:rPr>
        <w:t xml:space="preserve">   </w:t>
      </w:r>
    </w:p>
    <w:p>
      <w:pPr>
        <w:adjustRightInd w:val="0"/>
        <w:snapToGrid w:val="0"/>
        <w:ind w:firstLine="784" w:firstLineChars="327"/>
        <w:rPr>
          <w:rFonts w:hint="eastAsia" w:asciiTheme="minorEastAsia" w:hAnsiTheme="minorEastAsia" w:eastAsiaTheme="minorEastAsia" w:cstheme="minorEastAsia"/>
          <w:color w:val="auto"/>
          <w:sz w:val="24"/>
          <w:szCs w:val="20"/>
          <w:highlight w:val="none"/>
        </w:rPr>
      </w:pPr>
    </w:p>
    <w:p>
      <w:pPr>
        <w:adjustRightInd w:val="0"/>
        <w:snapToGrid w:val="0"/>
        <w:ind w:firstLine="784" w:firstLineChars="327"/>
        <w:rPr>
          <w:rFonts w:hint="eastAsia" w:asciiTheme="minorEastAsia" w:hAnsiTheme="minorEastAsia" w:eastAsiaTheme="minorEastAsia" w:cstheme="minorEastAsia"/>
          <w:color w:val="auto"/>
          <w:sz w:val="24"/>
          <w:szCs w:val="20"/>
          <w:highlight w:val="none"/>
          <w:u w:val="single"/>
          <w:lang w:val="en-US" w:eastAsia="zh-CN"/>
        </w:rPr>
      </w:pPr>
      <w:r>
        <w:rPr>
          <w:rFonts w:hint="eastAsia" w:asciiTheme="minorEastAsia" w:hAnsiTheme="minorEastAsia" w:eastAsiaTheme="minorEastAsia" w:cstheme="minorEastAsia"/>
          <w:color w:val="auto"/>
          <w:sz w:val="24"/>
          <w:szCs w:val="20"/>
          <w:highlight w:val="none"/>
        </w:rPr>
        <w:t>法定代表人签字或盖章：</w:t>
      </w:r>
      <w:r>
        <w:rPr>
          <w:rFonts w:hint="eastAsia" w:asciiTheme="minorEastAsia" w:hAnsiTheme="minorEastAsia" w:eastAsiaTheme="minorEastAsia" w:cstheme="minorEastAsia"/>
          <w:color w:val="auto"/>
          <w:sz w:val="24"/>
          <w:szCs w:val="20"/>
          <w:highlight w:val="none"/>
          <w:u w:val="single"/>
        </w:rPr>
        <w:t xml:space="preserve">                    </w:t>
      </w:r>
      <w:r>
        <w:rPr>
          <w:rFonts w:hint="eastAsia" w:asciiTheme="minorEastAsia" w:hAnsiTheme="minorEastAsia" w:eastAsiaTheme="minorEastAsia" w:cstheme="minorEastAsia"/>
          <w:color w:val="auto"/>
          <w:sz w:val="24"/>
          <w:szCs w:val="20"/>
          <w:highlight w:val="none"/>
          <w:u w:val="single"/>
          <w:lang w:val="en-US" w:eastAsia="zh-CN"/>
        </w:rPr>
        <w:t xml:space="preserve"> </w:t>
      </w:r>
    </w:p>
    <w:p>
      <w:pPr>
        <w:adjustRightInd w:val="0"/>
        <w:snapToGrid w:val="0"/>
        <w:ind w:firstLine="784" w:firstLineChars="327"/>
        <w:rPr>
          <w:rFonts w:hint="eastAsia" w:asciiTheme="minorEastAsia" w:hAnsiTheme="minorEastAsia" w:eastAsiaTheme="minorEastAsia" w:cstheme="minorEastAsia"/>
          <w:color w:val="auto"/>
          <w:sz w:val="24"/>
          <w:szCs w:val="20"/>
          <w:highlight w:val="none"/>
        </w:rPr>
      </w:pPr>
    </w:p>
    <w:p>
      <w:pPr>
        <w:adjustRightInd w:val="0"/>
        <w:snapToGrid w:val="0"/>
        <w:ind w:firstLine="784" w:firstLineChars="327"/>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日期：</w:t>
      </w:r>
      <w:r>
        <w:rPr>
          <w:rFonts w:hint="eastAsia" w:asciiTheme="minorEastAsia" w:hAnsiTheme="minorEastAsia" w:eastAsiaTheme="minorEastAsia" w:cstheme="minorEastAsia"/>
          <w:color w:val="auto"/>
          <w:sz w:val="24"/>
          <w:szCs w:val="20"/>
          <w:highlight w:val="none"/>
          <w:u w:val="single"/>
        </w:rPr>
        <w:t xml:space="preserve">                                     </w:t>
      </w:r>
      <w:r>
        <w:rPr>
          <w:rFonts w:hint="eastAsia" w:asciiTheme="minorEastAsia" w:hAnsiTheme="minorEastAsia" w:eastAsiaTheme="minorEastAsia" w:cstheme="minorEastAsia"/>
          <w:color w:val="auto"/>
          <w:sz w:val="24"/>
          <w:szCs w:val="20"/>
          <w:highlight w:val="none"/>
        </w:rPr>
        <w:t xml:space="preserve">  </w:t>
      </w:r>
    </w:p>
    <w:p>
      <w:pPr>
        <w:pStyle w:val="15"/>
        <w:tabs>
          <w:tab w:val="left" w:pos="5580"/>
        </w:tabs>
        <w:rPr>
          <w:rFonts w:hint="eastAsia" w:asciiTheme="minorEastAsia" w:hAnsiTheme="minorEastAsia" w:eastAsiaTheme="minorEastAsia" w:cstheme="minorEastAsia"/>
          <w:color w:val="auto"/>
          <w:sz w:val="24"/>
          <w:highlight w:val="none"/>
        </w:rPr>
      </w:pPr>
    </w:p>
    <w:p>
      <w:pPr>
        <w:pStyle w:val="15"/>
        <w:tabs>
          <w:tab w:val="left" w:pos="5580"/>
        </w:tabs>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bookmarkStart w:id="306" w:name="_Toc7039"/>
      <w:bookmarkStart w:id="307" w:name="_Toc515647808"/>
      <w:bookmarkStart w:id="308" w:name="_Toc32520"/>
      <w:r>
        <w:rPr>
          <w:rFonts w:hint="eastAsia" w:asciiTheme="minorEastAsia" w:hAnsiTheme="minorEastAsia" w:eastAsiaTheme="minorEastAsia" w:cstheme="minorEastAsia"/>
          <w:color w:val="auto"/>
          <w:sz w:val="24"/>
          <w:highlight w:val="none"/>
        </w:rPr>
        <w:t xml:space="preserve">   </w:t>
      </w: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5"/>
        <w:spacing w:before="0" w:line="240" w:lineRule="atLeast"/>
        <w:jc w:val="center"/>
        <w:rPr>
          <w:rFonts w:hint="eastAsia" w:asciiTheme="minorEastAsia" w:hAnsiTheme="minorEastAsia" w:eastAsiaTheme="minorEastAsia" w:cstheme="minorEastAsia"/>
          <w:b w:val="0"/>
          <w:color w:val="auto"/>
          <w:sz w:val="24"/>
          <w:highlight w:val="none"/>
          <w:u w:val="single"/>
        </w:rPr>
      </w:pPr>
      <w:bookmarkStart w:id="309" w:name="_Toc5436"/>
      <w:bookmarkStart w:id="310" w:name="_Toc13107"/>
      <w:bookmarkStart w:id="311" w:name="_Toc22472"/>
      <w:bookmarkStart w:id="312" w:name="_Toc1083"/>
      <w:bookmarkStart w:id="313" w:name="_Toc6829"/>
      <w:bookmarkStart w:id="314" w:name="_Toc16640"/>
      <w:bookmarkStart w:id="315" w:name="_Toc515647807"/>
      <w:bookmarkStart w:id="316" w:name="_Toc21867"/>
      <w:r>
        <w:rPr>
          <w:rFonts w:hint="eastAsia" w:asciiTheme="minorEastAsia" w:hAnsiTheme="minorEastAsia" w:eastAsiaTheme="minorEastAsia" w:cstheme="minorEastAsia"/>
          <w:color w:val="auto"/>
          <w:sz w:val="24"/>
          <w:highlight w:val="none"/>
        </w:rPr>
        <w:t>3 .1 法定代表人授权委托书(</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格式二，自然人投标的无需提供)</w:t>
      </w:r>
      <w:bookmarkEnd w:id="309"/>
      <w:bookmarkEnd w:id="310"/>
      <w:bookmarkEnd w:id="311"/>
      <w:bookmarkEnd w:id="312"/>
      <w:bookmarkEnd w:id="313"/>
      <w:bookmarkEnd w:id="314"/>
      <w:bookmarkEnd w:id="315"/>
      <w:bookmarkEnd w:id="316"/>
    </w:p>
    <w:p>
      <w:pPr>
        <w:pStyle w:val="15"/>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本授权书声明：注册于（国家或地区的名称）的（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）的在下面签字的（法人代表姓名、职务）代表我单位授权（单位名称）的在下面签字的（被授权人的姓名、职务）为我单位的合法代理人，就（项目名称）的（合同名称）</w:t>
      </w:r>
      <w:r>
        <w:rPr>
          <w:rFonts w:hint="eastAsia" w:asciiTheme="minorEastAsia" w:hAnsiTheme="minorEastAsia" w:eastAsiaTheme="minorEastAsia" w:cstheme="minorEastAsia"/>
          <w:color w:val="auto"/>
          <w:sz w:val="24"/>
          <w:highlight w:val="none"/>
          <w:lang w:eastAsia="zh-CN"/>
        </w:rPr>
        <w:t>递交响应文件</w:t>
      </w:r>
      <w:r>
        <w:rPr>
          <w:rFonts w:hint="eastAsia" w:asciiTheme="minorEastAsia" w:hAnsiTheme="minorEastAsia" w:eastAsiaTheme="minorEastAsia" w:cstheme="minorEastAsia"/>
          <w:color w:val="auto"/>
          <w:sz w:val="24"/>
          <w:highlight w:val="none"/>
        </w:rPr>
        <w:t>，以我单位名义处理一切与之有关的事务。　　</w:t>
      </w:r>
    </w:p>
    <w:p>
      <w:pPr>
        <w:pStyle w:val="15"/>
        <w:keepNext w:val="0"/>
        <w:keepLines w:val="0"/>
        <w:pageBreakBefore w:val="0"/>
        <w:widowControl w:val="0"/>
        <w:tabs>
          <w:tab w:val="left" w:pos="5580"/>
        </w:tabs>
        <w:kinsoku/>
        <w:wordWrap/>
        <w:overflowPunct/>
        <w:topLinePunct w:val="0"/>
        <w:autoSpaceDE/>
        <w:autoSpaceDN/>
        <w:bidi w:val="0"/>
        <w:adjustRightInd/>
        <w:snapToGrid/>
        <w:spacing w:line="480" w:lineRule="exact"/>
        <w:ind w:left="1079" w:leftChars="257" w:hanging="54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rPr>
        <w:t>日</w:t>
      </w:r>
      <w:r>
        <w:rPr>
          <w:rFonts w:hint="eastAsia" w:asciiTheme="minorEastAsia" w:hAnsiTheme="minorEastAsia" w:eastAsiaTheme="minorEastAsia" w:cstheme="minorEastAsia"/>
          <w:color w:val="auto"/>
          <w:sz w:val="24"/>
          <w:highlight w:val="none"/>
        </w:rPr>
        <w:t>签字生效,特此声明。</w:t>
      </w: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0" t="0" r="17145" b="2730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rPr>
                            </w:pPr>
                          </w:p>
                          <w:p>
                            <w:pPr>
                              <w:rPr>
                                <w:rFonts w:hint="eastAsia"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GVxyuCQCAABZ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gTCrgsWTJiv22&#10;H+q4tewAHbBzXjYtSD/OhJMTdFxWdLgdqaXvzzPo3R9hd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ArNzv2wAAAAoBAAAPAAAAAAAAAAEAIAAAACIAAABkcnMvZG93bnJldi54bWxQSwECFAAUAAAA&#10;CACHTuJAGVxyuCQCAABZBAAADgAAAAAAAAABACAAAAAqAQAAZHJzL2Uyb0RvYy54bWxQSwUGAAAA&#10;AAYABgBZAQAAwAUAAAAA&#10;">
                <v:fill on="t" focussize="0,0"/>
                <v:stroke weight="1.25pt" color="#808080" joinstyle="round"/>
                <v:imagedata o:title=""/>
                <o:lock v:ext="edit" aspectratio="f"/>
                <v:textbox>
                  <w:txbxContent>
                    <w:p>
                      <w:pPr>
                        <w:rPr>
                          <w:rFonts w:hint="eastAsia" w:hAnsi="宋体"/>
                        </w:rPr>
                      </w:pPr>
                    </w:p>
                    <w:p>
                      <w:pPr>
                        <w:rPr>
                          <w:rFonts w:hint="eastAsia" w:hAnsi="宋体"/>
                        </w:rPr>
                      </w:pPr>
                    </w:p>
                    <w:p>
                      <w:r>
                        <w:rPr>
                          <w:rFonts w:hint="eastAsia" w:hAnsi="宋体"/>
                        </w:rPr>
                        <w:t>授权委托人身份证复印件</w:t>
                      </w:r>
                    </w:p>
                    <w:p/>
                  </w:txbxContent>
                </v:textbox>
              </v:roundrect>
            </w:pict>
          </mc:Fallback>
        </mc:AlternateContent>
      </w: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0" t="0" r="26035" b="12065"/>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KpdrPVAAAACAEAAA8AAAAAAAAAAQAgAAAAIgAAAGRycy9kb3ducmV2LnhtbFBLAQIUABQAAAAI&#10;AIdO4kDGi61DKQIAAFEEAAAOAAAAAAAAAAEAIAAAACQBAABkcnMvZTJvRG9jLnhtbFBLBQYAAAAA&#10;BgAGAFkBAAC/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授权委托人身份证复印件</w:t>
                      </w:r>
                    </w:p>
                  </w:txbxContent>
                </v:textbox>
              </v:shape>
            </w:pict>
          </mc:Fallback>
        </mc:AlternateContent>
      </w: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0" t="0" r="16510" b="2476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jc w:val="center"/>
                              <w:rPr>
                                <w:rFonts w:hint="eastAsia"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L7EhtyUCAABa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gNSpgseaJSv2234o&#10;5NayA7TAznnZtCD9JBNOTtByuUbD9Ug9fX+eQe9+Ca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b2CC9gAAAAJAQAADwAAAAAAAAABACAAAAAiAAAAZHJzL2Rvd25yZXYueG1sUEsBAhQAFAAAAAgA&#10;h07iQC+xIbclAgAAWgQAAA4AAAAAAAAAAQAgAAAAJwEAAGRycy9lMm9Eb2MueG1sUEsFBgAAAAAG&#10;AAYAWQEAAL4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法人身份证复印件</w:t>
                      </w:r>
                    </w:p>
                    <w:p/>
                  </w:txbxContent>
                </v:textbox>
              </v:roundrect>
            </w:pict>
          </mc:Fallback>
        </mc:AlternateContent>
      </w: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0" t="0" r="17145" b="1206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SuxH7SUCAABa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gDUqcKHmuWrNhv&#10;+6GQW8sO0AI752XTgvTjTDg5QcvlGg3XI/X0/XkGvfsl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qpqdNsAAAAJAQAADwAAAAAAAAABACAAAAAiAAAAZHJzL2Rvd25yZXYueG1sUEsBAhQAFAAA&#10;AAgAh07iQErsR+0lAgAAWgQAAA4AAAAAAAAAAQAgAAAAKgEAAGRycy9lMm9Eb2MueG1sUEsFBgAA&#10;AAAGAAYAWQEAAMEFA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pPr>
                      <w:r>
                        <w:rPr>
                          <w:rFonts w:hint="eastAsia" w:hAnsi="宋体"/>
                        </w:rPr>
                        <w:t>法人身份证复印件</w:t>
                      </w:r>
                    </w:p>
                    <w:p/>
                  </w:txbxContent>
                </v:textbox>
              </v:roundrect>
            </w:pict>
          </mc:Fallback>
        </mc:AlternateContent>
      </w: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240" w:lineRule="atLeast"/>
        <w:ind w:left="1079" w:leftChars="257" w:hanging="540"/>
        <w:rPr>
          <w:rFonts w:hint="eastAsia" w:asciiTheme="minorEastAsia" w:hAnsiTheme="minorEastAsia" w:eastAsiaTheme="minorEastAsia" w:cstheme="minorEastAsia"/>
          <w:color w:val="auto"/>
          <w:sz w:val="24"/>
          <w:highlight w:val="none"/>
        </w:rPr>
      </w:pPr>
    </w:p>
    <w:p>
      <w:pPr>
        <w:pStyle w:val="15"/>
        <w:keepNext w:val="0"/>
        <w:keepLines w:val="0"/>
        <w:pageBreakBefore w:val="0"/>
        <w:widowControl w:val="0"/>
        <w:tabs>
          <w:tab w:val="left" w:pos="5580"/>
        </w:tabs>
        <w:kinsoku/>
        <w:wordWrap/>
        <w:overflowPunct/>
        <w:topLinePunct w:val="0"/>
        <w:autoSpaceDE/>
        <w:autoSpaceDN/>
        <w:bidi w:val="0"/>
        <w:adjustRightInd/>
        <w:snapToGrid/>
        <w:spacing w:line="440" w:lineRule="exact"/>
        <w:ind w:left="1079" w:leftChars="257" w:hanging="54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（盖单位章）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440" w:lineRule="exact"/>
        <w:ind w:left="1079" w:leftChars="257" w:hanging="54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440" w:lineRule="exact"/>
        <w:ind w:left="1079" w:leftChars="257" w:hanging="54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身份证号码：__________________________________ </w:t>
      </w:r>
    </w:p>
    <w:p>
      <w:pPr>
        <w:pStyle w:val="15"/>
        <w:keepNext w:val="0"/>
        <w:keepLines w:val="0"/>
        <w:pageBreakBefore w:val="0"/>
        <w:widowControl w:val="0"/>
        <w:tabs>
          <w:tab w:val="left" w:pos="5580"/>
        </w:tabs>
        <w:kinsoku/>
        <w:wordWrap/>
        <w:overflowPunct/>
        <w:topLinePunct w:val="0"/>
        <w:autoSpaceDE/>
        <w:autoSpaceDN/>
        <w:bidi w:val="0"/>
        <w:adjustRightInd/>
        <w:snapToGrid/>
        <w:spacing w:line="440" w:lineRule="exact"/>
        <w:ind w:left="1079" w:leftChars="257" w:hanging="54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440" w:lineRule="exact"/>
        <w:ind w:left="1079" w:leftChars="257" w:hanging="54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440" w:lineRule="exact"/>
        <w:ind w:left="1079" w:leftChars="257" w:hanging="54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详细通讯地址：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440" w:lineRule="exact"/>
        <w:ind w:left="1079" w:leftChars="257" w:hanging="54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 政 编 码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440" w:lineRule="exact"/>
        <w:ind w:left="1079" w:leftChars="257" w:hanging="54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　　　　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5"/>
        <w:keepNext w:val="0"/>
        <w:keepLines w:val="0"/>
        <w:pageBreakBefore w:val="0"/>
        <w:widowControl w:val="0"/>
        <w:tabs>
          <w:tab w:val="left" w:pos="5580"/>
        </w:tabs>
        <w:kinsoku/>
        <w:wordWrap/>
        <w:overflowPunct/>
        <w:topLinePunct w:val="0"/>
        <w:autoSpaceDE/>
        <w:autoSpaceDN/>
        <w:bidi w:val="0"/>
        <w:adjustRightInd/>
        <w:snapToGrid/>
        <w:spacing w:line="440" w:lineRule="exact"/>
        <w:ind w:left="1079" w:leftChars="257" w:hanging="540"/>
        <w:textAlignment w:val="auto"/>
        <w:rPr>
          <w:rFonts w:hint="eastAsia" w:asciiTheme="minorEastAsia" w:hAnsiTheme="minorEastAsia" w:eastAsiaTheme="minorEastAsia" w:cstheme="minorEastAsia"/>
          <w:b/>
          <w:color w:val="auto"/>
          <w:kern w:val="0"/>
          <w:sz w:val="24"/>
          <w:szCs w:val="20"/>
          <w:highlight w:val="none"/>
        </w:rPr>
      </w:pPr>
      <w:r>
        <w:rPr>
          <w:rFonts w:hint="eastAsia" w:asciiTheme="minorEastAsia" w:hAnsiTheme="minorEastAsia" w:eastAsiaTheme="minorEastAsia" w:cstheme="minorEastAsia"/>
          <w:color w:val="auto"/>
          <w:sz w:val="24"/>
          <w:highlight w:val="none"/>
        </w:rPr>
        <w:t>电　　　　话</w:t>
      </w:r>
      <w:r>
        <w:rPr>
          <w:rFonts w:hint="eastAsia" w:asciiTheme="minorEastAsia" w:hAnsiTheme="minorEastAsia" w:eastAsiaTheme="minorEastAsia" w:cstheme="minorEastAsia"/>
          <w:color w:val="auto"/>
          <w:sz w:val="24"/>
          <w:szCs w:val="20"/>
          <w:highlight w:val="none"/>
        </w:rPr>
        <w:t>：</w:t>
      </w:r>
      <w:r>
        <w:rPr>
          <w:rFonts w:hint="eastAsia" w:asciiTheme="minorEastAsia" w:hAnsiTheme="minorEastAsia" w:eastAsiaTheme="minorEastAsia" w:cstheme="minorEastAsia"/>
          <w:color w:val="auto"/>
          <w:sz w:val="24"/>
          <w:szCs w:val="20"/>
          <w:highlight w:val="none"/>
          <w:u w:val="single"/>
        </w:rPr>
        <w:t xml:space="preserve">                                </w:t>
      </w:r>
      <w:bookmarkEnd w:id="306"/>
      <w:bookmarkEnd w:id="307"/>
      <w:bookmarkEnd w:id="308"/>
      <w:bookmarkStart w:id="317" w:name="_Toc4923"/>
      <w:bookmarkStart w:id="318" w:name="_Toc22138"/>
      <w:bookmarkStart w:id="319" w:name="_Toc8410"/>
      <w:bookmarkStart w:id="320" w:name="_Toc28445"/>
      <w:bookmarkStart w:id="321" w:name="_Toc10290"/>
      <w:bookmarkStart w:id="322" w:name="_Toc11047"/>
      <w:bookmarkStart w:id="323" w:name="_Toc515647809"/>
      <w:bookmarkStart w:id="324" w:name="_Toc15480"/>
    </w:p>
    <w:p>
      <w:pPr>
        <w:spacing w:line="460" w:lineRule="exact"/>
        <w:ind w:firstLine="480" w:firstLineChars="200"/>
        <w:rPr>
          <w:rFonts w:hint="eastAsia" w:asciiTheme="minorEastAsia" w:hAnsiTheme="minorEastAsia" w:eastAsiaTheme="minorEastAsia" w:cstheme="minorEastAsia"/>
          <w:b/>
          <w:color w:val="auto"/>
          <w:kern w:val="0"/>
          <w:sz w:val="24"/>
          <w:szCs w:val="20"/>
          <w:highlight w:val="none"/>
        </w:rPr>
      </w:pPr>
    </w:p>
    <w:p>
      <w:pPr>
        <w:pStyle w:val="15"/>
        <w:tabs>
          <w:tab w:val="left" w:pos="5580"/>
        </w:tabs>
        <w:spacing w:line="240" w:lineRule="atLeast"/>
        <w:ind w:left="539" w:leftChars="257"/>
        <w:rPr>
          <w:rFonts w:hint="eastAsia" w:asciiTheme="minorEastAsia" w:hAnsiTheme="minorEastAsia" w:eastAsiaTheme="minorEastAsia" w:cstheme="minorEastAsia"/>
          <w:b/>
          <w:color w:val="auto"/>
          <w:kern w:val="0"/>
          <w:sz w:val="24"/>
          <w:highlight w:val="none"/>
        </w:rPr>
      </w:pPr>
    </w:p>
    <w:p>
      <w:pPr>
        <w:pStyle w:val="15"/>
        <w:tabs>
          <w:tab w:val="left" w:pos="5580"/>
        </w:tabs>
        <w:spacing w:line="240" w:lineRule="atLeast"/>
        <w:ind w:left="539" w:leftChars="257"/>
        <w:rPr>
          <w:rFonts w:hint="eastAsia" w:asciiTheme="minorEastAsia" w:hAnsiTheme="minorEastAsia" w:eastAsiaTheme="minorEastAsia" w:cstheme="minorEastAsia"/>
          <w:b/>
          <w:color w:val="auto"/>
          <w:kern w:val="0"/>
          <w:sz w:val="24"/>
          <w:highlight w:val="none"/>
        </w:rPr>
      </w:pPr>
    </w:p>
    <w:p>
      <w:pPr>
        <w:pStyle w:val="15"/>
        <w:tabs>
          <w:tab w:val="left" w:pos="5580"/>
        </w:tabs>
        <w:spacing w:line="240" w:lineRule="atLeast"/>
        <w:ind w:left="539" w:leftChars="257"/>
        <w:rPr>
          <w:rFonts w:hint="eastAsia" w:asciiTheme="minorEastAsia" w:hAnsiTheme="minorEastAsia" w:eastAsiaTheme="minorEastAsia" w:cstheme="minorEastAsia"/>
          <w:b/>
          <w:color w:val="auto"/>
          <w:kern w:val="0"/>
          <w:sz w:val="24"/>
          <w:highlight w:val="none"/>
        </w:rPr>
      </w:pPr>
    </w:p>
    <w:p>
      <w:pPr>
        <w:pStyle w:val="15"/>
        <w:tabs>
          <w:tab w:val="left" w:pos="5580"/>
        </w:tabs>
        <w:spacing w:line="240" w:lineRule="atLeast"/>
        <w:ind w:left="539" w:leftChars="257"/>
        <w:rPr>
          <w:rFonts w:hint="eastAsia" w:asciiTheme="minorEastAsia" w:hAnsiTheme="minorEastAsia" w:eastAsiaTheme="minorEastAsia" w:cstheme="minorEastAsia"/>
          <w:b/>
          <w:color w:val="auto"/>
          <w:kern w:val="0"/>
          <w:sz w:val="24"/>
          <w:highlight w:val="none"/>
        </w:rPr>
      </w:pPr>
    </w:p>
    <w:p>
      <w:pPr>
        <w:pStyle w:val="15"/>
        <w:tabs>
          <w:tab w:val="left" w:pos="5580"/>
        </w:tabs>
        <w:spacing w:line="240" w:lineRule="atLeast"/>
        <w:ind w:left="539" w:leftChars="257"/>
        <w:rPr>
          <w:rFonts w:hint="eastAsia" w:asciiTheme="minorEastAsia" w:hAnsiTheme="minorEastAsia" w:eastAsiaTheme="minorEastAsia" w:cstheme="minorEastAsia"/>
          <w:b/>
          <w:color w:val="auto"/>
          <w:kern w:val="0"/>
          <w:sz w:val="24"/>
          <w:highlight w:val="none"/>
        </w:rPr>
      </w:pPr>
    </w:p>
    <w:bookmarkEnd w:id="317"/>
    <w:bookmarkEnd w:id="318"/>
    <w:bookmarkEnd w:id="319"/>
    <w:bookmarkEnd w:id="320"/>
    <w:bookmarkEnd w:id="321"/>
    <w:bookmarkEnd w:id="322"/>
    <w:bookmarkEnd w:id="323"/>
    <w:bookmarkEnd w:id="324"/>
    <w:p>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br w:type="page"/>
      </w:r>
    </w:p>
    <w:p>
      <w:pPr>
        <w:pStyle w:val="5"/>
        <w:numPr>
          <w:ilvl w:val="0"/>
          <w:numId w:val="0"/>
        </w:numPr>
        <w:spacing w:before="0" w:line="240" w:lineRule="atLeast"/>
        <w:jc w:val="center"/>
        <w:rPr>
          <w:rFonts w:hint="eastAsia" w:asciiTheme="minorEastAsia" w:hAnsiTheme="minorEastAsia" w:eastAsiaTheme="minorEastAsia" w:cstheme="minorEastAsia"/>
          <w:color w:val="auto"/>
          <w:sz w:val="24"/>
          <w:highlight w:val="none"/>
        </w:rPr>
      </w:pPr>
      <w:bookmarkStart w:id="325" w:name="_Toc24741"/>
      <w:bookmarkStart w:id="326" w:name="_Toc19749"/>
      <w:bookmarkStart w:id="327" w:name="_Toc4082"/>
      <w:bookmarkStart w:id="328" w:name="_Toc23477"/>
      <w:r>
        <w:rPr>
          <w:rFonts w:hint="eastAsia" w:asciiTheme="minorEastAsia" w:hAnsiTheme="minorEastAsia" w:eastAsiaTheme="minorEastAsia" w:cstheme="minorEastAsia"/>
          <w:color w:val="auto"/>
          <w:sz w:val="24"/>
          <w:highlight w:val="none"/>
        </w:rPr>
        <w:t>4  具有良好的商业信誉和健全的财务会计制度的证明文件</w:t>
      </w:r>
      <w:bookmarkEnd w:id="325"/>
      <w:bookmarkEnd w:id="326"/>
      <w:bookmarkEnd w:id="327"/>
      <w:bookmarkEnd w:id="328"/>
    </w:p>
    <w:p>
      <w:pPr>
        <w:tabs>
          <w:tab w:val="left" w:pos="5580"/>
        </w:tabs>
        <w:spacing w:line="240" w:lineRule="atLeast"/>
        <w:ind w:left="1079" w:leftChars="257" w:hanging="540"/>
        <w:jc w:val="center"/>
        <w:rPr>
          <w:rFonts w:hint="eastAsia" w:ascii="仿宋_GB2312" w:hAnsi="宋体" w:eastAsia="仿宋_GB2312"/>
          <w:b/>
          <w:color w:val="auto"/>
          <w:sz w:val="24"/>
          <w:highlight w:val="none"/>
        </w:rPr>
      </w:pPr>
    </w:p>
    <w:p>
      <w:pPr>
        <w:tabs>
          <w:tab w:val="left" w:pos="5580"/>
        </w:tabs>
        <w:spacing w:line="240" w:lineRule="atLeast"/>
        <w:ind w:left="1079" w:leftChars="257" w:hanging="540"/>
        <w:jc w:val="center"/>
        <w:rPr>
          <w:rFonts w:hint="eastAsia" w:ascii="仿宋_GB2312" w:hAnsi="宋体" w:eastAsia="仿宋_GB2312"/>
          <w:b/>
          <w:color w:val="auto"/>
          <w:sz w:val="24"/>
          <w:highlight w:val="none"/>
        </w:rPr>
      </w:pPr>
    </w:p>
    <w:p>
      <w:pPr>
        <w:tabs>
          <w:tab w:val="left" w:pos="5580"/>
        </w:tabs>
        <w:spacing w:line="240" w:lineRule="atLeast"/>
        <w:ind w:left="1079" w:leftChars="257" w:hanging="540"/>
        <w:rPr>
          <w:rFonts w:hint="eastAsia" w:ascii="仿宋_GB2312" w:eastAsia="仿宋_GB2312"/>
          <w:color w:val="auto"/>
          <w:sz w:val="24"/>
          <w:highlight w:val="none"/>
        </w:rPr>
      </w:pPr>
      <w:r>
        <w:rPr>
          <w:rFonts w:hint="eastAsia" w:ascii="仿宋_GB2312" w:eastAsia="仿宋_GB2312"/>
          <w:color w:val="auto"/>
          <w:sz w:val="24"/>
          <w:highlight w:val="none"/>
        </w:rPr>
        <w:t>说明：</w:t>
      </w:r>
    </w:p>
    <w:p>
      <w:pPr>
        <w:tabs>
          <w:tab w:val="left" w:pos="5580"/>
        </w:tabs>
        <w:spacing w:line="240" w:lineRule="atLeast"/>
        <w:ind w:left="540"/>
        <w:rPr>
          <w:rFonts w:hint="eastAsia" w:ascii="仿宋_GB2312" w:hAnsi="宋体" w:eastAsia="仿宋_GB2312"/>
          <w:bCs/>
          <w:color w:val="auto"/>
          <w:sz w:val="24"/>
          <w:highlight w:val="none"/>
        </w:rPr>
      </w:pPr>
      <w:r>
        <w:rPr>
          <w:rFonts w:hint="eastAsia" w:ascii="仿宋_GB2312" w:eastAsia="仿宋_GB2312"/>
          <w:color w:val="auto"/>
          <w:sz w:val="24"/>
          <w:highlight w:val="none"/>
        </w:rPr>
        <w:t>1、</w:t>
      </w:r>
      <w:r>
        <w:rPr>
          <w:rFonts w:hint="eastAsia" w:ascii="仿宋_GB2312" w:eastAsia="仿宋_GB2312"/>
          <w:color w:val="auto"/>
          <w:sz w:val="24"/>
          <w:highlight w:val="none"/>
          <w:lang w:val="en-US" w:eastAsia="zh-CN"/>
        </w:rPr>
        <w:t>提供2020年度</w:t>
      </w:r>
      <w:r>
        <w:rPr>
          <w:rFonts w:hint="eastAsia" w:ascii="仿宋_GB2312" w:eastAsia="仿宋_GB2312"/>
          <w:color w:val="auto"/>
          <w:sz w:val="24"/>
          <w:highlight w:val="none"/>
        </w:rPr>
        <w:t>经会计师事务所出具的审计报告复印件须加盖</w:t>
      </w:r>
      <w:r>
        <w:rPr>
          <w:rFonts w:hint="eastAsia" w:ascii="仿宋_GB2312" w:hAnsi="宋体" w:eastAsia="仿宋_GB2312"/>
          <w:bCs/>
          <w:color w:val="auto"/>
          <w:sz w:val="24"/>
          <w:highlight w:val="none"/>
        </w:rPr>
        <w:t>本单位</w:t>
      </w:r>
      <w:r>
        <w:rPr>
          <w:rFonts w:hint="eastAsia" w:ascii="仿宋_GB2312" w:eastAsia="仿宋_GB2312"/>
          <w:bCs/>
          <w:color w:val="auto"/>
          <w:sz w:val="24"/>
          <w:highlight w:val="none"/>
        </w:rPr>
        <w:t>章。</w:t>
      </w:r>
    </w:p>
    <w:p>
      <w:pPr>
        <w:tabs>
          <w:tab w:val="left" w:pos="5580"/>
        </w:tabs>
        <w:spacing w:line="240" w:lineRule="atLeast"/>
        <w:ind w:left="540"/>
        <w:rPr>
          <w:rFonts w:hint="eastAsia" w:ascii="仿宋_GB2312" w:eastAsia="仿宋_GB2312"/>
          <w:color w:val="auto"/>
          <w:sz w:val="24"/>
          <w:highlight w:val="none"/>
        </w:rPr>
      </w:pPr>
      <w:r>
        <w:rPr>
          <w:rFonts w:hint="eastAsia" w:ascii="仿宋_GB2312" w:eastAsia="仿宋_GB2312"/>
          <w:color w:val="auto"/>
          <w:sz w:val="24"/>
          <w:highlight w:val="none"/>
        </w:rPr>
        <w:t>2、如提供</w:t>
      </w:r>
      <w:r>
        <w:rPr>
          <w:rFonts w:hint="eastAsia" w:ascii="仿宋_GB2312" w:hAnsi="宋体" w:eastAsia="仿宋_GB2312"/>
          <w:color w:val="auto"/>
          <w:sz w:val="24"/>
          <w:highlight w:val="none"/>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color w:val="auto"/>
          <w:sz w:val="24"/>
          <w:highlight w:val="none"/>
        </w:rPr>
        <w:t>银行出具</w:t>
      </w:r>
      <w:r>
        <w:rPr>
          <w:rFonts w:ascii="仿宋_GB2312" w:eastAsia="仿宋_GB2312"/>
          <w:color w:val="auto"/>
          <w:sz w:val="24"/>
          <w:highlight w:val="none"/>
        </w:rPr>
        <w:t>的</w:t>
      </w:r>
      <w:r>
        <w:rPr>
          <w:rFonts w:hint="eastAsia" w:ascii="仿宋_GB2312" w:eastAsia="仿宋_GB2312"/>
          <w:color w:val="auto"/>
          <w:sz w:val="24"/>
          <w:highlight w:val="none"/>
        </w:rPr>
        <w:t>证明文件应能说明该投标人与银行之间业务往来正常，企业信誉良好等。</w:t>
      </w:r>
    </w:p>
    <w:p>
      <w:pPr>
        <w:tabs>
          <w:tab w:val="left" w:pos="5580"/>
        </w:tabs>
        <w:spacing w:line="240" w:lineRule="atLeast"/>
        <w:ind w:left="1079" w:leftChars="257" w:hanging="540"/>
        <w:rPr>
          <w:rFonts w:hint="eastAsia" w:ascii="仿宋_GB2312" w:eastAsia="仿宋_GB2312"/>
          <w:b w:val="0"/>
          <w:bCs w:val="0"/>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rPr>
        <w:t>、</w:t>
      </w:r>
      <w:r>
        <w:rPr>
          <w:rFonts w:hint="eastAsia" w:ascii="仿宋_GB2312" w:eastAsia="仿宋_GB2312"/>
          <w:b w:val="0"/>
          <w:bCs w:val="0"/>
          <w:color w:val="auto"/>
          <w:sz w:val="24"/>
          <w:highlight w:val="none"/>
        </w:rPr>
        <w:t>如果</w:t>
      </w:r>
      <w:r>
        <w:rPr>
          <w:rFonts w:hint="eastAsia" w:ascii="仿宋_GB2312" w:eastAsia="仿宋_GB2312"/>
          <w:color w:val="auto"/>
          <w:sz w:val="24"/>
          <w:highlight w:val="none"/>
        </w:rPr>
        <w:t>是联合体投标，联合体各方均需提供上述证明</w:t>
      </w:r>
      <w:r>
        <w:rPr>
          <w:rFonts w:hint="eastAsia" w:ascii="仿宋_GB2312" w:eastAsia="仿宋_GB2312"/>
          <w:b w:val="0"/>
          <w:bCs w:val="0"/>
          <w:color w:val="auto"/>
          <w:sz w:val="24"/>
          <w:highlight w:val="none"/>
        </w:rPr>
        <w:t>（本项目不接受联</w:t>
      </w:r>
    </w:p>
    <w:p>
      <w:pPr>
        <w:tabs>
          <w:tab w:val="left" w:pos="5580"/>
        </w:tabs>
        <w:spacing w:line="240" w:lineRule="atLeast"/>
        <w:ind w:left="1079" w:leftChars="257" w:hanging="540"/>
        <w:rPr>
          <w:rFonts w:ascii="仿宋_GB2312" w:eastAsia="仿宋_GB2312"/>
          <w:color w:val="auto"/>
          <w:sz w:val="24"/>
          <w:highlight w:val="none"/>
        </w:rPr>
      </w:pPr>
      <w:r>
        <w:rPr>
          <w:rFonts w:hint="eastAsia" w:ascii="仿宋_GB2312" w:eastAsia="仿宋_GB2312"/>
          <w:b w:val="0"/>
          <w:bCs w:val="0"/>
          <w:color w:val="auto"/>
          <w:sz w:val="24"/>
          <w:highlight w:val="none"/>
        </w:rPr>
        <w:t>合体投标）</w:t>
      </w:r>
      <w:r>
        <w:rPr>
          <w:rFonts w:hint="eastAsia" w:ascii="仿宋_GB2312" w:eastAsia="仿宋_GB2312"/>
          <w:color w:val="auto"/>
          <w:sz w:val="24"/>
          <w:highlight w:val="none"/>
        </w:rPr>
        <w:t>。</w:t>
      </w:r>
    </w:p>
    <w:p>
      <w:pPr>
        <w:rPr>
          <w:rFonts w:hint="eastAsia" w:asciiTheme="minorEastAsia" w:hAnsiTheme="minorEastAsia" w:eastAsiaTheme="minorEastAsia" w:cstheme="minorEastAsia"/>
          <w:color w:val="auto"/>
          <w:sz w:val="24"/>
          <w:highlight w:val="none"/>
          <w:lang w:val="en-US" w:eastAsia="zh-CN"/>
        </w:rPr>
      </w:pPr>
    </w:p>
    <w:p>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br w:type="page"/>
      </w:r>
    </w:p>
    <w:p>
      <w:pPr>
        <w:jc w:val="center"/>
        <w:rPr>
          <w:rFonts w:hint="eastAsia" w:asciiTheme="minorEastAsia" w:hAnsiTheme="minorEastAsia" w:eastAsiaTheme="minorEastAsia" w:cstheme="minorEastAsia"/>
          <w:b/>
          <w:color w:val="auto"/>
          <w:kern w:val="0"/>
          <w:sz w:val="24"/>
          <w:szCs w:val="20"/>
          <w:highlight w:val="none"/>
          <w:lang w:val="en-US" w:eastAsia="zh-CN" w:bidi="ar-SA"/>
        </w:rPr>
      </w:pPr>
      <w:r>
        <w:rPr>
          <w:rFonts w:hint="eastAsia" w:asciiTheme="minorEastAsia" w:hAnsiTheme="minorEastAsia" w:eastAsiaTheme="minorEastAsia" w:cstheme="minorEastAsia"/>
          <w:b/>
          <w:color w:val="auto"/>
          <w:kern w:val="0"/>
          <w:sz w:val="24"/>
          <w:szCs w:val="20"/>
          <w:highlight w:val="none"/>
          <w:lang w:val="en-US" w:eastAsia="zh-CN" w:bidi="ar-SA"/>
        </w:rPr>
        <w:t>5  磋商保证金缴纳凭证复印件或</w:t>
      </w:r>
      <w:bookmarkStart w:id="329" w:name="_Toc494296991"/>
      <w:bookmarkStart w:id="330" w:name="_Toc494296665"/>
      <w:r>
        <w:rPr>
          <w:rFonts w:hint="eastAsia" w:asciiTheme="minorEastAsia" w:hAnsiTheme="minorEastAsia" w:eastAsiaTheme="minorEastAsia" w:cstheme="minorEastAsia"/>
          <w:b/>
          <w:color w:val="auto"/>
          <w:kern w:val="0"/>
          <w:sz w:val="24"/>
          <w:szCs w:val="20"/>
          <w:highlight w:val="none"/>
          <w:lang w:val="en-US" w:eastAsia="zh-CN" w:bidi="ar-SA"/>
        </w:rPr>
        <w:t>投标担保函</w:t>
      </w:r>
    </w:p>
    <w:p>
      <w:pPr>
        <w:ind w:firstLine="480" w:firstLineChars="200"/>
        <w:rPr>
          <w:rFonts w:hint="eastAsia" w:asciiTheme="minorEastAsia" w:hAnsiTheme="minorEastAsia" w:eastAsiaTheme="minorEastAsia" w:cstheme="minorEastAsia"/>
          <w:color w:val="auto"/>
          <w:sz w:val="24"/>
          <w:highlight w:val="none"/>
          <w:lang w:val="en-US" w:eastAsia="zh-CN"/>
        </w:rPr>
      </w:pPr>
    </w:p>
    <w:p>
      <w:pPr>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投标人可将本项目</w:t>
      </w:r>
      <w:r>
        <w:rPr>
          <w:rFonts w:hint="eastAsia" w:ascii="仿宋" w:hAnsi="仿宋" w:eastAsia="仿宋"/>
          <w:color w:val="auto"/>
          <w:sz w:val="24"/>
          <w:highlight w:val="none"/>
          <w:lang w:val="en-US" w:eastAsia="zh-CN"/>
        </w:rPr>
        <w:t>磋商</w:t>
      </w:r>
      <w:r>
        <w:rPr>
          <w:rFonts w:hint="eastAsia" w:ascii="仿宋" w:hAnsi="仿宋" w:eastAsia="仿宋"/>
          <w:color w:val="auto"/>
          <w:sz w:val="24"/>
          <w:highlight w:val="none"/>
        </w:rPr>
        <w:t>保证金支付的汇款凭证、支票、汇票或</w:t>
      </w:r>
      <w:r>
        <w:rPr>
          <w:rFonts w:ascii="仿宋" w:hAnsi="仿宋" w:eastAsia="仿宋"/>
          <w:color w:val="auto"/>
          <w:sz w:val="24"/>
          <w:highlight w:val="none"/>
        </w:rPr>
        <w:t>保证金</w:t>
      </w:r>
      <w:r>
        <w:rPr>
          <w:rFonts w:hint="eastAsia" w:ascii="仿宋" w:hAnsi="仿宋" w:eastAsia="仿宋"/>
          <w:color w:val="auto"/>
          <w:sz w:val="24"/>
          <w:highlight w:val="none"/>
        </w:rPr>
        <w:t>收据（如有）的复印件作为缴纳凭证装订在本部分，复印件上应加盖本单位章；使用</w:t>
      </w:r>
      <w:r>
        <w:rPr>
          <w:rFonts w:ascii="仿宋" w:hAnsi="仿宋" w:eastAsia="仿宋"/>
          <w:color w:val="auto"/>
          <w:sz w:val="24"/>
          <w:highlight w:val="none"/>
        </w:rPr>
        <w:t>银行保函</w:t>
      </w:r>
      <w:r>
        <w:rPr>
          <w:rFonts w:hint="eastAsia" w:ascii="仿宋" w:hAnsi="仿宋" w:eastAsia="仿宋"/>
          <w:color w:val="auto"/>
          <w:sz w:val="24"/>
          <w:highlight w:val="none"/>
        </w:rPr>
        <w:t>等其他投标</w:t>
      </w:r>
      <w:r>
        <w:rPr>
          <w:rFonts w:ascii="仿宋" w:hAnsi="仿宋" w:eastAsia="仿宋"/>
          <w:color w:val="auto"/>
          <w:sz w:val="24"/>
          <w:highlight w:val="none"/>
        </w:rPr>
        <w:t>担保函的，</w:t>
      </w:r>
      <w:r>
        <w:rPr>
          <w:rFonts w:hint="eastAsia" w:ascii="仿宋" w:hAnsi="仿宋" w:eastAsia="仿宋"/>
          <w:color w:val="auto"/>
          <w:sz w:val="24"/>
          <w:highlight w:val="none"/>
        </w:rPr>
        <w:t>应将</w:t>
      </w:r>
      <w:r>
        <w:rPr>
          <w:rFonts w:ascii="仿宋" w:hAnsi="仿宋" w:eastAsia="仿宋"/>
          <w:color w:val="auto"/>
          <w:sz w:val="24"/>
          <w:highlight w:val="none"/>
        </w:rPr>
        <w:t>担保函</w:t>
      </w:r>
      <w:r>
        <w:rPr>
          <w:rFonts w:hint="eastAsia" w:ascii="仿宋" w:hAnsi="仿宋" w:eastAsia="仿宋"/>
          <w:color w:val="auto"/>
          <w:sz w:val="24"/>
          <w:highlight w:val="none"/>
          <w:lang w:val="en-US" w:eastAsia="zh-CN"/>
        </w:rPr>
        <w:t>复印件</w:t>
      </w:r>
      <w:r>
        <w:rPr>
          <w:rFonts w:hint="eastAsia" w:ascii="仿宋" w:hAnsi="仿宋" w:eastAsia="仿宋"/>
          <w:color w:val="auto"/>
          <w:sz w:val="24"/>
          <w:highlight w:val="none"/>
        </w:rPr>
        <w:t>，装订</w:t>
      </w:r>
      <w:r>
        <w:rPr>
          <w:rFonts w:ascii="仿宋" w:hAnsi="仿宋" w:eastAsia="仿宋"/>
          <w:color w:val="auto"/>
          <w:sz w:val="24"/>
          <w:highlight w:val="none"/>
        </w:rPr>
        <w:t>在本部分</w:t>
      </w:r>
      <w:r>
        <w:rPr>
          <w:rFonts w:hint="eastAsia" w:ascii="仿宋" w:hAnsi="仿宋" w:eastAsia="仿宋"/>
          <w:color w:val="auto"/>
          <w:sz w:val="24"/>
          <w:highlight w:val="none"/>
        </w:rPr>
        <w:t>正本</w:t>
      </w:r>
      <w:r>
        <w:rPr>
          <w:rFonts w:ascii="仿宋" w:hAnsi="仿宋" w:eastAsia="仿宋"/>
          <w:color w:val="auto"/>
          <w:sz w:val="24"/>
          <w:highlight w:val="none"/>
        </w:rPr>
        <w:t>中；</w:t>
      </w:r>
      <w:bookmarkEnd w:id="329"/>
      <w:bookmarkEnd w:id="330"/>
    </w:p>
    <w:p>
      <w:pPr>
        <w:pStyle w:val="10"/>
        <w:rPr>
          <w:rFonts w:hint="eastAsia" w:ascii="仿宋" w:hAnsi="仿宋" w:eastAsia="仿宋"/>
          <w:color w:val="auto"/>
          <w:highlight w:val="none"/>
        </w:rPr>
      </w:pPr>
    </w:p>
    <w:p>
      <w:pPr>
        <w:pStyle w:val="10"/>
        <w:rPr>
          <w:rFonts w:hint="eastAsia" w:ascii="仿宋" w:hAnsi="仿宋" w:eastAsia="仿宋"/>
          <w:color w:val="auto"/>
          <w:highlight w:val="none"/>
        </w:rPr>
      </w:pPr>
    </w:p>
    <w:p>
      <w:pPr>
        <w:spacing w:line="240" w:lineRule="atLeast"/>
        <w:ind w:left="1079" w:leftChars="257" w:hanging="540"/>
        <w:jc w:val="center"/>
        <w:rPr>
          <w:rFonts w:hint="eastAsia" w:ascii="仿宋_GB2312" w:hAnsi="宋体" w:eastAsia="仿宋_GB2312"/>
          <w:color w:val="auto"/>
          <w:sz w:val="24"/>
          <w:highlight w:val="none"/>
        </w:rPr>
      </w:pPr>
    </w:p>
    <w:p>
      <w:pPr>
        <w:rPr>
          <w:rFonts w:hint="eastAsia" w:ascii="仿宋" w:hAnsi="仿宋" w:eastAsia="仿宋"/>
          <w:color w:val="auto"/>
          <w:sz w:val="28"/>
          <w:szCs w:val="28"/>
          <w:highlight w:val="none"/>
        </w:rPr>
      </w:pPr>
    </w:p>
    <w:p>
      <w:pPr>
        <w:pStyle w:val="5"/>
        <w:numPr>
          <w:ilvl w:val="0"/>
          <w:numId w:val="0"/>
        </w:numPr>
        <w:spacing w:before="0" w:line="240" w:lineRule="atLeast"/>
        <w:jc w:val="center"/>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highlight w:val="none"/>
        </w:rPr>
      </w:pPr>
    </w:p>
    <w:tbl>
      <w:tblPr>
        <w:tblStyle w:val="34"/>
        <w:tblpPr w:leftFromText="180" w:rightFromText="180" w:vertAnchor="text" w:horzAnchor="page" w:tblpX="1568" w:tblpY="1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8940" w:type="dxa"/>
            <w:noWrap w:val="0"/>
            <w:vAlign w:val="top"/>
          </w:tcPr>
          <w:p>
            <w:pPr>
              <w:rPr>
                <w:rFonts w:ascii="宋体" w:hAnsi="宋体" w:cs="宋体"/>
                <w:b/>
                <w:bCs/>
                <w:color w:val="auto"/>
                <w:sz w:val="30"/>
                <w:szCs w:val="30"/>
                <w:highlight w:val="none"/>
              </w:rPr>
            </w:pPr>
          </w:p>
          <w:p>
            <w:pPr>
              <w:jc w:val="center"/>
              <w:rPr>
                <w:rFonts w:ascii="宋体" w:hAnsi="宋体" w:cs="宋体"/>
                <w:b/>
                <w:bCs/>
                <w:color w:val="auto"/>
                <w:sz w:val="30"/>
                <w:szCs w:val="30"/>
                <w:highlight w:val="none"/>
              </w:rPr>
            </w:pPr>
          </w:p>
          <w:p>
            <w:pPr>
              <w:jc w:val="center"/>
              <w:rPr>
                <w:rFonts w:ascii="宋体" w:hAnsi="宋体" w:cs="宋体"/>
                <w:b/>
                <w:bCs/>
                <w:color w:val="auto"/>
                <w:sz w:val="30"/>
                <w:szCs w:val="30"/>
                <w:highlight w:val="none"/>
              </w:rPr>
            </w:pPr>
          </w:p>
          <w:p>
            <w:pPr>
              <w:jc w:val="center"/>
              <w:rPr>
                <w:rFonts w:ascii="宋体" w:hAnsi="宋体" w:cs="宋体"/>
                <w:b/>
                <w:bCs/>
                <w:color w:val="auto"/>
                <w:sz w:val="30"/>
                <w:szCs w:val="30"/>
                <w:highlight w:val="none"/>
              </w:rPr>
            </w:pPr>
          </w:p>
          <w:p>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银行</w:t>
            </w:r>
            <w:r>
              <w:rPr>
                <w:rFonts w:hint="eastAsia" w:ascii="宋体" w:hAnsi="宋体" w:cs="宋体"/>
                <w:b/>
                <w:bCs/>
                <w:color w:val="auto"/>
                <w:sz w:val="30"/>
                <w:szCs w:val="30"/>
                <w:highlight w:val="none"/>
                <w:lang w:val="en-US" w:eastAsia="zh-CN"/>
              </w:rPr>
              <w:t>转账回执单</w:t>
            </w:r>
            <w:r>
              <w:rPr>
                <w:rFonts w:hint="eastAsia" w:ascii="宋体" w:hAnsi="宋体" w:cs="宋体"/>
                <w:b/>
                <w:bCs/>
                <w:color w:val="auto"/>
                <w:sz w:val="30"/>
                <w:szCs w:val="30"/>
                <w:highlight w:val="none"/>
              </w:rPr>
              <w:t>复印件</w:t>
            </w:r>
          </w:p>
        </w:tc>
      </w:tr>
    </w:tbl>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pPr>
        <w:spacing w:line="360" w:lineRule="exact"/>
        <w:jc w:val="center"/>
        <w:outlineLvl w:val="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政府采购</w:t>
      </w:r>
      <w:r>
        <w:rPr>
          <w:rFonts w:hint="eastAsia" w:asciiTheme="minorEastAsia" w:hAnsiTheme="minorEastAsia" w:eastAsiaTheme="minorEastAsia" w:cstheme="minorEastAsia"/>
          <w:color w:val="auto"/>
          <w:sz w:val="28"/>
          <w:szCs w:val="28"/>
          <w:highlight w:val="none"/>
          <w:lang w:eastAsia="zh-CN"/>
        </w:rPr>
        <w:t>投标担保函</w:t>
      </w:r>
      <w:r>
        <w:rPr>
          <w:rFonts w:hint="eastAsia" w:asciiTheme="minorEastAsia" w:hAnsiTheme="minorEastAsia" w:eastAsiaTheme="minorEastAsia" w:cstheme="minorEastAsia"/>
          <w:color w:val="auto"/>
          <w:sz w:val="28"/>
          <w:szCs w:val="28"/>
          <w:highlight w:val="none"/>
        </w:rPr>
        <w:t xml:space="preserve"> （本项目不适用）（</w:t>
      </w:r>
      <w:r>
        <w:rPr>
          <w:rFonts w:hint="eastAsia" w:asciiTheme="minorEastAsia" w:hAnsiTheme="minorEastAsia" w:eastAsiaTheme="minorEastAsia" w:cstheme="minorEastAsia"/>
          <w:color w:val="auto"/>
          <w:sz w:val="28"/>
          <w:szCs w:val="28"/>
          <w:highlight w:val="none"/>
          <w:lang w:eastAsia="zh-CN"/>
        </w:rPr>
        <w:t>响应文件</w:t>
      </w:r>
      <w:r>
        <w:rPr>
          <w:rFonts w:hint="eastAsia" w:asciiTheme="minorEastAsia" w:hAnsiTheme="minorEastAsia" w:eastAsiaTheme="minorEastAsia" w:cstheme="minorEastAsia"/>
          <w:color w:val="auto"/>
          <w:sz w:val="28"/>
          <w:szCs w:val="28"/>
          <w:highlight w:val="none"/>
        </w:rPr>
        <w:t>格式三）</w:t>
      </w:r>
    </w:p>
    <w:p>
      <w:pPr>
        <w:spacing w:line="360" w:lineRule="exact"/>
        <w:ind w:firstLine="6720" w:firstLineChars="3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编号：</w:t>
      </w:r>
    </w:p>
    <w:p>
      <w:pPr>
        <w:spacing w:line="36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（采购人）：</w:t>
      </w:r>
    </w:p>
    <w:p>
      <w:pPr>
        <w:spacing w:line="360" w:lineRule="exact"/>
        <w:rPr>
          <w:rFonts w:hint="eastAsia" w:asciiTheme="minorEastAsia" w:hAnsiTheme="minorEastAsia" w:eastAsiaTheme="minorEastAsia" w:cstheme="minorEastAsia"/>
          <w:color w:val="auto"/>
          <w:sz w:val="24"/>
          <w:highlight w:val="none"/>
        </w:rPr>
      </w:pP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鉴于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（以下简称“</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”）拟参加编号为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项目（以下简称“本项目”）</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，根据本项目磋商文件，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参加</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时应向你方交纳</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保证金，且可以</w:t>
      </w:r>
      <w:r>
        <w:rPr>
          <w:rFonts w:hint="eastAsia" w:asciiTheme="minorEastAsia" w:hAnsiTheme="minorEastAsia" w:eastAsiaTheme="minorEastAsia" w:cstheme="minorEastAsia"/>
          <w:color w:val="auto"/>
          <w:sz w:val="24"/>
          <w:highlight w:val="none"/>
          <w:lang w:eastAsia="zh-CN"/>
        </w:rPr>
        <w:t>投标担保函</w:t>
      </w:r>
      <w:r>
        <w:rPr>
          <w:rFonts w:hint="eastAsia" w:asciiTheme="minorEastAsia" w:hAnsiTheme="minorEastAsia" w:eastAsiaTheme="minorEastAsia" w:cstheme="minorEastAsia"/>
          <w:color w:val="auto"/>
          <w:sz w:val="24"/>
          <w:highlight w:val="none"/>
        </w:rPr>
        <w:t>的形式交纳</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保证金。应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的申请，我方以保证的方式向你方提供如下</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保证金担保：</w:t>
      </w:r>
    </w:p>
    <w:p>
      <w:pPr>
        <w:spacing w:line="360" w:lineRule="exact"/>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一、保证责任的情形及保证金额</w:t>
      </w:r>
    </w:p>
    <w:p>
      <w:pPr>
        <w:spacing w:line="360" w:lineRule="exact"/>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（一）在</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出现下列情形之一时，我方承担保证责任：</w:t>
      </w:r>
    </w:p>
    <w:p>
      <w:pPr>
        <w:spacing w:line="360" w:lineRule="exact"/>
        <w:ind w:firstLine="480" w:firstLineChars="20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成交</w:t>
      </w:r>
      <w:r>
        <w:rPr>
          <w:rFonts w:hint="eastAsia" w:asciiTheme="minorEastAsia" w:hAnsiTheme="minorEastAsia" w:eastAsiaTheme="minorEastAsia" w:cstheme="minorEastAsia"/>
          <w:color w:val="auto"/>
          <w:sz w:val="24"/>
          <w:highlight w:val="none"/>
        </w:rPr>
        <w:t>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无正当理由不与采购人或者采购代理机构签订《政府采购合同》；</w:t>
      </w:r>
    </w:p>
    <w:p>
      <w:pPr>
        <w:spacing w:line="360" w:lineRule="exact"/>
        <w:ind w:firstLine="480" w:firstLineChars="20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2．磋商文件规定的</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应当缴纳保证金的其他情形。</w:t>
      </w:r>
    </w:p>
    <w:p>
      <w:pPr>
        <w:spacing w:line="360" w:lineRule="exact"/>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（二）我方承担保证责任的最高金额为人民币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），即本项目的</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保证金金额。</w:t>
      </w:r>
    </w:p>
    <w:p>
      <w:pPr>
        <w:spacing w:line="360" w:lineRule="exact"/>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二、保证的方式及保证期间</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我方保证的方式为：连带责任保证。</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我方的保证期间为：自本保函生效之日起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个月止。</w:t>
      </w:r>
    </w:p>
    <w:p>
      <w:pPr>
        <w:spacing w:line="360" w:lineRule="exact"/>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三、承担保证责任的程序</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1．你方要求我方承担保证责任的，应在本保函保证期间内向我方发出书面索赔通知。索赔通知应写明要求索赔的金额，支付款项应到达的账号，并附有证明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发生我方应承担保证责任情形的事实材料。</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2．我方在收到索赔通知及相关证明材料后，在</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个工作日内进行审查，符合应承担保证责任情形的，我方应按照你方的要求代</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向你方支付</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保证金。</w:t>
      </w:r>
    </w:p>
    <w:p>
      <w:pPr>
        <w:spacing w:line="360" w:lineRule="exact"/>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四、保证责任的终止</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1．保证期间届满你方未向我方书面主张保证责任的，自保证期间届满次日起，我方保证责任自动终止。</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2．我方按照本保函向你贵方履行了保证责任后，自我方向你贵方支付款项（支付款项从我方账户划出）之日起，保证责任终止。</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3．按照法律法规的规定或出现我方保证责任终止的其它情形的，我方在本保函项下的保证责任亦终止。</w:t>
      </w:r>
    </w:p>
    <w:p>
      <w:pPr>
        <w:spacing w:line="360" w:lineRule="exact"/>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五、免责条款</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1．依照法律规定或你方与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的另行约定，全部或者部分免除</w:t>
      </w:r>
      <w:r>
        <w:rPr>
          <w:rFonts w:hint="eastAsia" w:asciiTheme="minorEastAsia" w:hAnsiTheme="minorEastAsia" w:eastAsiaTheme="minorEastAsia" w:cstheme="minorEastAsia"/>
          <w:color w:val="auto"/>
          <w:sz w:val="24"/>
          <w:highlight w:val="none"/>
          <w:lang w:eastAsia="zh-CN"/>
        </w:rPr>
        <w:t>供应商磋商</w:t>
      </w:r>
      <w:r>
        <w:rPr>
          <w:rFonts w:hint="eastAsia" w:asciiTheme="minorEastAsia" w:hAnsiTheme="minorEastAsia" w:eastAsiaTheme="minorEastAsia" w:cstheme="minorEastAsia"/>
          <w:color w:val="auto"/>
          <w:sz w:val="24"/>
          <w:highlight w:val="none"/>
        </w:rPr>
        <w:t>保证金义务时，我方亦免除相应的保证责任。</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2．因你方原因致使</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发生本保函第一条第（一）款约定情形的，我方不承担保证责任。</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3．因不可抗力造成</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发生本保函第一条约定情形的，我方不承担保证责任。</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六、争议的解决</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因本保函发生的纠纷，由你我双方协商解决，协商不成的，通过诉讼程序解决，诉讼管辖地法院为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法院。</w:t>
      </w:r>
    </w:p>
    <w:p>
      <w:pPr>
        <w:spacing w:line="360" w:lineRule="exact"/>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七、保函的生效</w:t>
      </w:r>
    </w:p>
    <w:p>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本保函自我方加盖公章之日起生效。</w:t>
      </w:r>
    </w:p>
    <w:p>
      <w:pPr>
        <w:spacing w:line="360" w:lineRule="exact"/>
        <w:ind w:firstLine="6360" w:firstLineChars="26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保证人：（公章）</w:t>
      </w:r>
    </w:p>
    <w:p>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spacing w:line="360" w:lineRule="exact"/>
        <w:ind w:firstLine="6600" w:firstLineChars="27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年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月   日</w:t>
      </w:r>
    </w:p>
    <w:p>
      <w:pPr>
        <w:spacing w:line="360" w:lineRule="exact"/>
        <w:rPr>
          <w:rFonts w:hint="eastAsia" w:asciiTheme="minorEastAsia" w:hAnsiTheme="minorEastAsia" w:eastAsiaTheme="minorEastAsia" w:cstheme="minorEastAsia"/>
          <w:color w:val="auto"/>
          <w:sz w:val="24"/>
          <w:highlight w:val="none"/>
        </w:rPr>
      </w:pPr>
    </w:p>
    <w:p>
      <w:pPr>
        <w:spacing w:line="360" w:lineRule="exact"/>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pStyle w:val="48"/>
        <w:rPr>
          <w:rFonts w:hint="eastAsia" w:asciiTheme="minorEastAsia" w:hAnsiTheme="minorEastAsia" w:eastAsiaTheme="minorEastAsia" w:cstheme="minorEastAsia"/>
          <w:b/>
          <w:bCs/>
          <w:color w:val="auto"/>
          <w:sz w:val="28"/>
          <w:szCs w:val="28"/>
          <w:highlight w:val="none"/>
        </w:rPr>
      </w:pPr>
    </w:p>
    <w:p>
      <w:pPr>
        <w:spacing w:line="360" w:lineRule="exact"/>
        <w:rPr>
          <w:rFonts w:hint="eastAsia" w:asciiTheme="minorEastAsia" w:hAnsiTheme="minorEastAsia" w:eastAsiaTheme="minorEastAsia" w:cstheme="minorEastAsia"/>
          <w:color w:val="auto"/>
          <w:sz w:val="28"/>
          <w:szCs w:val="28"/>
          <w:highlight w:val="none"/>
        </w:rPr>
      </w:pPr>
    </w:p>
    <w:p>
      <w:pPr>
        <w:pStyle w:val="5"/>
        <w:spacing w:before="0" w:line="360" w:lineRule="exact"/>
        <w:rPr>
          <w:rFonts w:hint="eastAsia" w:asciiTheme="minorEastAsia" w:hAnsiTheme="minorEastAsia" w:eastAsiaTheme="minorEastAsia" w:cstheme="minorEastAsia"/>
          <w:color w:val="auto"/>
          <w:sz w:val="24"/>
          <w:highlight w:val="none"/>
        </w:rPr>
      </w:pPr>
      <w:bookmarkStart w:id="331" w:name="_Toc5710"/>
      <w:bookmarkStart w:id="332" w:name="_Toc17782"/>
      <w:bookmarkStart w:id="333" w:name="_Toc515647810"/>
      <w:bookmarkStart w:id="334" w:name="_Toc12189"/>
      <w:bookmarkStart w:id="335" w:name="_Toc5424"/>
      <w:bookmarkStart w:id="336" w:name="_Toc18754"/>
      <w:bookmarkStart w:id="337" w:name="_Toc23817"/>
      <w:bookmarkStart w:id="338" w:name="_Toc22500"/>
      <w:bookmarkStart w:id="339" w:name="_Toc5167"/>
      <w:bookmarkStart w:id="340" w:name="_Toc31179"/>
      <w:bookmarkStart w:id="341" w:name="_Toc15031"/>
      <w:bookmarkStart w:id="342" w:name="_Toc6113"/>
      <w:bookmarkStart w:id="343" w:name="_Toc8873"/>
      <w:bookmarkStart w:id="344" w:name="_Toc23044"/>
      <w:bookmarkStart w:id="345" w:name="_Toc515647814"/>
      <w:bookmarkStart w:id="346" w:name="_Toc2502"/>
      <w:r>
        <w:rPr>
          <w:rFonts w:hint="eastAsia" w:asciiTheme="minorEastAsia" w:hAnsiTheme="minorEastAsia" w:eastAsiaTheme="minorEastAsia" w:cstheme="minorEastAsia"/>
          <w:color w:val="auto"/>
          <w:sz w:val="24"/>
          <w:highlight w:val="none"/>
        </w:rPr>
        <w:t>6  社会保障资金的缴纳记录</w:t>
      </w:r>
      <w:bookmarkEnd w:id="331"/>
      <w:bookmarkEnd w:id="332"/>
      <w:bookmarkEnd w:id="333"/>
      <w:bookmarkEnd w:id="334"/>
      <w:bookmarkEnd w:id="335"/>
      <w:bookmarkEnd w:id="336"/>
      <w:bookmarkEnd w:id="337"/>
    </w:p>
    <w:p>
      <w:pPr>
        <w:pStyle w:val="5"/>
        <w:spacing w:before="0" w:line="360" w:lineRule="exact"/>
        <w:rPr>
          <w:rFonts w:hint="eastAsia" w:asciiTheme="minorEastAsia" w:hAnsiTheme="minorEastAsia" w:eastAsiaTheme="minorEastAsia" w:cstheme="minorEastAsia"/>
          <w:color w:val="auto"/>
          <w:sz w:val="24"/>
          <w:highlight w:val="none"/>
        </w:rPr>
      </w:pPr>
    </w:p>
    <w:p>
      <w:pPr>
        <w:pStyle w:val="5"/>
        <w:spacing w:before="0" w:line="360" w:lineRule="exact"/>
        <w:rPr>
          <w:rFonts w:hint="eastAsia" w:asciiTheme="minorEastAsia" w:hAnsiTheme="minorEastAsia" w:eastAsiaTheme="minorEastAsia" w:cstheme="minorEastAsia"/>
          <w:color w:val="auto"/>
          <w:sz w:val="24"/>
          <w:highlight w:val="none"/>
        </w:rPr>
      </w:pPr>
    </w:p>
    <w:p>
      <w:pPr>
        <w:pStyle w:val="5"/>
        <w:spacing w:before="0" w:line="360" w:lineRule="exact"/>
        <w:ind w:firstLine="720" w:firstLineChars="300"/>
        <w:jc w:val="left"/>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说明：1.按照投标人须知资料表中的规定提供复印件。</w:t>
      </w:r>
    </w:p>
    <w:p>
      <w:pPr>
        <w:pStyle w:val="5"/>
        <w:spacing w:before="0" w:line="360" w:lineRule="exact"/>
        <w:jc w:val="left"/>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 xml:space="preserve">      </w:t>
      </w:r>
      <w:r>
        <w:rPr>
          <w:rFonts w:hint="eastAsia" w:asciiTheme="minorEastAsia" w:hAnsiTheme="minorEastAsia" w:eastAsiaTheme="minorEastAsia" w:cstheme="minorEastAsia"/>
          <w:b w:val="0"/>
          <w:bCs/>
          <w:color w:val="auto"/>
          <w:sz w:val="24"/>
          <w:highlight w:val="none"/>
          <w:lang w:val="en-US" w:eastAsia="zh-CN"/>
        </w:rPr>
        <w:t xml:space="preserve">      </w:t>
      </w:r>
      <w:r>
        <w:rPr>
          <w:rFonts w:hint="eastAsia" w:asciiTheme="minorEastAsia" w:hAnsiTheme="minorEastAsia" w:eastAsiaTheme="minorEastAsia" w:cstheme="minorEastAsia"/>
          <w:b w:val="0"/>
          <w:bCs/>
          <w:color w:val="auto"/>
          <w:sz w:val="24"/>
          <w:highlight w:val="none"/>
        </w:rPr>
        <w:t>2.复印件上应加盖本单位章。</w:t>
      </w:r>
    </w:p>
    <w:p>
      <w:pPr>
        <w:pStyle w:val="5"/>
        <w:spacing w:before="0" w:line="360" w:lineRule="exact"/>
        <w:ind w:left="1680" w:hanging="1680" w:hangingChars="700"/>
        <w:jc w:val="left"/>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 xml:space="preserve">      </w:t>
      </w:r>
      <w:r>
        <w:rPr>
          <w:rFonts w:hint="eastAsia" w:asciiTheme="minorEastAsia" w:hAnsiTheme="minorEastAsia" w:eastAsiaTheme="minorEastAsia" w:cstheme="minorEastAsia"/>
          <w:b w:val="0"/>
          <w:bCs/>
          <w:color w:val="auto"/>
          <w:sz w:val="24"/>
          <w:highlight w:val="none"/>
          <w:lang w:val="en-US" w:eastAsia="zh-CN"/>
        </w:rPr>
        <w:t xml:space="preserve">      </w:t>
      </w:r>
      <w:r>
        <w:rPr>
          <w:rFonts w:hint="eastAsia" w:asciiTheme="minorEastAsia" w:hAnsiTheme="minorEastAsia" w:eastAsiaTheme="minorEastAsia" w:cstheme="minorEastAsia"/>
          <w:b w:val="0"/>
          <w:bCs/>
          <w:color w:val="auto"/>
          <w:sz w:val="24"/>
          <w:highlight w:val="none"/>
        </w:rPr>
        <w:t>3.如果是联合体投标，联合体各方均需提供上述证明。（本项目不接受联合体）</w:t>
      </w:r>
    </w:p>
    <w:p>
      <w:pPr>
        <w:pStyle w:val="5"/>
        <w:spacing w:before="0" w:line="360" w:lineRule="exact"/>
        <w:rPr>
          <w:rFonts w:hint="eastAsia" w:asciiTheme="minorEastAsia" w:hAnsiTheme="minorEastAsia" w:eastAsiaTheme="minorEastAsia" w:cstheme="minorEastAsia"/>
          <w:color w:val="auto"/>
          <w:sz w:val="24"/>
          <w:highlight w:val="none"/>
        </w:rPr>
      </w:pPr>
    </w:p>
    <w:p>
      <w:pPr>
        <w:pStyle w:val="5"/>
        <w:spacing w:before="0" w:line="360" w:lineRule="exact"/>
        <w:rPr>
          <w:rFonts w:hint="eastAsia" w:asciiTheme="minorEastAsia" w:hAnsiTheme="minorEastAsia" w:eastAsiaTheme="minorEastAsia" w:cstheme="minorEastAsia"/>
          <w:color w:val="auto"/>
          <w:sz w:val="24"/>
          <w:highlight w:val="none"/>
        </w:rPr>
      </w:pPr>
    </w:p>
    <w:p>
      <w:pPr>
        <w:pStyle w:val="5"/>
        <w:spacing w:before="0" w:line="360" w:lineRule="exact"/>
        <w:rPr>
          <w:rFonts w:hint="eastAsia" w:asciiTheme="minorEastAsia" w:hAnsiTheme="minorEastAsia" w:eastAsiaTheme="minorEastAsia" w:cstheme="minorEastAsia"/>
          <w:color w:val="auto"/>
          <w:sz w:val="24"/>
          <w:highlight w:val="none"/>
        </w:rPr>
      </w:pPr>
    </w:p>
    <w:p>
      <w:pPr>
        <w:pStyle w:val="5"/>
        <w:spacing w:before="0"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、参加政府采购活动前3年内</w:t>
      </w:r>
      <w:bookmarkStart w:id="347" w:name="_Toc1137"/>
      <w:bookmarkStart w:id="348" w:name="_Toc515647812"/>
      <w:bookmarkStart w:id="349" w:name="_Toc6008"/>
      <w:r>
        <w:rPr>
          <w:rFonts w:hint="eastAsia" w:asciiTheme="minorEastAsia" w:hAnsiTheme="minorEastAsia" w:eastAsiaTheme="minorEastAsia" w:cstheme="minorEastAsia"/>
          <w:color w:val="auto"/>
          <w:sz w:val="24"/>
          <w:highlight w:val="none"/>
        </w:rPr>
        <w:t>在经营活动中没有重大违法记录的书面声明</w:t>
      </w:r>
      <w:bookmarkEnd w:id="338"/>
      <w:bookmarkEnd w:id="339"/>
      <w:bookmarkEnd w:id="340"/>
      <w:bookmarkEnd w:id="341"/>
      <w:bookmarkEnd w:id="342"/>
      <w:bookmarkEnd w:id="343"/>
      <w:bookmarkEnd w:id="347"/>
      <w:bookmarkEnd w:id="348"/>
      <w:bookmarkEnd w:id="349"/>
    </w:p>
    <w:p>
      <w:pPr>
        <w:pStyle w:val="15"/>
        <w:tabs>
          <w:tab w:val="left" w:pos="5580"/>
        </w:tabs>
        <w:spacing w:line="360" w:lineRule="exact"/>
        <w:ind w:left="1079" w:leftChars="257" w:hanging="540"/>
        <w:jc w:val="center"/>
        <w:rPr>
          <w:rFonts w:hint="eastAsia" w:asciiTheme="minorEastAsia" w:hAnsiTheme="minorEastAsia" w:eastAsiaTheme="minorEastAsia" w:cstheme="minorEastAsia"/>
          <w:b/>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应按照相关法规规定如实作出说明。</w:t>
      </w:r>
    </w:p>
    <w:p>
      <w:pPr>
        <w:pStyle w:val="15"/>
        <w:tabs>
          <w:tab w:val="left" w:pos="5580"/>
        </w:tabs>
        <w:spacing w:line="360" w:lineRule="exact"/>
        <w:ind w:left="1123" w:leftChars="535"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2．按照磋商文件的规定加盖单位章（自然人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的无需盖章，需要签字）。</w:t>
      </w:r>
    </w:p>
    <w:p>
      <w:pPr>
        <w:pStyle w:val="15"/>
        <w:tabs>
          <w:tab w:val="left" w:pos="5580"/>
        </w:tabs>
        <w:spacing w:line="360" w:lineRule="exact"/>
        <w:ind w:left="1395" w:leftChars="257" w:hanging="856" w:hangingChars="35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3.如果是联合体</w:t>
      </w:r>
      <w:r>
        <w:rPr>
          <w:rFonts w:hint="eastAsia" w:asciiTheme="minorEastAsia" w:hAnsiTheme="minorEastAsia" w:eastAsiaTheme="minorEastAsia" w:cstheme="minorEastAsia"/>
          <w:color w:val="auto"/>
          <w:sz w:val="24"/>
          <w:highlight w:val="none"/>
          <w:lang w:eastAsia="zh-CN"/>
        </w:rPr>
        <w:t>提交响应文件</w:t>
      </w:r>
      <w:r>
        <w:rPr>
          <w:rFonts w:hint="eastAsia" w:asciiTheme="minorEastAsia" w:hAnsiTheme="minorEastAsia" w:eastAsiaTheme="minorEastAsia" w:cstheme="minorEastAsia"/>
          <w:color w:val="auto"/>
          <w:sz w:val="24"/>
          <w:highlight w:val="none"/>
        </w:rPr>
        <w:t>，联合体各方均需提供上述证明。</w:t>
      </w:r>
      <w:r>
        <w:rPr>
          <w:rFonts w:hint="eastAsia" w:asciiTheme="minorEastAsia" w:hAnsiTheme="minorEastAsia" w:eastAsiaTheme="minorEastAsia" w:cstheme="minorEastAsia"/>
          <w:b w:val="0"/>
          <w:bCs/>
          <w:color w:val="auto"/>
          <w:sz w:val="24"/>
          <w:highlight w:val="none"/>
        </w:rPr>
        <w:t>（本项目不接受联合体）</w:t>
      </w: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5"/>
        <w:spacing w:before="0" w:line="360" w:lineRule="exact"/>
        <w:jc w:val="center"/>
        <w:rPr>
          <w:rFonts w:hint="eastAsia" w:asciiTheme="minorEastAsia" w:hAnsiTheme="minorEastAsia" w:eastAsiaTheme="minorEastAsia" w:cstheme="minorEastAsia"/>
          <w:color w:val="auto"/>
          <w:sz w:val="24"/>
          <w:highlight w:val="none"/>
        </w:rPr>
      </w:pPr>
      <w:bookmarkStart w:id="350" w:name="_Toc32295"/>
      <w:bookmarkStart w:id="351" w:name="_Toc17207"/>
      <w:bookmarkStart w:id="352" w:name="_Toc11163"/>
      <w:bookmarkStart w:id="353" w:name="_Toc515647813"/>
      <w:bookmarkStart w:id="354" w:name="_Toc12185"/>
      <w:bookmarkStart w:id="355" w:name="_Toc24488"/>
      <w:bookmarkStart w:id="356" w:name="_Toc15456"/>
      <w:bookmarkStart w:id="357" w:name="_Toc29703"/>
      <w:bookmarkStart w:id="358" w:name="_Toc11862"/>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须知资料表要求的其他资格证明文件</w:t>
      </w:r>
      <w:bookmarkEnd w:id="350"/>
      <w:bookmarkEnd w:id="351"/>
      <w:bookmarkEnd w:id="352"/>
      <w:bookmarkEnd w:id="353"/>
      <w:bookmarkEnd w:id="354"/>
      <w:bookmarkEnd w:id="355"/>
      <w:bookmarkEnd w:id="356"/>
      <w:bookmarkEnd w:id="357"/>
      <w:bookmarkEnd w:id="358"/>
    </w:p>
    <w:p>
      <w:pPr>
        <w:spacing w:line="360" w:lineRule="exact"/>
        <w:ind w:left="1079" w:leftChars="257" w:hanging="540"/>
        <w:jc w:val="center"/>
        <w:rPr>
          <w:rFonts w:hint="eastAsia" w:asciiTheme="minorEastAsia" w:hAnsiTheme="minorEastAsia" w:eastAsiaTheme="minorEastAsia" w:cstheme="minorEastAsia"/>
          <w:b/>
          <w:bCs/>
          <w:color w:val="auto"/>
          <w:sz w:val="24"/>
          <w:highlight w:val="none"/>
        </w:rPr>
      </w:pPr>
    </w:p>
    <w:p>
      <w:pPr>
        <w:spacing w:line="360" w:lineRule="exact"/>
        <w:rPr>
          <w:rFonts w:hint="eastAsia" w:asciiTheme="minorEastAsia" w:hAnsiTheme="minorEastAsia" w:eastAsiaTheme="minorEastAsia" w:cstheme="minorEastAsia"/>
          <w:b/>
          <w:bCs/>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说明：1.应提供</w:t>
      </w:r>
      <w:r>
        <w:rPr>
          <w:rFonts w:hint="eastAsia" w:asciiTheme="minorEastAsia" w:hAnsiTheme="minorEastAsia" w:eastAsiaTheme="minorEastAsia" w:cstheme="minorEastAsia"/>
          <w:color w:val="auto"/>
          <w:sz w:val="24"/>
          <w:highlight w:val="none"/>
          <w:u w:val="single"/>
          <w:lang w:eastAsia="zh-CN"/>
        </w:rPr>
        <w:t>供应商</w:t>
      </w:r>
      <w:r>
        <w:rPr>
          <w:rFonts w:hint="eastAsia" w:asciiTheme="minorEastAsia" w:hAnsiTheme="minorEastAsia" w:eastAsiaTheme="minorEastAsia" w:cstheme="minorEastAsia"/>
          <w:color w:val="auto"/>
          <w:sz w:val="24"/>
          <w:highlight w:val="none"/>
          <w:u w:val="single"/>
        </w:rPr>
        <w:t>须知资料表</w:t>
      </w:r>
      <w:r>
        <w:rPr>
          <w:rFonts w:hint="eastAsia" w:asciiTheme="minorEastAsia" w:hAnsiTheme="minorEastAsia" w:eastAsiaTheme="minorEastAsia" w:cstheme="minorEastAsia"/>
          <w:color w:val="auto"/>
          <w:sz w:val="24"/>
          <w:highlight w:val="none"/>
        </w:rPr>
        <w:t>要求的其他资格证明文件。</w:t>
      </w: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2.复印件上应加盖本单位章（自然人</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的无需盖章，需要签字）。</w:t>
      </w:r>
    </w:p>
    <w:p>
      <w:pPr>
        <w:pStyle w:val="15"/>
        <w:tabs>
          <w:tab w:val="left" w:pos="5580"/>
        </w:tabs>
        <w:spacing w:line="360" w:lineRule="exact"/>
        <w:ind w:left="1260" w:leftChars="344" w:hanging="538"/>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3.如果是联合体</w:t>
      </w:r>
      <w:r>
        <w:rPr>
          <w:rFonts w:hint="eastAsia" w:asciiTheme="minorEastAsia" w:hAnsiTheme="minorEastAsia" w:eastAsiaTheme="minorEastAsia" w:cstheme="minorEastAsia"/>
          <w:color w:val="auto"/>
          <w:sz w:val="24"/>
          <w:highlight w:val="none"/>
          <w:lang w:eastAsia="zh-CN"/>
        </w:rPr>
        <w:t>提交响应文件</w:t>
      </w:r>
      <w:r>
        <w:rPr>
          <w:rFonts w:hint="eastAsia" w:asciiTheme="minorEastAsia" w:hAnsiTheme="minorEastAsia" w:eastAsiaTheme="minorEastAsia" w:cstheme="minorEastAsia"/>
          <w:color w:val="auto"/>
          <w:sz w:val="24"/>
          <w:highlight w:val="none"/>
        </w:rPr>
        <w:t>，联合体各方需提供的满足磋商文件要求的其他资格证明文件。（本项目不接受联合体）</w:t>
      </w:r>
    </w:p>
    <w:p>
      <w:pPr>
        <w:pStyle w:val="15"/>
        <w:tabs>
          <w:tab w:val="left" w:pos="5580"/>
        </w:tabs>
        <w:spacing w:line="360" w:lineRule="exact"/>
        <w:ind w:left="1260" w:leftChars="344" w:hanging="538"/>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260" w:leftChars="344" w:hanging="538"/>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260" w:leftChars="344" w:hanging="538"/>
        <w:rPr>
          <w:rFonts w:hint="eastAsia" w:asciiTheme="minorEastAsia" w:hAnsiTheme="minorEastAsia" w:eastAsiaTheme="minorEastAsia" w:cstheme="minorEastAsia"/>
          <w:color w:val="auto"/>
          <w:sz w:val="24"/>
          <w:highlight w:val="none"/>
        </w:rPr>
      </w:pPr>
    </w:p>
    <w:p>
      <w:pPr>
        <w:pStyle w:val="5"/>
        <w:numPr>
          <w:ilvl w:val="0"/>
          <w:numId w:val="0"/>
        </w:numPr>
        <w:spacing w:before="0" w:line="360" w:lineRule="exact"/>
        <w:jc w:val="center"/>
        <w:rPr>
          <w:rFonts w:hint="eastAsia" w:asciiTheme="minorEastAsia" w:hAnsiTheme="minorEastAsia" w:eastAsiaTheme="minorEastAsia" w:cstheme="minorEastAsia"/>
          <w:color w:val="auto"/>
          <w:sz w:val="24"/>
          <w:highlight w:val="none"/>
        </w:rPr>
      </w:pPr>
      <w:bookmarkStart w:id="359" w:name="_Toc17319"/>
      <w:bookmarkStart w:id="360" w:name="_Toc19412"/>
      <w:bookmarkStart w:id="361" w:name="_Toc30603"/>
      <w:bookmarkStart w:id="362" w:name="_Toc11966"/>
      <w:bookmarkStart w:id="363" w:name="_Toc14006"/>
      <w:bookmarkStart w:id="364" w:name="_Toc31220"/>
      <w:r>
        <w:rPr>
          <w:rFonts w:hint="eastAsia" w:asciiTheme="minorEastAsia" w:hAnsiTheme="minorEastAsia" w:eastAsiaTheme="minorEastAsia" w:cstheme="minorEastAsia"/>
          <w:color w:val="auto"/>
          <w:sz w:val="24"/>
          <w:highlight w:val="none"/>
          <w:lang w:val="en-US" w:eastAsia="zh-CN"/>
        </w:rPr>
        <w:t xml:space="preserve">9  </w:t>
      </w:r>
      <w:r>
        <w:rPr>
          <w:rFonts w:hint="eastAsia" w:asciiTheme="minorEastAsia" w:hAnsiTheme="minorEastAsia" w:eastAsiaTheme="minorEastAsia" w:cstheme="minorEastAsia"/>
          <w:color w:val="auto"/>
          <w:sz w:val="24"/>
          <w:highlight w:val="none"/>
        </w:rPr>
        <w:t>进口产品制造厂家的授权书（</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格式四）</w:t>
      </w:r>
      <w:bookmarkEnd w:id="344"/>
      <w:bookmarkEnd w:id="345"/>
      <w:bookmarkEnd w:id="346"/>
      <w:bookmarkEnd w:id="359"/>
      <w:bookmarkEnd w:id="360"/>
      <w:bookmarkEnd w:id="361"/>
      <w:bookmarkEnd w:id="362"/>
      <w:bookmarkEnd w:id="363"/>
      <w:bookmarkEnd w:id="364"/>
    </w:p>
    <w:p>
      <w:pPr>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tabs>
          <w:tab w:val="left" w:pos="5580"/>
        </w:tabs>
        <w:spacing w:line="36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致：采购方</w:t>
      </w:r>
    </w:p>
    <w:p>
      <w:pPr>
        <w:pStyle w:val="15"/>
        <w:tabs>
          <w:tab w:val="left" w:pos="5580"/>
        </w:tabs>
        <w:spacing w:line="360" w:lineRule="exact"/>
        <w:ind w:firstLine="540" w:firstLineChars="22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我们（</w:t>
      </w:r>
      <w:r>
        <w:rPr>
          <w:rFonts w:hint="eastAsia" w:asciiTheme="minorEastAsia" w:hAnsiTheme="minorEastAsia" w:eastAsiaTheme="minorEastAsia" w:cstheme="minorEastAsia"/>
          <w:color w:val="auto"/>
          <w:sz w:val="24"/>
          <w:highlight w:val="none"/>
          <w:u w:val="single"/>
        </w:rPr>
        <w:t>制造商名称</w:t>
      </w:r>
      <w:r>
        <w:rPr>
          <w:rFonts w:hint="eastAsia" w:asciiTheme="minorEastAsia" w:hAnsiTheme="minorEastAsia" w:eastAsiaTheme="minorEastAsia" w:cstheme="minorEastAsia"/>
          <w:color w:val="auto"/>
          <w:sz w:val="24"/>
          <w:highlight w:val="none"/>
        </w:rPr>
        <w:t>）是按（</w:t>
      </w:r>
      <w:r>
        <w:rPr>
          <w:rFonts w:hint="eastAsia" w:asciiTheme="minorEastAsia" w:hAnsiTheme="minorEastAsia" w:eastAsiaTheme="minorEastAsia" w:cstheme="minorEastAsia"/>
          <w:color w:val="auto"/>
          <w:sz w:val="24"/>
          <w:highlight w:val="none"/>
          <w:u w:val="single"/>
        </w:rPr>
        <w:t>国家名称</w:t>
      </w:r>
      <w:r>
        <w:rPr>
          <w:rFonts w:hint="eastAsia" w:asciiTheme="minorEastAsia" w:hAnsiTheme="minorEastAsia" w:eastAsiaTheme="minorEastAsia" w:cstheme="minorEastAsia"/>
          <w:color w:val="auto"/>
          <w:sz w:val="24"/>
          <w:highlight w:val="none"/>
        </w:rPr>
        <w:t>）法律成立的一家制造商，主要营业地点设在（</w:t>
      </w:r>
      <w:r>
        <w:rPr>
          <w:rFonts w:hint="eastAsia" w:asciiTheme="minorEastAsia" w:hAnsiTheme="minorEastAsia" w:eastAsiaTheme="minorEastAsia" w:cstheme="minorEastAsia"/>
          <w:color w:val="auto"/>
          <w:sz w:val="24"/>
          <w:highlight w:val="none"/>
          <w:u w:val="single"/>
        </w:rPr>
        <w:t>制造商地址</w:t>
      </w:r>
      <w:r>
        <w:rPr>
          <w:rFonts w:hint="eastAsia" w:asciiTheme="minorEastAsia" w:hAnsiTheme="minorEastAsia" w:eastAsiaTheme="minorEastAsia" w:cstheme="minorEastAsia"/>
          <w:color w:val="auto"/>
          <w:sz w:val="24"/>
          <w:highlight w:val="none"/>
        </w:rPr>
        <w:t>）。兹指派按（</w:t>
      </w:r>
      <w:r>
        <w:rPr>
          <w:rFonts w:hint="eastAsia" w:asciiTheme="minorEastAsia" w:hAnsiTheme="minorEastAsia" w:eastAsiaTheme="minorEastAsia" w:cstheme="minorEastAsia"/>
          <w:color w:val="auto"/>
          <w:sz w:val="24"/>
          <w:highlight w:val="none"/>
          <w:u w:val="single"/>
        </w:rPr>
        <w:t>国家名称</w:t>
      </w:r>
      <w:r>
        <w:rPr>
          <w:rFonts w:hint="eastAsia" w:asciiTheme="minorEastAsia" w:hAnsiTheme="minorEastAsia" w:eastAsiaTheme="minorEastAsia" w:cstheme="minorEastAsia"/>
          <w:color w:val="auto"/>
          <w:sz w:val="24"/>
          <w:highlight w:val="none"/>
        </w:rPr>
        <w:t>）的法律正式成立的，主要营业地点设在（</w:t>
      </w:r>
      <w:r>
        <w:rPr>
          <w:rFonts w:hint="eastAsia" w:asciiTheme="minorEastAsia" w:hAnsiTheme="minorEastAsia" w:eastAsiaTheme="minorEastAsia" w:cstheme="minorEastAsia"/>
          <w:color w:val="auto"/>
          <w:sz w:val="24"/>
          <w:highlight w:val="none"/>
          <w:u w:val="single"/>
        </w:rPr>
        <w:t>经销商地址</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经销商名称</w:t>
      </w:r>
      <w:r>
        <w:rPr>
          <w:rFonts w:hint="eastAsia" w:asciiTheme="minorEastAsia" w:hAnsiTheme="minorEastAsia" w:eastAsiaTheme="minorEastAsia" w:cstheme="minorEastAsia"/>
          <w:color w:val="auto"/>
          <w:sz w:val="24"/>
          <w:highlight w:val="none"/>
        </w:rPr>
        <w:t>）作为我方真正的合法的代理人进行下列有效的活动：</w:t>
      </w:r>
    </w:p>
    <w:p>
      <w:pPr>
        <w:pStyle w:val="15"/>
        <w:tabs>
          <w:tab w:val="left" w:pos="5580"/>
        </w:tabs>
        <w:spacing w:line="360" w:lineRule="exact"/>
        <w:ind w:firstLine="540" w:firstLineChars="225"/>
        <w:rPr>
          <w:rFonts w:hint="eastAsia" w:asciiTheme="minorEastAsia" w:hAnsiTheme="minorEastAsia" w:eastAsiaTheme="minorEastAsia" w:cstheme="minorEastAsia"/>
          <w:color w:val="auto"/>
          <w:sz w:val="24"/>
          <w:highlight w:val="none"/>
        </w:rPr>
      </w:pPr>
    </w:p>
    <w:p>
      <w:pPr>
        <w:pStyle w:val="15"/>
        <w:numPr>
          <w:ilvl w:val="0"/>
          <w:numId w:val="6"/>
        </w:numPr>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代表我方办理贵方</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u w:val="single"/>
          <w:lang w:eastAsia="zh-CN"/>
        </w:rPr>
        <w:t>磋商文件</w:t>
      </w:r>
      <w:r>
        <w:rPr>
          <w:rFonts w:hint="eastAsia" w:asciiTheme="minorEastAsia" w:hAnsiTheme="minorEastAsia" w:eastAsiaTheme="minorEastAsia" w:cstheme="minorEastAsia"/>
          <w:color w:val="auto"/>
          <w:sz w:val="24"/>
          <w:highlight w:val="none"/>
          <w:u w:val="single"/>
        </w:rPr>
        <w:t>编号）　</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邀请要求提供的由我方制造的货物的有关事宜，并对我方具有约束力。</w:t>
      </w: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（2）作为制造商，我方保证以</w:t>
      </w:r>
      <w:r>
        <w:rPr>
          <w:rFonts w:hint="eastAsia" w:asciiTheme="minorEastAsia" w:hAnsiTheme="minorEastAsia" w:eastAsiaTheme="minorEastAsia" w:cstheme="minorEastAsia"/>
          <w:color w:val="auto"/>
          <w:sz w:val="24"/>
          <w:highlight w:val="none"/>
          <w:lang w:eastAsia="zh-CN"/>
        </w:rPr>
        <w:t>提交响应文件</w:t>
      </w:r>
      <w:r>
        <w:rPr>
          <w:rFonts w:hint="eastAsia" w:asciiTheme="minorEastAsia" w:hAnsiTheme="minorEastAsia" w:eastAsiaTheme="minorEastAsia" w:cstheme="minorEastAsia"/>
          <w:color w:val="auto"/>
          <w:sz w:val="24"/>
          <w:highlight w:val="none"/>
        </w:rPr>
        <w:t>合作者来约束自己，并对该</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共同和分别承担磋商文件中所规定的义务。</w:t>
      </w: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（3）我方兹授予</w:t>
      </w:r>
      <w:r>
        <w:rPr>
          <w:rFonts w:hint="eastAsia" w:asciiTheme="minorEastAsia" w:hAnsiTheme="minorEastAsia" w:eastAsiaTheme="minorEastAsia" w:cstheme="minorEastAsia"/>
          <w:color w:val="auto"/>
          <w:sz w:val="24"/>
          <w:highlight w:val="none"/>
          <w:u w:val="single"/>
        </w:rPr>
        <w:t>　　（经销商名称）　　</w:t>
      </w:r>
      <w:r>
        <w:rPr>
          <w:rFonts w:hint="eastAsia" w:asciiTheme="minorEastAsia" w:hAnsiTheme="minorEastAsia" w:eastAsiaTheme="minorEastAsia" w:cstheme="minorEastAsia"/>
          <w:color w:val="auto"/>
          <w:sz w:val="24"/>
          <w:highlight w:val="none"/>
        </w:rPr>
        <w:t>全权办理和履行上述我方为完成上述各点所必须的事宜，具有替换或撤销的全权。兹确认</w:t>
      </w:r>
      <w:r>
        <w:rPr>
          <w:rFonts w:hint="eastAsia" w:asciiTheme="minorEastAsia" w:hAnsiTheme="minorEastAsia" w:eastAsiaTheme="minorEastAsia" w:cstheme="minorEastAsia"/>
          <w:color w:val="auto"/>
          <w:sz w:val="24"/>
          <w:highlight w:val="none"/>
          <w:u w:val="single"/>
        </w:rPr>
        <w:t>　　（经销商名称）　　</w:t>
      </w:r>
      <w:r>
        <w:rPr>
          <w:rFonts w:hint="eastAsia" w:asciiTheme="minorEastAsia" w:hAnsiTheme="minorEastAsia" w:eastAsiaTheme="minorEastAsia" w:cstheme="minorEastAsia"/>
          <w:color w:val="auto"/>
          <w:sz w:val="24"/>
          <w:highlight w:val="none"/>
        </w:rPr>
        <w:t>或其正式授权代表依此合法地办理一切事宜。</w:t>
      </w: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（4）我方于</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日签署本文件，</w:t>
      </w:r>
      <w:r>
        <w:rPr>
          <w:rFonts w:hint="eastAsia" w:asciiTheme="minorEastAsia" w:hAnsiTheme="minorEastAsia" w:eastAsiaTheme="minorEastAsia" w:cstheme="minorEastAsia"/>
          <w:color w:val="auto"/>
          <w:sz w:val="24"/>
          <w:highlight w:val="none"/>
          <w:u w:val="single"/>
        </w:rPr>
        <w:t>　　（经销商名称）　　</w:t>
      </w:r>
      <w:r>
        <w:rPr>
          <w:rFonts w:hint="eastAsia" w:asciiTheme="minorEastAsia" w:hAnsiTheme="minorEastAsia" w:eastAsiaTheme="minorEastAsia" w:cstheme="minorEastAsia"/>
          <w:color w:val="auto"/>
          <w:sz w:val="24"/>
          <w:highlight w:val="none"/>
        </w:rPr>
        <w:t>于</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日接受此件，以此为证。</w:t>
      </w: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制造商名称：（盖章）</w:t>
      </w:r>
      <w:r>
        <w:rPr>
          <w:rFonts w:hint="eastAsia" w:asciiTheme="minorEastAsia" w:hAnsiTheme="minorEastAsia" w:eastAsiaTheme="minorEastAsia" w:cstheme="minorEastAsia"/>
          <w:color w:val="auto"/>
          <w:sz w:val="24"/>
          <w:highlight w:val="none"/>
          <w:u w:val="single"/>
        </w:rPr>
        <w:t xml:space="preserve">                           </w:t>
      </w: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签字人职务和部门：</w:t>
      </w:r>
      <w:r>
        <w:rPr>
          <w:rFonts w:hint="eastAsia" w:asciiTheme="minorEastAsia" w:hAnsiTheme="minorEastAsia" w:eastAsiaTheme="minorEastAsia" w:cstheme="minorEastAsia"/>
          <w:color w:val="auto"/>
          <w:sz w:val="24"/>
          <w:highlight w:val="none"/>
          <w:u w:val="single"/>
        </w:rPr>
        <w:t xml:space="preserve">                            </w:t>
      </w: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签字人姓名：</w:t>
      </w:r>
      <w:r>
        <w:rPr>
          <w:rFonts w:hint="eastAsia" w:asciiTheme="minorEastAsia" w:hAnsiTheme="minorEastAsia" w:eastAsiaTheme="minorEastAsia" w:cstheme="minorEastAsia"/>
          <w:color w:val="auto"/>
          <w:sz w:val="24"/>
          <w:highlight w:val="none"/>
          <w:u w:val="single"/>
        </w:rPr>
        <w:t xml:space="preserve">                                  </w:t>
      </w: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u w:val="single"/>
        </w:rPr>
      </w:pPr>
      <w:bookmarkStart w:id="365" w:name="_Toc494296666"/>
      <w:bookmarkStart w:id="366" w:name="_Toc494296997"/>
      <w:r>
        <w:rPr>
          <w:rFonts w:hint="eastAsia" w:asciiTheme="minorEastAsia" w:hAnsiTheme="minorEastAsia" w:eastAsiaTheme="minorEastAsia" w:cstheme="minorEastAsia"/>
          <w:color w:val="auto"/>
          <w:sz w:val="24"/>
          <w:highlight w:val="none"/>
        </w:rPr>
        <w:t>签字人签名：</w:t>
      </w:r>
      <w:bookmarkEnd w:id="365"/>
      <w:bookmarkEnd w:id="366"/>
      <w:r>
        <w:rPr>
          <w:rFonts w:hint="eastAsia" w:asciiTheme="minorEastAsia" w:hAnsiTheme="minorEastAsia" w:eastAsiaTheme="minorEastAsia" w:cstheme="minorEastAsia"/>
          <w:color w:val="auto"/>
          <w:sz w:val="24"/>
          <w:highlight w:val="none"/>
          <w:u w:val="single"/>
        </w:rPr>
        <w:t xml:space="preserve">                                  </w:t>
      </w:r>
    </w:p>
    <w:p>
      <w:pPr>
        <w:pStyle w:val="15"/>
        <w:tabs>
          <w:tab w:val="left" w:pos="5580"/>
        </w:tabs>
        <w:spacing w:line="360" w:lineRule="exact"/>
        <w:ind w:left="1079" w:leftChars="257" w:hanging="540"/>
        <w:rPr>
          <w:rFonts w:hint="eastAsia" w:asciiTheme="minorEastAsia" w:hAnsiTheme="minorEastAsia" w:eastAsiaTheme="minorEastAsia" w:cstheme="minorEastAsia"/>
          <w:color w:val="auto"/>
          <w:sz w:val="24"/>
          <w:highlight w:val="none"/>
          <w:u w:val="single"/>
        </w:rPr>
      </w:pPr>
    </w:p>
    <w:bookmarkEnd w:id="276"/>
    <w:bookmarkEnd w:id="277"/>
    <w:p>
      <w:pPr>
        <w:pStyle w:val="15"/>
        <w:tabs>
          <w:tab w:val="left" w:pos="5580"/>
        </w:tabs>
        <w:spacing w:line="360" w:lineRule="exact"/>
        <w:ind w:left="1079" w:leftChars="257" w:hanging="540"/>
        <w:jc w:val="center"/>
        <w:rPr>
          <w:rFonts w:hint="eastAsia" w:asciiTheme="minorEastAsia" w:hAnsiTheme="minorEastAsia" w:eastAsiaTheme="minorEastAsia" w:cstheme="minorEastAsia"/>
          <w:b/>
          <w:color w:val="auto"/>
          <w:kern w:val="0"/>
          <w:sz w:val="24"/>
          <w:highlight w:val="none"/>
        </w:rPr>
      </w:pPr>
      <w:bookmarkStart w:id="367" w:name="_Toc5279"/>
      <w:bookmarkStart w:id="368" w:name="_Toc9513_WPSOffice_Level2"/>
      <w:bookmarkStart w:id="369" w:name="_Toc6295"/>
      <w:bookmarkStart w:id="370" w:name="_Toc24267_WPSOffice_Level2"/>
      <w:bookmarkStart w:id="371" w:name="_Toc23485"/>
      <w:bookmarkStart w:id="372" w:name="_Toc5068"/>
      <w:bookmarkStart w:id="373" w:name="_Toc2041"/>
      <w:bookmarkStart w:id="374" w:name="_Toc23960"/>
      <w:bookmarkStart w:id="375" w:name="_Toc26170"/>
      <w:bookmarkStart w:id="376" w:name="_Toc515647817"/>
      <w:bookmarkStart w:id="377" w:name="_Toc14915"/>
    </w:p>
    <w:p>
      <w:pPr>
        <w:pStyle w:val="15"/>
        <w:tabs>
          <w:tab w:val="left" w:pos="5580"/>
        </w:tabs>
        <w:spacing w:line="360" w:lineRule="exact"/>
        <w:ind w:left="1079" w:leftChars="257" w:hanging="540"/>
        <w:jc w:val="center"/>
        <w:rPr>
          <w:rFonts w:hint="eastAsia" w:asciiTheme="minorEastAsia" w:hAnsiTheme="minorEastAsia" w:eastAsiaTheme="minorEastAsia" w:cstheme="minorEastAsia"/>
          <w:b/>
          <w:color w:val="auto"/>
          <w:kern w:val="0"/>
          <w:sz w:val="24"/>
          <w:highlight w:val="none"/>
        </w:rPr>
      </w:pPr>
    </w:p>
    <w:p>
      <w:pPr>
        <w:pStyle w:val="15"/>
        <w:tabs>
          <w:tab w:val="left" w:pos="5580"/>
        </w:tabs>
        <w:spacing w:line="360" w:lineRule="exact"/>
        <w:ind w:left="1079" w:leftChars="257" w:hanging="540"/>
        <w:jc w:val="center"/>
        <w:outlineLvl w:val="1"/>
        <w:rPr>
          <w:rFonts w:hint="eastAsia" w:asciiTheme="minorEastAsia" w:hAnsiTheme="minorEastAsia" w:eastAsiaTheme="minorEastAsia" w:cstheme="minorEastAsia"/>
          <w:b/>
          <w:color w:val="auto"/>
          <w:kern w:val="0"/>
          <w:sz w:val="24"/>
          <w:highlight w:val="none"/>
        </w:rPr>
      </w:pPr>
    </w:p>
    <w:p>
      <w:pPr>
        <w:pStyle w:val="15"/>
        <w:tabs>
          <w:tab w:val="left" w:pos="5580"/>
        </w:tabs>
        <w:spacing w:line="360" w:lineRule="exact"/>
        <w:ind w:left="1079" w:leftChars="257" w:hanging="540"/>
        <w:jc w:val="center"/>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24"/>
          <w:highlight w:val="none"/>
        </w:rPr>
        <w:t>第二部分  商务及技术文件</w:t>
      </w:r>
      <w:bookmarkEnd w:id="367"/>
      <w:bookmarkEnd w:id="368"/>
      <w:bookmarkEnd w:id="369"/>
      <w:bookmarkEnd w:id="370"/>
      <w:bookmarkEnd w:id="371"/>
    </w:p>
    <w:p>
      <w:pPr>
        <w:pStyle w:val="15"/>
        <w:ind w:left="1079" w:leftChars="257" w:hanging="540"/>
        <w:rPr>
          <w:rFonts w:hint="eastAsia" w:hAnsi="宋体" w:cs="宋体"/>
          <w:color w:val="auto"/>
          <w:sz w:val="24"/>
          <w:szCs w:val="24"/>
          <w:highlight w:val="none"/>
        </w:rPr>
      </w:pPr>
    </w:p>
    <w:p>
      <w:pPr>
        <w:pStyle w:val="15"/>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磋商响应函</w:t>
      </w:r>
      <w:r>
        <w:rPr>
          <w:rFonts w:hint="eastAsia" w:hAnsi="宋体" w:cs="宋体"/>
          <w:color w:val="auto"/>
          <w:sz w:val="24"/>
          <w:szCs w:val="24"/>
          <w:highlight w:val="none"/>
        </w:rPr>
        <w:t>（</w:t>
      </w: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格式五）</w:t>
      </w:r>
    </w:p>
    <w:p>
      <w:pPr>
        <w:tabs>
          <w:tab w:val="left" w:pos="5580"/>
        </w:tabs>
        <w:spacing w:line="240" w:lineRule="atLeast"/>
        <w:ind w:left="1" w:firstLine="564" w:firstLineChars="235"/>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磋商保证金</w:t>
      </w:r>
      <w:r>
        <w:rPr>
          <w:rFonts w:hint="eastAsia" w:ascii="宋体" w:hAnsi="宋体" w:cs="宋体"/>
          <w:color w:val="auto"/>
          <w:sz w:val="24"/>
          <w:highlight w:val="none"/>
        </w:rPr>
        <w:t>缴纳凭证复印件或投标担保函（见</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格式六）</w:t>
      </w:r>
    </w:p>
    <w:p>
      <w:pPr>
        <w:pStyle w:val="15"/>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3、投标分项报价表（</w:t>
      </w: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格式七）</w:t>
      </w:r>
    </w:p>
    <w:p>
      <w:pPr>
        <w:pStyle w:val="15"/>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4、货物说明一览表（</w:t>
      </w: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格式八）</w:t>
      </w:r>
    </w:p>
    <w:p>
      <w:pPr>
        <w:pStyle w:val="15"/>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5、技术规格偏离表（</w:t>
      </w: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格式九）</w:t>
      </w:r>
    </w:p>
    <w:p>
      <w:pPr>
        <w:pStyle w:val="15"/>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6、商务条款偏离表（</w:t>
      </w: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格式十）</w:t>
      </w:r>
    </w:p>
    <w:p>
      <w:pPr>
        <w:pStyle w:val="15"/>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7、符合《政府采购促进中小企业发展</w:t>
      </w:r>
      <w:r>
        <w:rPr>
          <w:rFonts w:hint="eastAsia" w:hAnsi="宋体" w:cs="宋体"/>
          <w:color w:val="auto"/>
          <w:sz w:val="24"/>
          <w:szCs w:val="24"/>
          <w:highlight w:val="none"/>
          <w:lang w:val="en-US" w:eastAsia="zh-CN"/>
        </w:rPr>
        <w:t>管理</w:t>
      </w:r>
      <w:r>
        <w:rPr>
          <w:rFonts w:hint="eastAsia" w:hAnsi="宋体" w:cs="宋体"/>
          <w:color w:val="auto"/>
          <w:sz w:val="24"/>
          <w:szCs w:val="24"/>
          <w:highlight w:val="none"/>
        </w:rPr>
        <w:t>办法》、《关于政府采购支持监狱企业发展有关问题的通知》和《三部门联合发布关于促进残疾人就业政府采购政策的通知》价格扣减条件的投标人须提交）</w:t>
      </w:r>
    </w:p>
    <w:p>
      <w:pPr>
        <w:pStyle w:val="15"/>
        <w:ind w:left="310" w:leftChars="148" w:firstLine="228"/>
        <w:rPr>
          <w:rFonts w:hint="eastAsia" w:hAnsi="宋体" w:cs="宋体"/>
          <w:color w:val="auto"/>
          <w:sz w:val="24"/>
          <w:szCs w:val="24"/>
          <w:highlight w:val="none"/>
        </w:rPr>
      </w:pPr>
      <w:r>
        <w:rPr>
          <w:rFonts w:hint="eastAsia" w:hAnsi="宋体" w:cs="宋体"/>
          <w:color w:val="auto"/>
          <w:sz w:val="24"/>
          <w:szCs w:val="24"/>
          <w:highlight w:val="none"/>
        </w:rPr>
        <w:t>7-1《投标人企业（单位）类型声明函》（</w:t>
      </w: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格式十一）</w:t>
      </w:r>
    </w:p>
    <w:p>
      <w:pPr>
        <w:pStyle w:val="15"/>
        <w:ind w:left="310" w:leftChars="148" w:firstLine="228"/>
        <w:rPr>
          <w:rFonts w:hint="eastAsia" w:hAnsi="宋体" w:cs="宋体"/>
          <w:color w:val="auto"/>
          <w:sz w:val="24"/>
          <w:szCs w:val="24"/>
          <w:highlight w:val="none"/>
        </w:rPr>
      </w:pPr>
      <w:r>
        <w:rPr>
          <w:rFonts w:hint="eastAsia" w:hAnsi="宋体" w:cs="宋体"/>
          <w:color w:val="auto"/>
          <w:sz w:val="24"/>
          <w:szCs w:val="24"/>
          <w:highlight w:val="none"/>
        </w:rPr>
        <w:t>7-2《制造商投标人企业（单位）类型声明函》（</w:t>
      </w: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格式十二）</w:t>
      </w:r>
    </w:p>
    <w:p>
      <w:pPr>
        <w:pStyle w:val="15"/>
        <w:ind w:left="310" w:leftChars="148" w:firstLine="228"/>
        <w:rPr>
          <w:rFonts w:hint="eastAsia" w:hAnsi="宋体" w:cs="宋体"/>
          <w:color w:val="auto"/>
          <w:sz w:val="24"/>
          <w:szCs w:val="24"/>
          <w:highlight w:val="none"/>
        </w:rPr>
      </w:pPr>
      <w:r>
        <w:rPr>
          <w:rFonts w:hint="eastAsia" w:hAnsi="宋体" w:cs="宋体"/>
          <w:color w:val="auto"/>
          <w:sz w:val="24"/>
          <w:szCs w:val="24"/>
          <w:highlight w:val="none"/>
        </w:rPr>
        <w:t>7-3《残疾人福利性单位声明函》（</w:t>
      </w: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格式十三）</w:t>
      </w:r>
    </w:p>
    <w:p>
      <w:pPr>
        <w:pStyle w:val="15"/>
        <w:ind w:left="310" w:leftChars="148" w:firstLine="228"/>
        <w:rPr>
          <w:rFonts w:hint="eastAsia" w:hAnsi="宋体" w:cs="宋体"/>
          <w:color w:val="auto"/>
          <w:sz w:val="24"/>
          <w:szCs w:val="24"/>
          <w:highlight w:val="none"/>
        </w:rPr>
      </w:pPr>
      <w:r>
        <w:rPr>
          <w:rFonts w:hint="eastAsia" w:hAnsi="宋体" w:cs="宋体"/>
          <w:color w:val="auto"/>
          <w:sz w:val="24"/>
          <w:szCs w:val="24"/>
          <w:highlight w:val="none"/>
        </w:rPr>
        <w:t>8、投标人关联单位的说明</w:t>
      </w:r>
    </w:p>
    <w:p>
      <w:pPr>
        <w:pStyle w:val="15"/>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9、</w:t>
      </w: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还应包括投标人须知第10条的所有技术文件</w:t>
      </w:r>
    </w:p>
    <w:p>
      <w:pPr>
        <w:pStyle w:val="10"/>
        <w:rPr>
          <w:rFonts w:hint="eastAsia" w:hAnsi="宋体" w:cs="宋体"/>
          <w:color w:val="auto"/>
          <w:sz w:val="24"/>
          <w:szCs w:val="24"/>
          <w:highlight w:val="none"/>
        </w:rPr>
      </w:pPr>
    </w:p>
    <w:p>
      <w:pPr>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3"/>
        <w:rPr>
          <w:rFonts w:hint="eastAsia" w:hAnsi="宋体" w:cs="宋体"/>
          <w:color w:val="auto"/>
          <w:sz w:val="24"/>
          <w:szCs w:val="24"/>
          <w:highlight w:val="none"/>
        </w:rPr>
      </w:pPr>
    </w:p>
    <w:p>
      <w:pPr>
        <w:pStyle w:val="5"/>
        <w:spacing w:before="0" w:line="240" w:lineRule="atLeast"/>
        <w:ind w:left="1079" w:leftChars="257" w:hanging="540"/>
        <w:rPr>
          <w:rFonts w:hint="eastAsia" w:ascii="宋体" w:hAnsi="宋体" w:eastAsia="宋体" w:cs="宋体"/>
          <w:color w:val="auto"/>
          <w:sz w:val="24"/>
          <w:szCs w:val="24"/>
          <w:highlight w:val="none"/>
        </w:rPr>
      </w:pPr>
      <w:bookmarkStart w:id="378" w:name="_Toc8525"/>
      <w:r>
        <w:rPr>
          <w:rFonts w:hint="eastAsia" w:ascii="宋体" w:hAnsi="宋体" w:eastAsia="宋体" w:cs="宋体"/>
          <w:color w:val="auto"/>
          <w:sz w:val="24"/>
          <w:szCs w:val="24"/>
          <w:highlight w:val="none"/>
        </w:rPr>
        <w:t xml:space="preserve">1   </w:t>
      </w:r>
      <w:bookmarkStart w:id="379" w:name="_Hlt520355504"/>
      <w:bookmarkEnd w:id="379"/>
      <w:r>
        <w:rPr>
          <w:rFonts w:hint="eastAsia" w:ascii="宋体" w:hAnsi="宋体" w:eastAsia="宋体" w:cs="宋体"/>
          <w:color w:val="auto"/>
          <w:sz w:val="24"/>
          <w:szCs w:val="24"/>
          <w:highlight w:val="none"/>
          <w:lang w:val="en-US" w:eastAsia="zh-CN"/>
        </w:rPr>
        <w:t>磋商响应函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格式五）</w:t>
      </w:r>
      <w:bookmarkEnd w:id="378"/>
    </w:p>
    <w:p>
      <w:pPr>
        <w:tabs>
          <w:tab w:val="left" w:pos="5580"/>
        </w:tabs>
        <w:spacing w:line="240" w:lineRule="atLeast"/>
        <w:ind w:left="1079" w:leftChars="257" w:hanging="540"/>
        <w:rPr>
          <w:rFonts w:hint="eastAsia" w:ascii="宋体" w:hAnsi="宋体" w:cs="宋体"/>
          <w:color w:val="auto"/>
          <w:sz w:val="24"/>
          <w:highlight w:val="none"/>
        </w:rPr>
      </w:pPr>
    </w:p>
    <w:p>
      <w:pPr>
        <w:tabs>
          <w:tab w:val="left" w:pos="5580"/>
        </w:tabs>
        <w:spacing w:line="240" w:lineRule="atLeast"/>
        <w:ind w:left="1080" w:hanging="108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w:t>
      </w:r>
    </w:p>
    <w:p>
      <w:pPr>
        <w:pStyle w:val="15"/>
        <w:tabs>
          <w:tab w:val="left" w:pos="5580"/>
        </w:tabs>
        <w:spacing w:line="240" w:lineRule="atLeast"/>
        <w:ind w:left="1079" w:leftChars="257" w:hanging="540"/>
        <w:rPr>
          <w:rFonts w:hint="eastAsia" w:hAnsi="宋体" w:cs="宋体"/>
          <w:color w:val="auto"/>
          <w:sz w:val="24"/>
          <w:szCs w:val="24"/>
          <w:highlight w:val="none"/>
        </w:rPr>
      </w:pPr>
    </w:p>
    <w:p>
      <w:pPr>
        <w:pStyle w:val="15"/>
        <w:tabs>
          <w:tab w:val="left" w:pos="5580"/>
        </w:tabs>
        <w:spacing w:line="240" w:lineRule="atLeast"/>
        <w:ind w:left="2" w:leftChars="1" w:firstLine="480" w:firstLineChars="200"/>
        <w:rPr>
          <w:rFonts w:hint="eastAsia" w:hAnsi="宋体" w:cs="宋体"/>
          <w:color w:val="auto"/>
          <w:sz w:val="24"/>
          <w:szCs w:val="24"/>
          <w:highlight w:val="none"/>
        </w:rPr>
      </w:pPr>
      <w:r>
        <w:rPr>
          <w:rFonts w:hint="eastAsia" w:hAnsi="宋体" w:cs="宋体"/>
          <w:color w:val="auto"/>
          <w:sz w:val="24"/>
          <w:szCs w:val="24"/>
          <w:highlight w:val="none"/>
        </w:rPr>
        <w:t>根据贵</w:t>
      </w:r>
      <w:r>
        <w:rPr>
          <w:rFonts w:hint="eastAsia" w:hAnsi="宋体" w:cs="宋体"/>
          <w:i w:val="0"/>
          <w:iCs w:val="0"/>
          <w:color w:val="auto"/>
          <w:sz w:val="24"/>
          <w:szCs w:val="24"/>
          <w:highlight w:val="none"/>
        </w:rPr>
        <w:t>方(</w:t>
      </w:r>
      <w:r>
        <w:rPr>
          <w:rFonts w:hint="eastAsia" w:hAnsi="宋体" w:cs="宋体"/>
          <w:i w:val="0"/>
          <w:iCs w:val="0"/>
          <w:color w:val="auto"/>
          <w:sz w:val="24"/>
          <w:szCs w:val="24"/>
          <w:highlight w:val="none"/>
          <w:u w:val="single"/>
        </w:rPr>
        <w:t>项目名称</w:t>
      </w:r>
      <w:r>
        <w:rPr>
          <w:rFonts w:hint="eastAsia" w:hAnsi="宋体" w:cs="宋体"/>
          <w:i w:val="0"/>
          <w:iCs w:val="0"/>
          <w:color w:val="auto"/>
          <w:sz w:val="24"/>
          <w:szCs w:val="24"/>
          <w:highlight w:val="none"/>
        </w:rPr>
        <w:t>)项目的投标邀请(</w:t>
      </w:r>
      <w:r>
        <w:rPr>
          <w:rFonts w:hint="eastAsia" w:hAnsi="宋体" w:cs="宋体"/>
          <w:i w:val="0"/>
          <w:iCs w:val="0"/>
          <w:color w:val="auto"/>
          <w:sz w:val="24"/>
          <w:szCs w:val="24"/>
          <w:highlight w:val="none"/>
          <w:u w:val="single"/>
        </w:rPr>
        <w:t>招标编号</w:t>
      </w:r>
      <w:r>
        <w:rPr>
          <w:rFonts w:hint="eastAsia" w:hAnsi="宋体" w:cs="宋体"/>
          <w:i w:val="0"/>
          <w:iCs w:val="0"/>
          <w:color w:val="auto"/>
          <w:sz w:val="24"/>
          <w:szCs w:val="24"/>
          <w:highlight w:val="none"/>
        </w:rPr>
        <w:t>),签字代表(</w:t>
      </w:r>
      <w:r>
        <w:rPr>
          <w:rFonts w:hint="eastAsia" w:hAnsi="宋体" w:cs="宋体"/>
          <w:i w:val="0"/>
          <w:iCs w:val="0"/>
          <w:color w:val="auto"/>
          <w:sz w:val="24"/>
          <w:szCs w:val="24"/>
          <w:highlight w:val="none"/>
          <w:u w:val="single"/>
        </w:rPr>
        <w:t>姓名、职务</w:t>
      </w:r>
      <w:r>
        <w:rPr>
          <w:rFonts w:hint="eastAsia" w:hAnsi="宋体" w:cs="宋体"/>
          <w:i w:val="0"/>
          <w:iCs w:val="0"/>
          <w:color w:val="auto"/>
          <w:sz w:val="24"/>
          <w:szCs w:val="24"/>
          <w:highlight w:val="none"/>
        </w:rPr>
        <w:t>)经正式授权并代表投标人（</w:t>
      </w:r>
      <w:r>
        <w:rPr>
          <w:rFonts w:hint="eastAsia" w:hAnsi="宋体" w:cs="宋体"/>
          <w:i w:val="0"/>
          <w:iCs w:val="0"/>
          <w:color w:val="auto"/>
          <w:sz w:val="24"/>
          <w:szCs w:val="24"/>
          <w:highlight w:val="none"/>
          <w:u w:val="single"/>
        </w:rPr>
        <w:t>名称、地址</w:t>
      </w:r>
      <w:r>
        <w:rPr>
          <w:rFonts w:hint="eastAsia" w:hAnsi="宋体" w:cs="宋体"/>
          <w:i w:val="0"/>
          <w:iCs w:val="0"/>
          <w:color w:val="auto"/>
          <w:sz w:val="24"/>
          <w:szCs w:val="24"/>
          <w:highlight w:val="none"/>
        </w:rPr>
        <w:t>）提交下述文件正本</w:t>
      </w:r>
      <w:r>
        <w:rPr>
          <w:rFonts w:hint="eastAsia" w:hAnsi="宋体" w:cs="宋体"/>
          <w:i w:val="0"/>
          <w:iCs w:val="0"/>
          <w:color w:val="auto"/>
          <w:sz w:val="24"/>
          <w:szCs w:val="24"/>
          <w:highlight w:val="none"/>
          <w:u w:val="single"/>
        </w:rPr>
        <w:t xml:space="preserve">   </w:t>
      </w:r>
      <w:r>
        <w:rPr>
          <w:rFonts w:hint="eastAsia" w:hAnsi="宋体" w:cs="宋体"/>
          <w:i w:val="0"/>
          <w:iCs w:val="0"/>
          <w:color w:val="auto"/>
          <w:sz w:val="24"/>
          <w:szCs w:val="24"/>
          <w:highlight w:val="none"/>
        </w:rPr>
        <w:t>份、副本</w:t>
      </w:r>
      <w:r>
        <w:rPr>
          <w:rFonts w:hint="eastAsia" w:hAnsi="宋体" w:cs="宋体"/>
          <w:i w:val="0"/>
          <w:iCs w:val="0"/>
          <w:color w:val="auto"/>
          <w:sz w:val="24"/>
          <w:szCs w:val="24"/>
          <w:highlight w:val="none"/>
          <w:u w:val="single"/>
        </w:rPr>
        <w:t xml:space="preserve">     </w:t>
      </w:r>
      <w:r>
        <w:rPr>
          <w:rFonts w:hint="eastAsia" w:hAnsi="宋体" w:cs="宋体"/>
          <w:i w:val="0"/>
          <w:iCs w:val="0"/>
          <w:color w:val="auto"/>
          <w:sz w:val="24"/>
          <w:szCs w:val="24"/>
          <w:highlight w:val="none"/>
        </w:rPr>
        <w:t>份及电子文档</w:t>
      </w:r>
      <w:r>
        <w:rPr>
          <w:rFonts w:hint="eastAsia" w:hAnsi="宋体" w:cs="宋体"/>
          <w:i w:val="0"/>
          <w:iCs w:val="0"/>
          <w:color w:val="auto"/>
          <w:sz w:val="24"/>
          <w:szCs w:val="24"/>
          <w:highlight w:val="none"/>
          <w:u w:val="single"/>
        </w:rPr>
        <w:t xml:space="preserve">     </w:t>
      </w:r>
      <w:r>
        <w:rPr>
          <w:rFonts w:hint="eastAsia" w:hAnsi="宋体" w:cs="宋体"/>
          <w:i w:val="0"/>
          <w:iCs w:val="0"/>
          <w:color w:val="auto"/>
          <w:sz w:val="24"/>
          <w:szCs w:val="24"/>
          <w:highlight w:val="none"/>
        </w:rPr>
        <w:t>份，并以</w:t>
      </w:r>
      <w:r>
        <w:rPr>
          <w:rFonts w:hint="eastAsia" w:hAnsi="宋体" w:cs="宋体"/>
          <w:i w:val="0"/>
          <w:iCs w:val="0"/>
          <w:color w:val="auto"/>
          <w:sz w:val="24"/>
          <w:szCs w:val="24"/>
          <w:highlight w:val="none"/>
          <w:u w:val="single"/>
        </w:rPr>
        <w:t xml:space="preserve">         </w:t>
      </w:r>
      <w:r>
        <w:rPr>
          <w:rFonts w:hint="eastAsia" w:hAnsi="宋体" w:cs="宋体"/>
          <w:i w:val="0"/>
          <w:iCs w:val="0"/>
          <w:color w:val="auto"/>
          <w:sz w:val="24"/>
          <w:szCs w:val="24"/>
          <w:highlight w:val="none"/>
        </w:rPr>
        <w:t>形式出具的金额为人民币</w:t>
      </w:r>
      <w:r>
        <w:rPr>
          <w:rFonts w:hint="eastAsia" w:hAnsi="宋体" w:cs="宋体"/>
          <w:i w:val="0"/>
          <w:iCs w:val="0"/>
          <w:color w:val="auto"/>
          <w:sz w:val="24"/>
          <w:szCs w:val="24"/>
          <w:highlight w:val="none"/>
          <w:u w:val="single"/>
        </w:rPr>
        <w:t>　　　　</w:t>
      </w:r>
      <w:r>
        <w:rPr>
          <w:rFonts w:hint="eastAsia" w:hAnsi="宋体" w:cs="宋体"/>
          <w:i w:val="0"/>
          <w:iCs w:val="0"/>
          <w:color w:val="auto"/>
          <w:sz w:val="24"/>
          <w:szCs w:val="24"/>
          <w:highlight w:val="none"/>
        </w:rPr>
        <w:t>元的</w:t>
      </w:r>
      <w:r>
        <w:rPr>
          <w:rFonts w:hint="eastAsia" w:hAnsi="宋体" w:cs="宋体"/>
          <w:i w:val="0"/>
          <w:iCs w:val="0"/>
          <w:color w:val="auto"/>
          <w:sz w:val="24"/>
          <w:szCs w:val="24"/>
          <w:highlight w:val="none"/>
          <w:lang w:eastAsia="zh-CN"/>
        </w:rPr>
        <w:t>磋商保证金</w:t>
      </w:r>
      <w:r>
        <w:rPr>
          <w:rFonts w:hint="eastAsia" w:hAnsi="宋体" w:cs="宋体"/>
          <w:i w:val="0"/>
          <w:iCs w:val="0"/>
          <w:color w:val="auto"/>
          <w:sz w:val="24"/>
          <w:szCs w:val="24"/>
          <w:highlight w:val="none"/>
        </w:rPr>
        <w:t>。</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据此，签字代表宣布同意如下：</w:t>
      </w:r>
    </w:p>
    <w:p>
      <w:pPr>
        <w:pStyle w:val="15"/>
        <w:tabs>
          <w:tab w:val="left" w:pos="720"/>
          <w:tab w:val="left" w:pos="900"/>
        </w:tabs>
        <w:spacing w:line="240" w:lineRule="atLeast"/>
        <w:ind w:left="768" w:leftChars="257" w:hanging="229"/>
        <w:rPr>
          <w:rFonts w:hint="eastAsia" w:hAnsi="宋体" w:cs="宋体"/>
          <w:color w:val="auto"/>
          <w:sz w:val="24"/>
          <w:szCs w:val="24"/>
          <w:highlight w:val="none"/>
          <w:u w:val="single"/>
        </w:rPr>
      </w:pPr>
      <w:r>
        <w:rPr>
          <w:rFonts w:hint="eastAsia" w:hAnsi="宋体" w:cs="宋体"/>
          <w:color w:val="auto"/>
          <w:sz w:val="24"/>
          <w:szCs w:val="24"/>
          <w:highlight w:val="none"/>
        </w:rPr>
        <w:t>（1）附投标价格表中规定的应提供货物的投标总价详见</w:t>
      </w:r>
      <w:r>
        <w:rPr>
          <w:rFonts w:hint="eastAsia" w:hAnsi="宋体" w:cs="宋体"/>
          <w:color w:val="auto"/>
          <w:sz w:val="24"/>
          <w:szCs w:val="24"/>
          <w:highlight w:val="none"/>
          <w:lang w:eastAsia="zh-CN"/>
        </w:rPr>
        <w:t>报价一览表</w:t>
      </w:r>
      <w:r>
        <w:rPr>
          <w:rFonts w:hint="eastAsia" w:hAnsi="宋体" w:cs="宋体"/>
          <w:color w:val="auto"/>
          <w:sz w:val="24"/>
          <w:szCs w:val="24"/>
          <w:highlight w:val="none"/>
        </w:rPr>
        <w:t>，</w:t>
      </w:r>
      <w:r>
        <w:rPr>
          <w:rFonts w:hint="eastAsia" w:hAnsi="宋体" w:cs="宋体"/>
          <w:color w:val="auto"/>
          <w:sz w:val="24"/>
          <w:szCs w:val="24"/>
          <w:highlight w:val="none"/>
          <w:u w:val="single"/>
        </w:rPr>
        <w:t>其中由小型和</w:t>
      </w:r>
      <w:r>
        <w:rPr>
          <w:rFonts w:hint="eastAsia" w:hAnsi="宋体" w:cs="宋体"/>
          <w:color w:val="auto"/>
          <w:sz w:val="24"/>
          <w:szCs w:val="24"/>
          <w:highlight w:val="none"/>
        </w:rPr>
        <w:t>微型企业制造产品的价格为</w:t>
      </w:r>
      <w:r>
        <w:rPr>
          <w:rFonts w:hint="eastAsia" w:hAnsi="宋体" w:cs="宋体"/>
          <w:color w:val="auto"/>
          <w:sz w:val="24"/>
          <w:szCs w:val="24"/>
          <w:highlight w:val="none"/>
          <w:u w:val="single"/>
        </w:rPr>
        <w:t>　　  （用文字和数字表示），占投标总价   %</w:t>
      </w:r>
      <w:r>
        <w:rPr>
          <w:rFonts w:hint="eastAsia" w:hAnsi="宋体" w:cs="宋体"/>
          <w:color w:val="auto"/>
          <w:sz w:val="24"/>
          <w:szCs w:val="24"/>
          <w:highlight w:val="none"/>
        </w:rPr>
        <w:t>。</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（2）本投标有效期为自投标截止之日起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个日历日。</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（3）联合体中的大中型企业和其他自然人、法人或者非法人组织，与联合体中的小型、微型企业之间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存在、不存在）投资关系（如果是联合体的话）。</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（4）已详细审查全部招标文件，包括所有补充通知（如果有的话），完全理解并同意放弃对这方面有不明、误解和质疑的权力。</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（5）在规定的开标时间后，遵守招标文件中有关保证金的规定。</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（6）我方不是为本项目提供整体设计、规范编制或者项目管理、监理、检测等服务的</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，我方不是采购代理机构的附属机构。</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（7）在领取</w:t>
      </w:r>
      <w:r>
        <w:rPr>
          <w:rFonts w:hint="eastAsia" w:hAnsi="宋体" w:cs="宋体"/>
          <w:color w:val="auto"/>
          <w:sz w:val="24"/>
          <w:szCs w:val="24"/>
          <w:highlight w:val="none"/>
          <w:lang w:eastAsia="zh-CN"/>
        </w:rPr>
        <w:t>成交通知书</w:t>
      </w:r>
      <w:r>
        <w:rPr>
          <w:rFonts w:hint="eastAsia" w:hAnsi="宋体" w:cs="宋体"/>
          <w:color w:val="auto"/>
          <w:sz w:val="24"/>
          <w:szCs w:val="24"/>
          <w:highlight w:val="none"/>
        </w:rPr>
        <w:t>的同时按招标文件规定的形式，向贵方一次性支付中标服务费。</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（8）按照贵方可能要求，提供与其投标有关的一切数据或资料，完全理解贵方不一定接受最低价的投标或收到的任何投标。</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（9）按照招标文件的规定履行合同责任和义务。</w:t>
      </w:r>
    </w:p>
    <w:p>
      <w:pPr>
        <w:pStyle w:val="15"/>
        <w:tabs>
          <w:tab w:val="left" w:pos="5580"/>
        </w:tabs>
        <w:spacing w:line="240" w:lineRule="atLeast"/>
        <w:ind w:left="358" w:leftChars="68" w:hanging="216" w:hangingChars="90"/>
        <w:rPr>
          <w:rFonts w:hint="eastAsia" w:hAnsi="宋体" w:cs="宋体"/>
          <w:color w:val="auto"/>
          <w:sz w:val="24"/>
          <w:szCs w:val="24"/>
          <w:highlight w:val="none"/>
        </w:rPr>
      </w:pPr>
      <w:r>
        <w:rPr>
          <w:rFonts w:hint="eastAsia" w:hAnsi="宋体" w:cs="宋体"/>
          <w:color w:val="auto"/>
          <w:sz w:val="24"/>
          <w:szCs w:val="24"/>
          <w:highlight w:val="none"/>
        </w:rPr>
        <w:t xml:space="preserve">  与本投标有关的一切正式往来信函请寄：</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传真</w:t>
      </w:r>
      <w:r>
        <w:rPr>
          <w:rFonts w:hint="eastAsia" w:hAnsi="宋体" w:cs="宋体"/>
          <w:color w:val="auto"/>
          <w:sz w:val="24"/>
          <w:szCs w:val="24"/>
          <w:highlight w:val="none"/>
          <w:u w:val="single"/>
        </w:rPr>
        <w:t xml:space="preserve">                             </w:t>
      </w:r>
    </w:p>
    <w:p>
      <w:pPr>
        <w:pStyle w:val="15"/>
        <w:tabs>
          <w:tab w:val="left" w:pos="5580"/>
        </w:tabs>
        <w:spacing w:line="240" w:lineRule="atLeast"/>
        <w:ind w:left="1079" w:leftChars="257" w:hanging="540"/>
        <w:rPr>
          <w:rFonts w:hint="eastAsia" w:hAnsi="宋体" w:cs="宋体"/>
          <w:b/>
          <w:color w:val="auto"/>
          <w:sz w:val="24"/>
          <w:szCs w:val="24"/>
          <w:highlight w:val="non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p>
    <w:p>
      <w:pPr>
        <w:pStyle w:val="15"/>
        <w:tabs>
          <w:tab w:val="left" w:pos="5580"/>
        </w:tabs>
        <w:spacing w:line="240" w:lineRule="atLeast"/>
        <w:ind w:left="1079" w:leftChars="257" w:hanging="540"/>
        <w:rPr>
          <w:rFonts w:hint="eastAsia" w:hAnsi="宋体" w:cs="宋体"/>
          <w:color w:val="auto"/>
          <w:sz w:val="24"/>
          <w:szCs w:val="24"/>
          <w:highlight w:val="none"/>
        </w:rPr>
      </w:pP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法定代表人或其委托代理人签字-----------------</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投标人名称（全称）-----------------</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投标人开户银行（全称）</w:t>
      </w:r>
      <w:r>
        <w:rPr>
          <w:rFonts w:hint="eastAsia" w:hAnsi="宋体" w:cs="宋体"/>
          <w:color w:val="auto"/>
          <w:sz w:val="24"/>
          <w:szCs w:val="24"/>
          <w:highlight w:val="none"/>
          <w:u w:val="single"/>
        </w:rPr>
        <w:t xml:space="preserve">　　　　　　 </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投标人银行帐号</w:t>
      </w:r>
      <w:r>
        <w:rPr>
          <w:rFonts w:hint="eastAsia" w:hAnsi="宋体" w:cs="宋体"/>
          <w:color w:val="auto"/>
          <w:sz w:val="24"/>
          <w:szCs w:val="24"/>
          <w:highlight w:val="none"/>
          <w:u w:val="single"/>
        </w:rPr>
        <w:t>　　　　　　　　 　　</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投标人单位章-------------------------</w:t>
      </w:r>
    </w:p>
    <w:p>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日期-------------------------------</w:t>
      </w:r>
    </w:p>
    <w:p>
      <w:pPr>
        <w:pStyle w:val="5"/>
        <w:spacing w:before="0"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380" w:name="_Toc19943"/>
      <w:bookmarkStart w:id="381" w:name="_Toc1266"/>
      <w:bookmarkStart w:id="382" w:name="_Toc23473"/>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保证金缴纳凭证复印件或投标担保函</w:t>
      </w:r>
      <w:bookmarkEnd w:id="380"/>
      <w:bookmarkEnd w:id="381"/>
      <w:bookmarkEnd w:id="382"/>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投标人可将本项目</w:t>
      </w:r>
      <w:r>
        <w:rPr>
          <w:rFonts w:hint="eastAsia" w:ascii="宋体" w:hAnsi="宋体" w:cs="宋体"/>
          <w:color w:val="auto"/>
          <w:sz w:val="24"/>
          <w:highlight w:val="none"/>
          <w:lang w:eastAsia="zh-CN"/>
        </w:rPr>
        <w:t>磋商保证金</w:t>
      </w:r>
      <w:r>
        <w:rPr>
          <w:rFonts w:hint="eastAsia" w:ascii="宋体" w:hAnsi="宋体" w:cs="宋体"/>
          <w:color w:val="auto"/>
          <w:sz w:val="24"/>
          <w:highlight w:val="none"/>
        </w:rPr>
        <w:t>支付的汇款凭证、支票、汇票或保证金收据（如有）的复印件作为缴纳凭证装订在本部分，复印件上应加盖本单位章；使用银行保函等其他投标担保函的，应将担保函</w:t>
      </w:r>
      <w:r>
        <w:rPr>
          <w:rFonts w:hint="eastAsia" w:ascii="宋体" w:hAnsi="宋体" w:cs="宋体"/>
          <w:color w:val="auto"/>
          <w:sz w:val="24"/>
          <w:highlight w:val="none"/>
          <w:lang w:val="en-US" w:eastAsia="zh-CN"/>
        </w:rPr>
        <w:t>复印件</w:t>
      </w:r>
      <w:r>
        <w:rPr>
          <w:rFonts w:hint="eastAsia" w:ascii="宋体" w:hAnsi="宋体" w:cs="宋体"/>
          <w:color w:val="auto"/>
          <w:sz w:val="24"/>
          <w:highlight w:val="none"/>
        </w:rPr>
        <w:t>，装订在本部分正本中。</w:t>
      </w: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tbl>
      <w:tblPr>
        <w:tblStyle w:val="34"/>
        <w:tblpPr w:leftFromText="180" w:rightFromText="180" w:vertAnchor="text" w:horzAnchor="page" w:tblpXSpec="center" w:tblpY="10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jc w:val="center"/>
        </w:trPr>
        <w:tc>
          <w:tcPr>
            <w:tcW w:w="8940" w:type="dxa"/>
            <w:noWrap w:val="0"/>
            <w:vAlign w:val="top"/>
          </w:tcPr>
          <w:p>
            <w:pPr>
              <w:rPr>
                <w:rFonts w:ascii="宋体" w:hAnsi="宋体" w:cs="宋体"/>
                <w:b/>
                <w:bCs/>
                <w:color w:val="auto"/>
                <w:sz w:val="30"/>
                <w:szCs w:val="30"/>
                <w:highlight w:val="none"/>
              </w:rPr>
            </w:pPr>
          </w:p>
          <w:p>
            <w:pPr>
              <w:jc w:val="center"/>
              <w:rPr>
                <w:rFonts w:ascii="宋体" w:hAnsi="宋体" w:cs="宋体"/>
                <w:b/>
                <w:bCs/>
                <w:color w:val="auto"/>
                <w:sz w:val="30"/>
                <w:szCs w:val="30"/>
                <w:highlight w:val="none"/>
              </w:rPr>
            </w:pPr>
          </w:p>
          <w:p>
            <w:pPr>
              <w:jc w:val="center"/>
              <w:rPr>
                <w:rFonts w:ascii="宋体" w:hAnsi="宋体" w:cs="宋体"/>
                <w:b/>
                <w:bCs/>
                <w:color w:val="auto"/>
                <w:sz w:val="30"/>
                <w:szCs w:val="30"/>
                <w:highlight w:val="none"/>
              </w:rPr>
            </w:pPr>
          </w:p>
          <w:p>
            <w:pPr>
              <w:jc w:val="center"/>
              <w:rPr>
                <w:rFonts w:ascii="宋体" w:hAnsi="宋体" w:cs="宋体"/>
                <w:b/>
                <w:bCs/>
                <w:color w:val="auto"/>
                <w:sz w:val="30"/>
                <w:szCs w:val="30"/>
                <w:highlight w:val="none"/>
              </w:rPr>
            </w:pPr>
          </w:p>
          <w:p>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银行</w:t>
            </w:r>
            <w:r>
              <w:rPr>
                <w:rFonts w:hint="eastAsia" w:ascii="宋体" w:hAnsi="宋体" w:cs="宋体"/>
                <w:b/>
                <w:bCs/>
                <w:color w:val="auto"/>
                <w:sz w:val="30"/>
                <w:szCs w:val="30"/>
                <w:highlight w:val="none"/>
                <w:lang w:val="en-US" w:eastAsia="zh-CN"/>
              </w:rPr>
              <w:t>转账回执单</w:t>
            </w:r>
            <w:r>
              <w:rPr>
                <w:rFonts w:hint="eastAsia" w:ascii="宋体" w:hAnsi="宋体" w:cs="宋体"/>
                <w:b/>
                <w:bCs/>
                <w:color w:val="auto"/>
                <w:sz w:val="30"/>
                <w:szCs w:val="30"/>
                <w:highlight w:val="none"/>
              </w:rPr>
              <w:t>复印件</w:t>
            </w:r>
          </w:p>
        </w:tc>
      </w:tr>
    </w:tbl>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p>
    <w:p>
      <w:pPr>
        <w:jc w:val="center"/>
        <w:rPr>
          <w:rFonts w:hint="eastAsia" w:ascii="宋体" w:hAnsi="宋体" w:cs="宋体"/>
          <w:color w:val="auto"/>
          <w:sz w:val="24"/>
          <w:highlight w:val="none"/>
        </w:rPr>
      </w:pPr>
      <w:r>
        <w:rPr>
          <w:rFonts w:hint="eastAsia" w:ascii="宋体" w:hAnsi="宋体" w:cs="宋体"/>
          <w:color w:val="auto"/>
          <w:sz w:val="24"/>
          <w:highlight w:val="none"/>
        </w:rPr>
        <w:t>政府采购投标担保函 （</w:t>
      </w:r>
      <w:r>
        <w:rPr>
          <w:rFonts w:hint="eastAsia" w:ascii="宋体" w:hAnsi="宋体" w:cs="宋体"/>
          <w:color w:val="auto"/>
          <w:sz w:val="24"/>
          <w:highlight w:val="none"/>
          <w:lang w:val="en-US" w:eastAsia="zh-CN"/>
        </w:rPr>
        <w:t>本</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不适用</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格式六）</w:t>
      </w:r>
    </w:p>
    <w:p>
      <w:pPr>
        <w:rPr>
          <w:rFonts w:hint="eastAsia" w:ascii="宋体" w:hAnsi="宋体" w:cs="宋体"/>
          <w:color w:val="auto"/>
          <w:sz w:val="24"/>
          <w:highlight w:val="none"/>
        </w:rPr>
      </w:pPr>
      <w:r>
        <w:rPr>
          <w:rFonts w:hint="eastAsia" w:ascii="宋体" w:hAnsi="宋体" w:cs="宋体"/>
          <w:color w:val="auto"/>
          <w:sz w:val="24"/>
          <w:highlight w:val="none"/>
        </w:rPr>
        <w:t>编号：</w:t>
      </w:r>
    </w:p>
    <w:p>
      <w:pP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（采购人或采购代理机构）：</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（以下简称“投标人”）拟参加编号为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rPr>
          <w:rFonts w:hint="eastAsia" w:ascii="宋体" w:hAnsi="宋体" w:cs="宋体"/>
          <w:color w:val="auto"/>
          <w:sz w:val="24"/>
          <w:highlight w:val="none"/>
        </w:rPr>
      </w:pPr>
      <w:r>
        <w:rPr>
          <w:rFonts w:hint="eastAsia" w:ascii="宋体" w:hAnsi="宋体" w:cs="宋体"/>
          <w:color w:val="auto"/>
          <w:sz w:val="24"/>
          <w:highlight w:val="none"/>
        </w:rPr>
        <w:t>项目（以下简称“本项目”）投标，根据本项目招标文件，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参加投标时应向你方交纳</w:t>
      </w:r>
      <w:r>
        <w:rPr>
          <w:rFonts w:hint="eastAsia" w:ascii="宋体" w:hAnsi="宋体" w:cs="宋体"/>
          <w:color w:val="auto"/>
          <w:sz w:val="24"/>
          <w:highlight w:val="none"/>
          <w:lang w:eastAsia="zh-CN"/>
        </w:rPr>
        <w:t>磋商保证金</w:t>
      </w:r>
      <w:r>
        <w:rPr>
          <w:rFonts w:hint="eastAsia" w:ascii="宋体" w:hAnsi="宋体" w:cs="宋体"/>
          <w:color w:val="auto"/>
          <w:sz w:val="24"/>
          <w:highlight w:val="none"/>
        </w:rPr>
        <w:t>，且可以投标担保函的形式交纳</w:t>
      </w:r>
      <w:r>
        <w:rPr>
          <w:rFonts w:hint="eastAsia" w:ascii="宋体" w:hAnsi="宋体" w:cs="宋体"/>
          <w:color w:val="auto"/>
          <w:sz w:val="24"/>
          <w:highlight w:val="none"/>
          <w:lang w:eastAsia="zh-CN"/>
        </w:rPr>
        <w:t>磋商保证金</w:t>
      </w:r>
      <w:r>
        <w:rPr>
          <w:rFonts w:hint="eastAsia" w:ascii="宋体" w:hAnsi="宋体" w:cs="宋体"/>
          <w:color w:val="auto"/>
          <w:sz w:val="24"/>
          <w:highlight w:val="none"/>
        </w:rPr>
        <w:t>。应</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的申请，我方以保证的方式向你方提供如下</w:t>
      </w:r>
      <w:r>
        <w:rPr>
          <w:rFonts w:hint="eastAsia" w:ascii="宋体" w:hAnsi="宋体" w:cs="宋体"/>
          <w:color w:val="auto"/>
          <w:sz w:val="24"/>
          <w:highlight w:val="none"/>
          <w:lang w:eastAsia="zh-CN"/>
        </w:rPr>
        <w:t>磋商保证金</w:t>
      </w:r>
      <w:r>
        <w:rPr>
          <w:rFonts w:hint="eastAsia" w:ascii="宋体" w:hAnsi="宋体" w:cs="宋体"/>
          <w:color w:val="auto"/>
          <w:sz w:val="24"/>
          <w:highlight w:val="none"/>
        </w:rPr>
        <w:t>担保：</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一、保证责任的情形及保证金额</w:t>
      </w:r>
    </w:p>
    <w:p>
      <w:pPr>
        <w:ind w:firstLine="240" w:firstLineChars="100"/>
        <w:rPr>
          <w:rFonts w:hint="eastAsia" w:ascii="宋体" w:hAnsi="宋体" w:cs="宋体"/>
          <w:color w:val="auto"/>
          <w:sz w:val="24"/>
          <w:highlight w:val="none"/>
        </w:rPr>
      </w:pPr>
      <w:r>
        <w:rPr>
          <w:rFonts w:hint="eastAsia" w:ascii="宋体" w:hAnsi="宋体" w:cs="宋体"/>
          <w:color w:val="auto"/>
          <w:sz w:val="24"/>
          <w:highlight w:val="none"/>
        </w:rPr>
        <w:t>（一）在投标人出现下列情形之一时，我方承担保证责任：</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1．中标后投标人无正当理由不与采购人或者采购代理机构签订《政府采购合同》；</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2．招标文件规定的投标人应当缴纳保证金的其他情形。</w:t>
      </w:r>
    </w:p>
    <w:p>
      <w:pPr>
        <w:ind w:firstLine="240" w:firstLineChars="100"/>
        <w:rPr>
          <w:rFonts w:hint="eastAsia" w:ascii="宋体" w:hAnsi="宋体" w:cs="宋体"/>
          <w:color w:val="auto"/>
          <w:sz w:val="24"/>
          <w:highlight w:val="none"/>
        </w:rPr>
      </w:pPr>
      <w:r>
        <w:rPr>
          <w:rFonts w:hint="eastAsia" w:ascii="宋体" w:hAnsi="宋体" w:cs="宋体"/>
          <w:color w:val="auto"/>
          <w:sz w:val="24"/>
          <w:highlight w:val="none"/>
        </w:rPr>
        <w:t>（二）我方承担保证责任的最高金额为人民币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），即本项目的</w:t>
      </w:r>
      <w:r>
        <w:rPr>
          <w:rFonts w:hint="eastAsia" w:ascii="宋体" w:hAnsi="宋体" w:cs="宋体"/>
          <w:color w:val="auto"/>
          <w:sz w:val="24"/>
          <w:highlight w:val="none"/>
          <w:lang w:eastAsia="zh-CN"/>
        </w:rPr>
        <w:t>磋商保证金</w:t>
      </w:r>
      <w:r>
        <w:rPr>
          <w:rFonts w:hint="eastAsia" w:ascii="宋体" w:hAnsi="宋体" w:cs="宋体"/>
          <w:color w:val="auto"/>
          <w:sz w:val="24"/>
          <w:highlight w:val="none"/>
        </w:rPr>
        <w:t>金额。</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二、保证的方式及保证期间</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我方保证的方式为：连带责任保证。</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我方的保证期间为：自本保函生效之日起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个月止。</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三、承担保证责任的程序</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2．我方在收到索赔通知及相关证明材料后，在</w:t>
      </w:r>
      <w:r>
        <w:rPr>
          <w:rFonts w:hint="eastAsia" w:ascii="宋体" w:hAnsi="宋体" w:cs="宋体"/>
          <w:color w:val="auto"/>
          <w:sz w:val="24"/>
          <w:highlight w:val="none"/>
          <w:u w:val="single"/>
        </w:rPr>
        <w:t>　　　</w:t>
      </w:r>
      <w:r>
        <w:rPr>
          <w:rFonts w:hint="eastAsia" w:ascii="宋体" w:hAnsi="宋体" w:cs="宋体"/>
          <w:color w:val="auto"/>
          <w:sz w:val="24"/>
          <w:highlight w:val="none"/>
        </w:rPr>
        <w:t>个工作日内进行审查，符合应承担保证责任情形的，我方应按照你方的要求代投标人向你方支付</w:t>
      </w:r>
      <w:r>
        <w:rPr>
          <w:rFonts w:hint="eastAsia" w:ascii="宋体" w:hAnsi="宋体" w:cs="宋体"/>
          <w:color w:val="auto"/>
          <w:sz w:val="24"/>
          <w:highlight w:val="none"/>
          <w:lang w:eastAsia="zh-CN"/>
        </w:rPr>
        <w:t>磋商保证金</w:t>
      </w:r>
      <w:r>
        <w:rPr>
          <w:rFonts w:hint="eastAsia" w:ascii="宋体" w:hAnsi="宋体" w:cs="宋体"/>
          <w:color w:val="auto"/>
          <w:sz w:val="24"/>
          <w:highlight w:val="none"/>
        </w:rPr>
        <w:t>。</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四、保证责任的终止</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1．保证期间届满你方未向我方书面主张保证责任的，自保证期间届满次日起，我方保证责任自动终止。</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2．我方按照本保函向你贵方履行了保证责任后，自我方向你贵方支付款项（支付款项从我方账户划出）之日起，保证责任终止。</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3．按照法律法规的规定或出现我方保证责任终止的其它情形的，我方在本保函项下的保证责任亦终止。</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五、免责条款</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1．依照法律规定或你方与投标人的另行约定，全部或者部分免除投标人</w:t>
      </w:r>
      <w:r>
        <w:rPr>
          <w:rFonts w:hint="eastAsia" w:ascii="宋体" w:hAnsi="宋体" w:cs="宋体"/>
          <w:color w:val="auto"/>
          <w:sz w:val="24"/>
          <w:highlight w:val="none"/>
          <w:lang w:eastAsia="zh-CN"/>
        </w:rPr>
        <w:t>磋商保证金</w:t>
      </w:r>
      <w:r>
        <w:rPr>
          <w:rFonts w:hint="eastAsia" w:ascii="宋体" w:hAnsi="宋体" w:cs="宋体"/>
          <w:color w:val="auto"/>
          <w:sz w:val="24"/>
          <w:highlight w:val="none"/>
        </w:rPr>
        <w:t>义务时，我方亦免除相应的保证责任。</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2．因你方原因致使投标人发生本保函第一条第（一）款约定情形的，我方不承担保证责任。</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3．因不可抗力造成投标人发生本保函第一条约定情形的，我方不承担保证责任。</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六、争议的解决</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因本保函发生的纠纷，由你我双方协商解决，协商不成的，通过诉讼程序解决，诉讼管辖地法院为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法院。</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七、保函的生效</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本保函自我方加盖公章之日起生效。</w:t>
      </w: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t>保证人：（公章）</w:t>
      </w:r>
    </w:p>
    <w:p>
      <w:pPr>
        <w:rPr>
          <w:rFonts w:hint="eastAsia" w:ascii="宋体" w:hAnsi="宋体" w:cs="宋体"/>
          <w:color w:val="auto"/>
          <w:sz w:val="24"/>
          <w:highlight w:val="none"/>
        </w:rPr>
      </w:pPr>
      <w:r>
        <w:rPr>
          <w:rFonts w:hint="eastAsia" w:ascii="宋体" w:hAnsi="宋体" w:cs="宋体"/>
          <w:color w:val="auto"/>
          <w:sz w:val="24"/>
          <w:highlight w:val="none"/>
        </w:rPr>
        <w:t xml:space="preserve">                               </w:t>
      </w:r>
    </w:p>
    <w:p>
      <w:pPr>
        <w:rPr>
          <w:rFonts w:hint="eastAsia" w:ascii="宋体" w:hAnsi="宋体" w:cs="宋体"/>
          <w:color w:val="auto"/>
          <w:sz w:val="24"/>
          <w:highlight w:val="none"/>
        </w:rPr>
      </w:pPr>
    </w:p>
    <w:p>
      <w:pPr>
        <w:rPr>
          <w:rFonts w:hint="eastAsia" w:ascii="宋体" w:hAnsi="宋体" w:cs="宋体"/>
          <w:color w:val="auto"/>
          <w:sz w:val="24"/>
          <w:highlight w:val="none"/>
        </w:rPr>
        <w:sectPr>
          <w:footerReference r:id="rId8" w:type="default"/>
          <w:pgSz w:w="11906" w:h="16838"/>
          <w:pgMar w:top="1440" w:right="1797" w:bottom="1440" w:left="1797" w:header="851" w:footer="992" w:gutter="0"/>
          <w:pgNumType w:fmt="decimal" w:start="1"/>
          <w:cols w:space="720" w:num="1"/>
          <w:docGrid w:type="linesAndChars" w:linePitch="312" w:charSpace="0"/>
        </w:sectPr>
      </w:pPr>
      <w:r>
        <w:rPr>
          <w:rFonts w:hint="eastAsia" w:ascii="宋体" w:hAnsi="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月   日</w:t>
      </w:r>
    </w:p>
    <w:p>
      <w:pPr>
        <w:pStyle w:val="5"/>
        <w:spacing w:before="0" w:line="240" w:lineRule="atLeast"/>
        <w:ind w:left="1080" w:leftChars="257" w:hanging="540"/>
        <w:rPr>
          <w:rFonts w:hint="eastAsia" w:ascii="宋体" w:hAnsi="宋体" w:eastAsia="宋体" w:cs="宋体"/>
          <w:color w:val="auto"/>
          <w:sz w:val="24"/>
          <w:szCs w:val="24"/>
          <w:highlight w:val="none"/>
        </w:rPr>
      </w:pPr>
      <w:bookmarkStart w:id="383" w:name="_Hlt520355938"/>
      <w:bookmarkEnd w:id="383"/>
      <w:bookmarkStart w:id="384" w:name="_Hlt520356243"/>
      <w:bookmarkEnd w:id="384"/>
      <w:bookmarkStart w:id="385" w:name="_Toc216582815"/>
      <w:bookmarkStart w:id="386" w:name="_Toc515647818"/>
      <w:bookmarkStart w:id="387" w:name="_Toc10388"/>
      <w:bookmarkStart w:id="388" w:name="_Toc20897"/>
      <w:bookmarkStart w:id="389" w:name="_Toc1881"/>
      <w:r>
        <w:rPr>
          <w:rFonts w:hint="eastAsia" w:ascii="宋体" w:hAnsi="宋体" w:eastAsia="宋体" w:cs="宋体"/>
          <w:color w:val="auto"/>
          <w:sz w:val="24"/>
          <w:szCs w:val="24"/>
          <w:highlight w:val="none"/>
        </w:rPr>
        <w:t>3   投标分项报价表</w:t>
      </w:r>
      <w:bookmarkEnd w:id="38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格式七）</w:t>
      </w:r>
      <w:bookmarkEnd w:id="386"/>
      <w:bookmarkEnd w:id="387"/>
      <w:bookmarkEnd w:id="388"/>
      <w:bookmarkEnd w:id="389"/>
    </w:p>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项目名称:                      招标编号:                         包号: 　 　报价单位：人民币元</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15"/>
              <w:spacing w:line="240" w:lineRule="atLeast"/>
              <w:ind w:left="269" w:leftChars="128"/>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2510"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名称</w:t>
            </w:r>
          </w:p>
        </w:tc>
        <w:tc>
          <w:tcPr>
            <w:tcW w:w="1984"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型号和规格</w:t>
            </w:r>
          </w:p>
        </w:tc>
        <w:tc>
          <w:tcPr>
            <w:tcW w:w="1418"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数量</w:t>
            </w:r>
          </w:p>
        </w:tc>
        <w:tc>
          <w:tcPr>
            <w:tcW w:w="1215"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原产地</w:t>
            </w:r>
          </w:p>
        </w:tc>
        <w:tc>
          <w:tcPr>
            <w:tcW w:w="1152"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制造商名称</w:t>
            </w:r>
          </w:p>
        </w:tc>
        <w:tc>
          <w:tcPr>
            <w:tcW w:w="1177"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单价</w:t>
            </w:r>
          </w:p>
        </w:tc>
        <w:tc>
          <w:tcPr>
            <w:tcW w:w="1717"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总价</w:t>
            </w:r>
          </w:p>
        </w:tc>
        <w:tc>
          <w:tcPr>
            <w:tcW w:w="976"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15"/>
              <w:spacing w:line="240" w:lineRule="atLeast"/>
              <w:ind w:left="269" w:leftChars="128"/>
              <w:jc w:val="both"/>
              <w:rPr>
                <w:rFonts w:hint="eastAsia" w:hAnsi="宋体" w:cs="宋体"/>
                <w:color w:val="auto"/>
                <w:sz w:val="24"/>
                <w:szCs w:val="24"/>
                <w:highlight w:val="none"/>
              </w:rPr>
            </w:pPr>
            <w:r>
              <w:rPr>
                <w:rFonts w:hint="eastAsia" w:hAnsi="宋体" w:cs="宋体"/>
                <w:color w:val="auto"/>
                <w:sz w:val="24"/>
                <w:szCs w:val="24"/>
                <w:highlight w:val="none"/>
              </w:rPr>
              <w:t>1.</w:t>
            </w:r>
          </w:p>
        </w:tc>
        <w:tc>
          <w:tcPr>
            <w:tcW w:w="2510"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货物名称</w:t>
            </w:r>
          </w:p>
        </w:tc>
        <w:tc>
          <w:tcPr>
            <w:tcW w:w="1984"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418"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215"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52"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7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71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976"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5"/>
              <w:spacing w:line="240" w:lineRule="atLeast"/>
              <w:ind w:left="269" w:leftChars="128"/>
              <w:jc w:val="both"/>
              <w:rPr>
                <w:rFonts w:hint="eastAsia" w:hAnsi="宋体" w:cs="宋体"/>
                <w:color w:val="auto"/>
                <w:sz w:val="24"/>
                <w:szCs w:val="24"/>
                <w:highlight w:val="none"/>
              </w:rPr>
            </w:pPr>
            <w:r>
              <w:rPr>
                <w:rFonts w:hint="eastAsia" w:hAnsi="宋体" w:cs="宋体"/>
                <w:color w:val="auto"/>
                <w:sz w:val="24"/>
                <w:szCs w:val="24"/>
                <w:highlight w:val="none"/>
              </w:rPr>
              <w:t>2.</w:t>
            </w:r>
          </w:p>
        </w:tc>
        <w:tc>
          <w:tcPr>
            <w:tcW w:w="2510"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备品备件</w:t>
            </w:r>
          </w:p>
        </w:tc>
        <w:tc>
          <w:tcPr>
            <w:tcW w:w="1984"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418"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215"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52"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7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71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976"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5"/>
              <w:spacing w:line="240" w:lineRule="atLeast"/>
              <w:ind w:left="269" w:leftChars="128"/>
              <w:jc w:val="both"/>
              <w:rPr>
                <w:rFonts w:hint="eastAsia" w:hAnsi="宋体" w:cs="宋体"/>
                <w:color w:val="auto"/>
                <w:sz w:val="24"/>
                <w:szCs w:val="24"/>
                <w:highlight w:val="none"/>
              </w:rPr>
            </w:pPr>
            <w:r>
              <w:rPr>
                <w:rFonts w:hint="eastAsia" w:hAnsi="宋体" w:cs="宋体"/>
                <w:color w:val="auto"/>
                <w:sz w:val="24"/>
                <w:szCs w:val="24"/>
                <w:highlight w:val="none"/>
              </w:rPr>
              <w:t>3.</w:t>
            </w:r>
          </w:p>
        </w:tc>
        <w:tc>
          <w:tcPr>
            <w:tcW w:w="2510" w:type="dxa"/>
            <w:noWrap w:val="0"/>
            <w:vAlign w:val="center"/>
          </w:tcPr>
          <w:p>
            <w:pPr>
              <w:pStyle w:val="15"/>
              <w:spacing w:line="240" w:lineRule="atLeast"/>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装修</w:t>
            </w:r>
          </w:p>
        </w:tc>
        <w:tc>
          <w:tcPr>
            <w:tcW w:w="1984"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418"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215"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52"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7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71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976"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5"/>
              <w:spacing w:line="240" w:lineRule="atLeast"/>
              <w:ind w:left="269" w:leftChars="128"/>
              <w:jc w:val="both"/>
              <w:rPr>
                <w:rFonts w:hint="eastAsia" w:hAnsi="宋体" w:cs="宋体"/>
                <w:color w:val="auto"/>
                <w:sz w:val="24"/>
                <w:szCs w:val="24"/>
                <w:highlight w:val="none"/>
              </w:rPr>
            </w:pPr>
            <w:r>
              <w:rPr>
                <w:rFonts w:hint="eastAsia" w:hAnsi="宋体" w:cs="宋体"/>
                <w:color w:val="auto"/>
                <w:sz w:val="24"/>
                <w:szCs w:val="24"/>
                <w:highlight w:val="none"/>
              </w:rPr>
              <w:t>4.</w:t>
            </w:r>
          </w:p>
        </w:tc>
        <w:tc>
          <w:tcPr>
            <w:tcW w:w="2510"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安装、调试、检验</w:t>
            </w:r>
          </w:p>
        </w:tc>
        <w:tc>
          <w:tcPr>
            <w:tcW w:w="1984"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418"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215"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52"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7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71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976"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15"/>
              <w:spacing w:line="240" w:lineRule="atLeast"/>
              <w:ind w:left="269" w:leftChars="128"/>
              <w:jc w:val="both"/>
              <w:rPr>
                <w:rFonts w:hint="eastAsia" w:hAnsi="宋体" w:cs="宋体"/>
                <w:color w:val="auto"/>
                <w:sz w:val="24"/>
                <w:szCs w:val="24"/>
                <w:highlight w:val="none"/>
              </w:rPr>
            </w:pPr>
            <w:r>
              <w:rPr>
                <w:rFonts w:hint="eastAsia" w:hAnsi="宋体" w:cs="宋体"/>
                <w:color w:val="auto"/>
                <w:sz w:val="24"/>
                <w:szCs w:val="24"/>
                <w:highlight w:val="none"/>
              </w:rPr>
              <w:t>5.</w:t>
            </w:r>
          </w:p>
        </w:tc>
        <w:tc>
          <w:tcPr>
            <w:tcW w:w="2510"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lang w:val="en-US" w:eastAsia="zh-CN"/>
              </w:rPr>
              <w:t>软件系统</w:t>
            </w:r>
          </w:p>
        </w:tc>
        <w:tc>
          <w:tcPr>
            <w:tcW w:w="1984"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418"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215"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52"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7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71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976"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15"/>
              <w:spacing w:line="240" w:lineRule="atLeast"/>
              <w:ind w:left="269" w:leftChars="128"/>
              <w:jc w:val="both"/>
              <w:rPr>
                <w:rFonts w:hint="eastAsia" w:hAnsi="宋体" w:cs="宋体"/>
                <w:color w:val="auto"/>
                <w:sz w:val="24"/>
                <w:szCs w:val="24"/>
                <w:highlight w:val="none"/>
              </w:rPr>
            </w:pPr>
            <w:r>
              <w:rPr>
                <w:rFonts w:hint="eastAsia" w:hAnsi="宋体" w:cs="宋体"/>
                <w:color w:val="auto"/>
                <w:sz w:val="24"/>
                <w:szCs w:val="24"/>
                <w:highlight w:val="none"/>
              </w:rPr>
              <w:t>6.</w:t>
            </w:r>
          </w:p>
        </w:tc>
        <w:tc>
          <w:tcPr>
            <w:tcW w:w="2510" w:type="dxa"/>
            <w:noWrap w:val="0"/>
            <w:vAlign w:val="center"/>
          </w:tcPr>
          <w:p>
            <w:pPr>
              <w:pStyle w:val="15"/>
              <w:spacing w:line="240" w:lineRule="atLeast"/>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w:t>
            </w:r>
          </w:p>
        </w:tc>
        <w:tc>
          <w:tcPr>
            <w:tcW w:w="1984"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418"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215"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52"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17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1717"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c>
          <w:tcPr>
            <w:tcW w:w="976" w:type="dxa"/>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noWrap w:val="0"/>
            <w:vAlign w:val="center"/>
          </w:tcPr>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总价：</w:t>
            </w:r>
          </w:p>
        </w:tc>
        <w:tc>
          <w:tcPr>
            <w:tcW w:w="2693" w:type="dxa"/>
            <w:gridSpan w:val="2"/>
            <w:noWrap w:val="0"/>
            <w:vAlign w:val="center"/>
          </w:tcPr>
          <w:p>
            <w:pPr>
              <w:pStyle w:val="15"/>
              <w:spacing w:line="240" w:lineRule="atLeast"/>
              <w:ind w:left="1080" w:leftChars="257" w:hanging="540"/>
              <w:jc w:val="center"/>
              <w:rPr>
                <w:rFonts w:hint="eastAsia" w:hAnsi="宋体" w:cs="宋体"/>
                <w:color w:val="auto"/>
                <w:sz w:val="24"/>
                <w:szCs w:val="24"/>
                <w:highlight w:val="none"/>
              </w:rPr>
            </w:pPr>
          </w:p>
        </w:tc>
      </w:tr>
    </w:tbl>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法定代表人或其委托代理人签字:</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pPr>
        <w:pStyle w:val="15"/>
        <w:tabs>
          <w:tab w:val="left" w:pos="5370"/>
        </w:tabs>
        <w:spacing w:line="240" w:lineRule="atLeast"/>
        <w:ind w:left="1080" w:leftChars="257" w:hanging="540"/>
        <w:rPr>
          <w:rFonts w:hint="eastAsia" w:hAnsi="宋体" w:cs="宋体"/>
          <w:color w:val="auto"/>
          <w:sz w:val="24"/>
          <w:szCs w:val="24"/>
          <w:highlight w:val="none"/>
          <w:u w:val="single"/>
        </w:rPr>
      </w:pPr>
      <w:r>
        <w:rPr>
          <w:rFonts w:hint="eastAsia" w:hAnsi="宋体" w:cs="宋体"/>
          <w:color w:val="auto"/>
          <w:sz w:val="24"/>
          <w:szCs w:val="24"/>
          <w:highlight w:val="none"/>
        </w:rPr>
        <w:t>投标人(盖单位章):</w:t>
      </w:r>
      <w:r>
        <w:rPr>
          <w:rFonts w:hint="eastAsia" w:hAnsi="宋体" w:cs="宋体"/>
          <w:color w:val="auto"/>
          <w:sz w:val="24"/>
          <w:szCs w:val="24"/>
          <w:highlight w:val="none"/>
          <w:u w:val="single"/>
        </w:rPr>
        <w:tab/>
      </w:r>
    </w:p>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注:1.如果投标人认为需要，每种货物填写一份该表。</w:t>
      </w:r>
    </w:p>
    <w:p>
      <w:pPr>
        <w:pStyle w:val="15"/>
        <w:spacing w:line="240" w:lineRule="atLeast"/>
        <w:ind w:left="1079" w:leftChars="428" w:hanging="180" w:hangingChars="75"/>
        <w:rPr>
          <w:rFonts w:hint="eastAsia" w:hAnsi="宋体" w:cs="宋体"/>
          <w:color w:val="auto"/>
          <w:sz w:val="24"/>
          <w:szCs w:val="24"/>
          <w:highlight w:val="none"/>
        </w:rPr>
      </w:pPr>
      <w:r>
        <w:rPr>
          <w:rFonts w:hint="eastAsia" w:hAnsi="宋体" w:cs="宋体"/>
          <w:color w:val="auto"/>
          <w:sz w:val="24"/>
          <w:szCs w:val="24"/>
          <w:highlight w:val="none"/>
        </w:rPr>
        <w:t>2.如果按单价计算的结果与总价不一致,以单价为准修正总价。</w:t>
      </w: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 xml:space="preserve">   3.如果不提供详细分项报价将视为没有实质性响应招标文件。</w:t>
      </w: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 xml:space="preserve">   4.上述各项的详细分项报价，应另页描述。</w:t>
      </w: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 xml:space="preserve">   5.如果</w:t>
      </w:r>
      <w:r>
        <w:rPr>
          <w:rFonts w:hint="eastAsia" w:hAnsi="宋体" w:cs="宋体"/>
          <w:color w:val="auto"/>
          <w:sz w:val="24"/>
          <w:szCs w:val="24"/>
          <w:highlight w:val="none"/>
          <w:lang w:eastAsia="zh-CN"/>
        </w:rPr>
        <w:t>报价一览表</w:t>
      </w:r>
      <w:r>
        <w:rPr>
          <w:rFonts w:hint="eastAsia" w:hAnsi="宋体" w:cs="宋体"/>
          <w:color w:val="auto"/>
          <w:sz w:val="24"/>
          <w:szCs w:val="24"/>
          <w:highlight w:val="none"/>
        </w:rPr>
        <w:t>（报价表）内容与</w:t>
      </w: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中明细表内容不一致的，以</w:t>
      </w:r>
      <w:r>
        <w:rPr>
          <w:rFonts w:hint="eastAsia" w:hAnsi="宋体" w:cs="宋体"/>
          <w:color w:val="auto"/>
          <w:sz w:val="24"/>
          <w:szCs w:val="24"/>
          <w:highlight w:val="none"/>
          <w:lang w:eastAsia="zh-CN"/>
        </w:rPr>
        <w:t>报价一览表</w:t>
      </w:r>
      <w:r>
        <w:rPr>
          <w:rFonts w:hint="eastAsia" w:hAnsi="宋体" w:cs="宋体"/>
          <w:color w:val="auto"/>
          <w:sz w:val="24"/>
          <w:szCs w:val="24"/>
          <w:highlight w:val="none"/>
        </w:rPr>
        <w:t>（报价表）内容为准。</w:t>
      </w: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br w:type="page"/>
      </w:r>
    </w:p>
    <w:p>
      <w:pPr>
        <w:pStyle w:val="5"/>
        <w:spacing w:before="0" w:line="240" w:lineRule="atLeast"/>
        <w:ind w:left="1080" w:leftChars="257" w:hanging="540"/>
        <w:rPr>
          <w:rFonts w:hint="eastAsia" w:ascii="宋体" w:hAnsi="宋体" w:eastAsia="宋体" w:cs="宋体"/>
          <w:color w:val="auto"/>
          <w:sz w:val="24"/>
          <w:szCs w:val="24"/>
          <w:highlight w:val="none"/>
        </w:rPr>
      </w:pPr>
      <w:bookmarkStart w:id="390" w:name="_Toc216582816"/>
      <w:bookmarkStart w:id="391" w:name="_Toc515647819"/>
      <w:bookmarkStart w:id="392" w:name="_Toc32398"/>
      <w:bookmarkStart w:id="393" w:name="_Toc18267"/>
      <w:bookmarkStart w:id="394" w:name="_Toc14037"/>
      <w:r>
        <w:rPr>
          <w:rFonts w:hint="eastAsia" w:ascii="宋体" w:hAnsi="宋体" w:eastAsia="宋体" w:cs="宋体"/>
          <w:color w:val="auto"/>
          <w:sz w:val="24"/>
          <w:szCs w:val="24"/>
          <w:highlight w:val="none"/>
        </w:rPr>
        <w:t>4   货物说明一览表</w:t>
      </w:r>
      <w:bookmarkEnd w:id="39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格式八）</w:t>
      </w:r>
      <w:bookmarkEnd w:id="391"/>
      <w:bookmarkEnd w:id="392"/>
      <w:bookmarkEnd w:id="393"/>
      <w:bookmarkEnd w:id="394"/>
    </w:p>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 xml:space="preserve">项目名称:                                    招标编号:                       包号:                      </w:t>
      </w:r>
    </w:p>
    <w:p>
      <w:pPr>
        <w:pStyle w:val="15"/>
        <w:spacing w:line="240" w:lineRule="atLeast"/>
        <w:ind w:left="1080" w:leftChars="257" w:hanging="540"/>
        <w:rPr>
          <w:rFonts w:hint="eastAsia" w:hAnsi="宋体" w:cs="宋体"/>
          <w:color w:val="auto"/>
          <w:sz w:val="24"/>
          <w:szCs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序号</w:t>
            </w: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货物名称</w:t>
            </w:r>
          </w:p>
        </w:tc>
        <w:tc>
          <w:tcPr>
            <w:tcW w:w="1800" w:type="dxa"/>
            <w:noWrap w:val="0"/>
            <w:vAlign w:val="top"/>
          </w:tcPr>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主要规格</w:t>
            </w:r>
          </w:p>
        </w:tc>
        <w:tc>
          <w:tcPr>
            <w:tcW w:w="1620" w:type="dxa"/>
            <w:noWrap w:val="0"/>
            <w:vAlign w:val="top"/>
          </w:tcPr>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数量</w:t>
            </w: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交货期</w:t>
            </w:r>
          </w:p>
        </w:tc>
        <w:tc>
          <w:tcPr>
            <w:tcW w:w="2160" w:type="dxa"/>
            <w:noWrap w:val="0"/>
            <w:vAlign w:val="top"/>
          </w:tcPr>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交货地点</w:t>
            </w: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8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6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1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8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6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1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8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6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1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8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6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1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8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6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1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8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6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1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8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6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1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8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6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1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980" w:type="dxa"/>
            <w:noWrap w:val="0"/>
            <w:vAlign w:val="top"/>
          </w:tcPr>
          <w:p>
            <w:pPr>
              <w:pStyle w:val="15"/>
              <w:spacing w:line="240" w:lineRule="atLeast"/>
              <w:ind w:left="1080" w:leftChars="257" w:hanging="540"/>
              <w:rPr>
                <w:rFonts w:hint="eastAsia" w:hAnsi="宋体" w:cs="宋体"/>
                <w:color w:val="auto"/>
                <w:sz w:val="24"/>
                <w:szCs w:val="24"/>
                <w:highlight w:val="none"/>
              </w:rPr>
            </w:pPr>
          </w:p>
        </w:tc>
      </w:tr>
    </w:tbl>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法定代表人或其委托代理人签字:</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pPr>
        <w:pStyle w:val="15"/>
        <w:tabs>
          <w:tab w:val="left" w:pos="5370"/>
        </w:tabs>
        <w:spacing w:line="240" w:lineRule="atLeast"/>
        <w:ind w:left="1080" w:leftChars="257" w:hanging="540"/>
        <w:rPr>
          <w:rFonts w:hint="eastAsia" w:hAnsi="宋体" w:cs="宋体"/>
          <w:color w:val="auto"/>
          <w:sz w:val="24"/>
          <w:szCs w:val="24"/>
          <w:highlight w:val="none"/>
          <w:u w:val="single"/>
        </w:rPr>
      </w:pPr>
      <w:r>
        <w:rPr>
          <w:rFonts w:hint="eastAsia" w:hAnsi="宋体" w:cs="宋体"/>
          <w:color w:val="auto"/>
          <w:sz w:val="24"/>
          <w:szCs w:val="24"/>
          <w:highlight w:val="none"/>
        </w:rPr>
        <w:t>投标人(盖单位章):</w:t>
      </w:r>
      <w:r>
        <w:rPr>
          <w:rFonts w:hint="eastAsia" w:hAnsi="宋体" w:cs="宋体"/>
          <w:color w:val="auto"/>
          <w:sz w:val="24"/>
          <w:szCs w:val="24"/>
          <w:highlight w:val="none"/>
          <w:u w:val="single"/>
        </w:rPr>
        <w:tab/>
      </w:r>
    </w:p>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注: 各项货物详细技术性能应另页描述。</w:t>
      </w:r>
    </w:p>
    <w:p>
      <w:pPr>
        <w:pStyle w:val="15"/>
        <w:spacing w:line="240" w:lineRule="atLeast"/>
        <w:ind w:left="1080" w:leftChars="257" w:hanging="540"/>
        <w:jc w:val="center"/>
        <w:rPr>
          <w:rFonts w:hint="eastAsia" w:hAnsi="宋体" w:cs="宋体"/>
          <w:color w:val="auto"/>
          <w:sz w:val="24"/>
          <w:szCs w:val="24"/>
          <w:highlight w:val="none"/>
        </w:rPr>
      </w:pPr>
    </w:p>
    <w:p>
      <w:pPr>
        <w:pStyle w:val="15"/>
        <w:spacing w:line="240" w:lineRule="atLeast"/>
        <w:ind w:left="1080" w:leftChars="257" w:hanging="540"/>
        <w:jc w:val="center"/>
        <w:rPr>
          <w:rFonts w:hint="eastAsia" w:hAnsi="宋体" w:cs="宋体"/>
          <w:color w:val="auto"/>
          <w:sz w:val="24"/>
          <w:szCs w:val="24"/>
          <w:highlight w:val="none"/>
        </w:rPr>
        <w:sectPr>
          <w:footerReference r:id="rId9" w:type="default"/>
          <w:pgSz w:w="16838" w:h="11906" w:orient="landscape"/>
          <w:pgMar w:top="1797" w:right="1440" w:bottom="1797" w:left="1440" w:header="851" w:footer="992" w:gutter="0"/>
          <w:pgNumType w:fmt="decimal"/>
          <w:cols w:space="720" w:num="1"/>
          <w:docGrid w:linePitch="312" w:charSpace="0"/>
        </w:sectPr>
      </w:pPr>
    </w:p>
    <w:p>
      <w:pPr>
        <w:pStyle w:val="5"/>
        <w:spacing w:before="0" w:line="240" w:lineRule="atLeast"/>
        <w:ind w:left="1080" w:leftChars="257" w:hanging="540"/>
        <w:rPr>
          <w:rFonts w:hint="eastAsia" w:ascii="宋体" w:hAnsi="宋体" w:eastAsia="宋体" w:cs="宋体"/>
          <w:color w:val="auto"/>
          <w:sz w:val="24"/>
          <w:szCs w:val="24"/>
          <w:highlight w:val="none"/>
        </w:rPr>
      </w:pPr>
      <w:bookmarkStart w:id="395" w:name="_Toc216582817"/>
      <w:bookmarkStart w:id="396" w:name="_Toc22563"/>
      <w:bookmarkStart w:id="397" w:name="_Toc28959"/>
      <w:bookmarkStart w:id="398" w:name="_Toc29780"/>
      <w:bookmarkStart w:id="399" w:name="_Toc515647820"/>
      <w:r>
        <w:rPr>
          <w:rFonts w:hint="eastAsia" w:ascii="宋体" w:hAnsi="宋体" w:eastAsia="宋体" w:cs="宋体"/>
          <w:color w:val="auto"/>
          <w:sz w:val="24"/>
          <w:szCs w:val="24"/>
          <w:highlight w:val="none"/>
        </w:rPr>
        <w:t>5   技术规格偏离表</w:t>
      </w:r>
      <w:bookmarkEnd w:id="39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格式九）</w:t>
      </w:r>
      <w:bookmarkEnd w:id="396"/>
      <w:bookmarkEnd w:id="397"/>
      <w:bookmarkEnd w:id="398"/>
      <w:bookmarkEnd w:id="399"/>
    </w:p>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rPr>
          <w:rFonts w:hint="eastAsia" w:hAnsi="宋体" w:cs="宋体"/>
          <w:color w:val="auto"/>
          <w:sz w:val="24"/>
          <w:szCs w:val="24"/>
          <w:highlight w:val="none"/>
        </w:rPr>
      </w:pPr>
      <w:r>
        <w:rPr>
          <w:rFonts w:hint="eastAsia" w:hAnsi="宋体" w:cs="宋体"/>
          <w:color w:val="auto"/>
          <w:sz w:val="24"/>
          <w:szCs w:val="24"/>
          <w:highlight w:val="none"/>
        </w:rPr>
        <w:t>项目名称:                       招标编号:                 包号:</w:t>
      </w:r>
    </w:p>
    <w:p>
      <w:pPr>
        <w:pStyle w:val="15"/>
        <w:spacing w:line="240" w:lineRule="atLeast"/>
        <w:ind w:left="1080" w:leftChars="257" w:hanging="540"/>
        <w:rPr>
          <w:rFonts w:hint="eastAsia" w:hAnsi="宋体" w:cs="宋体"/>
          <w:color w:val="auto"/>
          <w:sz w:val="24"/>
          <w:szCs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1260"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货物名称</w:t>
            </w:r>
          </w:p>
        </w:tc>
        <w:tc>
          <w:tcPr>
            <w:tcW w:w="2340" w:type="dxa"/>
            <w:noWrap w:val="0"/>
            <w:vAlign w:val="center"/>
          </w:tcPr>
          <w:p>
            <w:pPr>
              <w:pStyle w:val="15"/>
              <w:spacing w:line="240" w:lineRule="atLeast"/>
              <w:ind w:left="269" w:leftChars="128"/>
              <w:jc w:val="center"/>
              <w:rPr>
                <w:rFonts w:hint="eastAsia" w:hAnsi="宋体" w:cs="宋体"/>
                <w:color w:val="auto"/>
                <w:sz w:val="24"/>
                <w:szCs w:val="24"/>
                <w:highlight w:val="none"/>
              </w:rPr>
            </w:pPr>
            <w:r>
              <w:rPr>
                <w:rFonts w:hint="eastAsia" w:hAnsi="宋体" w:cs="宋体"/>
                <w:color w:val="auto"/>
                <w:sz w:val="24"/>
                <w:szCs w:val="24"/>
                <w:highlight w:val="none"/>
              </w:rPr>
              <w:t>招标文件条款号</w:t>
            </w:r>
          </w:p>
        </w:tc>
        <w:tc>
          <w:tcPr>
            <w:tcW w:w="1260"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招标规格</w:t>
            </w:r>
          </w:p>
        </w:tc>
        <w:tc>
          <w:tcPr>
            <w:tcW w:w="1260"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投标规格</w:t>
            </w:r>
          </w:p>
        </w:tc>
        <w:tc>
          <w:tcPr>
            <w:tcW w:w="900"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偏离</w:t>
            </w:r>
          </w:p>
        </w:tc>
        <w:tc>
          <w:tcPr>
            <w:tcW w:w="900" w:type="dxa"/>
            <w:noWrap w:val="0"/>
            <w:vAlign w:val="center"/>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3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126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bl>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法定代表人或其委托代理人签字:</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pPr>
        <w:pStyle w:val="15"/>
        <w:tabs>
          <w:tab w:val="left" w:pos="5370"/>
        </w:tabs>
        <w:spacing w:line="240" w:lineRule="atLeast"/>
        <w:ind w:left="1080" w:leftChars="257" w:hanging="540"/>
        <w:rPr>
          <w:rFonts w:hint="eastAsia" w:hAnsi="宋体" w:cs="宋体"/>
          <w:color w:val="auto"/>
          <w:sz w:val="24"/>
          <w:szCs w:val="24"/>
          <w:highlight w:val="none"/>
          <w:u w:val="single"/>
        </w:rPr>
      </w:pPr>
      <w:r>
        <w:rPr>
          <w:rFonts w:hint="eastAsia" w:hAnsi="宋体" w:cs="宋体"/>
          <w:color w:val="auto"/>
          <w:sz w:val="24"/>
          <w:szCs w:val="24"/>
          <w:highlight w:val="none"/>
        </w:rPr>
        <w:t>投标人(盖单位章):</w:t>
      </w:r>
      <w:r>
        <w:rPr>
          <w:rFonts w:hint="eastAsia" w:hAnsi="宋体" w:cs="宋体"/>
          <w:color w:val="auto"/>
          <w:sz w:val="24"/>
          <w:szCs w:val="24"/>
          <w:highlight w:val="none"/>
          <w:u w:val="single"/>
        </w:rPr>
        <w:tab/>
      </w:r>
    </w:p>
    <w:p>
      <w:pPr>
        <w:pStyle w:val="15"/>
        <w:tabs>
          <w:tab w:val="left" w:pos="5580"/>
        </w:tabs>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u w:val="single"/>
        </w:rPr>
        <w:br w:type="page"/>
      </w:r>
    </w:p>
    <w:p>
      <w:pPr>
        <w:pStyle w:val="5"/>
        <w:spacing w:before="0" w:line="240" w:lineRule="atLeast"/>
        <w:ind w:left="1080" w:leftChars="257" w:hanging="540"/>
        <w:rPr>
          <w:rFonts w:hint="eastAsia" w:ascii="宋体" w:hAnsi="宋体" w:eastAsia="宋体" w:cs="宋体"/>
          <w:color w:val="auto"/>
          <w:sz w:val="24"/>
          <w:szCs w:val="24"/>
          <w:highlight w:val="none"/>
        </w:rPr>
      </w:pPr>
      <w:bookmarkStart w:id="400" w:name="_Toc216582818"/>
      <w:bookmarkStart w:id="401" w:name="_Toc515647821"/>
      <w:bookmarkStart w:id="402" w:name="_Toc1980"/>
      <w:bookmarkStart w:id="403" w:name="_Toc28374"/>
      <w:bookmarkStart w:id="404" w:name="_Toc23"/>
      <w:r>
        <w:rPr>
          <w:rFonts w:hint="eastAsia" w:ascii="宋体" w:hAnsi="宋体" w:eastAsia="宋体" w:cs="宋体"/>
          <w:color w:val="auto"/>
          <w:sz w:val="24"/>
          <w:szCs w:val="24"/>
          <w:highlight w:val="none"/>
        </w:rPr>
        <w:t>6   商务条款偏离表</w:t>
      </w:r>
      <w:bookmarkEnd w:id="40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格式十）</w:t>
      </w:r>
      <w:bookmarkEnd w:id="401"/>
      <w:bookmarkEnd w:id="402"/>
      <w:bookmarkEnd w:id="403"/>
      <w:bookmarkEnd w:id="404"/>
    </w:p>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项目名称:                      招标编号:             包号:</w:t>
      </w:r>
    </w:p>
    <w:p>
      <w:pPr>
        <w:pStyle w:val="15"/>
        <w:spacing w:line="240" w:lineRule="atLeast"/>
        <w:ind w:left="1080" w:leftChars="257" w:hanging="540"/>
        <w:rPr>
          <w:rFonts w:hint="eastAsia" w:hAnsi="宋体" w:cs="宋体"/>
          <w:color w:val="auto"/>
          <w:sz w:val="24"/>
          <w:szCs w:val="2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序号</w:t>
            </w:r>
          </w:p>
        </w:tc>
        <w:tc>
          <w:tcPr>
            <w:tcW w:w="2040" w:type="dxa"/>
            <w:noWrap w:val="0"/>
            <w:vAlign w:val="top"/>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招标文件条款号</w:t>
            </w:r>
          </w:p>
        </w:tc>
        <w:tc>
          <w:tcPr>
            <w:tcW w:w="2520" w:type="dxa"/>
            <w:noWrap w:val="0"/>
            <w:vAlign w:val="top"/>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招标文件的商务条款</w:t>
            </w:r>
          </w:p>
        </w:tc>
        <w:tc>
          <w:tcPr>
            <w:tcW w:w="2520" w:type="dxa"/>
            <w:noWrap w:val="0"/>
            <w:vAlign w:val="top"/>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lang w:eastAsia="zh-CN"/>
              </w:rPr>
              <w:t>响应文件</w:t>
            </w:r>
            <w:r>
              <w:rPr>
                <w:rFonts w:hint="eastAsia" w:hAnsi="宋体" w:cs="宋体"/>
                <w:color w:val="auto"/>
                <w:sz w:val="24"/>
                <w:szCs w:val="24"/>
                <w:highlight w:val="none"/>
              </w:rPr>
              <w:t>的商务条款</w:t>
            </w:r>
          </w:p>
        </w:tc>
        <w:tc>
          <w:tcPr>
            <w:tcW w:w="900" w:type="dxa"/>
            <w:noWrap w:val="0"/>
            <w:vAlign w:val="top"/>
          </w:tcPr>
          <w:p>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jc w:val="center"/>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jc w:val="center"/>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04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2520" w:type="dxa"/>
            <w:noWrap w:val="0"/>
            <w:vAlign w:val="top"/>
          </w:tcPr>
          <w:p>
            <w:pPr>
              <w:pStyle w:val="15"/>
              <w:spacing w:line="240" w:lineRule="atLeast"/>
              <w:ind w:left="1080" w:leftChars="257" w:hanging="540"/>
              <w:rPr>
                <w:rFonts w:hint="eastAsia" w:hAnsi="宋体" w:cs="宋体"/>
                <w:color w:val="auto"/>
                <w:sz w:val="24"/>
                <w:szCs w:val="24"/>
                <w:highlight w:val="none"/>
              </w:rPr>
            </w:pPr>
          </w:p>
        </w:tc>
        <w:tc>
          <w:tcPr>
            <w:tcW w:w="900" w:type="dxa"/>
            <w:noWrap w:val="0"/>
            <w:vAlign w:val="top"/>
          </w:tcPr>
          <w:p>
            <w:pPr>
              <w:pStyle w:val="15"/>
              <w:spacing w:line="240" w:lineRule="atLeast"/>
              <w:ind w:left="1080" w:leftChars="257" w:hanging="540"/>
              <w:rPr>
                <w:rFonts w:hint="eastAsia" w:hAnsi="宋体" w:cs="宋体"/>
                <w:color w:val="auto"/>
                <w:sz w:val="24"/>
                <w:szCs w:val="24"/>
                <w:highlight w:val="none"/>
              </w:rPr>
            </w:pPr>
          </w:p>
        </w:tc>
      </w:tr>
    </w:tbl>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法定代表人或其委托代理人签字:</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pPr>
        <w:pStyle w:val="15"/>
        <w:tabs>
          <w:tab w:val="left" w:pos="5370"/>
        </w:tabs>
        <w:spacing w:line="240" w:lineRule="atLeast"/>
        <w:ind w:left="1080" w:leftChars="257" w:hanging="540"/>
        <w:rPr>
          <w:rFonts w:hint="eastAsia" w:hAnsi="宋体" w:cs="宋体"/>
          <w:color w:val="auto"/>
          <w:sz w:val="24"/>
          <w:szCs w:val="24"/>
          <w:highlight w:val="none"/>
          <w:u w:val="single"/>
        </w:rPr>
      </w:pPr>
      <w:r>
        <w:rPr>
          <w:rFonts w:hint="eastAsia" w:hAnsi="宋体" w:cs="宋体"/>
          <w:color w:val="auto"/>
          <w:sz w:val="24"/>
          <w:szCs w:val="24"/>
          <w:highlight w:val="none"/>
        </w:rPr>
        <w:t>投标人(盖单位章):</w:t>
      </w:r>
      <w:r>
        <w:rPr>
          <w:rFonts w:hint="eastAsia" w:hAnsi="宋体" w:cs="宋体"/>
          <w:color w:val="auto"/>
          <w:sz w:val="24"/>
          <w:szCs w:val="24"/>
          <w:highlight w:val="none"/>
          <w:u w:val="single"/>
        </w:rPr>
        <w:tab/>
      </w:r>
    </w:p>
    <w:p>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u w:val="single"/>
        </w:rPr>
        <w:br w:type="page"/>
      </w:r>
    </w:p>
    <w:p>
      <w:pPr>
        <w:pStyle w:val="5"/>
        <w:spacing w:before="0" w:line="240" w:lineRule="atLeast"/>
        <w:jc w:val="center"/>
        <w:rPr>
          <w:rFonts w:hint="eastAsia" w:ascii="宋体" w:hAnsi="宋体" w:eastAsia="宋体" w:cs="宋体"/>
          <w:b w:val="0"/>
          <w:color w:val="auto"/>
          <w:sz w:val="24"/>
          <w:szCs w:val="24"/>
          <w:highlight w:val="none"/>
        </w:rPr>
      </w:pPr>
      <w:bookmarkStart w:id="405" w:name="_Hlt520274393"/>
      <w:bookmarkEnd w:id="405"/>
      <w:bookmarkStart w:id="406" w:name="_Hlt520274911"/>
      <w:bookmarkEnd w:id="406"/>
      <w:bookmarkStart w:id="407" w:name="_Hlt520274065"/>
      <w:bookmarkEnd w:id="407"/>
      <w:bookmarkStart w:id="408" w:name="_Hlt520343000"/>
      <w:bookmarkEnd w:id="408"/>
      <w:bookmarkStart w:id="409" w:name="_Hlt520273973"/>
      <w:bookmarkEnd w:id="409"/>
      <w:bookmarkStart w:id="410" w:name="_Hlt520350918"/>
      <w:bookmarkEnd w:id="410"/>
      <w:bookmarkStart w:id="411" w:name="_Hlt520350957"/>
      <w:bookmarkEnd w:id="411"/>
      <w:bookmarkStart w:id="412" w:name="_Hlt520273711"/>
      <w:bookmarkEnd w:id="412"/>
      <w:bookmarkStart w:id="413" w:name="_Hlt520343392"/>
      <w:bookmarkEnd w:id="413"/>
      <w:bookmarkStart w:id="414" w:name="_Hlt520274407"/>
      <w:bookmarkEnd w:id="414"/>
      <w:bookmarkStart w:id="415" w:name="_Hlt520271212"/>
      <w:bookmarkEnd w:id="415"/>
      <w:bookmarkStart w:id="416" w:name="_Toc10725"/>
      <w:bookmarkStart w:id="417" w:name="_Toc515647823"/>
      <w:bookmarkStart w:id="418" w:name="_Toc21312"/>
      <w:bookmarkStart w:id="419" w:name="_Toc25347"/>
      <w:r>
        <w:rPr>
          <w:rFonts w:hint="eastAsia" w:ascii="宋体" w:hAnsi="宋体" w:eastAsia="宋体" w:cs="宋体"/>
          <w:color w:val="auto"/>
          <w:sz w:val="24"/>
          <w:szCs w:val="24"/>
          <w:highlight w:val="none"/>
        </w:rPr>
        <w:t xml:space="preserve">7-1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投标人企业（单位）类型声明函（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格式十一）</w:t>
      </w:r>
      <w:bookmarkEnd w:id="416"/>
      <w:bookmarkEnd w:id="417"/>
      <w:bookmarkEnd w:id="418"/>
      <w:bookmarkEnd w:id="419"/>
    </w:p>
    <w:p>
      <w:pPr>
        <w:spacing w:line="240" w:lineRule="atLeast"/>
        <w:ind w:left="1080" w:leftChars="257" w:hanging="540"/>
        <w:jc w:val="center"/>
        <w:rPr>
          <w:rFonts w:hint="eastAsia" w:ascii="宋体" w:hAnsi="宋体" w:cs="宋体"/>
          <w:b/>
          <w:color w:val="auto"/>
          <w:kern w:val="0"/>
          <w:sz w:val="24"/>
          <w:highlight w:val="none"/>
        </w:rPr>
      </w:pPr>
    </w:p>
    <w:p>
      <w:pPr>
        <w:widowControl/>
        <w:spacing w:before="100" w:beforeAutospacing="1" w:after="100" w:afterAutospacing="1" w:line="330" w:lineRule="atLeas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1、□本企业（单位）为直接投标人提供本企业（单位）制造的货物。</w:t>
      </w:r>
    </w:p>
    <w:p>
      <w:pPr>
        <w:widowControl/>
        <w:numPr>
          <w:ilvl w:val="0"/>
          <w:numId w:val="7"/>
        </w:numPr>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根据《工业和信息化部、国家统计局、国家发展和改革委员会、财政部关于印发中小企业划型标准规定的通知》（工信部联企业[2011]300号）规定的划分标准，本企业为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（请填写：中型、小型、微型）企业。</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 本企业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根据《关于促进残疾人就业政府采购政策的通知》（财库〔2017〕141号）。本单位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before="100" w:beforeAutospacing="1" w:after="100" w:afterAutospacing="1" w:line="33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本企业（单位）对上述声明的真实性负责。如有虚假，将依法承担相应责任。</w:t>
      </w:r>
    </w:p>
    <w:p>
      <w:pPr>
        <w:widowControl/>
        <w:spacing w:before="100" w:beforeAutospacing="1" w:after="100" w:afterAutospacing="1" w:line="330" w:lineRule="atLeast"/>
        <w:ind w:firstLine="3120" w:firstLineChars="13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投标人名称（盖单位章）：</w:t>
      </w:r>
      <w:r>
        <w:rPr>
          <w:rFonts w:hint="eastAsia" w:ascii="宋体" w:hAnsi="宋体" w:cs="宋体"/>
          <w:color w:val="auto"/>
          <w:kern w:val="0"/>
          <w:sz w:val="24"/>
          <w:highlight w:val="none"/>
          <w:u w:val="single"/>
        </w:rPr>
        <w:t xml:space="preserve">                   </w:t>
      </w:r>
    </w:p>
    <w:p>
      <w:pPr>
        <w:widowControl/>
        <w:spacing w:before="100" w:beforeAutospacing="1" w:after="100" w:afterAutospacing="1" w:line="330" w:lineRule="atLeast"/>
        <w:ind w:firstLine="3120" w:firstLineChars="13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　期：____________                     </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　</w:t>
      </w:r>
    </w:p>
    <w:p>
      <w:pPr>
        <w:pStyle w:val="5"/>
        <w:spacing w:before="0" w:line="240" w:lineRule="atLeast"/>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br w:type="page"/>
      </w:r>
      <w:bookmarkStart w:id="420" w:name="_Toc13776"/>
      <w:bookmarkStart w:id="421" w:name="_Toc11803"/>
      <w:bookmarkStart w:id="422" w:name="_Toc515647824"/>
      <w:bookmarkStart w:id="423" w:name="_Toc10977"/>
      <w:r>
        <w:rPr>
          <w:rFonts w:hint="eastAsia" w:ascii="宋体" w:hAnsi="宋体" w:eastAsia="宋体" w:cs="宋体"/>
          <w:color w:val="auto"/>
          <w:sz w:val="24"/>
          <w:szCs w:val="24"/>
          <w:highlight w:val="none"/>
        </w:rPr>
        <w:t>7-2   制造商企业（单位）类型声明函（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格式十二）</w:t>
      </w:r>
      <w:bookmarkEnd w:id="420"/>
      <w:bookmarkEnd w:id="421"/>
      <w:bookmarkEnd w:id="422"/>
      <w:bookmarkEnd w:id="423"/>
    </w:p>
    <w:p>
      <w:pPr>
        <w:spacing w:line="240" w:lineRule="atLeast"/>
        <w:ind w:left="1080" w:leftChars="257" w:hanging="540"/>
        <w:jc w:val="center"/>
        <w:rPr>
          <w:rFonts w:hint="eastAsia" w:ascii="宋体" w:hAnsi="宋体" w:cs="宋体"/>
          <w:b/>
          <w:color w:val="auto"/>
          <w:kern w:val="0"/>
          <w:sz w:val="24"/>
          <w:highlight w:val="none"/>
        </w:rPr>
      </w:pP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本企业（单位）作为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单位的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项目的设备制造商，参加政府采购活动。根据</w:t>
      </w:r>
      <w:r>
        <w:rPr>
          <w:rFonts w:hint="eastAsia" w:ascii="宋体" w:hAnsi="宋体" w:cs="宋体"/>
          <w:color w:val="auto"/>
          <w:kern w:val="0"/>
          <w:sz w:val="24"/>
          <w:highlight w:val="none"/>
          <w:lang w:eastAsia="zh-CN"/>
        </w:rPr>
        <w:t>《政府采购促进中小企业发展管理办法》（财库〔2020〕46号）</w:t>
      </w:r>
      <w:r>
        <w:rPr>
          <w:rFonts w:hint="eastAsia" w:ascii="宋体" w:hAnsi="宋体" w:cs="宋体"/>
          <w:color w:val="auto"/>
          <w:kern w:val="0"/>
          <w:sz w:val="24"/>
          <w:highlight w:val="none"/>
        </w:rPr>
        <w:t>，《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（请填写：中型、小型、微型）企业。</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本单位为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本企业（单位）提供本企业（单位）制造的货物。</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u w:val="single" w:color="FFFFFF"/>
        </w:rPr>
      </w:pPr>
      <w:r>
        <w:rPr>
          <w:rFonts w:hint="eastAsia" w:ascii="宋体" w:hAnsi="宋体" w:cs="宋体"/>
          <w:color w:val="auto"/>
          <w:kern w:val="0"/>
          <w:sz w:val="24"/>
          <w:highlight w:val="none"/>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color w:val="auto"/>
          <w:kern w:val="0"/>
          <w:sz w:val="24"/>
          <w:highlight w:val="none"/>
        </w:rPr>
      </w:pPr>
    </w:p>
    <w:p>
      <w:pPr>
        <w:widowControl/>
        <w:spacing w:before="100" w:beforeAutospacing="1" w:after="100" w:afterAutospacing="1" w:line="330" w:lineRule="atLeast"/>
        <w:ind w:firstLine="5160" w:firstLineChars="2150"/>
        <w:jc w:val="left"/>
        <w:rPr>
          <w:rFonts w:hint="eastAsia" w:ascii="宋体" w:hAnsi="宋体" w:cs="宋体"/>
          <w:color w:val="auto"/>
          <w:kern w:val="0"/>
          <w:sz w:val="24"/>
          <w:highlight w:val="none"/>
        </w:rPr>
      </w:pPr>
    </w:p>
    <w:p>
      <w:pPr>
        <w:widowControl/>
        <w:spacing w:before="100" w:beforeAutospacing="1" w:after="100" w:afterAutospacing="1" w:line="330" w:lineRule="atLeast"/>
        <w:ind w:firstLine="5160" w:firstLineChars="2150"/>
        <w:jc w:val="left"/>
        <w:rPr>
          <w:rFonts w:hint="eastAsia" w:ascii="宋体" w:hAnsi="宋体" w:cs="宋体"/>
          <w:color w:val="auto"/>
          <w:kern w:val="0"/>
          <w:sz w:val="24"/>
          <w:highlight w:val="none"/>
        </w:rPr>
      </w:pPr>
    </w:p>
    <w:p>
      <w:pPr>
        <w:widowControl/>
        <w:spacing w:before="100" w:beforeAutospacing="1" w:after="100" w:afterAutospacing="1" w:line="330" w:lineRule="atLeast"/>
        <w:ind w:firstLine="5160" w:firstLineChars="2150"/>
        <w:jc w:val="left"/>
        <w:rPr>
          <w:rFonts w:hint="eastAsia" w:ascii="宋体" w:hAnsi="宋体" w:cs="宋体"/>
          <w:color w:val="auto"/>
          <w:kern w:val="0"/>
          <w:sz w:val="24"/>
          <w:highlight w:val="none"/>
        </w:rPr>
      </w:pPr>
    </w:p>
    <w:p>
      <w:pPr>
        <w:widowControl/>
        <w:spacing w:before="100" w:beforeAutospacing="1" w:after="100" w:afterAutospacing="1" w:line="330" w:lineRule="atLeast"/>
        <w:jc w:val="left"/>
        <w:rPr>
          <w:rFonts w:hint="eastAsia" w:ascii="宋体" w:hAnsi="宋体" w:cs="宋体"/>
          <w:color w:val="auto"/>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color w:val="auto"/>
          <w:kern w:val="0"/>
          <w:sz w:val="24"/>
          <w:highlight w:val="none"/>
        </w:rPr>
      </w:pPr>
      <w:r>
        <w:rPr>
          <w:rFonts w:hint="eastAsia" w:ascii="宋体" w:hAnsi="宋体" w:cs="宋体"/>
          <w:color w:val="auto"/>
          <w:kern w:val="0"/>
          <w:sz w:val="24"/>
          <w:highlight w:val="none"/>
          <w:u w:val="single" w:color="FFFFFF"/>
        </w:rPr>
        <w:t>制造商名称（盖单位章）</w:t>
      </w:r>
      <w:r>
        <w:rPr>
          <w:rFonts w:hint="eastAsia" w:ascii="宋体" w:hAnsi="宋体" w:cs="宋体"/>
          <w:color w:val="auto"/>
          <w:kern w:val="0"/>
          <w:sz w:val="24"/>
          <w:highlight w:val="none"/>
        </w:rPr>
        <w:t xml:space="preserve">：___________     </w:t>
      </w:r>
    </w:p>
    <w:p>
      <w:pPr>
        <w:widowControl/>
        <w:spacing w:before="100" w:beforeAutospacing="1" w:after="100" w:afterAutospacing="1" w:line="330" w:lineRule="atLeast"/>
        <w:ind w:firstLine="3120" w:firstLineChars="13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投标人名称（盖单位章）：___________ </w:t>
      </w:r>
    </w:p>
    <w:p>
      <w:pPr>
        <w:widowControl/>
        <w:spacing w:before="100" w:beforeAutospacing="1" w:after="100" w:afterAutospacing="1" w:line="330" w:lineRule="atLeast"/>
        <w:ind w:firstLine="3120" w:firstLineChars="13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　期：____________                     </w:t>
      </w:r>
    </w:p>
    <w:p>
      <w:pPr>
        <w:widowControl/>
        <w:spacing w:before="100" w:beforeAutospacing="1" w:after="100" w:afterAutospacing="1" w:line="330" w:lineRule="atLeast"/>
        <w:ind w:firstLine="420"/>
        <w:jc w:val="left"/>
        <w:rPr>
          <w:rFonts w:hint="eastAsia" w:ascii="宋体" w:hAnsi="宋体" w:cs="宋体"/>
          <w:color w:val="auto"/>
          <w:kern w:val="0"/>
          <w:sz w:val="24"/>
          <w:highlight w:val="none"/>
        </w:rPr>
      </w:pPr>
    </w:p>
    <w:p>
      <w:pPr>
        <w:widowControl/>
        <w:spacing w:before="100" w:beforeAutospacing="1" w:after="100" w:afterAutospacing="1" w:line="330" w:lineRule="atLeast"/>
        <w:jc w:val="left"/>
        <w:rPr>
          <w:rFonts w:hint="eastAsia" w:ascii="宋体" w:hAnsi="宋体" w:cs="宋体"/>
          <w:color w:val="auto"/>
          <w:sz w:val="24"/>
          <w:highlight w:val="none"/>
        </w:rPr>
      </w:pPr>
    </w:p>
    <w:p>
      <w:pPr>
        <w:widowControl/>
        <w:spacing w:before="100" w:beforeAutospacing="1" w:after="100" w:afterAutospacing="1" w:line="330" w:lineRule="atLeast"/>
        <w:ind w:firstLine="720" w:firstLineChars="300"/>
        <w:jc w:val="left"/>
        <w:rPr>
          <w:rFonts w:hint="eastAsia" w:ascii="宋体" w:hAnsi="宋体" w:cs="宋体"/>
          <w:color w:val="auto"/>
          <w:sz w:val="24"/>
          <w:highlight w:val="none"/>
        </w:rPr>
      </w:pPr>
    </w:p>
    <w:p>
      <w:pPr>
        <w:pStyle w:val="5"/>
        <w:spacing w:before="0" w:line="240" w:lineRule="atLeast"/>
        <w:ind w:firstLine="964" w:firstLineChars="400"/>
        <w:jc w:val="both"/>
        <w:rPr>
          <w:rFonts w:hint="eastAsia" w:ascii="宋体" w:hAnsi="宋体" w:eastAsia="宋体" w:cs="宋体"/>
          <w:color w:val="auto"/>
          <w:sz w:val="24"/>
          <w:szCs w:val="24"/>
          <w:highlight w:val="none"/>
        </w:rPr>
      </w:pPr>
      <w:bookmarkStart w:id="424" w:name="_Toc23068"/>
      <w:bookmarkStart w:id="425" w:name="_Toc19284"/>
      <w:bookmarkStart w:id="426" w:name="_Toc24603"/>
      <w:bookmarkStart w:id="427" w:name="_Toc515647825"/>
      <w:bookmarkStart w:id="428" w:name="OLE_LINK13"/>
      <w:bookmarkStart w:id="429" w:name="OLE_LINK14"/>
      <w:r>
        <w:rPr>
          <w:rFonts w:hint="eastAsia" w:ascii="宋体" w:hAnsi="宋体" w:eastAsia="宋体" w:cs="宋体"/>
          <w:color w:val="auto"/>
          <w:sz w:val="24"/>
          <w:szCs w:val="24"/>
          <w:highlight w:val="none"/>
        </w:rPr>
        <w:t>7-3   残疾人福利性单位声明函（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格式十三）</w:t>
      </w:r>
      <w:bookmarkEnd w:id="424"/>
      <w:bookmarkEnd w:id="425"/>
      <w:bookmarkEnd w:id="426"/>
      <w:bookmarkEnd w:id="427"/>
    </w:p>
    <w:bookmarkEnd w:id="428"/>
    <w:bookmarkEnd w:id="429"/>
    <w:p>
      <w:pPr>
        <w:spacing w:line="240" w:lineRule="atLeast"/>
        <w:ind w:left="1080" w:leftChars="257" w:hanging="540"/>
        <w:jc w:val="center"/>
        <w:rPr>
          <w:rFonts w:hint="eastAsia" w:ascii="宋体" w:hAnsi="宋体" w:cs="宋体"/>
          <w:color w:val="auto"/>
          <w:kern w:val="0"/>
          <w:sz w:val="24"/>
          <w:highlight w:val="none"/>
        </w:rPr>
      </w:pPr>
    </w:p>
    <w:p>
      <w:pPr>
        <w:spacing w:line="240" w:lineRule="atLeas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单位的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项目采购活动提供本单位制造的货物，或者提供其他残疾人福利性单位制造的货物（不包括使用非残疾人福利性单位注册商标的货物）。</w:t>
      </w:r>
    </w:p>
    <w:p>
      <w:pPr>
        <w:spacing w:line="240" w:lineRule="atLeas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本单位对上述声明的真实性负责。如有虚假，将依法承担相应责任。</w:t>
      </w:r>
    </w:p>
    <w:p>
      <w:pPr>
        <w:spacing w:line="240" w:lineRule="atLeast"/>
        <w:ind w:left="1080" w:leftChars="257" w:hanging="540"/>
        <w:jc w:val="center"/>
        <w:rPr>
          <w:rFonts w:hint="eastAsia" w:ascii="宋体" w:hAnsi="宋体" w:cs="宋体"/>
          <w:color w:val="auto"/>
          <w:kern w:val="0"/>
          <w:sz w:val="24"/>
          <w:highlight w:val="none"/>
        </w:rPr>
      </w:pPr>
    </w:p>
    <w:p>
      <w:pPr>
        <w:spacing w:line="240" w:lineRule="atLeast"/>
        <w:ind w:left="1080" w:leftChars="257" w:hanging="540"/>
        <w:jc w:val="center"/>
        <w:rPr>
          <w:rFonts w:hint="eastAsia" w:ascii="宋体" w:hAnsi="宋体" w:cs="宋体"/>
          <w:color w:val="auto"/>
          <w:kern w:val="0"/>
          <w:sz w:val="24"/>
          <w:highlight w:val="none"/>
        </w:rPr>
      </w:pPr>
    </w:p>
    <w:p>
      <w:pPr>
        <w:spacing w:line="240" w:lineRule="atLeast"/>
        <w:ind w:left="1080" w:leftChars="257" w:hanging="540"/>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              残疾人福利性单位名称（盖单位章）：______________</w:t>
      </w:r>
      <w:r>
        <w:rPr>
          <w:rFonts w:hint="eastAsia" w:ascii="宋体" w:hAnsi="宋体" w:cs="宋体"/>
          <w:color w:val="auto"/>
          <w:kern w:val="0"/>
          <w:sz w:val="24"/>
          <w:highlight w:val="none"/>
          <w:lang w:val="en-US" w:eastAsia="zh-CN"/>
        </w:rPr>
        <w:t xml:space="preserve"> </w:t>
      </w:r>
    </w:p>
    <w:p>
      <w:pPr>
        <w:spacing w:line="240" w:lineRule="atLeast"/>
        <w:ind w:left="1080" w:leftChars="257" w:hanging="540"/>
        <w:jc w:val="right"/>
        <w:rPr>
          <w:rFonts w:hint="eastAsia" w:ascii="宋体" w:hAnsi="宋体" w:cs="宋体"/>
          <w:color w:val="auto"/>
          <w:kern w:val="0"/>
          <w:sz w:val="24"/>
          <w:highlight w:val="none"/>
        </w:rPr>
      </w:pPr>
    </w:p>
    <w:p>
      <w:pPr>
        <w:spacing w:line="240" w:lineRule="atLeast"/>
        <w:ind w:left="1080" w:leftChars="257" w:hanging="540"/>
        <w:jc w:val="right"/>
        <w:rPr>
          <w:rFonts w:hint="eastAsia" w:ascii="宋体" w:hAnsi="宋体" w:cs="宋体"/>
          <w:color w:val="auto"/>
          <w:kern w:val="0"/>
          <w:sz w:val="24"/>
          <w:highlight w:val="none"/>
        </w:rPr>
      </w:pPr>
    </w:p>
    <w:p>
      <w:pPr>
        <w:spacing w:line="240" w:lineRule="atLeast"/>
        <w:ind w:left="1080" w:leftChars="257" w:hanging="54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  期：_____________________________________________</w:t>
      </w: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pStyle w:val="10"/>
        <w:rPr>
          <w:rFonts w:hint="eastAsia" w:hAnsi="宋体" w:cs="宋体"/>
          <w:color w:val="auto"/>
          <w:szCs w:val="24"/>
          <w:highlight w:val="none"/>
        </w:rPr>
      </w:pPr>
    </w:p>
    <w:p>
      <w:pPr>
        <w:pStyle w:val="5"/>
        <w:spacing w:before="0" w:line="240" w:lineRule="atLeast"/>
        <w:ind w:left="1080" w:leftChars="257" w:hanging="540"/>
        <w:rPr>
          <w:rFonts w:hint="eastAsia" w:ascii="宋体" w:hAnsi="宋体" w:eastAsia="宋体" w:cs="宋体"/>
          <w:color w:val="auto"/>
          <w:sz w:val="24"/>
          <w:szCs w:val="24"/>
          <w:highlight w:val="none"/>
        </w:rPr>
      </w:pPr>
      <w:bookmarkStart w:id="430" w:name="_Toc28099"/>
      <w:bookmarkStart w:id="431" w:name="_Toc30795"/>
      <w:bookmarkStart w:id="432" w:name="_Toc515647827"/>
      <w:bookmarkStart w:id="433" w:name="_Toc10002"/>
      <w:r>
        <w:rPr>
          <w:rFonts w:hint="eastAsia" w:ascii="宋体" w:hAnsi="宋体" w:eastAsia="宋体" w:cs="宋体"/>
          <w:color w:val="auto"/>
          <w:sz w:val="24"/>
          <w:szCs w:val="24"/>
          <w:highlight w:val="none"/>
        </w:rPr>
        <w:t>8   投标人关联单位的说明</w:t>
      </w:r>
      <w:bookmarkEnd w:id="430"/>
      <w:bookmarkEnd w:id="431"/>
      <w:bookmarkEnd w:id="432"/>
      <w:bookmarkEnd w:id="433"/>
    </w:p>
    <w:p>
      <w:pPr>
        <w:pStyle w:val="10"/>
        <w:jc w:val="center"/>
        <w:rPr>
          <w:rFonts w:hint="eastAsia" w:hAnsi="宋体" w:cs="宋体"/>
          <w:color w:val="auto"/>
          <w:szCs w:val="24"/>
          <w:highlight w:val="none"/>
        </w:rPr>
      </w:pPr>
    </w:p>
    <w:p>
      <w:pPr>
        <w:pStyle w:val="10"/>
        <w:ind w:firstLine="480" w:firstLineChars="200"/>
        <w:rPr>
          <w:rFonts w:hint="eastAsia" w:hAnsi="宋体" w:cs="宋体"/>
          <w:color w:val="auto"/>
          <w:szCs w:val="24"/>
          <w:highlight w:val="none"/>
        </w:rPr>
      </w:pPr>
      <w:r>
        <w:rPr>
          <w:rFonts w:hint="eastAsia" w:hAnsi="宋体" w:cs="宋体"/>
          <w:color w:val="auto"/>
          <w:szCs w:val="24"/>
          <w:highlight w:val="none"/>
        </w:rPr>
        <w:t>说明：投标人应当如实披露与本单位存在下列关联关系的单位名称：</w:t>
      </w:r>
    </w:p>
    <w:p>
      <w:pPr>
        <w:pStyle w:val="10"/>
        <w:ind w:firstLine="960" w:firstLineChars="400"/>
        <w:rPr>
          <w:rFonts w:hint="eastAsia" w:hAnsi="宋体" w:eastAsia="宋体" w:cs="宋体"/>
          <w:color w:val="auto"/>
          <w:szCs w:val="24"/>
          <w:highlight w:val="none"/>
          <w:lang w:eastAsia="zh-CN"/>
        </w:rPr>
      </w:pPr>
      <w:r>
        <w:rPr>
          <w:rFonts w:hint="eastAsia" w:hAnsi="宋体" w:cs="宋体"/>
          <w:color w:val="auto"/>
          <w:szCs w:val="24"/>
          <w:highlight w:val="none"/>
        </w:rPr>
        <w:t>（1）与投标人单位负责人为同一人的其他单位；</w:t>
      </w:r>
    </w:p>
    <w:p>
      <w:pPr>
        <w:pStyle w:val="10"/>
        <w:ind w:firstLine="480" w:firstLineChars="200"/>
        <w:rPr>
          <w:rFonts w:hint="eastAsia" w:hAnsi="宋体" w:cs="宋体"/>
          <w:color w:val="auto"/>
          <w:szCs w:val="24"/>
          <w:highlight w:val="none"/>
        </w:rPr>
      </w:pPr>
      <w:r>
        <w:rPr>
          <w:rFonts w:hint="eastAsia" w:hAnsi="宋体" w:cs="宋体"/>
          <w:color w:val="auto"/>
          <w:szCs w:val="24"/>
          <w:highlight w:val="none"/>
        </w:rPr>
        <w:t xml:space="preserve">    （2）与投标人存在直接控股、管理关系的其他单位。</w:t>
      </w:r>
    </w:p>
    <w:p>
      <w:pPr>
        <w:pStyle w:val="10"/>
        <w:ind w:firstLine="0"/>
        <w:rPr>
          <w:rFonts w:hint="eastAsia" w:hAnsi="宋体" w:cs="宋体"/>
          <w:color w:val="auto"/>
          <w:szCs w:val="24"/>
          <w:highlight w:val="none"/>
        </w:rPr>
      </w:pPr>
    </w:p>
    <w:p>
      <w:pPr>
        <w:spacing w:line="240" w:lineRule="atLeast"/>
        <w:ind w:left="1080" w:leftChars="257" w:hanging="540"/>
        <w:jc w:val="center"/>
        <w:rPr>
          <w:rFonts w:hint="eastAsia" w:ascii="宋体" w:hAnsi="宋体" w:cs="宋体"/>
          <w:b/>
          <w:color w:val="auto"/>
          <w:kern w:val="0"/>
          <w:sz w:val="24"/>
          <w:highlight w:val="none"/>
        </w:rPr>
      </w:pPr>
    </w:p>
    <w:p>
      <w:pPr>
        <w:pStyle w:val="5"/>
        <w:spacing w:before="0" w:line="240" w:lineRule="atLeast"/>
        <w:ind w:left="1080" w:leftChars="257" w:hanging="540"/>
        <w:rPr>
          <w:rFonts w:hint="eastAsia" w:ascii="宋体" w:hAnsi="宋体" w:eastAsia="宋体" w:cs="宋体"/>
          <w:color w:val="auto"/>
          <w:sz w:val="24"/>
          <w:szCs w:val="24"/>
          <w:highlight w:val="none"/>
        </w:rPr>
      </w:pPr>
      <w:bookmarkStart w:id="434" w:name="_Toc17333"/>
      <w:bookmarkStart w:id="435" w:name="_Toc515647828"/>
      <w:bookmarkStart w:id="436" w:name="_Toc14039"/>
      <w:bookmarkStart w:id="437" w:name="_Toc7414"/>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还应包括投标人须知第10条的所有技术文件</w:t>
      </w:r>
      <w:bookmarkEnd w:id="434"/>
      <w:bookmarkEnd w:id="435"/>
      <w:bookmarkEnd w:id="436"/>
      <w:bookmarkEnd w:id="437"/>
    </w:p>
    <w:p>
      <w:pPr>
        <w:pStyle w:val="15"/>
        <w:tabs>
          <w:tab w:val="left" w:pos="5580"/>
        </w:tabs>
        <w:spacing w:line="360" w:lineRule="exact"/>
        <w:rPr>
          <w:rFonts w:hint="eastAsia" w:asciiTheme="minorEastAsia" w:hAnsiTheme="minorEastAsia" w:eastAsiaTheme="minorEastAsia" w:cstheme="minorEastAsia"/>
          <w:b/>
          <w:color w:val="auto"/>
          <w:sz w:val="32"/>
          <w:highlight w:val="none"/>
        </w:rPr>
      </w:pPr>
      <w:r>
        <w:rPr>
          <w:rFonts w:hint="eastAsia" w:ascii="宋体" w:hAnsi="宋体" w:cs="宋体"/>
          <w:color w:val="auto"/>
          <w:sz w:val="24"/>
          <w:highlight w:val="none"/>
        </w:rPr>
        <w:br w:type="page"/>
      </w:r>
      <w:bookmarkEnd w:id="278"/>
      <w:bookmarkEnd w:id="279"/>
      <w:bookmarkEnd w:id="280"/>
      <w:bookmarkEnd w:id="281"/>
      <w:bookmarkEnd w:id="372"/>
      <w:bookmarkEnd w:id="373"/>
      <w:bookmarkEnd w:id="374"/>
      <w:bookmarkEnd w:id="375"/>
      <w:bookmarkEnd w:id="376"/>
      <w:bookmarkEnd w:id="377"/>
    </w:p>
    <w:p>
      <w:pPr>
        <w:spacing w:line="240" w:lineRule="atLeast"/>
        <w:jc w:val="left"/>
        <w:outlineLvl w:val="2"/>
        <w:rPr>
          <w:rFonts w:hint="eastAsia" w:asciiTheme="minorEastAsia" w:hAnsiTheme="minorEastAsia" w:eastAsiaTheme="minorEastAsia" w:cstheme="minorEastAsia"/>
          <w:b/>
          <w:color w:val="auto"/>
          <w:kern w:val="0"/>
          <w:sz w:val="24"/>
          <w:szCs w:val="20"/>
          <w:highlight w:val="none"/>
        </w:rPr>
      </w:pPr>
      <w:bookmarkStart w:id="438" w:name="_Toc28994"/>
      <w:bookmarkStart w:id="439" w:name="_Toc18887"/>
      <w:bookmarkStart w:id="440" w:name="_Toc30798"/>
      <w:bookmarkStart w:id="441" w:name="_Toc23729"/>
      <w:bookmarkStart w:id="442" w:name="_Toc13771"/>
    </w:p>
    <w:p>
      <w:pPr>
        <w:spacing w:line="240" w:lineRule="atLeast"/>
        <w:jc w:val="center"/>
        <w:outlineLvl w:val="2"/>
        <w:rPr>
          <w:rFonts w:hint="eastAsia" w:asciiTheme="minorEastAsia" w:hAnsiTheme="minorEastAsia" w:eastAsiaTheme="minorEastAsia" w:cstheme="minorEastAsia"/>
          <w:b/>
          <w:color w:val="auto"/>
          <w:kern w:val="0"/>
          <w:sz w:val="24"/>
          <w:szCs w:val="20"/>
          <w:highlight w:val="none"/>
        </w:rPr>
      </w:pPr>
    </w:p>
    <w:p>
      <w:pPr>
        <w:spacing w:line="240" w:lineRule="atLeast"/>
        <w:jc w:val="center"/>
        <w:outlineLvl w:val="2"/>
        <w:rPr>
          <w:rFonts w:hint="eastAsia" w:asciiTheme="minorEastAsia" w:hAnsiTheme="minorEastAsia" w:eastAsiaTheme="minorEastAsia" w:cstheme="minorEastAsia"/>
          <w:b/>
          <w:color w:val="auto"/>
          <w:kern w:val="0"/>
          <w:sz w:val="24"/>
          <w:szCs w:val="20"/>
          <w:highlight w:val="none"/>
        </w:rPr>
      </w:pPr>
      <w:r>
        <w:rPr>
          <w:rFonts w:hint="eastAsia" w:asciiTheme="minorEastAsia" w:hAnsiTheme="minorEastAsia" w:eastAsiaTheme="minorEastAsia" w:cstheme="minorEastAsia"/>
          <w:b/>
          <w:color w:val="auto"/>
          <w:kern w:val="0"/>
          <w:sz w:val="24"/>
          <w:szCs w:val="20"/>
          <w:highlight w:val="none"/>
          <w:lang w:eastAsia="zh-CN"/>
        </w:rPr>
        <w:t>响应文件</w:t>
      </w:r>
      <w:r>
        <w:rPr>
          <w:rFonts w:hint="eastAsia" w:asciiTheme="minorEastAsia" w:hAnsiTheme="minorEastAsia" w:eastAsiaTheme="minorEastAsia" w:cstheme="minorEastAsia"/>
          <w:b/>
          <w:color w:val="auto"/>
          <w:kern w:val="0"/>
          <w:sz w:val="24"/>
          <w:szCs w:val="20"/>
          <w:highlight w:val="none"/>
        </w:rPr>
        <w:t>格式范本</w:t>
      </w:r>
      <w:bookmarkEnd w:id="438"/>
      <w:bookmarkEnd w:id="439"/>
      <w:bookmarkEnd w:id="440"/>
      <w:bookmarkEnd w:id="441"/>
      <w:bookmarkEnd w:id="442"/>
    </w:p>
    <w:tbl>
      <w:tblPr>
        <w:tblStyle w:val="34"/>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335" w:hRule="atLeast"/>
        </w:trPr>
        <w:tc>
          <w:tcPr>
            <w:tcW w:w="9520" w:type="dxa"/>
            <w:shd w:val="clear" w:color="auto" w:fill="FCFEEA"/>
          </w:tcPr>
          <w:p>
            <w:pPr>
              <w:pStyle w:val="3"/>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 xml:space="preserve">                                                （正本/副本）</w:t>
            </w:r>
          </w:p>
          <w:p>
            <w:pPr>
              <w:pStyle w:val="3"/>
              <w:ind w:firstLine="4216" w:firstLineChars="1500"/>
              <w:rPr>
                <w:rFonts w:hint="eastAsia" w:asciiTheme="minorEastAsia" w:hAnsiTheme="minorEastAsia" w:eastAsiaTheme="minorEastAsia" w:cstheme="minorEastAsia"/>
                <w:b/>
                <w:bCs/>
                <w:color w:val="auto"/>
                <w:sz w:val="28"/>
                <w:szCs w:val="28"/>
                <w:highlight w:val="none"/>
              </w:rPr>
            </w:pPr>
          </w:p>
          <w:p>
            <w:pPr>
              <w:pStyle w:val="3"/>
              <w:ind w:firstLine="4216" w:firstLineChars="1500"/>
              <w:rPr>
                <w:rFonts w:hint="eastAsia" w:asciiTheme="minorEastAsia" w:hAnsiTheme="minorEastAsia" w:eastAsiaTheme="minorEastAsia" w:cstheme="minorEastAsia"/>
                <w:b/>
                <w:bCs/>
                <w:color w:val="auto"/>
                <w:sz w:val="28"/>
                <w:szCs w:val="28"/>
                <w:highlight w:val="none"/>
              </w:rPr>
            </w:pPr>
          </w:p>
          <w:p>
            <w:pPr>
              <w:pStyle w:val="3"/>
              <w:rPr>
                <w:rFonts w:hint="eastAsia" w:asciiTheme="minorEastAsia" w:hAnsiTheme="minorEastAsia" w:eastAsiaTheme="minorEastAsia" w:cstheme="minorEastAsia"/>
                <w:b/>
                <w:bCs/>
                <w:color w:val="auto"/>
                <w:sz w:val="28"/>
                <w:szCs w:val="28"/>
                <w:highlight w:val="none"/>
              </w:rPr>
            </w:pPr>
          </w:p>
          <w:p>
            <w:pPr>
              <w:pStyle w:val="3"/>
              <w:ind w:firstLine="2530" w:firstLineChars="9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 *** *** *** ***   项目</w:t>
            </w:r>
          </w:p>
          <w:p>
            <w:pPr>
              <w:pStyle w:val="3"/>
              <w:jc w:val="center"/>
              <w:rPr>
                <w:rFonts w:hint="eastAsia" w:asciiTheme="minorEastAsia" w:hAnsiTheme="minorEastAsia" w:eastAsiaTheme="minorEastAsia" w:cstheme="minorEastAsia"/>
                <w:b/>
                <w:bCs/>
                <w:color w:val="auto"/>
                <w:sz w:val="21"/>
                <w:szCs w:val="21"/>
                <w:highlight w:val="none"/>
              </w:rPr>
            </w:pPr>
          </w:p>
          <w:p>
            <w:pPr>
              <w:pStyle w:val="3"/>
              <w:ind w:firstLine="3162" w:firstLineChars="15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编号＊＊＊＊＊＊</w:t>
            </w:r>
          </w:p>
          <w:p>
            <w:pPr>
              <w:pStyle w:val="3"/>
              <w:jc w:val="center"/>
              <w:rPr>
                <w:rFonts w:hint="eastAsia" w:asciiTheme="minorEastAsia" w:hAnsiTheme="minorEastAsia" w:eastAsiaTheme="minorEastAsia" w:cstheme="minorEastAsia"/>
                <w:b/>
                <w:bCs/>
                <w:color w:val="auto"/>
                <w:sz w:val="48"/>
                <w:highlight w:val="none"/>
              </w:rPr>
            </w:pPr>
          </w:p>
          <w:p>
            <w:pPr>
              <w:pStyle w:val="3"/>
              <w:jc w:val="center"/>
              <w:rPr>
                <w:rFonts w:hint="eastAsia" w:asciiTheme="minorEastAsia" w:hAnsiTheme="minorEastAsia" w:eastAsiaTheme="minorEastAsia" w:cstheme="minorEastAsia"/>
                <w:b/>
                <w:bCs/>
                <w:color w:val="auto"/>
                <w:sz w:val="48"/>
                <w:highlight w:val="none"/>
              </w:rPr>
            </w:pPr>
            <w:r>
              <w:rPr>
                <w:rFonts w:hint="eastAsia" w:asciiTheme="minorEastAsia" w:hAnsiTheme="minorEastAsia" w:eastAsiaTheme="minorEastAsia" w:cstheme="minorEastAsia"/>
                <w:b/>
                <w:bCs/>
                <w:color w:val="auto"/>
                <w:sz w:val="48"/>
                <w:highlight w:val="none"/>
              </w:rPr>
              <w:t>响 应 文 件</w:t>
            </w:r>
          </w:p>
          <w:p>
            <w:pPr>
              <w:jc w:val="center"/>
              <w:rPr>
                <w:rFonts w:hint="eastAsia" w:asciiTheme="minorEastAsia" w:hAnsiTheme="minorEastAsia" w:eastAsiaTheme="minorEastAsia" w:cstheme="minorEastAsia"/>
                <w:b/>
                <w:color w:val="auto"/>
                <w:sz w:val="32"/>
                <w:highlight w:val="none"/>
              </w:rPr>
            </w:pPr>
          </w:p>
          <w:p>
            <w:pPr>
              <w:pStyle w:val="10"/>
              <w:rPr>
                <w:rFonts w:hint="eastAsia" w:asciiTheme="minorEastAsia" w:hAnsiTheme="minorEastAsia" w:eastAsiaTheme="minorEastAsia" w:cstheme="minorEastAsia"/>
                <w:b/>
                <w:color w:val="auto"/>
                <w:sz w:val="32"/>
                <w:highlight w:val="none"/>
              </w:rPr>
            </w:pPr>
          </w:p>
          <w:p>
            <w:pPr>
              <w:pStyle w:val="10"/>
              <w:rPr>
                <w:rFonts w:hint="eastAsia" w:asciiTheme="minorEastAsia" w:hAnsiTheme="minorEastAsia" w:eastAsiaTheme="minorEastAsia" w:cstheme="minorEastAsia"/>
                <w:b/>
                <w:color w:val="auto"/>
                <w:sz w:val="32"/>
                <w:highlight w:val="none"/>
              </w:rPr>
            </w:pPr>
          </w:p>
          <w:p>
            <w:pPr>
              <w:spacing w:line="360" w:lineRule="auto"/>
              <w:ind w:left="176" w:leftChars="84"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（公章）</w:t>
            </w:r>
          </w:p>
          <w:p>
            <w:pPr>
              <w:spacing w:line="360" w:lineRule="auto"/>
              <w:ind w:left="176" w:leftChars="84" w:firstLine="840" w:firstLineChars="4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u w:val="single"/>
              </w:rPr>
              <w:t xml:space="preserve">                                          </w:t>
            </w:r>
          </w:p>
          <w:p>
            <w:pPr>
              <w:spacing w:line="360" w:lineRule="auto"/>
              <w:ind w:left="176" w:leftChars="84" w:firstLine="840" w:firstLineChars="4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u w:val="single"/>
              </w:rPr>
              <w:t xml:space="preserve">                                        </w:t>
            </w:r>
          </w:p>
          <w:p>
            <w:pPr>
              <w:spacing w:line="360" w:lineRule="auto"/>
              <w:ind w:left="176" w:leftChars="84" w:firstLine="840" w:firstLineChars="4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联 系 人：</w:t>
            </w:r>
            <w:r>
              <w:rPr>
                <w:rFonts w:hint="eastAsia" w:asciiTheme="minorEastAsia" w:hAnsiTheme="minorEastAsia" w:eastAsiaTheme="minorEastAsia" w:cstheme="minorEastAsia"/>
                <w:color w:val="auto"/>
                <w:szCs w:val="21"/>
                <w:highlight w:val="none"/>
                <w:u w:val="single"/>
              </w:rPr>
              <w:t xml:space="preserve">                                        </w:t>
            </w:r>
          </w:p>
          <w:p>
            <w:pPr>
              <w:spacing w:line="360" w:lineRule="auto"/>
              <w:ind w:left="176" w:leftChars="84"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p>
          <w:p>
            <w:pPr>
              <w:spacing w:line="360" w:lineRule="auto"/>
              <w:ind w:left="176" w:leftChars="84" w:firstLine="840" w:firstLineChars="4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地    址  ：  </w:t>
            </w:r>
            <w:r>
              <w:rPr>
                <w:rFonts w:hint="eastAsia" w:asciiTheme="minorEastAsia" w:hAnsiTheme="minorEastAsia" w:eastAsiaTheme="minorEastAsia" w:cstheme="minorEastAsia"/>
                <w:color w:val="auto"/>
                <w:szCs w:val="21"/>
                <w:highlight w:val="none"/>
                <w:u w:val="single"/>
              </w:rPr>
              <w:t xml:space="preserve">                                    </w:t>
            </w:r>
          </w:p>
          <w:p>
            <w:pPr>
              <w:spacing w:line="360" w:lineRule="auto"/>
              <w:ind w:left="176" w:leftChars="84" w:firstLine="960" w:firstLineChars="400"/>
              <w:rPr>
                <w:rFonts w:hint="eastAsia" w:asciiTheme="minorEastAsia" w:hAnsiTheme="minorEastAsia" w:eastAsiaTheme="minorEastAsia" w:cstheme="minorEastAsia"/>
                <w:color w:val="auto"/>
                <w:sz w:val="24"/>
                <w:highlight w:val="none"/>
              </w:rPr>
            </w:pPr>
          </w:p>
          <w:p>
            <w:pPr>
              <w:jc w:val="center"/>
              <w:rPr>
                <w:rFonts w:hint="eastAsia" w:asciiTheme="minorEastAsia" w:hAnsiTheme="minorEastAsia" w:eastAsiaTheme="minorEastAsia" w:cstheme="minorEastAsia"/>
                <w:b/>
                <w:bCs/>
                <w:color w:val="auto"/>
                <w:highlight w:val="none"/>
              </w:rPr>
            </w:pPr>
          </w:p>
          <w:p>
            <w:pPr>
              <w:jc w:val="center"/>
              <w:rPr>
                <w:rFonts w:hint="eastAsia" w:asciiTheme="minorEastAsia" w:hAnsiTheme="minorEastAsia" w:eastAsiaTheme="minorEastAsia" w:cstheme="minorEastAsia"/>
                <w:b/>
                <w:bCs/>
                <w:color w:val="auto"/>
                <w:highlight w:val="none"/>
              </w:rPr>
            </w:pPr>
          </w:p>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   在202</w:t>
            </w:r>
            <w:r>
              <w:rPr>
                <w:rFonts w:hint="eastAsia" w:asciiTheme="minorEastAsia" w:hAnsiTheme="minorEastAsia" w:eastAsiaTheme="minorEastAsia" w:cstheme="minorEastAsia"/>
                <w:b/>
                <w:bCs/>
                <w:color w:val="auto"/>
                <w:highlight w:val="none"/>
                <w:lang w:val="en-US" w:eastAsia="zh-CN"/>
              </w:rPr>
              <w:t>1</w:t>
            </w:r>
            <w:r>
              <w:rPr>
                <w:rFonts w:hint="eastAsia" w:asciiTheme="minorEastAsia" w:hAnsiTheme="minorEastAsia" w:eastAsiaTheme="minorEastAsia" w:cstheme="minorEastAsia"/>
                <w:b/>
                <w:bCs/>
                <w:color w:val="auto"/>
                <w:highlight w:val="none"/>
              </w:rPr>
              <w:t xml:space="preserve">年   月 </w:t>
            </w:r>
            <w:r>
              <w:rPr>
                <w:rFonts w:hint="eastAsia" w:asciiTheme="minorEastAsia" w:hAnsiTheme="minorEastAsia" w:eastAsiaTheme="minorEastAsia" w:cstheme="minorEastAsia"/>
                <w:b/>
                <w:bCs/>
                <w:color w:val="auto"/>
                <w:highlight w:val="none"/>
                <w:lang w:val="en-US" w:eastAsia="zh-CN"/>
              </w:rPr>
              <w:t xml:space="preserve"> </w:t>
            </w:r>
            <w:r>
              <w:rPr>
                <w:rFonts w:hint="eastAsia" w:asciiTheme="minorEastAsia" w:hAnsiTheme="minorEastAsia" w:eastAsiaTheme="minorEastAsia" w:cstheme="minorEastAsia"/>
                <w:b/>
                <w:bCs/>
                <w:color w:val="auto"/>
                <w:highlight w:val="none"/>
              </w:rPr>
              <w:t xml:space="preserve"> 日     之前不得启封</w:t>
            </w:r>
          </w:p>
        </w:tc>
      </w:tr>
    </w:tbl>
    <w:p>
      <w:pPr>
        <w:spacing w:line="240" w:lineRule="atLeast"/>
        <w:jc w:val="left"/>
        <w:rPr>
          <w:rFonts w:hint="eastAsia" w:asciiTheme="minorEastAsia" w:hAnsiTheme="minorEastAsia" w:eastAsiaTheme="minorEastAsia" w:cstheme="minorEastAsia"/>
          <w:b/>
          <w:color w:val="auto"/>
          <w:kern w:val="0"/>
          <w:sz w:val="24"/>
          <w:szCs w:val="20"/>
          <w:highlight w:val="none"/>
        </w:rPr>
        <w:sectPr>
          <w:headerReference r:id="rId10" w:type="default"/>
          <w:footerReference r:id="rId12" w:type="default"/>
          <w:headerReference r:id="rId11" w:type="even"/>
          <w:footerReference r:id="rId13" w:type="even"/>
          <w:pgSz w:w="11906" w:h="16838"/>
          <w:pgMar w:top="1440" w:right="1797" w:bottom="1440" w:left="1797" w:header="851" w:footer="992" w:gutter="0"/>
          <w:pgNumType w:fmt="decimal"/>
          <w:cols w:space="720" w:num="1"/>
          <w:docGrid w:linePitch="312" w:charSpace="0"/>
        </w:sectPr>
      </w:pPr>
    </w:p>
    <w:p>
      <w:pPr>
        <w:pStyle w:val="10"/>
        <w:ind w:left="0" w:leftChars="0" w:firstLine="0" w:firstLineChars="0"/>
        <w:jc w:val="center"/>
        <w:rPr>
          <w:rFonts w:hint="eastAsia" w:asciiTheme="minorEastAsia" w:hAnsiTheme="minorEastAsia" w:eastAsiaTheme="minorEastAsia" w:cstheme="minorEastAsia"/>
          <w:bCs/>
          <w:color w:val="auto"/>
          <w:sz w:val="48"/>
          <w:szCs w:val="48"/>
          <w:highlight w:val="none"/>
          <w:lang w:eastAsia="zh-CN"/>
        </w:rPr>
      </w:pPr>
      <w:bookmarkStart w:id="443" w:name="_Toc218935350"/>
      <w:bookmarkStart w:id="444" w:name="_Toc507399902"/>
      <w:bookmarkStart w:id="445" w:name="_Toc219175634"/>
      <w:bookmarkStart w:id="446" w:name="_Toc9913"/>
      <w:bookmarkStart w:id="447" w:name="_Toc216582822"/>
      <w:bookmarkStart w:id="448" w:name="_Toc518923124"/>
      <w:bookmarkStart w:id="449" w:name="_Toc31119"/>
      <w:bookmarkStart w:id="450" w:name="_Toc21156_WPSOffice_Level1"/>
    </w:p>
    <w:p>
      <w:pPr>
        <w:pStyle w:val="10"/>
        <w:ind w:left="0" w:leftChars="0" w:firstLine="0" w:firstLineChars="0"/>
        <w:jc w:val="center"/>
        <w:rPr>
          <w:rFonts w:hint="eastAsia" w:asciiTheme="minorEastAsia" w:hAnsiTheme="minorEastAsia" w:eastAsiaTheme="minorEastAsia" w:cstheme="minorEastAsia"/>
          <w:bCs/>
          <w:color w:val="auto"/>
          <w:sz w:val="48"/>
          <w:szCs w:val="48"/>
          <w:highlight w:val="none"/>
          <w:lang w:eastAsia="zh-CN"/>
        </w:rPr>
      </w:pPr>
    </w:p>
    <w:p>
      <w:pPr>
        <w:pStyle w:val="10"/>
        <w:ind w:left="0" w:leftChars="0" w:firstLine="0" w:firstLineChars="0"/>
        <w:jc w:val="center"/>
        <w:rPr>
          <w:rFonts w:hint="eastAsia" w:asciiTheme="minorEastAsia" w:hAnsiTheme="minorEastAsia" w:eastAsiaTheme="minorEastAsia" w:cstheme="minorEastAsia"/>
          <w:bCs/>
          <w:color w:val="auto"/>
          <w:sz w:val="48"/>
          <w:szCs w:val="48"/>
          <w:highlight w:val="none"/>
          <w:lang w:eastAsia="zh-CN"/>
        </w:rPr>
      </w:pPr>
      <w:r>
        <w:rPr>
          <w:rFonts w:hint="eastAsia" w:asciiTheme="minorEastAsia" w:hAnsiTheme="minorEastAsia" w:eastAsiaTheme="minorEastAsia" w:cstheme="minorEastAsia"/>
          <w:bCs/>
          <w:color w:val="auto"/>
          <w:sz w:val="48"/>
          <w:szCs w:val="48"/>
          <w:highlight w:val="none"/>
          <w:lang w:eastAsia="zh-CN"/>
        </w:rPr>
        <w:t>喀什职业技术学院普通话考试中心建设项目</w:t>
      </w:r>
    </w:p>
    <w:p>
      <w:pPr>
        <w:pStyle w:val="10"/>
        <w:rPr>
          <w:rFonts w:hint="eastAsia" w:asciiTheme="minorEastAsia" w:hAnsiTheme="minorEastAsia" w:eastAsiaTheme="minorEastAsia" w:cstheme="minorEastAsia"/>
          <w:bCs/>
          <w:color w:val="auto"/>
          <w:sz w:val="48"/>
          <w:szCs w:val="48"/>
          <w:highlight w:val="none"/>
        </w:rPr>
      </w:pPr>
    </w:p>
    <w:p>
      <w:pPr>
        <w:autoSpaceDE w:val="0"/>
        <w:autoSpaceDN w:val="0"/>
        <w:spacing w:line="360" w:lineRule="auto"/>
        <w:jc w:val="center"/>
        <w:outlineLvl w:val="1"/>
        <w:rPr>
          <w:rFonts w:hint="eastAsia" w:asciiTheme="minorEastAsia" w:hAnsiTheme="minorEastAsia" w:eastAsiaTheme="minorEastAsia" w:cstheme="minorEastAsia"/>
          <w:b/>
          <w:bCs/>
          <w:color w:val="auto"/>
          <w:kern w:val="0"/>
          <w:sz w:val="36"/>
          <w:szCs w:val="36"/>
          <w:highlight w:val="none"/>
          <w:lang w:eastAsia="zh-CN" w:bidi="ar"/>
        </w:rPr>
      </w:pPr>
      <w:r>
        <w:rPr>
          <w:rFonts w:hint="eastAsia" w:asciiTheme="minorEastAsia" w:hAnsiTheme="minorEastAsia" w:eastAsiaTheme="minorEastAsia" w:cstheme="minorEastAsia"/>
          <w:bCs/>
          <w:color w:val="auto"/>
          <w:sz w:val="32"/>
          <w:szCs w:val="32"/>
          <w:highlight w:val="none"/>
        </w:rPr>
        <w:t>项目编号：XJXBY(</w:t>
      </w:r>
      <w:r>
        <w:rPr>
          <w:rFonts w:hint="eastAsia" w:asciiTheme="minorEastAsia" w:hAnsiTheme="minorEastAsia" w:eastAsiaTheme="minorEastAsia" w:cstheme="minorEastAsia"/>
          <w:bCs/>
          <w:color w:val="auto"/>
          <w:sz w:val="32"/>
          <w:szCs w:val="32"/>
          <w:highlight w:val="none"/>
          <w:lang w:eastAsia="zh-CN"/>
        </w:rPr>
        <w:t>CS</w:t>
      </w:r>
      <w:r>
        <w:rPr>
          <w:rFonts w:hint="eastAsia" w:asciiTheme="minorEastAsia" w:hAnsiTheme="minorEastAsia" w:eastAsiaTheme="minorEastAsia" w:cstheme="minorEastAsia"/>
          <w:bCs/>
          <w:color w:val="auto"/>
          <w:sz w:val="32"/>
          <w:szCs w:val="32"/>
          <w:highlight w:val="none"/>
        </w:rPr>
        <w:t>)2021-01</w:t>
      </w:r>
      <w:r>
        <w:rPr>
          <w:rFonts w:hint="eastAsia" w:asciiTheme="minorEastAsia" w:hAnsiTheme="minorEastAsia" w:eastAsiaTheme="minorEastAsia" w:cstheme="minorEastAsia"/>
          <w:bCs/>
          <w:color w:val="auto"/>
          <w:sz w:val="32"/>
          <w:szCs w:val="32"/>
          <w:highlight w:val="none"/>
          <w:lang w:val="en-US" w:eastAsia="zh-CN"/>
        </w:rPr>
        <w:t>3</w:t>
      </w:r>
    </w:p>
    <w:p>
      <w:pPr>
        <w:spacing w:line="240" w:lineRule="atLeast"/>
        <w:ind w:left="1080" w:leftChars="257" w:hanging="540"/>
        <w:jc w:val="center"/>
        <w:outlineLvl w:val="0"/>
        <w:rPr>
          <w:rFonts w:hint="eastAsia" w:asciiTheme="minorEastAsia" w:hAnsiTheme="minorEastAsia" w:eastAsiaTheme="minorEastAsia" w:cstheme="minorEastAsia"/>
          <w:bCs/>
          <w:color w:val="auto"/>
          <w:sz w:val="36"/>
          <w:szCs w:val="36"/>
          <w:highlight w:val="none"/>
        </w:rPr>
      </w:pPr>
      <w:r>
        <w:rPr>
          <w:rFonts w:hint="eastAsia" w:asciiTheme="minorEastAsia" w:hAnsiTheme="minorEastAsia" w:eastAsiaTheme="minorEastAsia" w:cstheme="minorEastAsia"/>
          <w:bCs/>
          <w:color w:val="auto"/>
          <w:sz w:val="36"/>
          <w:szCs w:val="36"/>
          <w:highlight w:val="none"/>
        </w:rPr>
        <w:t xml:space="preserve"> </w:t>
      </w:r>
    </w:p>
    <w:p>
      <w:pPr>
        <w:spacing w:line="240" w:lineRule="atLeast"/>
        <w:ind w:left="1080" w:leftChars="257" w:hanging="540"/>
        <w:jc w:val="center"/>
        <w:outlineLvl w:val="0"/>
        <w:rPr>
          <w:rFonts w:hint="eastAsia" w:asciiTheme="minorEastAsia" w:hAnsiTheme="minorEastAsia" w:eastAsiaTheme="minorEastAsia" w:cstheme="minorEastAsia"/>
          <w:bCs/>
          <w:color w:val="auto"/>
          <w:sz w:val="48"/>
          <w:szCs w:val="48"/>
          <w:highlight w:val="none"/>
        </w:rPr>
      </w:pPr>
    </w:p>
    <w:p>
      <w:pPr>
        <w:pStyle w:val="10"/>
        <w:ind w:left="0" w:leftChars="0" w:firstLine="0" w:firstLineChars="0"/>
        <w:rPr>
          <w:rFonts w:hint="eastAsia" w:asciiTheme="minorEastAsia" w:hAnsiTheme="minorEastAsia" w:eastAsiaTheme="minorEastAsia" w:cstheme="minorEastAsia"/>
          <w:bCs/>
          <w:color w:val="auto"/>
          <w:sz w:val="48"/>
          <w:szCs w:val="48"/>
          <w:highlight w:val="none"/>
        </w:rPr>
      </w:pPr>
    </w:p>
    <w:p>
      <w:pPr>
        <w:spacing w:line="240" w:lineRule="atLeast"/>
        <w:ind w:left="1080" w:leftChars="257" w:hanging="540"/>
        <w:jc w:val="center"/>
        <w:outlineLvl w:val="0"/>
        <w:rPr>
          <w:rFonts w:hint="eastAsia" w:asciiTheme="minorEastAsia" w:hAnsiTheme="minorEastAsia" w:eastAsiaTheme="minorEastAsia" w:cstheme="minorEastAsia"/>
          <w:bCs/>
          <w:color w:val="auto"/>
          <w:sz w:val="48"/>
          <w:szCs w:val="48"/>
          <w:highlight w:val="none"/>
        </w:rPr>
      </w:pPr>
    </w:p>
    <w:p>
      <w:pPr>
        <w:pStyle w:val="5"/>
        <w:rPr>
          <w:rFonts w:hint="eastAsia" w:asciiTheme="minorEastAsia" w:hAnsiTheme="minorEastAsia" w:eastAsiaTheme="minorEastAsia" w:cstheme="minorEastAsia"/>
          <w:color w:val="auto"/>
          <w:highlight w:val="none"/>
        </w:rPr>
      </w:pPr>
    </w:p>
    <w:p>
      <w:pPr>
        <w:spacing w:line="240" w:lineRule="atLeast"/>
        <w:ind w:left="1080" w:leftChars="257" w:hanging="540"/>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Cs/>
          <w:color w:val="auto"/>
          <w:sz w:val="48"/>
          <w:szCs w:val="48"/>
          <w:highlight w:val="none"/>
        </w:rPr>
        <w:t>竞争性磋商文件</w:t>
      </w:r>
      <w:r>
        <w:rPr>
          <w:rFonts w:hint="eastAsia" w:asciiTheme="minorEastAsia" w:hAnsiTheme="minorEastAsia" w:eastAsiaTheme="minorEastAsia" w:cstheme="minorEastAsia"/>
          <w:bCs/>
          <w:color w:val="auto"/>
          <w:sz w:val="52"/>
          <w:szCs w:val="52"/>
          <w:highlight w:val="none"/>
        </w:rPr>
        <w:t xml:space="preserve"> </w:t>
      </w:r>
    </w:p>
    <w:p>
      <w:pPr>
        <w:spacing w:line="240" w:lineRule="atLeast"/>
        <w:ind w:left="1080" w:leftChars="257" w:hanging="540"/>
        <w:jc w:val="center"/>
        <w:rPr>
          <w:rFonts w:hint="eastAsia" w:asciiTheme="minorEastAsia" w:hAnsiTheme="minorEastAsia" w:eastAsiaTheme="minorEastAsia" w:cstheme="minorEastAsia"/>
          <w:b/>
          <w:color w:val="auto"/>
          <w:sz w:val="32"/>
          <w:szCs w:val="32"/>
          <w:highlight w:val="none"/>
        </w:rPr>
      </w:pPr>
    </w:p>
    <w:p>
      <w:pPr>
        <w:pStyle w:val="5"/>
        <w:rPr>
          <w:rFonts w:hint="eastAsia" w:asciiTheme="minorEastAsia" w:hAnsiTheme="minorEastAsia" w:eastAsiaTheme="minorEastAsia" w:cstheme="minorEastAsia"/>
          <w:b/>
          <w:color w:val="auto"/>
          <w:sz w:val="32"/>
          <w:szCs w:val="32"/>
          <w:highlight w:val="none"/>
        </w:rPr>
      </w:pPr>
    </w:p>
    <w:p>
      <w:pPr>
        <w:spacing w:line="240" w:lineRule="atLeast"/>
        <w:rPr>
          <w:rFonts w:hint="eastAsia" w:asciiTheme="minorEastAsia" w:hAnsiTheme="minorEastAsia" w:eastAsiaTheme="minorEastAsia" w:cstheme="minorEastAsia"/>
          <w:b/>
          <w:color w:val="auto"/>
          <w:sz w:val="28"/>
          <w:highlight w:val="none"/>
        </w:rPr>
      </w:pPr>
    </w:p>
    <w:p>
      <w:pPr>
        <w:spacing w:line="240" w:lineRule="atLeast"/>
        <w:ind w:left="1080" w:leftChars="257" w:hanging="540"/>
        <w:jc w:val="center"/>
        <w:outlineLvl w:val="0"/>
        <w:rPr>
          <w:rFonts w:hint="eastAsia"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第</w:t>
      </w:r>
      <w:r>
        <w:rPr>
          <w:rFonts w:hint="eastAsia" w:asciiTheme="minorEastAsia" w:hAnsiTheme="minorEastAsia" w:eastAsiaTheme="minorEastAsia" w:cstheme="minorEastAsia"/>
          <w:b/>
          <w:color w:val="auto"/>
          <w:sz w:val="48"/>
          <w:szCs w:val="48"/>
          <w:highlight w:val="none"/>
          <w:lang w:eastAsia="zh-CN"/>
        </w:rPr>
        <w:t>二</w:t>
      </w:r>
      <w:r>
        <w:rPr>
          <w:rFonts w:hint="eastAsia" w:asciiTheme="minorEastAsia" w:hAnsiTheme="minorEastAsia" w:eastAsiaTheme="minorEastAsia" w:cstheme="minorEastAsia"/>
          <w:b/>
          <w:color w:val="auto"/>
          <w:sz w:val="48"/>
          <w:szCs w:val="48"/>
          <w:highlight w:val="none"/>
        </w:rPr>
        <w:t>册</w:t>
      </w:r>
    </w:p>
    <w:p>
      <w:pPr>
        <w:spacing w:line="240" w:lineRule="atLeast"/>
        <w:ind w:left="1080" w:leftChars="257" w:hanging="540"/>
        <w:jc w:val="center"/>
        <w:rPr>
          <w:rFonts w:hint="eastAsia" w:asciiTheme="minorEastAsia" w:hAnsiTheme="minorEastAsia" w:eastAsiaTheme="minorEastAsia" w:cstheme="minorEastAsia"/>
          <w:b/>
          <w:color w:val="auto"/>
          <w:sz w:val="52"/>
          <w:highlight w:val="none"/>
        </w:rPr>
      </w:pPr>
    </w:p>
    <w:p>
      <w:pPr>
        <w:spacing w:line="240" w:lineRule="atLeast"/>
        <w:ind w:left="1080" w:leftChars="257" w:hanging="540"/>
        <w:jc w:val="center"/>
        <w:rPr>
          <w:rFonts w:hint="eastAsia" w:asciiTheme="minorEastAsia" w:hAnsiTheme="minorEastAsia" w:eastAsiaTheme="minorEastAsia" w:cstheme="minorEastAsia"/>
          <w:b/>
          <w:color w:val="auto"/>
          <w:sz w:val="52"/>
          <w:highlight w:val="none"/>
        </w:rPr>
      </w:pPr>
    </w:p>
    <w:p>
      <w:pPr>
        <w:pStyle w:val="33"/>
        <w:ind w:firstLine="1044"/>
        <w:rPr>
          <w:rFonts w:hint="eastAsia" w:asciiTheme="minorEastAsia" w:hAnsiTheme="minorEastAsia" w:eastAsiaTheme="minorEastAsia" w:cstheme="minorEastAsia"/>
          <w:b/>
          <w:color w:val="auto"/>
          <w:sz w:val="52"/>
          <w:highlight w:val="none"/>
        </w:rPr>
      </w:pPr>
    </w:p>
    <w:p>
      <w:pPr>
        <w:pStyle w:val="33"/>
        <w:ind w:firstLine="1044"/>
        <w:rPr>
          <w:rFonts w:hint="eastAsia" w:asciiTheme="minorEastAsia" w:hAnsiTheme="minorEastAsia" w:eastAsiaTheme="minorEastAsia" w:cstheme="minorEastAsia"/>
          <w:b/>
          <w:color w:val="auto"/>
          <w:sz w:val="52"/>
          <w:highlight w:val="none"/>
        </w:rPr>
      </w:pPr>
    </w:p>
    <w:p>
      <w:pPr>
        <w:pStyle w:val="33"/>
        <w:ind w:firstLine="1044"/>
        <w:rPr>
          <w:rFonts w:hint="eastAsia" w:asciiTheme="minorEastAsia" w:hAnsiTheme="minorEastAsia" w:eastAsiaTheme="minorEastAsia" w:cstheme="minorEastAsia"/>
          <w:b/>
          <w:color w:val="auto"/>
          <w:sz w:val="52"/>
          <w:highlight w:val="none"/>
        </w:rPr>
      </w:pPr>
    </w:p>
    <w:p>
      <w:pPr>
        <w:pStyle w:val="33"/>
        <w:ind w:left="0" w:leftChars="0" w:firstLine="0" w:firstLineChars="0"/>
        <w:rPr>
          <w:rFonts w:hint="eastAsia" w:asciiTheme="minorEastAsia" w:hAnsiTheme="minorEastAsia" w:eastAsiaTheme="minorEastAsia" w:cstheme="minorEastAsia"/>
          <w:b/>
          <w:color w:val="auto"/>
          <w:sz w:val="52"/>
          <w:highlight w:val="none"/>
        </w:rPr>
      </w:pPr>
    </w:p>
    <w:p>
      <w:pPr>
        <w:pStyle w:val="4"/>
        <w:numPr>
          <w:ilvl w:val="0"/>
          <w:numId w:val="8"/>
        </w:numPr>
        <w:tabs>
          <w:tab w:val="left" w:pos="0"/>
        </w:tabs>
        <w:spacing w:before="0" w:after="0" w:line="240"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bookmarkEnd w:id="443"/>
      <w:bookmarkEnd w:id="444"/>
      <w:bookmarkEnd w:id="445"/>
      <w:bookmarkEnd w:id="446"/>
      <w:bookmarkEnd w:id="447"/>
      <w:bookmarkEnd w:id="448"/>
      <w:r>
        <w:rPr>
          <w:rFonts w:hint="eastAsia" w:asciiTheme="minorEastAsia" w:hAnsiTheme="minorEastAsia" w:eastAsiaTheme="minorEastAsia" w:cstheme="minorEastAsia"/>
          <w:color w:val="auto"/>
          <w:highlight w:val="none"/>
        </w:rPr>
        <w:t>磋商邀请</w:t>
      </w:r>
      <w:bookmarkEnd w:id="449"/>
      <w:bookmarkEnd w:id="450"/>
    </w:p>
    <w:p>
      <w:pPr>
        <w:numPr>
          <w:ilvl w:val="0"/>
          <w:numId w:val="0"/>
        </w:numPr>
        <w:jc w:val="center"/>
        <w:rPr>
          <w:rFonts w:hint="eastAsia"/>
          <w:b/>
          <w:bCs/>
          <w:color w:val="auto"/>
          <w:sz w:val="28"/>
          <w:szCs w:val="36"/>
          <w:highlight w:val="none"/>
          <w:lang w:val="en-US" w:eastAsia="zh-CN"/>
        </w:rPr>
      </w:pPr>
      <w:r>
        <w:rPr>
          <w:rFonts w:hint="eastAsia"/>
          <w:b/>
          <w:bCs/>
          <w:color w:val="auto"/>
          <w:sz w:val="28"/>
          <w:szCs w:val="36"/>
          <w:highlight w:val="none"/>
          <w:lang w:val="en-US" w:eastAsia="zh-CN"/>
        </w:rPr>
        <w:t>喀什职业技术学院普通话考试中心建设项目</w:t>
      </w:r>
    </w:p>
    <w:p>
      <w:pPr>
        <w:pStyle w:val="10"/>
        <w:ind w:left="0" w:leftChars="0" w:firstLine="0" w:firstLineChars="0"/>
        <w:jc w:val="center"/>
        <w:rPr>
          <w:rFonts w:hint="default" w:ascii="Times New Roman" w:hAnsi="Times New Roman" w:eastAsia="宋体" w:cs="Times New Roman"/>
          <w:b/>
          <w:bCs/>
          <w:color w:val="auto"/>
          <w:kern w:val="2"/>
          <w:sz w:val="28"/>
          <w:szCs w:val="36"/>
          <w:highlight w:val="none"/>
          <w:lang w:val="en-US" w:eastAsia="zh-CN" w:bidi="ar-SA"/>
        </w:rPr>
      </w:pPr>
      <w:r>
        <w:rPr>
          <w:rFonts w:hint="eastAsia" w:ascii="Times New Roman" w:hAnsi="Times New Roman" w:eastAsia="宋体" w:cs="Times New Roman"/>
          <w:b/>
          <w:bCs/>
          <w:color w:val="auto"/>
          <w:kern w:val="2"/>
          <w:sz w:val="28"/>
          <w:szCs w:val="36"/>
          <w:highlight w:val="none"/>
          <w:lang w:val="en-US" w:eastAsia="zh-CN" w:bidi="ar-SA"/>
        </w:rPr>
        <w:t>竞争性磋商公告</w:t>
      </w:r>
    </w:p>
    <w:p>
      <w:pPr>
        <w:rPr>
          <w:rFonts w:hint="eastAsia" w:asciiTheme="minorEastAsia" w:hAnsiTheme="minorEastAsia" w:eastAsiaTheme="minorEastAsia" w:cstheme="minorEastAsia"/>
          <w:color w:val="auto"/>
          <w:highlight w:val="none"/>
        </w:rPr>
      </w:pPr>
    </w:p>
    <w:p>
      <w:pPr>
        <w:pBdr>
          <w:top w:val="single" w:color="auto" w:sz="4" w:space="1"/>
          <w:left w:val="single" w:color="auto" w:sz="4" w:space="4"/>
          <w:bottom w:val="single" w:color="auto" w:sz="4" w:space="1"/>
          <w:right w:val="single" w:color="auto" w:sz="4" w:space="4"/>
        </w:pBdr>
        <w:spacing w:line="360" w:lineRule="auto"/>
        <w:rPr>
          <w:rFonts w:hint="eastAsia" w:ascii="Times New Roman" w:hAnsi="宋体" w:eastAsia="宋体" w:cs="宋体"/>
          <w:color w:val="auto"/>
          <w:sz w:val="24"/>
          <w:szCs w:val="24"/>
          <w:highlight w:val="none"/>
          <w:lang w:val="en-US" w:eastAsia="zh-CN"/>
        </w:rPr>
      </w:pPr>
      <w:r>
        <w:rPr>
          <w:rFonts w:hint="eastAsia" w:ascii="Times New Roman" w:hAnsi="宋体" w:eastAsia="宋体" w:cs="宋体"/>
          <w:color w:val="auto"/>
          <w:sz w:val="24"/>
          <w:szCs w:val="24"/>
          <w:highlight w:val="none"/>
          <w:lang w:val="en-US" w:eastAsia="zh-CN"/>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 w:val="0"/>
          <w:bCs w:val="0"/>
          <w:color w:val="auto"/>
          <w:sz w:val="24"/>
          <w:szCs w:val="24"/>
          <w:highlight w:val="none"/>
          <w:lang w:eastAsia="zh-CN"/>
        </w:rPr>
      </w:pPr>
      <w:bookmarkStart w:id="451" w:name="_Toc35393621"/>
      <w:bookmarkStart w:id="452" w:name="_Toc28359079"/>
      <w:bookmarkStart w:id="453" w:name="_Toc28359002"/>
      <w:bookmarkStart w:id="454" w:name="_Hlk24379207"/>
      <w:bookmarkStart w:id="455" w:name="_Toc35393790"/>
      <w:r>
        <w:rPr>
          <w:rFonts w:hint="eastAsia" w:hAnsi="宋体" w:cs="宋体"/>
          <w:color w:val="auto"/>
          <w:sz w:val="24"/>
          <w:szCs w:val="24"/>
          <w:highlight w:val="none"/>
          <w:lang w:val="en-US" w:eastAsia="zh-CN"/>
        </w:rPr>
        <w:t>喀什职业技术学院普通话考试中心建设项目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lang w:eastAsia="zh-CN"/>
        </w:rPr>
        <w:t>政采云平台（https://www.zcygov.cn）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lang w:val="en-US" w:eastAsia="zh-CN"/>
        </w:rPr>
        <w:t>2021年12月18日11点00分</w:t>
      </w:r>
      <w:r>
        <w:rPr>
          <w:rFonts w:hint="eastAsia" w:ascii="宋体" w:hAnsi="宋体" w:eastAsia="宋体" w:cs="宋体"/>
          <w:color w:val="auto"/>
          <w:sz w:val="24"/>
          <w:szCs w:val="24"/>
          <w:highlight w:val="none"/>
        </w:rPr>
        <w:t>（北京时间）前提交响应文件</w:t>
      </w:r>
      <w:r>
        <w:rPr>
          <w:rFonts w:hint="eastAsia" w:ascii="宋体" w:hAnsi="宋体" w:eastAsia="宋体" w:cs="宋体"/>
          <w:color w:val="auto"/>
          <w:sz w:val="24"/>
          <w:szCs w:val="24"/>
          <w:highlight w:val="none"/>
          <w:lang w:eastAsia="zh-CN"/>
        </w:rPr>
        <w:t>。</w:t>
      </w:r>
    </w:p>
    <w:bookmarkEnd w:id="451"/>
    <w:bookmarkEnd w:id="452"/>
    <w:bookmarkEnd w:id="453"/>
    <w:bookmarkEnd w:id="454"/>
    <w:bookmarkEnd w:id="455"/>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项目编号：XJXBY(</w:t>
      </w:r>
      <w:r>
        <w:rPr>
          <w:rFonts w:hint="eastAsia" w:hAnsi="宋体" w:cs="宋体"/>
          <w:color w:val="auto"/>
          <w:sz w:val="24"/>
          <w:szCs w:val="24"/>
          <w:highlight w:val="none"/>
          <w:lang w:val="en-US" w:eastAsia="zh-CN"/>
        </w:rPr>
        <w:t>CS</w:t>
      </w:r>
      <w:r>
        <w:rPr>
          <w:rFonts w:hint="eastAsia" w:ascii="宋体" w:hAnsi="宋体" w:eastAsia="宋体" w:cs="宋体"/>
          <w:color w:val="auto"/>
          <w:sz w:val="24"/>
          <w:szCs w:val="24"/>
          <w:highlight w:val="none"/>
          <w:lang w:val="en-US" w:eastAsia="zh-CN"/>
        </w:rPr>
        <w:t xml:space="preserve">)2021-013   </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hAnsi="宋体" w:cs="宋体"/>
          <w:color w:val="auto"/>
          <w:sz w:val="24"/>
          <w:szCs w:val="24"/>
          <w:highlight w:val="none"/>
          <w:lang w:val="en-US" w:eastAsia="zh-CN"/>
        </w:rPr>
        <w:t>喀什职业技术学院普通话考试中心建设项目</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采购方式：□竞争性谈判 </w:t>
      </w:r>
      <w:r>
        <w:rPr>
          <w:rFonts w:hint="eastAsia" w:ascii="宋体" w:hAnsi="宋体" w:eastAsia="宋体" w:cs="宋体"/>
          <w:color w:val="auto"/>
          <w:sz w:val="24"/>
          <w:szCs w:val="24"/>
          <w:highlight w:val="none"/>
          <w:lang w:val="en-US" w:eastAsia="zh-CN"/>
        </w:rPr>
        <w:sym w:font="Wingdings 2" w:char="0052"/>
      </w:r>
      <w:r>
        <w:rPr>
          <w:rFonts w:hint="eastAsia" w:ascii="宋体" w:hAnsi="宋体" w:eastAsia="宋体" w:cs="宋体"/>
          <w:color w:val="auto"/>
          <w:sz w:val="24"/>
          <w:szCs w:val="24"/>
          <w:highlight w:val="none"/>
          <w:lang w:val="en-US" w:eastAsia="zh-CN"/>
        </w:rPr>
        <w:t>竞争性磋商 □询价</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w:t>
      </w:r>
      <w:r>
        <w:rPr>
          <w:rFonts w:hint="eastAsia" w:hAnsi="宋体" w:cs="宋体"/>
          <w:color w:val="auto"/>
          <w:sz w:val="24"/>
          <w:szCs w:val="24"/>
          <w:highlight w:val="none"/>
          <w:lang w:val="en-US" w:eastAsia="zh-CN"/>
        </w:rPr>
        <w:t>1290100.00</w:t>
      </w:r>
      <w:r>
        <w:rPr>
          <w:rFonts w:hint="eastAsia" w:ascii="宋体" w:hAnsi="宋体" w:eastAsia="宋体" w:cs="宋体"/>
          <w:color w:val="auto"/>
          <w:sz w:val="24"/>
          <w:szCs w:val="24"/>
          <w:highlight w:val="none"/>
          <w:lang w:val="en-US" w:eastAsia="zh-CN"/>
        </w:rPr>
        <w:t>元</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hAnsi="宋体" w:cs="宋体"/>
          <w:color w:val="auto"/>
          <w:sz w:val="24"/>
          <w:szCs w:val="24"/>
          <w:highlight w:val="none"/>
          <w:lang w:val="en-US" w:eastAsia="zh-CN"/>
        </w:rPr>
        <w:t>1290100.00</w:t>
      </w:r>
      <w:r>
        <w:rPr>
          <w:rFonts w:hint="eastAsia" w:ascii="宋体" w:hAnsi="宋体" w:eastAsia="宋体" w:cs="宋体"/>
          <w:color w:val="auto"/>
          <w:sz w:val="24"/>
          <w:szCs w:val="24"/>
          <w:highlight w:val="none"/>
          <w:lang w:val="en-US" w:eastAsia="zh-CN"/>
        </w:rPr>
        <w:t>元</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hAnsi="宋体" w:cs="宋体"/>
          <w:color w:val="auto"/>
          <w:sz w:val="24"/>
          <w:szCs w:val="24"/>
          <w:highlight w:val="none"/>
          <w:lang w:val="en-US" w:eastAsia="zh-CN"/>
        </w:rPr>
        <w:t>计算机、网络交换机、普通话模拟测试与学习系统</w:t>
      </w:r>
      <w:r>
        <w:rPr>
          <w:rFonts w:hint="eastAsia" w:ascii="宋体" w:hAnsi="宋体" w:eastAsia="宋体" w:cs="宋体"/>
          <w:color w:val="auto"/>
          <w:sz w:val="24"/>
          <w:szCs w:val="24"/>
          <w:highlight w:val="none"/>
          <w:lang w:val="en-US" w:eastAsia="zh-CN"/>
        </w:rPr>
        <w:t>一批（具体详见</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bookmarkStart w:id="456" w:name="_Toc35393630"/>
      <w:bookmarkStart w:id="457" w:name="_Toc28359090"/>
      <w:bookmarkStart w:id="458" w:name="_Toc35393799"/>
      <w:bookmarkStart w:id="459" w:name="_Toc28359013"/>
      <w:r>
        <w:rPr>
          <w:rFonts w:hint="eastAsia" w:ascii="宋体" w:hAnsi="宋体" w:eastAsia="宋体" w:cs="宋体"/>
          <w:color w:val="auto"/>
          <w:sz w:val="24"/>
          <w:szCs w:val="24"/>
          <w:highlight w:val="none"/>
          <w:lang w:val="en-US" w:eastAsia="zh-CN"/>
        </w:rPr>
        <w:t>数量</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1 </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hAnsi="宋体" w:cs="宋体"/>
          <w:color w:val="auto"/>
          <w:sz w:val="24"/>
          <w:szCs w:val="24"/>
          <w:highlight w:val="none"/>
          <w:lang w:val="en-US" w:eastAsia="zh-CN"/>
        </w:rPr>
        <w:t>1290100.00</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单位：批 </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简要规格描述：计算机、网络交换机、普通话模拟测试与学习系统一批（具体详见磋商文件）  </w:t>
      </w:r>
      <w:bookmarkStart w:id="992" w:name="_GoBack"/>
      <w:bookmarkEnd w:id="992"/>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合同履约期限：自签订合同之日起，25日内完成供货</w:t>
      </w:r>
      <w:r>
        <w:rPr>
          <w:rFonts w:hint="eastAsia" w:hAnsi="宋体" w:cs="宋体"/>
          <w:color w:val="auto"/>
          <w:sz w:val="24"/>
          <w:szCs w:val="24"/>
          <w:highlight w:val="none"/>
          <w:lang w:val="en-US" w:eastAsia="zh-CN"/>
        </w:rPr>
        <w:t>及安装调试完毕</w:t>
      </w:r>
      <w:r>
        <w:rPr>
          <w:rFonts w:hint="eastAsia" w:ascii="宋体" w:hAnsi="宋体" w:eastAsia="宋体" w:cs="宋体"/>
          <w:color w:val="auto"/>
          <w:sz w:val="24"/>
          <w:szCs w:val="24"/>
          <w:highlight w:val="none"/>
          <w:lang w:val="en-US" w:eastAsia="zh-CN"/>
        </w:rPr>
        <w:t>。</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本项目（否）接受联合体投标</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二、申请人的资格要求：</w:t>
      </w:r>
      <w:bookmarkEnd w:id="456"/>
      <w:bookmarkEnd w:id="457"/>
      <w:bookmarkEnd w:id="458"/>
      <w:bookmarkEnd w:id="459"/>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2、落实政府采购政策需满足的资格要求：无</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510" w:lineRule="exact"/>
        <w:ind w:left="420" w:leftChars="200"/>
        <w:textAlignment w:val="auto"/>
        <w:rPr>
          <w:rFonts w:hint="eastAsia" w:asciiTheme="minorEastAsia" w:hAnsiTheme="minorEastAsia" w:eastAsiaTheme="minorEastAsia" w:cstheme="minorEastAsia"/>
          <w:b/>
          <w:bCs/>
          <w:color w:val="auto"/>
          <w:sz w:val="24"/>
          <w:highlight w:val="none"/>
          <w:lang w:val="en-US" w:eastAsia="zh-CN"/>
        </w:rPr>
      </w:pPr>
      <w:bookmarkStart w:id="460" w:name="_Toc35393631"/>
      <w:bookmarkStart w:id="461" w:name="_Toc28359091"/>
      <w:bookmarkStart w:id="462" w:name="_Toc35393800"/>
      <w:bookmarkStart w:id="463" w:name="_Toc28359014"/>
      <w:r>
        <w:rPr>
          <w:rFonts w:hint="eastAsia" w:asciiTheme="minorEastAsia" w:hAnsiTheme="minorEastAsia" w:eastAsiaTheme="minorEastAsia" w:cstheme="minorEastAsia"/>
          <w:b/>
          <w:bCs/>
          <w:color w:val="auto"/>
          <w:sz w:val="24"/>
          <w:highlight w:val="none"/>
          <w:lang w:val="en-US" w:eastAsia="zh-CN"/>
        </w:rPr>
        <w:t>（1）具有合格有效的营业执照副本（三证合一）；</w:t>
      </w:r>
    </w:p>
    <w:p>
      <w:pPr>
        <w:keepNext w:val="0"/>
        <w:keepLines w:val="0"/>
        <w:pageBreakBefore w:val="0"/>
        <w:widowControl w:val="0"/>
        <w:kinsoku/>
        <w:wordWrap/>
        <w:overflowPunct/>
        <w:topLinePunct w:val="0"/>
        <w:autoSpaceDE/>
        <w:autoSpaceDN/>
        <w:bidi w:val="0"/>
        <w:adjustRightInd/>
        <w:snapToGrid/>
        <w:spacing w:line="510" w:lineRule="exact"/>
        <w:ind w:left="420" w:left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（2）依法缴纳近3个月社会保险的凭据；</w:t>
      </w:r>
    </w:p>
    <w:p>
      <w:pPr>
        <w:keepNext w:val="0"/>
        <w:keepLines w:val="0"/>
        <w:pageBreakBefore w:val="0"/>
        <w:widowControl w:val="0"/>
        <w:kinsoku/>
        <w:wordWrap/>
        <w:overflowPunct/>
        <w:topLinePunct w:val="0"/>
        <w:autoSpaceDE/>
        <w:autoSpaceDN/>
        <w:bidi w:val="0"/>
        <w:adjustRightInd/>
        <w:snapToGrid/>
        <w:spacing w:line="510" w:lineRule="exact"/>
        <w:ind w:left="420" w:left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（3）法定代表人授权委托书及被委托人身份证（法定代表人投标提供法定代表人身份证）； </w:t>
      </w:r>
    </w:p>
    <w:p>
      <w:pPr>
        <w:keepNext w:val="0"/>
        <w:keepLines w:val="0"/>
        <w:pageBreakBefore w:val="0"/>
        <w:widowControl w:val="0"/>
        <w:kinsoku/>
        <w:wordWrap/>
        <w:overflowPunct/>
        <w:topLinePunct w:val="0"/>
        <w:autoSpaceDE/>
        <w:autoSpaceDN/>
        <w:bidi w:val="0"/>
        <w:adjustRightInd/>
        <w:snapToGrid/>
        <w:spacing w:line="510" w:lineRule="exact"/>
        <w:ind w:left="420" w:left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（4）2020年度的财务审计报告（注册成立未满一年新公司提供银行资信证明）；</w:t>
      </w:r>
    </w:p>
    <w:p>
      <w:pPr>
        <w:keepNext w:val="0"/>
        <w:keepLines w:val="0"/>
        <w:pageBreakBefore w:val="0"/>
        <w:widowControl w:val="0"/>
        <w:kinsoku/>
        <w:wordWrap/>
        <w:overflowPunct/>
        <w:topLinePunct w:val="0"/>
        <w:autoSpaceDE/>
        <w:autoSpaceDN/>
        <w:bidi w:val="0"/>
        <w:adjustRightInd/>
        <w:snapToGrid/>
        <w:spacing w:line="510" w:lineRule="exact"/>
        <w:ind w:left="420" w:left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（5）具有依法缴纳2021年近3个月的税收良好记录证明（完税证明）；</w:t>
      </w:r>
    </w:p>
    <w:p>
      <w:pPr>
        <w:keepNext w:val="0"/>
        <w:keepLines w:val="0"/>
        <w:pageBreakBefore w:val="0"/>
        <w:widowControl w:val="0"/>
        <w:kinsoku/>
        <w:wordWrap/>
        <w:overflowPunct/>
        <w:topLinePunct w:val="0"/>
        <w:autoSpaceDE/>
        <w:autoSpaceDN/>
        <w:bidi w:val="0"/>
        <w:adjustRightInd/>
        <w:snapToGrid/>
        <w:spacing w:line="510" w:lineRule="exact"/>
        <w:ind w:left="420" w:left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（6）参加政府采购活动前3年内在经营活动中没有重大违法记录的书面声明；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510" w:lineRule="exact"/>
        <w:ind w:left="420" w:left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（7）投标单位（供应商）针对本次项目《反商业贿赂承诺书》书面承诺；</w:t>
      </w:r>
    </w:p>
    <w:p>
      <w:pPr>
        <w:keepNext w:val="0"/>
        <w:keepLines w:val="0"/>
        <w:pageBreakBefore w:val="0"/>
        <w:widowControl w:val="0"/>
        <w:kinsoku/>
        <w:wordWrap/>
        <w:overflowPunct/>
        <w:topLinePunct w:val="0"/>
        <w:autoSpaceDE/>
        <w:autoSpaceDN/>
        <w:bidi w:val="0"/>
        <w:adjustRightInd/>
        <w:snapToGrid/>
        <w:spacing w:line="510" w:lineRule="exact"/>
        <w:ind w:left="420" w:left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8）供应商在“信用中国”网站、国家企业信用信息公示系统未被列入严重违法失信企业名单、重大税收违法案件当事人名单，在中国政府采购网未被列入政府采购严重违法失信行为记录名单及新疆政府采购网未被列入严重违法失信行为信息记录。（以采购代理机构于开标前1个工作日至投标截止后1小时的期间内查询结果为准）</w:t>
      </w:r>
    </w:p>
    <w:p>
      <w:pPr>
        <w:keepNext w:val="0"/>
        <w:keepLines w:val="0"/>
        <w:pageBreakBefore w:val="0"/>
        <w:widowControl w:val="0"/>
        <w:kinsoku/>
        <w:wordWrap/>
        <w:overflowPunct/>
        <w:topLinePunct w:val="0"/>
        <w:autoSpaceDE/>
        <w:autoSpaceDN/>
        <w:bidi w:val="0"/>
        <w:adjustRightInd/>
        <w:snapToGrid/>
        <w:spacing w:line="510" w:lineRule="exact"/>
        <w:ind w:left="420" w:leftChars="200"/>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（9）本项目不接受联合体投标。</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bookmarkEnd w:id="460"/>
      <w:bookmarkEnd w:id="461"/>
      <w:bookmarkEnd w:id="462"/>
      <w:bookmarkEnd w:id="463"/>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bookmarkStart w:id="464" w:name="_Toc35393632"/>
      <w:bookmarkStart w:id="465" w:name="_Toc28359015"/>
      <w:bookmarkStart w:id="466" w:name="_Toc35393801"/>
      <w:bookmarkStart w:id="467" w:name="_Toc28359092"/>
      <w:r>
        <w:rPr>
          <w:rFonts w:hint="eastAsia" w:ascii="宋体" w:hAnsi="宋体" w:eastAsia="宋体" w:cs="宋体"/>
          <w:color w:val="auto"/>
          <w:sz w:val="24"/>
          <w:szCs w:val="24"/>
          <w:highlight w:val="none"/>
          <w:lang w:val="en-US" w:eastAsia="zh-CN"/>
        </w:rPr>
        <w:t>时 间：2021年1</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hAnsi="宋体"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日至2021年1</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日，每天上午10:00至14:00，下午15:30至 19:30（北京时间，法定节假日除外）</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点：政采云平台（https://www.zcygov.cn）</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 式：供应商登陆政采云平台（https://www.zcygov.cn），在线申请获取招标文件（登录政府采购云平台 → 项目采购 → 获取招标文件→申请，审核通过后可下载招标文件，如有操作性问题，可与政采云在线客服进行咨询，咨询电话：400-881-7190）。</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 价：0元</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bookmarkEnd w:id="464"/>
      <w:bookmarkEnd w:id="465"/>
      <w:bookmarkEnd w:id="466"/>
      <w:bookmarkEnd w:id="467"/>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截止时间：</w:t>
      </w:r>
      <w:r>
        <w:rPr>
          <w:rFonts w:hint="eastAsia" w:hAnsi="宋体" w:cs="宋体"/>
          <w:color w:val="auto"/>
          <w:sz w:val="24"/>
          <w:szCs w:val="24"/>
          <w:highlight w:val="none"/>
          <w:lang w:val="en-US" w:eastAsia="zh-CN"/>
        </w:rPr>
        <w:t>2021年12月18日11点00分</w:t>
      </w:r>
      <w:r>
        <w:rPr>
          <w:rFonts w:hint="eastAsia" w:ascii="宋体" w:hAnsi="宋体" w:eastAsia="宋体" w:cs="宋体"/>
          <w:color w:val="auto"/>
          <w:sz w:val="24"/>
          <w:szCs w:val="24"/>
          <w:highlight w:val="none"/>
          <w:lang w:val="en-US" w:eastAsia="zh-CN"/>
        </w:rPr>
        <w:t>（北京时间）</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点：</w:t>
      </w:r>
      <w:r>
        <w:rPr>
          <w:rFonts w:hint="eastAsia" w:hAnsi="宋体" w:cs="宋体"/>
          <w:color w:val="auto"/>
          <w:sz w:val="24"/>
          <w:szCs w:val="24"/>
          <w:highlight w:val="none"/>
          <w:lang w:val="en-US" w:eastAsia="zh-CN"/>
        </w:rPr>
        <w:t>喀什市东城行政审批局西侧设计咨询大厦9-01室</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b/>
          <w:bCs/>
          <w:color w:val="auto"/>
          <w:sz w:val="24"/>
          <w:szCs w:val="24"/>
          <w:highlight w:val="none"/>
          <w:lang w:val="en-US" w:eastAsia="zh-CN"/>
        </w:rPr>
      </w:pPr>
      <w:bookmarkStart w:id="468" w:name="_Toc35393633"/>
      <w:bookmarkStart w:id="469" w:name="_Toc28359093"/>
      <w:bookmarkStart w:id="470" w:name="_Toc35393802"/>
      <w:bookmarkStart w:id="471" w:name="_Toc28359016"/>
      <w:r>
        <w:rPr>
          <w:rFonts w:hint="eastAsia" w:ascii="宋体" w:hAnsi="宋体" w:eastAsia="宋体" w:cs="宋体"/>
          <w:b/>
          <w:bCs/>
          <w:color w:val="auto"/>
          <w:sz w:val="24"/>
          <w:szCs w:val="24"/>
          <w:highlight w:val="none"/>
          <w:lang w:val="en-US" w:eastAsia="zh-CN"/>
        </w:rPr>
        <w:t>五、开启</w:t>
      </w:r>
      <w:bookmarkEnd w:id="468"/>
      <w:bookmarkEnd w:id="469"/>
      <w:bookmarkEnd w:id="470"/>
      <w:bookmarkEnd w:id="471"/>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    间：</w:t>
      </w:r>
      <w:r>
        <w:rPr>
          <w:rFonts w:hint="eastAsia" w:hAnsi="宋体" w:cs="宋体"/>
          <w:color w:val="auto"/>
          <w:sz w:val="24"/>
          <w:szCs w:val="24"/>
          <w:highlight w:val="none"/>
          <w:lang w:val="en-US" w:eastAsia="zh-CN"/>
        </w:rPr>
        <w:t>2021年12月18日11点00分</w:t>
      </w:r>
      <w:r>
        <w:rPr>
          <w:rFonts w:hint="eastAsia" w:ascii="宋体" w:hAnsi="宋体" w:eastAsia="宋体" w:cs="宋体"/>
          <w:color w:val="auto"/>
          <w:sz w:val="24"/>
          <w:szCs w:val="24"/>
          <w:highlight w:val="none"/>
          <w:lang w:val="en-US" w:eastAsia="zh-CN"/>
        </w:rPr>
        <w:t>（北京时间）</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点：</w:t>
      </w:r>
      <w:r>
        <w:rPr>
          <w:rFonts w:hint="eastAsia" w:hAnsi="宋体" w:cs="宋体"/>
          <w:color w:val="auto"/>
          <w:sz w:val="24"/>
          <w:szCs w:val="24"/>
          <w:highlight w:val="none"/>
          <w:lang w:val="en-US" w:eastAsia="zh-CN"/>
        </w:rPr>
        <w:t>喀什市东城行政审批局西侧设计咨询大厦9-01室</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b/>
          <w:bCs/>
          <w:color w:val="auto"/>
          <w:sz w:val="24"/>
          <w:szCs w:val="24"/>
          <w:highlight w:val="none"/>
          <w:lang w:val="en-US" w:eastAsia="zh-CN"/>
        </w:rPr>
      </w:pPr>
      <w:bookmarkStart w:id="472" w:name="_Toc28359094"/>
      <w:bookmarkStart w:id="473" w:name="_Toc35393634"/>
      <w:bookmarkStart w:id="474" w:name="_Toc28359017"/>
      <w:bookmarkStart w:id="475" w:name="_Toc35393803"/>
      <w:r>
        <w:rPr>
          <w:rFonts w:hint="eastAsia" w:ascii="宋体" w:hAnsi="宋体" w:eastAsia="宋体" w:cs="宋体"/>
          <w:b/>
          <w:bCs/>
          <w:color w:val="auto"/>
          <w:sz w:val="24"/>
          <w:szCs w:val="24"/>
          <w:highlight w:val="none"/>
          <w:lang w:val="en-US" w:eastAsia="zh-CN"/>
        </w:rPr>
        <w:t>六、公告期限</w:t>
      </w:r>
      <w:bookmarkEnd w:id="472"/>
      <w:bookmarkEnd w:id="473"/>
      <w:bookmarkEnd w:id="474"/>
      <w:bookmarkEnd w:id="475"/>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自本公告发布之日起3个工作日。</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b/>
          <w:bCs/>
          <w:color w:val="auto"/>
          <w:sz w:val="24"/>
          <w:szCs w:val="24"/>
          <w:highlight w:val="none"/>
          <w:lang w:val="en-US" w:eastAsia="zh-CN"/>
        </w:rPr>
      </w:pPr>
      <w:bookmarkStart w:id="476" w:name="_Toc35393635"/>
      <w:bookmarkStart w:id="477" w:name="_Toc35393804"/>
      <w:r>
        <w:rPr>
          <w:rFonts w:hint="eastAsia" w:ascii="宋体" w:hAnsi="宋体" w:eastAsia="宋体" w:cs="宋体"/>
          <w:b/>
          <w:bCs/>
          <w:color w:val="auto"/>
          <w:sz w:val="24"/>
          <w:szCs w:val="24"/>
          <w:highlight w:val="none"/>
          <w:lang w:val="en-US" w:eastAsia="zh-CN"/>
        </w:rPr>
        <w:t>七、其他补充事宜</w:t>
      </w:r>
      <w:bookmarkEnd w:id="476"/>
      <w:bookmarkEnd w:id="477"/>
    </w:p>
    <w:p>
      <w:pPr>
        <w:pStyle w:val="10"/>
        <w:keepNext w:val="0"/>
        <w:keepLines w:val="0"/>
        <w:pageBreakBefore w:val="0"/>
        <w:widowControl w:val="0"/>
        <w:kinsoku/>
        <w:wordWrap/>
        <w:overflowPunct/>
        <w:topLinePunct w:val="0"/>
        <w:bidi w:val="0"/>
        <w:snapToGrid/>
        <w:spacing w:line="510" w:lineRule="exact"/>
        <w:ind w:firstLine="960" w:firstLineChars="400"/>
        <w:textAlignment w:val="auto"/>
        <w:rPr>
          <w:rFonts w:hint="eastAsia" w:hAnsi="宋体" w:cs="宋体"/>
          <w:color w:val="auto"/>
          <w:sz w:val="24"/>
          <w:szCs w:val="24"/>
          <w:highlight w:val="none"/>
          <w:lang w:val="en-US" w:eastAsia="zh-CN"/>
        </w:rPr>
      </w:pPr>
      <w:bookmarkStart w:id="478" w:name="_Toc28359095"/>
      <w:bookmarkStart w:id="479" w:name="_Toc28359018"/>
      <w:bookmarkStart w:id="480" w:name="_Toc35393805"/>
      <w:bookmarkStart w:id="481" w:name="_Toc35393636"/>
      <w:r>
        <w:rPr>
          <w:rFonts w:hint="eastAsia" w:hAnsi="宋体" w:cs="宋体"/>
          <w:color w:val="auto"/>
          <w:sz w:val="24"/>
          <w:szCs w:val="24"/>
          <w:highlight w:val="none"/>
          <w:lang w:val="en-US" w:eastAsia="zh-CN"/>
        </w:rPr>
        <w:t>无</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八、凡对本次采购提出询问，请按以下方式联系。</w:t>
      </w:r>
      <w:bookmarkEnd w:id="478"/>
      <w:bookmarkEnd w:id="479"/>
      <w:bookmarkEnd w:id="480"/>
      <w:bookmarkEnd w:id="481"/>
      <w:bookmarkStart w:id="482" w:name="_Toc28359096"/>
      <w:bookmarkStart w:id="483" w:name="_Toc35393806"/>
      <w:bookmarkStart w:id="484" w:name="_Toc28359019"/>
      <w:bookmarkStart w:id="485" w:name="_Toc35393637"/>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bookmarkEnd w:id="482"/>
      <w:bookmarkEnd w:id="483"/>
      <w:bookmarkEnd w:id="484"/>
      <w:bookmarkEnd w:id="485"/>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hAnsi="宋体" w:cs="宋体"/>
          <w:color w:val="auto"/>
          <w:sz w:val="24"/>
          <w:szCs w:val="24"/>
          <w:highlight w:val="none"/>
          <w:lang w:val="en-US" w:eastAsia="zh-CN"/>
        </w:rPr>
        <w:t>喀什职业技术学院</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hAnsi="宋体" w:cs="宋体"/>
          <w:color w:val="auto"/>
          <w:sz w:val="24"/>
          <w:szCs w:val="24"/>
          <w:highlight w:val="none"/>
          <w:lang w:val="en-US" w:eastAsia="zh-CN"/>
        </w:rPr>
        <w:t>喀什职业技术学院</w:t>
      </w:r>
      <w:r>
        <w:rPr>
          <w:rFonts w:hint="eastAsia" w:ascii="宋体" w:hAnsi="宋体" w:eastAsia="宋体" w:cs="宋体"/>
          <w:color w:val="auto"/>
          <w:sz w:val="24"/>
          <w:szCs w:val="24"/>
          <w:highlight w:val="none"/>
          <w:lang w:val="en-US" w:eastAsia="zh-CN"/>
        </w:rPr>
        <w:t xml:space="preserve">  　      　　</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ascii="仿宋" w:hAnsi="仿宋" w:eastAsia="仿宋" w:cs="仿宋"/>
          <w:i w:val="0"/>
          <w:iCs w:val="0"/>
          <w:caps w:val="0"/>
          <w:color w:val="auto"/>
          <w:spacing w:val="0"/>
          <w:sz w:val="27"/>
          <w:szCs w:val="27"/>
          <w:highlight w:val="none"/>
        </w:rPr>
        <w:t>18193369033</w:t>
      </w:r>
      <w:r>
        <w:rPr>
          <w:rFonts w:hint="eastAsia" w:ascii="宋体" w:hAnsi="宋体" w:eastAsia="宋体" w:cs="宋体"/>
          <w:color w:val="auto"/>
          <w:sz w:val="24"/>
          <w:szCs w:val="24"/>
          <w:highlight w:val="none"/>
          <w:lang w:val="en-US" w:eastAsia="zh-CN"/>
        </w:rPr>
        <w:t xml:space="preserve">     　　 </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bookmarkStart w:id="486" w:name="_Toc28359020"/>
      <w:bookmarkStart w:id="487" w:name="_Toc35393638"/>
      <w:bookmarkStart w:id="488" w:name="_Toc28359097"/>
      <w:bookmarkStart w:id="489" w:name="_Toc35393807"/>
      <w:r>
        <w:rPr>
          <w:rFonts w:hint="eastAsia" w:ascii="宋体" w:hAnsi="宋体" w:eastAsia="宋体" w:cs="宋体"/>
          <w:color w:val="auto"/>
          <w:sz w:val="24"/>
          <w:szCs w:val="24"/>
          <w:highlight w:val="none"/>
          <w:lang w:val="en-US" w:eastAsia="zh-CN"/>
        </w:rPr>
        <w:t>2.采购代理机构信息</w:t>
      </w:r>
      <w:bookmarkEnd w:id="486"/>
      <w:bookmarkEnd w:id="487"/>
      <w:bookmarkEnd w:id="488"/>
      <w:bookmarkEnd w:id="489"/>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hAnsi="宋体" w:cs="宋体"/>
          <w:color w:val="auto"/>
          <w:sz w:val="24"/>
          <w:szCs w:val="24"/>
          <w:highlight w:val="none"/>
          <w:lang w:val="en-US" w:eastAsia="zh-CN"/>
        </w:rPr>
        <w:t>新疆鑫倍源工程项目管理有限公司</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hAnsi="宋体" w:cs="宋体"/>
          <w:color w:val="auto"/>
          <w:sz w:val="24"/>
          <w:szCs w:val="24"/>
          <w:highlight w:val="none"/>
          <w:lang w:val="en-US" w:eastAsia="zh-CN"/>
        </w:rPr>
        <w:t>喀什市东城行政审批局西侧设计咨询大厦9-01室</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hAnsi="宋体" w:cs="宋体"/>
          <w:color w:val="auto"/>
          <w:sz w:val="24"/>
          <w:szCs w:val="24"/>
          <w:highlight w:val="none"/>
          <w:lang w:val="en-US" w:eastAsia="zh-CN"/>
        </w:rPr>
        <w:t>13899169116</w:t>
      </w:r>
      <w:r>
        <w:rPr>
          <w:rFonts w:hint="eastAsia" w:ascii="宋体" w:hAnsi="宋体" w:eastAsia="宋体" w:cs="宋体"/>
          <w:color w:val="auto"/>
          <w:sz w:val="24"/>
          <w:szCs w:val="24"/>
          <w:highlight w:val="none"/>
          <w:lang w:val="en-US" w:eastAsia="zh-CN"/>
        </w:rPr>
        <w:t>　　　　　</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bookmarkStart w:id="490" w:name="_Toc35393639"/>
      <w:bookmarkStart w:id="491" w:name="_Toc28359021"/>
      <w:bookmarkStart w:id="492" w:name="_Toc35393808"/>
      <w:bookmarkStart w:id="493" w:name="_Toc28359098"/>
      <w:r>
        <w:rPr>
          <w:rFonts w:hint="eastAsia" w:ascii="宋体" w:hAnsi="宋体" w:eastAsia="宋体" w:cs="宋体"/>
          <w:color w:val="auto"/>
          <w:sz w:val="24"/>
          <w:szCs w:val="24"/>
          <w:highlight w:val="none"/>
          <w:lang w:val="en-US" w:eastAsia="zh-CN"/>
        </w:rPr>
        <w:t>3.项目联系方式</w:t>
      </w:r>
      <w:bookmarkEnd w:id="490"/>
      <w:bookmarkEnd w:id="491"/>
      <w:bookmarkEnd w:id="492"/>
      <w:bookmarkEnd w:id="493"/>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w:t>
      </w:r>
      <w:r>
        <w:rPr>
          <w:rFonts w:hint="eastAsia" w:hAnsi="宋体" w:cs="宋体"/>
          <w:color w:val="auto"/>
          <w:sz w:val="24"/>
          <w:szCs w:val="24"/>
          <w:highlight w:val="none"/>
          <w:lang w:val="en-US" w:eastAsia="zh-CN"/>
        </w:rPr>
        <w:t>杨红</w:t>
      </w:r>
      <w:r>
        <w:rPr>
          <w:rFonts w:hint="eastAsia" w:ascii="宋体" w:hAnsi="宋体" w:eastAsia="宋体" w:cs="宋体"/>
          <w:color w:val="auto"/>
          <w:sz w:val="24"/>
          <w:szCs w:val="24"/>
          <w:highlight w:val="none"/>
          <w:lang w:val="en-US" w:eastAsia="zh-CN"/>
        </w:rPr>
        <w:t xml:space="preserve">            </w:t>
      </w:r>
    </w:p>
    <w:p>
      <w:pPr>
        <w:pStyle w:val="10"/>
        <w:keepNext w:val="0"/>
        <w:keepLines w:val="0"/>
        <w:pageBreakBefore w:val="0"/>
        <w:widowControl w:val="0"/>
        <w:kinsoku/>
        <w:wordWrap/>
        <w:overflowPunct/>
        <w:topLinePunct w:val="0"/>
        <w:bidi w:val="0"/>
        <w:snapToGrid/>
        <w:spacing w:line="510" w:lineRule="exact"/>
        <w:textAlignment w:val="auto"/>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hAnsi="宋体" w:cs="宋体"/>
          <w:color w:val="auto"/>
          <w:sz w:val="24"/>
          <w:szCs w:val="24"/>
          <w:highlight w:val="none"/>
          <w:lang w:val="en-US" w:eastAsia="zh-CN"/>
        </w:rPr>
        <w:t>13899169116</w:t>
      </w:r>
      <w:r>
        <w:rPr>
          <w:rFonts w:hint="eastAsia" w:ascii="宋体" w:hAnsi="宋体" w:eastAsia="宋体" w:cs="宋体"/>
          <w:color w:val="auto"/>
          <w:sz w:val="20"/>
          <w:szCs w:val="22"/>
          <w:highlight w:val="none"/>
          <w:lang w:val="en-US" w:eastAsia="zh-CN"/>
        </w:rPr>
        <w:t xml:space="preserve">   　　　</w:t>
      </w:r>
    </w:p>
    <w:p>
      <w:pPr>
        <w:pStyle w:val="10"/>
        <w:spacing w:line="360" w:lineRule="auto"/>
        <w:rPr>
          <w:rFonts w:hint="eastAsia" w:ascii="宋体" w:hAnsi="宋体" w:eastAsia="宋体" w:cs="宋体"/>
          <w:color w:val="auto"/>
          <w:sz w:val="20"/>
          <w:szCs w:val="22"/>
          <w:highlight w:val="none"/>
        </w:rPr>
      </w:pPr>
    </w:p>
    <w:p>
      <w:pPr>
        <w:spacing w:line="360" w:lineRule="auto"/>
        <w:rPr>
          <w:rFonts w:hint="eastAsia" w:ascii="宋体" w:hAnsi="宋体" w:eastAsia="宋体" w:cs="宋体"/>
          <w:color w:val="auto"/>
          <w:sz w:val="20"/>
          <w:szCs w:val="22"/>
          <w:highlight w:val="none"/>
        </w:rPr>
      </w:pPr>
    </w:p>
    <w:p>
      <w:pPr>
        <w:pStyle w:val="5"/>
        <w:rPr>
          <w:rFonts w:hint="eastAsia" w:ascii="宋体" w:hAnsi="宋体" w:eastAsia="宋体" w:cs="宋体"/>
          <w:color w:val="auto"/>
          <w:sz w:val="20"/>
          <w:szCs w:val="22"/>
          <w:highlight w:val="none"/>
        </w:rPr>
      </w:pPr>
    </w:p>
    <w:p>
      <w:pPr>
        <w:rPr>
          <w:rFonts w:hint="eastAsia" w:ascii="宋体" w:hAnsi="宋体" w:eastAsia="宋体" w:cs="宋体"/>
          <w:color w:val="auto"/>
          <w:sz w:val="20"/>
          <w:szCs w:val="22"/>
          <w:highlight w:val="none"/>
        </w:rPr>
      </w:pPr>
    </w:p>
    <w:p>
      <w:pPr>
        <w:pStyle w:val="5"/>
        <w:rPr>
          <w:rFonts w:hint="eastAsia" w:ascii="宋体" w:hAnsi="宋体" w:eastAsia="宋体" w:cs="宋体"/>
          <w:color w:val="auto"/>
          <w:sz w:val="20"/>
          <w:szCs w:val="22"/>
          <w:highlight w:val="none"/>
        </w:rPr>
      </w:pPr>
    </w:p>
    <w:p>
      <w:pPr>
        <w:pStyle w:val="3"/>
        <w:rPr>
          <w:rFonts w:hint="eastAsia"/>
          <w:color w:val="auto"/>
          <w:highlight w:val="none"/>
        </w:rPr>
      </w:pPr>
    </w:p>
    <w:p>
      <w:pPr>
        <w:rPr>
          <w:rFonts w:hint="eastAsia"/>
          <w:color w:val="auto"/>
          <w:highlight w:val="none"/>
        </w:rPr>
      </w:pPr>
    </w:p>
    <w:p>
      <w:pPr>
        <w:pStyle w:val="2"/>
        <w:rPr>
          <w:rFonts w:hint="eastAsia"/>
          <w:color w:val="auto"/>
          <w:highlight w:val="none"/>
        </w:rPr>
      </w:pPr>
    </w:p>
    <w:p>
      <w:pPr>
        <w:spacing w:line="240" w:lineRule="atLeast"/>
        <w:jc w:val="center"/>
        <w:outlineLvl w:val="0"/>
        <w:rPr>
          <w:rFonts w:hint="eastAsia" w:asciiTheme="minorEastAsia" w:hAnsiTheme="minorEastAsia" w:eastAsiaTheme="minorEastAsia" w:cstheme="minorEastAsia"/>
          <w:b/>
          <w:bCs/>
          <w:color w:val="auto"/>
          <w:sz w:val="30"/>
          <w:szCs w:val="30"/>
          <w:highlight w:val="none"/>
        </w:rPr>
      </w:pPr>
    </w:p>
    <w:p>
      <w:pP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br w:type="page"/>
      </w:r>
    </w:p>
    <w:p>
      <w:pPr>
        <w:spacing w:line="240" w:lineRule="atLeast"/>
        <w:jc w:val="center"/>
        <w:outlineLvl w:val="0"/>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 xml:space="preserve">第三章 </w:t>
      </w:r>
      <w:r>
        <w:rPr>
          <w:rFonts w:hint="eastAsia" w:asciiTheme="minorEastAsia" w:hAnsiTheme="minorEastAsia" w:eastAsiaTheme="minorEastAsia" w:cstheme="minorEastAsia"/>
          <w:b/>
          <w:bCs/>
          <w:color w:val="auto"/>
          <w:sz w:val="30"/>
          <w:szCs w:val="30"/>
          <w:highlight w:val="none"/>
          <w:lang w:eastAsia="zh-CN"/>
        </w:rPr>
        <w:t>供应商</w:t>
      </w:r>
      <w:r>
        <w:rPr>
          <w:rFonts w:hint="eastAsia" w:asciiTheme="minorEastAsia" w:hAnsiTheme="minorEastAsia" w:eastAsiaTheme="minorEastAsia" w:cstheme="minorEastAsia"/>
          <w:b/>
          <w:bCs/>
          <w:color w:val="auto"/>
          <w:sz w:val="30"/>
          <w:szCs w:val="30"/>
          <w:highlight w:val="none"/>
        </w:rPr>
        <w:t>须知资料表</w:t>
      </w:r>
    </w:p>
    <w:p>
      <w:pPr>
        <w:spacing w:line="240" w:lineRule="atLeas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本表是本项目的具体资料，是对</w:t>
      </w: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须知的具体补充和修改，如有矛盾，应以本资料表为准</w:t>
      </w:r>
      <w:r>
        <w:rPr>
          <w:rFonts w:hint="eastAsia" w:asciiTheme="minorEastAsia" w:hAnsiTheme="minorEastAsia" w:eastAsiaTheme="minorEastAsia" w:cstheme="minorEastAsia"/>
          <w:color w:val="auto"/>
          <w:sz w:val="24"/>
          <w:highlight w:val="none"/>
        </w:rPr>
        <w:t>。</w:t>
      </w:r>
    </w:p>
    <w:tbl>
      <w:tblPr>
        <w:tblStyle w:val="34"/>
        <w:tblW w:w="0" w:type="auto"/>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5"/>
        <w:gridCol w:w="83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条款号</w:t>
            </w:r>
          </w:p>
        </w:tc>
        <w:tc>
          <w:tcPr>
            <w:tcW w:w="8385" w:type="dxa"/>
            <w:vAlign w:val="center"/>
          </w:tcPr>
          <w:p>
            <w:pPr>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5" w:type="dxa"/>
            <w:vAlign w:val="center"/>
          </w:tcPr>
          <w:p>
            <w:pPr>
              <w:spacing w:line="240" w:lineRule="atLeas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83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采</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购</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lang w:val="en-US" w:eastAsia="zh-CN"/>
              </w:rPr>
              <w:t>喀什职业技术学院</w:t>
            </w:r>
          </w:p>
          <w:p>
            <w:pPr>
              <w:pStyle w:val="5"/>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val="0"/>
                <w:color w:val="auto"/>
                <w:kern w:val="2"/>
                <w:sz w:val="24"/>
                <w:szCs w:val="24"/>
                <w:highlight w:val="none"/>
                <w:lang w:val="en-US" w:eastAsia="zh-CN" w:bidi="ar-SA"/>
              </w:rPr>
            </w:pPr>
            <w:r>
              <w:rPr>
                <w:rFonts w:hint="default" w:asciiTheme="minorEastAsia" w:hAnsiTheme="minorEastAsia" w:eastAsiaTheme="minorEastAsia" w:cstheme="minorEastAsia"/>
                <w:b w:val="0"/>
                <w:color w:val="auto"/>
                <w:kern w:val="2"/>
                <w:sz w:val="24"/>
                <w:szCs w:val="24"/>
                <w:highlight w:val="none"/>
                <w:lang w:val="en-US" w:eastAsia="zh-CN" w:bidi="ar-SA"/>
              </w:rPr>
              <w:t>地    址：</w:t>
            </w:r>
            <w:r>
              <w:rPr>
                <w:rFonts w:hint="eastAsia" w:asciiTheme="minorEastAsia" w:hAnsiTheme="minorEastAsia" w:eastAsiaTheme="minorEastAsia" w:cstheme="minorEastAsia"/>
                <w:b w:val="0"/>
                <w:color w:val="auto"/>
                <w:kern w:val="2"/>
                <w:sz w:val="24"/>
                <w:szCs w:val="24"/>
                <w:highlight w:val="none"/>
                <w:lang w:val="en-US" w:eastAsia="zh-CN" w:bidi="ar-SA"/>
              </w:rPr>
              <w:t>喀什职业技术学院</w:t>
            </w:r>
            <w:r>
              <w:rPr>
                <w:rFonts w:hint="default" w:asciiTheme="minorEastAsia" w:hAnsiTheme="minorEastAsia" w:eastAsiaTheme="minorEastAsia" w:cstheme="minorEastAsia"/>
                <w:b w:val="0"/>
                <w:color w:val="auto"/>
                <w:kern w:val="2"/>
                <w:sz w:val="24"/>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val="en-US" w:eastAsia="zh-CN"/>
              </w:rPr>
              <w:t>张浩</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话：</w:t>
            </w:r>
            <w:r>
              <w:rPr>
                <w:rFonts w:hint="eastAsia" w:ascii="宋体" w:hAnsi="宋体" w:cs="宋体"/>
                <w:color w:val="auto"/>
                <w:sz w:val="24"/>
                <w:szCs w:val="24"/>
                <w:highlight w:val="none"/>
                <w:lang w:val="en-US" w:eastAsia="zh-CN"/>
              </w:rPr>
              <w:t>18193369033</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83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采购代理机构：</w:t>
            </w:r>
            <w:r>
              <w:rPr>
                <w:rFonts w:hint="eastAsia" w:asciiTheme="minorEastAsia" w:hAnsiTheme="minorEastAsia" w:eastAsiaTheme="minorEastAsia" w:cstheme="minorEastAsia"/>
                <w:color w:val="auto"/>
                <w:sz w:val="24"/>
                <w:highlight w:val="none"/>
                <w:lang w:eastAsia="zh-CN"/>
              </w:rPr>
              <w:t>新疆鑫倍源工程项目管理有限公司</w:t>
            </w:r>
            <w:r>
              <w:rPr>
                <w:rFonts w:hint="eastAsia" w:asciiTheme="minorEastAsia" w:hAnsiTheme="minorEastAsia" w:eastAsiaTheme="minorEastAsia" w:cstheme="minorEastAsia"/>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址：</w:t>
            </w:r>
            <w:r>
              <w:rPr>
                <w:rFonts w:hint="eastAsia" w:asciiTheme="minorEastAsia" w:hAnsiTheme="minorEastAsia" w:eastAsiaTheme="minorEastAsia" w:cstheme="minorEastAsia"/>
                <w:color w:val="auto"/>
                <w:sz w:val="24"/>
                <w:highlight w:val="none"/>
                <w:lang w:val="en-US" w:eastAsia="zh-CN"/>
              </w:rPr>
              <w:t>喀什市东城行政审批局西侧设计咨询大厦9-01室</w:t>
            </w:r>
            <w:r>
              <w:rPr>
                <w:rFonts w:hint="eastAsia" w:asciiTheme="minorEastAsia" w:hAnsiTheme="minorEastAsia" w:eastAsiaTheme="minorEastAsia" w:cstheme="minorEastAsia"/>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lang w:eastAsia="zh-CN"/>
              </w:rPr>
              <w:t>杨红</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话：</w:t>
            </w:r>
            <w:r>
              <w:rPr>
                <w:rFonts w:hint="eastAsia" w:asciiTheme="minorEastAsia" w:hAnsiTheme="minorEastAsia" w:eastAsiaTheme="minorEastAsia" w:cstheme="minorEastAsia"/>
                <w:color w:val="auto"/>
                <w:sz w:val="24"/>
                <w:highlight w:val="none"/>
                <w:lang w:val="en-US" w:eastAsia="zh-CN"/>
              </w:rPr>
              <w:t>13899169116</w:t>
            </w:r>
            <w:r>
              <w:rPr>
                <w:rFonts w:hint="eastAsia" w:asciiTheme="minorEastAsia" w:hAnsiTheme="minorEastAsia" w:eastAsiaTheme="minorEastAsia" w:cstheme="minorEastAsia"/>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5" w:type="dxa"/>
            <w:vAlign w:val="center"/>
          </w:tcPr>
          <w:p>
            <w:pPr>
              <w:widowControl/>
              <w:spacing w:line="3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w:t>
            </w:r>
          </w:p>
        </w:tc>
        <w:tc>
          <w:tcPr>
            <w:tcW w:w="8385" w:type="dxa"/>
            <w:vAlign w:val="center"/>
          </w:tcPr>
          <w:p>
            <w:pPr>
              <w:widowControl/>
              <w:spacing w:line="340" w:lineRule="exact"/>
              <w:jc w:val="left"/>
              <w:rPr>
                <w:rFonts w:hint="eastAsia"/>
                <w:color w:val="auto"/>
                <w:sz w:val="24"/>
                <w:szCs w:val="32"/>
                <w:highlight w:val="none"/>
              </w:rPr>
            </w:pPr>
            <w:r>
              <w:rPr>
                <w:rFonts w:hint="eastAsia"/>
                <w:color w:val="auto"/>
                <w:sz w:val="24"/>
                <w:szCs w:val="32"/>
                <w:highlight w:val="none"/>
              </w:rPr>
              <w:t>合格</w:t>
            </w:r>
            <w:r>
              <w:rPr>
                <w:rFonts w:hint="eastAsia"/>
                <w:color w:val="auto"/>
                <w:sz w:val="24"/>
                <w:szCs w:val="32"/>
                <w:highlight w:val="none"/>
                <w:lang w:eastAsia="zh-CN"/>
              </w:rPr>
              <w:t>供应商</w:t>
            </w:r>
            <w:r>
              <w:rPr>
                <w:rFonts w:hint="eastAsia"/>
                <w:color w:val="auto"/>
                <w:sz w:val="24"/>
                <w:szCs w:val="32"/>
                <w:highlight w:val="none"/>
              </w:rPr>
              <w:t>的其他资格要求：</w:t>
            </w:r>
          </w:p>
          <w:p>
            <w:pPr>
              <w:ind w:firstLine="480" w:firstLineChars="200"/>
              <w:rPr>
                <w:rFonts w:hint="eastAsia"/>
                <w:color w:val="auto"/>
                <w:sz w:val="24"/>
                <w:szCs w:val="32"/>
                <w:highlight w:val="none"/>
              </w:rPr>
            </w:pPr>
            <w:r>
              <w:rPr>
                <w:rFonts w:hint="eastAsia"/>
                <w:color w:val="auto"/>
                <w:sz w:val="24"/>
                <w:szCs w:val="32"/>
                <w:highlight w:val="none"/>
              </w:rPr>
              <w:t>参加本次</w:t>
            </w:r>
            <w:r>
              <w:rPr>
                <w:rFonts w:hint="eastAsia"/>
                <w:color w:val="auto"/>
                <w:sz w:val="24"/>
                <w:szCs w:val="32"/>
                <w:highlight w:val="none"/>
                <w:lang w:eastAsia="zh-CN"/>
              </w:rPr>
              <w:t>竞争性磋商</w:t>
            </w:r>
            <w:r>
              <w:rPr>
                <w:rFonts w:hint="eastAsia"/>
                <w:color w:val="auto"/>
                <w:sz w:val="24"/>
                <w:szCs w:val="32"/>
                <w:highlight w:val="none"/>
              </w:rPr>
              <w:t>的供应商除符合《中华人民共和国政府采购法》第二十二条规定的条件外，还需满足下列要求：</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（1）具有合格有效的营业执照副本（三证合一）；</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（2）依法缴纳近3个月社会保险的凭据；</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（3）法定代表人授权委托书及被委托人身份证（法定代表人投标提供法定代表人身份证）； </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（4）2020年度的财务审计报告（注册成立未满一年新公司提供银行资信证明）；</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（5）具有依法缴纳2021年近3个月的税收良好记录证明（完税证明）；</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（6）参加政府采购活动前3年内在经营活动中没有重大违法记录的书面声明；</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（7）投标单位（供应商）针对本次项目《反商业贿赂承诺书》书面承诺；</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（8）磋商保证金有效凭证；</w:t>
            </w:r>
          </w:p>
          <w:p>
            <w:pPr>
              <w:spacing w:line="400" w:lineRule="exac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9）供应商在“信用中国”网站、国家企业信用信息公示系统未被列入严重违法失信企业名单、重大税收违法案件当事人名单，在中国政府采购网未被列入政府采购严重违法失信行为记录名单及新疆政府采购网未被列入严重违法失信行为信息记录。（以采购代理机构于开标前1个工作日至投标截止后1小时的期间内查询结果为准）</w:t>
            </w:r>
          </w:p>
          <w:p>
            <w:pPr>
              <w:spacing w:line="400" w:lineRule="exact"/>
              <w:rPr>
                <w:rFonts w:hint="eastAsia"/>
                <w:color w:val="auto"/>
                <w:highlight w:val="none"/>
              </w:rPr>
            </w:pPr>
            <w:r>
              <w:rPr>
                <w:rFonts w:hint="eastAsia" w:asciiTheme="minorEastAsia" w:hAnsiTheme="minorEastAsia" w:eastAsiaTheme="minorEastAsia" w:cstheme="minorEastAsia"/>
                <w:b/>
                <w:bCs/>
                <w:color w:val="auto"/>
                <w:sz w:val="24"/>
                <w:highlight w:val="none"/>
                <w:lang w:val="en-US" w:eastAsia="zh-CN"/>
              </w:rPr>
              <w:t>（10）本项目不接受联合体投标。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是否允许采购进口产品：</w:t>
            </w:r>
            <w:r>
              <w:rPr>
                <w:rFonts w:hint="eastAsia" w:asciiTheme="minorEastAsia" w:hAnsiTheme="minorEastAsia" w:eastAsiaTheme="minorEastAsia" w:cstheme="minorEastAsia"/>
                <w:color w:val="auto"/>
                <w:sz w:val="24"/>
                <w:highlight w:val="none"/>
                <w:u w:val="single"/>
              </w:rPr>
              <w:t>否</w:t>
            </w:r>
            <w:r>
              <w:rPr>
                <w:rFonts w:hint="eastAsia" w:asciiTheme="minorEastAsia" w:hAnsiTheme="minorEastAsia" w:eastAsiaTheme="minorEastAsia" w:cstheme="minorEastAsia"/>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035" w:type="dxa"/>
            <w:vAlign w:val="center"/>
          </w:tcPr>
          <w:p>
            <w:pPr>
              <w:spacing w:line="240" w:lineRule="atLeas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1.3.6</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宋体" w:hAnsi="宋体" w:cs="宋体"/>
                <w:color w:val="auto"/>
                <w:sz w:val="24"/>
                <w:highlight w:val="none"/>
              </w:rPr>
              <w:t>是否为</w:t>
            </w:r>
            <w:r>
              <w:rPr>
                <w:rFonts w:hint="eastAsia" w:ascii="宋体" w:hAnsi="宋体" w:cs="宋体"/>
                <w:color w:val="auto"/>
                <w:sz w:val="24"/>
                <w:highlight w:val="none"/>
                <w:lang w:val="en-US" w:eastAsia="zh-CN"/>
              </w:rPr>
              <w:t>专门</w:t>
            </w:r>
            <w:r>
              <w:rPr>
                <w:rFonts w:hint="eastAsia" w:ascii="宋体" w:hAnsi="宋体" w:cs="宋体"/>
                <w:color w:val="auto"/>
                <w:sz w:val="24"/>
                <w:highlight w:val="none"/>
              </w:rPr>
              <w:t>面向中小企业采购：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1.4.8</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是否允许联合体</w:t>
            </w:r>
            <w:r>
              <w:rPr>
                <w:rFonts w:hint="eastAsia" w:asciiTheme="minorEastAsia" w:hAnsiTheme="minorEastAsia" w:eastAsiaTheme="minorEastAsia" w:cstheme="minorEastAsia"/>
                <w:color w:val="auto"/>
                <w:sz w:val="24"/>
                <w:highlight w:val="none"/>
                <w:lang w:eastAsia="zh-CN"/>
              </w:rPr>
              <w:t>递交响应文件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否</w:t>
            </w:r>
            <w:r>
              <w:rPr>
                <w:rFonts w:hint="eastAsia" w:asciiTheme="minorEastAsia" w:hAnsiTheme="minorEastAsia" w:eastAsiaTheme="minorEastAsia" w:cstheme="minorEastAsia"/>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6"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项目预算金额：</w:t>
            </w:r>
            <w:r>
              <w:rPr>
                <w:rFonts w:hint="eastAsia" w:hAnsi="宋体" w:cs="宋体"/>
                <w:color w:val="auto"/>
                <w:kern w:val="0"/>
                <w:sz w:val="24"/>
                <w:szCs w:val="24"/>
                <w:highlight w:val="none"/>
                <w:lang w:val="en-US" w:eastAsia="zh-CN" w:bidi="ar-SA"/>
              </w:rPr>
              <w:t>1290100.00元（供应商投标报价不允许超过此预算金额）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8385" w:type="dxa"/>
            <w:vAlign w:val="center"/>
          </w:tcPr>
          <w:p>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保证金形式：</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保函</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电汇</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支</w:t>
            </w:r>
            <w:r>
              <w:rPr>
                <w:rFonts w:hint="eastAsia" w:asciiTheme="minorEastAsia" w:hAnsiTheme="minorEastAsia" w:eastAsiaTheme="minorEastAsia" w:cstheme="minorEastAsia"/>
                <w:color w:val="auto"/>
                <w:sz w:val="24"/>
                <w:highlight w:val="none"/>
              </w:rPr>
              <w:t>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对公转账（必须从投标单位基本账户转出）</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保证金数额：</w:t>
            </w:r>
            <w:r>
              <w:rPr>
                <w:rFonts w:hint="eastAsia" w:asciiTheme="minorEastAsia" w:hAnsiTheme="minorEastAsia" w:eastAsiaTheme="minorEastAsia" w:cstheme="minorEastAsia"/>
                <w:color w:val="auto"/>
                <w:sz w:val="24"/>
                <w:highlight w:val="none"/>
                <w:lang w:val="en-US" w:eastAsia="zh-CN"/>
              </w:rPr>
              <w:t>20000</w:t>
            </w:r>
            <w:r>
              <w:rPr>
                <w:rFonts w:hint="eastAsia" w:asciiTheme="minorEastAsia" w:hAnsiTheme="minorEastAsia" w:eastAsiaTheme="minorEastAsia" w:cstheme="minorEastAsia"/>
                <w:color w:val="auto"/>
                <w:sz w:val="24"/>
                <w:highlight w:val="none"/>
              </w:rPr>
              <w:t>元   大写：</w:t>
            </w:r>
            <w:r>
              <w:rPr>
                <w:rFonts w:hint="eastAsia" w:asciiTheme="minorEastAsia" w:hAnsiTheme="minorEastAsia" w:eastAsiaTheme="minorEastAsia" w:cstheme="minorEastAsia"/>
                <w:color w:val="auto"/>
                <w:sz w:val="24"/>
                <w:highlight w:val="none"/>
                <w:lang w:val="en-US" w:eastAsia="zh-CN"/>
              </w:rPr>
              <w:t>贰万元整</w:t>
            </w:r>
            <w:r>
              <w:rPr>
                <w:rFonts w:hint="eastAsia" w:asciiTheme="minorEastAsia" w:hAnsiTheme="minorEastAsia" w:eastAsiaTheme="minorEastAsia" w:cstheme="minorEastAsia"/>
                <w:color w:val="auto"/>
                <w:sz w:val="24"/>
                <w:highlight w:val="none"/>
              </w:rPr>
              <w:t>（人民币）</w:t>
            </w:r>
          </w:p>
          <w:p>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保证金收款人：</w:t>
            </w:r>
            <w:r>
              <w:rPr>
                <w:rFonts w:hint="eastAsia" w:asciiTheme="minorEastAsia" w:hAnsiTheme="minorEastAsia" w:eastAsiaTheme="minorEastAsia" w:cstheme="minorEastAsia"/>
                <w:color w:val="auto"/>
                <w:sz w:val="24"/>
                <w:highlight w:val="none"/>
                <w:lang w:val="en-US" w:eastAsia="zh-CN"/>
              </w:rPr>
              <w:t>新疆鑫倍源工程项目管理有限公司</w:t>
            </w:r>
          </w:p>
          <w:p>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开 户 行：中国银行喀什市青年南路支行</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账    号：00000108274273218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行  号：104894001054</w:t>
            </w:r>
            <w:r>
              <w:rPr>
                <w:rFonts w:hint="eastAsia" w:asciiTheme="minorEastAsia" w:hAnsiTheme="minorEastAsia" w:eastAsiaTheme="minorEastAsia" w:cstheme="minorEastAsia"/>
                <w:color w:val="auto"/>
                <w:sz w:val="24"/>
                <w:highlight w:val="none"/>
              </w:rPr>
              <w:t xml:space="preserve">    </w:t>
            </w:r>
          </w:p>
          <w:p>
            <w:pP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lang w:val="en-US" w:eastAsia="zh-CN"/>
              </w:rPr>
              <w:t>杨红</w:t>
            </w:r>
          </w:p>
          <w:p>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lang w:val="en-US" w:eastAsia="zh-CN"/>
              </w:rPr>
              <w:t>13899169116</w:t>
            </w:r>
          </w:p>
          <w:p>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其它信息：</w:t>
            </w:r>
            <w:r>
              <w:rPr>
                <w:rFonts w:hint="eastAsia" w:asciiTheme="minorEastAsia" w:hAnsiTheme="minorEastAsia" w:eastAsiaTheme="minorEastAsia" w:cstheme="minorEastAsia"/>
                <w:color w:val="auto"/>
                <w:sz w:val="24"/>
                <w:highlight w:val="none"/>
                <w:lang w:val="en-US" w:eastAsia="zh-CN"/>
              </w:rPr>
              <w:t>1、若采用电汇或对公转账方式缴纳时，</w:t>
            </w:r>
            <w:r>
              <w:rPr>
                <w:rFonts w:hint="eastAsia" w:asciiTheme="minorEastAsia" w:hAnsiTheme="minorEastAsia" w:eastAsiaTheme="minorEastAsia" w:cstheme="minorEastAsia"/>
                <w:color w:val="auto"/>
                <w:sz w:val="24"/>
                <w:highlight w:val="none"/>
              </w:rPr>
              <w:t>注明</w:t>
            </w:r>
            <w:r>
              <w:rPr>
                <w:rFonts w:hint="eastAsia" w:asciiTheme="minorEastAsia" w:hAnsiTheme="minorEastAsia" w:eastAsiaTheme="minorEastAsia" w:cstheme="minorEastAsia"/>
                <w:color w:val="auto"/>
                <w:sz w:val="24"/>
                <w:highlight w:val="none"/>
                <w:lang w:val="en-US" w:eastAsia="zh-CN"/>
              </w:rPr>
              <w:t>磋商</w:t>
            </w:r>
            <w:r>
              <w:rPr>
                <w:rFonts w:hint="eastAsia" w:asciiTheme="minorEastAsia" w:hAnsiTheme="minorEastAsia" w:eastAsiaTheme="minorEastAsia" w:cstheme="minorEastAsia"/>
                <w:color w:val="auto"/>
                <w:sz w:val="24"/>
                <w:highlight w:val="none"/>
              </w:rPr>
              <w:t>保证金项目名称</w:t>
            </w:r>
            <w:r>
              <w:rPr>
                <w:rFonts w:hint="eastAsia" w:asciiTheme="minorEastAsia" w:hAnsiTheme="minorEastAsia" w:eastAsiaTheme="minorEastAsia" w:cstheme="minorEastAsia"/>
                <w:color w:val="auto"/>
                <w:sz w:val="24"/>
                <w:highlight w:val="none"/>
                <w:lang w:val="en-US" w:eastAsia="zh-CN"/>
              </w:rPr>
              <w:t>及</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包号（如有）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磋商保证金</w:t>
            </w:r>
            <w:r>
              <w:rPr>
                <w:rFonts w:hint="eastAsia" w:asciiTheme="minorEastAsia" w:hAnsiTheme="minorEastAsia" w:eastAsiaTheme="minorEastAsia" w:cstheme="minorEastAsia"/>
                <w:color w:val="auto"/>
                <w:sz w:val="24"/>
                <w:highlight w:val="none"/>
              </w:rPr>
              <w:t>转入新疆鑫倍源工程项目管理有限公司账户后，</w:t>
            </w:r>
            <w:r>
              <w:rPr>
                <w:rFonts w:hint="eastAsia" w:asciiTheme="minorEastAsia" w:hAnsiTheme="minorEastAsia" w:eastAsiaTheme="minorEastAsia" w:cstheme="minorEastAsia"/>
                <w:color w:val="auto"/>
                <w:sz w:val="24"/>
                <w:highlight w:val="none"/>
                <w:lang w:val="en-US" w:eastAsia="zh-CN"/>
              </w:rPr>
              <w:t>无需换取磋商保证金收据，将银行转账回执单复印件盖公章</w:t>
            </w:r>
            <w:r>
              <w:rPr>
                <w:rFonts w:hint="eastAsia" w:asciiTheme="minorEastAsia" w:hAnsiTheme="minorEastAsia" w:eastAsiaTheme="minorEastAsia" w:cstheme="minorEastAsia"/>
                <w:color w:val="auto"/>
                <w:sz w:val="24"/>
                <w:highlight w:val="none"/>
              </w:rPr>
              <w:t>胶装至</w:t>
            </w:r>
            <w:r>
              <w:rPr>
                <w:rFonts w:hint="eastAsia" w:asciiTheme="minorEastAsia" w:hAnsiTheme="minorEastAsia" w:eastAsiaTheme="minorEastAsia" w:cstheme="minorEastAsia"/>
                <w:color w:val="auto"/>
                <w:sz w:val="24"/>
                <w:highlight w:val="none"/>
                <w:lang w:val="en-US" w:eastAsia="zh-CN"/>
              </w:rPr>
              <w:t>响应文件</w:t>
            </w:r>
            <w:r>
              <w:rPr>
                <w:rFonts w:hint="eastAsia" w:asciiTheme="minorEastAsia" w:hAnsiTheme="minorEastAsia" w:eastAsiaTheme="minorEastAsia" w:cstheme="minorEastAsia"/>
                <w:color w:val="auto"/>
                <w:sz w:val="24"/>
                <w:highlight w:val="none"/>
              </w:rPr>
              <w:t>中（原件单独放置，资格</w:t>
            </w:r>
            <w:r>
              <w:rPr>
                <w:rFonts w:hint="eastAsia" w:asciiTheme="minorEastAsia" w:hAnsiTheme="minorEastAsia" w:eastAsiaTheme="minorEastAsia" w:cstheme="minorEastAsia"/>
                <w:color w:val="auto"/>
                <w:sz w:val="24"/>
                <w:highlight w:val="none"/>
                <w:lang w:val="en-US" w:eastAsia="zh-CN"/>
              </w:rPr>
              <w:t>审查</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val="en-US" w:eastAsia="zh-CN"/>
              </w:rPr>
              <w:t>审核</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若采用</w:t>
            </w:r>
            <w:r>
              <w:rPr>
                <w:rFonts w:hint="eastAsia" w:asciiTheme="minorEastAsia" w:hAnsiTheme="minorEastAsia" w:eastAsiaTheme="minorEastAsia" w:cstheme="minorEastAsia"/>
                <w:color w:val="auto"/>
                <w:sz w:val="24"/>
                <w:highlight w:val="none"/>
              </w:rPr>
              <w:t>银行保函</w:t>
            </w:r>
            <w:r>
              <w:rPr>
                <w:rFonts w:hint="eastAsia" w:asciiTheme="minorEastAsia" w:hAnsiTheme="minorEastAsia" w:eastAsiaTheme="minorEastAsia" w:cstheme="minorEastAsia"/>
                <w:color w:val="auto"/>
                <w:sz w:val="24"/>
                <w:highlight w:val="none"/>
                <w:lang w:val="en-US" w:eastAsia="zh-CN"/>
              </w:rPr>
              <w:t>方式缴纳时，</w:t>
            </w:r>
            <w:r>
              <w:rPr>
                <w:rFonts w:hint="eastAsia" w:asciiTheme="minorEastAsia" w:hAnsiTheme="minorEastAsia" w:eastAsiaTheme="minorEastAsia" w:cstheme="minorEastAsia"/>
                <w:color w:val="auto"/>
                <w:sz w:val="24"/>
                <w:highlight w:val="none"/>
              </w:rPr>
              <w:t>需写明所投项目名称</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银行保函复印件应放入</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中。（原件单独放置，资格</w:t>
            </w:r>
            <w:r>
              <w:rPr>
                <w:rFonts w:hint="eastAsia" w:asciiTheme="minorEastAsia" w:hAnsiTheme="minorEastAsia" w:eastAsiaTheme="minorEastAsia" w:cstheme="minorEastAsia"/>
                <w:color w:val="auto"/>
                <w:sz w:val="24"/>
                <w:highlight w:val="none"/>
                <w:lang w:val="en-US" w:eastAsia="zh-CN"/>
              </w:rPr>
              <w:t>审查</w:t>
            </w:r>
            <w:r>
              <w:rPr>
                <w:rFonts w:hint="eastAsia" w:asciiTheme="minorEastAsia" w:hAnsiTheme="minorEastAsia" w:eastAsiaTheme="minorEastAsia" w:cstheme="minorEastAsia"/>
                <w:color w:val="auto"/>
                <w:sz w:val="24"/>
                <w:highlight w:val="none"/>
              </w:rPr>
              <w:t>时</w:t>
            </w:r>
            <w:r>
              <w:rPr>
                <w:rFonts w:hint="eastAsia" w:asciiTheme="minorEastAsia" w:hAnsiTheme="minorEastAsia" w:eastAsiaTheme="minorEastAsia" w:cstheme="minorEastAsia"/>
                <w:color w:val="auto"/>
                <w:sz w:val="24"/>
                <w:highlight w:val="none"/>
                <w:lang w:val="en-US" w:eastAsia="zh-CN"/>
              </w:rPr>
              <w:t>审核</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银行保函有效期不得低于投标有效期。</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注：磋商保证金缴纳</w:t>
            </w:r>
            <w:r>
              <w:rPr>
                <w:rFonts w:hint="eastAsia" w:asciiTheme="minorEastAsia" w:hAnsiTheme="minorEastAsia" w:eastAsiaTheme="minorEastAsia" w:cstheme="minorEastAsia"/>
                <w:color w:val="auto"/>
                <w:sz w:val="24"/>
                <w:highlight w:val="none"/>
              </w:rPr>
              <w:t>截止时间：</w:t>
            </w:r>
            <w:r>
              <w:rPr>
                <w:rFonts w:hint="eastAsia" w:asciiTheme="minorEastAsia" w:hAnsiTheme="minorEastAsia" w:eastAsiaTheme="minorEastAsia" w:cstheme="minorEastAsia"/>
                <w:color w:val="auto"/>
                <w:sz w:val="24"/>
                <w:highlight w:val="none"/>
                <w:lang w:val="en-US" w:eastAsia="zh-CN"/>
              </w:rPr>
              <w:t>2021年12月17日18点</w:t>
            </w:r>
            <w:r>
              <w:rPr>
                <w:rFonts w:hint="eastAsia" w:asciiTheme="minorEastAsia" w:hAnsiTheme="minorEastAsia" w:eastAsiaTheme="minorEastAsia" w:cstheme="minorEastAsia"/>
                <w:color w:val="auto"/>
                <w:sz w:val="24"/>
                <w:highlight w:val="none"/>
                <w:lang w:val="zh-CN"/>
              </w:rPr>
              <w:t>前，以银行到账时间为准。</w:t>
            </w:r>
            <w:r>
              <w:rPr>
                <w:rFonts w:hint="eastAsia" w:asciiTheme="minorEastAsia" w:hAnsiTheme="minorEastAsia" w:eastAsiaTheme="minorEastAsia" w:cstheme="minorEastAsia"/>
                <w:color w:val="auto"/>
                <w:sz w:val="24"/>
                <w:highlight w:val="none"/>
                <w:lang w:val="en-US" w:eastAsia="zh-CN"/>
              </w:rPr>
              <w:t>未按上述规定缴纳磋商保证金，做废标处理。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磋商有效期：60日历日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w:t>
            </w:r>
          </w:p>
        </w:tc>
        <w:tc>
          <w:tcPr>
            <w:tcW w:w="8385" w:type="dxa"/>
            <w:vAlign w:val="center"/>
          </w:tcPr>
          <w:p>
            <w:pPr>
              <w:spacing w:line="35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响应文件包括“</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一览表及资格证明文件”和“商务及技术文件”两部分，两部分合订成一册密封递交。（采用正反面打印，左侧胶装）</w:t>
            </w:r>
          </w:p>
          <w:p>
            <w:pPr>
              <w:spacing w:line="35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响应文件：正本：壹份、副本：</w:t>
            </w:r>
            <w:r>
              <w:rPr>
                <w:rFonts w:hint="eastAsia" w:asciiTheme="minorEastAsia" w:hAnsiTheme="minorEastAsia" w:eastAsiaTheme="minorEastAsia" w:cstheme="minorEastAsia"/>
                <w:color w:val="auto"/>
                <w:sz w:val="24"/>
                <w:highlight w:val="none"/>
                <w:lang w:val="en-US" w:eastAsia="zh-CN"/>
              </w:rPr>
              <w:t>叁</w:t>
            </w:r>
            <w:r>
              <w:rPr>
                <w:rFonts w:hint="eastAsia" w:asciiTheme="minorEastAsia" w:hAnsiTheme="minorEastAsia" w:eastAsiaTheme="minorEastAsia" w:cstheme="minorEastAsia"/>
                <w:color w:val="auto"/>
                <w:sz w:val="24"/>
                <w:highlight w:val="none"/>
              </w:rPr>
              <w:t>份；（正、副本分别单独密封提交，密封袋封面右上角标明“正本”和“副本”字样）</w:t>
            </w:r>
          </w:p>
          <w:p>
            <w:pPr>
              <w:spacing w:line="35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必须制作“</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一览表”并单独密封提交，并在密封袋上标明“</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一览表”的字样。不按要求标注或不单独提交</w:t>
            </w:r>
            <w:r>
              <w:rPr>
                <w:rFonts w:hint="eastAsia" w:asciiTheme="minorEastAsia" w:hAnsiTheme="minorEastAsia" w:eastAsiaTheme="minorEastAsia" w:cstheme="minorEastAsia"/>
                <w:color w:val="auto"/>
                <w:sz w:val="24"/>
                <w:highlight w:val="none"/>
                <w:lang w:eastAsia="zh-CN"/>
              </w:rPr>
              <w:t>报价</w:t>
            </w:r>
            <w:r>
              <w:rPr>
                <w:rFonts w:hint="eastAsia" w:asciiTheme="minorEastAsia" w:hAnsiTheme="minorEastAsia" w:eastAsiaTheme="minorEastAsia" w:cstheme="minorEastAsia"/>
                <w:color w:val="auto"/>
                <w:sz w:val="24"/>
                <w:highlight w:val="none"/>
              </w:rPr>
              <w:t>一览表，其</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将被拒绝。</w:t>
            </w:r>
          </w:p>
          <w:p>
            <w:pPr>
              <w:spacing w:line="35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除上述文件外，还须密封递交</w:t>
            </w: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电子文档1份。</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必须制作“电子版U盘”并单独密封提交。不按要求提交电子版U盘，其</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无效。</w:t>
            </w:r>
          </w:p>
          <w:p>
            <w:pP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响应文件</w:t>
            </w:r>
            <w:r>
              <w:rPr>
                <w:rFonts w:hint="eastAsia" w:asciiTheme="minorEastAsia" w:hAnsiTheme="minorEastAsia" w:eastAsiaTheme="minorEastAsia" w:cstheme="minorEastAsia"/>
                <w:color w:val="auto"/>
                <w:sz w:val="24"/>
                <w:highlight w:val="none"/>
              </w:rPr>
              <w:t>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9"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响应文件递交截止时间：</w:t>
            </w:r>
            <w:r>
              <w:rPr>
                <w:rFonts w:hint="eastAsia" w:asciiTheme="minorEastAsia" w:hAnsiTheme="minorEastAsia" w:eastAsiaTheme="minorEastAsia" w:cstheme="minorEastAsia"/>
                <w:color w:val="auto"/>
                <w:sz w:val="24"/>
                <w:highlight w:val="none"/>
                <w:lang w:eastAsia="zh-CN"/>
              </w:rPr>
              <w:t>2021年12月18日11点00分</w:t>
            </w:r>
            <w:r>
              <w:rPr>
                <w:rFonts w:hint="eastAsia" w:asciiTheme="minorEastAsia" w:hAnsiTheme="minorEastAsia" w:eastAsiaTheme="minorEastAsia" w:cstheme="minorEastAsia"/>
                <w:color w:val="auto"/>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8"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磋商开启时间：</w:t>
            </w:r>
            <w:r>
              <w:rPr>
                <w:rFonts w:hint="eastAsia" w:asciiTheme="minorEastAsia" w:hAnsiTheme="minorEastAsia" w:eastAsiaTheme="minorEastAsia" w:cstheme="minorEastAsia"/>
                <w:color w:val="auto"/>
                <w:sz w:val="24"/>
                <w:highlight w:val="none"/>
                <w:lang w:eastAsia="zh-CN"/>
              </w:rPr>
              <w:t>2021年12月18日11点00分</w:t>
            </w:r>
            <w:r>
              <w:rPr>
                <w:rFonts w:hint="eastAsia" w:asciiTheme="minorEastAsia" w:hAnsiTheme="minorEastAsia" w:eastAsiaTheme="minorEastAsia" w:cstheme="minorEastAsia"/>
                <w:color w:val="auto"/>
                <w:sz w:val="24"/>
                <w:highlight w:val="none"/>
              </w:rPr>
              <w:t>(北京时间)</w:t>
            </w:r>
          </w:p>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磋商开启地点：</w:t>
            </w:r>
            <w:r>
              <w:rPr>
                <w:rFonts w:hint="eastAsia" w:asciiTheme="minorEastAsia" w:hAnsiTheme="minorEastAsia" w:eastAsiaTheme="minorEastAsia" w:cstheme="minorEastAsia"/>
                <w:color w:val="auto"/>
                <w:sz w:val="24"/>
                <w:highlight w:val="none"/>
                <w:lang w:val="en-US" w:eastAsia="zh-CN"/>
              </w:rPr>
              <w:t>喀什市东城行政审批局西侧设计咨询大厦9-01室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评审方法：综合评分法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2"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推荐成交候选</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的数量：</w:t>
            </w:r>
            <w:r>
              <w:rPr>
                <w:rFonts w:hint="eastAsia" w:asciiTheme="minorEastAsia" w:hAnsiTheme="minorEastAsia" w:eastAsiaTheme="minorEastAsia" w:cstheme="minorEastAsia"/>
                <w:color w:val="auto"/>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2"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采购人</w:t>
            </w:r>
            <w:r>
              <w:rPr>
                <w:rFonts w:hint="eastAsia" w:asciiTheme="minorEastAsia" w:hAnsiTheme="minorEastAsia" w:eastAsiaTheme="minorEastAsia" w:cstheme="minorEastAsia"/>
                <w:color w:val="auto"/>
                <w:sz w:val="24"/>
                <w:highlight w:val="none"/>
              </w:rPr>
              <w:t>是否委托评审委员会直接确定成交人：</w:t>
            </w:r>
            <w:r>
              <w:rPr>
                <w:rFonts w:hint="eastAsia" w:asciiTheme="minorEastAsia" w:hAnsiTheme="minorEastAsia" w:eastAsiaTheme="minorEastAsia" w:cstheme="minorEastAsia"/>
                <w:color w:val="auto"/>
                <w:sz w:val="24"/>
                <w:highlight w:val="none"/>
                <w:u w:val="single"/>
              </w:rPr>
              <w:t>否</w:t>
            </w:r>
            <w:r>
              <w:rPr>
                <w:rFonts w:hint="eastAsia" w:asciiTheme="minorEastAsia" w:hAnsiTheme="minorEastAsia" w:eastAsiaTheme="minorEastAsia" w:cstheme="minorEastAsia"/>
                <w:color w:val="auto"/>
                <w:sz w:val="24"/>
                <w:highlight w:val="none"/>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31.1</w:t>
            </w:r>
          </w:p>
        </w:tc>
        <w:tc>
          <w:tcPr>
            <w:tcW w:w="8385" w:type="dxa"/>
            <w:vAlign w:val="center"/>
          </w:tcPr>
          <w:p>
            <w:pPr>
              <w:pStyle w:val="48"/>
              <w:rPr>
                <w:rFonts w:hint="eastAsia"/>
                <w:color w:val="auto"/>
                <w:highlight w:val="none"/>
              </w:rPr>
            </w:pPr>
            <w:r>
              <w:rPr>
                <w:rFonts w:hint="eastAsia"/>
                <w:color w:val="auto"/>
                <w:highlight w:val="none"/>
              </w:rPr>
              <w:t>履约保证金金额：合同总价的5%（不得超过政府采购合同金额的10%）</w:t>
            </w:r>
          </w:p>
          <w:p>
            <w:pPr>
              <w:pStyle w:val="48"/>
              <w:rPr>
                <w:rFonts w:hint="eastAsia"/>
                <w:color w:val="auto"/>
                <w:highlight w:val="none"/>
              </w:rPr>
            </w:pPr>
            <w:r>
              <w:rPr>
                <w:rFonts w:hint="eastAsia"/>
                <w:color w:val="auto"/>
                <w:highlight w:val="none"/>
              </w:rPr>
              <w:t>履约保证金形式：对公转账 、电汇、网银</w:t>
            </w:r>
            <w:r>
              <w:rPr>
                <w:rFonts w:hint="eastAsia"/>
                <w:color w:val="auto"/>
                <w:highlight w:val="none"/>
                <w:lang w:eastAsia="zh-CN"/>
              </w:rPr>
              <w:t>、保函</w:t>
            </w:r>
            <w:r>
              <w:rPr>
                <w:rFonts w:hint="eastAsia"/>
                <w:color w:val="auto"/>
                <w:highlight w:val="none"/>
              </w:rPr>
              <w:t xml:space="preserve">；    </w:t>
            </w:r>
          </w:p>
          <w:p>
            <w:pPr>
              <w:pStyle w:val="48"/>
              <w:rPr>
                <w:rFonts w:hint="eastAsia"/>
                <w:color w:val="auto"/>
                <w:highlight w:val="none"/>
              </w:rPr>
            </w:pPr>
            <w:r>
              <w:rPr>
                <w:rFonts w:hint="eastAsia"/>
                <w:color w:val="auto"/>
                <w:highlight w:val="none"/>
              </w:rPr>
              <w:t>提交履约保证金的时间：签订合同前 5 日历日</w:t>
            </w:r>
          </w:p>
          <w:p>
            <w:pPr>
              <w:pStyle w:val="48"/>
              <w:rPr>
                <w:rFonts w:hint="default" w:eastAsia="宋体"/>
                <w:color w:val="auto"/>
                <w:highlight w:val="none"/>
                <w:lang w:val="en-US" w:eastAsia="zh-CN"/>
              </w:rPr>
            </w:pPr>
            <w:r>
              <w:rPr>
                <w:rFonts w:hint="eastAsia"/>
                <w:color w:val="auto"/>
                <w:highlight w:val="none"/>
              </w:rPr>
              <w:t>履约保证金</w:t>
            </w:r>
            <w:r>
              <w:rPr>
                <w:rFonts w:hint="eastAsia"/>
                <w:color w:val="auto"/>
                <w:highlight w:val="none"/>
                <w:lang w:val="en-US" w:eastAsia="zh-CN"/>
              </w:rPr>
              <w:t>收取单位：</w:t>
            </w:r>
            <w:r>
              <w:rPr>
                <w:rFonts w:hint="eastAsia" w:hAnsi="宋体" w:cs="宋体"/>
                <w:color w:val="auto"/>
                <w:highlight w:val="none"/>
                <w:lang w:val="en-US" w:eastAsia="zh-CN"/>
              </w:rPr>
              <w:t>喀什职业技术学院</w:t>
            </w:r>
            <w:r>
              <w:rPr>
                <w:rFonts w:hint="eastAsia" w:asciiTheme="minorEastAsia" w:hAnsiTheme="minorEastAsia" w:eastAsiaTheme="minorEastAsia" w:cstheme="minorEastAsia"/>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成交服务费：</w:t>
            </w:r>
          </w:p>
          <w:p>
            <w:pPr>
              <w:spacing w:line="240" w:lineRule="atLeast"/>
              <w:rPr>
                <w:rFonts w:hint="eastAsia" w:ascii="宋体" w:hAnsi="宋体" w:eastAsia="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宋体" w:hAnsi="宋体" w:eastAsia="宋体" w:cs="宋体"/>
                <w:color w:val="auto"/>
                <w:sz w:val="24"/>
                <w:highlight w:val="none"/>
                <w:lang w:val="en-US" w:eastAsia="zh-CN"/>
              </w:rPr>
              <w:t>参照发改价格[2015]299号文收取，经采购单位与招标代理公司协商确定，代理服务费按照成交价的1.5%</w:t>
            </w:r>
            <w:r>
              <w:rPr>
                <w:rFonts w:hint="eastAsia" w:ascii="宋体" w:hAnsi="宋体" w:cs="宋体"/>
                <w:color w:val="auto"/>
                <w:sz w:val="24"/>
                <w:highlight w:val="none"/>
                <w:lang w:val="en-US" w:eastAsia="zh-CN"/>
              </w:rPr>
              <w:t>计取，由成交单位支付</w:t>
            </w:r>
            <w:r>
              <w:rPr>
                <w:rFonts w:hint="eastAsia" w:ascii="宋体" w:hAnsi="宋体" w:eastAsia="宋体" w:cs="宋体"/>
                <w:color w:val="auto"/>
                <w:sz w:val="24"/>
                <w:highlight w:val="none"/>
                <w:lang w:val="en-US" w:eastAsia="zh-CN"/>
              </w:rPr>
              <w:t>。</w:t>
            </w:r>
          </w:p>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支付形式：对公转账 、电汇、网银；</w:t>
            </w:r>
          </w:p>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支付时间：领取</w:t>
            </w:r>
            <w:r>
              <w:rPr>
                <w:rFonts w:hint="eastAsia" w:asciiTheme="minorEastAsia" w:hAnsiTheme="minorEastAsia" w:eastAsiaTheme="minorEastAsia" w:cstheme="minorEastAsia"/>
                <w:color w:val="auto"/>
                <w:sz w:val="24"/>
                <w:highlight w:val="none"/>
                <w:lang w:eastAsia="zh-CN"/>
              </w:rPr>
              <w:t>成交</w:t>
            </w:r>
            <w:r>
              <w:rPr>
                <w:rFonts w:hint="eastAsia" w:asciiTheme="minorEastAsia" w:hAnsiTheme="minorEastAsia" w:eastAsiaTheme="minorEastAsia" w:cstheme="minorEastAsia"/>
                <w:color w:val="auto"/>
                <w:sz w:val="24"/>
                <w:highlight w:val="none"/>
              </w:rPr>
              <w:t>通知书时</w:t>
            </w:r>
            <w:r>
              <w:rPr>
                <w:rFonts w:hint="eastAsia" w:asciiTheme="minorEastAsia" w:hAnsiTheme="minorEastAsia" w:eastAsiaTheme="minorEastAsia" w:cstheme="minorEastAsia"/>
                <w:color w:val="auto"/>
                <w:sz w:val="24"/>
                <w:highlight w:val="none"/>
                <w:lang w:val="en-US" w:eastAsia="zh-CN"/>
              </w:rPr>
              <w:t>一次性全额支付</w:t>
            </w:r>
            <w:r>
              <w:rPr>
                <w:rFonts w:hint="eastAsia" w:asciiTheme="minorEastAsia" w:hAnsiTheme="minorEastAsia" w:eastAsiaTheme="minorEastAsia" w:cstheme="minorEastAsia"/>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本项目是否属于信用担保试点范围：</w:t>
            </w:r>
            <w:r>
              <w:rPr>
                <w:rFonts w:hint="eastAsia" w:asciiTheme="minorEastAsia" w:hAnsiTheme="minorEastAsia" w:eastAsiaTheme="minorEastAsia" w:cstheme="minorEastAsia"/>
                <w:color w:val="auto"/>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5" w:type="dxa"/>
            <w:vMerge w:val="restart"/>
            <w:vAlign w:val="center"/>
          </w:tcPr>
          <w:p>
            <w:pPr>
              <w:spacing w:line="240" w:lineRule="atLeas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36.3</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监督部门：喀什地区财政内控监督科（政府采购管理科）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5" w:type="dxa"/>
            <w:vMerge w:val="continue"/>
            <w:vAlign w:val="center"/>
          </w:tcPr>
          <w:p>
            <w:pPr>
              <w:spacing w:line="240" w:lineRule="atLeast"/>
              <w:jc w:val="center"/>
              <w:rPr>
                <w:rFonts w:hint="eastAsia" w:asciiTheme="minorEastAsia" w:hAnsiTheme="minorEastAsia" w:eastAsiaTheme="minorEastAsia" w:cstheme="minorEastAsia"/>
                <w:color w:val="auto"/>
                <w:sz w:val="24"/>
                <w:highlight w:val="none"/>
              </w:rPr>
            </w:pP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监督电话：0998-</w:t>
            </w:r>
            <w:r>
              <w:rPr>
                <w:rFonts w:hint="eastAsia" w:asciiTheme="minorEastAsia" w:hAnsiTheme="minorEastAsia" w:eastAsiaTheme="minorEastAsia" w:cstheme="minorEastAsia"/>
                <w:color w:val="auto"/>
                <w:sz w:val="24"/>
                <w:highlight w:val="none"/>
                <w:lang w:val="en-US" w:eastAsia="zh-CN"/>
              </w:rPr>
              <w:t>2597000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5" w:type="dxa"/>
            <w:vMerge w:val="continue"/>
            <w:vAlign w:val="center"/>
          </w:tcPr>
          <w:p>
            <w:pPr>
              <w:spacing w:line="240" w:lineRule="atLeast"/>
              <w:jc w:val="center"/>
              <w:rPr>
                <w:rFonts w:hint="eastAsia" w:asciiTheme="minorEastAsia" w:hAnsiTheme="minorEastAsia" w:eastAsiaTheme="minorEastAsia" w:cstheme="minorEastAsia"/>
                <w:color w:val="auto"/>
                <w:sz w:val="24"/>
                <w:highlight w:val="none"/>
              </w:rPr>
            </w:pP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适用于本投标人须知的额外增加的变动：无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5" w:type="dxa"/>
            <w:vAlign w:val="center"/>
          </w:tcPr>
          <w:p>
            <w:pPr>
              <w:spacing w:line="240" w:lineRule="atLeas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核心产品</w:t>
            </w:r>
          </w:p>
        </w:tc>
        <w:tc>
          <w:tcPr>
            <w:tcW w:w="8385" w:type="dxa"/>
            <w:vAlign w:val="center"/>
          </w:tcPr>
          <w:p>
            <w:pPr>
              <w:spacing w:line="240" w:lineRule="atLeast"/>
              <w:rPr>
                <w:rFonts w:hint="eastAsia" w:asciiTheme="minorEastAsia" w:hAnsiTheme="minorEastAsia" w:eastAsiaTheme="minorEastAsia" w:cstheme="minorEastAsia"/>
                <w:color w:val="auto"/>
                <w:sz w:val="24"/>
                <w:highlight w:val="none"/>
              </w:rPr>
            </w:pPr>
            <w:r>
              <w:rPr>
                <w:rFonts w:hint="eastAsia" w:hAnsi="宋体" w:cs="宋体"/>
                <w:color w:val="auto"/>
                <w:sz w:val="24"/>
                <w:szCs w:val="24"/>
                <w:highlight w:val="none"/>
                <w:lang w:val="en-US" w:eastAsia="zh-CN"/>
              </w:rPr>
              <w:t>计算机、网络交换机、普通话模拟测试与学习系统</w:t>
            </w:r>
          </w:p>
        </w:tc>
      </w:tr>
    </w:tbl>
    <w:p>
      <w:pPr>
        <w:spacing w:line="240" w:lineRule="atLeast"/>
        <w:ind w:left="1080" w:leftChars="257" w:hanging="540"/>
        <w:rPr>
          <w:rFonts w:hint="eastAsia" w:asciiTheme="minorEastAsia" w:hAnsiTheme="minorEastAsia" w:eastAsiaTheme="minorEastAsia" w:cstheme="minorEastAsia"/>
          <w:color w:val="auto"/>
          <w:sz w:val="24"/>
          <w:highlight w:val="none"/>
        </w:rPr>
        <w:sectPr>
          <w:headerReference r:id="rId14" w:type="default"/>
          <w:footerReference r:id="rId16" w:type="default"/>
          <w:headerReference r:id="rId15" w:type="even"/>
          <w:footerReference r:id="rId17" w:type="even"/>
          <w:pgSz w:w="11906" w:h="16838"/>
          <w:pgMar w:top="1440" w:right="1080" w:bottom="1440" w:left="1080" w:header="510" w:footer="992" w:gutter="0"/>
          <w:pgNumType w:fmt="decimal"/>
          <w:cols w:space="720" w:num="1"/>
          <w:docGrid w:linePitch="312" w:charSpace="0"/>
        </w:sectPr>
      </w:pPr>
    </w:p>
    <w:p>
      <w:pPr>
        <w:widowControl/>
        <w:jc w:val="center"/>
        <w:outlineLvl w:val="0"/>
        <w:rPr>
          <w:rFonts w:hint="eastAsia" w:asciiTheme="minorEastAsia" w:hAnsiTheme="minorEastAsia" w:eastAsiaTheme="minorEastAsia" w:cstheme="minorEastAsia"/>
          <w:b/>
          <w:color w:val="auto"/>
          <w:kern w:val="0"/>
          <w:sz w:val="32"/>
          <w:szCs w:val="32"/>
          <w:highlight w:val="none"/>
        </w:rPr>
      </w:pPr>
      <w:bookmarkStart w:id="494" w:name="_Toc29797_WPSOffice_Level2"/>
      <w:bookmarkStart w:id="495" w:name="_Toc17977_WPSOffice_Level2"/>
      <w:bookmarkStart w:id="496" w:name="_Toc216513787"/>
      <w:bookmarkStart w:id="497" w:name="_Toc216582811"/>
      <w:bookmarkStart w:id="498" w:name="_Toc218935351"/>
      <w:bookmarkStart w:id="499" w:name="_Toc219175635"/>
      <w:r>
        <w:rPr>
          <w:rFonts w:hint="eastAsia" w:asciiTheme="minorEastAsia" w:hAnsiTheme="minorEastAsia" w:eastAsiaTheme="minorEastAsia" w:cstheme="minorEastAsia"/>
          <w:b/>
          <w:color w:val="auto"/>
          <w:kern w:val="0"/>
          <w:sz w:val="32"/>
          <w:szCs w:val="32"/>
          <w:highlight w:val="none"/>
        </w:rPr>
        <w:t>资格审查表</w:t>
      </w:r>
      <w:bookmarkEnd w:id="494"/>
      <w:bookmarkEnd w:id="495"/>
    </w:p>
    <w:p>
      <w:pPr>
        <w:rPr>
          <w:rFonts w:hint="eastAsia" w:asciiTheme="minorEastAsia" w:hAnsiTheme="minorEastAsia" w:eastAsiaTheme="minorEastAsia" w:cstheme="minorEastAsia"/>
          <w:color w:val="auto"/>
          <w:highlight w:val="none"/>
        </w:rPr>
      </w:pPr>
    </w:p>
    <w:tbl>
      <w:tblPr>
        <w:tblStyle w:val="34"/>
        <w:tblW w:w="13078" w:type="dxa"/>
        <w:jc w:val="center"/>
        <w:tblLayout w:type="fixed"/>
        <w:tblCellMar>
          <w:top w:w="0" w:type="dxa"/>
          <w:left w:w="108" w:type="dxa"/>
          <w:bottom w:w="0" w:type="dxa"/>
          <w:right w:w="108" w:type="dxa"/>
        </w:tblCellMar>
      </w:tblPr>
      <w:tblGrid>
        <w:gridCol w:w="747"/>
        <w:gridCol w:w="960"/>
        <w:gridCol w:w="792"/>
        <w:gridCol w:w="1777"/>
        <w:gridCol w:w="1475"/>
        <w:gridCol w:w="960"/>
        <w:gridCol w:w="1165"/>
        <w:gridCol w:w="909"/>
        <w:gridCol w:w="771"/>
        <w:gridCol w:w="2761"/>
        <w:gridCol w:w="761"/>
      </w:tblGrid>
      <w:tr>
        <w:tblPrEx>
          <w:tblCellMar>
            <w:top w:w="0" w:type="dxa"/>
            <w:left w:w="108" w:type="dxa"/>
            <w:bottom w:w="0" w:type="dxa"/>
            <w:right w:w="108" w:type="dxa"/>
          </w:tblCellMar>
        </w:tblPrEx>
        <w:trPr>
          <w:trHeight w:val="843" w:hRule="atLeast"/>
          <w:jc w:val="center"/>
        </w:trPr>
        <w:tc>
          <w:tcPr>
            <w:tcW w:w="747"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供应商名称</w:t>
            </w:r>
          </w:p>
        </w:tc>
        <w:tc>
          <w:tcPr>
            <w:tcW w:w="12331"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color w:val="auto"/>
                <w:kern w:val="0"/>
                <w:sz w:val="24"/>
                <w:szCs w:val="24"/>
                <w:highlight w:val="none"/>
                <w:lang w:eastAsia="zh-CN"/>
              </w:rPr>
            </w:pPr>
            <w:r>
              <w:rPr>
                <w:rFonts w:hint="eastAsia" w:asciiTheme="minorEastAsia" w:hAnsiTheme="minorEastAsia" w:eastAsiaTheme="minorEastAsia" w:cstheme="minorEastAsia"/>
                <w:b w:val="0"/>
                <w:bCs/>
                <w:color w:val="auto"/>
                <w:kern w:val="0"/>
                <w:sz w:val="24"/>
                <w:szCs w:val="24"/>
                <w:highlight w:val="none"/>
                <w:lang w:eastAsia="zh-CN"/>
              </w:rPr>
              <w:t>审查项目</w:t>
            </w:r>
          </w:p>
        </w:tc>
      </w:tr>
      <w:tr>
        <w:tblPrEx>
          <w:tblCellMar>
            <w:top w:w="0" w:type="dxa"/>
            <w:left w:w="108" w:type="dxa"/>
            <w:bottom w:w="0" w:type="dxa"/>
            <w:right w:w="108" w:type="dxa"/>
          </w:tblCellMar>
        </w:tblPrEx>
        <w:trPr>
          <w:trHeight w:val="3763" w:hRule="atLeast"/>
          <w:jc w:val="center"/>
        </w:trPr>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24"/>
                <w:szCs w:val="24"/>
                <w:highlight w:val="none"/>
              </w:rPr>
            </w:pP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具有合格有效的营业执照副本（三证合一）</w:t>
            </w:r>
          </w:p>
        </w:tc>
        <w:tc>
          <w:tcPr>
            <w:tcW w:w="7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依法缴纳近3个月社会保险的凭据</w:t>
            </w:r>
          </w:p>
        </w:tc>
        <w:tc>
          <w:tcPr>
            <w:tcW w:w="17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color w:val="auto"/>
                <w:kern w:val="0"/>
                <w:sz w:val="24"/>
                <w:szCs w:val="24"/>
                <w:highlight w:val="none"/>
                <w:lang w:eastAsia="zh-CN"/>
              </w:rPr>
            </w:pPr>
            <w:r>
              <w:rPr>
                <w:rFonts w:hint="eastAsia" w:asciiTheme="minorEastAsia" w:hAnsiTheme="minorEastAsia" w:eastAsiaTheme="minorEastAsia" w:cstheme="minorEastAsia"/>
                <w:b w:val="0"/>
                <w:bCs/>
                <w:color w:val="auto"/>
                <w:kern w:val="0"/>
                <w:sz w:val="24"/>
                <w:szCs w:val="24"/>
                <w:highlight w:val="none"/>
                <w:lang w:val="en-US" w:eastAsia="zh-CN"/>
              </w:rPr>
              <w:t>法定代表人授权委托书及被委托人身份证（法定代表人投标提供法定代表人身份证）</w:t>
            </w:r>
          </w:p>
        </w:tc>
        <w:tc>
          <w:tcPr>
            <w:tcW w:w="14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2020年度的财务审计报告（注册成立未满一年新公司提供银行资信证明）</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具有依法缴纳2021年近3个月的税收良好记录证明（完税证明）</w:t>
            </w:r>
          </w:p>
        </w:tc>
        <w:tc>
          <w:tcPr>
            <w:tcW w:w="11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参加政府采购活动前3年内在经营活动中没有重大违法记录的书面声明</w:t>
            </w:r>
          </w:p>
        </w:tc>
        <w:tc>
          <w:tcPr>
            <w:tcW w:w="9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lang w:val="en-US" w:eastAsia="zh-CN"/>
              </w:rPr>
              <w:t>投标单位（供应商）针对本次项目《反商业贿赂承诺书》书面承诺</w:t>
            </w: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磋商保证金有效凭证</w:t>
            </w:r>
          </w:p>
        </w:tc>
        <w:tc>
          <w:tcPr>
            <w:tcW w:w="2761"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eastAsia"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供应商在“信用中国”网站、国家企业信用信息公示系统未被列入严重违法失信企业名单、重大税收违法案件当事人名单，在中国政府采购网未被列入政府采购严重违法失信行为记录名单及新疆政府采购网未被列入严重违法失信行为信息记录。（以采购代理机构于开标前1个工作日至投标截止后1小时的期间内查询结果为准）</w:t>
            </w:r>
          </w:p>
        </w:tc>
        <w:tc>
          <w:tcPr>
            <w:tcW w:w="76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结论（合格或不合格）</w:t>
            </w:r>
          </w:p>
        </w:tc>
      </w:tr>
      <w:tr>
        <w:tblPrEx>
          <w:tblCellMar>
            <w:top w:w="0" w:type="dxa"/>
            <w:left w:w="108" w:type="dxa"/>
            <w:bottom w:w="0" w:type="dxa"/>
            <w:right w:w="108" w:type="dxa"/>
          </w:tblCellMar>
        </w:tblPrEx>
        <w:trPr>
          <w:trHeight w:val="806" w:hRule="atLeast"/>
          <w:jc w:val="center"/>
        </w:trPr>
        <w:tc>
          <w:tcPr>
            <w:tcW w:w="747"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96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79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777"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47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96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11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909"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77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276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76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r>
    </w:tbl>
    <w:p>
      <w:pPr>
        <w:pStyle w:val="4"/>
        <w:numPr>
          <w:ilvl w:val="0"/>
          <w:numId w:val="0"/>
        </w:numPr>
        <w:spacing w:before="0" w:after="0" w:line="240" w:lineRule="atLeast"/>
        <w:ind w:left="1844" w:leftChars="0"/>
        <w:jc w:val="center"/>
        <w:rPr>
          <w:rFonts w:hint="eastAsia" w:asciiTheme="minorEastAsia" w:hAnsiTheme="minorEastAsia" w:eastAsiaTheme="minorEastAsia" w:cstheme="minorEastAsia"/>
          <w:color w:val="auto"/>
          <w:highlight w:val="none"/>
        </w:rPr>
        <w:sectPr>
          <w:pgSz w:w="16838" w:h="11906" w:orient="landscape"/>
          <w:pgMar w:top="1797" w:right="1440" w:bottom="1797" w:left="1440" w:header="851" w:footer="992" w:gutter="0"/>
          <w:pgNumType w:fmt="decimal"/>
          <w:cols w:space="720" w:num="1"/>
          <w:docGrid w:linePitch="312" w:charSpace="0"/>
        </w:sectPr>
      </w:pPr>
    </w:p>
    <w:bookmarkEnd w:id="496"/>
    <w:bookmarkEnd w:id="497"/>
    <w:bookmarkEnd w:id="498"/>
    <w:bookmarkEnd w:id="499"/>
    <w:p>
      <w:pPr>
        <w:pStyle w:val="4"/>
        <w:numPr>
          <w:ilvl w:val="0"/>
          <w:numId w:val="9"/>
        </w:numPr>
        <w:tabs>
          <w:tab w:val="left" w:pos="0"/>
        </w:tabs>
        <w:spacing w:before="0" w:after="0" w:line="240" w:lineRule="atLeast"/>
        <w:jc w:val="center"/>
        <w:rPr>
          <w:rFonts w:hint="eastAsia"/>
          <w:color w:val="auto"/>
          <w:highlight w:val="none"/>
          <w:lang w:val="en-US" w:eastAsia="zh-CN"/>
        </w:rPr>
      </w:pPr>
      <w:bookmarkStart w:id="500" w:name="_Toc29079_WPSOffice_Level1"/>
      <w:bookmarkStart w:id="501" w:name="_Toc7112"/>
      <w:bookmarkStart w:id="502" w:name="_Toc216582825"/>
      <w:bookmarkStart w:id="503" w:name="_Toc219175638"/>
      <w:bookmarkStart w:id="504" w:name="_Toc518923126"/>
      <w:bookmarkStart w:id="505" w:name="_Toc218935354"/>
      <w:bookmarkStart w:id="506" w:name="_Toc21132"/>
      <w:bookmarkStart w:id="507" w:name="_Toc507399906"/>
      <w:bookmarkStart w:id="508" w:name="_Toc512937852"/>
      <w:r>
        <w:rPr>
          <w:rFonts w:hint="eastAsia" w:asciiTheme="minorEastAsia" w:hAnsiTheme="minorEastAsia" w:eastAsiaTheme="minorEastAsia" w:cstheme="minorEastAsia"/>
          <w:color w:val="auto"/>
          <w:highlight w:val="none"/>
          <w:lang w:val="en-US" w:eastAsia="zh-CN"/>
        </w:rPr>
        <w:t xml:space="preserve">  采购</w:t>
      </w:r>
      <w:r>
        <w:rPr>
          <w:rFonts w:hint="eastAsia" w:asciiTheme="minorEastAsia" w:hAnsiTheme="minorEastAsia" w:eastAsiaTheme="minorEastAsia" w:cstheme="minorEastAsia"/>
          <w:color w:val="auto"/>
          <w:highlight w:val="none"/>
        </w:rPr>
        <w:t>需求</w:t>
      </w:r>
      <w:bookmarkEnd w:id="500"/>
      <w:bookmarkEnd w:id="501"/>
      <w:bookmarkEnd w:id="502"/>
      <w:bookmarkEnd w:id="503"/>
      <w:bookmarkEnd w:id="504"/>
      <w:bookmarkEnd w:id="505"/>
      <w:bookmarkEnd w:id="506"/>
      <w:bookmarkEnd w:id="507"/>
      <w:r>
        <w:rPr>
          <w:rFonts w:hint="eastAsia" w:asciiTheme="minorEastAsia" w:hAnsiTheme="minorEastAsia" w:eastAsiaTheme="minorEastAsia" w:cstheme="minorEastAsia"/>
          <w:color w:val="auto"/>
          <w:highlight w:val="none"/>
        </w:rPr>
        <w:t>及技术规</w:t>
      </w:r>
      <w:bookmarkEnd w:id="508"/>
      <w:r>
        <w:rPr>
          <w:rFonts w:hint="eastAsia" w:asciiTheme="minorEastAsia" w:hAnsiTheme="minorEastAsia" w:eastAsiaTheme="minorEastAsia" w:cstheme="minorEastAsia"/>
          <w:color w:val="auto"/>
          <w:highlight w:val="none"/>
          <w:lang w:val="en-US" w:eastAsia="zh-CN"/>
        </w:rPr>
        <w:t>格</w:t>
      </w:r>
    </w:p>
    <w:p>
      <w:pPr>
        <w:numPr>
          <w:ilvl w:val="0"/>
          <w:numId w:val="0"/>
        </w:numPr>
        <w:rPr>
          <w:rFonts w:hint="eastAsia"/>
          <w:b/>
          <w:bCs/>
          <w:color w:val="auto"/>
          <w:highlight w:val="none"/>
          <w:lang w:val="en-US" w:eastAsia="zh-CN"/>
        </w:rPr>
      </w:pPr>
    </w:p>
    <w:p>
      <w:pPr>
        <w:numPr>
          <w:ilvl w:val="0"/>
          <w:numId w:val="0"/>
        </w:numPr>
        <w:jc w:val="both"/>
        <w:rPr>
          <w:rFonts w:hint="default"/>
          <w:b/>
          <w:bCs/>
          <w:color w:val="auto"/>
          <w:sz w:val="20"/>
          <w:szCs w:val="22"/>
          <w:highlight w:val="none"/>
          <w:lang w:val="en-US" w:eastAsia="zh-CN"/>
        </w:rPr>
      </w:pPr>
      <w:r>
        <w:rPr>
          <w:rFonts w:hint="eastAsia" w:cs="宋体"/>
          <w:b/>
          <w:color w:val="auto"/>
          <w:sz w:val="28"/>
          <w:szCs w:val="28"/>
          <w:highlight w:val="none"/>
          <w:lang w:val="en-US" w:eastAsia="zh-CN"/>
        </w:rPr>
        <w:t>一、喀什职业技术学院普通话考试中心配置清单</w:t>
      </w:r>
    </w:p>
    <w:tbl>
      <w:tblPr>
        <w:tblStyle w:val="35"/>
        <w:tblpPr w:leftFromText="180" w:rightFromText="180" w:vertAnchor="text" w:horzAnchor="page" w:tblpXSpec="center" w:tblpY="681"/>
        <w:tblOverlap w:val="never"/>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24"/>
        <w:gridCol w:w="1996"/>
        <w:gridCol w:w="4718"/>
        <w:gridCol w:w="984"/>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序号</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系统</w:t>
            </w:r>
          </w:p>
        </w:tc>
        <w:tc>
          <w:tcPr>
            <w:tcW w:w="1996" w:type="dxa"/>
            <w:noWrap w:val="0"/>
            <w:vAlign w:val="center"/>
          </w:tcPr>
          <w:p>
            <w:pPr>
              <w:keepNext w:val="0"/>
              <w:keepLines w:val="0"/>
              <w:widowControl/>
              <w:suppressLineNumbers w:val="0"/>
              <w:jc w:val="left"/>
              <w:textAlignment w:val="center"/>
              <w:rPr>
                <w:rFonts w:hint="eastAsia" w:ascii="黑体" w:hAnsi="黑体" w:eastAsia="黑体" w:cs="黑体"/>
                <w:b/>
                <w:bCs/>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设备名称</w:t>
            </w:r>
          </w:p>
        </w:tc>
        <w:tc>
          <w:tcPr>
            <w:tcW w:w="4718"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技术参数</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计量单位</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restart"/>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1</w:t>
            </w:r>
          </w:p>
        </w:tc>
        <w:tc>
          <w:tcPr>
            <w:tcW w:w="1124" w:type="dxa"/>
            <w:vMerge w:val="restart"/>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国家普通话信息采集系统</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二代身份证识别器</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射频技术：符合ISO14443 Type B标准；</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操作系统：WIN98/2000/XP/Win7/NT/UNIX；工作频率：13.56MHz±7kHz；</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读卡距离：0-50mm；产品接口：符合USB2.0标准；</w:t>
            </w:r>
          </w:p>
          <w:p>
            <w:pPr>
              <w:keepNext w:val="0"/>
              <w:keepLines w:val="0"/>
              <w:widowControl/>
              <w:suppressLineNumbers w:val="0"/>
              <w:jc w:val="left"/>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采集信息能上传国家普通话水平测试信息采集系统</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照片采集高清摄像头</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高清镜头，自动对焦，4K分辨率，最大帧频：30FPS；接口类型：USB2.0（兼容USB3.0）；多功能底座，可连接通用摄影三脚架，系统支持 Win10，Win7，WinXP；</w:t>
            </w:r>
          </w:p>
          <w:p>
            <w:pPr>
              <w:keepNext w:val="0"/>
              <w:keepLines w:val="0"/>
              <w:widowControl/>
              <w:suppressLineNumbers w:val="0"/>
              <w:jc w:val="left"/>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采集的照片能上传国家普通话水平测试信息采集系统</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人脸识别摄像头</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高清镜头，人脸识别算法，面部影像增强，最大帧频：30FPS；</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接口类型：USB2.0（兼容USB3.0）；</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系统支持 Win10，Win7，WinXP；</w:t>
            </w:r>
          </w:p>
          <w:p>
            <w:pPr>
              <w:keepNext w:val="0"/>
              <w:keepLines w:val="0"/>
              <w:widowControl/>
              <w:suppressLineNumbers w:val="0"/>
              <w:jc w:val="left"/>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可通过面部识别登录考试系统</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三脚架</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直径16.8mm；最高工作高度1060mm，最低工作高度350mm，收缩高度355mm;采用优质铝合金</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国家普通话水平测试信息采集系统</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系统通过软硬件结合的方式支持二代身份证自动识别，具备照片采集、指纹采集、抽签等功能;系统可通过现场采集照片方式，将所采集照片直接作为证书照片使用；</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与国家普通话智能测试系统对接，实现考生通过人脸登录考试系统；</w:t>
            </w:r>
          </w:p>
          <w:p>
            <w:pPr>
              <w:keepNext w:val="0"/>
              <w:keepLines w:val="0"/>
              <w:widowControl/>
              <w:suppressLineNumbers w:val="0"/>
              <w:jc w:val="left"/>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应用平台：Win2003/WinXP/Win7/NT/Win8/Win10</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2</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UPS供电</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UPS（含16节电池）</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1.UPS容量：15KVA；标称容量：12KW</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2.输出功率因数0.8</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3.宽市电输入范围（110-300VAC）</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4.输出频率可设恒压恒频模式50Hz/60Hz</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5.维修开关（选配）</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6.紧急电源关闭（EPO）</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8.SNMP+UPS+RS-232多重监控</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9.相位：（三进单出）</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10.电池：12V16节，容量取决于外接电池容量（电池节数16-20可调）</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11.尺寸：深*宽*高（mm）442*190*318</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12.温度：0~90%相对湿度/0-40℃（不凝结）</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13.频率范围（同步校正范围）46~54HZ或56~64HZ</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14.谐波失真：≤2%THD（线性负载）；≤5%THD(非线性负载)</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电源：</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1、单只电池容量：12V-120AH</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2、阻燃外壳，设计使用寿命10年</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3、UPS主机直流电压为192VDC即16只/12V电池串联为1组</w:t>
            </w:r>
          </w:p>
          <w:p>
            <w:pPr>
              <w:keepNext w:val="0"/>
              <w:keepLines w:val="0"/>
              <w:widowControl/>
              <w:suppressLineNumbers w:val="0"/>
              <w:jc w:val="left"/>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4、当前配置满足后备延时2小时</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default"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restart"/>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3</w:t>
            </w:r>
          </w:p>
        </w:tc>
        <w:tc>
          <w:tcPr>
            <w:tcW w:w="1124" w:type="dxa"/>
            <w:vMerge w:val="restart"/>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计算机</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监考机</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i7-10700/B460/16GB DDR4 2666 UDIMM/256GB SSD M.2 2242 NVMe TLC+1TB/2G独显/Slim DVD RAMBO/Integrated Graphic Card/新PS2键盘A/USB Calliope 黑色鼠标/Front x6 Rear x4 USB Ports/300W 85% ES TFX/主机保三年有限上门/Windows 10 Home 64bit/15升机箱/23吋液晶，电脑型号和配置能够满足国家普通话水平测试系统的要求。</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i w:val="0"/>
                <w:iCs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考试机</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i5-10500/B460主板芯片组 /8GB-DDR4 2666内存/256G/1TB 硬盘/2G独显 /无光驱 /180W 85%高能效电源 /USB键盘 /USB鼠标 /Win10 Home 64bit /8升机箱/23吋液晶，电脑型号和配置能够满足国家普通话水平测试系统的要求。</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耳麦</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考试专用耳麦</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考试专用耳麦，单向近讲；头戴式耳麦；线控调音按钮屏蔽；频响范围：100HZ-16KHZ；电阻抗：32欧姆；扬声器灵敏度：90db；额定功率：30mw；导线长度：不低于2M；插头： USB插头</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5</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网络交换机</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48口网络交换机</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48个千兆口，二层网管，整机功率190W，单口功率30W，内置电源</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6</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网络交换机</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24口网络交换机</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24个10/100/1000Base-T以太网端口，4个千兆SFP交流供电包转发率：51Mpps/126Mpps交换容量：336Gbps/3.36Tbps</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7</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网络交换机</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24口网络交换机</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24个千兆PoE口，二层网管，整机功率190W，单口功率30W，内置电源</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8</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网络交换机</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8口网络交换机</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8个千兆交换机，内置电源</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9</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机柜</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服务器机柜</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24U；尺寸：1200mm *600mm*1200mm；19”国际标准；前门：网状门，带锁；后门：网状后门；侧门：全钢侧门，可快速装卸；材料采用SPCC冷轧钢板，表面处理采用脱脂、酸洗磷化静电喷塑；3年质保，终身维护。</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10</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标考红外高清半球摄像机</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标考红外高清半球摄像机</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1.符合《国家教育考试网上巡查系统视频标准技术规范（2017版）》（JY/T-KS-JS-2017-1）规范；</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2.嵌入式设备，具备实时操作系统；</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3.采用超低照度200万(1920×1080) 像素，1/2.7英寸CMOS图像传感器；</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4.采用H.264 High profile编码；</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5.支持三码流，ACF（活动帧率控制）；</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6.最大支持256GB SD卡，支持录像断网续传功能；</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7.支持设备认证功能、加密传输能力及数字水印加密，防数据被篡改；</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8.支持宽动态、3D 降噪、强光抑制、走廊模式、去雾；</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9.最大红外距离:≥100m；</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10.支持智能红外功能：当开启红外灯光功能后，能根据所射目标距离自动调节红外辐射功率；</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11.支持28个视频窗口进行预览；</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12.支持区域入侵，拌线入侵，物品遗留/消失，虚焦侦测，场景变更的侦测，并且可以与报警联动；</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13.支持无SD卡、SD卡空间不足、SD卡出错、网络断开、IP冲突、移动检测、视频遮挡智能报警；</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14.★最低照度：彩色≤0.001LX，黑白≤0.0001Lx,</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15.★支持可伸缩视频编码（SVC）技术，支持感兴趣区域（ROI）</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16.★防护等级：IP67，IK10；</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11</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拾音器</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拾音器</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保真型监听器，高保真、语音清晰纯真、低噪音，灵敏度高，内置DSP降噪芯片,Clearspeech优化电路设计高保真，抗回音，持续稳定音频监听面积达10~~50平方米以上。频率响应 300Hz ～ 8500Hz(±6dB)，灵敏度 (标准音源1米,94dB SPL)： -4.0dB～+3.0dB (0dB=1V/Pa, 1KHz)，最大承受音压 120dB SPL (1KHz,THD 1%)，输出阻抗600～1000欧姆非平衡，输出信号幅度2.5Vpp/-25db，麦克风：电容咪头</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12</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标考网络流媒体存储平台</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标考网络流媒体存储平台</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符合《国家教育考试网上巡查系统视频标准技术规范（2017版）》相关技术规范；H.264和MPEG-4 视频编码、支持MPEG  Layer II、G711和AAC音频编码标准，并支持PS系统流和TS传输流的封装；，支持SIP协议，视频流转发；采用嵌入式硬件和嵌入式Linux系统，内部板卡之间无线缆连接，采用高速总线连接；8个SATA接口，1个独立eSATA接口,1个SAS接口；可配置成单盘、Raid0、1、5、6、10等各种数据保护模式；最大接入384Mbps码流（256M主码流）,储存256Mbps,转发384Mbps(回放128Mbps)；32路1080P（8M），1个VGA+2路HDMI输出；支持硬盘、风扇、冗余电源热插拔，前面板可扩展液晶显示屏。标准19英寸机架式</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13</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主控台</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主控台</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定制三联，（能容纳3台24寸显示器及留白24寸显示器面积版面），采用E1级环保材料，桌面三聚氰胺饰面板，配套3把网布办公椅</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14</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显示屏幕</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电视</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屏幕尺寸 75英寸</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屏幕比例 16:9</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屏幕分辨率 3840×2160</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观看距离 4.5米</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高清格式 2160P</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背光性能 LED发光二极管，侧入式（E-LED）</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音效性能</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SRS环绕 杜比DTS双解码</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USB流媒体 支持USB流媒体播放</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WiFi(WLAN) 支持WiFi,全场景语音</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智能分享 蓝牙模块,蓝牙4.2</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外观参数</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外观设计(颜色) 紫金灰色</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机身尺寸 含底座：1233×778×209mm，不含底座：1233×710×61mm</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壁挂尺寸 400×200mm</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其他参数</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电源要求 220V</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能效等级 三级能效</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功耗 125W</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休眠功耗 0.5W</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15</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监控硬盘</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监控硬盘</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8TB/128MB(6Gb/秒 NCQ)/7200RPM/SATA3</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16</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监控语音控制主机</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监控语音控制主机</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1、一般放置在管理中心的桌面上。</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2、可与其它主机或分机进行相互对讲。</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3、可同时显示三十路分机的报警，并有六种保持时间（10秒、30秒、1分钟、2分钟、5分钟、长时间）的音乐提示声可选；有30个路选指示灯有红、绿双色以区分分机报警、对讲状态。</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4、须配合主机、分机或按钮方可使用，与主机、分机间是免提式对讲，声音逼真、清晰、宏亮。</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5、可同时对三十路分机进行组呼、群呼或单路监听(无需监听时，可配保密分机)。</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6、有报警输出口，可接报警闪灯、喇叭。</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工作电压：DC12V  最大工作电流：500mA</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 xml:space="preserve">喇叭输出功率：350mW  </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报警输出口：DC9V 100mA(MAX)</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 xml:space="preserve">内置扬声器：20Ω，1W  </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主机接口：螺丝接线端子</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 xml:space="preserve">外部设备联动接口：RS485口  </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与分机接线方式：无极性的两芯线</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 xml:space="preserve">MIC 输入灵敏度：10mV  </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输出频率：20Hz～20KHz</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 xml:space="preserve">信噪比：&gt; 70dB  </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谐波失真：&lt; 0.5%</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 xml:space="preserve">待机功耗：&lt; 2W  </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工作温度：-20℃ ～ +80℃</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 xml:space="preserve">工作湿度：≤90%  </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尺寸：200x320x55mm(LxWxH)</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17</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呼叫终端</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呼叫终端</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1、将每路分机上自带的两芯引线与主机背后的每路接线柱一一对应相连接（不分极性），安装完毕检查无误后，按下主机电源开关，电源指示灯亮，表示电源工作正常。</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分机对主机报警及对讲：当任何一路分机对主机报警时（按分机呼叫键），主机上相应的路选分机指示灯闪亮红色并保持，同时主机伴有音乐提示声。直至按下主机上相应的路选分机开关时，音乐声停止，该路选分机指示灯转成绿色，此时主机可和分机相互对讲（对讲方法：按下主机对讲键可讲话，松开主机对讲键可听分机讲话）。此时若再有其它分机对主机报警，主机上相应的路选分机指示灯闪亮红色，但无音乐提示声，按下主机上相应的路选分机开关时，该路选分机指示灯转成绿色。</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3、分机有预留螺丝固定孔，可壁挂式安装。喇叭输出功率：200mW</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内置扬声器：20Ω，1W</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分机接口：两芯线引出</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与主机接线方式：无极性的两芯线</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MIC 输入灵敏度：10mV</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输出频率：20Hz～20KHz</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信噪比：&gt; 70dB</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谐波失真：&lt; 0.5%</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工作湿度：≤90%</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工作温度：-20℃ ～ +80℃</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引线长：250mm</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尺寸：75x115x18mm(LxWxH)</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每条线通讯距离：80m(0.2mm2); 200m(0.5mm2); 300m(0.75mm2); 400m(1.0mm2)</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18</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标识牌</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标识牌</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普通话测试站室内外整体规章制度设计、广告说明吊牌等；</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1、测试室操作流程设计制作，内容符合国家普通话考试要求，尺寸50cm*70cm,材质为pvc板,数量20块；</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2、候测试规章制度设计制作，内容符合国家普通话考试要求，尺寸50cm*70cm,材质为pvc板,数量4块；</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3、测试室走廊通道普通话测试流程宣传牌制作（与国家普通话考试流程一致）、宣传标语设计制作，尺寸不低于1.2m*2m，材质为铁质，数量为2块。</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4、各测试间标牌制作，材质为铝合金板，数量为20块；</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5、提醒提示标牌制作：材质为亚克力板，数量为15块；</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685"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19</w:t>
            </w:r>
          </w:p>
        </w:tc>
        <w:tc>
          <w:tcPr>
            <w:tcW w:w="1124"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保密室设备</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保密柜</w:t>
            </w: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保密柜文件柜矮柜财务存放柜指纹密码办公柜 灰白色，产品类型二门柜</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层数3层以内产品尺寸（长*宽*高）(mm)900*420*1850mm；是否带锁：是；厚度 (mm)3mm；</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防盗门</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尺寸：900mm*2100mm，材质：钢制，含安装五金，含门锁</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防盗窗</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尺寸：按需定制，材质：加固不锈钢</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20</w:t>
            </w:r>
          </w:p>
        </w:tc>
        <w:tc>
          <w:tcPr>
            <w:tcW w:w="1124"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桌椅</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测试室桌椅</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椅子：桌面采用25mm三聚氰胺高密度中纤板/内置盈动箱架，配套座椅95mm*45mm*50mm</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信息采集桌椅</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桌：1200*600*730，桌面高品质饰面板或压合板，桌体15MM三聚氢胺饰面板，灰白色；   椅子：五爪脚（焊接处四周满焊、无虚焊、焊穿、气孔等现象，焊接处经打磨、抛光处理，表面光滑无毛刺），液压升降，中靠，优质海绵，桌面采用25mm三聚氰胺高密度中纤板/内置盈动箱架，配套座椅95mm*45mm*50mm</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备考区桌椅</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1、桌面板采用共聚级耐冲击ABS材质注塑成型，规格640 mm*440mm *20mm或620mm*420mm*30mm，颜色可选，桌面底部设置网格状纵向为六根、横向为八根加强筋，增强桌面的整体强度及抗冲击力。桌面正面光滑平整，前端设置长条状铅笔槽长度400mm，笔槽两边分别设有杯槽，直径为5.5mm，桌面前端边缘处有高出桌面2mm的挡笔楞，两侧边缘处有长度不低于200mm高出桌面2mm的挡笔楞。</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2、椅面采用共聚级耐冲击聚丙烯材质注塑成型，用模具一次注塑成型符合国内、国际环保要求，保证长期不弯曲不变形，背座分体结构。靠背215mm*385mm,座板415mm*385mm.</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3、课桌斗采用共聚级耐冲击聚丙烯注塑成型，内径规格：450*340*140mm，用模具一次注塑成型，斗底设置32个长条状漏水槽，单槽长度不小于37mm，符合国内国际环保要求，保证长期不弯曲、不变形。</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4、套脚共聚级耐冲击聚丙烯材料注塑成型。</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5、所有金属部件均为CO2气体保护焊焊接，管材和冲压件无裂缝、焊接无错位和结疤，焊接处无夹渣、气孔、焊瘤、焊丝头、咬边和飞溅，在接触人体和收藏物的部位光滑平整、无毛刺、无刃口棱角。</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6、所有金属部件经高温除油、高速变频抛丸机除锈，环保型粉末静电喷涂，表面无露底、无凹凸、无明显流挂、无疙瘩、无皱皮、无色差。</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候考区桌椅</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1、桌面板采用共聚级耐冲击ABS材质注塑成型，规格640 mm*440mm *20mm或620mm*420mm*30mm，颜色可选，桌面底部设置网格状纵向为六根、横向为八根加强筋，增强桌面的整体强度及抗冲击力。桌面正面光滑平整，前端设置长条状铅笔槽长度400mm，笔槽两边分别设有杯槽，直径为5.5mm，桌面前端边缘处有高出桌面2mm的挡笔楞，两侧边缘处有长度不低于200mm高出桌面2mm的挡笔楞。</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2、椅面采用共聚级耐冲击聚丙烯材质注塑成型，用模具一次注塑成型符合国内、国际环保要求，保证长期不弯曲不变形，背座分体结 构。靠背215mm*385mm,座板415mm*385mm.</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3、课桌斗采用共聚级耐冲击聚丙烯注塑成型，内径规格：450*340*140mm，用模具一次注塑成型，斗底设置32个长条状漏水槽，单槽长度不小于37mm，符合国内国际环保要求，保证长期不弯曲、不变形。</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4、套脚共聚级耐冲击聚丙烯材料注塑成型。</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5、所有金属部件均为CO2气体保护焊焊接，管材和冲压件无裂缝、焊接无错位和结疤，焊接处无夹渣、气孔、焊瘤、焊丝头、咬边和飞溅，在接触人体和收藏物的部位光滑平整、无毛刺、无刃口棱角。</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6、所有金属部件经高温除油、高速变频抛丸机除锈，环保型粉末静电喷涂，表面无露底、无凹凸、无明显流挂、无疙瘩、无皱皮、无色差。</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监控室桌椅</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木质会议条桌，配套优质海绵网布座椅，钢制椅脚，不锈钢靠背</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21</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综合布线</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综合布线</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整体的布线安排需满足以下要求：电线、网线、各种插座、水晶头等辅材需为国内外知名品牌产品，强弱电工程符合国家相关技术规范的规定，隔间地面铺设与墙体颜色配套的地板，具体如下：</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1）主控台布线：2个5空插座，2个网端，</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2）25个点的电源线路铺设，每个点1个5孔插座，线材规格为2.5平方mm铜芯线，国标；</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3）25个点的监控线路铺设，连接监控摄像头和硬盘录像机；线材规格为纯铜超六类非屏蔽高速千兆网线；</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4）25个点的电脑网线铺设，搭建教师机与学生机网络；线材规格为纯铜超六类双屏蔽高速千兆网线；</w:t>
            </w:r>
          </w:p>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5）2个空调布线（安装2个空调专用插座），线材规格为4平方mm铜芯线，国标；</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22</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空调</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柜式空调</w:t>
            </w: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3P柜式空调</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23</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打印机</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打印机</w:t>
            </w:r>
          </w:p>
        </w:tc>
        <w:tc>
          <w:tcPr>
            <w:tcW w:w="4718" w:type="dxa"/>
            <w:noWrap w:val="0"/>
            <w:vAlign w:val="center"/>
          </w:tcPr>
          <w:p>
            <w:pPr>
              <w:keepNext w:val="0"/>
              <w:keepLines w:val="0"/>
              <w:widowControl/>
              <w:suppressLineNumbers w:val="0"/>
              <w:jc w:val="both"/>
              <w:textAlignment w:val="center"/>
              <w:rPr>
                <w:rFonts w:hint="default"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A4双面四合一打印机；打印颜色：黑白</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24</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安检门</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安检门</w:t>
            </w: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电源220V、工作环境室内、功率400W、外形尺寸2050mm*900mm*380mm、扩展功能、usb接口。</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25</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额温仪</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额温仪</w:t>
            </w: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结构及组成由红外探测头，微处理存储器，LCD显示屏等组成，相对温度：-20~+55℃，相对湿度≤93%，适用范围：通过测量额头的热辐量来显示被测量对象的体温、规格156mm*96mm*47mm，测量范围：体温模式：.0~42.9℃；物体：0~100℃，测量时间：1秒；</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26</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饮水机</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立式饮水机</w:t>
            </w: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功能参数：制热量（L/h）：1L/h；储藏箱容量（L)：1L；电源线长度（m）：1m；水温类型：制冷+制热+常温；</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27</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书柜及资料</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书柜及资料</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铁皮图书柜（配备30本新版《新华字典》）</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28</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存包柜</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存包柜</w:t>
            </w: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24门铁皮存包柜，1900*650*350</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85"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29</w:t>
            </w:r>
          </w:p>
        </w:tc>
        <w:tc>
          <w:tcPr>
            <w:tcW w:w="1124"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普通话考点装修</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隔断装修</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墙体用厚度为100mm石膏板或隔音板，在2.8 m的高度用轻钢做框架，中间隔音棉；内墙用聚酯纤维吸音板装饰，送迎风窗口，测音室内外顶部安装节能型吸顶式照明灯具，门。通信线路、照明线路要分别穿管引进，测音室内计算机桌下装一个五孔电源插座；测音室内照明开关在测音室门侧边安装。</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间</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85" w:type="dxa"/>
            <w:vMerge w:val="continue"/>
            <w:noWrap w:val="0"/>
            <w:vAlign w:val="center"/>
          </w:tcPr>
          <w:p>
            <w:pPr>
              <w:keepNext w:val="0"/>
              <w:keepLines w:val="0"/>
              <w:widowControl/>
              <w:suppressLineNumbers w:val="0"/>
              <w:jc w:val="center"/>
              <w:textAlignment w:val="center"/>
              <w:rPr>
                <w:color w:val="auto"/>
                <w:highlight w:val="none"/>
              </w:rPr>
            </w:pPr>
          </w:p>
        </w:tc>
        <w:tc>
          <w:tcPr>
            <w:tcW w:w="1124" w:type="dxa"/>
            <w:vMerge w:val="continue"/>
            <w:noWrap w:val="0"/>
            <w:vAlign w:val="center"/>
          </w:tcPr>
          <w:p>
            <w:pPr>
              <w:keepNext w:val="0"/>
              <w:keepLines w:val="0"/>
              <w:widowControl/>
              <w:suppressLineNumbers w:val="0"/>
              <w:jc w:val="center"/>
              <w:textAlignment w:val="center"/>
              <w:rPr>
                <w:color w:val="auto"/>
                <w:highlight w:val="none"/>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墙面吸音板</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骨架、边框材料种类、规格:木质隔音板</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隔板材料品种、规格、颜色:12mm厚高密度板</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矿棉板吊顶</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吊顶形式、吊杆规格、高度:不上人</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龙骨材料种类、规格、中距:U型轻钢龙骨</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基层材料种类、规格:</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矿棉板 600*600</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吊顶灯具</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吊顶灯具，集成吊顶LED灯，颜色:白色，材质：精工铝材，光色：6500K,功率：85W</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个</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隔音门</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定制木门，按国家语委规定开观察窗</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门代号及洞口尺寸:M0820</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门框或扇外围尺寸:800*2000</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门框、扇材质:隔音门</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五金及锁具齐全</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85"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塑料板踢脚线</w:t>
            </w:r>
          </w:p>
        </w:tc>
        <w:tc>
          <w:tcPr>
            <w:tcW w:w="4718" w:type="dxa"/>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踢脚线高度:8cm</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粘结层厚度、材料种类:塑料扣板踢脚线</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85"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30</w:t>
            </w:r>
          </w:p>
        </w:tc>
        <w:tc>
          <w:tcPr>
            <w:tcW w:w="112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 xml:space="preserve">软件系统部署应用服务器            </w:t>
            </w:r>
          </w:p>
        </w:tc>
        <w:tc>
          <w:tcPr>
            <w:tcW w:w="1996"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服务器</w:t>
            </w: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CPU型号：Xeon Bronze；</w:t>
            </w:r>
          </w:p>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数量：2颗</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内存：16GB*2 ；硬盘：1TB*2；Intel千兆网卡；光驱：DVD</w:t>
            </w:r>
          </w:p>
        </w:tc>
        <w:tc>
          <w:tcPr>
            <w:tcW w:w="984"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台</w:t>
            </w:r>
          </w:p>
        </w:tc>
        <w:tc>
          <w:tcPr>
            <w:tcW w:w="602" w:type="dxa"/>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85"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31</w:t>
            </w:r>
          </w:p>
        </w:tc>
        <w:tc>
          <w:tcPr>
            <w:tcW w:w="1124"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普通话模拟测试与学习系统</w:t>
            </w:r>
          </w:p>
        </w:tc>
        <w:tc>
          <w:tcPr>
            <w:tcW w:w="1996"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普通话模拟测试与学习系统</w:t>
            </w: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模块一 中文语音自动评测引擎：</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支持对学习者口语发音情况给出全面的诊断报告，并可以针对学习者的字、词等学习过程的实时评测及反馈指导。</w:t>
            </w:r>
          </w:p>
        </w:tc>
        <w:tc>
          <w:tcPr>
            <w:tcW w:w="984"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套</w:t>
            </w:r>
          </w:p>
        </w:tc>
        <w:tc>
          <w:tcPr>
            <w:tcW w:w="602" w:type="dxa"/>
            <w:vMerge w:val="restart"/>
            <w:noWrap w:val="0"/>
            <w:vAlign w:val="center"/>
          </w:tcPr>
          <w:p>
            <w:pPr>
              <w:keepNext w:val="0"/>
              <w:keepLines w:val="0"/>
              <w:widowControl/>
              <w:suppressLineNumbers w:val="0"/>
              <w:jc w:val="center"/>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85" w:type="dxa"/>
            <w:vMerge w:val="continue"/>
            <w:noWrap w:val="0"/>
            <w:vAlign w:val="center"/>
          </w:tcPr>
          <w:p>
            <w:pPr>
              <w:keepNext w:val="0"/>
              <w:keepLines w:val="0"/>
              <w:widowControl/>
              <w:suppressLineNumbers w:val="0"/>
              <w:jc w:val="left"/>
              <w:textAlignment w:val="center"/>
              <w:rPr>
                <w:rFonts w:hint="eastAsia" w:ascii="黑体" w:hAnsi="黑体" w:eastAsia="黑体" w:cs="黑体"/>
                <w:color w:val="auto"/>
                <w:sz w:val="24"/>
                <w:szCs w:val="24"/>
                <w:highlight w:val="none"/>
              </w:rPr>
            </w:pPr>
          </w:p>
        </w:tc>
        <w:tc>
          <w:tcPr>
            <w:tcW w:w="1124" w:type="dxa"/>
            <w:vMerge w:val="continue"/>
            <w:noWrap w:val="0"/>
            <w:vAlign w:val="center"/>
          </w:tcPr>
          <w:p>
            <w:pPr>
              <w:keepNext w:val="0"/>
              <w:keepLines w:val="0"/>
              <w:widowControl/>
              <w:suppressLineNumbers w:val="0"/>
              <w:jc w:val="left"/>
              <w:textAlignment w:val="center"/>
              <w:rPr>
                <w:rFonts w:hint="eastAsia" w:ascii="黑体" w:hAnsi="黑体" w:eastAsia="黑体" w:cs="黑体"/>
                <w:color w:val="auto"/>
                <w:sz w:val="24"/>
                <w:szCs w:val="24"/>
                <w:highlight w:val="none"/>
              </w:rPr>
            </w:pPr>
          </w:p>
        </w:tc>
        <w:tc>
          <w:tcPr>
            <w:tcW w:w="1996" w:type="dxa"/>
            <w:vMerge w:val="continue"/>
            <w:noWrap w:val="0"/>
            <w:vAlign w:val="center"/>
          </w:tcPr>
          <w:p>
            <w:pPr>
              <w:keepNext w:val="0"/>
              <w:keepLines w:val="0"/>
              <w:widowControl/>
              <w:suppressLineNumbers w:val="0"/>
              <w:jc w:val="left"/>
              <w:textAlignment w:val="center"/>
              <w:rPr>
                <w:rFonts w:hint="eastAsia" w:ascii="黑体" w:hAnsi="黑体" w:eastAsia="黑体" w:cs="黑体"/>
                <w:color w:val="auto"/>
                <w:sz w:val="24"/>
                <w:szCs w:val="24"/>
                <w:highlight w:val="none"/>
              </w:rPr>
            </w:pP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模块二 pc端普通话模拟考试功能：</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1、普通话自主模拟测试功能</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 xml:space="preserve">    系统提供和国家正式普通话水平测试完全一致的全真模拟测试功能，学习者可在国家规定计算机辅助测试普通话的时间限制的10分钟内，快速评测自己的普通话水平。测试结束后，系统进行实时的语音评测，并给出详细的测试报告，让学习者了解自己的语音能力水平，并指出普通话发音中存在的发音问题。</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2、普通话考核考试功能</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 xml:space="preserve">    系统提供普通话考核考试功能，支持管理员通过后台下发普通话考试任务，组织学习者进行统一的普通话考试。任务布置成功，学员可登录系统可查看普通话考试任务，考试结束后，系统将考试结果统一汇总到后台管理系统，方便管理员进行统一的查看，了解整体或学习者个人的普通话发音缺陷和普通话水平。</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上述两种考试模式考试过程中，系统支持功能，主要如下：</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（1）音频输入输出检测功能：能够帮助学习者在模拟测试前检测设备的音频输入输出功能是否正常。</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（2）考试流程预览功能：在学习者进行模拟测试前，系统提供流程预览功能辅助学习者快速了解，考试题型及考试流程。</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（3）模拟测试功能：提供与国家普通话水平智能测试系统流程完全一致的模拟测试界面，考生可以依据界面提示自主完成模拟测试且支持随时终止测试。</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（4）测试报告功能：学习者模拟测试结束后，系统自动提供发音诊断报告，诊断报告包括分数、等级的预测和学习者在声、韵、调发音中存在的发音问题，并能够指出存在缺陷的拼音、字和词。</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（5）测试记录功能：系统会将学习者测试过程中的测试记录进行统计汇总，方便学习者实时查看个人的自主测试记录，了解自身的薄弱发音项。</w:t>
            </w:r>
          </w:p>
        </w:tc>
        <w:tc>
          <w:tcPr>
            <w:tcW w:w="984"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602"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85"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模块三 手机APP端模块：</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系统采用PC端与手机端统一账号登陆方式，为了方便学习者的学习，系统支持在手机端进行普通话的自主模拟测试和普通话的考核考试，相关流程、功能和pc端基本一致。</w:t>
            </w:r>
          </w:p>
        </w:tc>
        <w:tc>
          <w:tcPr>
            <w:tcW w:w="984"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602"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85"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模块四 普通话考试资源：</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系统提供30套普通话考试试卷，其中，自主模考25套，考核考试5套。</w:t>
            </w:r>
          </w:p>
        </w:tc>
        <w:tc>
          <w:tcPr>
            <w:tcW w:w="984"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602"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85"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124"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1996"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4718" w:type="dxa"/>
            <w:noWrap w:val="0"/>
            <w:vAlign w:val="center"/>
          </w:tcPr>
          <w:p>
            <w:pPr>
              <w:keepNext w:val="0"/>
              <w:keepLines w:val="0"/>
              <w:widowControl/>
              <w:suppressLineNumbers w:val="0"/>
              <w:jc w:val="both"/>
              <w:textAlignment w:val="center"/>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i w:val="0"/>
                <w:iCs w:val="0"/>
                <w:color w:val="auto"/>
                <w:kern w:val="0"/>
                <w:sz w:val="24"/>
                <w:szCs w:val="24"/>
                <w:highlight w:val="none"/>
                <w:u w:val="none"/>
                <w:lang w:val="en-US" w:eastAsia="zh-CN" w:bidi="ar"/>
              </w:rPr>
              <w:t>模块五 后台管理模块：</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系统支持用户管理，支持管理员对自己的学习者进行统一的管理，如增删改查。</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系统支持任务管理，支持管理员统一下发普通话考核考试任务，并对每次的普通话考试数据进行汇总统计查看和导出。</w:t>
            </w:r>
            <w:r>
              <w:rPr>
                <w:rFonts w:hint="eastAsia" w:ascii="黑体" w:hAnsi="黑体" w:eastAsia="黑体" w:cs="黑体"/>
                <w:i w:val="0"/>
                <w:iCs w:val="0"/>
                <w:color w:val="auto"/>
                <w:kern w:val="0"/>
                <w:sz w:val="24"/>
                <w:szCs w:val="24"/>
                <w:highlight w:val="none"/>
                <w:u w:val="none"/>
                <w:lang w:val="en-US" w:eastAsia="zh-CN" w:bidi="ar"/>
              </w:rPr>
              <w:br w:type="textWrapping"/>
            </w:r>
            <w:r>
              <w:rPr>
                <w:rFonts w:hint="eastAsia" w:ascii="黑体" w:hAnsi="黑体" w:eastAsia="黑体" w:cs="黑体"/>
                <w:i w:val="0"/>
                <w:iCs w:val="0"/>
                <w:color w:val="auto"/>
                <w:kern w:val="0"/>
                <w:sz w:val="24"/>
                <w:szCs w:val="24"/>
                <w:highlight w:val="none"/>
                <w:u w:val="none"/>
                <w:lang w:val="en-US" w:eastAsia="zh-CN" w:bidi="ar"/>
              </w:rPr>
              <w:t>系统支持统计分析，支持汇总统计各个班学习者的整体考试数据得分情况分析，同时，也支持对单个学习者的学习数据进行统计分析，并支持统计数据的检索、查看和导出。</w:t>
            </w:r>
          </w:p>
        </w:tc>
        <w:tc>
          <w:tcPr>
            <w:tcW w:w="984"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c>
          <w:tcPr>
            <w:tcW w:w="602" w:type="dxa"/>
            <w:vMerge w:val="continue"/>
            <w:noWrap w:val="0"/>
            <w:vAlign w:val="center"/>
          </w:tcPr>
          <w:p>
            <w:pPr>
              <w:keepNext w:val="0"/>
              <w:keepLines w:val="0"/>
              <w:widowControl/>
              <w:suppressLineNumbers w:val="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r>
    </w:tbl>
    <w:p>
      <w:pPr>
        <w:pStyle w:val="5"/>
        <w:jc w:val="left"/>
        <w:rPr>
          <w:rFonts w:hint="eastAsia" w:ascii="黑体" w:hAnsi="黑体" w:eastAsia="黑体" w:cs="黑体"/>
          <w:color w:val="auto"/>
          <w:kern w:val="2"/>
          <w:sz w:val="24"/>
          <w:szCs w:val="24"/>
          <w:highlight w:val="none"/>
          <w:lang w:val="en-US" w:eastAsia="zh-CN" w:bidi="ar-SA"/>
        </w:rPr>
      </w:pPr>
    </w:p>
    <w:p>
      <w:pPr>
        <w:pStyle w:val="5"/>
        <w:keepNext/>
        <w:keepLines/>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Times New Roman" w:hAnsi="Times New Roman" w:eastAsia="宋体" w:cs="Times New Roman"/>
          <w:b/>
          <w:bCs w:val="0"/>
          <w:color w:val="auto"/>
          <w:kern w:val="2"/>
          <w:sz w:val="28"/>
          <w:szCs w:val="36"/>
          <w:highlight w:val="none"/>
          <w:lang w:val="en-US" w:eastAsia="zh-CN" w:bidi="ar-SA"/>
        </w:rPr>
      </w:pPr>
      <w:r>
        <w:rPr>
          <w:rFonts w:hint="eastAsia" w:ascii="Times New Roman" w:hAnsi="Times New Roman" w:eastAsia="宋体" w:cs="Times New Roman"/>
          <w:b/>
          <w:bCs w:val="0"/>
          <w:color w:val="auto"/>
          <w:kern w:val="2"/>
          <w:sz w:val="28"/>
          <w:szCs w:val="36"/>
          <w:highlight w:val="none"/>
          <w:lang w:val="en-US" w:eastAsia="zh-CN" w:bidi="ar-SA"/>
        </w:rPr>
        <w:t>备注：本项目技术参数不指定任何品牌，若技术参数靠近某品牌规格型号，仅做参考。投标供应商自行选择符合本项目技术参数的投标产品。</w:t>
      </w:r>
    </w:p>
    <w:p>
      <w:pPr>
        <w:pStyle w:val="5"/>
        <w:keepNext/>
        <w:keepLines/>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imes New Roman" w:hAnsi="Times New Roman" w:eastAsia="宋体" w:cs="Times New Roman"/>
          <w:b/>
          <w:bCs w:val="0"/>
          <w:color w:val="auto"/>
          <w:kern w:val="2"/>
          <w:sz w:val="28"/>
          <w:szCs w:val="36"/>
          <w:highlight w:val="none"/>
          <w:lang w:val="en-US" w:eastAsia="zh-CN" w:bidi="ar-SA"/>
        </w:rPr>
      </w:pPr>
      <w:r>
        <w:rPr>
          <w:rFonts w:hint="eastAsia" w:ascii="Times New Roman" w:hAnsi="Times New Roman" w:eastAsia="宋体" w:cs="Times New Roman"/>
          <w:b/>
          <w:bCs w:val="0"/>
          <w:color w:val="auto"/>
          <w:kern w:val="2"/>
          <w:sz w:val="28"/>
          <w:szCs w:val="36"/>
          <w:highlight w:val="none"/>
          <w:lang w:val="en-US" w:eastAsia="zh-CN" w:bidi="ar-SA"/>
        </w:rPr>
        <w:t>本项目采购需求明细表中技术参数均为核心产品，不允许有负偏离。如有负偏离按废标处理。</w:t>
      </w:r>
    </w:p>
    <w:p>
      <w:pPr>
        <w:pStyle w:val="5"/>
        <w:jc w:val="left"/>
        <w:rPr>
          <w:rFonts w:hint="default" w:ascii="Times New Roman" w:hAnsi="Times New Roman" w:eastAsia="宋体" w:cs="Times New Roman"/>
          <w:color w:val="auto"/>
          <w:kern w:val="2"/>
          <w:sz w:val="21"/>
          <w:szCs w:val="24"/>
          <w:highlight w:val="none"/>
          <w:lang w:val="en-US" w:eastAsia="zh-CN" w:bidi="ar-SA"/>
        </w:rPr>
        <w:sectPr>
          <w:headerReference r:id="rId18" w:type="default"/>
          <w:footerReference r:id="rId19" w:type="default"/>
          <w:pgSz w:w="11907" w:h="16840"/>
          <w:pgMar w:top="1474" w:right="1814" w:bottom="1474" w:left="1814" w:header="851" w:footer="851" w:gutter="0"/>
          <w:pgNumType w:fmt="decimal"/>
          <w:cols w:space="720" w:num="1"/>
          <w:docGrid w:linePitch="462" w:charSpace="0"/>
        </w:sectPr>
      </w:pPr>
    </w:p>
    <w:p>
      <w:pPr>
        <w:rPr>
          <w:rFonts w:hint="default" w:ascii="Times New Roman" w:hAnsi="Times New Roman" w:eastAsia="宋体" w:cs="Times New Roman"/>
          <w:b/>
          <w:bCs/>
          <w:color w:val="auto"/>
          <w:kern w:val="2"/>
          <w:sz w:val="21"/>
          <w:szCs w:val="24"/>
          <w:highlight w:val="none"/>
          <w:lang w:val="en-US" w:eastAsia="zh-CN" w:bidi="ar-SA"/>
        </w:rPr>
      </w:pPr>
      <w:r>
        <w:rPr>
          <w:color w:val="auto"/>
          <w:highlight w:val="none"/>
        </w:rPr>
        <w:drawing>
          <wp:anchor distT="0" distB="0" distL="114300" distR="114300" simplePos="0" relativeHeight="251665408" behindDoc="1" locked="0" layoutInCell="1" allowOverlap="1">
            <wp:simplePos x="0" y="0"/>
            <wp:positionH relativeFrom="column">
              <wp:posOffset>-843280</wp:posOffset>
            </wp:positionH>
            <wp:positionV relativeFrom="page">
              <wp:posOffset>3129915</wp:posOffset>
            </wp:positionV>
            <wp:extent cx="7782560" cy="4129405"/>
            <wp:effectExtent l="0" t="0" r="4445" b="8890"/>
            <wp:wrapThrough wrapText="bothSides">
              <wp:wrapPolygon>
                <wp:start x="21600" y="3"/>
                <wp:lineTo x="28" y="3"/>
                <wp:lineTo x="28" y="21527"/>
                <wp:lineTo x="21600" y="21527"/>
                <wp:lineTo x="21600" y="3"/>
              </wp:wrapPolygon>
            </wp:wrapThrough>
            <wp:docPr id="6" name="图片 2" descr="麦盖提县普通话测试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麦盖提县普通话测试站"/>
                    <pic:cNvPicPr>
                      <a:picLocks noChangeAspect="1"/>
                    </pic:cNvPicPr>
                  </pic:nvPicPr>
                  <pic:blipFill>
                    <a:blip r:embed="rId23"/>
                    <a:srcRect l="3599" t="15780" r="2746" b="31243"/>
                    <a:stretch>
                      <a:fillRect/>
                    </a:stretch>
                  </pic:blipFill>
                  <pic:spPr>
                    <a:xfrm rot="16200000">
                      <a:off x="0" y="0"/>
                      <a:ext cx="7782560" cy="4129405"/>
                    </a:xfrm>
                    <a:prstGeom prst="rect">
                      <a:avLst/>
                    </a:prstGeom>
                  </pic:spPr>
                </pic:pic>
              </a:graphicData>
            </a:graphic>
          </wp:anchor>
        </w:drawing>
      </w:r>
      <w:r>
        <w:rPr>
          <w:rFonts w:hint="eastAsia" w:ascii="Times New Roman" w:hAnsi="Times New Roman" w:eastAsia="宋体" w:cs="Times New Roman"/>
          <w:b/>
          <w:bCs/>
          <w:color w:val="auto"/>
          <w:kern w:val="2"/>
          <w:sz w:val="21"/>
          <w:szCs w:val="24"/>
          <w:highlight w:val="none"/>
          <w:lang w:val="en-US" w:eastAsia="zh-CN" w:bidi="ar-SA"/>
        </w:rPr>
        <w:br w:type="page"/>
      </w:r>
    </w:p>
    <w:p>
      <w:pPr>
        <w:keepNext w:val="0"/>
        <w:keepLines w:val="0"/>
        <w:pageBreakBefore w:val="0"/>
        <w:kinsoku/>
        <w:wordWrap/>
        <w:overflowPunct/>
        <w:topLinePunct w:val="0"/>
        <w:bidi w:val="0"/>
        <w:spacing w:line="52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主要商务要求如下</w:t>
      </w:r>
      <w:r>
        <w:rPr>
          <w:rFonts w:hint="eastAsia" w:ascii="Times New Roman" w:hAnsi="Times New Roman" w:eastAsia="宋体" w:cs="Times New Roman"/>
          <w:b w:val="0"/>
          <w:bCs w:val="0"/>
          <w:color w:val="auto"/>
          <w:kern w:val="2"/>
          <w:sz w:val="24"/>
          <w:szCs w:val="24"/>
          <w:highlight w:val="none"/>
          <w:lang w:val="en-US" w:eastAsia="zh-CN" w:bidi="ar-SA"/>
        </w:rPr>
        <w:t>：</w:t>
      </w:r>
    </w:p>
    <w:p>
      <w:pPr>
        <w:keepNext w:val="0"/>
        <w:keepLines w:val="0"/>
        <w:pageBreakBefore w:val="0"/>
        <w:numPr>
          <w:ilvl w:val="0"/>
          <w:numId w:val="10"/>
        </w:numPr>
        <w:kinsoku/>
        <w:wordWrap/>
        <w:overflowPunct/>
        <w:topLinePunct w:val="0"/>
        <w:bidi w:val="0"/>
        <w:spacing w:line="440" w:lineRule="exact"/>
        <w:jc w:val="lef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合同履行期限：自签订合同之日起，25日内完成供货及安装调试完毕</w:t>
      </w:r>
      <w:r>
        <w:rPr>
          <w:rFonts w:hint="eastAsia" w:cs="Times New Roman"/>
          <w:b w:val="0"/>
          <w:bCs w:val="0"/>
          <w:color w:val="auto"/>
          <w:kern w:val="2"/>
          <w:sz w:val="24"/>
          <w:szCs w:val="24"/>
          <w:highlight w:val="none"/>
          <w:lang w:val="en-US" w:eastAsia="zh-CN" w:bidi="ar-SA"/>
        </w:rPr>
        <w:t>。</w:t>
      </w:r>
    </w:p>
    <w:p>
      <w:pPr>
        <w:pStyle w:val="48"/>
        <w:keepNext w:val="0"/>
        <w:keepLines w:val="0"/>
        <w:pageBreakBefore w:val="0"/>
        <w:kinsoku/>
        <w:wordWrap/>
        <w:overflowPunct/>
        <w:topLinePunct w:val="0"/>
        <w:bidi w:val="0"/>
        <w:spacing w:line="44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2、付款方式：</w:t>
      </w:r>
      <w:r>
        <w:rPr>
          <w:rFonts w:hint="eastAsia" w:ascii="Times New Roman" w:cs="Times New Roman"/>
          <w:b w:val="0"/>
          <w:bCs w:val="0"/>
          <w:color w:val="auto"/>
          <w:kern w:val="2"/>
          <w:sz w:val="24"/>
          <w:szCs w:val="24"/>
          <w:highlight w:val="none"/>
          <w:lang w:val="en-US" w:eastAsia="zh-CN" w:bidi="ar-SA"/>
        </w:rPr>
        <w:t>全部货物</w:t>
      </w:r>
      <w:r>
        <w:rPr>
          <w:rFonts w:hint="eastAsia" w:ascii="Times New Roman" w:hAnsi="Times New Roman" w:eastAsia="宋体" w:cs="Times New Roman"/>
          <w:b w:val="0"/>
          <w:bCs w:val="0"/>
          <w:color w:val="auto"/>
          <w:kern w:val="2"/>
          <w:sz w:val="24"/>
          <w:szCs w:val="24"/>
          <w:highlight w:val="none"/>
          <w:lang w:val="en-US" w:eastAsia="zh-CN" w:bidi="ar-SA"/>
        </w:rPr>
        <w:t>安装完成</w:t>
      </w:r>
      <w:r>
        <w:rPr>
          <w:rFonts w:hint="eastAsia" w:ascii="Times New Roman"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验收并试运行合格</w:t>
      </w:r>
      <w:r>
        <w:rPr>
          <w:rFonts w:hint="eastAsia" w:ascii="Times New Roman" w:cs="Times New Roman"/>
          <w:b w:val="0"/>
          <w:bCs w:val="0"/>
          <w:color w:val="auto"/>
          <w:kern w:val="2"/>
          <w:sz w:val="24"/>
          <w:szCs w:val="24"/>
          <w:highlight w:val="none"/>
          <w:lang w:val="en-US" w:eastAsia="zh-CN" w:bidi="ar-SA"/>
        </w:rPr>
        <w:t xml:space="preserve">后支付合同价款的95%，其余款即合同价款的5％为质量保证金，质保期满后若无质量问题一次性付清（无息）。 </w:t>
      </w:r>
    </w:p>
    <w:p>
      <w:pPr>
        <w:pStyle w:val="24"/>
        <w:keepNext w:val="0"/>
        <w:keepLines w:val="0"/>
        <w:pageBreakBefore w:val="0"/>
        <w:kinsoku/>
        <w:wordWrap/>
        <w:overflowPunct/>
        <w:topLinePunct w:val="0"/>
        <w:bidi w:val="0"/>
        <w:spacing w:line="44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3、质保期：</w:t>
      </w:r>
      <w:r>
        <w:rPr>
          <w:rFonts w:hint="eastAsia" w:cs="Times New Roman"/>
          <w:b w:val="0"/>
          <w:bCs w:val="0"/>
          <w:color w:val="auto"/>
          <w:kern w:val="2"/>
          <w:sz w:val="24"/>
          <w:szCs w:val="24"/>
          <w:highlight w:val="none"/>
          <w:lang w:val="en-US" w:eastAsia="zh-CN" w:bidi="ar-SA"/>
        </w:rPr>
        <w:t>成交</w:t>
      </w:r>
      <w:r>
        <w:rPr>
          <w:rFonts w:hint="eastAsia" w:ascii="Times New Roman" w:hAnsi="Times New Roman" w:eastAsia="宋体" w:cs="Times New Roman"/>
          <w:b w:val="0"/>
          <w:bCs w:val="0"/>
          <w:color w:val="auto"/>
          <w:kern w:val="2"/>
          <w:sz w:val="24"/>
          <w:szCs w:val="24"/>
          <w:highlight w:val="none"/>
          <w:lang w:val="en-US" w:eastAsia="zh-CN" w:bidi="ar-SA"/>
        </w:rPr>
        <w:t>人需提供不少于</w:t>
      </w:r>
      <w:r>
        <w:rPr>
          <w:rFonts w:hint="eastAsia" w:cs="Times New Roman"/>
          <w:b w:val="0"/>
          <w:bCs w:val="0"/>
          <w:color w:val="auto"/>
          <w:kern w:val="2"/>
          <w:sz w:val="24"/>
          <w:szCs w:val="24"/>
          <w:highlight w:val="none"/>
          <w:lang w:val="en-US" w:eastAsia="zh-CN" w:bidi="ar-SA"/>
        </w:rPr>
        <w:t>3</w:t>
      </w:r>
      <w:r>
        <w:rPr>
          <w:rFonts w:hint="eastAsia" w:ascii="Times New Roman" w:hAnsi="Times New Roman" w:eastAsia="宋体" w:cs="Times New Roman"/>
          <w:b w:val="0"/>
          <w:bCs w:val="0"/>
          <w:color w:val="auto"/>
          <w:kern w:val="2"/>
          <w:sz w:val="24"/>
          <w:szCs w:val="24"/>
          <w:highlight w:val="none"/>
          <w:lang w:val="en-US" w:eastAsia="zh-CN" w:bidi="ar-SA"/>
        </w:rPr>
        <w:t>年（自验收通过之日起）免费质保服务。在质保期内，合同货物出现质量问题，经维修后仍然出现同样质量问题，应予以无偿更换</w:t>
      </w:r>
      <w:r>
        <w:rPr>
          <w:rFonts w:hint="eastAsia" w:cs="Times New Roman"/>
          <w:b w:val="0"/>
          <w:bCs w:val="0"/>
          <w:color w:val="auto"/>
          <w:kern w:val="2"/>
          <w:sz w:val="24"/>
          <w:szCs w:val="24"/>
          <w:highlight w:val="none"/>
          <w:lang w:val="en-US" w:eastAsia="zh-CN" w:bidi="ar-SA"/>
        </w:rPr>
        <w:t>，系统软件若出现故障无法使用时，应安排专人无偿到达现场进行维修调试，直至系统能够正常使用</w:t>
      </w:r>
      <w:r>
        <w:rPr>
          <w:rFonts w:hint="eastAsia" w:ascii="Times New Roman" w:hAnsi="Times New Roman" w:eastAsia="宋体" w:cs="Times New Roman"/>
          <w:b w:val="0"/>
          <w:bCs w:val="0"/>
          <w:color w:val="auto"/>
          <w:kern w:val="2"/>
          <w:sz w:val="24"/>
          <w:szCs w:val="24"/>
          <w:highlight w:val="none"/>
          <w:lang w:val="en-US" w:eastAsia="zh-CN" w:bidi="ar-SA"/>
        </w:rPr>
        <w:t>。由此发生的费用，由</w:t>
      </w:r>
      <w:r>
        <w:rPr>
          <w:rFonts w:hint="eastAsia" w:cs="Times New Roman"/>
          <w:b w:val="0"/>
          <w:bCs w:val="0"/>
          <w:color w:val="auto"/>
          <w:kern w:val="2"/>
          <w:sz w:val="24"/>
          <w:szCs w:val="24"/>
          <w:highlight w:val="none"/>
          <w:lang w:val="en-US" w:eastAsia="zh-CN" w:bidi="ar-SA"/>
        </w:rPr>
        <w:t>成交</w:t>
      </w:r>
      <w:r>
        <w:rPr>
          <w:rFonts w:hint="eastAsia" w:ascii="Times New Roman" w:hAnsi="Times New Roman" w:eastAsia="宋体" w:cs="Times New Roman"/>
          <w:b w:val="0"/>
          <w:bCs w:val="0"/>
          <w:color w:val="auto"/>
          <w:kern w:val="2"/>
          <w:sz w:val="24"/>
          <w:szCs w:val="24"/>
          <w:highlight w:val="none"/>
          <w:lang w:val="en-US" w:eastAsia="zh-CN" w:bidi="ar-SA"/>
        </w:rPr>
        <w:t>供应商承担。</w:t>
      </w:r>
    </w:p>
    <w:p>
      <w:pPr>
        <w:pStyle w:val="2"/>
        <w:keepNext w:val="0"/>
        <w:keepLines w:val="0"/>
        <w:pageBreakBefore w:val="0"/>
        <w:kinsoku/>
        <w:wordWrap/>
        <w:overflowPunct/>
        <w:topLinePunct w:val="0"/>
        <w:bidi w:val="0"/>
        <w:spacing w:line="440" w:lineRule="exact"/>
        <w:ind w:firstLine="0" w:firstLineChars="0"/>
        <w:jc w:val="lef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4、验收依据：按国家相关标准规定、</w:t>
      </w:r>
      <w:r>
        <w:rPr>
          <w:rFonts w:hint="eastAsia" w:ascii="Times New Roman" w:hAnsi="Times New Roman" w:cs="Times New Roman"/>
          <w:b w:val="0"/>
          <w:bCs w:val="0"/>
          <w:color w:val="auto"/>
          <w:kern w:val="2"/>
          <w:sz w:val="24"/>
          <w:szCs w:val="24"/>
          <w:highlight w:val="none"/>
          <w:lang w:val="en-US" w:eastAsia="zh-CN" w:bidi="ar-SA"/>
        </w:rPr>
        <w:t>磋商</w:t>
      </w:r>
      <w:r>
        <w:rPr>
          <w:rFonts w:hint="eastAsia" w:ascii="Times New Roman" w:hAnsi="Times New Roman" w:eastAsia="宋体" w:cs="Times New Roman"/>
          <w:b w:val="0"/>
          <w:bCs w:val="0"/>
          <w:color w:val="auto"/>
          <w:kern w:val="2"/>
          <w:sz w:val="24"/>
          <w:szCs w:val="24"/>
          <w:highlight w:val="none"/>
          <w:lang w:val="en-US" w:eastAsia="zh-CN" w:bidi="ar-SA"/>
        </w:rPr>
        <w:t>文件的质量要求和技术指标、</w:t>
      </w:r>
      <w:r>
        <w:rPr>
          <w:rFonts w:hint="eastAsia" w:ascii="Times New Roman" w:hAnsi="Times New Roman" w:cs="Times New Roman"/>
          <w:b w:val="0"/>
          <w:bCs w:val="0"/>
          <w:color w:val="auto"/>
          <w:kern w:val="2"/>
          <w:sz w:val="24"/>
          <w:szCs w:val="24"/>
          <w:highlight w:val="none"/>
          <w:lang w:val="en-US" w:eastAsia="zh-CN" w:bidi="ar-SA"/>
        </w:rPr>
        <w:t>成交</w:t>
      </w:r>
      <w:r>
        <w:rPr>
          <w:rFonts w:hint="eastAsia" w:ascii="Times New Roman" w:hAnsi="Times New Roman" w:eastAsia="宋体" w:cs="Times New Roman"/>
          <w:b w:val="0"/>
          <w:bCs w:val="0"/>
          <w:color w:val="auto"/>
          <w:kern w:val="2"/>
          <w:sz w:val="24"/>
          <w:szCs w:val="24"/>
          <w:highlight w:val="none"/>
          <w:lang w:val="en-US" w:eastAsia="zh-CN" w:bidi="ar-SA"/>
        </w:rPr>
        <w:t>人的</w:t>
      </w:r>
      <w:r>
        <w:rPr>
          <w:rFonts w:hint="eastAsia" w:ascii="Times New Roman" w:hAnsi="Times New Roman" w:cs="Times New Roman"/>
          <w:b w:val="0"/>
          <w:bCs w:val="0"/>
          <w:color w:val="auto"/>
          <w:kern w:val="2"/>
          <w:sz w:val="24"/>
          <w:szCs w:val="24"/>
          <w:highlight w:val="none"/>
          <w:lang w:val="en-US" w:eastAsia="zh-CN" w:bidi="ar-SA"/>
        </w:rPr>
        <w:t>响应文件</w:t>
      </w:r>
      <w:r>
        <w:rPr>
          <w:rFonts w:hint="eastAsia" w:ascii="Times New Roman" w:hAnsi="Times New Roman" w:eastAsia="宋体" w:cs="Times New Roman"/>
          <w:b w:val="0"/>
          <w:bCs w:val="0"/>
          <w:color w:val="auto"/>
          <w:kern w:val="2"/>
          <w:sz w:val="24"/>
          <w:szCs w:val="24"/>
          <w:highlight w:val="none"/>
          <w:lang w:val="en-US" w:eastAsia="zh-CN" w:bidi="ar-SA"/>
        </w:rPr>
        <w:t>及承诺以及合同约定标准进行验收。验收合格后出具验收报告书。验收过程中如需国家技术监督部门等相关部门进行检测，检测费用由成交供应商承担。此项目验收需</w:t>
      </w:r>
      <w:r>
        <w:rPr>
          <w:rFonts w:hint="eastAsia" w:ascii="Times New Roman" w:hAnsi="Times New Roman" w:cs="Times New Roman"/>
          <w:b w:val="0"/>
          <w:bCs w:val="0"/>
          <w:color w:val="auto"/>
          <w:kern w:val="2"/>
          <w:sz w:val="24"/>
          <w:szCs w:val="24"/>
          <w:highlight w:val="none"/>
          <w:lang w:val="en-US" w:eastAsia="zh-CN" w:bidi="ar-SA"/>
        </w:rPr>
        <w:t>成交人</w:t>
      </w:r>
      <w:r>
        <w:rPr>
          <w:rFonts w:hint="eastAsia" w:ascii="Times New Roman" w:hAnsi="Times New Roman" w:eastAsia="宋体" w:cs="Times New Roman"/>
          <w:b w:val="0"/>
          <w:bCs w:val="0"/>
          <w:color w:val="auto"/>
          <w:kern w:val="2"/>
          <w:sz w:val="24"/>
          <w:szCs w:val="24"/>
          <w:highlight w:val="none"/>
          <w:lang w:val="en-US" w:eastAsia="zh-CN" w:bidi="ar-SA"/>
        </w:rPr>
        <w:t>邀请自治区相关专业人员参与，所产生的一切费用由</w:t>
      </w:r>
      <w:r>
        <w:rPr>
          <w:rFonts w:hint="eastAsia" w:ascii="Times New Roman" w:hAnsi="Times New Roman" w:cs="Times New Roman"/>
          <w:b w:val="0"/>
          <w:bCs w:val="0"/>
          <w:color w:val="auto"/>
          <w:kern w:val="2"/>
          <w:sz w:val="24"/>
          <w:szCs w:val="24"/>
          <w:highlight w:val="none"/>
          <w:lang w:val="en-US" w:eastAsia="zh-CN" w:bidi="ar-SA"/>
        </w:rPr>
        <w:t>成交人</w:t>
      </w:r>
      <w:r>
        <w:rPr>
          <w:rFonts w:hint="eastAsia" w:ascii="Times New Roman" w:hAnsi="Times New Roman" w:eastAsia="宋体" w:cs="Times New Roman"/>
          <w:b w:val="0"/>
          <w:bCs w:val="0"/>
          <w:color w:val="auto"/>
          <w:kern w:val="2"/>
          <w:sz w:val="24"/>
          <w:szCs w:val="24"/>
          <w:highlight w:val="none"/>
          <w:lang w:val="en-US" w:eastAsia="zh-CN" w:bidi="ar-SA"/>
        </w:rPr>
        <w:t>自理。普通话模拟测试与学习系统符合国家对“国家普通话水平智能测试系统”的相关标准要求</w:t>
      </w:r>
      <w:r>
        <w:rPr>
          <w:rFonts w:hint="eastAsia" w:ascii="Times New Roman" w:hAnsi="Times New Roman" w:cs="Times New Roman"/>
          <w:b w:val="0"/>
          <w:bCs w:val="0"/>
          <w:color w:val="auto"/>
          <w:kern w:val="2"/>
          <w:sz w:val="24"/>
          <w:szCs w:val="24"/>
          <w:highlight w:val="none"/>
          <w:lang w:val="en-US" w:eastAsia="zh-CN" w:bidi="ar-SA"/>
        </w:rPr>
        <w:t>。所有考务监控</w:t>
      </w:r>
      <w:r>
        <w:rPr>
          <w:rFonts w:hint="eastAsia" w:cs="Times New Roman"/>
          <w:b w:val="0"/>
          <w:bCs w:val="0"/>
          <w:color w:val="auto"/>
          <w:kern w:val="2"/>
          <w:sz w:val="24"/>
          <w:szCs w:val="24"/>
          <w:highlight w:val="none"/>
          <w:lang w:val="en-US" w:eastAsia="zh-CN" w:bidi="ar-SA"/>
        </w:rPr>
        <w:t>设备</w:t>
      </w:r>
      <w:r>
        <w:rPr>
          <w:rFonts w:hint="eastAsia" w:ascii="Times New Roman" w:hAnsi="Times New Roman" w:cs="Times New Roman"/>
          <w:b w:val="0"/>
          <w:bCs w:val="0"/>
          <w:color w:val="auto"/>
          <w:kern w:val="2"/>
          <w:sz w:val="24"/>
          <w:szCs w:val="24"/>
          <w:highlight w:val="none"/>
          <w:lang w:val="en-US" w:eastAsia="zh-CN" w:bidi="ar-SA"/>
        </w:rPr>
        <w:t>对接教育厅考务系统。</w:t>
      </w:r>
    </w:p>
    <w:p>
      <w:pPr>
        <w:pStyle w:val="2"/>
        <w:keepNext w:val="0"/>
        <w:keepLines w:val="0"/>
        <w:pageBreakBefore w:val="0"/>
        <w:kinsoku/>
        <w:wordWrap/>
        <w:overflowPunct/>
        <w:topLinePunct w:val="0"/>
        <w:bidi w:val="0"/>
        <w:spacing w:line="440" w:lineRule="exact"/>
        <w:ind w:firstLine="0" w:firstLineChars="0"/>
        <w:jc w:val="lef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5、验收方式：分初步验收和最终验收，货物进场后，验收人员对货物包装、外观等进行初步验收，主要检查是否有碰撞损坏、产品合格证及检测报告是否</w:t>
      </w:r>
      <w:r>
        <w:rPr>
          <w:rFonts w:hint="eastAsia" w:ascii="Times New Roman" w:hAnsi="Times New Roman" w:cs="Times New Roman"/>
          <w:b w:val="0"/>
          <w:bCs w:val="0"/>
          <w:color w:val="auto"/>
          <w:kern w:val="2"/>
          <w:sz w:val="24"/>
          <w:szCs w:val="24"/>
          <w:highlight w:val="none"/>
          <w:lang w:val="en-US" w:eastAsia="zh-CN" w:bidi="ar-SA"/>
        </w:rPr>
        <w:t>合格、</w:t>
      </w:r>
      <w:r>
        <w:rPr>
          <w:rFonts w:hint="eastAsia" w:ascii="Times New Roman" w:hAnsi="Times New Roman" w:eastAsia="宋体" w:cs="Times New Roman"/>
          <w:b w:val="0"/>
          <w:bCs w:val="0"/>
          <w:color w:val="auto"/>
          <w:kern w:val="2"/>
          <w:sz w:val="24"/>
          <w:szCs w:val="24"/>
          <w:highlight w:val="none"/>
          <w:lang w:val="en-US" w:eastAsia="zh-CN" w:bidi="ar-SA"/>
        </w:rPr>
        <w:t>齐全等。安装调试完成后进行最终验收，主要检查安装是否整洁规范，资料收集是否齐全，</w:t>
      </w:r>
      <w:r>
        <w:rPr>
          <w:rFonts w:hint="eastAsia" w:ascii="Times New Roman" w:hAnsi="Times New Roman" w:cs="Times New Roman"/>
          <w:b w:val="0"/>
          <w:bCs w:val="0"/>
          <w:color w:val="auto"/>
          <w:kern w:val="2"/>
          <w:sz w:val="24"/>
          <w:szCs w:val="24"/>
          <w:highlight w:val="none"/>
          <w:lang w:val="en-US" w:eastAsia="zh-CN" w:bidi="ar-SA"/>
        </w:rPr>
        <w:t>软件及硬件是否达到本项目要求，并能够正常使用</w:t>
      </w:r>
      <w:r>
        <w:rPr>
          <w:rFonts w:hint="eastAsia" w:ascii="Times New Roman" w:hAnsi="Times New Roman" w:eastAsia="宋体" w:cs="Times New Roman"/>
          <w:b w:val="0"/>
          <w:bCs w:val="0"/>
          <w:color w:val="auto"/>
          <w:kern w:val="2"/>
          <w:sz w:val="24"/>
          <w:szCs w:val="24"/>
          <w:highlight w:val="none"/>
          <w:lang w:val="en-US" w:eastAsia="zh-CN" w:bidi="ar-SA"/>
        </w:rPr>
        <w:t>，是否签署质量保修书，是否做到人走场清等。若未通过验收者、必须重新配送，不得以任何借口推诿。</w:t>
      </w:r>
    </w:p>
    <w:p>
      <w:pPr>
        <w:pStyle w:val="24"/>
        <w:keepNext w:val="0"/>
        <w:keepLines w:val="0"/>
        <w:pageBreakBefore w:val="0"/>
        <w:kinsoku/>
        <w:wordWrap/>
        <w:overflowPunct/>
        <w:topLinePunct w:val="0"/>
        <w:bidi w:val="0"/>
        <w:spacing w:line="440" w:lineRule="exact"/>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6</w:t>
      </w:r>
      <w:r>
        <w:rPr>
          <w:rFonts w:hint="eastAsia" w:ascii="Times New Roman" w:hAnsi="Times New Roman" w:eastAsia="宋体" w:cs="Times New Roman"/>
          <w:b w:val="0"/>
          <w:bCs w:val="0"/>
          <w:color w:val="auto"/>
          <w:kern w:val="2"/>
          <w:sz w:val="24"/>
          <w:szCs w:val="24"/>
          <w:highlight w:val="none"/>
          <w:lang w:val="en-US" w:eastAsia="zh-CN" w:bidi="ar-SA"/>
        </w:rPr>
        <w:t>、验收单位：</w:t>
      </w:r>
      <w:r>
        <w:rPr>
          <w:rFonts w:hint="eastAsia" w:cs="Times New Roman"/>
          <w:b w:val="0"/>
          <w:bCs w:val="0"/>
          <w:color w:val="auto"/>
          <w:kern w:val="2"/>
          <w:sz w:val="24"/>
          <w:szCs w:val="24"/>
          <w:highlight w:val="none"/>
          <w:lang w:val="en-US" w:eastAsia="zh-CN" w:bidi="ar-SA"/>
        </w:rPr>
        <w:t>喀什职业技术学院</w:t>
      </w:r>
      <w:r>
        <w:rPr>
          <w:rFonts w:hint="eastAsia" w:ascii="Times New Roman" w:hAnsi="Times New Roman" w:eastAsia="宋体" w:cs="Times New Roman"/>
          <w:b w:val="0"/>
          <w:bCs w:val="0"/>
          <w:color w:val="auto"/>
          <w:kern w:val="2"/>
          <w:sz w:val="24"/>
          <w:szCs w:val="24"/>
          <w:highlight w:val="none"/>
          <w:lang w:val="en-US" w:eastAsia="zh-CN" w:bidi="ar-SA"/>
        </w:rPr>
        <w:t>及相关单位</w:t>
      </w:r>
    </w:p>
    <w:p>
      <w:pPr>
        <w:pStyle w:val="24"/>
        <w:keepNext w:val="0"/>
        <w:keepLines w:val="0"/>
        <w:pageBreakBefore w:val="0"/>
        <w:kinsoku/>
        <w:wordWrap/>
        <w:overflowPunct/>
        <w:topLinePunct w:val="0"/>
        <w:bidi w:val="0"/>
        <w:spacing w:line="440" w:lineRule="exac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7</w:t>
      </w:r>
      <w:r>
        <w:rPr>
          <w:rFonts w:hint="eastAsia" w:ascii="Times New Roman" w:hAnsi="Times New Roman" w:eastAsia="宋体" w:cs="Times New Roman"/>
          <w:b w:val="0"/>
          <w:bCs w:val="0"/>
          <w:color w:val="auto"/>
          <w:kern w:val="2"/>
          <w:sz w:val="24"/>
          <w:szCs w:val="24"/>
          <w:highlight w:val="none"/>
          <w:lang w:val="en-US" w:eastAsia="zh-CN" w:bidi="ar-SA"/>
        </w:rPr>
        <w:t>、售后服务要求：</w:t>
      </w:r>
      <w:r>
        <w:rPr>
          <w:rFonts w:hint="eastAsia" w:cs="Times New Roman"/>
          <w:b w:val="0"/>
          <w:bCs w:val="0"/>
          <w:color w:val="auto"/>
          <w:kern w:val="2"/>
          <w:sz w:val="24"/>
          <w:szCs w:val="24"/>
          <w:highlight w:val="none"/>
          <w:lang w:val="en-US" w:eastAsia="zh-CN" w:bidi="ar-SA"/>
        </w:rPr>
        <w:t>供应商需针对本项目制定详细的</w:t>
      </w:r>
      <w:r>
        <w:rPr>
          <w:rFonts w:hint="eastAsia" w:ascii="Times New Roman" w:hAnsi="Times New Roman" w:eastAsia="宋体" w:cs="Times New Roman"/>
          <w:b w:val="0"/>
          <w:bCs w:val="0"/>
          <w:color w:val="auto"/>
          <w:kern w:val="2"/>
          <w:sz w:val="24"/>
          <w:szCs w:val="24"/>
          <w:highlight w:val="none"/>
          <w:lang w:val="en-US" w:eastAsia="zh-CN" w:bidi="ar-SA"/>
        </w:rPr>
        <w:t>售后服务方案，包括但</w:t>
      </w:r>
      <w:r>
        <w:rPr>
          <w:rFonts w:hint="eastAsia" w:cs="Times New Roman"/>
          <w:b w:val="0"/>
          <w:bCs w:val="0"/>
          <w:color w:val="auto"/>
          <w:kern w:val="2"/>
          <w:sz w:val="24"/>
          <w:szCs w:val="24"/>
          <w:highlight w:val="none"/>
          <w:lang w:val="en-US" w:eastAsia="zh-CN" w:bidi="ar-SA"/>
        </w:rPr>
        <w:t>不</w:t>
      </w:r>
      <w:r>
        <w:rPr>
          <w:rFonts w:hint="eastAsia" w:ascii="Times New Roman" w:hAnsi="Times New Roman" w:eastAsia="宋体" w:cs="Times New Roman"/>
          <w:b w:val="0"/>
          <w:bCs w:val="0"/>
          <w:color w:val="auto"/>
          <w:kern w:val="2"/>
          <w:sz w:val="24"/>
          <w:szCs w:val="24"/>
          <w:highlight w:val="none"/>
          <w:lang w:val="en-US" w:eastAsia="zh-CN" w:bidi="ar-SA"/>
        </w:rPr>
        <w:t>限于以下内容：</w:t>
      </w:r>
    </w:p>
    <w:p>
      <w:pPr>
        <w:pStyle w:val="24"/>
        <w:keepNext w:val="0"/>
        <w:keepLines w:val="0"/>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（1）供应商需提供的技术服务包括但</w:t>
      </w:r>
      <w:r>
        <w:rPr>
          <w:rFonts w:hint="eastAsia" w:cs="Times New Roman"/>
          <w:b w:val="0"/>
          <w:bCs w:val="0"/>
          <w:color w:val="auto"/>
          <w:kern w:val="2"/>
          <w:sz w:val="24"/>
          <w:szCs w:val="24"/>
          <w:highlight w:val="none"/>
          <w:lang w:val="en-US" w:eastAsia="zh-CN" w:bidi="ar-SA"/>
        </w:rPr>
        <w:t>不</w:t>
      </w:r>
      <w:r>
        <w:rPr>
          <w:rFonts w:hint="eastAsia" w:ascii="Times New Roman" w:hAnsi="Times New Roman" w:eastAsia="宋体" w:cs="Times New Roman"/>
          <w:b w:val="0"/>
          <w:bCs w:val="0"/>
          <w:color w:val="auto"/>
          <w:kern w:val="2"/>
          <w:sz w:val="24"/>
          <w:szCs w:val="24"/>
          <w:highlight w:val="none"/>
          <w:lang w:val="en-US" w:eastAsia="zh-CN" w:bidi="ar-SA"/>
        </w:rPr>
        <w:t>限于备品备件价格、售后服务</w:t>
      </w:r>
      <w:r>
        <w:rPr>
          <w:rFonts w:hint="eastAsia" w:cs="Times New Roman"/>
          <w:b w:val="0"/>
          <w:bCs w:val="0"/>
          <w:color w:val="auto"/>
          <w:kern w:val="2"/>
          <w:sz w:val="24"/>
          <w:szCs w:val="24"/>
          <w:highlight w:val="none"/>
          <w:lang w:val="en-US" w:eastAsia="zh-CN" w:bidi="ar-SA"/>
        </w:rPr>
        <w:t>地址</w:t>
      </w:r>
      <w:r>
        <w:rPr>
          <w:rFonts w:hint="eastAsia" w:ascii="Times New Roman" w:hAnsi="Times New Roman" w:eastAsia="宋体" w:cs="Times New Roman"/>
          <w:b w:val="0"/>
          <w:bCs w:val="0"/>
          <w:color w:val="auto"/>
          <w:kern w:val="2"/>
          <w:sz w:val="24"/>
          <w:szCs w:val="24"/>
          <w:highlight w:val="none"/>
          <w:lang w:val="en-US" w:eastAsia="zh-CN" w:bidi="ar-SA"/>
        </w:rPr>
        <w:t>、联系人及方式等；装机</w:t>
      </w:r>
      <w:r>
        <w:rPr>
          <w:rFonts w:hint="eastAsia" w:cs="Times New Roman"/>
          <w:b w:val="0"/>
          <w:bCs w:val="0"/>
          <w:color w:val="auto"/>
          <w:kern w:val="2"/>
          <w:sz w:val="24"/>
          <w:szCs w:val="24"/>
          <w:highlight w:val="none"/>
          <w:lang w:val="en-US" w:eastAsia="zh-CN" w:bidi="ar-SA"/>
        </w:rPr>
        <w:t>及系统调试</w:t>
      </w:r>
      <w:r>
        <w:rPr>
          <w:rFonts w:hint="eastAsia" w:ascii="Times New Roman" w:hAnsi="Times New Roman" w:eastAsia="宋体" w:cs="Times New Roman"/>
          <w:b w:val="0"/>
          <w:bCs w:val="0"/>
          <w:color w:val="auto"/>
          <w:kern w:val="2"/>
          <w:sz w:val="24"/>
          <w:szCs w:val="24"/>
          <w:highlight w:val="none"/>
          <w:lang w:val="en-US" w:eastAsia="zh-CN" w:bidi="ar-SA"/>
        </w:rPr>
        <w:t>时使用培训和日常维护培训各不少于</w:t>
      </w:r>
      <w:r>
        <w:rPr>
          <w:rFonts w:hint="eastAsia" w:cs="Times New Roman"/>
          <w:b w:val="0"/>
          <w:bCs w:val="0"/>
          <w:color w:val="auto"/>
          <w:kern w:val="2"/>
          <w:sz w:val="24"/>
          <w:szCs w:val="24"/>
          <w:highlight w:val="none"/>
          <w:lang w:val="en-US" w:eastAsia="zh-CN" w:bidi="ar-SA"/>
        </w:rPr>
        <w:t>三个工作日</w:t>
      </w:r>
      <w:r>
        <w:rPr>
          <w:rFonts w:hint="eastAsia" w:ascii="Times New Roman" w:hAnsi="Times New Roman" w:eastAsia="宋体" w:cs="Times New Roman"/>
          <w:b w:val="0"/>
          <w:bCs w:val="0"/>
          <w:color w:val="auto"/>
          <w:kern w:val="2"/>
          <w:sz w:val="24"/>
          <w:szCs w:val="24"/>
          <w:highlight w:val="none"/>
          <w:lang w:val="en-US" w:eastAsia="zh-CN" w:bidi="ar-SA"/>
        </w:rPr>
        <w:t>，软件2年内免费远程维护和升级。并确保现场不限次培训，包教包会，并提供使用和维修教程的电子版资料。</w:t>
      </w:r>
    </w:p>
    <w:p>
      <w:pPr>
        <w:pStyle w:val="24"/>
        <w:keepNext w:val="0"/>
        <w:keepLines w:val="0"/>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（2）成交人在质保期内需至少到场免费检查维护不少于三次。</w:t>
      </w:r>
    </w:p>
    <w:p>
      <w:pPr>
        <w:pStyle w:val="24"/>
        <w:keepNext w:val="0"/>
        <w:keepLines w:val="0"/>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（3）在保修期内</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对所有产品实行“三包”服务，设备运行中因产品质量出现问题导致设备无法正常使用，成交单位应在</w:t>
      </w:r>
      <w:r>
        <w:rPr>
          <w:rFonts w:hint="eastAsia" w:cs="Times New Roman"/>
          <w:b w:val="0"/>
          <w:bCs w:val="0"/>
          <w:color w:val="auto"/>
          <w:kern w:val="2"/>
          <w:sz w:val="24"/>
          <w:szCs w:val="24"/>
          <w:highlight w:val="none"/>
          <w:lang w:val="en-US" w:eastAsia="zh-CN" w:bidi="ar-SA"/>
        </w:rPr>
        <w:t>24</w:t>
      </w:r>
      <w:r>
        <w:rPr>
          <w:rFonts w:hint="eastAsia" w:ascii="Times New Roman" w:hAnsi="Times New Roman" w:eastAsia="宋体" w:cs="Times New Roman"/>
          <w:b w:val="0"/>
          <w:bCs w:val="0"/>
          <w:color w:val="auto"/>
          <w:kern w:val="2"/>
          <w:sz w:val="24"/>
          <w:szCs w:val="24"/>
          <w:highlight w:val="none"/>
          <w:lang w:val="en-US" w:eastAsia="zh-CN" w:bidi="ar-SA"/>
        </w:rPr>
        <w:t>个小时内响应、</w:t>
      </w:r>
      <w:r>
        <w:rPr>
          <w:rFonts w:hint="eastAsia" w:cs="Times New Roman"/>
          <w:b w:val="0"/>
          <w:bCs w:val="0"/>
          <w:color w:val="auto"/>
          <w:kern w:val="2"/>
          <w:sz w:val="24"/>
          <w:szCs w:val="24"/>
          <w:highlight w:val="none"/>
          <w:lang w:val="en-US" w:eastAsia="zh-CN" w:bidi="ar-SA"/>
        </w:rPr>
        <w:t>48</w:t>
      </w:r>
      <w:r>
        <w:rPr>
          <w:rFonts w:hint="eastAsia" w:ascii="Times New Roman" w:hAnsi="Times New Roman" w:eastAsia="宋体" w:cs="Times New Roman"/>
          <w:b w:val="0"/>
          <w:bCs w:val="0"/>
          <w:color w:val="auto"/>
          <w:kern w:val="2"/>
          <w:sz w:val="24"/>
          <w:szCs w:val="24"/>
          <w:highlight w:val="none"/>
          <w:lang w:val="en-US" w:eastAsia="zh-CN" w:bidi="ar-SA"/>
        </w:rPr>
        <w:t>个小时内到达设备现场，并自行承担与维修和更换相关材料、运输、安装、调试、保险等全部所产生的费用。</w:t>
      </w:r>
    </w:p>
    <w:p>
      <w:pPr>
        <w:pStyle w:val="24"/>
        <w:keepNext w:val="0"/>
        <w:keepLines w:val="0"/>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4）保修期后，因产品质量出现问题导致设备无法正常使用，成交方负责设备使用寿命内维修或更换，采购人负责材料购置及相关费用（仅限成本费用）。对超出保修条件的维修，成交方可收取适当的维修成本，并将继续积极地为用户提供支持。</w:t>
      </w:r>
    </w:p>
    <w:p>
      <w:pPr>
        <w:pStyle w:val="24"/>
        <w:keepNext w:val="0"/>
        <w:keepLines w:val="0"/>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（5）开机率按工作日计算，累计故障不超过</w:t>
      </w:r>
      <w:r>
        <w:rPr>
          <w:rFonts w:hint="eastAsia" w:cs="Times New Roman"/>
          <w:b w:val="0"/>
          <w:bCs w:val="0"/>
          <w:color w:val="auto"/>
          <w:kern w:val="2"/>
          <w:sz w:val="24"/>
          <w:szCs w:val="24"/>
          <w:highlight w:val="none"/>
          <w:lang w:val="en-US" w:eastAsia="zh-CN" w:bidi="ar-SA"/>
        </w:rPr>
        <w:t>3</w:t>
      </w:r>
      <w:r>
        <w:rPr>
          <w:rFonts w:hint="eastAsia" w:ascii="Times New Roman" w:hAnsi="Times New Roman" w:eastAsia="宋体" w:cs="Times New Roman"/>
          <w:b w:val="0"/>
          <w:bCs w:val="0"/>
          <w:color w:val="auto"/>
          <w:kern w:val="2"/>
          <w:sz w:val="24"/>
          <w:szCs w:val="24"/>
          <w:highlight w:val="none"/>
          <w:lang w:val="en-US" w:eastAsia="zh-CN" w:bidi="ar-SA"/>
        </w:rPr>
        <w:t>天，每超过一天，按</w:t>
      </w:r>
      <w:r>
        <w:rPr>
          <w:rFonts w:hint="eastAsia" w:cs="Times New Roman"/>
          <w:b w:val="0"/>
          <w:bCs w:val="0"/>
          <w:color w:val="auto"/>
          <w:kern w:val="2"/>
          <w:sz w:val="24"/>
          <w:szCs w:val="24"/>
          <w:highlight w:val="none"/>
          <w:lang w:val="en-US" w:eastAsia="zh-CN" w:bidi="ar-SA"/>
        </w:rPr>
        <w:t>采购人</w:t>
      </w:r>
      <w:r>
        <w:rPr>
          <w:rFonts w:hint="eastAsia" w:ascii="Times New Roman" w:hAnsi="Times New Roman" w:eastAsia="宋体" w:cs="Times New Roman"/>
          <w:b w:val="0"/>
          <w:bCs w:val="0"/>
          <w:color w:val="auto"/>
          <w:kern w:val="2"/>
          <w:sz w:val="24"/>
          <w:szCs w:val="24"/>
          <w:highlight w:val="none"/>
          <w:lang w:val="en-US" w:eastAsia="zh-CN" w:bidi="ar-SA"/>
        </w:rPr>
        <w:t>该设备上月日均全部收费为标准计算直接损失，收费标准按照新疆维吾尔自治区发改委相关物价标准执行。</w:t>
      </w:r>
    </w:p>
    <w:p>
      <w:pPr>
        <w:pStyle w:val="24"/>
        <w:keepNext w:val="0"/>
        <w:keepLines w:val="0"/>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（6）供应</w:t>
      </w:r>
      <w:r>
        <w:rPr>
          <w:rFonts w:hint="eastAsia" w:cs="Times New Roman"/>
          <w:b w:val="0"/>
          <w:bCs w:val="0"/>
          <w:color w:val="auto"/>
          <w:kern w:val="2"/>
          <w:sz w:val="24"/>
          <w:szCs w:val="24"/>
          <w:highlight w:val="none"/>
          <w:lang w:val="en-US" w:eastAsia="zh-CN" w:bidi="ar-SA"/>
        </w:rPr>
        <w:t>商</w:t>
      </w:r>
      <w:r>
        <w:rPr>
          <w:rFonts w:hint="eastAsia" w:ascii="Times New Roman" w:hAnsi="Times New Roman" w:eastAsia="宋体" w:cs="Times New Roman"/>
          <w:b w:val="0"/>
          <w:bCs w:val="0"/>
          <w:color w:val="auto"/>
          <w:kern w:val="2"/>
          <w:sz w:val="24"/>
          <w:szCs w:val="24"/>
          <w:highlight w:val="none"/>
          <w:lang w:val="en-US" w:eastAsia="zh-CN" w:bidi="ar-SA"/>
        </w:rPr>
        <w:t>必须提供国家普通话信息采集系统、标考红外高清半球摄像机、标考网络流媒体存储平台、普通话模拟测试与学习系统的原厂</w:t>
      </w:r>
      <w:r>
        <w:rPr>
          <w:rFonts w:hint="eastAsia" w:ascii="Times New Roman" w:hAnsi="Times New Roman" w:eastAsia="宋体" w:cs="Times New Roman"/>
          <w:b/>
          <w:bCs/>
          <w:color w:val="auto"/>
          <w:kern w:val="2"/>
          <w:sz w:val="24"/>
          <w:szCs w:val="24"/>
          <w:highlight w:val="none"/>
          <w:lang w:val="en-US" w:eastAsia="zh-CN" w:bidi="ar-SA"/>
        </w:rPr>
        <w:t>售后服务承诺函</w:t>
      </w:r>
      <w:r>
        <w:rPr>
          <w:rFonts w:hint="eastAsia" w:ascii="Times New Roman" w:hAnsi="Times New Roman" w:eastAsia="宋体" w:cs="Times New Roman"/>
          <w:b w:val="0"/>
          <w:bCs w:val="0"/>
          <w:color w:val="auto"/>
          <w:kern w:val="2"/>
          <w:sz w:val="24"/>
          <w:szCs w:val="24"/>
          <w:highlight w:val="none"/>
          <w:lang w:val="en-US" w:eastAsia="zh-CN" w:bidi="ar-SA"/>
        </w:rPr>
        <w:t>盖公章原件（原厂须提供3年维保和用户现场服务）</w:t>
      </w:r>
      <w:r>
        <w:rPr>
          <w:rFonts w:hint="eastAsia" w:cs="Times New Roman"/>
          <w:b w:val="0"/>
          <w:bCs w:val="0"/>
          <w:color w:val="auto"/>
          <w:kern w:val="2"/>
          <w:sz w:val="24"/>
          <w:szCs w:val="24"/>
          <w:highlight w:val="none"/>
          <w:lang w:val="en-US" w:eastAsia="zh-CN" w:bidi="ar-SA"/>
        </w:rPr>
        <w:t>制作入响应文件中</w:t>
      </w:r>
      <w:r>
        <w:rPr>
          <w:rFonts w:hint="eastAsia" w:ascii="Times New Roman" w:hAnsi="Times New Roman" w:eastAsia="宋体" w:cs="Times New Roman"/>
          <w:b w:val="0"/>
          <w:bCs w:val="0"/>
          <w:color w:val="auto"/>
          <w:kern w:val="2"/>
          <w:sz w:val="24"/>
          <w:szCs w:val="24"/>
          <w:highlight w:val="none"/>
          <w:lang w:val="en-US" w:eastAsia="zh-CN" w:bidi="ar-SA"/>
        </w:rPr>
        <w:t>；所有软件要求提供商业版软件，并提供使用手册。</w:t>
      </w:r>
    </w:p>
    <w:p>
      <w:pPr>
        <w:pStyle w:val="24"/>
        <w:keepNext w:val="0"/>
        <w:keepLines w:val="0"/>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（7）所有考务监控设备需对接教育厅考务系统。若供应商为生产厂家需出具无缝对接证明函</w:t>
      </w:r>
      <w:r>
        <w:rPr>
          <w:rFonts w:hint="eastAsia" w:cs="Times New Roman"/>
          <w:b/>
          <w:bCs/>
          <w:color w:val="auto"/>
          <w:kern w:val="2"/>
          <w:sz w:val="24"/>
          <w:szCs w:val="24"/>
          <w:highlight w:val="none"/>
          <w:lang w:val="en-US" w:eastAsia="zh-CN" w:bidi="ar-SA"/>
        </w:rPr>
        <w:t>（</w:t>
      </w:r>
      <w:r>
        <w:rPr>
          <w:rFonts w:hint="eastAsia" w:cs="Times New Roman"/>
          <w:b w:val="0"/>
          <w:bCs w:val="0"/>
          <w:color w:val="auto"/>
          <w:kern w:val="2"/>
          <w:sz w:val="24"/>
          <w:szCs w:val="24"/>
          <w:highlight w:val="none"/>
          <w:lang w:val="en-US" w:eastAsia="zh-CN" w:bidi="ar-SA"/>
        </w:rPr>
        <w:t>考务监控、教育考试系统及国家普通话信息采集系统和自治区教育考试院的对接证明</w:t>
      </w:r>
      <w:r>
        <w:rPr>
          <w:rFonts w:hint="eastAsia" w:cs="Times New Roman"/>
          <w:b/>
          <w:bCs/>
          <w:color w:val="auto"/>
          <w:kern w:val="2"/>
          <w:sz w:val="24"/>
          <w:szCs w:val="24"/>
          <w:highlight w:val="none"/>
          <w:lang w:val="en-US" w:eastAsia="zh-CN" w:bidi="ar-SA"/>
        </w:rPr>
        <w:t>）</w:t>
      </w:r>
      <w:r>
        <w:rPr>
          <w:rFonts w:hint="eastAsia" w:cs="Times New Roman"/>
          <w:b w:val="0"/>
          <w:bCs w:val="0"/>
          <w:color w:val="auto"/>
          <w:kern w:val="2"/>
          <w:sz w:val="24"/>
          <w:szCs w:val="24"/>
          <w:highlight w:val="none"/>
          <w:lang w:val="en-US" w:eastAsia="zh-CN" w:bidi="ar-SA"/>
        </w:rPr>
        <w:t>盖生产厂家公章，原件制作入响应文件中；若供应商为代理商或经销商（非生产厂家）需提供生产厂家出具的</w:t>
      </w:r>
      <w:r>
        <w:rPr>
          <w:rFonts w:hint="eastAsia" w:cs="Times New Roman"/>
          <w:b/>
          <w:bCs/>
          <w:color w:val="auto"/>
          <w:kern w:val="2"/>
          <w:sz w:val="24"/>
          <w:szCs w:val="24"/>
          <w:highlight w:val="none"/>
          <w:lang w:val="en-US" w:eastAsia="zh-CN" w:bidi="ar-SA"/>
        </w:rPr>
        <w:t>无缝对接证明函（</w:t>
      </w:r>
      <w:r>
        <w:rPr>
          <w:rFonts w:hint="eastAsia" w:cs="Times New Roman"/>
          <w:b w:val="0"/>
          <w:bCs w:val="0"/>
          <w:color w:val="auto"/>
          <w:kern w:val="2"/>
          <w:sz w:val="24"/>
          <w:szCs w:val="24"/>
          <w:highlight w:val="none"/>
          <w:lang w:val="en-US" w:eastAsia="zh-CN" w:bidi="ar-SA"/>
        </w:rPr>
        <w:t>考务监控、教育考试系统及国家普通话信息采集系统和自治区教育考试院的对接证明</w:t>
      </w:r>
      <w:r>
        <w:rPr>
          <w:rFonts w:hint="eastAsia" w:cs="Times New Roman"/>
          <w:b/>
          <w:bCs/>
          <w:color w:val="auto"/>
          <w:kern w:val="2"/>
          <w:sz w:val="24"/>
          <w:szCs w:val="24"/>
          <w:highlight w:val="none"/>
          <w:lang w:val="en-US" w:eastAsia="zh-CN" w:bidi="ar-SA"/>
        </w:rPr>
        <w:t>）</w:t>
      </w:r>
      <w:r>
        <w:rPr>
          <w:rFonts w:hint="eastAsia" w:cs="Times New Roman"/>
          <w:b w:val="0"/>
          <w:bCs w:val="0"/>
          <w:color w:val="auto"/>
          <w:kern w:val="2"/>
          <w:sz w:val="24"/>
          <w:szCs w:val="24"/>
          <w:highlight w:val="none"/>
          <w:lang w:val="en-US" w:eastAsia="zh-CN" w:bidi="ar-SA"/>
        </w:rPr>
        <w:t>盖生产厂家公章，原件制作入响应文件中。</w:t>
      </w:r>
    </w:p>
    <w:p>
      <w:pPr>
        <w:pStyle w:val="24"/>
        <w:keepNext w:val="0"/>
        <w:keepLines w:val="0"/>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8</w:t>
      </w:r>
      <w:r>
        <w:rPr>
          <w:rFonts w:hint="eastAsia" w:ascii="Times New Roman" w:hAnsi="Times New Roman" w:eastAsia="宋体" w:cs="Times New Roman"/>
          <w:b w:val="0"/>
          <w:bCs w:val="0"/>
          <w:color w:val="auto"/>
          <w:kern w:val="2"/>
          <w:sz w:val="24"/>
          <w:szCs w:val="24"/>
          <w:highlight w:val="none"/>
          <w:lang w:val="en-US" w:eastAsia="zh-CN" w:bidi="ar-SA"/>
        </w:rPr>
        <w:t>、交货地点：采购单位指定地点</w:t>
      </w:r>
    </w:p>
    <w:p>
      <w:pPr>
        <w:pStyle w:val="24"/>
        <w:keepNext w:val="0"/>
        <w:keepLines w:val="0"/>
        <w:pageBreakBefore w:val="0"/>
        <w:kinsoku/>
        <w:wordWrap/>
        <w:overflowPunct/>
        <w:topLinePunct w:val="0"/>
        <w:bidi w:val="0"/>
        <w:spacing w:line="440" w:lineRule="exact"/>
        <w:ind w:firstLine="480" w:firstLineChars="200"/>
        <w:textAlignment w:val="auto"/>
        <w:rPr>
          <w:rFonts w:hint="eastAsia"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9</w:t>
      </w:r>
      <w:r>
        <w:rPr>
          <w:rFonts w:hint="eastAsia" w:ascii="Times New Roman" w:hAnsi="Times New Roman" w:eastAsia="宋体" w:cs="Times New Roman"/>
          <w:b w:val="0"/>
          <w:bCs w:val="0"/>
          <w:color w:val="auto"/>
          <w:kern w:val="2"/>
          <w:sz w:val="24"/>
          <w:szCs w:val="24"/>
          <w:highlight w:val="none"/>
          <w:lang w:val="en-US" w:eastAsia="zh-CN" w:bidi="ar-SA"/>
        </w:rPr>
        <w:t>、投标供应商必须提供由投标产品制造商出具的有关产品的技术支持文件（如彩页、技术白皮书等），提供产品合格证书</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国家普通话信息采集系统、标考红外高清半球摄像机、标考网络流媒体存储平台、普通话模拟测试与学习系统</w:t>
      </w:r>
      <w:r>
        <w:rPr>
          <w:rFonts w:hint="eastAsia" w:cs="Times New Roman"/>
          <w:b w:val="0"/>
          <w:bCs w:val="0"/>
          <w:color w:val="auto"/>
          <w:kern w:val="2"/>
          <w:sz w:val="24"/>
          <w:szCs w:val="24"/>
          <w:highlight w:val="none"/>
          <w:lang w:val="en-US" w:eastAsia="zh-CN" w:bidi="ar-SA"/>
        </w:rPr>
        <w:t>）四项的</w:t>
      </w:r>
      <w:r>
        <w:rPr>
          <w:rFonts w:hint="eastAsia" w:ascii="Times New Roman" w:hAnsi="Times New Roman" w:eastAsia="宋体" w:cs="Times New Roman"/>
          <w:b w:val="0"/>
          <w:bCs w:val="0"/>
          <w:color w:val="auto"/>
          <w:kern w:val="2"/>
          <w:sz w:val="24"/>
          <w:szCs w:val="24"/>
          <w:highlight w:val="none"/>
          <w:lang w:val="en-US" w:eastAsia="zh-CN" w:bidi="ar-SA"/>
        </w:rPr>
        <w:t>检测报告复印件</w:t>
      </w:r>
      <w:r>
        <w:rPr>
          <w:rFonts w:hint="eastAsia" w:cs="Times New Roman"/>
          <w:b w:val="0"/>
          <w:bCs w:val="0"/>
          <w:color w:val="auto"/>
          <w:kern w:val="2"/>
          <w:sz w:val="24"/>
          <w:szCs w:val="24"/>
          <w:highlight w:val="none"/>
          <w:lang w:val="en-US" w:eastAsia="zh-CN" w:bidi="ar-SA"/>
        </w:rPr>
        <w:t>盖制造商公章等证明资料并制作入响应文件中。</w:t>
      </w:r>
    </w:p>
    <w:p>
      <w:pPr>
        <w:pStyle w:val="24"/>
        <w:keepNext w:val="0"/>
        <w:keepLines w:val="0"/>
        <w:pageBreakBefore w:val="0"/>
        <w:kinsoku/>
        <w:wordWrap/>
        <w:overflowPunct/>
        <w:topLinePunct w:val="0"/>
        <w:bidi w:val="0"/>
        <w:spacing w:line="44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10</w:t>
      </w:r>
      <w:r>
        <w:rPr>
          <w:rFonts w:hint="eastAsia" w:ascii="Times New Roman" w:hAnsi="Times New Roman" w:eastAsia="宋体" w:cs="Times New Roman"/>
          <w:b w:val="0"/>
          <w:bCs w:val="0"/>
          <w:color w:val="auto"/>
          <w:kern w:val="2"/>
          <w:sz w:val="24"/>
          <w:szCs w:val="24"/>
          <w:highlight w:val="none"/>
          <w:lang w:val="en-US" w:eastAsia="zh-CN" w:bidi="ar-SA"/>
        </w:rPr>
        <w:t>、实施方案：</w:t>
      </w:r>
      <w:bookmarkStart w:id="509" w:name="_Toc31997_WPSOffice_Level2"/>
      <w:bookmarkStart w:id="510" w:name="_Toc23613_WPSOffice_Level2"/>
      <w:r>
        <w:rPr>
          <w:rFonts w:hint="eastAsia" w:ascii="Times New Roman" w:hAnsi="Times New Roman" w:eastAsia="宋体" w:cs="Times New Roman"/>
          <w:b w:val="0"/>
          <w:bCs w:val="0"/>
          <w:color w:val="auto"/>
          <w:kern w:val="2"/>
          <w:sz w:val="24"/>
          <w:szCs w:val="24"/>
          <w:highlight w:val="none"/>
          <w:lang w:val="en-US" w:eastAsia="zh-CN" w:bidi="ar-SA"/>
        </w:rPr>
        <w:t>为了高质量地完成项目采购工作，供应商应针对本项目制定切实可行的实施方案。实施方案主要包括拟投入的专业人员、供货方案、实施过程中的质量及进度控制方案、安全保证措施、安装调试和试运行、人员培训方案</w:t>
      </w:r>
      <w:r>
        <w:rPr>
          <w:rFonts w:hint="eastAsia" w:cs="Times New Roman"/>
          <w:b w:val="0"/>
          <w:bCs w:val="0"/>
          <w:color w:val="auto"/>
          <w:kern w:val="2"/>
          <w:sz w:val="24"/>
          <w:szCs w:val="24"/>
          <w:highlight w:val="none"/>
          <w:lang w:val="en-US" w:eastAsia="zh-CN" w:bidi="ar-SA"/>
        </w:rPr>
        <w:t>等</w:t>
      </w:r>
      <w:r>
        <w:rPr>
          <w:rFonts w:hint="eastAsia" w:ascii="Times New Roman" w:hAnsi="Times New Roman" w:eastAsia="宋体" w:cs="Times New Roman"/>
          <w:b w:val="0"/>
          <w:bCs w:val="0"/>
          <w:color w:val="auto"/>
          <w:kern w:val="2"/>
          <w:sz w:val="24"/>
          <w:szCs w:val="24"/>
          <w:highlight w:val="none"/>
          <w:lang w:val="en-US" w:eastAsia="zh-CN" w:bidi="ar-SA"/>
        </w:rPr>
        <w:t>。</w:t>
      </w:r>
    </w:p>
    <w:p>
      <w:pPr>
        <w:pStyle w:val="24"/>
        <w:keepNext w:val="0"/>
        <w:keepLines w:val="0"/>
        <w:pageBreakBefore w:val="0"/>
        <w:kinsoku/>
        <w:wordWrap/>
        <w:overflowPunct/>
        <w:topLinePunct w:val="0"/>
        <w:bidi w:val="0"/>
        <w:spacing w:line="44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1</w:t>
      </w:r>
      <w:r>
        <w:rPr>
          <w:rFonts w:hint="eastAsia" w:cs="Times New Roman"/>
          <w:b w:val="0"/>
          <w:bCs w:val="0"/>
          <w:color w:val="auto"/>
          <w:kern w:val="2"/>
          <w:sz w:val="24"/>
          <w:szCs w:val="24"/>
          <w:highlight w:val="none"/>
          <w:lang w:val="en-US" w:eastAsia="zh-CN" w:bidi="ar-SA"/>
        </w:rPr>
        <w:t>1、</w:t>
      </w:r>
      <w:r>
        <w:rPr>
          <w:rFonts w:hint="eastAsia" w:ascii="Times New Roman" w:hAnsi="Times New Roman" w:eastAsia="宋体" w:cs="Times New Roman"/>
          <w:b w:val="0"/>
          <w:bCs w:val="0"/>
          <w:color w:val="auto"/>
          <w:kern w:val="2"/>
          <w:sz w:val="24"/>
          <w:szCs w:val="24"/>
          <w:highlight w:val="none"/>
          <w:lang w:val="en-US" w:eastAsia="zh-CN" w:bidi="ar-SA"/>
        </w:rPr>
        <w:t>投标方须保证提供的货物是由原厂生产的、全新的、未使用过的设备，并符合规定的质量、规格和性能</w:t>
      </w:r>
      <w:r>
        <w:rPr>
          <w:rFonts w:hint="eastAsia" w:cs="Times New Roman"/>
          <w:b w:val="0"/>
          <w:bCs w:val="0"/>
          <w:color w:val="auto"/>
          <w:kern w:val="2"/>
          <w:sz w:val="24"/>
          <w:szCs w:val="24"/>
          <w:highlight w:val="none"/>
          <w:lang w:val="en-US" w:eastAsia="zh-CN" w:bidi="ar-SA"/>
        </w:rPr>
        <w:t>（</w:t>
      </w:r>
      <w:r>
        <w:rPr>
          <w:rFonts w:hint="eastAsia" w:cs="Times New Roman"/>
          <w:b/>
          <w:bCs/>
          <w:color w:val="auto"/>
          <w:kern w:val="2"/>
          <w:sz w:val="24"/>
          <w:szCs w:val="24"/>
          <w:highlight w:val="none"/>
          <w:lang w:val="en-US" w:eastAsia="zh-CN" w:bidi="ar-SA"/>
        </w:rPr>
        <w:t>供应商需在响应文件中做出承诺</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kern w:val="2"/>
          <w:sz w:val="24"/>
          <w:szCs w:val="24"/>
          <w:highlight w:val="none"/>
          <w:lang w:val="en-US" w:eastAsia="zh-CN" w:bidi="ar-SA"/>
        </w:rPr>
        <w:t>。</w:t>
      </w:r>
    </w:p>
    <w:p>
      <w:pPr>
        <w:keepNext w:val="0"/>
        <w:keepLines w:val="0"/>
        <w:pageBreakBefore w:val="0"/>
        <w:widowControl/>
        <w:kinsoku/>
        <w:wordWrap/>
        <w:overflowPunct/>
        <w:topLinePunct w:val="0"/>
        <w:bidi w:val="0"/>
        <w:adjustRightInd w:val="0"/>
        <w:snapToGrid w:val="0"/>
        <w:spacing w:line="440" w:lineRule="exact"/>
        <w:jc w:val="lef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注：投标人报价应包括设备费（含设备原价、运杂费和采保费）、安装费（含安装人工费、设施费）、调试费、检验</w:t>
      </w:r>
      <w:r>
        <w:rPr>
          <w:rFonts w:hint="eastAsia" w:cs="Times New Roman"/>
          <w:b/>
          <w:bCs/>
          <w:color w:val="auto"/>
          <w:kern w:val="2"/>
          <w:sz w:val="24"/>
          <w:szCs w:val="24"/>
          <w:highlight w:val="none"/>
          <w:lang w:val="en-US" w:eastAsia="zh-CN" w:bidi="ar-SA"/>
        </w:rPr>
        <w:t>检测</w:t>
      </w:r>
      <w:r>
        <w:rPr>
          <w:rFonts w:hint="eastAsia" w:ascii="Times New Roman" w:hAnsi="Times New Roman" w:eastAsia="宋体" w:cs="Times New Roman"/>
          <w:b/>
          <w:bCs/>
          <w:color w:val="auto"/>
          <w:kern w:val="2"/>
          <w:sz w:val="24"/>
          <w:szCs w:val="24"/>
          <w:highlight w:val="none"/>
          <w:lang w:val="en-US" w:eastAsia="zh-CN" w:bidi="ar-SA"/>
        </w:rPr>
        <w:t>费、技术服务费、售后服务费、利润、税费等与本项目相关的一切费用。</w:t>
      </w:r>
    </w:p>
    <w:p>
      <w:pPr>
        <w:pStyle w:val="10"/>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Times New Roman" w:cs="Times New Roman"/>
          <w:b w:val="0"/>
          <w:bCs w:val="0"/>
          <w:color w:val="auto"/>
          <w:kern w:val="2"/>
          <w:sz w:val="24"/>
          <w:szCs w:val="24"/>
          <w:highlight w:val="none"/>
          <w:lang w:val="en-US" w:eastAsia="zh-CN" w:bidi="ar-SA"/>
        </w:rPr>
      </w:pPr>
      <w:r>
        <w:rPr>
          <w:rFonts w:hint="eastAsia" w:ascii="Times New Roman" w:cs="Times New Roman"/>
          <w:b w:val="0"/>
          <w:bCs w:val="0"/>
          <w:color w:val="auto"/>
          <w:kern w:val="2"/>
          <w:sz w:val="24"/>
          <w:szCs w:val="24"/>
          <w:highlight w:val="none"/>
          <w:lang w:val="en-US" w:eastAsia="zh-CN" w:bidi="ar-SA"/>
        </w:rPr>
        <w:t>12、成交通知书发出后尽快签订政府采购合同，若第一中标人拒绝签订政府采购合同，将取消成交资格，应当承担相应的法律责任。采购人可以按照评审报告推荐的成交候选人名单排序，确定下一候选人为成交人，也可以重新开展政府采购活动。</w:t>
      </w:r>
    </w:p>
    <w:p>
      <w:pPr>
        <w:pStyle w:val="10"/>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Times New Roman" w:cs="Times New Roman"/>
          <w:b w:val="0"/>
          <w:bCs w:val="0"/>
          <w:color w:val="auto"/>
          <w:kern w:val="2"/>
          <w:sz w:val="24"/>
          <w:szCs w:val="24"/>
          <w:highlight w:val="none"/>
          <w:lang w:val="en-US" w:eastAsia="zh-CN" w:bidi="ar-SA"/>
        </w:rPr>
      </w:pPr>
      <w:r>
        <w:rPr>
          <w:rFonts w:hint="eastAsia" w:ascii="Times New Roman" w:cs="Times New Roman"/>
          <w:b w:val="0"/>
          <w:bCs w:val="0"/>
          <w:color w:val="auto"/>
          <w:kern w:val="2"/>
          <w:sz w:val="24"/>
          <w:szCs w:val="24"/>
          <w:highlight w:val="none"/>
          <w:lang w:val="en-US" w:eastAsia="zh-CN" w:bidi="ar-SA"/>
        </w:rPr>
        <w:t>13、供应商需根据磋商文件及平面图拟定本项目普通话测试机房建设方案。</w:t>
      </w:r>
    </w:p>
    <w:p>
      <w:pPr>
        <w:pStyle w:val="10"/>
        <w:keepNext w:val="0"/>
        <w:keepLines w:val="0"/>
        <w:pageBreakBefore w:val="0"/>
        <w:numPr>
          <w:ilvl w:val="0"/>
          <w:numId w:val="0"/>
        </w:numPr>
        <w:kinsoku/>
        <w:wordWrap/>
        <w:overflowPunct/>
        <w:topLinePunct w:val="0"/>
        <w:bidi w:val="0"/>
        <w:spacing w:line="520" w:lineRule="exact"/>
        <w:ind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br w:type="page"/>
      </w:r>
    </w:p>
    <w:p>
      <w:pPr>
        <w:pStyle w:val="4"/>
        <w:tabs>
          <w:tab w:val="left" w:pos="0"/>
        </w:tabs>
        <w:spacing w:before="0" w:after="0" w:line="3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第6章  </w:t>
      </w:r>
      <w:bookmarkStart w:id="511" w:name="_Toc515647832"/>
      <w:bookmarkStart w:id="512" w:name="_Toc7971"/>
      <w:bookmarkStart w:id="513" w:name="_Toc32647"/>
      <w:bookmarkStart w:id="514" w:name="_Toc23331"/>
      <w:r>
        <w:rPr>
          <w:rFonts w:hint="eastAsia" w:asciiTheme="minorEastAsia" w:hAnsiTheme="minorEastAsia" w:eastAsiaTheme="minorEastAsia" w:cstheme="minorEastAsia"/>
          <w:color w:val="auto"/>
          <w:highlight w:val="none"/>
        </w:rPr>
        <w:t>评</w:t>
      </w:r>
      <w:r>
        <w:rPr>
          <w:rFonts w:hint="eastAsia" w:asciiTheme="minorEastAsia" w:hAnsiTheme="minorEastAsia" w:eastAsiaTheme="minorEastAsia" w:cstheme="minorEastAsia"/>
          <w:color w:val="auto"/>
          <w:highlight w:val="none"/>
          <w:lang w:eastAsia="zh-CN"/>
        </w:rPr>
        <w:t>审</w:t>
      </w:r>
      <w:r>
        <w:rPr>
          <w:rFonts w:hint="eastAsia" w:asciiTheme="minorEastAsia" w:hAnsiTheme="minorEastAsia" w:eastAsiaTheme="minorEastAsia" w:cstheme="minorEastAsia"/>
          <w:color w:val="auto"/>
          <w:highlight w:val="none"/>
        </w:rPr>
        <w:t>方法和标准</w:t>
      </w:r>
      <w:bookmarkEnd w:id="511"/>
      <w:bookmarkEnd w:id="512"/>
      <w:bookmarkEnd w:id="513"/>
      <w:bookmarkEnd w:id="514"/>
    </w:p>
    <w:p>
      <w:pPr>
        <w:spacing w:line="400" w:lineRule="atLeast"/>
        <w:jc w:val="both"/>
        <w:rPr>
          <w:rFonts w:hint="eastAsia" w:ascii="宋体" w:hAnsi="宋体" w:cs="宋体"/>
          <w:b/>
          <w:color w:val="auto"/>
          <w:sz w:val="28"/>
          <w:szCs w:val="28"/>
          <w:highlight w:val="none"/>
        </w:rPr>
      </w:pPr>
      <w:bookmarkStart w:id="515" w:name="_Toc4158"/>
      <w:bookmarkStart w:id="516" w:name="_Toc476758950"/>
      <w:bookmarkStart w:id="517" w:name="_Toc6035"/>
    </w:p>
    <w:p>
      <w:pPr>
        <w:spacing w:line="400" w:lineRule="atLeast"/>
        <w:jc w:val="center"/>
        <w:rPr>
          <w:rFonts w:hint="eastAsia" w:ascii="宋体" w:hAnsi="宋体" w:cs="宋体"/>
          <w:b/>
          <w:bCs/>
          <w:color w:val="auto"/>
          <w:sz w:val="24"/>
          <w:highlight w:val="none"/>
        </w:rPr>
      </w:pPr>
      <w:r>
        <w:rPr>
          <w:rFonts w:hint="eastAsia" w:ascii="宋体" w:hAnsi="宋体" w:cs="宋体"/>
          <w:b/>
          <w:bCs/>
          <w:color w:val="auto"/>
          <w:sz w:val="24"/>
          <w:highlight w:val="none"/>
        </w:rPr>
        <w:t>开标</w:t>
      </w:r>
    </w:p>
    <w:p>
      <w:pPr>
        <w:numPr>
          <w:ilvl w:val="0"/>
          <w:numId w:val="11"/>
        </w:numPr>
        <w:spacing w:line="4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本次招标按</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文件中规定的时间地点进行，将邀请</w:t>
      </w:r>
      <w:r>
        <w:rPr>
          <w:rFonts w:hint="eastAsia" w:ascii="宋体" w:hAnsi="宋体" w:cs="宋体"/>
          <w:color w:val="auto"/>
          <w:sz w:val="24"/>
          <w:highlight w:val="none"/>
          <w:lang w:val="en-US" w:eastAsia="zh-CN"/>
        </w:rPr>
        <w:t>所有供应商</w:t>
      </w:r>
      <w:r>
        <w:rPr>
          <w:rFonts w:hint="eastAsia" w:ascii="宋体" w:hAnsi="宋体" w:cs="宋体"/>
          <w:color w:val="auto"/>
          <w:sz w:val="24"/>
          <w:highlight w:val="none"/>
        </w:rPr>
        <w:t>的法定代表人或其授权委托人参加开标会；</w:t>
      </w:r>
    </w:p>
    <w:p>
      <w:pPr>
        <w:keepNext w:val="0"/>
        <w:keepLines w:val="0"/>
        <w:pageBreakBefore w:val="0"/>
        <w:widowControl/>
        <w:shd w:val="solid" w:color="FFFFFF" w:fill="auto"/>
        <w:kinsoku/>
        <w:wordWrap/>
        <w:overflowPunct/>
        <w:topLinePunct w:val="0"/>
        <w:autoSpaceDE/>
        <w:bidi w:val="0"/>
        <w:adjustRightInd/>
        <w:snapToGrid/>
        <w:spacing w:line="520" w:lineRule="exact"/>
        <w:ind w:firstLine="438" w:firstLineChars="200"/>
        <w:textAlignment w:val="auto"/>
        <w:rPr>
          <w:rFonts w:hint="eastAsia" w:ascii="宋体" w:hAnsi="宋体" w:eastAsia="宋体" w:cs="宋体"/>
          <w:b/>
          <w:bCs/>
          <w:color w:val="auto"/>
          <w:spacing w:val="-11"/>
          <w:sz w:val="24"/>
          <w:szCs w:val="24"/>
          <w:highlight w:val="none"/>
          <w:lang w:val="zh-CN"/>
        </w:rPr>
      </w:pPr>
      <w:r>
        <w:rPr>
          <w:rFonts w:hint="eastAsia" w:ascii="宋体" w:hAnsi="宋体" w:eastAsia="宋体" w:cs="宋体"/>
          <w:b/>
          <w:bCs/>
          <w:color w:val="auto"/>
          <w:spacing w:val="-11"/>
          <w:sz w:val="24"/>
          <w:szCs w:val="24"/>
          <w:highlight w:val="none"/>
          <w:lang w:val="en-US" w:eastAsia="zh-CN"/>
        </w:rPr>
        <w:t>开标流程</w:t>
      </w:r>
      <w:r>
        <w:rPr>
          <w:rFonts w:hint="eastAsia" w:ascii="宋体" w:hAnsi="宋体" w:eastAsia="宋体" w:cs="宋体"/>
          <w:b/>
          <w:bCs/>
          <w:color w:val="auto"/>
          <w:spacing w:val="-11"/>
          <w:sz w:val="24"/>
          <w:szCs w:val="24"/>
          <w:highlight w:val="none"/>
          <w:lang w:val="zh-CN"/>
        </w:rPr>
        <w:t>：</w:t>
      </w:r>
    </w:p>
    <w:p>
      <w:pPr>
        <w:keepNext w:val="0"/>
        <w:keepLines w:val="0"/>
        <w:pageBreakBefore w:val="0"/>
        <w:shd w:val="solid" w:color="FFFFFF" w:fill="auto"/>
        <w:kinsoku/>
        <w:wordWrap/>
        <w:overflowPunct/>
        <w:topLinePunct w:val="0"/>
        <w:autoSpaceDE/>
        <w:autoSpaceDN w:val="0"/>
        <w:bidi w:val="0"/>
        <w:adjustRightInd/>
        <w:snapToGrid/>
        <w:spacing w:line="520" w:lineRule="exact"/>
        <w:ind w:firstLine="480" w:firstLineChars="200"/>
        <w:jc w:val="left"/>
        <w:textAlignment w:val="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1、参加本次会议的领导和</w:t>
      </w:r>
      <w:r>
        <w:rPr>
          <w:rFonts w:hint="eastAsia" w:ascii="宋体" w:hAnsi="宋体" w:cs="宋体"/>
          <w:color w:val="auto"/>
          <w:sz w:val="24"/>
          <w:szCs w:val="24"/>
          <w:highlight w:val="none"/>
          <w:lang w:val="en-US" w:eastAsia="zh-CN"/>
        </w:rPr>
        <w:t>各投标供应商</w:t>
      </w:r>
      <w:r>
        <w:rPr>
          <w:rFonts w:hint="eastAsia" w:ascii="宋体" w:hAnsi="宋体" w:cs="宋体"/>
          <w:color w:val="auto"/>
          <w:sz w:val="24"/>
          <w:szCs w:val="24"/>
          <w:highlight w:val="none"/>
          <w:lang w:val="zh-CN" w:eastAsia="zh-CN"/>
        </w:rPr>
        <w:t>代表按指定位置就座，通讯工具调整到静音</w:t>
      </w:r>
      <w:r>
        <w:rPr>
          <w:rFonts w:hint="eastAsia" w:ascii="宋体" w:hAnsi="宋体" w:cs="宋体"/>
          <w:color w:val="auto"/>
          <w:sz w:val="24"/>
          <w:szCs w:val="24"/>
          <w:highlight w:val="none"/>
          <w:lang w:val="en-US" w:eastAsia="zh-CN"/>
        </w:rPr>
        <w:t>或者震动状态并放置在指定位置（手机存放箱）</w:t>
      </w:r>
      <w:r>
        <w:rPr>
          <w:rFonts w:hint="eastAsia" w:ascii="宋体" w:hAnsi="宋体" w:cs="宋体"/>
          <w:color w:val="auto"/>
          <w:sz w:val="24"/>
          <w:szCs w:val="24"/>
          <w:highlight w:val="none"/>
          <w:lang w:val="zh-CN" w:eastAsia="zh-CN"/>
        </w:rPr>
        <w:t>。</w:t>
      </w:r>
    </w:p>
    <w:p>
      <w:pPr>
        <w:keepNext w:val="0"/>
        <w:keepLines w:val="0"/>
        <w:pageBreakBefore w:val="0"/>
        <w:shd w:val="solid" w:color="FFFFFF" w:fill="auto"/>
        <w:kinsoku/>
        <w:wordWrap/>
        <w:overflowPunct/>
        <w:topLinePunct w:val="0"/>
        <w:autoSpaceDE/>
        <w:autoSpaceDN w:val="0"/>
        <w:bidi w:val="0"/>
        <w:adjustRightInd/>
        <w:snapToGrid/>
        <w:spacing w:line="520" w:lineRule="exact"/>
        <w:ind w:firstLine="480" w:firstLineChars="200"/>
        <w:jc w:val="left"/>
        <w:textAlignment w:val="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2、</w:t>
      </w:r>
      <w:r>
        <w:rPr>
          <w:rFonts w:hint="eastAsia" w:ascii="宋体" w:hAnsi="宋体" w:cs="宋体"/>
          <w:color w:val="auto"/>
          <w:sz w:val="24"/>
          <w:szCs w:val="24"/>
          <w:highlight w:val="none"/>
          <w:lang w:val="en-US" w:eastAsia="zh-CN"/>
        </w:rPr>
        <w:t>会场内</w:t>
      </w:r>
      <w:r>
        <w:rPr>
          <w:rFonts w:hint="eastAsia" w:ascii="宋体" w:hAnsi="宋体" w:cs="宋体"/>
          <w:color w:val="auto"/>
          <w:sz w:val="24"/>
          <w:szCs w:val="24"/>
          <w:highlight w:val="none"/>
          <w:lang w:val="zh-CN" w:eastAsia="zh-CN"/>
        </w:rPr>
        <w:t>不得喧哗和随意走动，保持会场秩序。</w:t>
      </w:r>
    </w:p>
    <w:p>
      <w:pPr>
        <w:keepNext w:val="0"/>
        <w:keepLines w:val="0"/>
        <w:pageBreakBefore w:val="0"/>
        <w:shd w:val="solid" w:color="FFFFFF" w:fill="auto"/>
        <w:kinsoku/>
        <w:wordWrap/>
        <w:overflowPunct/>
        <w:topLinePunct w:val="0"/>
        <w:autoSpaceDE/>
        <w:autoSpaceDN w:val="0"/>
        <w:bidi w:val="0"/>
        <w:adjustRightInd/>
        <w:snapToGrid/>
        <w:spacing w:line="52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eastAsia="zh-CN"/>
        </w:rPr>
        <w:t>3、介绍参加本次开标会议的</w:t>
      </w:r>
      <w:r>
        <w:rPr>
          <w:rFonts w:hint="eastAsia" w:ascii="宋体" w:hAnsi="宋体" w:cs="宋体"/>
          <w:color w:val="auto"/>
          <w:sz w:val="24"/>
          <w:szCs w:val="24"/>
          <w:highlight w:val="none"/>
          <w:lang w:val="en-US" w:eastAsia="zh-CN"/>
        </w:rPr>
        <w:t>供应商、采购单位及监督人员。</w:t>
      </w:r>
    </w:p>
    <w:p>
      <w:pPr>
        <w:spacing w:line="400" w:lineRule="atLeas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highlight w:val="none"/>
        </w:rPr>
        <w:t>开标时</w:t>
      </w:r>
      <w:r>
        <w:rPr>
          <w:rFonts w:hint="eastAsia" w:ascii="宋体" w:hAnsi="宋体" w:cs="宋体"/>
          <w:color w:val="auto"/>
          <w:sz w:val="24"/>
          <w:highlight w:val="none"/>
          <w:lang w:val="en-US" w:eastAsia="zh-CN"/>
        </w:rPr>
        <w:t>首先由招标人对各供应商的资格情况进行审查，并宣布审查结果，通过资格审查的供应商将进入下一环节评审。</w:t>
      </w:r>
    </w:p>
    <w:p>
      <w:pPr>
        <w:spacing w:line="40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磋商开启时，由供应商或其推选的代表检查自己或所代表的响应文件的密封情况，经记录后供应商退场，由采购人或采购代理机构拆封响应文件第一部分，宣读供应商名称、报价一览表价格及磋商文件规定的内容。对于供应商在响应文件递交截止期前递交的响应声明，在磋商开启时宣读，评审时有效。</w:t>
      </w:r>
    </w:p>
    <w:p>
      <w:pPr>
        <w:spacing w:line="400"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通过资格审查且密封性合格的供应商将进入评标阶段</w:t>
      </w:r>
      <w:r>
        <w:rPr>
          <w:rFonts w:hint="eastAsia" w:ascii="宋体" w:hAnsi="宋体" w:cs="宋体"/>
          <w:color w:val="auto"/>
          <w:sz w:val="24"/>
          <w:highlight w:val="none"/>
        </w:rPr>
        <w:t>。</w:t>
      </w:r>
    </w:p>
    <w:p>
      <w:pPr>
        <w:spacing w:line="40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评标办法</w:t>
      </w:r>
    </w:p>
    <w:p>
      <w:pPr>
        <w:spacing w:line="400" w:lineRule="atLeast"/>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磋商小</w:t>
      </w:r>
      <w:r>
        <w:rPr>
          <w:rFonts w:hint="eastAsia" w:ascii="宋体" w:hAnsi="宋体" w:eastAsia="宋体" w:cs="宋体"/>
          <w:b/>
          <w:bCs/>
          <w:color w:val="auto"/>
          <w:sz w:val="24"/>
          <w:highlight w:val="none"/>
          <w:lang w:val="en-US" w:eastAsia="zh-CN"/>
        </w:rPr>
        <w:t>组</w:t>
      </w:r>
    </w:p>
    <w:p>
      <w:pPr>
        <w:spacing w:line="400" w:lineRule="atLeast"/>
        <w:ind w:firstLine="472" w:firstLineChars="200"/>
        <w:jc w:val="left"/>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rPr>
        <w:t>1、招标</w:t>
      </w:r>
      <w:r>
        <w:rPr>
          <w:rFonts w:hint="eastAsia" w:ascii="宋体" w:hAnsi="宋体" w:cs="宋体"/>
          <w:color w:val="auto"/>
          <w:spacing w:val="-2"/>
          <w:sz w:val="24"/>
          <w:highlight w:val="none"/>
          <w:lang w:val="en-US" w:eastAsia="zh-CN"/>
        </w:rPr>
        <w:t>人</w:t>
      </w:r>
      <w:r>
        <w:rPr>
          <w:rFonts w:hint="eastAsia" w:ascii="宋体" w:hAnsi="宋体" w:cs="宋体"/>
          <w:color w:val="auto"/>
          <w:spacing w:val="-2"/>
          <w:sz w:val="24"/>
          <w:highlight w:val="none"/>
        </w:rPr>
        <w:t>将根据《中华人民共和国政府采购法》的规定，依法组建本次招标的</w:t>
      </w:r>
      <w:r>
        <w:rPr>
          <w:rFonts w:hint="eastAsia" w:ascii="宋体" w:hAnsi="宋体" w:cs="宋体"/>
          <w:color w:val="auto"/>
          <w:spacing w:val="-2"/>
          <w:sz w:val="24"/>
          <w:highlight w:val="none"/>
          <w:lang w:val="en-US" w:eastAsia="zh-CN"/>
        </w:rPr>
        <w:t>磋商小组</w:t>
      </w:r>
    </w:p>
    <w:p>
      <w:pPr>
        <w:spacing w:line="400" w:lineRule="atLeast"/>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负责本次招标的评标活动，并负责向招标方推荐</w:t>
      </w:r>
      <w:r>
        <w:rPr>
          <w:rFonts w:hint="eastAsia" w:ascii="宋体" w:hAnsi="宋体" w:cs="宋体"/>
          <w:color w:val="auto"/>
          <w:spacing w:val="-2"/>
          <w:sz w:val="24"/>
          <w:highlight w:val="none"/>
          <w:lang w:val="en-US" w:eastAsia="zh-CN"/>
        </w:rPr>
        <w:t>成交</w:t>
      </w:r>
      <w:r>
        <w:rPr>
          <w:rFonts w:hint="eastAsia" w:ascii="宋体" w:hAnsi="宋体" w:cs="宋体"/>
          <w:color w:val="auto"/>
          <w:spacing w:val="-2"/>
          <w:sz w:val="24"/>
          <w:highlight w:val="none"/>
        </w:rPr>
        <w:t>候选人。</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人选于开标前确定。</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名单在中标结果确定前保密。</w:t>
      </w:r>
    </w:p>
    <w:p>
      <w:pPr>
        <w:spacing w:line="400" w:lineRule="atLeast"/>
        <w:ind w:firstLine="472" w:firstLineChars="200"/>
        <w:jc w:val="left"/>
        <w:rPr>
          <w:rFonts w:hint="eastAsia" w:ascii="宋体" w:hAnsi="宋体" w:cs="宋体"/>
          <w:color w:val="auto"/>
          <w:sz w:val="24"/>
          <w:highlight w:val="none"/>
        </w:rPr>
      </w:pPr>
      <w:r>
        <w:rPr>
          <w:rFonts w:hint="eastAsia" w:ascii="宋体" w:hAnsi="宋体" w:cs="宋体"/>
          <w:color w:val="auto"/>
          <w:spacing w:val="-2"/>
          <w:sz w:val="24"/>
          <w:highlight w:val="none"/>
        </w:rPr>
        <w:t>3、</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由新疆政府采购网专家库中随机抽取组成，</w:t>
      </w:r>
      <w:r>
        <w:rPr>
          <w:rFonts w:hint="eastAsia" w:ascii="宋体" w:hAnsi="宋体" w:cs="宋体"/>
          <w:b/>
          <w:bCs/>
          <w:color w:val="auto"/>
          <w:spacing w:val="-2"/>
          <w:sz w:val="24"/>
          <w:highlight w:val="none"/>
        </w:rPr>
        <w:t>成员为</w:t>
      </w:r>
      <w:r>
        <w:rPr>
          <w:rFonts w:hint="eastAsia" w:ascii="宋体" w:hAnsi="宋体" w:cs="宋体"/>
          <w:b/>
          <w:bCs/>
          <w:color w:val="auto"/>
          <w:spacing w:val="-2"/>
          <w:sz w:val="24"/>
          <w:highlight w:val="none"/>
          <w:lang w:val="en-US" w:eastAsia="zh-CN"/>
        </w:rPr>
        <w:t>3</w:t>
      </w:r>
      <w:r>
        <w:rPr>
          <w:rFonts w:hint="eastAsia" w:ascii="宋体" w:hAnsi="宋体" w:cs="宋体"/>
          <w:b/>
          <w:bCs/>
          <w:color w:val="auto"/>
          <w:spacing w:val="-2"/>
          <w:sz w:val="24"/>
          <w:highlight w:val="none"/>
        </w:rPr>
        <w:t>人；</w:t>
      </w:r>
    </w:p>
    <w:p>
      <w:pPr>
        <w:spacing w:line="400" w:lineRule="atLeast"/>
        <w:ind w:firstLine="472" w:firstLineChars="200"/>
        <w:jc w:val="left"/>
        <w:rPr>
          <w:rFonts w:hint="eastAsia" w:ascii="宋体" w:hAnsi="宋体" w:cs="宋体"/>
          <w:b w:val="0"/>
          <w:bCs w:val="0"/>
          <w:color w:val="auto"/>
          <w:spacing w:val="-2"/>
          <w:sz w:val="24"/>
          <w:highlight w:val="none"/>
        </w:rPr>
      </w:pPr>
      <w:r>
        <w:rPr>
          <w:rFonts w:hint="eastAsia" w:ascii="宋体" w:hAnsi="宋体" w:cs="宋体"/>
          <w:color w:val="auto"/>
          <w:spacing w:val="-2"/>
          <w:sz w:val="24"/>
          <w:highlight w:val="none"/>
        </w:rPr>
        <w:t>4、</w:t>
      </w:r>
      <w:r>
        <w:rPr>
          <w:rFonts w:hint="eastAsia" w:ascii="宋体" w:hAnsi="宋体" w:cs="宋体"/>
          <w:b w:val="0"/>
          <w:bCs w:val="0"/>
          <w:color w:val="auto"/>
          <w:spacing w:val="-2"/>
          <w:sz w:val="24"/>
          <w:highlight w:val="none"/>
        </w:rPr>
        <w:t>按前款规定，</w:t>
      </w:r>
      <w:r>
        <w:rPr>
          <w:rFonts w:hint="eastAsia" w:ascii="宋体" w:hAnsi="宋体" w:cs="宋体"/>
          <w:color w:val="auto"/>
          <w:spacing w:val="-2"/>
          <w:sz w:val="24"/>
          <w:highlight w:val="none"/>
          <w:lang w:val="en-US" w:eastAsia="zh-CN"/>
        </w:rPr>
        <w:t>磋商小组</w:t>
      </w:r>
      <w:r>
        <w:rPr>
          <w:rFonts w:hint="eastAsia" w:ascii="宋体" w:hAnsi="宋体" w:cs="宋体"/>
          <w:b w:val="0"/>
          <w:bCs w:val="0"/>
          <w:color w:val="auto"/>
          <w:spacing w:val="-2"/>
          <w:sz w:val="24"/>
          <w:highlight w:val="none"/>
        </w:rPr>
        <w:t>由招标方</w:t>
      </w:r>
      <w:r>
        <w:rPr>
          <w:rFonts w:hint="eastAsia" w:ascii="宋体" w:hAnsi="宋体" w:cs="宋体"/>
          <w:b w:val="0"/>
          <w:bCs w:val="0"/>
          <w:color w:val="auto"/>
          <w:spacing w:val="-2"/>
          <w:sz w:val="24"/>
          <w:highlight w:val="none"/>
          <w:lang w:eastAsia="zh-CN"/>
        </w:rPr>
        <w:t>委托代理机构</w:t>
      </w:r>
      <w:r>
        <w:rPr>
          <w:rFonts w:hint="eastAsia" w:ascii="宋体" w:hAnsi="宋体" w:cs="宋体"/>
          <w:b w:val="0"/>
          <w:bCs w:val="0"/>
          <w:color w:val="auto"/>
          <w:spacing w:val="-2"/>
          <w:sz w:val="24"/>
          <w:highlight w:val="none"/>
        </w:rPr>
        <w:t>从</w:t>
      </w:r>
      <w:r>
        <w:rPr>
          <w:rFonts w:hint="eastAsia" w:ascii="宋体" w:hAnsi="宋体" w:cs="宋体"/>
          <w:b w:val="0"/>
          <w:bCs w:val="0"/>
          <w:color w:val="auto"/>
          <w:spacing w:val="-2"/>
          <w:sz w:val="24"/>
          <w:highlight w:val="none"/>
          <w:lang w:eastAsia="zh-CN"/>
        </w:rPr>
        <w:t>新疆政府采购网</w:t>
      </w:r>
      <w:r>
        <w:rPr>
          <w:rFonts w:hint="eastAsia" w:ascii="宋体" w:hAnsi="宋体" w:cs="宋体"/>
          <w:b w:val="0"/>
          <w:bCs w:val="0"/>
          <w:color w:val="auto"/>
          <w:spacing w:val="-2"/>
          <w:sz w:val="24"/>
          <w:highlight w:val="none"/>
        </w:rPr>
        <w:t>专家库中采取随机抽取的方式确定。</w:t>
      </w:r>
    </w:p>
    <w:p>
      <w:pPr>
        <w:spacing w:line="400" w:lineRule="atLeast"/>
        <w:ind w:firstLine="472" w:firstLineChars="200"/>
        <w:jc w:val="left"/>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5、</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的回避规定</w:t>
      </w:r>
      <w:r>
        <w:rPr>
          <w:rFonts w:hint="eastAsia" w:ascii="宋体" w:hAnsi="宋体" w:cs="宋体"/>
          <w:color w:val="auto"/>
          <w:spacing w:val="-2"/>
          <w:sz w:val="24"/>
          <w:highlight w:val="none"/>
          <w:lang w:eastAsia="zh-CN"/>
        </w:rPr>
        <w:t>：</w:t>
      </w:r>
    </w:p>
    <w:p>
      <w:pPr>
        <w:spacing w:line="400" w:lineRule="atLeast"/>
        <w:ind w:firstLine="472" w:firstLineChars="200"/>
        <w:jc w:val="left"/>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有下列情形之一的，不得担任</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成员</w:t>
      </w:r>
      <w:r>
        <w:rPr>
          <w:rFonts w:hint="eastAsia" w:ascii="宋体" w:hAnsi="宋体" w:cs="宋体"/>
          <w:color w:val="auto"/>
          <w:spacing w:val="-2"/>
          <w:sz w:val="24"/>
          <w:highlight w:val="none"/>
          <w:lang w:eastAsia="zh-CN"/>
        </w:rPr>
        <w:t>：</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1）与投标方或者投标方主要负责人有近亲关系的；</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2）与项目主管部门或者行政监督部门的人员有近亲关系的；</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 xml:space="preserve">3）与投标方有经济利益关系，可能影响对投标公正评审的； </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4）曾因在招标、评标以及其他与招标投标有关活动中从事违法行为而受过行政处罚或刑事处罚的。</w:t>
      </w:r>
    </w:p>
    <w:p>
      <w:pPr>
        <w:spacing w:line="400" w:lineRule="atLeast"/>
        <w:ind w:firstLine="480" w:firstLineChars="200"/>
        <w:jc w:val="left"/>
        <w:rPr>
          <w:rFonts w:hint="eastAsia" w:ascii="宋体" w:hAnsi="宋体" w:cs="宋体"/>
          <w:color w:val="auto"/>
          <w:spacing w:val="-2"/>
          <w:sz w:val="24"/>
          <w:highlight w:val="none"/>
        </w:rPr>
      </w:pPr>
      <w:r>
        <w:rPr>
          <w:rFonts w:hint="eastAsia" w:ascii="宋体" w:hAnsi="宋体" w:cs="宋体"/>
          <w:color w:val="auto"/>
          <w:sz w:val="24"/>
          <w:highlight w:val="none"/>
        </w:rPr>
        <w:t>6、</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成员应当熟悉并认真研究本文件，至少应了解和熟悉以下内容：</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1）招标目的；</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2）招标项目的范围、性质；</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3）本文件中规定的主要技术要求、标准和商务条款；</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4）本文件规定的评标标准、评标方法和在评标过程中应考虑的相关因素。</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7、招标人应当向</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提供本文件。</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8、</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应当根据本文件规定的评标标准和方法，对</w:t>
      </w:r>
      <w:r>
        <w:rPr>
          <w:rFonts w:hint="eastAsia" w:ascii="宋体" w:hAnsi="宋体" w:cs="宋体"/>
          <w:color w:val="auto"/>
          <w:spacing w:val="-2"/>
          <w:sz w:val="24"/>
          <w:highlight w:val="none"/>
          <w:lang w:val="en-US" w:eastAsia="zh-CN"/>
        </w:rPr>
        <w:t>响应</w:t>
      </w:r>
      <w:r>
        <w:rPr>
          <w:rFonts w:hint="eastAsia" w:ascii="宋体" w:hAnsi="宋体" w:cs="宋体"/>
          <w:color w:val="auto"/>
          <w:spacing w:val="-2"/>
          <w:sz w:val="24"/>
          <w:highlight w:val="none"/>
        </w:rPr>
        <w:t>文件进行系统地评审和比较。本文件中没有规定的标准和方法不得作为评标的依据。</w:t>
      </w:r>
    </w:p>
    <w:p>
      <w:pPr>
        <w:spacing w:line="400" w:lineRule="atLeast"/>
        <w:ind w:firstLine="472" w:firstLineChars="200"/>
        <w:jc w:val="both"/>
        <w:rPr>
          <w:rFonts w:hint="eastAsia" w:ascii="宋体" w:hAnsi="宋体" w:cs="宋体"/>
          <w:color w:val="auto"/>
          <w:spacing w:val="-2"/>
          <w:sz w:val="24"/>
          <w:highlight w:val="none"/>
        </w:rPr>
      </w:pPr>
      <w:r>
        <w:rPr>
          <w:rFonts w:hint="eastAsia" w:ascii="宋体" w:hAnsi="宋体" w:cs="宋体"/>
          <w:color w:val="auto"/>
          <w:spacing w:val="-2"/>
          <w:sz w:val="24"/>
          <w:highlight w:val="none"/>
        </w:rPr>
        <w:t>9、</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成员应当客观、公正地履行职责，遵守职业道德，并对所提出的评审意见承担个人责任。</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成员不得与任何投标方或者与招标结果有利害关系的人员进行私下接触，不得收受投标方、中介人或其他有利害关系人的财物或好处。</w:t>
      </w:r>
    </w:p>
    <w:p>
      <w:pPr>
        <w:spacing w:line="400" w:lineRule="atLeast"/>
        <w:ind w:firstLine="472" w:firstLineChars="200"/>
        <w:jc w:val="left"/>
        <w:rPr>
          <w:rFonts w:hint="eastAsia" w:ascii="宋体" w:hAnsi="宋体" w:cs="宋体"/>
          <w:color w:val="auto"/>
          <w:spacing w:val="-2"/>
          <w:sz w:val="24"/>
          <w:highlight w:val="none"/>
        </w:rPr>
      </w:pPr>
      <w:r>
        <w:rPr>
          <w:rFonts w:hint="eastAsia" w:ascii="宋体" w:hAnsi="宋体" w:cs="宋体"/>
          <w:color w:val="auto"/>
          <w:spacing w:val="-2"/>
          <w:sz w:val="24"/>
          <w:highlight w:val="none"/>
        </w:rPr>
        <w:t>10、</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成员和与本次评标活动有关的工作人员，不得透露对</w:t>
      </w:r>
      <w:r>
        <w:rPr>
          <w:rFonts w:hint="eastAsia" w:ascii="宋体" w:hAnsi="宋体" w:cs="宋体"/>
          <w:color w:val="auto"/>
          <w:spacing w:val="-2"/>
          <w:sz w:val="24"/>
          <w:highlight w:val="none"/>
          <w:lang w:eastAsia="zh-CN"/>
        </w:rPr>
        <w:t>响应文件</w:t>
      </w:r>
      <w:r>
        <w:rPr>
          <w:rFonts w:hint="eastAsia" w:ascii="宋体" w:hAnsi="宋体" w:cs="宋体"/>
          <w:color w:val="auto"/>
          <w:spacing w:val="-2"/>
          <w:sz w:val="24"/>
          <w:highlight w:val="none"/>
        </w:rPr>
        <w:t>的评审和比较、</w:t>
      </w:r>
      <w:r>
        <w:rPr>
          <w:rFonts w:hint="eastAsia" w:ascii="宋体" w:hAnsi="宋体" w:cs="宋体"/>
          <w:color w:val="auto"/>
          <w:spacing w:val="-2"/>
          <w:sz w:val="24"/>
          <w:highlight w:val="none"/>
          <w:lang w:val="en-US" w:eastAsia="zh-CN"/>
        </w:rPr>
        <w:t>成交</w:t>
      </w:r>
      <w:r>
        <w:rPr>
          <w:rFonts w:hint="eastAsia" w:ascii="宋体" w:hAnsi="宋体" w:cs="宋体"/>
          <w:color w:val="auto"/>
          <w:spacing w:val="-2"/>
          <w:sz w:val="24"/>
          <w:highlight w:val="none"/>
        </w:rPr>
        <w:t>候选人的推荐情况以及与评标有关的其他情况。</w:t>
      </w:r>
    </w:p>
    <w:p>
      <w:pPr>
        <w:spacing w:line="400" w:lineRule="atLeast"/>
        <w:ind w:firstLine="482" w:firstLineChars="200"/>
        <w:jc w:val="left"/>
        <w:rPr>
          <w:rFonts w:hint="eastAsia" w:ascii="宋体" w:hAnsi="宋体" w:cs="宋体"/>
          <w:color w:val="auto"/>
          <w:sz w:val="24"/>
          <w:highlight w:val="none"/>
        </w:rPr>
      </w:pPr>
      <w:r>
        <w:rPr>
          <w:rFonts w:hint="eastAsia" w:ascii="宋体" w:hAnsi="宋体" w:cs="宋体"/>
          <w:b/>
          <w:bCs/>
          <w:color w:val="auto"/>
          <w:sz w:val="24"/>
          <w:highlight w:val="none"/>
        </w:rPr>
        <w:t>评标</w:t>
      </w:r>
    </w:p>
    <w:p>
      <w:pPr>
        <w:numPr>
          <w:ilvl w:val="0"/>
          <w:numId w:val="12"/>
        </w:numPr>
        <w:spacing w:line="400" w:lineRule="atLeas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评标的依据为</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文件和</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w:t>
      </w:r>
    </w:p>
    <w:p>
      <w:pPr>
        <w:pStyle w:val="3"/>
        <w:numPr>
          <w:ilvl w:val="0"/>
          <w:numId w:val="0"/>
        </w:numPr>
        <w:ind w:firstLine="480" w:firstLineChars="200"/>
        <w:rPr>
          <w:rFonts w:hint="default"/>
          <w:color w:val="auto"/>
          <w:highlight w:val="none"/>
          <w:lang w:val="en-US"/>
        </w:rPr>
      </w:pPr>
      <w:r>
        <w:rPr>
          <w:rFonts w:hint="eastAsia"/>
          <w:color w:val="auto"/>
          <w:highlight w:val="none"/>
          <w:lang w:val="en-US" w:eastAsia="zh-CN"/>
        </w:rPr>
        <w:t>2、本项目采用综合评分法：总分100分，其中报价分值40分，技术分值50分，商务分值10分。</w:t>
      </w:r>
    </w:p>
    <w:p>
      <w:pPr>
        <w:spacing w:line="400" w:lineRule="atLeas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初步评审：</w:t>
      </w:r>
    </w:p>
    <w:p>
      <w:pPr>
        <w:spacing w:line="400" w:lineRule="atLeas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1、资格性审查表（见综合评分表前附表）。</w:t>
      </w:r>
    </w:p>
    <w:p>
      <w:pPr>
        <w:spacing w:line="400" w:lineRule="atLeas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2、符合性审查表（见综合评分表前附表）。</w:t>
      </w:r>
    </w:p>
    <w:p>
      <w:pPr>
        <w:spacing w:line="400" w:lineRule="atLeas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3、商务符合性审查表（见综合评分表前附表）。</w:t>
      </w:r>
    </w:p>
    <w:p>
      <w:pPr>
        <w:spacing w:line="400" w:lineRule="atLeast"/>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评标委员会依据本磋商文件的实质性要求，对符合资格的响应文件进行审查，以确定其是否满足本招标文件的实质性要求。</w:t>
      </w:r>
    </w:p>
    <w:p>
      <w:pPr>
        <w:spacing w:line="400" w:lineRule="atLeas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详细评审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72" w:firstLineChars="200"/>
        <w:textAlignment w:val="auto"/>
        <w:rPr>
          <w:rFonts w:hint="eastAsia"/>
          <w:color w:val="auto"/>
          <w:highlight w:val="none"/>
        </w:rPr>
      </w:pPr>
      <w:r>
        <w:rPr>
          <w:rFonts w:hint="eastAsia" w:ascii="宋体" w:hAnsi="宋体" w:cs="宋体"/>
          <w:color w:val="auto"/>
          <w:spacing w:val="-2"/>
          <w:sz w:val="24"/>
          <w:highlight w:val="none"/>
          <w:lang w:val="en-US" w:eastAsia="zh-CN"/>
        </w:rPr>
        <w:t>1、</w:t>
      </w:r>
      <w:r>
        <w:rPr>
          <w:rFonts w:hint="eastAsia" w:ascii="宋体" w:hAnsi="宋体" w:cs="宋体"/>
          <w:color w:val="auto"/>
          <w:spacing w:val="-2"/>
          <w:sz w:val="24"/>
          <w:highlight w:val="none"/>
        </w:rPr>
        <w:t>经初步评审合格的</w:t>
      </w:r>
      <w:r>
        <w:rPr>
          <w:rFonts w:hint="eastAsia" w:ascii="宋体" w:hAnsi="宋体" w:cs="宋体"/>
          <w:color w:val="auto"/>
          <w:sz w:val="24"/>
          <w:highlight w:val="none"/>
          <w:lang w:val="en-US" w:eastAsia="zh-CN"/>
        </w:rPr>
        <w:t>响应</w:t>
      </w:r>
      <w:r>
        <w:rPr>
          <w:rFonts w:hint="eastAsia" w:ascii="宋体" w:hAnsi="宋体" w:cs="宋体"/>
          <w:color w:val="auto"/>
          <w:spacing w:val="-2"/>
          <w:sz w:val="24"/>
          <w:highlight w:val="none"/>
        </w:rPr>
        <w:t>文件，</w:t>
      </w:r>
      <w:r>
        <w:rPr>
          <w:rFonts w:hint="eastAsia" w:ascii="宋体" w:hAnsi="宋体" w:cs="宋体"/>
          <w:color w:val="auto"/>
          <w:sz w:val="24"/>
          <w:highlight w:val="none"/>
          <w:lang w:val="en-US" w:eastAsia="zh-CN"/>
        </w:rPr>
        <w:t>磋商小组</w:t>
      </w:r>
      <w:r>
        <w:rPr>
          <w:rFonts w:hint="eastAsia" w:ascii="宋体" w:hAnsi="宋体" w:cs="宋体"/>
          <w:color w:val="auto"/>
          <w:spacing w:val="-2"/>
          <w:sz w:val="24"/>
          <w:highlight w:val="none"/>
        </w:rPr>
        <w:t>应当根据本文件确定的评标标准和方法，对其技术和商务部分作进一步的评审和比较。</w:t>
      </w:r>
      <w:r>
        <w:rPr>
          <w:rFonts w:hint="eastAsia" w:ascii="宋体" w:hAnsi="宋体" w:eastAsia="宋体" w:cs="宋体"/>
          <w:color w:val="auto"/>
          <w:spacing w:val="-2"/>
          <w:sz w:val="24"/>
          <w:highlight w:val="none"/>
        </w:rPr>
        <w:t>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72" w:firstLineChars="200"/>
        <w:textAlignment w:val="auto"/>
        <w:rPr>
          <w:rFonts w:hint="eastAsia" w:ascii="宋体" w:hAnsi="宋体" w:cs="宋体"/>
          <w:color w:val="auto"/>
          <w:sz w:val="24"/>
          <w:highlight w:val="none"/>
        </w:rPr>
      </w:pPr>
      <w:r>
        <w:rPr>
          <w:rFonts w:hint="eastAsia" w:ascii="宋体" w:hAnsi="宋体" w:cs="宋体"/>
          <w:color w:val="auto"/>
          <w:spacing w:val="-2"/>
          <w:sz w:val="24"/>
          <w:highlight w:val="none"/>
          <w:lang w:val="en-US" w:eastAsia="zh-CN"/>
        </w:rPr>
        <w:t>2、</w:t>
      </w:r>
      <w:r>
        <w:rPr>
          <w:rFonts w:hint="eastAsia" w:ascii="宋体" w:hAnsi="宋体" w:eastAsia="宋体" w:cs="宋体"/>
          <w:color w:val="auto"/>
          <w:spacing w:val="-2"/>
          <w:sz w:val="24"/>
          <w:highlight w:val="none"/>
        </w:rPr>
        <w:t>磋商结束后，磋商小组应当要求所有实质性响应的供应商在规定时间内提交</w:t>
      </w:r>
      <w:r>
        <w:rPr>
          <w:rFonts w:hint="eastAsia" w:ascii="宋体" w:hAnsi="宋体" w:eastAsia="宋体" w:cs="宋体"/>
          <w:color w:val="auto"/>
          <w:spacing w:val="-2"/>
          <w:sz w:val="24"/>
          <w:highlight w:val="none"/>
          <w:lang w:val="en-US" w:eastAsia="zh-CN"/>
        </w:rPr>
        <w:t>二次</w:t>
      </w:r>
      <w:r>
        <w:rPr>
          <w:rFonts w:hint="eastAsia" w:ascii="宋体" w:hAnsi="宋体" w:eastAsia="宋体" w:cs="宋体"/>
          <w:color w:val="auto"/>
          <w:spacing w:val="-2"/>
          <w:sz w:val="24"/>
          <w:highlight w:val="none"/>
        </w:rPr>
        <w:t>报价，经磋商确定最终采购需求和提交最后报价的供应商后，由磋商小组采用综合评分法对提交最后报价的供应商的响应文件和最后报价进行综合评分。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采用综合评分法，</w:t>
      </w:r>
      <w:r>
        <w:rPr>
          <w:rFonts w:hint="eastAsia" w:ascii="宋体" w:hAnsi="宋体" w:cs="宋体"/>
          <w:color w:val="auto"/>
          <w:sz w:val="24"/>
          <w:highlight w:val="none"/>
          <w:lang w:val="en-US" w:eastAsia="zh-CN"/>
        </w:rPr>
        <w:t>是指</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满足</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文件全部实质性要求且按照评审因素的量化指标评审得分最高的</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为</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候选</w:t>
      </w:r>
      <w:r>
        <w:rPr>
          <w:rFonts w:hint="eastAsia" w:ascii="宋体" w:hAnsi="宋体" w:cs="宋体"/>
          <w:color w:val="auto"/>
          <w:sz w:val="24"/>
          <w:highlight w:val="none"/>
          <w:lang w:val="en-US" w:eastAsia="zh-CN"/>
        </w:rPr>
        <w:t>供应商的评审方法</w:t>
      </w:r>
      <w:r>
        <w:rPr>
          <w:rFonts w:hint="eastAsia" w:ascii="宋体" w:hAnsi="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cs="宋体"/>
          <w:color w:val="auto"/>
          <w:sz w:val="24"/>
          <w:highlight w:val="none"/>
          <w:lang w:val="en-US" w:eastAsia="zh-CN"/>
        </w:rPr>
      </w:pPr>
      <w:r>
        <w:rPr>
          <w:rFonts w:hint="eastAsia" w:cs="宋体"/>
          <w:color w:val="auto"/>
          <w:sz w:val="24"/>
          <w:highlight w:val="none"/>
          <w:lang w:val="en-US" w:eastAsia="zh-CN"/>
        </w:rPr>
        <w:t>4、磋商小组应当根据综合评分情况，按照评审得分由高到低顺序推荐3名以上成交候选供应商，并编写评审报告。</w:t>
      </w:r>
      <w:r>
        <w:rPr>
          <w:rFonts w:hint="eastAsia" w:cs="宋体"/>
          <w:b/>
          <w:bCs/>
          <w:color w:val="auto"/>
          <w:sz w:val="24"/>
          <w:highlight w:val="none"/>
          <w:lang w:val="en-US" w:eastAsia="zh-CN"/>
        </w:rPr>
        <w:t>注：成交候选人并列式时的处理方式：本次评标采用综合评估法，评审完毕评标委员会根据汇总各有效供应商的价格得分、商务及技术得分总和，按照评审得分由高到低顺序取前三名作为成交候选人推荐给招标人。评审得分相同的，按最后报价由低到高的顺序推荐。评审得分且最后报价相同的，按照技术指标优劣顺序推荐。</w:t>
      </w:r>
      <w:r>
        <w:rPr>
          <w:rFonts w:hint="eastAsia" w:cs="宋体"/>
          <w:color w:val="auto"/>
          <w:sz w:val="24"/>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cs="宋体"/>
          <w:color w:val="auto"/>
          <w:sz w:val="24"/>
          <w:highlight w:val="none"/>
          <w:lang w:val="en-US" w:eastAsia="zh-CN"/>
        </w:rPr>
      </w:pPr>
      <w:r>
        <w:rPr>
          <w:rFonts w:hint="eastAsia" w:cs="宋体"/>
          <w:color w:val="auto"/>
          <w:sz w:val="24"/>
          <w:highlight w:val="none"/>
          <w:lang w:val="en-US" w:eastAsia="zh-CN"/>
        </w:rPr>
        <w:t>5、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00" w:lineRule="atLeast"/>
        <w:ind w:firstLine="482" w:firstLineChars="200"/>
        <w:jc w:val="left"/>
        <w:rPr>
          <w:rFonts w:hint="eastAsia" w:ascii="宋体" w:hAnsi="宋体" w:cs="宋体"/>
          <w:color w:val="auto"/>
          <w:sz w:val="24"/>
          <w:highlight w:val="none"/>
        </w:rPr>
      </w:pPr>
      <w:r>
        <w:rPr>
          <w:rFonts w:hint="eastAsia" w:ascii="宋体" w:hAnsi="宋体" w:cs="宋体"/>
          <w:b/>
          <w:bCs/>
          <w:color w:val="auto"/>
          <w:sz w:val="24"/>
          <w:highlight w:val="none"/>
        </w:rPr>
        <w:t>评标的保密性</w:t>
      </w:r>
    </w:p>
    <w:p>
      <w:pPr>
        <w:spacing w:line="400" w:lineRule="atLeas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1、开标后，直到授予投标商合同为止，凡属于审查、澄清、评价和比较的有关资料以及授标建议等</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成员或参与评标的有关工作人员均不得向投标</w:t>
      </w:r>
      <w:r>
        <w:rPr>
          <w:rFonts w:hint="eastAsia" w:ascii="宋体" w:hAnsi="宋体" w:cs="宋体"/>
          <w:color w:val="auto"/>
          <w:sz w:val="24"/>
          <w:highlight w:val="none"/>
          <w:lang w:val="en-US" w:eastAsia="zh-CN"/>
        </w:rPr>
        <w:t>供应</w:t>
      </w:r>
      <w:r>
        <w:rPr>
          <w:rFonts w:hint="eastAsia" w:ascii="宋体" w:hAnsi="宋体" w:cs="宋体"/>
          <w:color w:val="auto"/>
          <w:sz w:val="24"/>
          <w:highlight w:val="none"/>
        </w:rPr>
        <w:t>商或其他无关人员透露，违者给予警告、取消担任</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成员的资格，不得再参加任何项目的评标。</w:t>
      </w:r>
    </w:p>
    <w:p>
      <w:pPr>
        <w:spacing w:line="400" w:lineRule="atLeast"/>
        <w:jc w:val="left"/>
        <w:rPr>
          <w:rFonts w:hint="eastAsia" w:ascii="宋体" w:hAnsi="宋体" w:cs="宋体"/>
          <w:color w:val="auto"/>
          <w:sz w:val="24"/>
          <w:highlight w:val="none"/>
        </w:rPr>
      </w:pPr>
      <w:r>
        <w:rPr>
          <w:rFonts w:hint="eastAsia" w:ascii="宋体" w:hAnsi="宋体" w:cs="宋体"/>
          <w:color w:val="auto"/>
          <w:sz w:val="24"/>
          <w:highlight w:val="none"/>
        </w:rPr>
        <w:t xml:space="preserve">    2、投标商在评标过程中，所进行的力图影响评标结果的不符合《政府采购法》、《</w:t>
      </w:r>
      <w:bookmarkStart w:id="518" w:name="OLE_LINK1"/>
      <w:r>
        <w:rPr>
          <w:rFonts w:hint="eastAsia" w:ascii="宋体" w:hAnsi="宋体" w:cs="宋体"/>
          <w:color w:val="auto"/>
          <w:sz w:val="24"/>
          <w:highlight w:val="none"/>
        </w:rPr>
        <w:t>政府采购竞争性磋商采购方式管理暂行办法</w:t>
      </w:r>
      <w:bookmarkEnd w:id="518"/>
      <w:r>
        <w:rPr>
          <w:rFonts w:hint="eastAsia" w:ascii="宋体" w:hAnsi="宋体" w:cs="宋体"/>
          <w:color w:val="auto"/>
          <w:sz w:val="24"/>
          <w:highlight w:val="none"/>
        </w:rPr>
        <w:t>》及本次项目中有关规定的活动，将被取消中标资格。</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定标</w:t>
      </w:r>
    </w:p>
    <w:p>
      <w:pPr>
        <w:spacing w:line="400" w:lineRule="atLeas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1.定标标准</w:t>
      </w:r>
    </w:p>
    <w:p>
      <w:pPr>
        <w:spacing w:line="400" w:lineRule="atLeas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（一）原则：</w:t>
      </w:r>
      <w:r>
        <w:rPr>
          <w:rFonts w:hint="eastAsia" w:ascii="宋体" w:hAnsi="宋体" w:cs="宋体"/>
          <w:color w:val="auto"/>
          <w:spacing w:val="-2"/>
          <w:sz w:val="24"/>
          <w:highlight w:val="none"/>
          <w:lang w:val="en-US" w:eastAsia="zh-CN"/>
        </w:rPr>
        <w:t>采购人将依据</w:t>
      </w:r>
      <w:r>
        <w:rPr>
          <w:rFonts w:hint="eastAsia" w:ascii="宋体" w:hAnsi="宋体" w:cs="宋体"/>
          <w:color w:val="auto"/>
          <w:spacing w:val="-2"/>
          <w:sz w:val="24"/>
          <w:highlight w:val="none"/>
        </w:rPr>
        <w:t>本项目根据</w:t>
      </w:r>
      <w:r>
        <w:rPr>
          <w:rFonts w:hint="eastAsia" w:ascii="宋体" w:hAnsi="宋体" w:cs="宋体"/>
          <w:color w:val="auto"/>
          <w:spacing w:val="-2"/>
          <w:sz w:val="24"/>
          <w:highlight w:val="none"/>
          <w:lang w:val="en-US" w:eastAsia="zh-CN"/>
        </w:rPr>
        <w:t>磋商小组</w:t>
      </w:r>
      <w:r>
        <w:rPr>
          <w:rFonts w:hint="eastAsia" w:ascii="宋体" w:hAnsi="宋体" w:cs="宋体"/>
          <w:color w:val="auto"/>
          <w:spacing w:val="-2"/>
          <w:sz w:val="24"/>
          <w:highlight w:val="none"/>
        </w:rPr>
        <w:t>推荐的</w:t>
      </w:r>
      <w:r>
        <w:rPr>
          <w:rFonts w:hint="eastAsia" w:ascii="宋体" w:hAnsi="宋体" w:cs="宋体"/>
          <w:color w:val="auto"/>
          <w:spacing w:val="-2"/>
          <w:sz w:val="24"/>
          <w:highlight w:val="none"/>
          <w:lang w:val="en-US" w:eastAsia="zh-CN"/>
        </w:rPr>
        <w:t>成交</w:t>
      </w:r>
      <w:r>
        <w:rPr>
          <w:rFonts w:hint="eastAsia" w:ascii="宋体" w:hAnsi="宋体" w:cs="宋体"/>
          <w:color w:val="auto"/>
          <w:spacing w:val="-2"/>
          <w:sz w:val="24"/>
          <w:highlight w:val="none"/>
        </w:rPr>
        <w:t>候选人名单，按顺序确定中标人。</w:t>
      </w:r>
    </w:p>
    <w:p>
      <w:pPr>
        <w:spacing w:line="400" w:lineRule="atLeast"/>
        <w:ind w:firstLine="480" w:firstLineChars="200"/>
        <w:rPr>
          <w:rFonts w:hint="eastAsia" w:ascii="宋体" w:hAnsi="宋体" w:eastAsia="宋体" w:cs="宋体"/>
          <w:b w:val="0"/>
          <w:bCs/>
          <w:color w:val="auto"/>
          <w:sz w:val="24"/>
          <w:highlight w:val="none"/>
          <w:lang w:eastAsia="zh-CN"/>
        </w:rPr>
      </w:pPr>
      <w:bookmarkStart w:id="519" w:name="_Toc217446062"/>
      <w:r>
        <w:rPr>
          <w:rFonts w:hint="eastAsia" w:ascii="宋体" w:hAnsi="宋体" w:cs="宋体"/>
          <w:b w:val="0"/>
          <w:bCs/>
          <w:color w:val="auto"/>
          <w:sz w:val="24"/>
          <w:highlight w:val="none"/>
        </w:rPr>
        <w:t>（二）程序</w:t>
      </w:r>
      <w:bookmarkEnd w:id="519"/>
      <w:r>
        <w:rPr>
          <w:rFonts w:hint="eastAsia" w:ascii="宋体" w:hAnsi="宋体" w:cs="宋体"/>
          <w:b w:val="0"/>
          <w:bCs/>
          <w:color w:val="auto"/>
          <w:sz w:val="24"/>
          <w:highlight w:val="none"/>
          <w:lang w:eastAsia="zh-CN"/>
        </w:rPr>
        <w:t>：</w:t>
      </w:r>
    </w:p>
    <w:p>
      <w:pPr>
        <w:spacing w:line="400" w:lineRule="atLeas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1、采购代理机构在评审结束后2个工作日内将评审报告送采购人。</w:t>
      </w:r>
    </w:p>
    <w:p>
      <w:pPr>
        <w:spacing w:line="400" w:lineRule="atLeast"/>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2、采购人在收到评审报告后5个工作日内，按照评审报告中推荐的</w:t>
      </w:r>
      <w:r>
        <w:rPr>
          <w:rFonts w:hint="eastAsia" w:ascii="宋体" w:hAnsi="宋体" w:cs="宋体"/>
          <w:color w:val="auto"/>
          <w:spacing w:val="-2"/>
          <w:sz w:val="24"/>
          <w:highlight w:val="none"/>
          <w:lang w:eastAsia="zh-CN"/>
        </w:rPr>
        <w:t>成交候选人</w:t>
      </w:r>
      <w:r>
        <w:rPr>
          <w:rFonts w:hint="eastAsia" w:ascii="宋体" w:hAnsi="宋体" w:cs="宋体"/>
          <w:color w:val="auto"/>
          <w:spacing w:val="-2"/>
          <w:sz w:val="24"/>
          <w:highlight w:val="none"/>
        </w:rPr>
        <w:t>顺序确定中标人。注意，采购人按照推荐的</w:t>
      </w:r>
      <w:r>
        <w:rPr>
          <w:rFonts w:hint="eastAsia" w:ascii="宋体" w:hAnsi="宋体" w:cs="宋体"/>
          <w:color w:val="auto"/>
          <w:spacing w:val="-2"/>
          <w:sz w:val="24"/>
          <w:highlight w:val="none"/>
          <w:lang w:eastAsia="zh-CN"/>
        </w:rPr>
        <w:t>成交候选人</w:t>
      </w:r>
      <w:r>
        <w:rPr>
          <w:rFonts w:hint="eastAsia" w:ascii="宋体" w:hAnsi="宋体" w:cs="宋体"/>
          <w:color w:val="auto"/>
          <w:spacing w:val="-2"/>
          <w:sz w:val="24"/>
          <w:highlight w:val="none"/>
        </w:rPr>
        <w:t>顺序确定中标人，不能认为采购人只能确定第一</w:t>
      </w:r>
      <w:r>
        <w:rPr>
          <w:rFonts w:hint="eastAsia" w:ascii="宋体" w:hAnsi="宋体" w:cs="宋体"/>
          <w:color w:val="auto"/>
          <w:spacing w:val="-2"/>
          <w:sz w:val="24"/>
          <w:highlight w:val="none"/>
          <w:lang w:eastAsia="zh-CN"/>
        </w:rPr>
        <w:t>成交候选人</w:t>
      </w:r>
      <w:r>
        <w:rPr>
          <w:rFonts w:hint="eastAsia" w:ascii="宋体" w:hAnsi="宋体" w:cs="宋体"/>
          <w:color w:val="auto"/>
          <w:spacing w:val="-2"/>
          <w:sz w:val="24"/>
          <w:highlight w:val="none"/>
        </w:rPr>
        <w:t>为中标人，采购人有正当理由的，可以确定后一顺序</w:t>
      </w:r>
      <w:r>
        <w:rPr>
          <w:rFonts w:hint="eastAsia" w:ascii="宋体" w:hAnsi="宋体" w:cs="宋体"/>
          <w:color w:val="auto"/>
          <w:spacing w:val="-2"/>
          <w:sz w:val="24"/>
          <w:highlight w:val="none"/>
          <w:lang w:eastAsia="zh-CN"/>
        </w:rPr>
        <w:t>成交候选人</w:t>
      </w:r>
      <w:r>
        <w:rPr>
          <w:rFonts w:hint="eastAsia" w:ascii="宋体" w:hAnsi="宋体" w:cs="宋体"/>
          <w:color w:val="auto"/>
          <w:spacing w:val="-2"/>
          <w:sz w:val="24"/>
          <w:highlight w:val="none"/>
        </w:rPr>
        <w:t>为中标人，依次类推。中标人自收到</w:t>
      </w:r>
      <w:r>
        <w:rPr>
          <w:rFonts w:hint="eastAsia" w:ascii="宋体" w:hAnsi="宋体" w:cs="宋体"/>
          <w:color w:val="auto"/>
          <w:spacing w:val="-2"/>
          <w:sz w:val="24"/>
          <w:highlight w:val="none"/>
          <w:lang w:eastAsia="zh-CN"/>
        </w:rPr>
        <w:t>成交通知书</w:t>
      </w:r>
      <w:r>
        <w:rPr>
          <w:rFonts w:hint="eastAsia" w:ascii="宋体" w:hAnsi="宋体" w:cs="宋体"/>
          <w:color w:val="auto"/>
          <w:spacing w:val="-2"/>
          <w:sz w:val="24"/>
          <w:highlight w:val="none"/>
        </w:rPr>
        <w:t>之日起3</w:t>
      </w:r>
      <w:r>
        <w:rPr>
          <w:rFonts w:hint="eastAsia" w:ascii="宋体" w:hAnsi="宋体" w:cs="宋体"/>
          <w:color w:val="auto"/>
          <w:spacing w:val="-2"/>
          <w:sz w:val="24"/>
          <w:highlight w:val="none"/>
          <w:lang w:val="en-US" w:eastAsia="zh-CN"/>
        </w:rPr>
        <w:t>0</w:t>
      </w:r>
      <w:r>
        <w:rPr>
          <w:rFonts w:hint="eastAsia" w:ascii="宋体" w:hAnsi="宋体" w:cs="宋体"/>
          <w:color w:val="auto"/>
          <w:spacing w:val="-2"/>
          <w:sz w:val="24"/>
          <w:highlight w:val="none"/>
        </w:rPr>
        <w:t>日内应与采购人签订合同书。</w:t>
      </w:r>
    </w:p>
    <w:p>
      <w:pPr>
        <w:spacing w:line="400" w:lineRule="atLeast"/>
        <w:ind w:firstLine="472" w:firstLineChars="200"/>
        <w:rPr>
          <w:rFonts w:hint="eastAsia" w:ascii="宋体" w:hAnsi="宋体" w:eastAsia="宋体" w:cs="宋体"/>
          <w:b/>
          <w:color w:val="auto"/>
          <w:sz w:val="24"/>
          <w:highlight w:val="none"/>
          <w:lang w:val="en-US" w:eastAsia="zh-CN"/>
        </w:rPr>
      </w:pPr>
      <w:r>
        <w:rPr>
          <w:rFonts w:hint="eastAsia" w:ascii="宋体" w:hAnsi="宋体" w:cs="宋体"/>
          <w:color w:val="auto"/>
          <w:spacing w:val="-2"/>
          <w:sz w:val="24"/>
          <w:highlight w:val="none"/>
          <w:lang w:val="en-US" w:eastAsia="zh-CN"/>
        </w:rPr>
        <w:t>3</w:t>
      </w:r>
      <w:r>
        <w:rPr>
          <w:rFonts w:hint="eastAsia" w:ascii="宋体" w:hAnsi="宋体" w:cs="宋体"/>
          <w:color w:val="auto"/>
          <w:spacing w:val="-2"/>
          <w:sz w:val="24"/>
          <w:highlight w:val="none"/>
        </w:rPr>
        <w:t>、采购单位不退回</w:t>
      </w:r>
      <w:r>
        <w:rPr>
          <w:rFonts w:hint="eastAsia" w:ascii="宋体" w:hAnsi="宋体" w:cs="宋体"/>
          <w:color w:val="auto"/>
          <w:spacing w:val="-2"/>
          <w:sz w:val="24"/>
          <w:highlight w:val="none"/>
          <w:lang w:eastAsia="zh-CN"/>
        </w:rPr>
        <w:t>投标人</w:t>
      </w:r>
      <w:r>
        <w:rPr>
          <w:rFonts w:hint="eastAsia" w:ascii="宋体" w:hAnsi="宋体" w:cs="宋体"/>
          <w:color w:val="auto"/>
          <w:spacing w:val="-2"/>
          <w:sz w:val="24"/>
          <w:highlight w:val="none"/>
          <w:lang w:val="en-US" w:eastAsia="zh-CN"/>
        </w:rPr>
        <w:t>响应</w:t>
      </w:r>
      <w:r>
        <w:rPr>
          <w:rFonts w:hint="eastAsia" w:ascii="宋体" w:hAnsi="宋体" w:cs="宋体"/>
          <w:color w:val="auto"/>
          <w:spacing w:val="-2"/>
          <w:sz w:val="24"/>
          <w:highlight w:val="none"/>
        </w:rPr>
        <w:t>文件和其他资料。</w:t>
      </w:r>
    </w:p>
    <w:p>
      <w:pPr>
        <w:spacing w:line="400" w:lineRule="atLeast"/>
        <w:ind w:firstLine="482" w:firstLineChars="200"/>
        <w:jc w:val="center"/>
        <w:rPr>
          <w:rFonts w:hint="eastAsia" w:ascii="宋体" w:hAnsi="宋体" w:eastAsia="宋体" w:cs="宋体"/>
          <w:color w:val="auto"/>
          <w:spacing w:val="-2"/>
          <w:sz w:val="24"/>
          <w:highlight w:val="none"/>
          <w:lang w:val="en-US" w:eastAsia="zh-CN"/>
        </w:rPr>
      </w:pPr>
      <w:r>
        <w:rPr>
          <w:rFonts w:hint="eastAsia" w:ascii="宋体" w:hAnsi="宋体" w:eastAsia="宋体" w:cs="宋体"/>
          <w:b/>
          <w:color w:val="auto"/>
          <w:sz w:val="24"/>
          <w:highlight w:val="none"/>
          <w:lang w:val="en-US" w:eastAsia="zh-CN"/>
        </w:rPr>
        <w:t>纪律和监督</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1．对采购人的纪律要求</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采购人不得泄漏招标投标活动中应当保密的情况和资料，不得与供应商串通损害国家利益、社会公共利益或者他人合法权益。</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下列行为视为采购人与供应商串通投标：</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(1）采购人在开标前开启磋商响应文件，并将投标情况告知其它供应商，或者协助供应商撤换磋商响应文件，更改报价；</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(2）采购人向供应商泄露标底；</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(3）采购人与供应商商定，投标时压低或抬高标价，中标后再给供应商或采购人额外补偿；</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(4）采购人预先内定中标供应商；</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(5）其它串通投标行为。</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2.对供应商的纪律要求</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拒绝有关部门的监督检查或者向监督检查部门提供虚假情况。</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下列情况视为投标人之间串通投标，其投标无效：</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（1）不同供应商响应文件由同一单位或个人编制；</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（2）不同供应商委托同一单位或个人办理投标事宜的；</w:t>
      </w:r>
    </w:p>
    <w:p>
      <w:pPr>
        <w:spacing w:line="400" w:lineRule="atLeast"/>
        <w:ind w:firstLine="472" w:firstLineChars="200"/>
        <w:rPr>
          <w:rFonts w:hint="default"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（3）不同供应商的响应文件载明的联系人员为同一个人的；</w:t>
      </w:r>
    </w:p>
    <w:p>
      <w:pPr>
        <w:spacing w:line="400" w:lineRule="atLeast"/>
        <w:ind w:firstLine="472" w:firstLineChars="200"/>
        <w:rPr>
          <w:rFonts w:hint="default"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（4）不同供应商的响应文件异常一致或报价呈规律性差异；</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（5）不同供应商的磋商响应文件相互混装的；</w:t>
      </w:r>
    </w:p>
    <w:p>
      <w:pPr>
        <w:spacing w:line="400" w:lineRule="atLeast"/>
        <w:ind w:firstLine="472" w:firstLineChars="200"/>
        <w:rPr>
          <w:rFonts w:hint="default"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（6）不同供应商磋商保证金从同一单位或个人的帐户转出；</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3.对磋商小组成员的纪律要求</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参加本次会议的</w:t>
      </w:r>
      <w:r>
        <w:rPr>
          <w:rFonts w:hint="eastAsia" w:ascii="宋体" w:hAnsi="宋体" w:cs="宋体"/>
          <w:color w:val="auto"/>
          <w:spacing w:val="-2"/>
          <w:sz w:val="24"/>
          <w:highlight w:val="none"/>
          <w:lang w:val="en-US" w:eastAsia="zh-CN"/>
        </w:rPr>
        <w:t>磋商小组成员</w:t>
      </w:r>
      <w:r>
        <w:rPr>
          <w:rFonts w:hint="eastAsia" w:ascii="宋体" w:hAnsi="宋体" w:eastAsia="宋体" w:cs="宋体"/>
          <w:color w:val="auto"/>
          <w:spacing w:val="-2"/>
          <w:sz w:val="24"/>
          <w:highlight w:val="none"/>
          <w:lang w:val="en-US" w:eastAsia="zh-CN"/>
        </w:rPr>
        <w:t>按指定位置就座，通讯工具调整到静音或者震动状态并放置在指定位置（手机存放箱）</w:t>
      </w:r>
      <w:r>
        <w:rPr>
          <w:rFonts w:hint="eastAsia" w:ascii="宋体" w:hAnsi="宋体" w:cs="宋体"/>
          <w:color w:val="auto"/>
          <w:spacing w:val="-2"/>
          <w:sz w:val="24"/>
          <w:highlight w:val="none"/>
          <w:lang w:val="en-US" w:eastAsia="zh-CN"/>
        </w:rPr>
        <w:t>，</w:t>
      </w:r>
      <w:r>
        <w:rPr>
          <w:rFonts w:hint="eastAsia" w:ascii="宋体" w:hAnsi="宋体" w:eastAsia="宋体" w:cs="宋体"/>
          <w:color w:val="auto"/>
          <w:spacing w:val="-2"/>
          <w:sz w:val="24"/>
          <w:highlight w:val="none"/>
          <w:lang w:val="en-US" w:eastAsia="zh-CN"/>
        </w:rPr>
        <w:t>磋商小组成员不得收受他人的财物或者其他好处，不得向他人透漏对磋商响应文件的评审和比较、</w:t>
      </w:r>
      <w:r>
        <w:rPr>
          <w:rFonts w:hint="eastAsia" w:ascii="宋体" w:hAnsi="宋体" w:cs="宋体"/>
          <w:color w:val="auto"/>
          <w:spacing w:val="-2"/>
          <w:sz w:val="24"/>
          <w:highlight w:val="none"/>
          <w:lang w:val="en-US" w:eastAsia="zh-CN"/>
        </w:rPr>
        <w:t>成交候选人</w:t>
      </w:r>
      <w:r>
        <w:rPr>
          <w:rFonts w:hint="eastAsia" w:ascii="宋体" w:hAnsi="宋体" w:eastAsia="宋体" w:cs="宋体"/>
          <w:color w:val="auto"/>
          <w:spacing w:val="-2"/>
          <w:sz w:val="24"/>
          <w:highlight w:val="none"/>
          <w:lang w:val="en-US" w:eastAsia="zh-CN"/>
        </w:rPr>
        <w:t>的推荐情况以及评标有关的其他情况。在评标活动中，磋商小组成员不得擅离职守，</w:t>
      </w:r>
      <w:r>
        <w:rPr>
          <w:rFonts w:hint="eastAsia" w:ascii="宋体" w:hAnsi="宋体" w:cs="宋体"/>
          <w:color w:val="auto"/>
          <w:spacing w:val="-2"/>
          <w:sz w:val="24"/>
          <w:highlight w:val="none"/>
          <w:lang w:val="en-US" w:eastAsia="zh-CN"/>
        </w:rPr>
        <w:t>讨论与评标无关的其他事项，</w:t>
      </w:r>
      <w:r>
        <w:rPr>
          <w:rFonts w:hint="eastAsia" w:ascii="宋体" w:hAnsi="宋体" w:eastAsia="宋体" w:cs="宋体"/>
          <w:color w:val="auto"/>
          <w:spacing w:val="-2"/>
          <w:sz w:val="24"/>
          <w:highlight w:val="none"/>
          <w:lang w:val="en-US" w:eastAsia="zh-CN"/>
        </w:rPr>
        <w:t>影响评标程序正常进行，不得使用“评标办法”没有规定的评审因素和标准进行评标。</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4.对参与评标活动有关的工作人员的纪律要求</w:t>
      </w:r>
    </w:p>
    <w:p>
      <w:pPr>
        <w:spacing w:line="400" w:lineRule="atLeast"/>
        <w:ind w:firstLine="472" w:firstLineChars="200"/>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与评标活动有关的工作人员不得收受他人的财物或者其他好处，不得向他人透漏对磋商响应文件的评审和比较、</w:t>
      </w:r>
      <w:r>
        <w:rPr>
          <w:rFonts w:hint="eastAsia" w:ascii="宋体" w:hAnsi="宋体" w:cs="宋体"/>
          <w:color w:val="auto"/>
          <w:spacing w:val="-2"/>
          <w:sz w:val="24"/>
          <w:highlight w:val="none"/>
          <w:lang w:val="en-US" w:eastAsia="zh-CN"/>
        </w:rPr>
        <w:t>成交候选人</w:t>
      </w:r>
      <w:r>
        <w:rPr>
          <w:rFonts w:hint="eastAsia" w:ascii="宋体" w:hAnsi="宋体" w:eastAsia="宋体" w:cs="宋体"/>
          <w:color w:val="auto"/>
          <w:spacing w:val="-2"/>
          <w:sz w:val="24"/>
          <w:highlight w:val="none"/>
          <w:lang w:val="en-US" w:eastAsia="zh-CN"/>
        </w:rPr>
        <w:t>的推荐情况以及评标有关的其他情况。在评标活动中，与评标活动有关的工作人员不得擅离职守，影响评标程序正常进行。</w:t>
      </w:r>
      <w:bookmarkStart w:id="520" w:name="_Toc217446072"/>
    </w:p>
    <w:p>
      <w:pPr>
        <w:spacing w:line="400" w:lineRule="atLeast"/>
        <w:ind w:firstLine="474" w:firstLineChars="200"/>
        <w:rPr>
          <w:rFonts w:hint="eastAsia" w:ascii="宋体" w:hAnsi="宋体" w:eastAsia="宋体" w:cs="宋体"/>
          <w:b w:val="0"/>
          <w:color w:val="auto"/>
          <w:spacing w:val="-2"/>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响应无效的界定</w:t>
      </w:r>
      <w:bookmarkEnd w:id="520"/>
      <w:r>
        <w:rPr>
          <w:rFonts w:hint="eastAsia" w:ascii="宋体" w:hAnsi="宋体" w:eastAsia="宋体" w:cs="宋体"/>
          <w:b/>
          <w:bCs/>
          <w:color w:val="auto"/>
          <w:spacing w:val="-2"/>
          <w:kern w:val="2"/>
          <w:sz w:val="24"/>
          <w:szCs w:val="24"/>
          <w:highlight w:val="none"/>
          <w:lang w:val="en-US" w:eastAsia="zh-CN" w:bidi="ar-SA"/>
        </w:rPr>
        <w:t>：</w:t>
      </w:r>
      <w:r>
        <w:rPr>
          <w:rFonts w:hint="eastAsia" w:ascii="宋体" w:hAnsi="宋体" w:eastAsia="宋体" w:cs="宋体"/>
          <w:b w:val="0"/>
          <w:color w:val="auto"/>
          <w:spacing w:val="-2"/>
          <w:kern w:val="2"/>
          <w:sz w:val="24"/>
          <w:szCs w:val="24"/>
          <w:highlight w:val="none"/>
          <w:lang w:val="en-US" w:eastAsia="zh-CN" w:bidi="ar-SA"/>
        </w:rPr>
        <w:t>招标采购中，出现下列情形之一的，响应无效：1.未按磋商文件规定的形式和金额提交磋商保证金的；2.未按照磋商文件规定要求签署、盖章的；3.不具备磋商文件中规定的资格要求的。4.报价超过磋商文件中规定的预算金额或者最高限价的；5.响应文件含有采购人不能接受的附加条件的；6.法律、法规和招标文件规定的其他无效情形。</w:t>
      </w:r>
    </w:p>
    <w:p>
      <w:pPr>
        <w:rPr>
          <w:rFonts w:hint="eastAsia" w:ascii="宋体" w:hAnsi="宋体" w:eastAsia="宋体" w:cs="宋体"/>
          <w:b w:val="0"/>
          <w:color w:val="auto"/>
          <w:spacing w:val="-2"/>
          <w:kern w:val="2"/>
          <w:sz w:val="24"/>
          <w:szCs w:val="24"/>
          <w:highlight w:val="none"/>
          <w:lang w:val="en-US" w:eastAsia="zh-CN" w:bidi="ar-SA"/>
        </w:rPr>
      </w:pPr>
      <w:r>
        <w:rPr>
          <w:rFonts w:hint="eastAsia" w:ascii="宋体" w:hAnsi="宋体" w:eastAsia="宋体" w:cs="宋体"/>
          <w:b w:val="0"/>
          <w:color w:val="auto"/>
          <w:spacing w:val="-2"/>
          <w:kern w:val="2"/>
          <w:sz w:val="24"/>
          <w:szCs w:val="24"/>
          <w:highlight w:val="none"/>
          <w:lang w:val="en-US" w:eastAsia="zh-CN" w:bidi="ar-SA"/>
        </w:rPr>
        <w:br w:type="page"/>
      </w:r>
    </w:p>
    <w:p>
      <w:pPr>
        <w:spacing w:line="400" w:lineRule="atLeast"/>
        <w:ind w:firstLine="472" w:firstLineChars="200"/>
        <w:rPr>
          <w:rFonts w:hint="eastAsia" w:ascii="宋体" w:hAnsi="宋体" w:eastAsia="宋体" w:cs="宋体"/>
          <w:b w:val="0"/>
          <w:color w:val="auto"/>
          <w:spacing w:val="-2"/>
          <w:kern w:val="2"/>
          <w:sz w:val="24"/>
          <w:szCs w:val="24"/>
          <w:highlight w:val="none"/>
          <w:lang w:val="en-US" w:eastAsia="zh-CN" w:bidi="ar-SA"/>
        </w:rPr>
      </w:pPr>
      <w:r>
        <w:rPr>
          <w:rFonts w:hint="eastAsia" w:ascii="宋体" w:hAnsi="宋体" w:eastAsia="宋体" w:cs="宋体"/>
          <w:b w:val="0"/>
          <w:color w:val="auto"/>
          <w:spacing w:val="-2"/>
          <w:kern w:val="2"/>
          <w:sz w:val="24"/>
          <w:szCs w:val="24"/>
          <w:highlight w:val="none"/>
          <w:lang w:val="en-US" w:eastAsia="zh-CN" w:bidi="ar-SA"/>
        </w:rPr>
        <w:t>注：1.根据《政府采购促进中小企业发展管理办法》（财库〔2020〕46号）、《财政部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pacing w:val="-2"/>
          <w:kern w:val="2"/>
          <w:sz w:val="24"/>
          <w:szCs w:val="24"/>
          <w:highlight w:val="none"/>
          <w:u w:val="single"/>
          <w:lang w:val="en-US" w:eastAsia="zh-CN" w:bidi="ar-SA"/>
        </w:rPr>
        <w:t xml:space="preserve"> 6 %</w:t>
      </w:r>
      <w:r>
        <w:rPr>
          <w:rFonts w:hint="eastAsia" w:ascii="宋体" w:hAnsi="宋体" w:eastAsia="宋体" w:cs="宋体"/>
          <w:b w:val="0"/>
          <w:color w:val="auto"/>
          <w:spacing w:val="-2"/>
          <w:kern w:val="2"/>
          <w:sz w:val="24"/>
          <w:szCs w:val="24"/>
          <w:highlight w:val="none"/>
          <w:lang w:val="en-US" w:eastAsia="zh-CN" w:bidi="ar-SA"/>
        </w:rPr>
        <w:t>后参与评审。对于同时属于小微企业、监狱企业或残疾人福利性单位的，不重复进行报价扣除。</w:t>
      </w:r>
    </w:p>
    <w:p>
      <w:pPr>
        <w:spacing w:line="400" w:lineRule="atLeast"/>
        <w:ind w:firstLine="472" w:firstLineChars="200"/>
        <w:rPr>
          <w:rFonts w:hint="default" w:ascii="宋体" w:hAnsi="宋体" w:eastAsia="宋体" w:cs="宋体"/>
          <w:b w:val="0"/>
          <w:color w:val="auto"/>
          <w:spacing w:val="-2"/>
          <w:kern w:val="2"/>
          <w:sz w:val="24"/>
          <w:szCs w:val="24"/>
          <w:highlight w:val="none"/>
          <w:lang w:val="en-US" w:eastAsia="zh-CN" w:bidi="ar-SA"/>
        </w:rPr>
      </w:pPr>
      <w:r>
        <w:rPr>
          <w:rFonts w:hint="eastAsia" w:ascii="宋体" w:hAnsi="宋体" w:eastAsia="宋体" w:cs="宋体"/>
          <w:b w:val="0"/>
          <w:color w:val="auto"/>
          <w:spacing w:val="-2"/>
          <w:kern w:val="2"/>
          <w:sz w:val="24"/>
          <w:szCs w:val="24"/>
          <w:highlight w:val="none"/>
          <w:lang w:val="en-US" w:eastAsia="zh-CN" w:bidi="ar-SA"/>
        </w:rPr>
        <w:t>2.联合协议中约定，小型、微型企业和监狱企业的协议合同金额占到联合体协议合同总金额30%以上的，可给予联合体</w:t>
      </w:r>
      <w:r>
        <w:rPr>
          <w:rFonts w:hint="eastAsia" w:ascii="宋体" w:hAnsi="宋体" w:eastAsia="宋体" w:cs="宋体"/>
          <w:b w:val="0"/>
          <w:color w:val="auto"/>
          <w:spacing w:val="-2"/>
          <w:kern w:val="2"/>
          <w:sz w:val="24"/>
          <w:szCs w:val="24"/>
          <w:highlight w:val="none"/>
          <w:u w:val="single"/>
          <w:lang w:val="en-US" w:eastAsia="zh-CN" w:bidi="ar-SA"/>
        </w:rPr>
        <w:t xml:space="preserve">    /   </w:t>
      </w:r>
      <w:r>
        <w:rPr>
          <w:rFonts w:hint="eastAsia" w:ascii="宋体" w:hAnsi="宋体" w:eastAsia="宋体" w:cs="宋体"/>
          <w:b w:val="0"/>
          <w:color w:val="auto"/>
          <w:spacing w:val="-2"/>
          <w:kern w:val="2"/>
          <w:sz w:val="24"/>
          <w:szCs w:val="24"/>
          <w:highlight w:val="none"/>
          <w:lang w:val="en-US" w:eastAsia="zh-CN" w:bidi="ar-SA"/>
        </w:rPr>
        <w:t xml:space="preserve"> %的价格扣除。联合体各方均为小型、微型企业和监狱企业的，联合体视同为小型、微型企业和监狱企业。</w:t>
      </w:r>
    </w:p>
    <w:p>
      <w:pPr>
        <w:pStyle w:val="5"/>
        <w:spacing w:line="240" w:lineRule="auto"/>
        <w:ind w:firstLine="472" w:firstLineChars="200"/>
        <w:jc w:val="left"/>
        <w:rPr>
          <w:rFonts w:hint="eastAsia" w:ascii="宋体" w:hAnsi="宋体" w:eastAsia="宋体" w:cs="宋体"/>
          <w:b w:val="0"/>
          <w:color w:val="auto"/>
          <w:spacing w:val="-2"/>
          <w:kern w:val="2"/>
          <w:sz w:val="24"/>
          <w:szCs w:val="24"/>
          <w:highlight w:val="none"/>
          <w:u w:val="single"/>
          <w:lang w:val="en-US" w:eastAsia="zh-CN" w:bidi="ar-SA"/>
        </w:rPr>
      </w:pPr>
      <w:r>
        <w:rPr>
          <w:rFonts w:hint="eastAsia" w:ascii="宋体" w:hAnsi="宋体" w:eastAsia="宋体" w:cs="宋体"/>
          <w:b w:val="0"/>
          <w:color w:val="auto"/>
          <w:spacing w:val="-2"/>
          <w:kern w:val="2"/>
          <w:sz w:val="24"/>
          <w:szCs w:val="24"/>
          <w:highlight w:val="none"/>
          <w:lang w:val="en-US" w:eastAsia="zh-CN" w:bidi="ar-SA"/>
        </w:rPr>
        <w:t>3.供应商所投产品如被列入财政部与国家主管部门颁发的节能产品目录或环境标志产品目录或无线局域网产品目录，应提供相关证明，在评审时予以优先采购，具体优惠措施为：</w:t>
      </w:r>
      <w:r>
        <w:rPr>
          <w:rFonts w:hint="eastAsia" w:ascii="宋体" w:hAnsi="宋体" w:eastAsia="宋体" w:cs="宋体"/>
          <w:b w:val="0"/>
          <w:color w:val="auto"/>
          <w:spacing w:val="-2"/>
          <w:kern w:val="2"/>
          <w:sz w:val="24"/>
          <w:szCs w:val="24"/>
          <w:highlight w:val="none"/>
          <w:u w:val="single"/>
          <w:lang w:val="en-US" w:eastAsia="zh-CN" w:bidi="ar-SA"/>
        </w:rPr>
        <w:t xml:space="preserve"> 无。</w:t>
      </w:r>
    </w:p>
    <w:p>
      <w:pPr>
        <w:ind w:firstLine="472" w:firstLineChars="200"/>
        <w:rPr>
          <w:rFonts w:hint="default" w:ascii="宋体" w:hAnsi="宋体" w:eastAsia="宋体" w:cs="宋体"/>
          <w:b w:val="0"/>
          <w:color w:val="auto"/>
          <w:spacing w:val="-2"/>
          <w:kern w:val="2"/>
          <w:sz w:val="24"/>
          <w:szCs w:val="24"/>
          <w:highlight w:val="none"/>
          <w:lang w:val="en-US" w:eastAsia="zh-CN" w:bidi="ar-SA"/>
        </w:rPr>
      </w:pPr>
      <w:r>
        <w:rPr>
          <w:rFonts w:hint="default" w:ascii="宋体" w:hAnsi="宋体" w:eastAsia="宋体" w:cs="宋体"/>
          <w:b w:val="0"/>
          <w:color w:val="auto"/>
          <w:spacing w:val="-2"/>
          <w:kern w:val="2"/>
          <w:sz w:val="24"/>
          <w:szCs w:val="24"/>
          <w:highlight w:val="none"/>
          <w:lang w:val="en-US" w:eastAsia="zh-CN" w:bidi="ar-SA"/>
        </w:rPr>
        <w:t>4.如采购人所采购产品为政府强制采购的节能产品，供应商所投产品的品牌及型号必须为清单中有效期内产品并提供证明文件，否则其响应将被认定为响应无效。</w:t>
      </w:r>
    </w:p>
    <w:p>
      <w:pPr>
        <w:ind w:firstLine="472" w:firstLineChars="200"/>
        <w:rPr>
          <w:rFonts w:hint="default" w:ascii="宋体" w:hAnsi="宋体" w:eastAsia="宋体" w:cs="宋体"/>
          <w:b w:val="0"/>
          <w:color w:val="auto"/>
          <w:spacing w:val="-2"/>
          <w:kern w:val="2"/>
          <w:sz w:val="24"/>
          <w:szCs w:val="24"/>
          <w:highlight w:val="none"/>
          <w:lang w:val="en-US" w:eastAsia="zh-CN" w:bidi="ar-SA"/>
        </w:rPr>
      </w:pPr>
      <w:r>
        <w:rPr>
          <w:rFonts w:hint="default" w:ascii="宋体" w:hAnsi="宋体" w:eastAsia="宋体" w:cs="宋体"/>
          <w:b w:val="0"/>
          <w:color w:val="auto"/>
          <w:spacing w:val="-2"/>
          <w:kern w:val="2"/>
          <w:sz w:val="24"/>
          <w:szCs w:val="24"/>
          <w:highlight w:val="none"/>
          <w:lang w:val="en-US" w:eastAsia="zh-CN" w:bidi="ar-SA"/>
        </w:rPr>
        <w:t xml:space="preserve">5.对创新产品或创新性企业的优惠措施为：    /       </w:t>
      </w:r>
    </w:p>
    <w:p>
      <w:pPr>
        <w:ind w:firstLine="472" w:firstLineChars="200"/>
        <w:rPr>
          <w:rFonts w:hint="default" w:ascii="宋体" w:hAnsi="宋体" w:eastAsia="宋体" w:cs="宋体"/>
          <w:b w:val="0"/>
          <w:color w:val="auto"/>
          <w:spacing w:val="-2"/>
          <w:kern w:val="2"/>
          <w:sz w:val="24"/>
          <w:szCs w:val="24"/>
          <w:highlight w:val="none"/>
          <w:lang w:val="en-US" w:eastAsia="zh-CN" w:bidi="ar-SA"/>
        </w:rPr>
      </w:pPr>
      <w:r>
        <w:rPr>
          <w:rFonts w:hint="default" w:ascii="宋体" w:hAnsi="宋体" w:eastAsia="宋体" w:cs="宋体"/>
          <w:b w:val="0"/>
          <w:color w:val="auto"/>
          <w:spacing w:val="-2"/>
          <w:kern w:val="2"/>
          <w:sz w:val="24"/>
          <w:szCs w:val="24"/>
          <w:highlight w:val="none"/>
          <w:lang w:val="en-US" w:eastAsia="zh-CN" w:bidi="ar-SA"/>
        </w:rPr>
        <w:t>6.同品牌处理办法：参照《政府采购货物和服务招标投标管理办法》第三十一条规定。</w:t>
      </w:r>
    </w:p>
    <w:p>
      <w:pPr>
        <w:rPr>
          <w:rFonts w:hint="default" w:ascii="宋体" w:hAnsi="宋体" w:eastAsia="宋体" w:cs="宋体"/>
          <w:b w:val="0"/>
          <w:color w:val="auto"/>
          <w:spacing w:val="-2"/>
          <w:kern w:val="2"/>
          <w:sz w:val="24"/>
          <w:szCs w:val="24"/>
          <w:highlight w:val="none"/>
          <w:lang w:val="en-US" w:eastAsia="zh-CN" w:bidi="ar-SA"/>
        </w:rPr>
      </w:pPr>
      <w:r>
        <w:rPr>
          <w:rFonts w:hint="default" w:ascii="宋体" w:hAnsi="宋体" w:eastAsia="宋体" w:cs="宋体"/>
          <w:b w:val="0"/>
          <w:color w:val="auto"/>
          <w:spacing w:val="-2"/>
          <w:kern w:val="2"/>
          <w:sz w:val="24"/>
          <w:szCs w:val="24"/>
          <w:highlight w:val="none"/>
          <w:lang w:val="en-US" w:eastAsia="zh-CN" w:bidi="ar-SA"/>
        </w:rPr>
        <w:t>如采用综合评分法，则提供相同品牌产品且通过资格审查、符合性审查的不同供应商参加同一合同项下投标的，按一家供应商计算，评审后得分最高的同品牌供应商获得成交人推荐资格</w:t>
      </w:r>
      <w:r>
        <w:rPr>
          <w:rFonts w:hint="eastAsia" w:ascii="宋体" w:hAnsi="宋体" w:cs="宋体"/>
          <w:b w:val="0"/>
          <w:color w:val="auto"/>
          <w:spacing w:val="-2"/>
          <w:kern w:val="2"/>
          <w:sz w:val="24"/>
          <w:szCs w:val="24"/>
          <w:highlight w:val="none"/>
          <w:lang w:val="en-US" w:eastAsia="zh-CN" w:bidi="ar-SA"/>
        </w:rPr>
        <w:t>；</w:t>
      </w:r>
      <w:r>
        <w:rPr>
          <w:rFonts w:hint="default" w:ascii="宋体" w:hAnsi="宋体" w:eastAsia="宋体" w:cs="宋体"/>
          <w:b w:val="0"/>
          <w:color w:val="auto"/>
          <w:spacing w:val="-2"/>
          <w:kern w:val="2"/>
          <w:sz w:val="24"/>
          <w:szCs w:val="24"/>
          <w:highlight w:val="none"/>
          <w:lang w:val="en-US" w:eastAsia="zh-CN" w:bidi="ar-SA"/>
        </w:rPr>
        <w:t xml:space="preserve">评审得分相同的，由采购人或者采购人委托评审委员会按照磋商文件规定的方式确定一个供应商获得成交人推荐资格，磋商文件未规定的采取随机抽取方式确定，其他同品牌供应商不作为成交候选人。 </w:t>
      </w:r>
    </w:p>
    <w:p>
      <w:pPr>
        <w:ind w:firstLine="472" w:firstLineChars="200"/>
        <w:rPr>
          <w:rFonts w:hint="default" w:ascii="宋体" w:hAnsi="宋体" w:eastAsia="宋体" w:cs="宋体"/>
          <w:b w:val="0"/>
          <w:color w:val="auto"/>
          <w:spacing w:val="-2"/>
          <w:kern w:val="2"/>
          <w:sz w:val="24"/>
          <w:szCs w:val="24"/>
          <w:highlight w:val="none"/>
          <w:lang w:val="en-US" w:eastAsia="zh-CN" w:bidi="ar-SA"/>
        </w:rPr>
        <w:sectPr>
          <w:pgSz w:w="11906" w:h="16838"/>
          <w:pgMar w:top="907" w:right="1134" w:bottom="0" w:left="1185" w:header="851" w:footer="992" w:gutter="0"/>
          <w:cols w:space="720" w:num="1"/>
          <w:docGrid w:type="lines" w:linePitch="376" w:charSpace="0"/>
        </w:sectPr>
      </w:pPr>
      <w:r>
        <w:rPr>
          <w:rFonts w:hint="default" w:ascii="宋体" w:hAnsi="宋体" w:eastAsia="宋体" w:cs="宋体"/>
          <w:b w:val="0"/>
          <w:color w:val="auto"/>
          <w:spacing w:val="-2"/>
          <w:kern w:val="2"/>
          <w:sz w:val="24"/>
          <w:szCs w:val="24"/>
          <w:highlight w:val="none"/>
          <w:lang w:val="en-US" w:eastAsia="zh-CN" w:bidi="ar-SA"/>
        </w:rPr>
        <w:t>7.成交候选人并列式时的处理方式：本次评标采用综合评估法，评审完毕评标委员会根据汇总</w:t>
      </w:r>
      <w:r>
        <w:rPr>
          <w:rFonts w:hint="eastAsia" w:ascii="宋体" w:hAnsi="宋体" w:cs="宋体"/>
          <w:b w:val="0"/>
          <w:color w:val="auto"/>
          <w:spacing w:val="-2"/>
          <w:kern w:val="2"/>
          <w:sz w:val="24"/>
          <w:szCs w:val="24"/>
          <w:highlight w:val="none"/>
          <w:lang w:val="en-US" w:eastAsia="zh-CN" w:bidi="ar-SA"/>
        </w:rPr>
        <w:t>各有效供应商的价格得分</w:t>
      </w:r>
      <w:r>
        <w:rPr>
          <w:rFonts w:hint="default" w:ascii="宋体" w:hAnsi="宋体" w:eastAsia="宋体" w:cs="宋体"/>
          <w:b w:val="0"/>
          <w:color w:val="auto"/>
          <w:spacing w:val="-2"/>
          <w:kern w:val="2"/>
          <w:sz w:val="24"/>
          <w:szCs w:val="24"/>
          <w:highlight w:val="none"/>
          <w:lang w:val="en-US" w:eastAsia="zh-CN" w:bidi="ar-SA"/>
        </w:rPr>
        <w:t>、商务及技术得分总和，按照</w:t>
      </w:r>
      <w:r>
        <w:rPr>
          <w:rFonts w:hint="eastAsia" w:ascii="宋体" w:hAnsi="宋体" w:cs="宋体"/>
          <w:b w:val="0"/>
          <w:color w:val="auto"/>
          <w:spacing w:val="-2"/>
          <w:kern w:val="2"/>
          <w:sz w:val="24"/>
          <w:szCs w:val="24"/>
          <w:highlight w:val="none"/>
          <w:lang w:val="en-US" w:eastAsia="zh-CN" w:bidi="ar-SA"/>
        </w:rPr>
        <w:t>评审</w:t>
      </w:r>
      <w:r>
        <w:rPr>
          <w:rFonts w:hint="default" w:ascii="宋体" w:hAnsi="宋体" w:eastAsia="宋体" w:cs="宋体"/>
          <w:b w:val="0"/>
          <w:color w:val="auto"/>
          <w:spacing w:val="-2"/>
          <w:kern w:val="2"/>
          <w:sz w:val="24"/>
          <w:szCs w:val="24"/>
          <w:highlight w:val="none"/>
          <w:lang w:val="en-US" w:eastAsia="zh-CN" w:bidi="ar-SA"/>
        </w:rPr>
        <w:t>得分</w:t>
      </w:r>
      <w:r>
        <w:rPr>
          <w:rFonts w:hint="eastAsia" w:ascii="宋体" w:hAnsi="宋体" w:cs="宋体"/>
          <w:b w:val="0"/>
          <w:color w:val="auto"/>
          <w:spacing w:val="-2"/>
          <w:kern w:val="2"/>
          <w:sz w:val="24"/>
          <w:szCs w:val="24"/>
          <w:highlight w:val="none"/>
          <w:lang w:val="en-US" w:eastAsia="zh-CN" w:bidi="ar-SA"/>
        </w:rPr>
        <w:t>由高到低顺序</w:t>
      </w:r>
      <w:r>
        <w:rPr>
          <w:rFonts w:hint="default" w:ascii="宋体" w:hAnsi="宋体" w:eastAsia="宋体" w:cs="宋体"/>
          <w:b w:val="0"/>
          <w:color w:val="auto"/>
          <w:spacing w:val="-2"/>
          <w:kern w:val="2"/>
          <w:sz w:val="24"/>
          <w:szCs w:val="24"/>
          <w:highlight w:val="none"/>
          <w:lang w:val="en-US" w:eastAsia="zh-CN" w:bidi="ar-SA"/>
        </w:rPr>
        <w:t>取前三名作为</w:t>
      </w:r>
      <w:r>
        <w:rPr>
          <w:rFonts w:hint="eastAsia" w:ascii="宋体" w:hAnsi="宋体" w:cs="宋体"/>
          <w:b w:val="0"/>
          <w:color w:val="auto"/>
          <w:spacing w:val="-2"/>
          <w:kern w:val="2"/>
          <w:sz w:val="24"/>
          <w:szCs w:val="24"/>
          <w:highlight w:val="none"/>
          <w:lang w:val="en-US" w:eastAsia="zh-CN" w:bidi="ar-SA"/>
        </w:rPr>
        <w:t>成交候选人</w:t>
      </w:r>
      <w:r>
        <w:rPr>
          <w:rFonts w:hint="default" w:ascii="宋体" w:hAnsi="宋体" w:eastAsia="宋体" w:cs="宋体"/>
          <w:b w:val="0"/>
          <w:color w:val="auto"/>
          <w:spacing w:val="-2"/>
          <w:kern w:val="2"/>
          <w:sz w:val="24"/>
          <w:szCs w:val="24"/>
          <w:highlight w:val="none"/>
          <w:lang w:val="en-US" w:eastAsia="zh-CN" w:bidi="ar-SA"/>
        </w:rPr>
        <w:t>推荐给招标人。</w:t>
      </w:r>
      <w:r>
        <w:rPr>
          <w:rFonts w:hint="eastAsia" w:ascii="宋体" w:hAnsi="宋体" w:cs="宋体"/>
          <w:b w:val="0"/>
          <w:color w:val="auto"/>
          <w:spacing w:val="-2"/>
          <w:kern w:val="2"/>
          <w:sz w:val="24"/>
          <w:szCs w:val="24"/>
          <w:highlight w:val="none"/>
          <w:lang w:val="en-US" w:eastAsia="zh-CN" w:bidi="ar-SA"/>
        </w:rPr>
        <w:t>评审</w:t>
      </w:r>
      <w:r>
        <w:rPr>
          <w:rFonts w:hint="default" w:ascii="宋体" w:hAnsi="宋体" w:eastAsia="宋体" w:cs="宋体"/>
          <w:b w:val="0"/>
          <w:color w:val="auto"/>
          <w:spacing w:val="-2"/>
          <w:kern w:val="2"/>
          <w:sz w:val="24"/>
          <w:szCs w:val="24"/>
          <w:highlight w:val="none"/>
          <w:lang w:val="en-US" w:eastAsia="zh-CN" w:bidi="ar-SA"/>
        </w:rPr>
        <w:t>得分相同的，按</w:t>
      </w:r>
      <w:r>
        <w:rPr>
          <w:rFonts w:hint="eastAsia" w:ascii="宋体" w:hAnsi="宋体" w:cs="宋体"/>
          <w:b w:val="0"/>
          <w:color w:val="auto"/>
          <w:spacing w:val="-2"/>
          <w:kern w:val="2"/>
          <w:sz w:val="24"/>
          <w:szCs w:val="24"/>
          <w:highlight w:val="none"/>
          <w:lang w:val="en-US" w:eastAsia="zh-CN" w:bidi="ar-SA"/>
        </w:rPr>
        <w:t>最后报价由低到高的顺序</w:t>
      </w:r>
      <w:r>
        <w:rPr>
          <w:rFonts w:hint="default" w:ascii="宋体" w:hAnsi="宋体" w:eastAsia="宋体" w:cs="宋体"/>
          <w:b w:val="0"/>
          <w:color w:val="auto"/>
          <w:spacing w:val="-2"/>
          <w:kern w:val="2"/>
          <w:sz w:val="24"/>
          <w:szCs w:val="24"/>
          <w:highlight w:val="none"/>
          <w:lang w:val="en-US" w:eastAsia="zh-CN" w:bidi="ar-SA"/>
        </w:rPr>
        <w:t>推荐。</w:t>
      </w:r>
      <w:r>
        <w:rPr>
          <w:rFonts w:hint="eastAsia" w:ascii="宋体" w:hAnsi="宋体" w:cs="宋体"/>
          <w:b w:val="0"/>
          <w:color w:val="auto"/>
          <w:spacing w:val="-2"/>
          <w:kern w:val="2"/>
          <w:sz w:val="24"/>
          <w:szCs w:val="24"/>
          <w:highlight w:val="none"/>
          <w:lang w:val="en-US" w:eastAsia="zh-CN" w:bidi="ar-SA"/>
        </w:rPr>
        <w:t>评审</w:t>
      </w:r>
      <w:r>
        <w:rPr>
          <w:rFonts w:hint="default" w:ascii="宋体" w:hAnsi="宋体" w:eastAsia="宋体" w:cs="宋体"/>
          <w:b w:val="0"/>
          <w:color w:val="auto"/>
          <w:spacing w:val="-2"/>
          <w:kern w:val="2"/>
          <w:sz w:val="24"/>
          <w:szCs w:val="24"/>
          <w:highlight w:val="none"/>
          <w:lang w:val="en-US" w:eastAsia="zh-CN" w:bidi="ar-SA"/>
        </w:rPr>
        <w:t>得分且</w:t>
      </w:r>
      <w:r>
        <w:rPr>
          <w:rFonts w:hint="eastAsia" w:ascii="宋体" w:hAnsi="宋体" w:cs="宋体"/>
          <w:b w:val="0"/>
          <w:color w:val="auto"/>
          <w:spacing w:val="-2"/>
          <w:kern w:val="2"/>
          <w:sz w:val="24"/>
          <w:szCs w:val="24"/>
          <w:highlight w:val="none"/>
          <w:lang w:val="en-US" w:eastAsia="zh-CN" w:bidi="ar-SA"/>
        </w:rPr>
        <w:t>最后</w:t>
      </w:r>
      <w:r>
        <w:rPr>
          <w:rFonts w:hint="default" w:ascii="宋体" w:hAnsi="宋体" w:eastAsia="宋体" w:cs="宋体"/>
          <w:b w:val="0"/>
          <w:color w:val="auto"/>
          <w:spacing w:val="-2"/>
          <w:kern w:val="2"/>
          <w:sz w:val="24"/>
          <w:szCs w:val="24"/>
          <w:highlight w:val="none"/>
          <w:lang w:val="en-US" w:eastAsia="zh-CN" w:bidi="ar-SA"/>
        </w:rPr>
        <w:t>报价相同的，</w:t>
      </w:r>
      <w:r>
        <w:rPr>
          <w:rFonts w:hint="eastAsia" w:ascii="宋体" w:hAnsi="宋体" w:cs="宋体"/>
          <w:b w:val="0"/>
          <w:color w:val="auto"/>
          <w:spacing w:val="-2"/>
          <w:kern w:val="2"/>
          <w:sz w:val="24"/>
          <w:szCs w:val="24"/>
          <w:highlight w:val="none"/>
          <w:lang w:val="en-US" w:eastAsia="zh-CN" w:bidi="ar-SA"/>
        </w:rPr>
        <w:t>按照</w:t>
      </w:r>
      <w:r>
        <w:rPr>
          <w:rFonts w:hint="default" w:ascii="宋体" w:hAnsi="宋体" w:eastAsia="宋体" w:cs="宋体"/>
          <w:b w:val="0"/>
          <w:color w:val="auto"/>
          <w:spacing w:val="-2"/>
          <w:kern w:val="2"/>
          <w:sz w:val="24"/>
          <w:szCs w:val="24"/>
          <w:highlight w:val="none"/>
          <w:lang w:val="en-US" w:eastAsia="zh-CN" w:bidi="ar-SA"/>
        </w:rPr>
        <w:t>技术指标优劣顺序</w:t>
      </w:r>
      <w:r>
        <w:rPr>
          <w:rFonts w:hint="eastAsia" w:ascii="宋体" w:hAnsi="宋体" w:cs="宋体"/>
          <w:b w:val="0"/>
          <w:color w:val="auto"/>
          <w:spacing w:val="-2"/>
          <w:kern w:val="2"/>
          <w:sz w:val="24"/>
          <w:szCs w:val="24"/>
          <w:highlight w:val="none"/>
          <w:lang w:val="en-US" w:eastAsia="zh-CN" w:bidi="ar-SA"/>
        </w:rPr>
        <w:t>推荐</w:t>
      </w:r>
      <w:r>
        <w:rPr>
          <w:rFonts w:hint="default" w:ascii="宋体" w:hAnsi="宋体" w:eastAsia="宋体" w:cs="宋体"/>
          <w:b w:val="0"/>
          <w:color w:val="auto"/>
          <w:spacing w:val="-2"/>
          <w:kern w:val="2"/>
          <w:sz w:val="24"/>
          <w:szCs w:val="24"/>
          <w:highlight w:val="none"/>
          <w:lang w:val="en-US" w:eastAsia="zh-CN" w:bidi="ar-SA"/>
        </w:rPr>
        <w:t xml:space="preserve">。  </w:t>
      </w:r>
    </w:p>
    <w:bookmarkEnd w:id="515"/>
    <w:bookmarkEnd w:id="516"/>
    <w:bookmarkEnd w:id="517"/>
    <w:p>
      <w:pPr>
        <w:spacing w:line="300" w:lineRule="auto"/>
        <w:jc w:val="center"/>
        <w:outlineLvl w:val="1"/>
        <w:rPr>
          <w:rFonts w:hint="eastAsia" w:asciiTheme="minorEastAsia" w:hAnsiTheme="minorEastAsia" w:eastAsiaTheme="minorEastAsia" w:cstheme="minorEastAsia"/>
          <w:b/>
          <w:color w:val="auto"/>
          <w:sz w:val="28"/>
          <w:szCs w:val="32"/>
          <w:highlight w:val="none"/>
        </w:rPr>
      </w:pPr>
      <w:r>
        <w:rPr>
          <w:rFonts w:hint="eastAsia" w:asciiTheme="minorEastAsia" w:hAnsiTheme="minorEastAsia" w:eastAsiaTheme="minorEastAsia" w:cstheme="minorEastAsia"/>
          <w:b/>
          <w:color w:val="auto"/>
          <w:sz w:val="28"/>
          <w:szCs w:val="32"/>
          <w:highlight w:val="none"/>
        </w:rPr>
        <w:t>资格性审查表</w:t>
      </w:r>
      <w:bookmarkEnd w:id="509"/>
      <w:bookmarkEnd w:id="510"/>
    </w:p>
    <w:tbl>
      <w:tblPr>
        <w:tblStyle w:val="34"/>
        <w:tblpPr w:leftFromText="180" w:rightFromText="180" w:vertAnchor="text" w:horzAnchor="page" w:tblpXSpec="center" w:tblpY="116"/>
        <w:tblOverlap w:val="never"/>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5908"/>
        <w:gridCol w:w="772"/>
        <w:gridCol w:w="828"/>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12" w:type="dxa"/>
            <w:vMerge w:val="restart"/>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5908" w:type="dxa"/>
            <w:vMerge w:val="restart"/>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评审内容</w:t>
            </w:r>
          </w:p>
        </w:tc>
        <w:tc>
          <w:tcPr>
            <w:tcW w:w="2486" w:type="dxa"/>
            <w:gridSpan w:val="3"/>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名称及审查情况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12" w:type="dxa"/>
            <w:vMerge w:val="continue"/>
            <w:vAlign w:val="center"/>
          </w:tcPr>
          <w:p>
            <w:pPr>
              <w:spacing w:line="300" w:lineRule="auto"/>
              <w:jc w:val="center"/>
              <w:rPr>
                <w:rFonts w:hint="eastAsia" w:asciiTheme="minorEastAsia" w:hAnsiTheme="minorEastAsia" w:eastAsiaTheme="minorEastAsia" w:cstheme="minorEastAsia"/>
                <w:color w:val="auto"/>
                <w:sz w:val="24"/>
                <w:szCs w:val="24"/>
                <w:highlight w:val="none"/>
              </w:rPr>
            </w:pPr>
          </w:p>
        </w:tc>
        <w:tc>
          <w:tcPr>
            <w:tcW w:w="5908" w:type="dxa"/>
            <w:vMerge w:val="continue"/>
            <w:vAlign w:val="center"/>
          </w:tcPr>
          <w:p>
            <w:pPr>
              <w:spacing w:line="300" w:lineRule="auto"/>
              <w:jc w:val="center"/>
              <w:rPr>
                <w:rFonts w:hint="eastAsia" w:asciiTheme="minorEastAsia" w:hAnsiTheme="minorEastAsia" w:eastAsiaTheme="minorEastAsia" w:cstheme="minorEastAsia"/>
                <w:color w:val="auto"/>
                <w:sz w:val="24"/>
                <w:szCs w:val="24"/>
                <w:highlight w:val="none"/>
              </w:rPr>
            </w:pPr>
          </w:p>
        </w:tc>
        <w:tc>
          <w:tcPr>
            <w:tcW w:w="772" w:type="dxa"/>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是否合格</w:t>
            </w:r>
          </w:p>
        </w:tc>
        <w:tc>
          <w:tcPr>
            <w:tcW w:w="828" w:type="dxa"/>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是否合格</w:t>
            </w:r>
          </w:p>
        </w:tc>
        <w:tc>
          <w:tcPr>
            <w:tcW w:w="886" w:type="dxa"/>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12" w:type="dxa"/>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5908" w:type="dxa"/>
            <w:vAlign w:val="center"/>
          </w:tcPr>
          <w:p>
            <w:pPr>
              <w:spacing w:line="30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具有合格有效的营业执照副本（三证合一）；</w:t>
            </w:r>
          </w:p>
        </w:tc>
        <w:tc>
          <w:tcPr>
            <w:tcW w:w="772" w:type="dxa"/>
          </w:tcPr>
          <w:p>
            <w:pPr>
              <w:spacing w:line="300" w:lineRule="auto"/>
              <w:rPr>
                <w:rFonts w:hint="eastAsia" w:asciiTheme="minorEastAsia" w:hAnsiTheme="minorEastAsia" w:eastAsiaTheme="minorEastAsia" w:cstheme="minorEastAsia"/>
                <w:color w:val="auto"/>
                <w:sz w:val="24"/>
                <w:szCs w:val="24"/>
                <w:highlight w:val="none"/>
              </w:rPr>
            </w:pPr>
          </w:p>
        </w:tc>
        <w:tc>
          <w:tcPr>
            <w:tcW w:w="828" w:type="dxa"/>
          </w:tcPr>
          <w:p>
            <w:pPr>
              <w:spacing w:line="300" w:lineRule="auto"/>
              <w:rPr>
                <w:rFonts w:hint="eastAsia" w:asciiTheme="minorEastAsia" w:hAnsiTheme="minorEastAsia" w:eastAsiaTheme="minorEastAsia" w:cstheme="minorEastAsia"/>
                <w:color w:val="auto"/>
                <w:sz w:val="24"/>
                <w:szCs w:val="24"/>
                <w:highlight w:val="none"/>
              </w:rPr>
            </w:pPr>
          </w:p>
        </w:tc>
        <w:tc>
          <w:tcPr>
            <w:tcW w:w="886" w:type="dxa"/>
          </w:tcPr>
          <w:p>
            <w:pPr>
              <w:spacing w:line="30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12" w:type="dxa"/>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5908" w:type="dxa"/>
            <w:vAlign w:val="center"/>
          </w:tcPr>
          <w:p>
            <w:pPr>
              <w:spacing w:line="30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依法缴纳近3个月社会保险的凭据；</w:t>
            </w:r>
          </w:p>
        </w:tc>
        <w:tc>
          <w:tcPr>
            <w:tcW w:w="772" w:type="dxa"/>
          </w:tcPr>
          <w:p>
            <w:pPr>
              <w:spacing w:line="300" w:lineRule="auto"/>
              <w:rPr>
                <w:rFonts w:hint="eastAsia" w:asciiTheme="minorEastAsia" w:hAnsiTheme="minorEastAsia" w:eastAsiaTheme="minorEastAsia" w:cstheme="minorEastAsia"/>
                <w:color w:val="auto"/>
                <w:sz w:val="24"/>
                <w:szCs w:val="24"/>
                <w:highlight w:val="none"/>
              </w:rPr>
            </w:pPr>
          </w:p>
        </w:tc>
        <w:tc>
          <w:tcPr>
            <w:tcW w:w="828" w:type="dxa"/>
          </w:tcPr>
          <w:p>
            <w:pPr>
              <w:spacing w:line="300" w:lineRule="auto"/>
              <w:rPr>
                <w:rFonts w:hint="eastAsia" w:asciiTheme="minorEastAsia" w:hAnsiTheme="minorEastAsia" w:eastAsiaTheme="minorEastAsia" w:cstheme="minorEastAsia"/>
                <w:color w:val="auto"/>
                <w:sz w:val="24"/>
                <w:szCs w:val="24"/>
                <w:highlight w:val="none"/>
              </w:rPr>
            </w:pPr>
          </w:p>
        </w:tc>
        <w:tc>
          <w:tcPr>
            <w:tcW w:w="886" w:type="dxa"/>
          </w:tcPr>
          <w:p>
            <w:pPr>
              <w:spacing w:line="30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5908" w:type="dxa"/>
            <w:vAlign w:val="center"/>
          </w:tcPr>
          <w:p>
            <w:pPr>
              <w:spacing w:line="30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法定代表人授权委托书及被委托人身份证（法定代表人投标提供法定代表人身份证）； </w:t>
            </w:r>
          </w:p>
        </w:tc>
        <w:tc>
          <w:tcPr>
            <w:tcW w:w="772" w:type="dxa"/>
          </w:tcPr>
          <w:p>
            <w:pPr>
              <w:spacing w:line="300" w:lineRule="auto"/>
              <w:rPr>
                <w:rFonts w:hint="eastAsia" w:asciiTheme="minorEastAsia" w:hAnsiTheme="minorEastAsia" w:eastAsiaTheme="minorEastAsia" w:cstheme="minorEastAsia"/>
                <w:color w:val="auto"/>
                <w:sz w:val="24"/>
                <w:szCs w:val="24"/>
                <w:highlight w:val="none"/>
              </w:rPr>
            </w:pPr>
          </w:p>
        </w:tc>
        <w:tc>
          <w:tcPr>
            <w:tcW w:w="828" w:type="dxa"/>
          </w:tcPr>
          <w:p>
            <w:pPr>
              <w:spacing w:line="300" w:lineRule="auto"/>
              <w:rPr>
                <w:rFonts w:hint="eastAsia" w:asciiTheme="minorEastAsia" w:hAnsiTheme="minorEastAsia" w:eastAsiaTheme="minorEastAsia" w:cstheme="minorEastAsia"/>
                <w:color w:val="auto"/>
                <w:sz w:val="24"/>
                <w:szCs w:val="24"/>
                <w:highlight w:val="none"/>
              </w:rPr>
            </w:pPr>
          </w:p>
        </w:tc>
        <w:tc>
          <w:tcPr>
            <w:tcW w:w="886" w:type="dxa"/>
          </w:tcPr>
          <w:p>
            <w:pPr>
              <w:spacing w:line="30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12" w:type="dxa"/>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5908" w:type="dxa"/>
            <w:vAlign w:val="center"/>
          </w:tcPr>
          <w:p>
            <w:pPr>
              <w:spacing w:line="30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2020年度的财务审计报告（注册成立未满一年新公司提供银行资信证明）；</w:t>
            </w:r>
          </w:p>
        </w:tc>
        <w:tc>
          <w:tcPr>
            <w:tcW w:w="772" w:type="dxa"/>
          </w:tcPr>
          <w:p>
            <w:pPr>
              <w:spacing w:line="300" w:lineRule="auto"/>
              <w:rPr>
                <w:rFonts w:hint="eastAsia" w:asciiTheme="minorEastAsia" w:hAnsiTheme="minorEastAsia" w:eastAsiaTheme="minorEastAsia" w:cstheme="minorEastAsia"/>
                <w:color w:val="auto"/>
                <w:sz w:val="24"/>
                <w:szCs w:val="24"/>
                <w:highlight w:val="none"/>
              </w:rPr>
            </w:pPr>
          </w:p>
        </w:tc>
        <w:tc>
          <w:tcPr>
            <w:tcW w:w="828" w:type="dxa"/>
          </w:tcPr>
          <w:p>
            <w:pPr>
              <w:spacing w:line="300" w:lineRule="auto"/>
              <w:rPr>
                <w:rFonts w:hint="eastAsia" w:asciiTheme="minorEastAsia" w:hAnsiTheme="minorEastAsia" w:eastAsiaTheme="minorEastAsia" w:cstheme="minorEastAsia"/>
                <w:color w:val="auto"/>
                <w:sz w:val="24"/>
                <w:szCs w:val="24"/>
                <w:highlight w:val="none"/>
              </w:rPr>
            </w:pPr>
          </w:p>
        </w:tc>
        <w:tc>
          <w:tcPr>
            <w:tcW w:w="886" w:type="dxa"/>
          </w:tcPr>
          <w:p>
            <w:pPr>
              <w:spacing w:line="30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2" w:type="dxa"/>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5908" w:type="dxa"/>
            <w:vAlign w:val="center"/>
          </w:tcPr>
          <w:p>
            <w:pPr>
              <w:spacing w:line="30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具有依法缴纳2021年近3个月的税收良好记录证明（完税证明）；</w:t>
            </w:r>
          </w:p>
        </w:tc>
        <w:tc>
          <w:tcPr>
            <w:tcW w:w="772" w:type="dxa"/>
          </w:tcPr>
          <w:p>
            <w:pPr>
              <w:spacing w:line="300" w:lineRule="auto"/>
              <w:rPr>
                <w:rFonts w:hint="eastAsia" w:asciiTheme="minorEastAsia" w:hAnsiTheme="minorEastAsia" w:eastAsiaTheme="minorEastAsia" w:cstheme="minorEastAsia"/>
                <w:color w:val="auto"/>
                <w:sz w:val="24"/>
                <w:szCs w:val="24"/>
                <w:highlight w:val="none"/>
              </w:rPr>
            </w:pPr>
          </w:p>
        </w:tc>
        <w:tc>
          <w:tcPr>
            <w:tcW w:w="828" w:type="dxa"/>
          </w:tcPr>
          <w:p>
            <w:pPr>
              <w:spacing w:line="300" w:lineRule="auto"/>
              <w:rPr>
                <w:rFonts w:hint="eastAsia" w:asciiTheme="minorEastAsia" w:hAnsiTheme="minorEastAsia" w:eastAsiaTheme="minorEastAsia" w:cstheme="minorEastAsia"/>
                <w:color w:val="auto"/>
                <w:sz w:val="24"/>
                <w:szCs w:val="24"/>
                <w:highlight w:val="none"/>
              </w:rPr>
            </w:pPr>
          </w:p>
        </w:tc>
        <w:tc>
          <w:tcPr>
            <w:tcW w:w="886" w:type="dxa"/>
          </w:tcPr>
          <w:p>
            <w:pPr>
              <w:spacing w:line="30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2" w:type="dxa"/>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5908" w:type="dxa"/>
            <w:vAlign w:val="center"/>
          </w:tcPr>
          <w:p>
            <w:pPr>
              <w:spacing w:line="30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参加政府采购活动前3年内在经营活动中没有重大违法记录的书面声明；</w:t>
            </w:r>
          </w:p>
        </w:tc>
        <w:tc>
          <w:tcPr>
            <w:tcW w:w="772" w:type="dxa"/>
          </w:tcPr>
          <w:p>
            <w:pPr>
              <w:spacing w:line="300" w:lineRule="auto"/>
              <w:rPr>
                <w:rFonts w:hint="eastAsia" w:asciiTheme="minorEastAsia" w:hAnsiTheme="minorEastAsia" w:eastAsiaTheme="minorEastAsia" w:cstheme="minorEastAsia"/>
                <w:color w:val="auto"/>
                <w:sz w:val="24"/>
                <w:szCs w:val="24"/>
                <w:highlight w:val="none"/>
              </w:rPr>
            </w:pPr>
          </w:p>
        </w:tc>
        <w:tc>
          <w:tcPr>
            <w:tcW w:w="828" w:type="dxa"/>
          </w:tcPr>
          <w:p>
            <w:pPr>
              <w:spacing w:line="300" w:lineRule="auto"/>
              <w:rPr>
                <w:rFonts w:hint="eastAsia" w:asciiTheme="minorEastAsia" w:hAnsiTheme="minorEastAsia" w:eastAsiaTheme="minorEastAsia" w:cstheme="minorEastAsia"/>
                <w:color w:val="auto"/>
                <w:sz w:val="24"/>
                <w:szCs w:val="24"/>
                <w:highlight w:val="none"/>
              </w:rPr>
            </w:pPr>
          </w:p>
        </w:tc>
        <w:tc>
          <w:tcPr>
            <w:tcW w:w="886" w:type="dxa"/>
          </w:tcPr>
          <w:p>
            <w:pPr>
              <w:spacing w:line="30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12" w:type="dxa"/>
            <w:vAlign w:val="center"/>
          </w:tcPr>
          <w:p>
            <w:pPr>
              <w:spacing w:line="30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5908" w:type="dxa"/>
            <w:vAlign w:val="center"/>
          </w:tcPr>
          <w:p>
            <w:pPr>
              <w:spacing w:line="30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投标单位（供应商）针对本次项目《反商业贿赂承诺书》书面承诺；</w:t>
            </w:r>
          </w:p>
        </w:tc>
        <w:tc>
          <w:tcPr>
            <w:tcW w:w="772" w:type="dxa"/>
          </w:tcPr>
          <w:p>
            <w:pPr>
              <w:spacing w:line="300" w:lineRule="auto"/>
              <w:rPr>
                <w:rFonts w:hint="eastAsia" w:asciiTheme="minorEastAsia" w:hAnsiTheme="minorEastAsia" w:eastAsiaTheme="minorEastAsia" w:cstheme="minorEastAsia"/>
                <w:color w:val="auto"/>
                <w:sz w:val="24"/>
                <w:szCs w:val="24"/>
                <w:highlight w:val="none"/>
              </w:rPr>
            </w:pPr>
          </w:p>
        </w:tc>
        <w:tc>
          <w:tcPr>
            <w:tcW w:w="828" w:type="dxa"/>
          </w:tcPr>
          <w:p>
            <w:pPr>
              <w:spacing w:line="300" w:lineRule="auto"/>
              <w:rPr>
                <w:rFonts w:hint="eastAsia" w:asciiTheme="minorEastAsia" w:hAnsiTheme="minorEastAsia" w:eastAsiaTheme="minorEastAsia" w:cstheme="minorEastAsia"/>
                <w:color w:val="auto"/>
                <w:sz w:val="24"/>
                <w:szCs w:val="24"/>
                <w:highlight w:val="none"/>
              </w:rPr>
            </w:pPr>
          </w:p>
        </w:tc>
        <w:tc>
          <w:tcPr>
            <w:tcW w:w="886" w:type="dxa"/>
          </w:tcPr>
          <w:p>
            <w:pPr>
              <w:spacing w:line="30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2" w:type="dxa"/>
            <w:vAlign w:val="center"/>
          </w:tcPr>
          <w:p>
            <w:pPr>
              <w:spacing w:line="30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5908" w:type="dxa"/>
            <w:vAlign w:val="center"/>
          </w:tcPr>
          <w:p>
            <w:pPr>
              <w:spacing w:line="30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磋商保证金有效凭证；</w:t>
            </w:r>
          </w:p>
        </w:tc>
        <w:tc>
          <w:tcPr>
            <w:tcW w:w="772" w:type="dxa"/>
          </w:tcPr>
          <w:p>
            <w:pPr>
              <w:spacing w:line="300" w:lineRule="auto"/>
              <w:rPr>
                <w:rFonts w:hint="eastAsia" w:asciiTheme="minorEastAsia" w:hAnsiTheme="minorEastAsia" w:eastAsiaTheme="minorEastAsia" w:cstheme="minorEastAsia"/>
                <w:color w:val="auto"/>
                <w:sz w:val="24"/>
                <w:szCs w:val="24"/>
                <w:highlight w:val="none"/>
              </w:rPr>
            </w:pPr>
          </w:p>
        </w:tc>
        <w:tc>
          <w:tcPr>
            <w:tcW w:w="828" w:type="dxa"/>
          </w:tcPr>
          <w:p>
            <w:pPr>
              <w:spacing w:line="300" w:lineRule="auto"/>
              <w:rPr>
                <w:rFonts w:hint="eastAsia" w:asciiTheme="minorEastAsia" w:hAnsiTheme="minorEastAsia" w:eastAsiaTheme="minorEastAsia" w:cstheme="minorEastAsia"/>
                <w:color w:val="auto"/>
                <w:sz w:val="24"/>
                <w:szCs w:val="24"/>
                <w:highlight w:val="none"/>
              </w:rPr>
            </w:pPr>
          </w:p>
        </w:tc>
        <w:tc>
          <w:tcPr>
            <w:tcW w:w="886" w:type="dxa"/>
          </w:tcPr>
          <w:p>
            <w:pPr>
              <w:spacing w:line="30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12" w:type="dxa"/>
            <w:vAlign w:val="center"/>
          </w:tcPr>
          <w:p>
            <w:pPr>
              <w:spacing w:line="30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5908" w:type="dxa"/>
            <w:vAlign w:val="center"/>
          </w:tcPr>
          <w:p>
            <w:pPr>
              <w:spacing w:line="30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在“信用中国”网站、国家企业信用信息公示系统未被列入严重违法失信企业名单、重大税收违法案件当事人名单，在中国政府采购网未被列入政府采购严重违法失信行为记录名单及新疆政府采购网未被列入严重违法失信行为信息记录。（以采购代理机构于开标前1个工作日至投标截止后1小时的期间内查询结果为准）</w:t>
            </w:r>
          </w:p>
        </w:tc>
        <w:tc>
          <w:tcPr>
            <w:tcW w:w="772" w:type="dxa"/>
          </w:tcPr>
          <w:p>
            <w:pPr>
              <w:spacing w:line="300" w:lineRule="auto"/>
              <w:rPr>
                <w:rFonts w:hint="eastAsia" w:asciiTheme="minorEastAsia" w:hAnsiTheme="minorEastAsia" w:eastAsiaTheme="minorEastAsia" w:cstheme="minorEastAsia"/>
                <w:color w:val="auto"/>
                <w:sz w:val="24"/>
                <w:szCs w:val="24"/>
                <w:highlight w:val="none"/>
              </w:rPr>
            </w:pPr>
          </w:p>
        </w:tc>
        <w:tc>
          <w:tcPr>
            <w:tcW w:w="828" w:type="dxa"/>
          </w:tcPr>
          <w:p>
            <w:pPr>
              <w:spacing w:line="300" w:lineRule="auto"/>
              <w:rPr>
                <w:rFonts w:hint="eastAsia" w:asciiTheme="minorEastAsia" w:hAnsiTheme="minorEastAsia" w:eastAsiaTheme="minorEastAsia" w:cstheme="minorEastAsia"/>
                <w:color w:val="auto"/>
                <w:sz w:val="24"/>
                <w:szCs w:val="24"/>
                <w:highlight w:val="none"/>
              </w:rPr>
            </w:pPr>
          </w:p>
        </w:tc>
        <w:tc>
          <w:tcPr>
            <w:tcW w:w="886" w:type="dxa"/>
          </w:tcPr>
          <w:p>
            <w:pPr>
              <w:spacing w:line="300" w:lineRule="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520" w:type="dxa"/>
            <w:gridSpan w:val="2"/>
            <w:vAlign w:val="center"/>
          </w:tcPr>
          <w:p>
            <w:pPr>
              <w:spacing w:line="30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结论：（通过评审写“通过”，未通过评审写“不通过”）</w:t>
            </w:r>
          </w:p>
        </w:tc>
        <w:tc>
          <w:tcPr>
            <w:tcW w:w="772" w:type="dxa"/>
          </w:tcPr>
          <w:p>
            <w:pPr>
              <w:spacing w:line="300" w:lineRule="auto"/>
              <w:rPr>
                <w:rFonts w:hint="eastAsia" w:asciiTheme="minorEastAsia" w:hAnsiTheme="minorEastAsia" w:eastAsiaTheme="minorEastAsia" w:cstheme="minorEastAsia"/>
                <w:color w:val="auto"/>
                <w:sz w:val="24"/>
                <w:szCs w:val="24"/>
                <w:highlight w:val="none"/>
              </w:rPr>
            </w:pPr>
          </w:p>
        </w:tc>
        <w:tc>
          <w:tcPr>
            <w:tcW w:w="828" w:type="dxa"/>
          </w:tcPr>
          <w:p>
            <w:pPr>
              <w:spacing w:line="300" w:lineRule="auto"/>
              <w:rPr>
                <w:rFonts w:hint="eastAsia" w:asciiTheme="minorEastAsia" w:hAnsiTheme="minorEastAsia" w:eastAsiaTheme="minorEastAsia" w:cstheme="minorEastAsia"/>
                <w:color w:val="auto"/>
                <w:sz w:val="24"/>
                <w:szCs w:val="24"/>
                <w:highlight w:val="none"/>
              </w:rPr>
            </w:pPr>
          </w:p>
        </w:tc>
        <w:tc>
          <w:tcPr>
            <w:tcW w:w="886" w:type="dxa"/>
          </w:tcPr>
          <w:p>
            <w:pPr>
              <w:spacing w:line="300" w:lineRule="auto"/>
              <w:rPr>
                <w:rFonts w:hint="eastAsia" w:asciiTheme="minorEastAsia" w:hAnsiTheme="minorEastAsia" w:eastAsiaTheme="minorEastAsia" w:cstheme="minorEastAsia"/>
                <w:color w:val="auto"/>
                <w:sz w:val="24"/>
                <w:szCs w:val="24"/>
                <w:highlight w:val="none"/>
              </w:rPr>
            </w:pPr>
          </w:p>
        </w:tc>
      </w:tr>
    </w:tbl>
    <w:p>
      <w:pPr>
        <w:rPr>
          <w:rFonts w:hint="eastAsia" w:asciiTheme="minorEastAsia" w:hAnsiTheme="minorEastAsia" w:eastAsiaTheme="minorEastAsia" w:cstheme="minorEastAsia"/>
          <w:b/>
          <w:bCs/>
          <w:color w:val="auto"/>
          <w:sz w:val="24"/>
          <w:szCs w:val="24"/>
          <w:highlight w:val="none"/>
        </w:rPr>
      </w:pP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说明：</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（1）上述各项中用“√”表示通过，“×”表示不通过；</w:t>
      </w:r>
    </w:p>
    <w:p>
      <w:pP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（2）上述各项中如有一项为“×”，则结论为“×”，表示该响应文件中存在重大偏差，不能通过初步评审；评委对某一分项评审认为不合格时，必须要写明原因。</w:t>
      </w:r>
    </w:p>
    <w:p>
      <w:pPr>
        <w:ind w:left="6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（3）响应文件最终合格与否，以所有评委的评审意见中少数服从多数为原则定论。</w:t>
      </w:r>
    </w:p>
    <w:p>
      <w:pPr>
        <w:pStyle w:val="3"/>
        <w:rPr>
          <w:rFonts w:hint="eastAsia"/>
          <w:color w:val="auto"/>
          <w:sz w:val="24"/>
          <w:szCs w:val="24"/>
          <w:highlight w:val="none"/>
        </w:rPr>
      </w:pPr>
      <w:r>
        <w:rPr>
          <w:rFonts w:hint="eastAsia"/>
          <w:color w:val="auto"/>
          <w:sz w:val="24"/>
          <w:szCs w:val="24"/>
          <w:highlight w:val="none"/>
        </w:rPr>
        <w:t>★备注：如果投标文件中有一项未通过上述审查标准，评标委员会将认定整个投标文件未响应招标文件而予以废标处理。</w:t>
      </w:r>
    </w:p>
    <w:p>
      <w:pPr>
        <w:pStyle w:val="10"/>
        <w:spacing w:line="300" w:lineRule="auto"/>
        <w:ind w:firstLine="0"/>
        <w:jc w:val="center"/>
        <w:outlineLvl w:val="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符合性审查表</w:t>
      </w:r>
    </w:p>
    <w:tbl>
      <w:tblPr>
        <w:tblStyle w:val="34"/>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8" w:type="dxa"/>
            <w:vMerge w:val="restart"/>
            <w:vAlign w:val="center"/>
          </w:tcPr>
          <w:p>
            <w:pPr>
              <w:spacing w:line="30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序号</w:t>
            </w:r>
          </w:p>
        </w:tc>
        <w:tc>
          <w:tcPr>
            <w:tcW w:w="6755" w:type="dxa"/>
            <w:vMerge w:val="restart"/>
            <w:vAlign w:val="center"/>
          </w:tcPr>
          <w:p>
            <w:pPr>
              <w:spacing w:line="300" w:lineRule="auto"/>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评审内容</w:t>
            </w:r>
          </w:p>
        </w:tc>
        <w:tc>
          <w:tcPr>
            <w:tcW w:w="1637" w:type="dxa"/>
            <w:vAlign w:val="center"/>
          </w:tcPr>
          <w:p>
            <w:pPr>
              <w:spacing w:line="300" w:lineRule="auto"/>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名称及审查情况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Merge w:val="continue"/>
            <w:vAlign w:val="center"/>
          </w:tcPr>
          <w:p>
            <w:pPr>
              <w:spacing w:line="300" w:lineRule="auto"/>
              <w:jc w:val="center"/>
              <w:rPr>
                <w:rFonts w:hint="eastAsia" w:asciiTheme="minorEastAsia" w:hAnsiTheme="minorEastAsia" w:eastAsiaTheme="minorEastAsia" w:cstheme="minorEastAsia"/>
                <w:color w:val="auto"/>
                <w:sz w:val="22"/>
                <w:szCs w:val="22"/>
                <w:highlight w:val="none"/>
              </w:rPr>
            </w:pPr>
          </w:p>
        </w:tc>
        <w:tc>
          <w:tcPr>
            <w:tcW w:w="6755" w:type="dxa"/>
            <w:vMerge w:val="continue"/>
            <w:vAlign w:val="center"/>
          </w:tcPr>
          <w:p>
            <w:pPr>
              <w:spacing w:line="300" w:lineRule="auto"/>
              <w:rPr>
                <w:rFonts w:hint="eastAsia" w:asciiTheme="minorEastAsia" w:hAnsiTheme="minorEastAsia" w:eastAsiaTheme="minorEastAsia" w:cstheme="minorEastAsia"/>
                <w:color w:val="auto"/>
                <w:spacing w:val="-2"/>
                <w:sz w:val="22"/>
                <w:szCs w:val="22"/>
                <w:highlight w:val="none"/>
              </w:rPr>
            </w:pPr>
          </w:p>
        </w:tc>
        <w:tc>
          <w:tcPr>
            <w:tcW w:w="1637" w:type="dxa"/>
            <w:vAlign w:val="center"/>
          </w:tcPr>
          <w:p>
            <w:pPr>
              <w:spacing w:line="300" w:lineRule="auto"/>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p>
        </w:tc>
        <w:tc>
          <w:tcPr>
            <w:tcW w:w="6755" w:type="dxa"/>
            <w:vAlign w:val="bottom"/>
          </w:tcPr>
          <w:p>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报价未高于最高限价；</w:t>
            </w:r>
          </w:p>
        </w:tc>
        <w:tc>
          <w:tcPr>
            <w:tcW w:w="1637" w:type="dxa"/>
            <w:vAlign w:val="center"/>
          </w:tcPr>
          <w:p>
            <w:pPr>
              <w:spacing w:line="300" w:lineRule="auto"/>
              <w:rPr>
                <w:rFonts w:hint="eastAsia" w:asciiTheme="minorEastAsia" w:hAnsiTheme="minorEastAsia" w:eastAsiaTheme="minorEastAsia" w:cstheme="minorEastAsia"/>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vAlign w:val="center"/>
          </w:tcPr>
          <w:p>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p>
        </w:tc>
        <w:tc>
          <w:tcPr>
            <w:tcW w:w="6755" w:type="dxa"/>
            <w:vAlign w:val="bottom"/>
          </w:tcPr>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磋商小组</w:t>
            </w:r>
            <w:r>
              <w:rPr>
                <w:rFonts w:hint="eastAsia" w:asciiTheme="minorEastAsia" w:hAnsiTheme="minorEastAsia" w:eastAsiaTheme="minorEastAsia" w:cstheme="minorEastAsia"/>
                <w:color w:val="auto"/>
                <w:sz w:val="22"/>
                <w:szCs w:val="22"/>
                <w:highlight w:val="none"/>
              </w:rPr>
              <w:t>认为</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的报价无明显低于其他通过符合性审查</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的报价的，</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的报价不存在异常一致并成规律性的，其报价合理</w:t>
            </w:r>
            <w:r>
              <w:rPr>
                <w:rFonts w:hint="eastAsia" w:asciiTheme="minorEastAsia" w:hAnsiTheme="minorEastAsia" w:eastAsiaTheme="minorEastAsia" w:cstheme="minorEastAsia"/>
                <w:color w:val="auto"/>
                <w:sz w:val="22"/>
                <w:szCs w:val="22"/>
                <w:highlight w:val="none"/>
                <w:lang w:eastAsia="zh-CN"/>
              </w:rPr>
              <w:t>；</w:t>
            </w:r>
          </w:p>
        </w:tc>
        <w:tc>
          <w:tcPr>
            <w:tcW w:w="1637" w:type="dxa"/>
            <w:vAlign w:val="center"/>
          </w:tcPr>
          <w:p>
            <w:pPr>
              <w:spacing w:line="300" w:lineRule="auto"/>
              <w:rPr>
                <w:rFonts w:hint="eastAsia" w:asciiTheme="minorEastAsia" w:hAnsiTheme="minorEastAsia" w:eastAsiaTheme="minorEastAsia" w:cstheme="minorEastAsia"/>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48" w:type="dxa"/>
            <w:vAlign w:val="center"/>
          </w:tcPr>
          <w:p>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p>
        </w:tc>
        <w:tc>
          <w:tcPr>
            <w:tcW w:w="6755" w:type="dxa"/>
            <w:vAlign w:val="bottom"/>
          </w:tcPr>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按磋商文件规定提交</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份数，正本1份；副本</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份；电子版1份</w:t>
            </w:r>
            <w:r>
              <w:rPr>
                <w:rFonts w:hint="eastAsia" w:asciiTheme="minorEastAsia" w:hAnsiTheme="minorEastAsia" w:eastAsiaTheme="minorEastAsia" w:cstheme="minorEastAsia"/>
                <w:color w:val="auto"/>
                <w:sz w:val="22"/>
                <w:szCs w:val="22"/>
                <w:highlight w:val="none"/>
                <w:lang w:eastAsia="zh-CN"/>
              </w:rPr>
              <w:t>；</w:t>
            </w:r>
          </w:p>
        </w:tc>
        <w:tc>
          <w:tcPr>
            <w:tcW w:w="1637" w:type="dxa"/>
            <w:vAlign w:val="center"/>
          </w:tcPr>
          <w:p>
            <w:pPr>
              <w:spacing w:line="300" w:lineRule="auto"/>
              <w:rPr>
                <w:rFonts w:hint="eastAsia" w:asciiTheme="minorEastAsia" w:hAnsiTheme="minorEastAsia" w:eastAsiaTheme="minorEastAsia" w:cs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w:t>
            </w:r>
          </w:p>
        </w:tc>
        <w:tc>
          <w:tcPr>
            <w:tcW w:w="6755" w:type="dxa"/>
            <w:vAlign w:val="bottom"/>
          </w:tcPr>
          <w:p>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按照磋商文件的归定编制、标记及签署盖章的，法定代表人或其授权代表签字（章）和加盖</w:t>
            </w:r>
            <w:r>
              <w:rPr>
                <w:rFonts w:hint="eastAsia" w:asciiTheme="minorEastAsia" w:hAnsiTheme="minorEastAsia" w:eastAsiaTheme="minorEastAsia" w:cstheme="minorEastAsia"/>
                <w:color w:val="auto"/>
                <w:sz w:val="22"/>
                <w:szCs w:val="22"/>
                <w:highlight w:val="none"/>
                <w:lang w:eastAsia="zh-CN"/>
              </w:rPr>
              <w:t>供应商</w:t>
            </w:r>
            <w:r>
              <w:rPr>
                <w:rFonts w:hint="eastAsia" w:asciiTheme="minorEastAsia" w:hAnsiTheme="minorEastAsia" w:eastAsiaTheme="minorEastAsia" w:cstheme="minorEastAsia"/>
                <w:color w:val="auto"/>
                <w:sz w:val="22"/>
                <w:szCs w:val="22"/>
                <w:highlight w:val="none"/>
              </w:rPr>
              <w:t>单位公章的（</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正本的印章和签字不能为复印件）；</w:t>
            </w:r>
          </w:p>
        </w:tc>
        <w:tc>
          <w:tcPr>
            <w:tcW w:w="1637" w:type="dxa"/>
            <w:vAlign w:val="center"/>
          </w:tcPr>
          <w:p>
            <w:pPr>
              <w:spacing w:line="300" w:lineRule="auto"/>
              <w:rPr>
                <w:rFonts w:hint="eastAsia" w:asciiTheme="minorEastAsia" w:hAnsiTheme="minorEastAsia" w:eastAsiaTheme="minorEastAsia" w:cstheme="minorEastAsia"/>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48" w:type="dxa"/>
            <w:vAlign w:val="center"/>
          </w:tcPr>
          <w:p>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w:t>
            </w:r>
          </w:p>
        </w:tc>
        <w:tc>
          <w:tcPr>
            <w:tcW w:w="6755" w:type="dxa"/>
            <w:vAlign w:val="bottom"/>
          </w:tcPr>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实质性条款与磋商文件要求的条款相符、且没有重大偏离的</w:t>
            </w:r>
            <w:r>
              <w:rPr>
                <w:rFonts w:hint="eastAsia" w:asciiTheme="minorEastAsia" w:hAnsiTheme="minorEastAsia" w:eastAsiaTheme="minorEastAsia" w:cstheme="minorEastAsia"/>
                <w:color w:val="auto"/>
                <w:sz w:val="22"/>
                <w:szCs w:val="22"/>
                <w:highlight w:val="none"/>
                <w:lang w:eastAsia="zh-CN"/>
              </w:rPr>
              <w:t>；</w:t>
            </w:r>
          </w:p>
        </w:tc>
        <w:tc>
          <w:tcPr>
            <w:tcW w:w="1637" w:type="dxa"/>
            <w:vAlign w:val="center"/>
          </w:tcPr>
          <w:p>
            <w:pPr>
              <w:spacing w:line="300" w:lineRule="auto"/>
              <w:rPr>
                <w:rFonts w:hint="eastAsia" w:asciiTheme="minorEastAsia" w:hAnsiTheme="minorEastAsia" w:eastAsiaTheme="minorEastAsia" w:cstheme="minorEastAsia"/>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vAlign w:val="center"/>
          </w:tcPr>
          <w:p>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6</w:t>
            </w:r>
          </w:p>
        </w:tc>
        <w:tc>
          <w:tcPr>
            <w:tcW w:w="6755" w:type="dxa"/>
            <w:vAlign w:val="bottom"/>
          </w:tcPr>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载明的技术标准、技术指标等，符合磋商文件要求的</w:t>
            </w:r>
            <w:r>
              <w:rPr>
                <w:rFonts w:hint="eastAsia" w:asciiTheme="minorEastAsia" w:hAnsiTheme="minorEastAsia" w:eastAsiaTheme="minorEastAsia" w:cstheme="minorEastAsia"/>
                <w:color w:val="auto"/>
                <w:sz w:val="22"/>
                <w:szCs w:val="22"/>
                <w:highlight w:val="none"/>
                <w:lang w:eastAsia="zh-CN"/>
              </w:rPr>
              <w:t>；</w:t>
            </w:r>
          </w:p>
        </w:tc>
        <w:tc>
          <w:tcPr>
            <w:tcW w:w="1637" w:type="dxa"/>
            <w:vAlign w:val="center"/>
          </w:tcPr>
          <w:p>
            <w:pPr>
              <w:spacing w:line="300" w:lineRule="auto"/>
              <w:rPr>
                <w:rFonts w:hint="eastAsia" w:asciiTheme="minorEastAsia" w:hAnsiTheme="minorEastAsia" w:eastAsiaTheme="minorEastAsia" w:cstheme="minorEastAsia"/>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7</w:t>
            </w:r>
          </w:p>
        </w:tc>
        <w:tc>
          <w:tcPr>
            <w:tcW w:w="6755" w:type="dxa"/>
            <w:vAlign w:val="bottom"/>
          </w:tcPr>
          <w:p>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投标的政府采购项目完成期限超过</w:t>
            </w:r>
            <w:r>
              <w:rPr>
                <w:rFonts w:hint="eastAsia" w:asciiTheme="minorEastAsia" w:hAnsiTheme="minorEastAsia" w:eastAsiaTheme="minorEastAsia" w:cstheme="minorEastAsia"/>
                <w:color w:val="auto"/>
                <w:sz w:val="22"/>
                <w:szCs w:val="22"/>
                <w:highlight w:val="none"/>
                <w:lang w:val="en-US" w:eastAsia="zh-CN"/>
              </w:rPr>
              <w:t>磋商</w:t>
            </w:r>
            <w:r>
              <w:rPr>
                <w:rFonts w:hint="eastAsia" w:asciiTheme="minorEastAsia" w:hAnsiTheme="minorEastAsia" w:eastAsiaTheme="minorEastAsia" w:cstheme="minorEastAsia"/>
                <w:color w:val="auto"/>
                <w:sz w:val="22"/>
                <w:szCs w:val="22"/>
                <w:highlight w:val="none"/>
              </w:rPr>
              <w:t>文件规定期限的；</w:t>
            </w:r>
          </w:p>
        </w:tc>
        <w:tc>
          <w:tcPr>
            <w:tcW w:w="1637" w:type="dxa"/>
            <w:vAlign w:val="center"/>
          </w:tcPr>
          <w:p>
            <w:pPr>
              <w:spacing w:line="300" w:lineRule="auto"/>
              <w:rPr>
                <w:rFonts w:hint="eastAsia" w:asciiTheme="minorEastAsia" w:hAnsiTheme="minorEastAsia" w:eastAsiaTheme="minorEastAsia" w:cstheme="minorEastAsia"/>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60" w:lineRule="auto"/>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8</w:t>
            </w:r>
          </w:p>
        </w:tc>
        <w:tc>
          <w:tcPr>
            <w:tcW w:w="6755" w:type="dxa"/>
            <w:vAlign w:val="bottom"/>
          </w:tcPr>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按磋商文件规定的格式填写，内容全或关键字迹清晰、数量等齐全，所有原件的复印件清晰可辨</w:t>
            </w:r>
            <w:r>
              <w:rPr>
                <w:rFonts w:hint="eastAsia" w:asciiTheme="minorEastAsia" w:hAnsiTheme="minorEastAsia" w:eastAsiaTheme="minorEastAsia" w:cstheme="minorEastAsia"/>
                <w:color w:val="auto"/>
                <w:sz w:val="22"/>
                <w:szCs w:val="22"/>
                <w:highlight w:val="none"/>
                <w:lang w:eastAsia="zh-CN"/>
              </w:rPr>
              <w:t>；</w:t>
            </w:r>
          </w:p>
        </w:tc>
        <w:tc>
          <w:tcPr>
            <w:tcW w:w="1637" w:type="dxa"/>
            <w:vAlign w:val="center"/>
          </w:tcPr>
          <w:p>
            <w:pPr>
              <w:spacing w:line="300" w:lineRule="auto"/>
              <w:rPr>
                <w:rFonts w:hint="eastAsia" w:asciiTheme="minorEastAsia" w:hAnsiTheme="minorEastAsia" w:eastAsiaTheme="minorEastAsia" w:cstheme="minorEastAsia"/>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9</w:t>
            </w:r>
          </w:p>
        </w:tc>
        <w:tc>
          <w:tcPr>
            <w:tcW w:w="6755" w:type="dxa"/>
            <w:vAlign w:val="bottom"/>
          </w:tcPr>
          <w:p>
            <w:pPr>
              <w:spacing w:line="360" w:lineRule="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没有采购人不能接受的附加条件的</w:t>
            </w:r>
            <w:r>
              <w:rPr>
                <w:rFonts w:hint="eastAsia" w:asciiTheme="minorEastAsia" w:hAnsiTheme="minorEastAsia" w:eastAsiaTheme="minorEastAsia" w:cstheme="minorEastAsia"/>
                <w:color w:val="auto"/>
                <w:sz w:val="22"/>
                <w:szCs w:val="22"/>
                <w:highlight w:val="none"/>
                <w:lang w:eastAsia="zh-CN"/>
              </w:rPr>
              <w:t>；</w:t>
            </w:r>
          </w:p>
        </w:tc>
        <w:tc>
          <w:tcPr>
            <w:tcW w:w="1637" w:type="dxa"/>
            <w:vAlign w:val="center"/>
          </w:tcPr>
          <w:p>
            <w:pPr>
              <w:spacing w:line="300" w:lineRule="auto"/>
              <w:rPr>
                <w:rFonts w:hint="eastAsia" w:asciiTheme="minorEastAsia" w:hAnsiTheme="minorEastAsia" w:eastAsiaTheme="minorEastAsia" w:cstheme="minorEastAsia"/>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w:t>
            </w:r>
          </w:p>
        </w:tc>
        <w:tc>
          <w:tcPr>
            <w:tcW w:w="6755" w:type="dxa"/>
            <w:vAlign w:val="bottom"/>
          </w:tcPr>
          <w:p>
            <w:pPr>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符合磋商文件中规定的其他实质性要求；</w:t>
            </w:r>
          </w:p>
        </w:tc>
        <w:tc>
          <w:tcPr>
            <w:tcW w:w="1637" w:type="dxa"/>
            <w:vAlign w:val="center"/>
          </w:tcPr>
          <w:p>
            <w:pPr>
              <w:spacing w:line="300" w:lineRule="auto"/>
              <w:rPr>
                <w:rFonts w:hint="eastAsia" w:asciiTheme="minorEastAsia" w:hAnsiTheme="minorEastAsia" w:eastAsiaTheme="minorEastAsia" w:cstheme="minorEastAsia"/>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firstLine="388" w:firstLineChars="180"/>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结论：（通过评审写“通过”，未通过评审写“不通过”）</w:t>
            </w:r>
          </w:p>
        </w:tc>
        <w:tc>
          <w:tcPr>
            <w:tcW w:w="1637" w:type="dxa"/>
            <w:vAlign w:val="center"/>
          </w:tcPr>
          <w:p>
            <w:pPr>
              <w:spacing w:line="300" w:lineRule="auto"/>
              <w:ind w:firstLine="388" w:firstLineChars="180"/>
              <w:rPr>
                <w:rFonts w:hint="eastAsia" w:asciiTheme="minorEastAsia" w:hAnsiTheme="minorEastAsia" w:eastAsiaTheme="minorEastAsia" w:cstheme="minorEastAsia"/>
                <w:color w:val="auto"/>
                <w:spacing w:val="-2"/>
                <w:sz w:val="22"/>
                <w:szCs w:val="22"/>
                <w:highlight w:val="none"/>
              </w:rPr>
            </w:pPr>
          </w:p>
        </w:tc>
      </w:tr>
    </w:tbl>
    <w:p>
      <w:pPr>
        <w:spacing w:line="300" w:lineRule="auto"/>
        <w:ind w:left="6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说明：</w:t>
      </w:r>
    </w:p>
    <w:p>
      <w:pPr>
        <w:spacing w:line="300" w:lineRule="auto"/>
        <w:ind w:left="6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（1）上述各项中用“√”表示合格，“×”表示不合格；</w:t>
      </w:r>
    </w:p>
    <w:p>
      <w:pPr>
        <w:spacing w:line="300" w:lineRule="auto"/>
        <w:ind w:left="719" w:leftChars="28" w:hanging="660" w:hangingChars="30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（2）上述各项中如有一项为“×”，则结论为“×”，表示该</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中存在重大偏差，不能通过初步评审；</w:t>
      </w:r>
      <w:r>
        <w:rPr>
          <w:rFonts w:hint="eastAsia" w:asciiTheme="minorEastAsia" w:hAnsiTheme="minorEastAsia" w:eastAsiaTheme="minorEastAsia" w:cstheme="minorEastAsia"/>
          <w:color w:val="auto"/>
          <w:sz w:val="22"/>
          <w:szCs w:val="22"/>
          <w:highlight w:val="none"/>
          <w:lang w:eastAsia="zh-CN"/>
        </w:rPr>
        <w:t>磋商小组</w:t>
      </w:r>
      <w:r>
        <w:rPr>
          <w:rFonts w:hint="eastAsia" w:asciiTheme="minorEastAsia" w:hAnsiTheme="minorEastAsia" w:eastAsiaTheme="minorEastAsia" w:cstheme="minorEastAsia"/>
          <w:color w:val="auto"/>
          <w:sz w:val="22"/>
          <w:szCs w:val="22"/>
          <w:highlight w:val="none"/>
        </w:rPr>
        <w:t>对某一分项评审认为不合格时，必须要写明原因。</w:t>
      </w:r>
    </w:p>
    <w:p>
      <w:pPr>
        <w:pStyle w:val="10"/>
        <w:spacing w:line="300" w:lineRule="auto"/>
        <w:ind w:firstLine="0"/>
        <w:jc w:val="both"/>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r>
        <w:rPr>
          <w:rFonts w:hint="eastAsia" w:asciiTheme="minorEastAsia" w:hAnsiTheme="minorEastAsia" w:eastAsiaTheme="minorEastAsia" w:cstheme="minorEastAsia"/>
          <w:color w:val="auto"/>
          <w:sz w:val="22"/>
          <w:szCs w:val="22"/>
          <w:highlight w:val="none"/>
          <w:lang w:eastAsia="zh-CN"/>
        </w:rPr>
        <w:t>响应文件</w:t>
      </w:r>
      <w:r>
        <w:rPr>
          <w:rFonts w:hint="eastAsia" w:asciiTheme="minorEastAsia" w:hAnsiTheme="minorEastAsia" w:eastAsiaTheme="minorEastAsia" w:cstheme="minorEastAsia"/>
          <w:color w:val="auto"/>
          <w:sz w:val="22"/>
          <w:szCs w:val="22"/>
          <w:highlight w:val="none"/>
        </w:rPr>
        <w:t>最终合格与否，以所有</w:t>
      </w:r>
      <w:r>
        <w:rPr>
          <w:rFonts w:hint="eastAsia" w:asciiTheme="minorEastAsia" w:hAnsiTheme="minorEastAsia" w:eastAsiaTheme="minorEastAsia" w:cstheme="minorEastAsia"/>
          <w:color w:val="auto"/>
          <w:sz w:val="22"/>
          <w:szCs w:val="22"/>
          <w:highlight w:val="none"/>
          <w:lang w:eastAsia="zh-CN"/>
        </w:rPr>
        <w:t>磋商小组</w:t>
      </w:r>
      <w:r>
        <w:rPr>
          <w:rFonts w:hint="eastAsia" w:asciiTheme="minorEastAsia" w:hAnsiTheme="minorEastAsia" w:eastAsiaTheme="minorEastAsia" w:cstheme="minorEastAsia"/>
          <w:color w:val="auto"/>
          <w:sz w:val="22"/>
          <w:szCs w:val="22"/>
          <w:highlight w:val="none"/>
        </w:rPr>
        <w:t>的评审意见中少数服从多数为原则定论。</w:t>
      </w:r>
    </w:p>
    <w:p>
      <w:pPr>
        <w:pStyle w:val="3"/>
        <w:rPr>
          <w:rFonts w:hint="eastAsia"/>
          <w:color w:val="auto"/>
          <w:highlight w:val="none"/>
        </w:rPr>
      </w:pPr>
      <w:r>
        <w:rPr>
          <w:rFonts w:hint="eastAsia"/>
          <w:color w:val="auto"/>
          <w:sz w:val="22"/>
          <w:szCs w:val="22"/>
          <w:highlight w:val="none"/>
        </w:rPr>
        <w:t>★备注：如果投标文件中有一项未通过上述审查标准，评标委员会将认定整个投标文件未响应招标文件而予以废标处理。</w:t>
      </w:r>
    </w:p>
    <w:p>
      <w:pPr>
        <w:pStyle w:val="24"/>
        <w:rPr>
          <w:rFonts w:hint="eastAsia" w:asciiTheme="minorEastAsia" w:hAnsiTheme="minorEastAsia" w:eastAsiaTheme="minorEastAsia" w:cstheme="minorEastAsia"/>
          <w:color w:val="auto"/>
          <w:kern w:val="0"/>
          <w:sz w:val="21"/>
          <w:szCs w:val="21"/>
          <w:highlight w:val="none"/>
          <w:lang w:val="en-US" w:eastAsia="zh-CN" w:bidi="ar-SA"/>
        </w:rPr>
      </w:pPr>
    </w:p>
    <w:p>
      <w:pPr>
        <w:pStyle w:val="24"/>
        <w:rPr>
          <w:rFonts w:hint="eastAsia" w:asciiTheme="minorEastAsia" w:hAnsiTheme="minorEastAsia" w:eastAsiaTheme="minorEastAsia" w:cstheme="minorEastAsia"/>
          <w:color w:val="auto"/>
          <w:highlight w:val="none"/>
        </w:rPr>
      </w:pPr>
    </w:p>
    <w:p>
      <w:pPr>
        <w:pStyle w:val="24"/>
        <w:rPr>
          <w:rFonts w:hint="eastAsia" w:asciiTheme="minorEastAsia" w:hAnsiTheme="minorEastAsia" w:eastAsiaTheme="minorEastAsia" w:cstheme="minorEastAsia"/>
          <w:color w:val="auto"/>
          <w:highlight w:val="none"/>
        </w:rPr>
      </w:pPr>
    </w:p>
    <w:p>
      <w:pPr>
        <w:pStyle w:val="24"/>
        <w:rPr>
          <w:rFonts w:hint="eastAsia" w:asciiTheme="minorEastAsia" w:hAnsiTheme="minorEastAsia" w:eastAsiaTheme="minorEastAsia" w:cstheme="minorEastAsia"/>
          <w:color w:val="auto"/>
          <w:highlight w:val="none"/>
        </w:rPr>
      </w:pPr>
    </w:p>
    <w:p>
      <w:pPr>
        <w:pStyle w:val="24"/>
        <w:rPr>
          <w:rFonts w:hint="eastAsia" w:asciiTheme="minorEastAsia" w:hAnsiTheme="minorEastAsia" w:eastAsiaTheme="minorEastAsia" w:cstheme="minorEastAsia"/>
          <w:color w:val="auto"/>
          <w:highlight w:val="none"/>
        </w:rPr>
      </w:pPr>
    </w:p>
    <w:p>
      <w:pPr>
        <w:pStyle w:val="24"/>
        <w:rPr>
          <w:rFonts w:hint="eastAsia" w:asciiTheme="minorEastAsia" w:hAnsiTheme="minorEastAsia" w:eastAsiaTheme="minorEastAsia" w:cstheme="minorEastAsia"/>
          <w:color w:val="auto"/>
          <w:highlight w:val="none"/>
        </w:rPr>
      </w:pPr>
    </w:p>
    <w:p>
      <w:pPr>
        <w:pStyle w:val="24"/>
        <w:rPr>
          <w:rFonts w:hint="eastAsia" w:asciiTheme="minorEastAsia" w:hAnsiTheme="minorEastAsia" w:eastAsiaTheme="minorEastAsia" w:cstheme="minorEastAsia"/>
          <w:color w:val="auto"/>
          <w:highlight w:val="none"/>
        </w:rPr>
      </w:pPr>
    </w:p>
    <w:p>
      <w:pPr>
        <w:pStyle w:val="24"/>
        <w:rPr>
          <w:rFonts w:hint="eastAsia" w:asciiTheme="minorEastAsia" w:hAnsiTheme="minorEastAsia" w:eastAsiaTheme="minorEastAsia" w:cstheme="minorEastAsia"/>
          <w:color w:val="auto"/>
          <w:highlight w:val="none"/>
        </w:rPr>
      </w:pPr>
    </w:p>
    <w:p>
      <w:pPr>
        <w:pStyle w:val="24"/>
        <w:rPr>
          <w:rFonts w:hint="eastAsia" w:asciiTheme="minorEastAsia" w:hAnsiTheme="minorEastAsia" w:eastAsiaTheme="minorEastAsia" w:cstheme="minorEastAsia"/>
          <w:color w:val="auto"/>
          <w:highlight w:val="none"/>
        </w:rPr>
      </w:pPr>
    </w:p>
    <w:p>
      <w:pPr>
        <w:widowControl/>
        <w:jc w:val="center"/>
        <w:rPr>
          <w:rFonts w:hint="eastAsia" w:asciiTheme="minorEastAsia" w:hAnsiTheme="minorEastAsia" w:eastAsiaTheme="minorEastAsia" w:cstheme="minorEastAsia"/>
          <w:b/>
          <w:color w:val="auto"/>
          <w:spacing w:val="-2"/>
          <w:sz w:val="24"/>
          <w:highlight w:val="none"/>
        </w:rPr>
      </w:pPr>
      <w:r>
        <w:rPr>
          <w:rFonts w:hint="eastAsia" w:asciiTheme="minorEastAsia" w:hAnsiTheme="minorEastAsia" w:eastAsiaTheme="minorEastAsia" w:cstheme="minorEastAsia"/>
          <w:b/>
          <w:color w:val="auto"/>
          <w:spacing w:val="-2"/>
          <w:sz w:val="24"/>
          <w:highlight w:val="none"/>
        </w:rPr>
        <w:br w:type="page"/>
      </w:r>
    </w:p>
    <w:tbl>
      <w:tblPr>
        <w:tblStyle w:val="34"/>
        <w:tblpPr w:leftFromText="180" w:rightFromText="180" w:vertAnchor="text" w:horzAnchor="page" w:tblpX="1702" w:tblpY="215"/>
        <w:tblOverlap w:val="never"/>
        <w:tblW w:w="0" w:type="auto"/>
        <w:tblInd w:w="0" w:type="dxa"/>
        <w:tblLayout w:type="fixed"/>
        <w:tblCellMar>
          <w:top w:w="0" w:type="dxa"/>
          <w:left w:w="108" w:type="dxa"/>
          <w:bottom w:w="0" w:type="dxa"/>
          <w:right w:w="108" w:type="dxa"/>
        </w:tblCellMar>
      </w:tblPr>
      <w:tblGrid>
        <w:gridCol w:w="2437"/>
        <w:gridCol w:w="5163"/>
        <w:gridCol w:w="525"/>
        <w:gridCol w:w="500"/>
        <w:gridCol w:w="441"/>
      </w:tblGrid>
      <w:tr>
        <w:tblPrEx>
          <w:tblCellMar>
            <w:top w:w="0" w:type="dxa"/>
            <w:left w:w="108" w:type="dxa"/>
            <w:bottom w:w="0" w:type="dxa"/>
            <w:right w:w="108" w:type="dxa"/>
          </w:tblCellMar>
        </w:tblPrEx>
        <w:trPr>
          <w:trHeight w:val="381" w:hRule="atLeast"/>
        </w:trPr>
        <w:tc>
          <w:tcPr>
            <w:tcW w:w="9066" w:type="dxa"/>
            <w:gridSpan w:val="5"/>
            <w:tcBorders>
              <w:top w:val="nil"/>
              <w:left w:val="nil"/>
              <w:bottom w:val="single" w:color="auto" w:sz="4" w:space="0"/>
              <w:right w:val="nil"/>
            </w:tcBorders>
            <w:vAlign w:val="center"/>
          </w:tcPr>
          <w:p>
            <w:pPr>
              <w:widowControl/>
              <w:jc w:val="center"/>
              <w:rPr>
                <w:rFonts w:hint="eastAsia" w:asciiTheme="minorEastAsia" w:hAnsiTheme="minorEastAsia" w:eastAsiaTheme="minorEastAsia" w:cstheme="minorEastAsia"/>
                <w:b/>
                <w:bCs/>
                <w:color w:val="auto"/>
                <w:kern w:val="0"/>
                <w:sz w:val="32"/>
                <w:szCs w:val="32"/>
                <w:highlight w:val="none"/>
              </w:rPr>
            </w:pPr>
            <w:r>
              <w:rPr>
                <w:rFonts w:hint="eastAsia" w:asciiTheme="minorEastAsia" w:hAnsiTheme="minorEastAsia" w:eastAsiaTheme="minorEastAsia" w:cstheme="minorEastAsia"/>
                <w:b/>
                <w:color w:val="auto"/>
                <w:spacing w:val="-2"/>
                <w:sz w:val="24"/>
                <w:highlight w:val="none"/>
              </w:rPr>
              <w:t>商务符合性审查表</w:t>
            </w:r>
          </w:p>
        </w:tc>
      </w:tr>
      <w:tr>
        <w:tblPrEx>
          <w:tblCellMar>
            <w:top w:w="0" w:type="dxa"/>
            <w:left w:w="108" w:type="dxa"/>
            <w:bottom w:w="0" w:type="dxa"/>
            <w:right w:w="108" w:type="dxa"/>
          </w:tblCellMar>
        </w:tblPrEx>
        <w:trPr>
          <w:trHeight w:val="645" w:hRule="atLeast"/>
        </w:trPr>
        <w:tc>
          <w:tcPr>
            <w:tcW w:w="76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审查事项</w:t>
            </w:r>
          </w:p>
        </w:tc>
        <w:tc>
          <w:tcPr>
            <w:tcW w:w="146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名称及审查情况</w:t>
            </w:r>
          </w:p>
        </w:tc>
      </w:tr>
      <w:tr>
        <w:tblPrEx>
          <w:tblCellMar>
            <w:top w:w="0" w:type="dxa"/>
            <w:left w:w="108" w:type="dxa"/>
            <w:bottom w:w="0" w:type="dxa"/>
            <w:right w:w="108" w:type="dxa"/>
          </w:tblCellMar>
        </w:tblPrEx>
        <w:trPr>
          <w:trHeight w:val="633"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磋商文件条款（</w:t>
            </w:r>
            <w:r>
              <w:rPr>
                <w:rFonts w:hint="eastAsia" w:asciiTheme="minorEastAsia" w:hAnsiTheme="minorEastAsia" w:eastAsiaTheme="minorEastAsia" w:cstheme="minorEastAsia"/>
                <w:b/>
                <w:color w:val="auto"/>
                <w:kern w:val="0"/>
                <w:szCs w:val="21"/>
                <w:highlight w:val="none"/>
                <w:lang w:eastAsia="zh-CN"/>
              </w:rPr>
              <w:t>供应商</w:t>
            </w:r>
            <w:r>
              <w:rPr>
                <w:rFonts w:hint="eastAsia" w:asciiTheme="minorEastAsia" w:hAnsiTheme="minorEastAsia" w:eastAsiaTheme="minorEastAsia" w:cstheme="minorEastAsia"/>
                <w:b/>
                <w:color w:val="auto"/>
                <w:kern w:val="0"/>
                <w:szCs w:val="21"/>
                <w:highlight w:val="none"/>
              </w:rPr>
              <w:t>须知条款号）</w:t>
            </w:r>
          </w:p>
        </w:tc>
        <w:tc>
          <w:tcPr>
            <w:tcW w:w="51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本项目要求</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中小企业</w:t>
            </w:r>
            <w:r>
              <w:rPr>
                <w:rFonts w:hint="eastAsia" w:asciiTheme="minorEastAsia" w:hAnsiTheme="minorEastAsia" w:eastAsiaTheme="minorEastAsia" w:cstheme="minorEastAsia"/>
                <w:color w:val="auto"/>
                <w:kern w:val="0"/>
                <w:szCs w:val="21"/>
                <w:highlight w:val="none"/>
                <w:lang w:eastAsia="zh-CN"/>
              </w:rPr>
              <w:t>磋商</w:t>
            </w:r>
            <w:r>
              <w:rPr>
                <w:rFonts w:hint="eastAsia" w:asciiTheme="minorEastAsia" w:hAnsiTheme="minorEastAsia" w:eastAsiaTheme="minorEastAsia" w:cstheme="minorEastAsia"/>
                <w:color w:val="auto"/>
                <w:kern w:val="0"/>
                <w:szCs w:val="21"/>
                <w:highlight w:val="none"/>
              </w:rPr>
              <w:t>要求（1.3.5）</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本项目</w:t>
            </w:r>
            <w:r>
              <w:rPr>
                <w:rFonts w:hint="eastAsia" w:asciiTheme="minorEastAsia" w:hAnsiTheme="minorEastAsia" w:eastAsiaTheme="minorEastAsia" w:cstheme="minorEastAsia"/>
                <w:color w:val="auto"/>
                <w:kern w:val="0"/>
                <w:szCs w:val="21"/>
                <w:highlight w:val="none"/>
                <w:u w:val="single"/>
              </w:rPr>
              <w:t>适用</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联合体</w:t>
            </w:r>
            <w:r>
              <w:rPr>
                <w:rFonts w:hint="eastAsia" w:asciiTheme="minorEastAsia" w:hAnsiTheme="minorEastAsia" w:eastAsiaTheme="minorEastAsia" w:cstheme="minorEastAsia"/>
                <w:color w:val="auto"/>
                <w:kern w:val="0"/>
                <w:szCs w:val="21"/>
                <w:highlight w:val="none"/>
                <w:lang w:eastAsia="zh-CN"/>
              </w:rPr>
              <w:t>响应</w:t>
            </w:r>
            <w:r>
              <w:rPr>
                <w:rFonts w:hint="eastAsia" w:asciiTheme="minorEastAsia" w:hAnsiTheme="minorEastAsia" w:eastAsiaTheme="minorEastAsia" w:cstheme="minorEastAsia"/>
                <w:color w:val="auto"/>
                <w:kern w:val="0"/>
                <w:szCs w:val="21"/>
                <w:highlight w:val="none"/>
              </w:rPr>
              <w:t>规定（1.4）</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本项目</w:t>
            </w:r>
            <w:r>
              <w:rPr>
                <w:rFonts w:hint="eastAsia" w:asciiTheme="minorEastAsia" w:hAnsiTheme="minorEastAsia" w:eastAsiaTheme="minorEastAsia" w:cstheme="minorEastAsia"/>
                <w:color w:val="auto"/>
                <w:kern w:val="0"/>
                <w:szCs w:val="21"/>
                <w:highlight w:val="none"/>
                <w:u w:val="single"/>
              </w:rPr>
              <w:t>不接受</w:t>
            </w:r>
            <w:r>
              <w:rPr>
                <w:rFonts w:hint="eastAsia" w:asciiTheme="minorEastAsia" w:hAnsiTheme="minorEastAsia" w:eastAsiaTheme="minorEastAsia" w:cstheme="minorEastAsia"/>
                <w:color w:val="auto"/>
                <w:kern w:val="0"/>
                <w:szCs w:val="21"/>
                <w:highlight w:val="none"/>
                <w:u w:val="none"/>
              </w:rPr>
              <w:t>联合体</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的关联性（1.5）</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在同一包内，单位负责人非同一人或者不存在直接控股、管理关系的不同</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 xml:space="preserve">。 </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未参与其他服务（1.6）</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未为本项目提供整体设计、规范编制或者项目管理、监理、检测等服务。</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未发现影响采购人决策行为（1.7）</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在磋商过程中未向采购人提供、给予任何有价值的物品，影响其正常决策行为。</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满足磋商范围的完整性要求（8.1）</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 xml:space="preserve">对所投分包磋商文件中所列的所有服务内容进行磋商及报价。 </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r>
      <w:tr>
        <w:tblPrEx>
          <w:tblCellMar>
            <w:top w:w="0" w:type="dxa"/>
            <w:left w:w="108" w:type="dxa"/>
            <w:bottom w:w="0" w:type="dxa"/>
            <w:right w:w="108" w:type="dxa"/>
          </w:tblCellMar>
        </w:tblPrEx>
        <w:trPr>
          <w:trHeight w:val="228"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未包含价格调整要求</w:t>
            </w:r>
          </w:p>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（11.4）</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所报的各分项磋商报价在合同履行过程中是固定不变的，不得以任何理由予以变更。</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磋商保证金（12.1）</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符合磋商文件要求</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磋商有效期满足要求</w:t>
            </w:r>
          </w:p>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（13.1）</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自提交响应文件截止之日起</w:t>
            </w:r>
            <w:r>
              <w:rPr>
                <w:rFonts w:hint="eastAsia" w:asciiTheme="minorEastAsia" w:hAnsiTheme="minorEastAsia" w:eastAsiaTheme="minorEastAsia" w:cstheme="minorEastAsia"/>
                <w:color w:val="auto"/>
                <w:szCs w:val="21"/>
                <w:highlight w:val="none"/>
                <w:u w:val="single"/>
              </w:rPr>
              <w:t>60 日</w:t>
            </w:r>
            <w:r>
              <w:rPr>
                <w:rFonts w:hint="eastAsia" w:asciiTheme="minorEastAsia" w:hAnsiTheme="minorEastAsia" w:eastAsiaTheme="minorEastAsia" w:cstheme="minorEastAsia"/>
                <w:color w:val="auto"/>
                <w:szCs w:val="21"/>
                <w:highlight w:val="none"/>
              </w:rPr>
              <w:t>历日内</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响应文件的签署和盖章符合要求（14.2、14.4）</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按照磋商文件规定要求签署、盖章。</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响应文件的装订方式</w:t>
            </w:r>
          </w:p>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（14.3）</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所有响应文件采用不可拆装的胶订方式装订</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接受价格的算术修正</w:t>
            </w:r>
          </w:p>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kern w:val="0"/>
                <w:szCs w:val="21"/>
                <w:highlight w:val="none"/>
              </w:rPr>
              <w:t>）</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响应文件报价出现前后不一致的，应按照磋商文件规定的顺序修正。</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符合强制采购节能产品要求（20.</w:t>
            </w:r>
            <w:r>
              <w:rPr>
                <w:rFonts w:hint="eastAsia" w:asciiTheme="minorEastAsia" w:hAnsiTheme="minorEastAsia" w:eastAsia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本项目</w:t>
            </w:r>
            <w:r>
              <w:rPr>
                <w:rFonts w:hint="eastAsia" w:asciiTheme="minorEastAsia" w:hAnsiTheme="minorEastAsia" w:eastAsiaTheme="minorEastAsia" w:cstheme="minorEastAsia"/>
                <w:color w:val="auto"/>
                <w:kern w:val="0"/>
                <w:szCs w:val="21"/>
                <w:highlight w:val="none"/>
                <w:u w:val="single"/>
              </w:rPr>
              <w:t>适用</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未发现串通投标（22.2）</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未与其他</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串通参加磋商，或者与采购人串通参加磋商。</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报价说明可以接受（22.2）</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的报价明显低于其他通过符合性审查</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的报价，有可能影响履约的，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能按照规定证明其报价合理性。</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43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无采购人不能接受的附加条件（22.2）</w:t>
            </w:r>
          </w:p>
        </w:tc>
        <w:tc>
          <w:tcPr>
            <w:tcW w:w="516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 xml:space="preserve">响应文件未含有采购人不能接受的附加条件。 </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500"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c>
          <w:tcPr>
            <w:tcW w:w="441"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2"/>
                <w:szCs w:val="22"/>
                <w:highlight w:val="none"/>
              </w:rPr>
            </w:pPr>
          </w:p>
        </w:tc>
      </w:tr>
      <w:tr>
        <w:tblPrEx>
          <w:tblCellMar>
            <w:top w:w="0" w:type="dxa"/>
            <w:left w:w="108" w:type="dxa"/>
            <w:bottom w:w="0" w:type="dxa"/>
            <w:right w:w="108" w:type="dxa"/>
          </w:tblCellMar>
        </w:tblPrEx>
        <w:trPr>
          <w:trHeight w:val="519" w:hRule="atLeast"/>
        </w:trPr>
        <w:tc>
          <w:tcPr>
            <w:tcW w:w="76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kern w:val="0"/>
                <w:sz w:val="22"/>
                <w:szCs w:val="22"/>
                <w:highlight w:val="none"/>
              </w:rPr>
              <w:t>结论</w:t>
            </w:r>
            <w:r>
              <w:rPr>
                <w:rFonts w:hint="eastAsia" w:asciiTheme="minorEastAsia" w:hAnsiTheme="minorEastAsia" w:eastAsiaTheme="minorEastAsia" w:cstheme="minorEastAsia"/>
                <w:b/>
                <w:color w:val="auto"/>
                <w:kern w:val="0"/>
                <w:sz w:val="22"/>
                <w:szCs w:val="22"/>
                <w:highlight w:val="none"/>
                <w:lang w:eastAsia="zh-CN"/>
              </w:rPr>
              <w:t>：</w:t>
            </w:r>
            <w:r>
              <w:rPr>
                <w:rFonts w:hint="eastAsia" w:asciiTheme="minorEastAsia" w:hAnsiTheme="minorEastAsia" w:eastAsiaTheme="minorEastAsia" w:cstheme="minorEastAsia"/>
                <w:b/>
                <w:color w:val="auto"/>
                <w:kern w:val="0"/>
                <w:sz w:val="22"/>
                <w:szCs w:val="22"/>
                <w:highlight w:val="none"/>
              </w:rPr>
              <w:t>（通过评审写“通过”，未通过评审写“不通过”）</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2"/>
                <w:szCs w:val="22"/>
                <w:highlight w:val="none"/>
              </w:rPr>
            </w:pPr>
          </w:p>
        </w:tc>
        <w:tc>
          <w:tcPr>
            <w:tcW w:w="50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2"/>
                <w:szCs w:val="22"/>
                <w:highlight w:val="none"/>
              </w:rPr>
            </w:pPr>
          </w:p>
        </w:tc>
        <w:tc>
          <w:tcPr>
            <w:tcW w:w="44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auto"/>
                <w:kern w:val="0"/>
                <w:sz w:val="22"/>
                <w:szCs w:val="22"/>
                <w:highlight w:val="none"/>
              </w:rPr>
            </w:pPr>
          </w:p>
        </w:tc>
      </w:tr>
    </w:tbl>
    <w:p>
      <w:pPr>
        <w:keepNext w:val="0"/>
        <w:keepLines w:val="0"/>
        <w:pageBreakBefore w:val="0"/>
        <w:widowControl w:val="0"/>
        <w:kinsoku/>
        <w:wordWrap/>
        <w:overflowPunct/>
        <w:topLinePunct w:val="0"/>
        <w:bidi w:val="0"/>
        <w:snapToGrid/>
        <w:spacing w:line="240" w:lineRule="exact"/>
        <w:ind w:left="6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p>
    <w:p>
      <w:pPr>
        <w:keepNext w:val="0"/>
        <w:keepLines w:val="0"/>
        <w:pageBreakBefore w:val="0"/>
        <w:widowControl w:val="0"/>
        <w:kinsoku/>
        <w:wordWrap/>
        <w:overflowPunct/>
        <w:topLinePunct w:val="0"/>
        <w:bidi w:val="0"/>
        <w:snapToGrid/>
        <w:spacing w:line="240" w:lineRule="exact"/>
        <w:ind w:left="6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（1）上述各项中用“√”表示合格，“×”表示不合格；</w:t>
      </w:r>
    </w:p>
    <w:p>
      <w:pPr>
        <w:keepNext w:val="0"/>
        <w:keepLines w:val="0"/>
        <w:pageBreakBefore w:val="0"/>
        <w:widowControl w:val="0"/>
        <w:kinsoku/>
        <w:wordWrap/>
        <w:overflowPunct/>
        <w:topLinePunct w:val="0"/>
        <w:bidi w:val="0"/>
        <w:snapToGrid/>
        <w:spacing w:line="240" w:lineRule="exact"/>
        <w:ind w:left="689" w:leftChars="28" w:hanging="630" w:hangingChars="3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（2）上述各项中如有一项为“×”，则结论为“×”，表示该</w:t>
      </w:r>
      <w:r>
        <w:rPr>
          <w:rFonts w:hint="eastAsia" w:asciiTheme="minorEastAsia" w:hAnsiTheme="minorEastAsia" w:eastAsiaTheme="minorEastAsia" w:cstheme="minorEastAsia"/>
          <w:color w:val="auto"/>
          <w:szCs w:val="21"/>
          <w:highlight w:val="none"/>
          <w:lang w:eastAsia="zh-CN"/>
        </w:rPr>
        <w:t>响应文件</w:t>
      </w:r>
      <w:r>
        <w:rPr>
          <w:rFonts w:hint="eastAsia" w:asciiTheme="minorEastAsia" w:hAnsiTheme="minorEastAsia" w:eastAsiaTheme="minorEastAsia" w:cstheme="minorEastAsia"/>
          <w:color w:val="auto"/>
          <w:szCs w:val="21"/>
          <w:highlight w:val="none"/>
        </w:rPr>
        <w:t>中存在重大偏差，不能通过初步评审；</w:t>
      </w:r>
      <w:r>
        <w:rPr>
          <w:rFonts w:hint="eastAsia" w:asciiTheme="minorEastAsia" w:hAnsiTheme="minorEastAsia" w:eastAsiaTheme="minorEastAsia" w:cstheme="minorEastAsia"/>
          <w:color w:val="auto"/>
          <w:szCs w:val="21"/>
          <w:highlight w:val="none"/>
          <w:lang w:eastAsia="zh-CN"/>
        </w:rPr>
        <w:t>磋商小组</w:t>
      </w:r>
      <w:r>
        <w:rPr>
          <w:rFonts w:hint="eastAsia" w:asciiTheme="minorEastAsia" w:hAnsiTheme="minorEastAsia" w:eastAsiaTheme="minorEastAsia" w:cstheme="minorEastAsia"/>
          <w:color w:val="auto"/>
          <w:szCs w:val="21"/>
          <w:highlight w:val="none"/>
        </w:rPr>
        <w:t>对某一分项评审认为不合格时，必须要写明原因。</w:t>
      </w:r>
    </w:p>
    <w:p>
      <w:pPr>
        <w:pStyle w:val="10"/>
        <w:keepNext w:val="0"/>
        <w:keepLines w:val="0"/>
        <w:pageBreakBefore w:val="0"/>
        <w:widowControl w:val="0"/>
        <w:kinsoku/>
        <w:wordWrap/>
        <w:overflowPunct/>
        <w:topLinePunct w:val="0"/>
        <w:bidi w:val="0"/>
        <w:snapToGrid/>
        <w:spacing w:line="240" w:lineRule="exact"/>
        <w:ind w:firstLine="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最终合格与否，以所有</w:t>
      </w:r>
      <w:r>
        <w:rPr>
          <w:rFonts w:hint="eastAsia" w:asciiTheme="minorEastAsia" w:hAnsiTheme="minorEastAsia" w:eastAsiaTheme="minorEastAsia" w:cstheme="minorEastAsia"/>
          <w:color w:val="auto"/>
          <w:sz w:val="21"/>
          <w:szCs w:val="21"/>
          <w:highlight w:val="none"/>
          <w:lang w:eastAsia="zh-CN"/>
        </w:rPr>
        <w:t>磋商小组</w:t>
      </w:r>
      <w:r>
        <w:rPr>
          <w:rFonts w:hint="eastAsia" w:asciiTheme="minorEastAsia" w:hAnsiTheme="minorEastAsia" w:eastAsiaTheme="minorEastAsia" w:cstheme="minorEastAsia"/>
          <w:color w:val="auto"/>
          <w:sz w:val="21"/>
          <w:szCs w:val="21"/>
          <w:highlight w:val="none"/>
        </w:rPr>
        <w:t>的评审意见中少数服从多数为原则定论。</w:t>
      </w:r>
    </w:p>
    <w:p>
      <w:pPr>
        <w:pStyle w:val="3"/>
        <w:keepNext w:val="0"/>
        <w:keepLines w:val="0"/>
        <w:pageBreakBefore w:val="0"/>
        <w:widowControl w:val="0"/>
        <w:kinsoku/>
        <w:wordWrap/>
        <w:overflowPunct/>
        <w:topLinePunct w:val="0"/>
        <w:bidi w:val="0"/>
        <w:snapToGrid/>
        <w:spacing w:line="240" w:lineRule="exact"/>
        <w:textAlignment w:val="auto"/>
        <w:rPr>
          <w:rFonts w:hint="eastAsia"/>
          <w:color w:val="auto"/>
          <w:highlight w:val="none"/>
        </w:rPr>
      </w:pPr>
      <w:r>
        <w:rPr>
          <w:rFonts w:hint="eastAsia"/>
          <w:color w:val="auto"/>
          <w:highlight w:val="none"/>
        </w:rPr>
        <w:t>★备注：如果投标文件中有一项未通过上述审查标准，评标委员会将认定整个投标文件未响应招标文件而予以废标处理。</w:t>
      </w:r>
    </w:p>
    <w:p>
      <w:pPr>
        <w:pStyle w:val="3"/>
        <w:tabs>
          <w:tab w:val="clear" w:pos="567"/>
        </w:tabs>
        <w:spacing w:before="0" w:line="360" w:lineRule="auto"/>
        <w:ind w:left="-181" w:leftChars="-86" w:firstLine="577" w:firstLineChars="275"/>
        <w:rPr>
          <w:rFonts w:hint="eastAsia" w:asciiTheme="minorEastAsia" w:hAnsiTheme="minorEastAsia" w:eastAsiaTheme="minorEastAsia" w:cstheme="minorEastAsia"/>
          <w:color w:val="auto"/>
          <w:sz w:val="21"/>
          <w:szCs w:val="21"/>
          <w:highlight w:val="none"/>
        </w:rPr>
      </w:pPr>
    </w:p>
    <w:p>
      <w:pPr>
        <w:spacing w:line="360" w:lineRule="auto"/>
        <w:jc w:val="center"/>
        <w:outlineLvl w:val="0"/>
        <w:rPr>
          <w:rFonts w:hint="eastAsia" w:asciiTheme="minorEastAsia" w:hAnsiTheme="minorEastAsia" w:eastAsiaTheme="minorEastAsia" w:cstheme="minorEastAsia"/>
          <w:color w:val="auto"/>
          <w:sz w:val="28"/>
          <w:szCs w:val="28"/>
          <w:highlight w:val="none"/>
        </w:rPr>
      </w:pPr>
      <w:bookmarkStart w:id="521" w:name="_Toc507399904"/>
      <w:r>
        <w:rPr>
          <w:rFonts w:hint="eastAsia" w:asciiTheme="minorEastAsia" w:hAnsiTheme="minorEastAsia" w:eastAsiaTheme="minorEastAsia" w:cstheme="minorEastAsia"/>
          <w:b/>
          <w:color w:val="auto"/>
          <w:sz w:val="28"/>
          <w:szCs w:val="28"/>
          <w:highlight w:val="none"/>
        </w:rPr>
        <w:t>综合评分法评分标准</w:t>
      </w:r>
    </w:p>
    <w:tbl>
      <w:tblPr>
        <w:tblStyle w:val="34"/>
        <w:tblpPr w:leftFromText="180" w:rightFromText="180" w:vertAnchor="text" w:horzAnchor="page" w:tblpXSpec="center" w:tblpY="309"/>
        <w:tblOverlap w:val="never"/>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128"/>
        <w:gridCol w:w="720"/>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56" w:type="dxa"/>
            <w:noWrap w:val="0"/>
            <w:vAlign w:val="center"/>
          </w:tcPr>
          <w:p>
            <w:pPr>
              <w:pStyle w:val="33"/>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评分项目</w:t>
            </w:r>
          </w:p>
        </w:tc>
        <w:tc>
          <w:tcPr>
            <w:tcW w:w="1128" w:type="dxa"/>
            <w:noWrap w:val="0"/>
            <w:vAlign w:val="center"/>
          </w:tcPr>
          <w:p>
            <w:pPr>
              <w:jc w:val="center"/>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评审内容</w:t>
            </w:r>
          </w:p>
        </w:tc>
        <w:tc>
          <w:tcPr>
            <w:tcW w:w="720" w:type="dxa"/>
            <w:noWrap w:val="0"/>
            <w:vAlign w:val="center"/>
          </w:tcPr>
          <w:p>
            <w:pPr>
              <w:jc w:val="center"/>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分值</w:t>
            </w:r>
          </w:p>
        </w:tc>
        <w:tc>
          <w:tcPr>
            <w:tcW w:w="7233" w:type="dxa"/>
            <w:noWrap w:val="0"/>
            <w:vAlign w:val="center"/>
          </w:tcPr>
          <w:p>
            <w:pPr>
              <w:jc w:val="center"/>
              <w:rPr>
                <w:rFonts w:hint="eastAsia" w:ascii="宋体" w:hAnsi="宋体" w:eastAsia="宋体" w:cs="宋体"/>
                <w:b/>
                <w:color w:val="auto"/>
                <w:kern w:val="1"/>
                <w:sz w:val="24"/>
                <w:szCs w:val="24"/>
                <w:highlight w:val="none"/>
              </w:rPr>
            </w:pPr>
            <w:r>
              <w:rPr>
                <w:rFonts w:hint="eastAsia" w:ascii="宋体" w:hAnsi="宋体" w:eastAsia="宋体" w:cs="宋体"/>
                <w:b/>
                <w:color w:val="auto"/>
                <w:kern w:val="1"/>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156"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价格部分</w:t>
            </w:r>
          </w:p>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40</w:t>
            </w:r>
            <w:r>
              <w:rPr>
                <w:rFonts w:hint="eastAsia" w:ascii="宋体" w:hAnsi="宋体" w:eastAsia="宋体" w:cs="宋体"/>
                <w:color w:val="auto"/>
                <w:kern w:val="0"/>
                <w:sz w:val="24"/>
                <w:szCs w:val="24"/>
                <w:highlight w:val="none"/>
                <w:lang w:val="en-US" w:eastAsia="zh-CN" w:bidi="ar-SA"/>
              </w:rPr>
              <w:t>分）</w:t>
            </w:r>
          </w:p>
          <w:p>
            <w:pPr>
              <w:jc w:val="center"/>
              <w:rPr>
                <w:rFonts w:hint="eastAsia" w:ascii="宋体" w:hAnsi="宋体" w:eastAsia="宋体" w:cs="宋体"/>
                <w:color w:val="auto"/>
                <w:kern w:val="0"/>
                <w:sz w:val="24"/>
                <w:szCs w:val="24"/>
                <w:highlight w:val="none"/>
                <w:lang w:val="en-US" w:eastAsia="zh-CN" w:bidi="ar-SA"/>
              </w:rPr>
            </w:pPr>
          </w:p>
        </w:tc>
        <w:tc>
          <w:tcPr>
            <w:tcW w:w="1128"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w:t>
            </w:r>
          </w:p>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价格</w:t>
            </w:r>
          </w:p>
        </w:tc>
        <w:tc>
          <w:tcPr>
            <w:tcW w:w="720"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40</w:t>
            </w:r>
            <w:r>
              <w:rPr>
                <w:rFonts w:hint="eastAsia" w:ascii="宋体" w:hAnsi="宋体" w:eastAsia="宋体" w:cs="宋体"/>
                <w:color w:val="auto"/>
                <w:kern w:val="0"/>
                <w:sz w:val="24"/>
                <w:szCs w:val="24"/>
                <w:highlight w:val="none"/>
                <w:lang w:val="en-US" w:eastAsia="zh-CN" w:bidi="ar-SA"/>
              </w:rPr>
              <w:t>分</w:t>
            </w:r>
          </w:p>
        </w:tc>
        <w:tc>
          <w:tcPr>
            <w:tcW w:w="7233" w:type="dxa"/>
            <w:noWrap w:val="0"/>
            <w:vAlign w:val="center"/>
          </w:tcPr>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各供应商的价格得分的计算公式：采用低价优先法计算，即满足</w:t>
            </w:r>
            <w:r>
              <w:rPr>
                <w:rFonts w:hint="eastAsia" w:ascii="宋体" w:hAnsi="宋体" w:cs="宋体"/>
                <w:color w:val="auto"/>
                <w:kern w:val="0"/>
                <w:sz w:val="24"/>
                <w:szCs w:val="24"/>
                <w:highlight w:val="none"/>
                <w:lang w:val="en-US" w:eastAsia="zh-CN" w:bidi="ar-SA"/>
              </w:rPr>
              <w:t>磋商</w:t>
            </w:r>
            <w:r>
              <w:rPr>
                <w:rFonts w:hint="eastAsia" w:ascii="宋体" w:hAnsi="宋体" w:eastAsia="宋体" w:cs="宋体"/>
                <w:color w:val="auto"/>
                <w:kern w:val="0"/>
                <w:sz w:val="24"/>
                <w:szCs w:val="24"/>
                <w:highlight w:val="none"/>
                <w:lang w:val="en-US" w:eastAsia="zh-CN" w:bidi="ar-SA"/>
              </w:rPr>
              <w:t>文件要求且</w:t>
            </w:r>
            <w:r>
              <w:rPr>
                <w:rFonts w:hint="eastAsia" w:ascii="宋体" w:hAnsi="宋体" w:cs="宋体"/>
                <w:color w:val="auto"/>
                <w:kern w:val="0"/>
                <w:sz w:val="24"/>
                <w:szCs w:val="24"/>
                <w:highlight w:val="none"/>
                <w:lang w:val="en-US" w:eastAsia="zh-CN" w:bidi="ar-SA"/>
              </w:rPr>
              <w:t>最后报价</w:t>
            </w:r>
            <w:r>
              <w:rPr>
                <w:rFonts w:hint="eastAsia" w:ascii="宋体" w:hAnsi="宋体" w:eastAsia="宋体" w:cs="宋体"/>
                <w:color w:val="auto"/>
                <w:kern w:val="0"/>
                <w:sz w:val="24"/>
                <w:szCs w:val="24"/>
                <w:highlight w:val="none"/>
                <w:lang w:val="en-US" w:eastAsia="zh-CN" w:bidi="ar-SA"/>
              </w:rPr>
              <w:t>最低的</w:t>
            </w:r>
            <w:r>
              <w:rPr>
                <w:rFonts w:hint="eastAsia" w:ascii="宋体" w:hAnsi="宋体" w:cs="宋体"/>
                <w:color w:val="auto"/>
                <w:kern w:val="0"/>
                <w:sz w:val="24"/>
                <w:szCs w:val="24"/>
                <w:highlight w:val="none"/>
                <w:lang w:val="en-US" w:eastAsia="zh-CN" w:bidi="ar-SA"/>
              </w:rPr>
              <w:t>供应商的价格</w:t>
            </w:r>
            <w:r>
              <w:rPr>
                <w:rFonts w:hint="eastAsia" w:ascii="宋体" w:hAnsi="宋体" w:eastAsia="宋体" w:cs="宋体"/>
                <w:color w:val="auto"/>
                <w:kern w:val="0"/>
                <w:sz w:val="24"/>
                <w:szCs w:val="24"/>
                <w:highlight w:val="none"/>
                <w:lang w:val="en-US" w:eastAsia="zh-CN" w:bidi="ar-SA"/>
              </w:rPr>
              <w:t>为</w:t>
            </w:r>
            <w:r>
              <w:rPr>
                <w:rFonts w:hint="eastAsia" w:ascii="宋体" w:hAnsi="宋体" w:cs="宋体"/>
                <w:color w:val="auto"/>
                <w:kern w:val="0"/>
                <w:sz w:val="24"/>
                <w:szCs w:val="24"/>
                <w:highlight w:val="none"/>
                <w:lang w:val="en-US" w:eastAsia="zh-CN" w:bidi="ar-SA"/>
              </w:rPr>
              <w:t>磋商</w:t>
            </w:r>
            <w:r>
              <w:rPr>
                <w:rFonts w:hint="eastAsia" w:ascii="宋体" w:hAnsi="宋体" w:eastAsia="宋体" w:cs="宋体"/>
                <w:color w:val="auto"/>
                <w:kern w:val="0"/>
                <w:sz w:val="24"/>
                <w:szCs w:val="24"/>
                <w:highlight w:val="none"/>
                <w:lang w:val="en-US" w:eastAsia="zh-CN" w:bidi="ar-SA"/>
              </w:rPr>
              <w:t>基准价，其价格分为满分。其他</w:t>
            </w:r>
            <w:r>
              <w:rPr>
                <w:rFonts w:hint="eastAsia" w:ascii="宋体" w:hAnsi="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的价格分统一按照下列公式计算：</w:t>
            </w:r>
          </w:p>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磋商报价得分=(</w:t>
            </w:r>
            <w:r>
              <w:rPr>
                <w:rFonts w:hint="eastAsia" w:ascii="宋体" w:hAnsi="宋体" w:cs="宋体"/>
                <w:color w:val="auto"/>
                <w:kern w:val="0"/>
                <w:sz w:val="24"/>
                <w:szCs w:val="24"/>
                <w:highlight w:val="none"/>
                <w:lang w:val="en-US" w:eastAsia="zh-CN" w:bidi="ar-SA"/>
              </w:rPr>
              <w:t>磋商</w:t>
            </w:r>
            <w:r>
              <w:rPr>
                <w:rFonts w:hint="eastAsia" w:ascii="宋体" w:hAnsi="宋体" w:eastAsia="宋体" w:cs="宋体"/>
                <w:color w:val="auto"/>
                <w:kern w:val="0"/>
                <w:sz w:val="24"/>
                <w:szCs w:val="24"/>
                <w:highlight w:val="none"/>
                <w:lang w:val="en-US" w:eastAsia="zh-CN" w:bidi="ar-SA"/>
              </w:rPr>
              <w:t>基准价／</w:t>
            </w:r>
            <w:r>
              <w:rPr>
                <w:rFonts w:hint="eastAsia" w:ascii="宋体" w:hAnsi="宋体" w:cs="宋体"/>
                <w:color w:val="auto"/>
                <w:kern w:val="0"/>
                <w:sz w:val="24"/>
                <w:szCs w:val="24"/>
                <w:highlight w:val="none"/>
                <w:lang w:val="en-US" w:eastAsia="zh-CN" w:bidi="ar-SA"/>
              </w:rPr>
              <w:t>最后磋商报价</w:t>
            </w:r>
            <w:r>
              <w:rPr>
                <w:rFonts w:hint="eastAsia" w:ascii="宋体" w:hAnsi="宋体" w:eastAsia="宋体" w:cs="宋体"/>
                <w:color w:val="auto"/>
                <w:kern w:val="0"/>
                <w:sz w:val="24"/>
                <w:szCs w:val="24"/>
                <w:highlight w:val="none"/>
                <w:lang w:val="en-US" w:eastAsia="zh-CN" w:bidi="ar-SA"/>
              </w:rPr>
              <w:t>)×价格权值×100。计算分数时四舍五入取小数点后两位,分数最高不超过</w:t>
            </w:r>
            <w:r>
              <w:rPr>
                <w:rFonts w:hint="eastAsia" w:ascii="宋体" w:hAnsi="宋体" w:cs="宋体"/>
                <w:color w:val="auto"/>
                <w:kern w:val="0"/>
                <w:sz w:val="24"/>
                <w:szCs w:val="24"/>
                <w:highlight w:val="none"/>
                <w:lang w:val="en-US" w:eastAsia="zh-CN" w:bidi="ar-SA"/>
              </w:rPr>
              <w:t>40</w:t>
            </w:r>
            <w:r>
              <w:rPr>
                <w:rFonts w:hint="eastAsia" w:ascii="宋体" w:hAnsi="宋体" w:eastAsia="宋体" w:cs="宋体"/>
                <w:color w:val="auto"/>
                <w:kern w:val="0"/>
                <w:sz w:val="24"/>
                <w:szCs w:val="24"/>
                <w:highlight w:val="none"/>
                <w:lang w:val="en-US" w:eastAsia="zh-CN" w:bidi="ar-SA"/>
              </w:rPr>
              <w:t>分。评标过程中，不得去掉报价中的最低和最高报价。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156" w:type="dxa"/>
            <w:vMerge w:val="restart"/>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技术部分</w:t>
            </w:r>
          </w:p>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50</w:t>
            </w:r>
            <w:r>
              <w:rPr>
                <w:rFonts w:hint="eastAsia" w:ascii="宋体" w:hAnsi="宋体" w:eastAsia="宋体" w:cs="宋体"/>
                <w:color w:val="auto"/>
                <w:kern w:val="0"/>
                <w:sz w:val="24"/>
                <w:szCs w:val="24"/>
                <w:highlight w:val="none"/>
                <w:lang w:val="en-US" w:eastAsia="zh-CN" w:bidi="ar-SA"/>
              </w:rPr>
              <w:t>分）</w:t>
            </w:r>
          </w:p>
          <w:p>
            <w:pPr>
              <w:rPr>
                <w:rFonts w:hint="eastAsia" w:ascii="宋体" w:hAnsi="宋体" w:eastAsia="宋体" w:cs="宋体"/>
                <w:color w:val="auto"/>
                <w:kern w:val="0"/>
                <w:sz w:val="24"/>
                <w:szCs w:val="24"/>
                <w:highlight w:val="none"/>
                <w:lang w:val="en-US" w:eastAsia="zh-CN" w:bidi="ar-SA"/>
              </w:rPr>
            </w:pPr>
          </w:p>
        </w:tc>
        <w:tc>
          <w:tcPr>
            <w:tcW w:w="1128"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技术</w:t>
            </w:r>
          </w:p>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参数</w:t>
            </w:r>
          </w:p>
        </w:tc>
        <w:tc>
          <w:tcPr>
            <w:tcW w:w="720"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31</w:t>
            </w:r>
            <w:r>
              <w:rPr>
                <w:rFonts w:hint="eastAsia" w:ascii="宋体" w:hAnsi="宋体" w:eastAsia="宋体" w:cs="宋体"/>
                <w:color w:val="auto"/>
                <w:kern w:val="0"/>
                <w:sz w:val="24"/>
                <w:szCs w:val="24"/>
                <w:highlight w:val="none"/>
                <w:lang w:val="en-US" w:eastAsia="zh-CN" w:bidi="ar-SA"/>
              </w:rPr>
              <w:t>分</w:t>
            </w:r>
          </w:p>
        </w:tc>
        <w:tc>
          <w:tcPr>
            <w:tcW w:w="7233" w:type="dxa"/>
            <w:noWrap w:val="0"/>
            <w:vAlign w:val="center"/>
          </w:tcPr>
          <w:p>
            <w:pPr>
              <w:numPr>
                <w:ilvl w:val="0"/>
                <w:numId w:val="0"/>
              </w:numP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的技术参数完全满足</w:t>
            </w:r>
            <w:r>
              <w:rPr>
                <w:rFonts w:hint="eastAsia" w:ascii="宋体" w:hAnsi="宋体" w:cs="宋体"/>
                <w:color w:val="auto"/>
                <w:kern w:val="0"/>
                <w:sz w:val="24"/>
                <w:szCs w:val="24"/>
                <w:highlight w:val="none"/>
                <w:lang w:val="en-US" w:eastAsia="zh-CN" w:bidi="ar-SA"/>
              </w:rPr>
              <w:t>磋商</w:t>
            </w:r>
            <w:r>
              <w:rPr>
                <w:rFonts w:hint="eastAsia" w:ascii="宋体" w:hAnsi="宋体" w:eastAsia="宋体" w:cs="宋体"/>
                <w:color w:val="auto"/>
                <w:kern w:val="0"/>
                <w:sz w:val="24"/>
                <w:szCs w:val="24"/>
                <w:highlight w:val="none"/>
                <w:lang w:val="en-US" w:eastAsia="zh-CN" w:bidi="ar-SA"/>
              </w:rPr>
              <w:t>文件的得</w:t>
            </w:r>
            <w:r>
              <w:rPr>
                <w:rFonts w:hint="eastAsia" w:ascii="宋体" w:hAnsi="宋体" w:cs="宋体"/>
                <w:color w:val="auto"/>
                <w:kern w:val="0"/>
                <w:sz w:val="24"/>
                <w:szCs w:val="24"/>
                <w:highlight w:val="none"/>
                <w:lang w:val="en-US" w:eastAsia="zh-CN" w:bidi="ar-SA"/>
              </w:rPr>
              <w:t>26</w:t>
            </w:r>
            <w:r>
              <w:rPr>
                <w:rFonts w:hint="eastAsia" w:ascii="宋体" w:hAnsi="宋体" w:eastAsia="宋体" w:cs="宋体"/>
                <w:color w:val="auto"/>
                <w:kern w:val="0"/>
                <w:sz w:val="24"/>
                <w:szCs w:val="24"/>
                <w:highlight w:val="none"/>
                <w:lang w:val="en-US" w:eastAsia="zh-CN" w:bidi="ar-SA"/>
              </w:rPr>
              <w:t>分；每有一项</w:t>
            </w:r>
            <w:r>
              <w:rPr>
                <w:rFonts w:hint="eastAsia" w:ascii="宋体" w:hAnsi="宋体" w:cs="宋体"/>
                <w:color w:val="auto"/>
                <w:kern w:val="0"/>
                <w:sz w:val="24"/>
                <w:szCs w:val="24"/>
                <w:highlight w:val="none"/>
                <w:lang w:val="en-US" w:eastAsia="zh-CN" w:bidi="ar-SA"/>
              </w:rPr>
              <w:t>技术</w:t>
            </w:r>
            <w:r>
              <w:rPr>
                <w:rFonts w:hint="eastAsia" w:ascii="宋体" w:hAnsi="宋体" w:eastAsia="宋体" w:cs="宋体"/>
                <w:color w:val="auto"/>
                <w:kern w:val="0"/>
                <w:sz w:val="24"/>
                <w:szCs w:val="24"/>
                <w:highlight w:val="none"/>
                <w:lang w:val="en-US" w:eastAsia="zh-CN" w:bidi="ar-SA"/>
              </w:rPr>
              <w:t>参数高于</w:t>
            </w:r>
            <w:r>
              <w:rPr>
                <w:rFonts w:hint="eastAsia" w:ascii="宋体" w:hAnsi="宋体" w:cs="宋体"/>
                <w:color w:val="auto"/>
                <w:kern w:val="0"/>
                <w:sz w:val="24"/>
                <w:szCs w:val="24"/>
                <w:highlight w:val="none"/>
                <w:lang w:val="en-US" w:eastAsia="zh-CN" w:bidi="ar-SA"/>
              </w:rPr>
              <w:t>磋商</w:t>
            </w:r>
            <w:r>
              <w:rPr>
                <w:rFonts w:hint="eastAsia" w:ascii="宋体" w:hAnsi="宋体" w:eastAsia="宋体" w:cs="宋体"/>
                <w:color w:val="auto"/>
                <w:kern w:val="0"/>
                <w:sz w:val="24"/>
                <w:szCs w:val="24"/>
                <w:highlight w:val="none"/>
                <w:lang w:val="en-US" w:eastAsia="zh-CN" w:bidi="ar-SA"/>
              </w:rPr>
              <w:t>文件要求的加1分，最多加</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（需提供有效合格的证明资料）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156" w:type="dxa"/>
            <w:vMerge w:val="continue"/>
            <w:noWrap w:val="0"/>
            <w:vAlign w:val="center"/>
          </w:tcPr>
          <w:p>
            <w:pPr>
              <w:rPr>
                <w:rFonts w:hint="eastAsia" w:ascii="宋体" w:hAnsi="宋体" w:eastAsia="宋体" w:cs="宋体"/>
                <w:color w:val="auto"/>
                <w:kern w:val="0"/>
                <w:sz w:val="24"/>
                <w:szCs w:val="24"/>
                <w:highlight w:val="none"/>
                <w:lang w:val="en-US" w:eastAsia="zh-CN" w:bidi="ar-SA"/>
              </w:rPr>
            </w:pPr>
          </w:p>
        </w:tc>
        <w:tc>
          <w:tcPr>
            <w:tcW w:w="1128"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实施</w:t>
            </w:r>
          </w:p>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p>
        </w:tc>
        <w:tc>
          <w:tcPr>
            <w:tcW w:w="720"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分</w:t>
            </w:r>
          </w:p>
        </w:tc>
        <w:tc>
          <w:tcPr>
            <w:tcW w:w="7233" w:type="dxa"/>
            <w:noWrap w:val="0"/>
            <w:vAlign w:val="center"/>
          </w:tcPr>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实施方案主要包括拟投入的专业人员、供货方案、实施过程中的质量及进度控制方案、安全保证措施、安装调试和试运行、人员培训方案</w:t>
            </w:r>
            <w:r>
              <w:rPr>
                <w:rFonts w:hint="default" w:ascii="宋体" w:hAnsi="宋体" w:eastAsia="宋体" w:cs="宋体"/>
                <w:color w:val="auto"/>
                <w:kern w:val="0"/>
                <w:sz w:val="24"/>
                <w:szCs w:val="24"/>
                <w:highlight w:val="none"/>
                <w:lang w:val="en-US" w:eastAsia="zh-CN" w:bidi="ar-SA"/>
              </w:rPr>
              <w:t>等</w:t>
            </w:r>
            <w:r>
              <w:rPr>
                <w:rFonts w:hint="eastAsia" w:ascii="宋体" w:hAnsi="宋体" w:eastAsia="宋体" w:cs="宋体"/>
                <w:color w:val="auto"/>
                <w:kern w:val="0"/>
                <w:sz w:val="24"/>
                <w:szCs w:val="24"/>
                <w:highlight w:val="none"/>
                <w:lang w:val="en-US" w:eastAsia="zh-CN" w:bidi="ar-SA"/>
              </w:rPr>
              <w:t>进行综合评审。</w:t>
            </w:r>
          </w:p>
          <w:p>
            <w:pPr>
              <w:numPr>
                <w:ilvl w:val="0"/>
                <w:numId w:val="13"/>
              </w:num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方案可行性高的得</w:t>
            </w:r>
            <w:r>
              <w:rPr>
                <w:rFonts w:hint="eastAsia" w:ascii="宋体" w:hAnsi="宋体" w:cs="宋体"/>
                <w:color w:val="auto"/>
                <w:kern w:val="0"/>
                <w:sz w:val="24"/>
                <w:szCs w:val="24"/>
                <w:highlight w:val="none"/>
                <w:lang w:val="en-US" w:eastAsia="zh-CN" w:bidi="ar-SA"/>
              </w:rPr>
              <w:t>6-5</w:t>
            </w:r>
            <w:r>
              <w:rPr>
                <w:rFonts w:hint="eastAsia" w:ascii="宋体" w:hAnsi="宋体" w:eastAsia="宋体" w:cs="宋体"/>
                <w:color w:val="auto"/>
                <w:kern w:val="0"/>
                <w:sz w:val="24"/>
                <w:szCs w:val="24"/>
                <w:highlight w:val="none"/>
                <w:lang w:val="en-US" w:eastAsia="zh-CN" w:bidi="ar-SA"/>
              </w:rPr>
              <w:t>分；</w:t>
            </w:r>
          </w:p>
          <w:p>
            <w:pPr>
              <w:numPr>
                <w:ilvl w:val="0"/>
                <w:numId w:val="13"/>
              </w:num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可行性一般的得</w:t>
            </w:r>
            <w:r>
              <w:rPr>
                <w:rFonts w:hint="eastAsia" w:ascii="宋体" w:hAnsi="宋体" w:cs="宋体"/>
                <w:color w:val="auto"/>
                <w:kern w:val="0"/>
                <w:sz w:val="24"/>
                <w:szCs w:val="24"/>
                <w:highlight w:val="none"/>
                <w:lang w:val="en-US" w:eastAsia="zh-CN" w:bidi="ar-SA"/>
              </w:rPr>
              <w:t>4-3</w:t>
            </w:r>
            <w:r>
              <w:rPr>
                <w:rFonts w:hint="eastAsia" w:ascii="宋体" w:hAnsi="宋体" w:eastAsia="宋体" w:cs="宋体"/>
                <w:color w:val="auto"/>
                <w:kern w:val="0"/>
                <w:sz w:val="24"/>
                <w:szCs w:val="24"/>
                <w:highlight w:val="none"/>
                <w:lang w:val="en-US" w:eastAsia="zh-CN" w:bidi="ar-SA"/>
              </w:rPr>
              <w:t>分；</w:t>
            </w:r>
          </w:p>
          <w:p>
            <w:pPr>
              <w:numPr>
                <w:ilvl w:val="0"/>
                <w:numId w:val="13"/>
              </w:num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没有针对本项目细化制定，整个方案针对性、实用性和可行性差的得</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-1分。</w:t>
            </w:r>
          </w:p>
          <w:p>
            <w:pPr>
              <w:numPr>
                <w:ilvl w:val="0"/>
                <w:numId w:val="0"/>
              </w:numPr>
              <w:ind w:leftChars="0"/>
              <w:rPr>
                <w:rFonts w:hint="default"/>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156" w:type="dxa"/>
            <w:vMerge w:val="continue"/>
            <w:noWrap w:val="0"/>
            <w:vAlign w:val="center"/>
          </w:tcPr>
          <w:p>
            <w:pPr>
              <w:rPr>
                <w:rFonts w:hint="eastAsia" w:ascii="宋体" w:hAnsi="宋体" w:eastAsia="宋体" w:cs="宋体"/>
                <w:color w:val="auto"/>
                <w:kern w:val="0"/>
                <w:sz w:val="24"/>
                <w:szCs w:val="24"/>
                <w:highlight w:val="none"/>
                <w:lang w:val="en-US" w:eastAsia="zh-CN" w:bidi="ar-SA"/>
              </w:rPr>
            </w:pPr>
          </w:p>
        </w:tc>
        <w:tc>
          <w:tcPr>
            <w:tcW w:w="1128"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售后服务</w:t>
            </w:r>
          </w:p>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体系</w:t>
            </w:r>
          </w:p>
        </w:tc>
        <w:tc>
          <w:tcPr>
            <w:tcW w:w="720"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7分</w:t>
            </w:r>
          </w:p>
        </w:tc>
        <w:tc>
          <w:tcPr>
            <w:tcW w:w="7233" w:type="dxa"/>
            <w:noWrap w:val="0"/>
            <w:vAlign w:val="center"/>
          </w:tcPr>
          <w:p>
            <w:pPr>
              <w:numPr>
                <w:ilvl w:val="0"/>
                <w:numId w:val="14"/>
              </w:num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针对本项目的售后服务、应急处置、维修维护、故障响应与处置</w:t>
            </w:r>
            <w:r>
              <w:rPr>
                <w:rFonts w:hint="eastAsia" w:ascii="宋体" w:hAnsi="宋体" w:cs="宋体"/>
                <w:color w:val="auto"/>
                <w:kern w:val="0"/>
                <w:sz w:val="24"/>
                <w:szCs w:val="24"/>
                <w:highlight w:val="none"/>
                <w:lang w:val="en-US" w:eastAsia="zh-CN" w:bidi="ar-SA"/>
              </w:rPr>
              <w:t>、培训</w:t>
            </w:r>
            <w:r>
              <w:rPr>
                <w:rFonts w:hint="eastAsia" w:ascii="宋体" w:hAnsi="宋体" w:eastAsia="宋体" w:cs="宋体"/>
                <w:color w:val="auto"/>
                <w:kern w:val="0"/>
                <w:sz w:val="24"/>
                <w:szCs w:val="24"/>
                <w:highlight w:val="none"/>
                <w:lang w:val="en-US" w:eastAsia="zh-CN" w:bidi="ar-SA"/>
              </w:rPr>
              <w:t>方案；方案内容切合实际、可操作性强、全面充分得4-3分，方案内容切合实际一般、可操作性较强、内容较全面得2-1分，没有售后服务方案不得分；</w:t>
            </w:r>
          </w:p>
          <w:p>
            <w:pPr>
              <w:numPr>
                <w:ilvl w:val="0"/>
                <w:numId w:val="0"/>
              </w:num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2、有技术支持机构或疆内有办公场所的，提供房屋租赁合同或房屋购买合同复印件的得2分，提供房屋照片的得1分，以上两项都提供的得3分，没有提供的不得分。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6" w:type="dxa"/>
            <w:vMerge w:val="continue"/>
            <w:noWrap w:val="0"/>
            <w:vAlign w:val="center"/>
          </w:tcPr>
          <w:p>
            <w:pPr>
              <w:rPr>
                <w:rFonts w:hint="eastAsia" w:ascii="宋体" w:hAnsi="宋体" w:eastAsia="宋体" w:cs="宋体"/>
                <w:color w:val="auto"/>
                <w:kern w:val="0"/>
                <w:sz w:val="24"/>
                <w:szCs w:val="24"/>
                <w:highlight w:val="none"/>
                <w:lang w:val="en-US" w:eastAsia="zh-CN" w:bidi="ar-SA"/>
              </w:rPr>
            </w:pPr>
          </w:p>
        </w:tc>
        <w:tc>
          <w:tcPr>
            <w:tcW w:w="1128" w:type="dxa"/>
            <w:noWrap w:val="0"/>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供货期</w:t>
            </w:r>
          </w:p>
        </w:tc>
        <w:tc>
          <w:tcPr>
            <w:tcW w:w="720" w:type="dxa"/>
            <w:noWrap w:val="0"/>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w:t>
            </w:r>
          </w:p>
        </w:tc>
        <w:tc>
          <w:tcPr>
            <w:tcW w:w="7233" w:type="dxa"/>
            <w:noWrap w:val="0"/>
            <w:vAlign w:val="center"/>
          </w:tcPr>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供货期优于</w:t>
            </w:r>
            <w:r>
              <w:rPr>
                <w:rFonts w:hint="eastAsia" w:ascii="宋体" w:hAnsi="宋体" w:cs="宋体"/>
                <w:color w:val="auto"/>
                <w:kern w:val="0"/>
                <w:sz w:val="24"/>
                <w:szCs w:val="24"/>
                <w:highlight w:val="none"/>
                <w:lang w:val="en-US" w:eastAsia="zh-CN" w:bidi="ar-SA"/>
              </w:rPr>
              <w:t>磋商</w:t>
            </w:r>
            <w:r>
              <w:rPr>
                <w:rFonts w:hint="eastAsia" w:ascii="宋体" w:hAnsi="宋体" w:eastAsia="宋体" w:cs="宋体"/>
                <w:color w:val="auto"/>
                <w:kern w:val="0"/>
                <w:sz w:val="24"/>
                <w:szCs w:val="24"/>
                <w:highlight w:val="none"/>
                <w:lang w:val="en-US" w:eastAsia="zh-CN" w:bidi="ar-SA"/>
              </w:rPr>
              <w:t>文件要求，供货期每提前1天加1分，最多加</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分；（需提供承诺书）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56" w:type="dxa"/>
            <w:vMerge w:val="continue"/>
            <w:noWrap w:val="0"/>
            <w:vAlign w:val="center"/>
          </w:tcPr>
          <w:p>
            <w:pPr>
              <w:rPr>
                <w:rFonts w:hint="eastAsia" w:ascii="宋体" w:hAnsi="宋体" w:eastAsia="宋体" w:cs="宋体"/>
                <w:color w:val="auto"/>
                <w:kern w:val="0"/>
                <w:sz w:val="24"/>
                <w:szCs w:val="24"/>
                <w:highlight w:val="none"/>
                <w:lang w:val="en-US" w:eastAsia="zh-CN" w:bidi="ar-SA"/>
              </w:rPr>
            </w:pPr>
          </w:p>
        </w:tc>
        <w:tc>
          <w:tcPr>
            <w:tcW w:w="1128"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普通话测试机房建设方案</w:t>
            </w:r>
          </w:p>
        </w:tc>
        <w:tc>
          <w:tcPr>
            <w:tcW w:w="720"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4分</w:t>
            </w:r>
          </w:p>
        </w:tc>
        <w:tc>
          <w:tcPr>
            <w:tcW w:w="7233" w:type="dxa"/>
            <w:noWrap w:val="0"/>
            <w:vAlign w:val="center"/>
          </w:tcPr>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方案条理清晰，内容具体完善</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根据方案详实程度酌情打0-4分；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56" w:type="dxa"/>
            <w:vMerge w:val="restart"/>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商务部分</w:t>
            </w:r>
          </w:p>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w:t>
            </w:r>
          </w:p>
        </w:tc>
        <w:tc>
          <w:tcPr>
            <w:tcW w:w="1128"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类似</w:t>
            </w:r>
          </w:p>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业绩</w:t>
            </w:r>
          </w:p>
        </w:tc>
        <w:tc>
          <w:tcPr>
            <w:tcW w:w="720"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tc>
        <w:tc>
          <w:tcPr>
            <w:tcW w:w="7233" w:type="dxa"/>
            <w:noWrap w:val="0"/>
            <w:vAlign w:val="center"/>
          </w:tcPr>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投标人近三年类似项目业绩证明</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以</w:t>
            </w:r>
            <w:r>
              <w:rPr>
                <w:rFonts w:hint="eastAsia" w:ascii="宋体" w:hAnsi="宋体" w:cs="宋体"/>
                <w:color w:val="auto"/>
                <w:kern w:val="0"/>
                <w:sz w:val="24"/>
                <w:szCs w:val="24"/>
                <w:highlight w:val="none"/>
                <w:lang w:val="en-US" w:eastAsia="zh-CN" w:bidi="ar-SA"/>
              </w:rPr>
              <w:t>成交通知书</w:t>
            </w:r>
            <w:r>
              <w:rPr>
                <w:rFonts w:hint="eastAsia" w:ascii="宋体" w:hAnsi="宋体" w:eastAsia="宋体" w:cs="宋体"/>
                <w:color w:val="auto"/>
                <w:kern w:val="0"/>
                <w:sz w:val="24"/>
                <w:szCs w:val="24"/>
                <w:highlight w:val="none"/>
                <w:lang w:val="en-US" w:eastAsia="zh-CN" w:bidi="ar-SA"/>
              </w:rPr>
              <w:t>或合同协议书</w:t>
            </w:r>
            <w:r>
              <w:rPr>
                <w:rFonts w:hint="eastAsia" w:ascii="宋体" w:hAnsi="宋体" w:cs="宋体"/>
                <w:color w:val="auto"/>
                <w:kern w:val="0"/>
                <w:sz w:val="24"/>
                <w:szCs w:val="24"/>
                <w:highlight w:val="none"/>
                <w:lang w:val="en-US" w:eastAsia="zh-CN" w:bidi="ar-SA"/>
              </w:rPr>
              <w:t>（复印件装订在投标文件中并加盖鲜章）</w:t>
            </w:r>
            <w:r>
              <w:rPr>
                <w:rFonts w:hint="eastAsia" w:ascii="宋体" w:hAnsi="宋体" w:eastAsia="宋体" w:cs="宋体"/>
                <w:color w:val="auto"/>
                <w:kern w:val="0"/>
                <w:sz w:val="24"/>
                <w:szCs w:val="24"/>
                <w:highlight w:val="none"/>
                <w:lang w:val="en-US" w:eastAsia="zh-CN" w:bidi="ar-SA"/>
              </w:rPr>
              <w:t>为准</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每提供一个得2分，最多得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156" w:type="dxa"/>
            <w:vMerge w:val="continue"/>
            <w:noWrap w:val="0"/>
            <w:vAlign w:val="center"/>
          </w:tcPr>
          <w:p>
            <w:pPr>
              <w:jc w:val="center"/>
              <w:rPr>
                <w:rFonts w:hint="eastAsia" w:ascii="宋体" w:hAnsi="宋体" w:eastAsia="宋体" w:cs="宋体"/>
                <w:color w:val="auto"/>
                <w:kern w:val="0"/>
                <w:sz w:val="24"/>
                <w:szCs w:val="24"/>
                <w:highlight w:val="none"/>
                <w:lang w:val="en-US" w:eastAsia="zh-CN" w:bidi="ar-SA"/>
              </w:rPr>
            </w:pPr>
          </w:p>
        </w:tc>
        <w:tc>
          <w:tcPr>
            <w:tcW w:w="1128" w:type="dxa"/>
            <w:noWrap w:val="0"/>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标书制作</w:t>
            </w:r>
          </w:p>
        </w:tc>
        <w:tc>
          <w:tcPr>
            <w:tcW w:w="720" w:type="dxa"/>
            <w:noWrap w:val="0"/>
            <w:vAlign w:val="center"/>
          </w:tcPr>
          <w:p>
            <w:pPr>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2分</w:t>
            </w:r>
          </w:p>
        </w:tc>
        <w:tc>
          <w:tcPr>
            <w:tcW w:w="7233" w:type="dxa"/>
            <w:noWrap w:val="0"/>
            <w:vAlign w:val="center"/>
          </w:tcPr>
          <w:p>
            <w:pPr>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投标文件页码连续、目录清晰准确，评审内容便于查找得2分，否则得0分。</w:t>
            </w:r>
          </w:p>
        </w:tc>
      </w:tr>
    </w:tbl>
    <w:p>
      <w:pPr>
        <w:pStyle w:val="24"/>
        <w:rPr>
          <w:rFonts w:hint="eastAsia" w:asciiTheme="minorEastAsia" w:hAnsiTheme="minorEastAsia" w:eastAsiaTheme="minorEastAsia" w:cstheme="minorEastAsia"/>
          <w:bCs/>
          <w:color w:val="auto"/>
          <w:sz w:val="24"/>
          <w:szCs w:val="24"/>
          <w:highlight w:val="none"/>
        </w:rPr>
      </w:pPr>
    </w:p>
    <w:p>
      <w:pPr>
        <w:pStyle w:val="3"/>
        <w:rPr>
          <w:rFonts w:hint="eastAsia"/>
          <w:color w:val="auto"/>
          <w:highlight w:val="none"/>
          <w:lang w:eastAsia="zh-CN"/>
        </w:rPr>
      </w:pPr>
    </w:p>
    <w:p>
      <w:pPr>
        <w:pStyle w:val="3"/>
        <w:rPr>
          <w:rFonts w:hint="eastAsia"/>
          <w:color w:val="auto"/>
          <w:highlight w:val="none"/>
          <w:lang w:eastAsia="zh-CN"/>
        </w:rPr>
      </w:pPr>
    </w:p>
    <w:p>
      <w:pPr>
        <w:rPr>
          <w:rFonts w:hint="eastAsia"/>
          <w:color w:val="auto"/>
          <w:highlight w:val="none"/>
          <w:lang w:eastAsia="zh-CN"/>
        </w:rPr>
      </w:pPr>
    </w:p>
    <w:p>
      <w:pPr>
        <w:pStyle w:val="3"/>
        <w:rPr>
          <w:rFonts w:hint="eastAsia"/>
          <w:color w:val="auto"/>
          <w:highlight w:val="none"/>
          <w:lang w:eastAsia="zh-CN"/>
        </w:rPr>
      </w:pPr>
    </w:p>
    <w:p>
      <w:pPr>
        <w:rPr>
          <w:rFonts w:hint="eastAsia"/>
          <w:color w:val="auto"/>
          <w:highlight w:val="none"/>
          <w:lang w:eastAsia="zh-CN"/>
        </w:rPr>
      </w:pPr>
    </w:p>
    <w:p>
      <w:pPr>
        <w:pStyle w:val="3"/>
        <w:rPr>
          <w:rFonts w:hint="eastAsia"/>
          <w:color w:val="auto"/>
          <w:highlight w:val="none"/>
          <w:lang w:eastAsia="zh-CN"/>
        </w:rPr>
      </w:pPr>
    </w:p>
    <w:p>
      <w:pPr>
        <w:rPr>
          <w:rFonts w:hint="eastAsia"/>
          <w:color w:val="auto"/>
          <w:highlight w:val="none"/>
          <w:lang w:eastAsia="zh-CN"/>
        </w:rPr>
      </w:pPr>
    </w:p>
    <w:p>
      <w:pPr>
        <w:pStyle w:val="3"/>
        <w:rPr>
          <w:rFonts w:hint="eastAsia"/>
          <w:color w:val="auto"/>
          <w:highlight w:val="none"/>
          <w:lang w:eastAsia="zh-CN"/>
        </w:rPr>
      </w:pPr>
    </w:p>
    <w:p>
      <w:pPr>
        <w:rPr>
          <w:rFonts w:hint="eastAsia"/>
          <w:color w:val="auto"/>
          <w:highlight w:val="none"/>
          <w:lang w:eastAsia="zh-CN"/>
        </w:rPr>
      </w:pPr>
    </w:p>
    <w:p>
      <w:pPr>
        <w:pStyle w:val="3"/>
        <w:rPr>
          <w:rFonts w:hint="eastAsia"/>
          <w:color w:val="auto"/>
          <w:highlight w:val="none"/>
          <w:lang w:eastAsia="zh-CN"/>
        </w:rPr>
      </w:pPr>
    </w:p>
    <w:p>
      <w:pPr>
        <w:pStyle w:val="10"/>
        <w:ind w:left="0" w:leftChars="0" w:firstLine="0" w:firstLineChars="0"/>
        <w:jc w:val="center"/>
        <w:rPr>
          <w:rFonts w:hint="eastAsia" w:asciiTheme="minorEastAsia" w:hAnsiTheme="minorEastAsia" w:eastAsiaTheme="minorEastAsia" w:cstheme="minorEastAsia"/>
          <w:bCs/>
          <w:color w:val="auto"/>
          <w:sz w:val="44"/>
          <w:szCs w:val="44"/>
          <w:highlight w:val="none"/>
          <w:lang w:eastAsia="zh-CN"/>
        </w:rPr>
      </w:pPr>
      <w:r>
        <w:rPr>
          <w:rFonts w:hint="eastAsia" w:asciiTheme="minorEastAsia" w:hAnsiTheme="minorEastAsia" w:eastAsiaTheme="minorEastAsia" w:cstheme="minorEastAsia"/>
          <w:bCs/>
          <w:color w:val="auto"/>
          <w:sz w:val="44"/>
          <w:szCs w:val="44"/>
          <w:highlight w:val="none"/>
          <w:lang w:eastAsia="zh-CN"/>
        </w:rPr>
        <w:t>喀什职业技术学院普通话考试中心建设项目</w:t>
      </w:r>
    </w:p>
    <w:p>
      <w:pPr>
        <w:pStyle w:val="10"/>
        <w:rPr>
          <w:rFonts w:hint="eastAsia" w:asciiTheme="minorEastAsia" w:hAnsiTheme="minorEastAsia" w:eastAsiaTheme="minorEastAsia" w:cstheme="minorEastAsia"/>
          <w:bCs/>
          <w:color w:val="auto"/>
          <w:sz w:val="48"/>
          <w:szCs w:val="48"/>
          <w:highlight w:val="none"/>
        </w:rPr>
      </w:pPr>
    </w:p>
    <w:p>
      <w:pPr>
        <w:autoSpaceDE w:val="0"/>
        <w:autoSpaceDN w:val="0"/>
        <w:spacing w:line="360" w:lineRule="auto"/>
        <w:jc w:val="center"/>
        <w:outlineLvl w:val="1"/>
        <w:rPr>
          <w:rFonts w:hint="eastAsia" w:asciiTheme="minorEastAsia" w:hAnsiTheme="minorEastAsia" w:eastAsiaTheme="minorEastAsia" w:cstheme="minorEastAsia"/>
          <w:b/>
          <w:bCs/>
          <w:color w:val="auto"/>
          <w:kern w:val="0"/>
          <w:sz w:val="36"/>
          <w:szCs w:val="36"/>
          <w:highlight w:val="none"/>
          <w:lang w:eastAsia="zh-CN" w:bidi="ar"/>
        </w:rPr>
      </w:pPr>
      <w:bookmarkStart w:id="522" w:name="_Toc13153_WPSOffice_Level2"/>
      <w:bookmarkStart w:id="523" w:name="_Toc2107_WPSOffice_Level2"/>
      <w:r>
        <w:rPr>
          <w:rFonts w:hint="eastAsia" w:asciiTheme="minorEastAsia" w:hAnsiTheme="minorEastAsia" w:eastAsiaTheme="minorEastAsia" w:cstheme="minorEastAsia"/>
          <w:bCs/>
          <w:color w:val="auto"/>
          <w:sz w:val="32"/>
          <w:szCs w:val="32"/>
          <w:highlight w:val="none"/>
        </w:rPr>
        <w:t>项目编号：</w:t>
      </w:r>
      <w:r>
        <w:rPr>
          <w:rFonts w:hint="eastAsia" w:asciiTheme="minorEastAsia" w:hAnsiTheme="minorEastAsia" w:eastAsiaTheme="minorEastAsia" w:cstheme="minorEastAsia"/>
          <w:bCs/>
          <w:color w:val="auto"/>
          <w:sz w:val="32"/>
          <w:szCs w:val="32"/>
          <w:highlight w:val="none"/>
          <w:lang w:val="en-US" w:eastAsia="zh-CN"/>
        </w:rPr>
        <w:t>XJXBY(CS)2021-013</w:t>
      </w:r>
    </w:p>
    <w:p>
      <w:pPr>
        <w:spacing w:line="240" w:lineRule="atLeast"/>
        <w:ind w:left="1080" w:leftChars="257" w:hanging="540"/>
        <w:jc w:val="center"/>
        <w:outlineLvl w:val="0"/>
        <w:rPr>
          <w:rFonts w:hint="eastAsia" w:asciiTheme="minorEastAsia" w:hAnsiTheme="minorEastAsia" w:eastAsiaTheme="minorEastAsia" w:cstheme="minorEastAsia"/>
          <w:bCs/>
          <w:color w:val="auto"/>
          <w:sz w:val="48"/>
          <w:szCs w:val="48"/>
          <w:highlight w:val="none"/>
        </w:rPr>
      </w:pPr>
    </w:p>
    <w:p>
      <w:pPr>
        <w:pStyle w:val="10"/>
        <w:ind w:left="0" w:leftChars="0" w:firstLine="0" w:firstLineChars="0"/>
        <w:rPr>
          <w:rFonts w:hint="eastAsia" w:asciiTheme="minorEastAsia" w:hAnsiTheme="minorEastAsia" w:eastAsiaTheme="minorEastAsia" w:cstheme="minorEastAsia"/>
          <w:bCs/>
          <w:color w:val="auto"/>
          <w:sz w:val="48"/>
          <w:szCs w:val="48"/>
          <w:highlight w:val="none"/>
        </w:rPr>
      </w:pPr>
    </w:p>
    <w:p>
      <w:pPr>
        <w:spacing w:line="240" w:lineRule="atLeast"/>
        <w:ind w:left="1080" w:leftChars="257" w:hanging="540"/>
        <w:jc w:val="center"/>
        <w:outlineLvl w:val="0"/>
        <w:rPr>
          <w:rFonts w:hint="eastAsia" w:asciiTheme="minorEastAsia" w:hAnsiTheme="minorEastAsia" w:eastAsiaTheme="minorEastAsia" w:cstheme="minorEastAsia"/>
          <w:bCs/>
          <w:color w:val="auto"/>
          <w:sz w:val="48"/>
          <w:szCs w:val="48"/>
          <w:highlight w:val="none"/>
        </w:rPr>
      </w:pPr>
    </w:p>
    <w:p>
      <w:pPr>
        <w:pStyle w:val="5"/>
        <w:rPr>
          <w:rFonts w:hint="eastAsia" w:asciiTheme="minorEastAsia" w:hAnsiTheme="minorEastAsia" w:eastAsiaTheme="minorEastAsia" w:cstheme="minorEastAsia"/>
          <w:color w:val="auto"/>
          <w:highlight w:val="none"/>
        </w:rPr>
      </w:pPr>
    </w:p>
    <w:p>
      <w:pPr>
        <w:spacing w:line="240" w:lineRule="atLeast"/>
        <w:ind w:left="1080" w:leftChars="257" w:hanging="540"/>
        <w:jc w:val="center"/>
        <w:outlineLvl w:val="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Cs/>
          <w:color w:val="auto"/>
          <w:sz w:val="48"/>
          <w:szCs w:val="48"/>
          <w:highlight w:val="none"/>
        </w:rPr>
        <w:t>竞争性磋商文件</w:t>
      </w:r>
      <w:bookmarkEnd w:id="522"/>
      <w:bookmarkEnd w:id="523"/>
      <w:r>
        <w:rPr>
          <w:rFonts w:hint="eastAsia" w:asciiTheme="minorEastAsia" w:hAnsiTheme="minorEastAsia" w:eastAsiaTheme="minorEastAsia" w:cstheme="minorEastAsia"/>
          <w:bCs/>
          <w:color w:val="auto"/>
          <w:sz w:val="52"/>
          <w:szCs w:val="52"/>
          <w:highlight w:val="none"/>
        </w:rPr>
        <w:t xml:space="preserve"> </w:t>
      </w:r>
    </w:p>
    <w:p>
      <w:pPr>
        <w:spacing w:line="240" w:lineRule="atLeast"/>
        <w:ind w:left="1080" w:leftChars="257" w:hanging="540"/>
        <w:jc w:val="center"/>
        <w:rPr>
          <w:rFonts w:hint="eastAsia" w:asciiTheme="minorEastAsia" w:hAnsiTheme="minorEastAsia" w:eastAsiaTheme="minorEastAsia" w:cstheme="minorEastAsia"/>
          <w:b/>
          <w:color w:val="auto"/>
          <w:sz w:val="32"/>
          <w:szCs w:val="32"/>
          <w:highlight w:val="none"/>
        </w:rPr>
      </w:pPr>
    </w:p>
    <w:p>
      <w:pPr>
        <w:pStyle w:val="5"/>
        <w:rPr>
          <w:rFonts w:hint="eastAsia" w:asciiTheme="minorEastAsia" w:hAnsiTheme="minorEastAsia" w:eastAsiaTheme="minorEastAsia" w:cstheme="minorEastAsia"/>
          <w:b/>
          <w:color w:val="auto"/>
          <w:sz w:val="32"/>
          <w:szCs w:val="32"/>
          <w:highlight w:val="none"/>
        </w:rPr>
      </w:pPr>
    </w:p>
    <w:p>
      <w:pPr>
        <w:spacing w:line="240" w:lineRule="atLeast"/>
        <w:rPr>
          <w:rFonts w:hint="eastAsia" w:asciiTheme="minorEastAsia" w:hAnsiTheme="minorEastAsia" w:eastAsiaTheme="minorEastAsia" w:cstheme="minorEastAsia"/>
          <w:b/>
          <w:color w:val="auto"/>
          <w:sz w:val="28"/>
          <w:highlight w:val="none"/>
        </w:rPr>
      </w:pPr>
    </w:p>
    <w:p>
      <w:pPr>
        <w:spacing w:line="240" w:lineRule="atLeast"/>
        <w:ind w:left="1080" w:leftChars="257" w:hanging="540"/>
        <w:jc w:val="center"/>
        <w:outlineLvl w:val="0"/>
        <w:rPr>
          <w:rFonts w:hint="eastAsia" w:asciiTheme="minorEastAsia" w:hAnsiTheme="minorEastAsia" w:eastAsiaTheme="minorEastAsia" w:cstheme="minorEastAsia"/>
          <w:b/>
          <w:color w:val="auto"/>
          <w:sz w:val="48"/>
          <w:szCs w:val="48"/>
          <w:highlight w:val="none"/>
        </w:rPr>
      </w:pPr>
      <w:bookmarkStart w:id="524" w:name="_Toc26108_WPSOffice_Level2"/>
      <w:bookmarkStart w:id="525" w:name="_Toc15795_WPSOffice_Level2"/>
      <w:r>
        <w:rPr>
          <w:rFonts w:hint="eastAsia" w:asciiTheme="minorEastAsia" w:hAnsiTheme="minorEastAsia" w:eastAsiaTheme="minorEastAsia" w:cstheme="minorEastAsia"/>
          <w:b/>
          <w:color w:val="auto"/>
          <w:sz w:val="48"/>
          <w:szCs w:val="48"/>
          <w:highlight w:val="none"/>
        </w:rPr>
        <w:t>第三册</w:t>
      </w:r>
      <w:bookmarkEnd w:id="524"/>
      <w:bookmarkEnd w:id="525"/>
    </w:p>
    <w:p>
      <w:pPr>
        <w:pStyle w:val="33"/>
        <w:ind w:left="0" w:leftChars="0" w:firstLine="0" w:firstLineChars="0"/>
        <w:rPr>
          <w:rFonts w:hint="eastAsia" w:asciiTheme="minorEastAsia" w:hAnsiTheme="minorEastAsia" w:eastAsiaTheme="minorEastAsia" w:cstheme="minorEastAsia"/>
          <w:b/>
          <w:color w:val="auto"/>
          <w:sz w:val="52"/>
          <w:highlight w:val="none"/>
        </w:rPr>
      </w:pPr>
    </w:p>
    <w:p>
      <w:pPr>
        <w:pStyle w:val="33"/>
        <w:ind w:left="0" w:leftChars="0" w:firstLine="0" w:firstLineChars="0"/>
        <w:rPr>
          <w:rFonts w:hint="eastAsia" w:asciiTheme="minorEastAsia" w:hAnsiTheme="minorEastAsia" w:eastAsiaTheme="minorEastAsia" w:cstheme="minorEastAsia"/>
          <w:b/>
          <w:color w:val="auto"/>
          <w:sz w:val="52"/>
          <w:highlight w:val="none"/>
        </w:rPr>
      </w:pPr>
    </w:p>
    <w:p>
      <w:pPr>
        <w:pStyle w:val="33"/>
        <w:ind w:left="0" w:leftChars="0" w:firstLine="0" w:firstLineChars="0"/>
        <w:rPr>
          <w:rFonts w:hint="eastAsia" w:asciiTheme="minorEastAsia" w:hAnsiTheme="minorEastAsia" w:eastAsiaTheme="minorEastAsia" w:cstheme="minorEastAsia"/>
          <w:b/>
          <w:color w:val="auto"/>
          <w:sz w:val="52"/>
          <w:highlight w:val="none"/>
        </w:rPr>
      </w:pPr>
    </w:p>
    <w:bookmarkEnd w:id="521"/>
    <w:p>
      <w:pPr>
        <w:pStyle w:val="4"/>
        <w:tabs>
          <w:tab w:val="left" w:pos="0"/>
        </w:tabs>
        <w:spacing w:before="0" w:after="0" w:line="240" w:lineRule="atLeast"/>
        <w:rPr>
          <w:rFonts w:hint="eastAsia" w:asciiTheme="minorEastAsia" w:hAnsiTheme="minorEastAsia" w:eastAsiaTheme="minorEastAsia" w:cstheme="minorEastAsia"/>
          <w:color w:val="auto"/>
          <w:highlight w:val="none"/>
        </w:rPr>
      </w:pPr>
      <w:bookmarkStart w:id="526" w:name="_Toc21888_WPSOffice_Level1"/>
      <w:bookmarkStart w:id="527" w:name="_Toc12949_WPSOffice_Level1"/>
      <w:bookmarkStart w:id="528" w:name="_Toc32428_WPSOffice_Level1"/>
    </w:p>
    <w:p>
      <w:pPr>
        <w:pStyle w:val="4"/>
        <w:tabs>
          <w:tab w:val="left" w:pos="0"/>
        </w:tabs>
        <w:spacing w:before="0" w:after="0" w:line="240" w:lineRule="atLeas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第7章  政府采购合同</w:t>
      </w:r>
      <w:bookmarkStart w:id="529" w:name="_Hlt487972895"/>
      <w:bookmarkEnd w:id="529"/>
      <w:bookmarkStart w:id="530" w:name="_Toc487900382"/>
      <w:bookmarkStart w:id="531" w:name="_Toc216513788"/>
    </w:p>
    <w:bookmarkEnd w:id="526"/>
    <w:bookmarkEnd w:id="527"/>
    <w:bookmarkEnd w:id="528"/>
    <w:bookmarkEnd w:id="530"/>
    <w:bookmarkEnd w:id="531"/>
    <w:p>
      <w:pPr>
        <w:spacing w:line="240" w:lineRule="atLeast"/>
        <w:ind w:left="-567" w:leftChars="-270" w:firstLine="540"/>
        <w:jc w:val="center"/>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请参照货物类政府采购合同参考范本订立采购合同。</w:t>
      </w:r>
    </w:p>
    <w:p>
      <w:pPr>
        <w:spacing w:line="480" w:lineRule="auto"/>
        <w:ind w:firstLine="2209" w:firstLineChars="500"/>
        <w:rPr>
          <w:rFonts w:hint="eastAsia" w:asciiTheme="minorEastAsia" w:hAnsiTheme="minorEastAsia" w:eastAsiaTheme="minorEastAsia" w:cstheme="minorEastAsia"/>
          <w:b/>
          <w:color w:val="auto"/>
          <w:sz w:val="44"/>
          <w:szCs w:val="44"/>
          <w:highlight w:val="none"/>
        </w:rPr>
      </w:pPr>
    </w:p>
    <w:p>
      <w:pP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合同编号：</w:t>
      </w:r>
      <w:r>
        <w:rPr>
          <w:rFonts w:hint="eastAsia" w:asciiTheme="minorEastAsia" w:hAnsiTheme="minorEastAsia" w:eastAsiaTheme="minorEastAsia" w:cstheme="minorEastAsia"/>
          <w:color w:val="auto"/>
          <w:sz w:val="24"/>
          <w:highlight w:val="none"/>
          <w:u w:val="single"/>
        </w:rPr>
        <w:t xml:space="preserve">           </w:t>
      </w:r>
    </w:p>
    <w:p>
      <w:pPr>
        <w:spacing w:line="480" w:lineRule="auto"/>
        <w:jc w:val="center"/>
        <w:rPr>
          <w:rFonts w:hint="eastAsia" w:asciiTheme="minorEastAsia" w:hAnsiTheme="minorEastAsia" w:eastAsiaTheme="minorEastAsia" w:cstheme="minorEastAsia"/>
          <w:b/>
          <w:color w:val="auto"/>
          <w:sz w:val="28"/>
          <w:szCs w:val="28"/>
          <w:highlight w:val="none"/>
        </w:rPr>
      </w:pPr>
    </w:p>
    <w:p>
      <w:pPr>
        <w:spacing w:line="480" w:lineRule="auto"/>
        <w:jc w:val="center"/>
        <w:rPr>
          <w:rFonts w:hint="eastAsia" w:asciiTheme="minorEastAsia" w:hAnsiTheme="minorEastAsia" w:eastAsiaTheme="minorEastAsia" w:cstheme="minorEastAsia"/>
          <w:b/>
          <w:color w:val="auto"/>
          <w:sz w:val="28"/>
          <w:szCs w:val="28"/>
          <w:highlight w:val="none"/>
        </w:rPr>
      </w:pPr>
    </w:p>
    <w:p>
      <w:pPr>
        <w:spacing w:line="480" w:lineRule="auto"/>
        <w:jc w:val="center"/>
        <w:rPr>
          <w:rFonts w:hint="eastAsia" w:asciiTheme="minorEastAsia" w:hAnsiTheme="minorEastAsia" w:eastAsiaTheme="minorEastAsia" w:cstheme="minorEastAsia"/>
          <w:b/>
          <w:color w:val="auto"/>
          <w:sz w:val="28"/>
          <w:szCs w:val="28"/>
          <w:highlight w:val="none"/>
        </w:rPr>
      </w:pPr>
    </w:p>
    <w:p>
      <w:pPr>
        <w:spacing w:line="48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政府采购合同参考范本</w:t>
      </w:r>
    </w:p>
    <w:p>
      <w:pPr>
        <w:spacing w:line="48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货物</w:t>
      </w:r>
      <w:r>
        <w:rPr>
          <w:rFonts w:hint="eastAsia" w:asciiTheme="minorEastAsia" w:hAnsiTheme="minorEastAsia" w:eastAsiaTheme="minorEastAsia" w:cstheme="minorEastAsia"/>
          <w:b/>
          <w:color w:val="auto"/>
          <w:sz w:val="24"/>
          <w:highlight w:val="none"/>
        </w:rPr>
        <w:t>类）</w:t>
      </w:r>
    </w:p>
    <w:p>
      <w:pPr>
        <w:pStyle w:val="60"/>
        <w:ind w:firstLine="0"/>
        <w:rPr>
          <w:rFonts w:hint="eastAsia" w:asciiTheme="minorEastAsia" w:hAnsiTheme="minorEastAsia" w:eastAsiaTheme="minorEastAsia" w:cstheme="minorEastAsia"/>
          <w:color w:val="auto"/>
          <w:szCs w:val="24"/>
          <w:highlight w:val="none"/>
        </w:rPr>
      </w:pPr>
    </w:p>
    <w:p>
      <w:pPr>
        <w:pStyle w:val="60"/>
        <w:ind w:firstLine="0"/>
        <w:rPr>
          <w:rFonts w:hint="eastAsia" w:asciiTheme="minorEastAsia" w:hAnsiTheme="minorEastAsia" w:eastAsiaTheme="minorEastAsia" w:cstheme="minorEastAsia"/>
          <w:color w:val="auto"/>
          <w:szCs w:val="24"/>
          <w:highlight w:val="none"/>
        </w:rPr>
      </w:pPr>
    </w:p>
    <w:p>
      <w:pPr>
        <w:pStyle w:val="60"/>
        <w:ind w:firstLine="0"/>
        <w:rPr>
          <w:rFonts w:hint="eastAsia" w:asciiTheme="minorEastAsia" w:hAnsiTheme="minorEastAsia" w:eastAsiaTheme="minorEastAsia" w:cstheme="minorEastAsia"/>
          <w:color w:val="auto"/>
          <w:szCs w:val="24"/>
          <w:highlight w:val="none"/>
        </w:rPr>
      </w:pPr>
    </w:p>
    <w:p>
      <w:pPr>
        <w:pStyle w:val="60"/>
        <w:ind w:firstLine="0"/>
        <w:jc w:val="center"/>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第一部分 合同书</w:t>
      </w:r>
    </w:p>
    <w:p>
      <w:pPr>
        <w:pStyle w:val="60"/>
        <w:ind w:firstLine="0"/>
        <w:rPr>
          <w:rFonts w:hint="eastAsia" w:asciiTheme="minorEastAsia" w:hAnsiTheme="minorEastAsia" w:eastAsiaTheme="minorEastAsia" w:cstheme="minorEastAsia"/>
          <w:color w:val="auto"/>
          <w:szCs w:val="24"/>
          <w:highlight w:val="none"/>
        </w:rPr>
      </w:pPr>
    </w:p>
    <w:p>
      <w:pPr>
        <w:pStyle w:val="60"/>
        <w:ind w:firstLine="0"/>
        <w:rPr>
          <w:rFonts w:hint="eastAsia" w:asciiTheme="minorEastAsia" w:hAnsiTheme="minorEastAsia" w:eastAsiaTheme="minorEastAsia" w:cstheme="minorEastAsia"/>
          <w:color w:val="auto"/>
          <w:szCs w:val="24"/>
          <w:highlight w:val="none"/>
        </w:rPr>
      </w:pPr>
    </w:p>
    <w:p>
      <w:pPr>
        <w:spacing w:before="120" w:line="22" w:lineRule="atLeast"/>
        <w:rPr>
          <w:rFonts w:hint="eastAsia" w:asciiTheme="minorEastAsia" w:hAnsiTheme="minorEastAsia" w:eastAsiaTheme="minorEastAsia" w:cstheme="minorEastAsia"/>
          <w:color w:val="auto"/>
          <w:sz w:val="24"/>
          <w:highlight w:val="none"/>
        </w:rPr>
      </w:pPr>
    </w:p>
    <w:p>
      <w:pPr>
        <w:spacing w:before="120" w:line="22" w:lineRule="atLeast"/>
        <w:ind w:left="96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pStyle w:val="90"/>
        <w:spacing w:before="120" w:line="22" w:lineRule="atLeast"/>
        <w:rPr>
          <w:rFonts w:hint="eastAsia" w:asciiTheme="minorEastAsia" w:hAnsiTheme="minorEastAsia" w:eastAsiaTheme="minorEastAsia" w:cstheme="minorEastAsia"/>
          <w:color w:val="auto"/>
          <w:szCs w:val="24"/>
          <w:highlight w:val="none"/>
        </w:rPr>
      </w:pPr>
    </w:p>
    <w:p>
      <w:pPr>
        <w:spacing w:before="120" w:line="22" w:lineRule="atLeast"/>
        <w:ind w:left="96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甲方：</w:t>
      </w:r>
      <w:r>
        <w:rPr>
          <w:rFonts w:hint="eastAsia" w:asciiTheme="minorEastAsia" w:hAnsiTheme="minorEastAsia" w:eastAsiaTheme="minorEastAsia" w:cstheme="minorEastAsia"/>
          <w:color w:val="auto"/>
          <w:sz w:val="24"/>
          <w:highlight w:val="none"/>
          <w:u w:val="single"/>
        </w:rPr>
        <w:t xml:space="preserve">                                       </w:t>
      </w:r>
    </w:p>
    <w:p>
      <w:pPr>
        <w:spacing w:before="120" w:line="22" w:lineRule="atLeast"/>
        <w:rPr>
          <w:rFonts w:hint="eastAsia" w:asciiTheme="minorEastAsia" w:hAnsiTheme="minorEastAsia" w:eastAsiaTheme="minorEastAsia" w:cstheme="minorEastAsia"/>
          <w:color w:val="auto"/>
          <w:sz w:val="24"/>
          <w:highlight w:val="none"/>
        </w:rPr>
      </w:pPr>
    </w:p>
    <w:p>
      <w:pPr>
        <w:spacing w:before="120" w:line="22" w:lineRule="atLeast"/>
        <w:ind w:left="96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乙方：</w:t>
      </w:r>
      <w:r>
        <w:rPr>
          <w:rFonts w:hint="eastAsia" w:asciiTheme="minorEastAsia" w:hAnsiTheme="minorEastAsia" w:eastAsiaTheme="minorEastAsia" w:cstheme="minorEastAsia"/>
          <w:color w:val="auto"/>
          <w:sz w:val="24"/>
          <w:highlight w:val="none"/>
          <w:u w:val="single"/>
        </w:rPr>
        <w:t xml:space="preserve">                                       </w:t>
      </w:r>
    </w:p>
    <w:p>
      <w:pPr>
        <w:spacing w:before="120" w:line="22" w:lineRule="atLeast"/>
        <w:rPr>
          <w:rFonts w:hint="eastAsia" w:asciiTheme="minorEastAsia" w:hAnsiTheme="minorEastAsia" w:eastAsiaTheme="minorEastAsia" w:cstheme="minorEastAsia"/>
          <w:color w:val="auto"/>
          <w:sz w:val="24"/>
          <w:highlight w:val="none"/>
        </w:rPr>
      </w:pPr>
    </w:p>
    <w:p>
      <w:pPr>
        <w:spacing w:before="120" w:line="22" w:lineRule="atLeast"/>
        <w:ind w:firstLine="960" w:firstLineChars="4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签订地：</w:t>
      </w:r>
      <w:r>
        <w:rPr>
          <w:rFonts w:hint="eastAsia" w:asciiTheme="minorEastAsia" w:hAnsiTheme="minorEastAsia" w:eastAsiaTheme="minorEastAsia" w:cstheme="minorEastAsia"/>
          <w:color w:val="auto"/>
          <w:sz w:val="24"/>
          <w:highlight w:val="none"/>
          <w:u w:val="single"/>
        </w:rPr>
        <w:t xml:space="preserve">                                     </w:t>
      </w:r>
    </w:p>
    <w:p>
      <w:pPr>
        <w:spacing w:before="120" w:line="22" w:lineRule="atLeast"/>
        <w:rPr>
          <w:rFonts w:hint="eastAsia" w:asciiTheme="minorEastAsia" w:hAnsiTheme="minorEastAsia" w:eastAsiaTheme="minorEastAsia" w:cstheme="minorEastAsia"/>
          <w:color w:val="auto"/>
          <w:sz w:val="24"/>
          <w:highlight w:val="none"/>
        </w:rPr>
      </w:pPr>
    </w:p>
    <w:p>
      <w:pPr>
        <w:spacing w:before="120" w:line="22" w:lineRule="atLeast"/>
        <w:ind w:firstLine="960" w:firstLineChars="4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签订日期：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pPr>
        <w:autoSpaceDE w:val="0"/>
        <w:autoSpaceDN w:val="0"/>
        <w:adjustRightInd w:val="0"/>
        <w:spacing w:line="600" w:lineRule="exact"/>
        <w:ind w:firstLine="640"/>
        <w:jc w:val="center"/>
        <w:rPr>
          <w:rFonts w:hint="eastAsia" w:asciiTheme="minorEastAsia" w:hAnsiTheme="minorEastAsia" w:eastAsiaTheme="minorEastAsia" w:cstheme="minorEastAsia"/>
          <w:color w:val="auto"/>
          <w:sz w:val="24"/>
          <w:highlight w:val="none"/>
        </w:rPr>
        <w:sectPr>
          <w:pgSz w:w="11907" w:h="16840"/>
          <w:pgMar w:top="1474" w:right="1473" w:bottom="1474" w:left="1814" w:header="851" w:footer="851" w:gutter="0"/>
          <w:pgNumType w:fmt="decimal"/>
          <w:cols w:space="720" w:num="1"/>
          <w:docGrid w:linePitch="462" w:charSpace="0"/>
        </w:sectPr>
      </w:pP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年</w:t>
      </w: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月</w:t>
      </w: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日</w:t>
      </w:r>
      <w:r>
        <w:rPr>
          <w:rFonts w:hint="eastAsia" w:ascii="楷体" w:hAnsi="楷体" w:eastAsia="楷体"/>
          <w:color w:val="auto"/>
          <w:sz w:val="24"/>
          <w:highlight w:val="none"/>
        </w:rPr>
        <w:t>，</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（采购人名称）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以</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（政府采购方式）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对</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（同前页项目名称）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项目进行了采购。经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（相关评定主体名称）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评定，</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（中标供应商名称）</w:t>
      </w:r>
      <w:r>
        <w:rPr>
          <w:rFonts w:hint="eastAsia" w:ascii="楷体" w:hAnsi="楷体" w:eastAsia="楷体"/>
          <w:color w:val="auto"/>
          <w:sz w:val="24"/>
          <w:highlight w:val="none"/>
        </w:rPr>
        <w:t>为该项目中标供应商。现于</w:t>
      </w:r>
      <w:r>
        <w:rPr>
          <w:rFonts w:hint="eastAsia" w:ascii="楷体" w:hAnsi="楷体" w:eastAsia="楷体"/>
          <w:color w:val="auto"/>
          <w:sz w:val="24"/>
          <w:highlight w:val="none"/>
          <w:lang w:eastAsia="zh-CN"/>
        </w:rPr>
        <w:t>成交通知书</w:t>
      </w:r>
      <w:r>
        <w:rPr>
          <w:rFonts w:hint="eastAsia" w:ascii="楷体" w:hAnsi="楷体" w:eastAsia="楷体"/>
          <w:color w:val="auto"/>
          <w:sz w:val="24"/>
          <w:highlight w:val="none"/>
        </w:rPr>
        <w:t>发出之日起三十日内，按照采购文件确定的事项签订本合同。</w:t>
      </w:r>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lang w:val="zh-CN"/>
        </w:rPr>
        <w:t>根据《中华人民共和国合同法》、《中华人民共和国政府采购法》等相关法律法规之规定，按照平等、自愿、公平和诚实信用的原则，经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（采购人名称）</w:t>
      </w:r>
      <w:r>
        <w:rPr>
          <w:rFonts w:ascii="楷体" w:hAnsi="楷体" w:eastAsia="楷体"/>
          <w:color w:val="auto"/>
          <w:sz w:val="24"/>
          <w:highlight w:val="none"/>
          <w:u w:val="single"/>
        </w:rPr>
        <w:t xml:space="preserve">   </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以下简称：甲方</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和</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（中标供应商名称）</w:t>
      </w:r>
      <w:r>
        <w:rPr>
          <w:rFonts w:ascii="楷体" w:hAnsi="楷体" w:eastAsia="楷体"/>
          <w:color w:val="auto"/>
          <w:sz w:val="24"/>
          <w:highlight w:val="none"/>
          <w:u w:val="single"/>
        </w:rPr>
        <w:t xml:space="preserve">   </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以下简称：乙方</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协商一致，约定以下合同</w:t>
      </w:r>
      <w:r>
        <w:rPr>
          <w:rFonts w:hint="eastAsia" w:ascii="楷体" w:hAnsi="楷体" w:eastAsia="楷体"/>
          <w:color w:val="auto"/>
          <w:sz w:val="24"/>
          <w:highlight w:val="none"/>
        </w:rPr>
        <w:t>条款，以兹共同遵守、全面履行。</w:t>
      </w:r>
    </w:p>
    <w:p>
      <w:pPr>
        <w:spacing w:line="560" w:lineRule="exact"/>
        <w:ind w:firstLine="482" w:firstLineChars="200"/>
        <w:outlineLvl w:val="0"/>
        <w:rPr>
          <w:rFonts w:ascii="楷体" w:hAnsi="楷体" w:eastAsia="楷体"/>
          <w:b/>
          <w:color w:val="auto"/>
          <w:sz w:val="24"/>
          <w:highlight w:val="none"/>
        </w:rPr>
      </w:pPr>
      <w:bookmarkStart w:id="532" w:name="_Toc28810"/>
      <w:bookmarkStart w:id="533" w:name="_Toc16579"/>
      <w:bookmarkStart w:id="534" w:name="_Toc24059"/>
      <w:bookmarkStart w:id="535" w:name="_Toc20803"/>
      <w:bookmarkStart w:id="536" w:name="_Toc3029"/>
      <w:bookmarkStart w:id="537" w:name="_Toc1326"/>
      <w:bookmarkStart w:id="538" w:name="_Toc32018"/>
      <w:bookmarkStart w:id="539" w:name="_Toc2232"/>
      <w:bookmarkStart w:id="540" w:name="_Toc1366"/>
      <w:bookmarkStart w:id="541" w:name="_Toc8596"/>
      <w:bookmarkStart w:id="542" w:name="_Toc11039"/>
      <w:bookmarkStart w:id="543" w:name="_Toc8681"/>
      <w:bookmarkStart w:id="544" w:name="_Toc31273"/>
      <w:r>
        <w:rPr>
          <w:rFonts w:ascii="楷体" w:hAnsi="楷体" w:eastAsia="楷体"/>
          <w:b/>
          <w:color w:val="auto"/>
          <w:sz w:val="24"/>
          <w:highlight w:val="none"/>
        </w:rPr>
        <w:t xml:space="preserve">1.1 </w:t>
      </w:r>
      <w:r>
        <w:rPr>
          <w:rFonts w:hint="eastAsia" w:ascii="楷体" w:hAnsi="楷体" w:eastAsia="楷体"/>
          <w:b/>
          <w:color w:val="auto"/>
          <w:sz w:val="24"/>
          <w:highlight w:val="none"/>
        </w:rPr>
        <w:t>合同组成部分</w:t>
      </w:r>
      <w:bookmarkEnd w:id="532"/>
      <w:bookmarkEnd w:id="533"/>
      <w:bookmarkEnd w:id="534"/>
      <w:bookmarkEnd w:id="535"/>
      <w:bookmarkEnd w:id="536"/>
      <w:bookmarkEnd w:id="537"/>
      <w:bookmarkEnd w:id="538"/>
      <w:bookmarkEnd w:id="539"/>
      <w:bookmarkEnd w:id="540"/>
      <w:bookmarkEnd w:id="541"/>
      <w:bookmarkEnd w:id="542"/>
      <w:bookmarkEnd w:id="543"/>
      <w:bookmarkEnd w:id="544"/>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1.1.1 </w:t>
      </w:r>
      <w:r>
        <w:rPr>
          <w:rFonts w:hint="eastAsia" w:ascii="楷体" w:hAnsi="楷体" w:eastAsia="楷体"/>
          <w:color w:val="auto"/>
          <w:sz w:val="24"/>
          <w:highlight w:val="none"/>
        </w:rPr>
        <w:t>本合同及其补充合同、变更协议；</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1.1.2 </w:t>
      </w:r>
      <w:r>
        <w:rPr>
          <w:rFonts w:hint="eastAsia" w:ascii="楷体" w:hAnsi="楷体" w:eastAsia="楷体"/>
          <w:color w:val="auto"/>
          <w:sz w:val="24"/>
          <w:highlight w:val="none"/>
          <w:lang w:eastAsia="zh-CN"/>
        </w:rPr>
        <w:t>成交通知书</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1.1.3 </w:t>
      </w:r>
      <w:r>
        <w:rPr>
          <w:rFonts w:hint="eastAsia" w:ascii="楷体" w:hAnsi="楷体" w:eastAsia="楷体"/>
          <w:color w:val="auto"/>
          <w:sz w:val="24"/>
          <w:highlight w:val="none"/>
          <w:lang w:eastAsia="zh-CN"/>
        </w:rPr>
        <w:t>响应文件</w:t>
      </w:r>
      <w:r>
        <w:rPr>
          <w:rFonts w:hint="eastAsia" w:ascii="楷体" w:hAnsi="楷体" w:eastAsia="楷体"/>
          <w:color w:val="auto"/>
          <w:sz w:val="24"/>
          <w:highlight w:val="none"/>
        </w:rPr>
        <w:t>（含澄清或者说明文件）；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1.1.4 </w:t>
      </w:r>
      <w:r>
        <w:rPr>
          <w:rFonts w:hint="eastAsia" w:ascii="楷体" w:hAnsi="楷体" w:eastAsia="楷体"/>
          <w:color w:val="auto"/>
          <w:sz w:val="24"/>
          <w:highlight w:val="none"/>
        </w:rPr>
        <w:t>招标文件（含澄清或者修改文件）；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1.1.5 </w:t>
      </w:r>
      <w:r>
        <w:rPr>
          <w:rFonts w:hint="eastAsia" w:ascii="楷体" w:hAnsi="楷体" w:eastAsia="楷体"/>
          <w:color w:val="auto"/>
          <w:sz w:val="24"/>
          <w:highlight w:val="none"/>
        </w:rPr>
        <w:t>其他相关采购文件。</w:t>
      </w:r>
    </w:p>
    <w:p>
      <w:pPr>
        <w:spacing w:line="560" w:lineRule="exact"/>
        <w:ind w:firstLine="482" w:firstLineChars="200"/>
        <w:outlineLvl w:val="0"/>
        <w:rPr>
          <w:rFonts w:ascii="楷体" w:hAnsi="楷体" w:eastAsia="楷体"/>
          <w:b/>
          <w:color w:val="auto"/>
          <w:sz w:val="24"/>
          <w:highlight w:val="none"/>
        </w:rPr>
      </w:pPr>
      <w:bookmarkStart w:id="545" w:name="_Toc24300"/>
      <w:bookmarkStart w:id="546" w:name="_Toc22722"/>
      <w:bookmarkStart w:id="547" w:name="_Toc16932"/>
      <w:bookmarkStart w:id="548" w:name="_Toc12967"/>
      <w:bookmarkStart w:id="549" w:name="_Toc16711"/>
      <w:bookmarkStart w:id="550" w:name="_Toc16495"/>
      <w:bookmarkStart w:id="551" w:name="_Toc27126"/>
      <w:bookmarkStart w:id="552" w:name="_Toc12663"/>
      <w:bookmarkStart w:id="553" w:name="_Toc9709"/>
      <w:bookmarkStart w:id="554" w:name="_Toc21295"/>
      <w:bookmarkStart w:id="555" w:name="_Toc28816"/>
      <w:bookmarkStart w:id="556" w:name="_Toc13619"/>
      <w:bookmarkStart w:id="557" w:name="_Toc12328"/>
      <w:r>
        <w:rPr>
          <w:rFonts w:ascii="楷体" w:hAnsi="楷体" w:eastAsia="楷体"/>
          <w:b/>
          <w:color w:val="auto"/>
          <w:sz w:val="24"/>
          <w:highlight w:val="none"/>
        </w:rPr>
        <w:t xml:space="preserve">1.2 </w:t>
      </w:r>
      <w:r>
        <w:rPr>
          <w:rFonts w:hint="eastAsia" w:ascii="楷体" w:hAnsi="楷体" w:eastAsia="楷体"/>
          <w:b/>
          <w:color w:val="auto"/>
          <w:sz w:val="24"/>
          <w:highlight w:val="none"/>
        </w:rPr>
        <w:t>货物</w:t>
      </w:r>
      <w:bookmarkEnd w:id="545"/>
      <w:bookmarkEnd w:id="546"/>
      <w:bookmarkEnd w:id="547"/>
      <w:bookmarkEnd w:id="548"/>
      <w:bookmarkEnd w:id="549"/>
      <w:bookmarkEnd w:id="550"/>
      <w:bookmarkEnd w:id="551"/>
      <w:bookmarkEnd w:id="552"/>
      <w:bookmarkEnd w:id="553"/>
      <w:bookmarkEnd w:id="554"/>
      <w:bookmarkEnd w:id="555"/>
      <w:bookmarkEnd w:id="556"/>
      <w:bookmarkEnd w:id="557"/>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1.2.1 </w:t>
      </w:r>
      <w:r>
        <w:rPr>
          <w:rFonts w:hint="eastAsia" w:ascii="楷体" w:hAnsi="楷体" w:eastAsia="楷体"/>
          <w:color w:val="auto"/>
          <w:sz w:val="24"/>
          <w:highlight w:val="none"/>
        </w:rPr>
        <w:t>货物名称：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1.2.2 </w:t>
      </w:r>
      <w:r>
        <w:rPr>
          <w:rFonts w:hint="eastAsia" w:ascii="楷体" w:hAnsi="楷体" w:eastAsia="楷体"/>
          <w:color w:val="auto"/>
          <w:sz w:val="24"/>
          <w:highlight w:val="none"/>
        </w:rPr>
        <w:t>货物数量：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1.2.3 </w:t>
      </w:r>
      <w:r>
        <w:rPr>
          <w:rFonts w:hint="eastAsia" w:ascii="楷体" w:hAnsi="楷体" w:eastAsia="楷体"/>
          <w:color w:val="auto"/>
          <w:sz w:val="24"/>
          <w:highlight w:val="none"/>
        </w:rPr>
        <w:t>货物质量：</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558" w:name="_Toc28201"/>
      <w:bookmarkStart w:id="559" w:name="_Toc23292"/>
      <w:bookmarkStart w:id="560" w:name="_Toc24121"/>
      <w:bookmarkStart w:id="561" w:name="_Toc21638"/>
      <w:bookmarkStart w:id="562" w:name="_Toc7854"/>
      <w:bookmarkStart w:id="563" w:name="_Toc18195"/>
      <w:bookmarkStart w:id="564" w:name="_Toc10145"/>
      <w:bookmarkStart w:id="565" w:name="_Toc14327"/>
      <w:bookmarkStart w:id="566" w:name="_Toc23012"/>
      <w:bookmarkStart w:id="567" w:name="_Toc21631"/>
      <w:bookmarkStart w:id="568" w:name="_Toc21551"/>
      <w:bookmarkStart w:id="569" w:name="_Toc25123"/>
      <w:bookmarkStart w:id="570" w:name="_Toc13916"/>
      <w:r>
        <w:rPr>
          <w:rFonts w:ascii="楷体" w:hAnsi="楷体" w:eastAsia="楷体"/>
          <w:b/>
          <w:color w:val="auto"/>
          <w:sz w:val="24"/>
          <w:highlight w:val="none"/>
        </w:rPr>
        <w:t xml:space="preserve">1.3 </w:t>
      </w:r>
      <w:r>
        <w:rPr>
          <w:rFonts w:hint="eastAsia" w:ascii="楷体" w:hAnsi="楷体" w:eastAsia="楷体"/>
          <w:b/>
          <w:color w:val="auto"/>
          <w:sz w:val="24"/>
          <w:highlight w:val="none"/>
        </w:rPr>
        <w:t>价款</w:t>
      </w:r>
      <w:bookmarkEnd w:id="558"/>
      <w:bookmarkEnd w:id="559"/>
      <w:bookmarkEnd w:id="560"/>
      <w:bookmarkEnd w:id="561"/>
      <w:bookmarkEnd w:id="562"/>
      <w:bookmarkEnd w:id="563"/>
      <w:bookmarkEnd w:id="564"/>
      <w:bookmarkEnd w:id="565"/>
      <w:bookmarkEnd w:id="566"/>
      <w:bookmarkEnd w:id="567"/>
      <w:bookmarkEnd w:id="568"/>
      <w:bookmarkEnd w:id="569"/>
      <w:bookmarkEnd w:id="570"/>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本合同总价为：￥</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元（大写：</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元人民币）。</w:t>
      </w:r>
    </w:p>
    <w:p>
      <w:pPr>
        <w:spacing w:line="560" w:lineRule="exact"/>
        <w:ind w:firstLine="480" w:firstLineChars="200"/>
        <w:rPr>
          <w:rFonts w:ascii="楷体" w:hAnsi="楷体" w:eastAsia="楷体"/>
          <w:color w:val="auto"/>
          <w:sz w:val="24"/>
          <w:highlight w:val="none"/>
          <w:u w:val="single"/>
        </w:rPr>
      </w:pPr>
      <w:r>
        <w:rPr>
          <w:rFonts w:hint="eastAsia" w:ascii="楷体" w:hAnsi="楷体" w:eastAsia="楷体"/>
          <w:color w:val="auto"/>
          <w:sz w:val="24"/>
          <w:highlight w:val="none"/>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8"/>
              <w:spacing w:line="560" w:lineRule="exact"/>
              <w:jc w:val="center"/>
              <w:rPr>
                <w:rFonts w:ascii="楷体" w:hAnsi="楷体" w:eastAsia="楷体"/>
                <w:color w:val="auto"/>
                <w:kern w:val="2"/>
                <w:sz w:val="24"/>
                <w:szCs w:val="24"/>
                <w:highlight w:val="none"/>
                <w:lang w:val="en-US" w:eastAsia="zh-CN"/>
              </w:rPr>
            </w:pPr>
            <w:r>
              <w:rPr>
                <w:rFonts w:hint="eastAsia" w:ascii="楷体" w:hAnsi="楷体" w:eastAsia="楷体"/>
                <w:color w:val="auto"/>
                <w:kern w:val="2"/>
                <w:sz w:val="24"/>
                <w:szCs w:val="24"/>
                <w:highlight w:val="none"/>
                <w:lang w:val="en-US" w:eastAsia="zh-CN"/>
              </w:rPr>
              <w:t>序号</w:t>
            </w:r>
          </w:p>
        </w:tc>
        <w:tc>
          <w:tcPr>
            <w:tcW w:w="3402"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r>
              <w:rPr>
                <w:rFonts w:hint="eastAsia" w:ascii="楷体" w:hAnsi="楷体" w:eastAsia="楷体"/>
                <w:color w:val="auto"/>
                <w:kern w:val="2"/>
                <w:sz w:val="24"/>
                <w:szCs w:val="24"/>
                <w:highlight w:val="none"/>
                <w:lang w:val="en-US" w:eastAsia="zh-CN"/>
              </w:rPr>
              <w:t>分项名称</w:t>
            </w:r>
          </w:p>
        </w:tc>
        <w:tc>
          <w:tcPr>
            <w:tcW w:w="2552" w:type="dxa"/>
            <w:noWrap w:val="0"/>
            <w:vAlign w:val="center"/>
          </w:tcPr>
          <w:p>
            <w:pPr>
              <w:pStyle w:val="68"/>
              <w:spacing w:line="560" w:lineRule="exact"/>
              <w:jc w:val="center"/>
              <w:rPr>
                <w:rFonts w:ascii="楷体" w:hAnsi="楷体" w:eastAsia="楷体"/>
                <w:color w:val="auto"/>
                <w:kern w:val="2"/>
                <w:sz w:val="24"/>
                <w:szCs w:val="24"/>
                <w:highlight w:val="none"/>
                <w:lang w:val="en-US" w:eastAsia="zh-CN"/>
              </w:rPr>
            </w:pPr>
            <w:r>
              <w:rPr>
                <w:rFonts w:hint="eastAsia" w:ascii="楷体" w:hAnsi="楷体" w:eastAsia="楷体"/>
                <w:color w:val="auto"/>
                <w:kern w:val="2"/>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c>
          <w:tcPr>
            <w:tcW w:w="3402"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c>
          <w:tcPr>
            <w:tcW w:w="2552"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c>
          <w:tcPr>
            <w:tcW w:w="3402"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c>
          <w:tcPr>
            <w:tcW w:w="2552"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c>
          <w:tcPr>
            <w:tcW w:w="3402"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c>
          <w:tcPr>
            <w:tcW w:w="2552"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c>
          <w:tcPr>
            <w:tcW w:w="3402"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c>
          <w:tcPr>
            <w:tcW w:w="2552"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r>
              <w:rPr>
                <w:rFonts w:hint="eastAsia" w:ascii="楷体" w:hAnsi="楷体" w:eastAsia="楷体"/>
                <w:color w:val="auto"/>
                <w:kern w:val="2"/>
                <w:sz w:val="24"/>
                <w:szCs w:val="24"/>
                <w:highlight w:val="none"/>
                <w:lang w:val="en-US" w:eastAsia="zh-CN"/>
              </w:rPr>
              <w:t>总价</w:t>
            </w:r>
          </w:p>
        </w:tc>
        <w:tc>
          <w:tcPr>
            <w:tcW w:w="2552" w:type="dxa"/>
            <w:noWrap w:val="0"/>
            <w:vAlign w:val="center"/>
          </w:tcPr>
          <w:p>
            <w:pPr>
              <w:pStyle w:val="68"/>
              <w:spacing w:line="560" w:lineRule="exact"/>
              <w:ind w:firstLine="200"/>
              <w:jc w:val="center"/>
              <w:rPr>
                <w:rFonts w:ascii="楷体" w:hAnsi="楷体" w:eastAsia="楷体"/>
                <w:color w:val="auto"/>
                <w:kern w:val="2"/>
                <w:sz w:val="24"/>
                <w:szCs w:val="24"/>
                <w:highlight w:val="none"/>
                <w:lang w:val="en-US" w:eastAsia="zh-CN"/>
              </w:rPr>
            </w:pPr>
          </w:p>
        </w:tc>
      </w:tr>
    </w:tbl>
    <w:p>
      <w:pPr>
        <w:spacing w:line="560" w:lineRule="exact"/>
        <w:ind w:firstLine="482" w:firstLineChars="200"/>
        <w:outlineLvl w:val="0"/>
        <w:rPr>
          <w:rFonts w:ascii="楷体" w:hAnsi="楷体" w:eastAsia="楷体"/>
          <w:b/>
          <w:color w:val="auto"/>
          <w:sz w:val="24"/>
          <w:highlight w:val="none"/>
        </w:rPr>
      </w:pPr>
      <w:bookmarkStart w:id="571" w:name="_Toc21567"/>
      <w:bookmarkStart w:id="572" w:name="_Toc16907"/>
      <w:bookmarkStart w:id="573" w:name="_Toc32466"/>
      <w:bookmarkStart w:id="574" w:name="_Toc9009"/>
      <w:bookmarkStart w:id="575" w:name="_Toc21257"/>
      <w:bookmarkStart w:id="576" w:name="_Toc22618"/>
      <w:bookmarkStart w:id="577" w:name="_Toc18434"/>
      <w:bookmarkStart w:id="578" w:name="_Toc7125"/>
      <w:bookmarkStart w:id="579" w:name="_Toc26124"/>
      <w:bookmarkStart w:id="580" w:name="_Toc10340"/>
      <w:bookmarkStart w:id="581" w:name="_Toc1814"/>
      <w:bookmarkStart w:id="582" w:name="_Toc14370"/>
      <w:bookmarkStart w:id="583" w:name="_Toc20901"/>
      <w:r>
        <w:rPr>
          <w:rFonts w:ascii="楷体" w:hAnsi="楷体" w:eastAsia="楷体"/>
          <w:b/>
          <w:color w:val="auto"/>
          <w:sz w:val="24"/>
          <w:highlight w:val="none"/>
        </w:rPr>
        <w:t xml:space="preserve">1.4 </w:t>
      </w:r>
      <w:r>
        <w:rPr>
          <w:rFonts w:hint="eastAsia" w:ascii="楷体" w:hAnsi="楷体" w:eastAsia="楷体"/>
          <w:b/>
          <w:color w:val="auto"/>
          <w:sz w:val="24"/>
          <w:highlight w:val="none"/>
        </w:rPr>
        <w:t>付款方式和发票开具方式</w:t>
      </w:r>
      <w:bookmarkEnd w:id="571"/>
      <w:bookmarkEnd w:id="572"/>
      <w:bookmarkEnd w:id="573"/>
      <w:bookmarkEnd w:id="574"/>
      <w:bookmarkEnd w:id="575"/>
      <w:bookmarkEnd w:id="576"/>
      <w:bookmarkEnd w:id="577"/>
      <w:bookmarkEnd w:id="578"/>
      <w:bookmarkEnd w:id="579"/>
      <w:bookmarkEnd w:id="580"/>
      <w:bookmarkEnd w:id="581"/>
      <w:bookmarkEnd w:id="582"/>
      <w:bookmarkEnd w:id="583"/>
    </w:p>
    <w:p>
      <w:pPr>
        <w:spacing w:line="560" w:lineRule="exact"/>
        <w:ind w:firstLine="480" w:firstLineChars="200"/>
        <w:rPr>
          <w:rFonts w:hint="eastAsia" w:ascii="楷体" w:hAnsi="楷体" w:eastAsia="楷体"/>
          <w:color w:val="auto"/>
          <w:sz w:val="24"/>
          <w:highlight w:val="none"/>
          <w:u w:val="single"/>
        </w:rPr>
      </w:pPr>
      <w:r>
        <w:rPr>
          <w:rFonts w:ascii="楷体" w:hAnsi="楷体" w:eastAsia="楷体"/>
          <w:color w:val="auto"/>
          <w:sz w:val="24"/>
          <w:highlight w:val="none"/>
        </w:rPr>
        <w:t xml:space="preserve">1.4.1 </w:t>
      </w:r>
      <w:r>
        <w:rPr>
          <w:rFonts w:hint="eastAsia" w:ascii="楷体" w:hAnsi="楷体" w:eastAsia="楷体"/>
          <w:color w:val="auto"/>
          <w:sz w:val="24"/>
          <w:highlight w:val="none"/>
        </w:rPr>
        <w:t>付款方式：</w:t>
      </w:r>
      <w:r>
        <w:rPr>
          <w:rFonts w:hint="eastAsia" w:ascii="楷体" w:hAnsi="楷体" w:eastAsia="楷体"/>
          <w:color w:val="auto"/>
          <w:sz w:val="24"/>
          <w:highlight w:val="none"/>
          <w:u w:val="single"/>
        </w:rPr>
        <w:t xml:space="preserve"> 按合同约定支付</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1.4.2 </w:t>
      </w:r>
      <w:r>
        <w:rPr>
          <w:rFonts w:hint="eastAsia" w:ascii="楷体" w:hAnsi="楷体" w:eastAsia="楷体"/>
          <w:color w:val="auto"/>
          <w:sz w:val="24"/>
          <w:highlight w:val="none"/>
        </w:rPr>
        <w:t>发票开具方式：</w:t>
      </w:r>
      <w:r>
        <w:rPr>
          <w:rFonts w:hint="eastAsia" w:ascii="楷体" w:hAnsi="楷体" w:eastAsia="楷体"/>
          <w:color w:val="auto"/>
          <w:sz w:val="24"/>
          <w:highlight w:val="none"/>
          <w:u w:val="single"/>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584" w:name="_Toc32034"/>
      <w:bookmarkStart w:id="585" w:name="_Toc13371"/>
      <w:bookmarkStart w:id="586" w:name="_Toc4514"/>
      <w:bookmarkStart w:id="587" w:name="_Toc32071"/>
      <w:bookmarkStart w:id="588" w:name="_Toc13908"/>
      <w:bookmarkStart w:id="589" w:name="_Toc16948"/>
      <w:bookmarkStart w:id="590" w:name="_Toc6022"/>
      <w:bookmarkStart w:id="591" w:name="_Toc13438"/>
      <w:bookmarkStart w:id="592" w:name="_Toc11867"/>
      <w:bookmarkStart w:id="593" w:name="_Toc20783"/>
      <w:bookmarkStart w:id="594" w:name="_Toc2846"/>
      <w:bookmarkStart w:id="595" w:name="_Toc25668"/>
      <w:bookmarkStart w:id="596" w:name="_Toc19304"/>
      <w:r>
        <w:rPr>
          <w:rFonts w:ascii="楷体" w:hAnsi="楷体" w:eastAsia="楷体"/>
          <w:b/>
          <w:color w:val="auto"/>
          <w:sz w:val="24"/>
          <w:highlight w:val="none"/>
        </w:rPr>
        <w:t xml:space="preserve">1.5 </w:t>
      </w:r>
      <w:r>
        <w:rPr>
          <w:rFonts w:hint="eastAsia" w:ascii="楷体" w:hAnsi="楷体" w:eastAsia="楷体"/>
          <w:b/>
          <w:color w:val="auto"/>
          <w:sz w:val="24"/>
          <w:highlight w:val="none"/>
        </w:rPr>
        <w:t>货物交付期限、地点和方式</w:t>
      </w:r>
      <w:bookmarkEnd w:id="584"/>
      <w:bookmarkEnd w:id="585"/>
      <w:bookmarkEnd w:id="586"/>
      <w:bookmarkEnd w:id="587"/>
      <w:bookmarkEnd w:id="588"/>
      <w:bookmarkEnd w:id="589"/>
      <w:bookmarkEnd w:id="590"/>
      <w:bookmarkEnd w:id="591"/>
      <w:bookmarkEnd w:id="592"/>
      <w:bookmarkEnd w:id="593"/>
      <w:bookmarkEnd w:id="594"/>
      <w:bookmarkEnd w:id="595"/>
      <w:bookmarkEnd w:id="596"/>
    </w:p>
    <w:p>
      <w:pPr>
        <w:spacing w:line="560" w:lineRule="exact"/>
        <w:ind w:firstLine="480" w:firstLineChars="200"/>
        <w:rPr>
          <w:rFonts w:hint="eastAsia" w:ascii="楷体" w:hAnsi="楷体" w:eastAsia="楷体"/>
          <w:color w:val="auto"/>
          <w:sz w:val="24"/>
          <w:highlight w:val="none"/>
          <w:u w:val="single"/>
        </w:rPr>
      </w:pPr>
      <w:r>
        <w:rPr>
          <w:rFonts w:ascii="楷体" w:hAnsi="楷体" w:eastAsia="楷体"/>
          <w:color w:val="auto"/>
          <w:sz w:val="24"/>
          <w:highlight w:val="none"/>
        </w:rPr>
        <w:t xml:space="preserve">1.5.1 </w:t>
      </w:r>
      <w:r>
        <w:rPr>
          <w:rFonts w:hint="eastAsia" w:ascii="楷体" w:hAnsi="楷体" w:eastAsia="楷体"/>
          <w:color w:val="auto"/>
          <w:sz w:val="24"/>
          <w:highlight w:val="none"/>
        </w:rPr>
        <w:t>交付期限：</w:t>
      </w:r>
      <w:r>
        <w:rPr>
          <w:rFonts w:hint="eastAsia" w:ascii="楷体" w:hAnsi="楷体" w:eastAsia="楷体"/>
          <w:color w:val="auto"/>
          <w:sz w:val="24"/>
          <w:highlight w:val="none"/>
          <w:u w:val="single"/>
        </w:rPr>
        <w:t>按合同约定  ；</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1.5.2 </w:t>
      </w:r>
      <w:r>
        <w:rPr>
          <w:rFonts w:hint="eastAsia" w:ascii="楷体" w:hAnsi="楷体" w:eastAsia="楷体"/>
          <w:color w:val="auto"/>
          <w:sz w:val="24"/>
          <w:highlight w:val="none"/>
        </w:rPr>
        <w:t>交付地点：</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采购人指定地点</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1.5.3 </w:t>
      </w:r>
      <w:r>
        <w:rPr>
          <w:rFonts w:hint="eastAsia" w:ascii="楷体" w:hAnsi="楷体" w:eastAsia="楷体"/>
          <w:color w:val="auto"/>
          <w:sz w:val="24"/>
          <w:highlight w:val="none"/>
        </w:rPr>
        <w:t>交付方式：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xml:space="preserve">按1.4.1执行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597" w:name="_Toc19322"/>
      <w:bookmarkStart w:id="598" w:name="_Toc24916"/>
      <w:bookmarkStart w:id="599" w:name="_Toc27250"/>
      <w:bookmarkStart w:id="600" w:name="_Toc21423"/>
      <w:bookmarkStart w:id="601" w:name="_Toc22054"/>
      <w:bookmarkStart w:id="602" w:name="_Toc13758"/>
      <w:bookmarkStart w:id="603" w:name="_Toc19554"/>
      <w:bookmarkStart w:id="604" w:name="_Toc24336"/>
      <w:bookmarkStart w:id="605" w:name="_Toc5538"/>
      <w:bookmarkStart w:id="606" w:name="_Toc4919"/>
      <w:bookmarkStart w:id="607" w:name="_Toc14168"/>
      <w:bookmarkStart w:id="608" w:name="_Toc1460"/>
      <w:bookmarkStart w:id="609" w:name="_Toc7430"/>
      <w:r>
        <w:rPr>
          <w:rFonts w:ascii="楷体" w:hAnsi="楷体" w:eastAsia="楷体"/>
          <w:b/>
          <w:color w:val="auto"/>
          <w:sz w:val="24"/>
          <w:highlight w:val="none"/>
        </w:rPr>
        <w:t xml:space="preserve">1.6 </w:t>
      </w:r>
      <w:r>
        <w:rPr>
          <w:rFonts w:hint="eastAsia" w:ascii="楷体" w:hAnsi="楷体" w:eastAsia="楷体"/>
          <w:b/>
          <w:color w:val="auto"/>
          <w:sz w:val="24"/>
          <w:highlight w:val="none"/>
        </w:rPr>
        <w:t>违约责任</w:t>
      </w:r>
      <w:bookmarkEnd w:id="597"/>
      <w:bookmarkEnd w:id="598"/>
      <w:bookmarkEnd w:id="599"/>
      <w:bookmarkEnd w:id="600"/>
      <w:bookmarkEnd w:id="601"/>
      <w:bookmarkEnd w:id="602"/>
      <w:bookmarkEnd w:id="603"/>
      <w:bookmarkEnd w:id="604"/>
      <w:bookmarkEnd w:id="605"/>
      <w:bookmarkEnd w:id="606"/>
      <w:bookmarkEnd w:id="607"/>
      <w:bookmarkEnd w:id="608"/>
      <w:bookmarkEnd w:id="609"/>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1.6.1 </w:t>
      </w:r>
      <w:r>
        <w:rPr>
          <w:rFonts w:hint="eastAsia" w:ascii="楷体" w:hAnsi="楷体" w:eastAsia="楷体"/>
          <w:color w:val="auto"/>
          <w:sz w:val="24"/>
          <w:highlight w:val="none"/>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计算，最高限额为本合同总价的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1.6.2 </w:t>
      </w:r>
      <w:r>
        <w:rPr>
          <w:rFonts w:hint="eastAsia" w:ascii="楷体" w:hAnsi="楷体" w:eastAsia="楷体"/>
          <w:color w:val="auto"/>
          <w:sz w:val="24"/>
          <w:highlight w:val="none"/>
        </w:rPr>
        <w:t>除不可抗力外，如果甲方没有按照本合同约定的付款方式付款，那么乙方可要求甲方支付违约金，违约金按每迟延付款一日的应付而未付款的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计算，最高限额为本合同总价的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1.6.3 </w:t>
      </w:r>
      <w:r>
        <w:rPr>
          <w:rFonts w:hint="eastAsia" w:ascii="楷体" w:hAnsi="楷体" w:eastAsia="楷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1.6.4 </w:t>
      </w:r>
      <w:r>
        <w:rPr>
          <w:rFonts w:hint="eastAsia" w:ascii="楷体" w:hAnsi="楷体" w:eastAsia="楷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1.6.5 </w:t>
      </w:r>
      <w:r>
        <w:rPr>
          <w:rFonts w:hint="eastAsia" w:ascii="楷体" w:hAnsi="楷体" w:eastAsia="楷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1.6.6 </w:t>
      </w:r>
      <w:r>
        <w:rPr>
          <w:rFonts w:hint="eastAsia" w:ascii="楷体" w:hAnsi="楷体" w:eastAsia="楷体"/>
          <w:color w:val="auto"/>
          <w:sz w:val="24"/>
          <w:highlight w:val="none"/>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color w:val="auto"/>
          <w:sz w:val="24"/>
          <w:highlight w:val="none"/>
        </w:rPr>
      </w:pPr>
      <w:bookmarkStart w:id="610" w:name="_Toc15583"/>
      <w:bookmarkStart w:id="611" w:name="_Toc19976"/>
      <w:bookmarkStart w:id="612" w:name="_Toc16594"/>
      <w:bookmarkStart w:id="613" w:name="_Toc24867"/>
      <w:bookmarkStart w:id="614" w:name="_Toc23668"/>
      <w:bookmarkStart w:id="615" w:name="_Toc6496"/>
      <w:bookmarkStart w:id="616" w:name="_Toc16021"/>
      <w:bookmarkStart w:id="617" w:name="_Toc6118"/>
      <w:bookmarkStart w:id="618" w:name="_Toc29604"/>
      <w:bookmarkStart w:id="619" w:name="_Toc30012"/>
      <w:bookmarkStart w:id="620" w:name="_Toc20868"/>
      <w:bookmarkStart w:id="621" w:name="_Toc28375"/>
      <w:bookmarkStart w:id="622" w:name="_Toc26409"/>
      <w:r>
        <w:rPr>
          <w:rFonts w:ascii="楷体" w:hAnsi="楷体" w:eastAsia="楷体"/>
          <w:b/>
          <w:color w:val="auto"/>
          <w:sz w:val="24"/>
          <w:highlight w:val="none"/>
        </w:rPr>
        <w:t xml:space="preserve">1.7 </w:t>
      </w:r>
      <w:r>
        <w:rPr>
          <w:rFonts w:hint="eastAsia" w:ascii="楷体" w:hAnsi="楷体" w:eastAsia="楷体"/>
          <w:b/>
          <w:color w:val="auto"/>
          <w:sz w:val="24"/>
          <w:highlight w:val="none"/>
        </w:rPr>
        <w:t>合同争议的解决</w:t>
      </w:r>
      <w:bookmarkEnd w:id="610"/>
      <w:bookmarkEnd w:id="611"/>
      <w:bookmarkEnd w:id="612"/>
      <w:bookmarkEnd w:id="613"/>
      <w:bookmarkEnd w:id="614"/>
      <w:bookmarkEnd w:id="615"/>
      <w:bookmarkEnd w:id="616"/>
      <w:bookmarkEnd w:id="617"/>
      <w:bookmarkEnd w:id="618"/>
      <w:bookmarkEnd w:id="619"/>
      <w:bookmarkEnd w:id="620"/>
      <w:bookmarkEnd w:id="621"/>
      <w:bookmarkEnd w:id="62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本合同履行过程中发生的任何争议，双方当事人均可通过和解或者调解解决；不愿和解、调解或者和解、调解不成的，可以选择下列第</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种方式解决：</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1.7.1 </w:t>
      </w:r>
      <w:r>
        <w:rPr>
          <w:rFonts w:hint="eastAsia" w:ascii="楷体" w:hAnsi="楷体" w:eastAsia="楷体"/>
          <w:color w:val="auto"/>
          <w:sz w:val="24"/>
          <w:highlight w:val="none"/>
        </w:rPr>
        <w:t>将争议提交</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仲裁委员会依申请仲裁时其现行有效的仲裁规则裁决；</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1.7.2 </w:t>
      </w:r>
      <w:r>
        <w:rPr>
          <w:rFonts w:hint="eastAsia" w:ascii="楷体" w:hAnsi="楷体" w:eastAsia="楷体"/>
          <w:color w:val="auto"/>
          <w:sz w:val="24"/>
          <w:highlight w:val="none"/>
        </w:rPr>
        <w:t>向</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（被告住所地、合同履行地、合同签订地、原告住所地、标的物所在地等与争议有实际联系的地点中选出的人民法院名称）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人民法院起诉。</w:t>
      </w:r>
    </w:p>
    <w:p>
      <w:pPr>
        <w:spacing w:line="560" w:lineRule="exact"/>
        <w:ind w:firstLine="482" w:firstLineChars="200"/>
        <w:outlineLvl w:val="0"/>
        <w:rPr>
          <w:rFonts w:ascii="楷体" w:hAnsi="楷体" w:eastAsia="楷体"/>
          <w:b/>
          <w:color w:val="auto"/>
          <w:sz w:val="24"/>
          <w:highlight w:val="none"/>
        </w:rPr>
      </w:pPr>
      <w:bookmarkStart w:id="623" w:name="_Toc3448"/>
      <w:bookmarkStart w:id="624" w:name="_Toc9331"/>
      <w:bookmarkStart w:id="625" w:name="_Toc30705"/>
      <w:bookmarkStart w:id="626" w:name="_Toc11665"/>
      <w:bookmarkStart w:id="627" w:name="_Toc32304"/>
      <w:bookmarkStart w:id="628" w:name="_Toc25967"/>
      <w:bookmarkStart w:id="629" w:name="_Toc22066"/>
      <w:bookmarkStart w:id="630" w:name="_Toc7245"/>
      <w:bookmarkStart w:id="631" w:name="_Toc16937"/>
      <w:bookmarkStart w:id="632" w:name="_Toc14154"/>
      <w:bookmarkStart w:id="633" w:name="_Toc29194"/>
      <w:bookmarkStart w:id="634" w:name="_Toc15322"/>
      <w:bookmarkStart w:id="635" w:name="_Toc11173"/>
      <w:r>
        <w:rPr>
          <w:rFonts w:ascii="楷体" w:hAnsi="楷体" w:eastAsia="楷体"/>
          <w:b/>
          <w:color w:val="auto"/>
          <w:sz w:val="24"/>
          <w:highlight w:val="none"/>
        </w:rPr>
        <w:t xml:space="preserve">1.8 </w:t>
      </w:r>
      <w:r>
        <w:rPr>
          <w:rFonts w:hint="eastAsia" w:ascii="楷体" w:hAnsi="楷体" w:eastAsia="楷体"/>
          <w:b/>
          <w:color w:val="auto"/>
          <w:sz w:val="24"/>
          <w:highlight w:val="none"/>
        </w:rPr>
        <w:t>合同生效</w:t>
      </w:r>
      <w:bookmarkEnd w:id="623"/>
      <w:bookmarkEnd w:id="624"/>
      <w:bookmarkEnd w:id="625"/>
      <w:bookmarkEnd w:id="626"/>
      <w:bookmarkEnd w:id="627"/>
      <w:bookmarkEnd w:id="628"/>
      <w:bookmarkEnd w:id="629"/>
      <w:bookmarkEnd w:id="630"/>
      <w:bookmarkEnd w:id="631"/>
      <w:bookmarkEnd w:id="632"/>
      <w:bookmarkEnd w:id="633"/>
      <w:bookmarkEnd w:id="634"/>
      <w:bookmarkEnd w:id="635"/>
    </w:p>
    <w:p>
      <w:pPr>
        <w:spacing w:line="560" w:lineRule="exact"/>
        <w:ind w:firstLine="480" w:firstLineChars="200"/>
        <w:rPr>
          <w:rFonts w:ascii="楷体" w:hAnsi="楷体" w:eastAsia="楷体"/>
          <w:b/>
          <w:color w:val="auto"/>
          <w:sz w:val="24"/>
          <w:highlight w:val="none"/>
        </w:rPr>
      </w:pPr>
      <w:r>
        <w:rPr>
          <w:rFonts w:hint="eastAsia" w:ascii="楷体" w:hAnsi="楷体" w:eastAsia="楷体"/>
          <w:color w:val="auto"/>
          <w:sz w:val="24"/>
          <w:highlight w:val="none"/>
        </w:rPr>
        <w:t>本合同自双方当事人盖章或者签字时生效。</w:t>
      </w:r>
    </w:p>
    <w:p>
      <w:pPr>
        <w:autoSpaceDE w:val="0"/>
        <w:autoSpaceDN w:val="0"/>
        <w:adjustRightInd w:val="0"/>
        <w:spacing w:line="560" w:lineRule="exact"/>
        <w:rPr>
          <w:rFonts w:ascii="楷体" w:hAnsi="楷体" w:eastAsia="楷体"/>
          <w:color w:val="auto"/>
          <w:sz w:val="24"/>
          <w:highlight w:val="none"/>
          <w:lang w:val="zh-CN"/>
        </w:rPr>
      </w:pP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b/>
          <w:color w:val="auto"/>
          <w:sz w:val="24"/>
          <w:highlight w:val="none"/>
          <w:lang w:val="zh-CN"/>
        </w:rPr>
        <w:t>甲方</w:t>
      </w:r>
      <w:r>
        <w:rPr>
          <w:rFonts w:hint="eastAsia" w:ascii="楷体" w:hAnsi="楷体" w:eastAsia="楷体"/>
          <w:color w:val="auto"/>
          <w:sz w:val="24"/>
          <w:highlight w:val="none"/>
          <w:lang w:val="zh-CN"/>
        </w:rPr>
        <w:t>：</w:t>
      </w:r>
      <w:r>
        <w:rPr>
          <w:rFonts w:ascii="楷体" w:hAnsi="楷体" w:eastAsia="楷体"/>
          <w:color w:val="auto"/>
          <w:sz w:val="24"/>
          <w:highlight w:val="none"/>
          <w:lang w:val="zh-CN"/>
        </w:rPr>
        <w:t xml:space="preserve">                             </w:t>
      </w:r>
      <w:r>
        <w:rPr>
          <w:rFonts w:ascii="楷体" w:hAnsi="楷体" w:eastAsia="楷体"/>
          <w:b/>
          <w:color w:val="auto"/>
          <w:sz w:val="24"/>
          <w:highlight w:val="none"/>
          <w:lang w:val="zh-CN"/>
        </w:rPr>
        <w:t xml:space="preserve">      </w:t>
      </w:r>
      <w:r>
        <w:rPr>
          <w:rFonts w:hint="eastAsia" w:ascii="楷体" w:hAnsi="楷体" w:eastAsia="楷体"/>
          <w:b/>
          <w:color w:val="auto"/>
          <w:sz w:val="24"/>
          <w:highlight w:val="none"/>
          <w:lang w:val="zh-CN"/>
        </w:rPr>
        <w:t>乙方</w:t>
      </w:r>
      <w:r>
        <w:rPr>
          <w:rFonts w:hint="eastAsia" w:ascii="楷体" w:hAnsi="楷体" w:eastAsia="楷体"/>
          <w:color w:val="auto"/>
          <w:sz w:val="24"/>
          <w:highlight w:val="none"/>
          <w:lang w:val="zh-CN"/>
        </w:rPr>
        <w:t>：</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统一社会信用代码：</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统一社会信用代码或身份证号码：</w:t>
      </w:r>
    </w:p>
    <w:p>
      <w:pPr>
        <w:autoSpaceDE w:val="0"/>
        <w:autoSpaceDN w:val="0"/>
        <w:adjustRightInd w:val="0"/>
        <w:spacing w:line="560" w:lineRule="exact"/>
        <w:rPr>
          <w:rFonts w:ascii="楷体" w:hAnsi="楷体" w:eastAsia="楷体"/>
          <w:color w:val="auto"/>
          <w:sz w:val="24"/>
          <w:highlight w:val="none"/>
          <w:lang w:val="zh-CN"/>
        </w:rPr>
      </w:pP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住所：</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住所：</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法定代表人或</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法定代表人</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授权代表（签字）：</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或授权代表（签字）</w:t>
      </w:r>
      <w:r>
        <w:rPr>
          <w:rFonts w:ascii="楷体" w:hAnsi="楷体" w:eastAsia="楷体"/>
          <w:color w:val="auto"/>
          <w:sz w:val="24"/>
          <w:highlight w:val="none"/>
          <w:lang w:val="zh-CN"/>
        </w:rPr>
        <w:t xml:space="preserve">: </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联系人：</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联系人：</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约定送达地址：</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约定送达地址：</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邮政编码：</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邮政编码：</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电话</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电话</w:t>
      </w:r>
      <w:r>
        <w:rPr>
          <w:rFonts w:ascii="楷体" w:hAnsi="楷体" w:eastAsia="楷体"/>
          <w:color w:val="auto"/>
          <w:sz w:val="24"/>
          <w:highlight w:val="none"/>
          <w:lang w:val="zh-CN"/>
        </w:rPr>
        <w:t xml:space="preserve">: </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传真</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传真</w:t>
      </w:r>
      <w:r>
        <w:rPr>
          <w:rFonts w:ascii="楷体" w:hAnsi="楷体" w:eastAsia="楷体"/>
          <w:color w:val="auto"/>
          <w:sz w:val="24"/>
          <w:highlight w:val="none"/>
          <w:lang w:val="zh-CN"/>
        </w:rPr>
        <w:t>:</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lang w:val="zh-CN"/>
        </w:rPr>
        <w:t>电子邮箱：</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电子邮箱：</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开户银行：</w:t>
      </w:r>
      <w:r>
        <w:rPr>
          <w:rFonts w:ascii="楷体" w:hAnsi="楷体" w:eastAsia="楷体"/>
          <w:color w:val="auto"/>
          <w:sz w:val="24"/>
          <w:highlight w:val="none"/>
        </w:rPr>
        <w:t xml:space="preserve">                               </w:t>
      </w:r>
      <w:r>
        <w:rPr>
          <w:rFonts w:hint="eastAsia" w:ascii="楷体" w:hAnsi="楷体" w:eastAsia="楷体"/>
          <w:color w:val="auto"/>
          <w:sz w:val="24"/>
          <w:highlight w:val="none"/>
        </w:rPr>
        <w:t>开户银行：</w:t>
      </w:r>
      <w:r>
        <w:rPr>
          <w:rFonts w:ascii="楷体" w:hAnsi="楷体" w:eastAsia="楷体"/>
          <w:color w:val="auto"/>
          <w:sz w:val="24"/>
          <w:highlight w:val="none"/>
        </w:rPr>
        <w:t xml:space="preserve"> </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开户名称：</w:t>
      </w:r>
      <w:r>
        <w:rPr>
          <w:rFonts w:ascii="楷体" w:hAnsi="楷体" w:eastAsia="楷体"/>
          <w:color w:val="auto"/>
          <w:sz w:val="24"/>
          <w:highlight w:val="none"/>
        </w:rPr>
        <w:t xml:space="preserve">                               </w:t>
      </w:r>
      <w:r>
        <w:rPr>
          <w:rFonts w:hint="eastAsia" w:ascii="楷体" w:hAnsi="楷体" w:eastAsia="楷体"/>
          <w:color w:val="auto"/>
          <w:sz w:val="24"/>
          <w:highlight w:val="none"/>
        </w:rPr>
        <w:t>开户名称：</w:t>
      </w:r>
      <w:r>
        <w:rPr>
          <w:rFonts w:ascii="楷体" w:hAnsi="楷体" w:eastAsia="楷体"/>
          <w:color w:val="auto"/>
          <w:sz w:val="24"/>
          <w:highlight w:val="none"/>
        </w:rPr>
        <w:t xml:space="preserve"> </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开户账号：</w:t>
      </w:r>
      <w:r>
        <w:rPr>
          <w:rFonts w:ascii="楷体" w:hAnsi="楷体" w:eastAsia="楷体"/>
          <w:color w:val="auto"/>
          <w:sz w:val="24"/>
          <w:highlight w:val="none"/>
          <w:lang w:val="zh-CN"/>
        </w:rPr>
        <w:t xml:space="preserve">                               </w:t>
      </w:r>
      <w:r>
        <w:rPr>
          <w:rFonts w:hint="eastAsia" w:ascii="楷体" w:hAnsi="楷体" w:eastAsia="楷体"/>
          <w:color w:val="auto"/>
          <w:sz w:val="24"/>
          <w:highlight w:val="none"/>
        </w:rPr>
        <w:t>开户账号：</w:t>
      </w:r>
    </w:p>
    <w:p>
      <w:pPr>
        <w:widowControl/>
        <w:spacing w:line="560" w:lineRule="exact"/>
        <w:jc w:val="left"/>
        <w:rPr>
          <w:rFonts w:ascii="楷体" w:hAnsi="楷体" w:eastAsia="楷体"/>
          <w:b/>
          <w:color w:val="auto"/>
          <w:highlight w:val="none"/>
        </w:rPr>
      </w:pPr>
      <w:bookmarkStart w:id="636" w:name="_Toc331685783"/>
    </w:p>
    <w:p>
      <w:pPr>
        <w:widowControl/>
        <w:spacing w:line="560" w:lineRule="exact"/>
        <w:jc w:val="left"/>
        <w:rPr>
          <w:rFonts w:ascii="楷体" w:hAnsi="楷体" w:eastAsia="楷体"/>
          <w:b/>
          <w:color w:val="auto"/>
          <w:kern w:val="0"/>
          <w:sz w:val="24"/>
          <w:highlight w:val="none"/>
        </w:rPr>
      </w:pPr>
    </w:p>
    <w:p>
      <w:pPr>
        <w:pStyle w:val="60"/>
        <w:spacing w:line="560" w:lineRule="exact"/>
        <w:ind w:firstLine="200"/>
        <w:jc w:val="center"/>
        <w:rPr>
          <w:rFonts w:ascii="楷体" w:hAnsi="楷体" w:eastAsia="楷体"/>
          <w:b/>
          <w:color w:val="auto"/>
          <w:szCs w:val="24"/>
          <w:highlight w:val="none"/>
        </w:rPr>
      </w:pPr>
      <w:r>
        <w:rPr>
          <w:rFonts w:hint="eastAsia" w:ascii="楷体" w:hAnsi="楷体" w:eastAsia="楷体"/>
          <w:b/>
          <w:color w:val="auto"/>
          <w:szCs w:val="24"/>
          <w:highlight w:val="none"/>
        </w:rPr>
        <w:t>第二部分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合同一般条款</w:t>
      </w:r>
      <w:bookmarkEnd w:id="636"/>
    </w:p>
    <w:p>
      <w:pPr>
        <w:spacing w:line="560" w:lineRule="exact"/>
        <w:ind w:firstLine="482" w:firstLineChars="200"/>
        <w:outlineLvl w:val="0"/>
        <w:rPr>
          <w:rFonts w:ascii="楷体" w:hAnsi="楷体" w:eastAsia="楷体"/>
          <w:b/>
          <w:color w:val="auto"/>
          <w:sz w:val="24"/>
          <w:highlight w:val="none"/>
        </w:rPr>
      </w:pPr>
      <w:bookmarkStart w:id="637" w:name="_Ref467378463"/>
      <w:bookmarkStart w:id="638" w:name="_Toc19614"/>
      <w:bookmarkStart w:id="639" w:name="_Ref467379195"/>
      <w:bookmarkStart w:id="640" w:name="_Toc17389"/>
      <w:bookmarkStart w:id="641" w:name="_Toc259093669"/>
      <w:bookmarkStart w:id="642" w:name="_Toc32446"/>
      <w:bookmarkStart w:id="643" w:name="_Toc15829"/>
      <w:bookmarkStart w:id="644" w:name="_Toc25227"/>
      <w:bookmarkStart w:id="645" w:name="_Ref467379225"/>
      <w:bookmarkStart w:id="646" w:name="_Ref467379214"/>
      <w:bookmarkStart w:id="647" w:name="_Toc28763"/>
      <w:bookmarkStart w:id="648" w:name="_Toc5987"/>
      <w:bookmarkStart w:id="649" w:name="_Toc4480"/>
      <w:bookmarkStart w:id="650" w:name="_Ref467379094"/>
      <w:bookmarkStart w:id="651" w:name="_Toc4735"/>
      <w:bookmarkStart w:id="652" w:name="_Ref467378404"/>
      <w:bookmarkStart w:id="653" w:name="_Ref467379101"/>
      <w:bookmarkStart w:id="654" w:name="_Ref467379109"/>
      <w:bookmarkStart w:id="655" w:name="_Ref467378499"/>
      <w:bookmarkStart w:id="656" w:name="_Toc16917"/>
      <w:bookmarkStart w:id="657" w:name="_Toc16633"/>
      <w:bookmarkStart w:id="658" w:name="_Toc279701240"/>
      <w:bookmarkStart w:id="659" w:name="_Toc487900349"/>
      <w:bookmarkStart w:id="660" w:name="_Toc8647"/>
      <w:bookmarkStart w:id="661" w:name="_Toc27991"/>
      <w:bookmarkStart w:id="662" w:name="_Ref467379205"/>
      <w:r>
        <w:rPr>
          <w:rFonts w:ascii="楷体" w:hAnsi="楷体" w:eastAsia="楷体"/>
          <w:b/>
          <w:color w:val="auto"/>
          <w:sz w:val="24"/>
          <w:highlight w:val="none"/>
        </w:rPr>
        <w:t xml:space="preserve">2.1 </w:t>
      </w:r>
      <w:r>
        <w:rPr>
          <w:rFonts w:hint="eastAsia" w:ascii="楷体" w:hAnsi="楷体" w:eastAsia="楷体"/>
          <w:b/>
          <w:color w:val="auto"/>
          <w:sz w:val="24"/>
          <w:highlight w:val="none"/>
        </w:rPr>
        <w:t>定义</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本合同中的下列词语应按以下内容进行解释：</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 </w:t>
      </w:r>
      <w:r>
        <w:rPr>
          <w:rFonts w:hint="eastAsia" w:ascii="楷体" w:hAnsi="楷体" w:eastAsia="楷体"/>
          <w:color w:val="auto"/>
          <w:sz w:val="24"/>
          <w:highlight w:val="none"/>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2.1.2 </w:t>
      </w:r>
      <w:r>
        <w:rPr>
          <w:rFonts w:hint="eastAsia" w:ascii="楷体" w:hAnsi="楷体" w:eastAsia="楷体"/>
          <w:color w:val="auto"/>
          <w:sz w:val="24"/>
          <w:highlight w:val="none"/>
        </w:rPr>
        <w:t>“合同价”系指根据合同约定，中标供应商在完全履行合同义务后，采购人应支付给中标供应商的价格。</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2.1.3 </w:t>
      </w:r>
      <w:r>
        <w:rPr>
          <w:rFonts w:hint="eastAsia" w:ascii="楷体" w:hAnsi="楷体" w:eastAsia="楷体"/>
          <w:color w:val="auto"/>
          <w:sz w:val="24"/>
          <w:highlight w:val="none"/>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color w:val="auto"/>
          <w:sz w:val="24"/>
          <w:highlight w:val="none"/>
        </w:rPr>
      </w:pPr>
      <w:bookmarkStart w:id="663" w:name="_Ref467378840"/>
      <w:r>
        <w:rPr>
          <w:rFonts w:ascii="楷体" w:hAnsi="楷体" w:eastAsia="楷体"/>
          <w:color w:val="auto"/>
          <w:sz w:val="24"/>
          <w:highlight w:val="none"/>
        </w:rPr>
        <w:t xml:space="preserve">2.1.4 </w:t>
      </w:r>
      <w:r>
        <w:rPr>
          <w:rFonts w:hint="eastAsia" w:ascii="楷体" w:hAnsi="楷体" w:eastAsia="楷体"/>
          <w:color w:val="auto"/>
          <w:sz w:val="24"/>
          <w:highlight w:val="none"/>
        </w:rPr>
        <w:t>“甲方”系指与中标供应商签署合同的采购人</w:t>
      </w:r>
      <w:bookmarkEnd w:id="663"/>
      <w:r>
        <w:rPr>
          <w:rFonts w:hint="eastAsia" w:ascii="楷体" w:hAnsi="楷体" w:eastAsia="楷体"/>
          <w:color w:val="auto"/>
          <w:sz w:val="24"/>
          <w:highlight w:val="none"/>
        </w:rPr>
        <w:t>；采购人委托采购代理机构代表其与乙方签订合同的，采购人的授权委托书作为合同附件。</w:t>
      </w:r>
    </w:p>
    <w:p>
      <w:pPr>
        <w:spacing w:line="560" w:lineRule="exact"/>
        <w:ind w:firstLine="480" w:firstLineChars="200"/>
        <w:rPr>
          <w:rFonts w:ascii="楷体" w:hAnsi="楷体" w:eastAsia="楷体"/>
          <w:color w:val="auto"/>
          <w:sz w:val="24"/>
          <w:highlight w:val="none"/>
        </w:rPr>
      </w:pPr>
      <w:bookmarkStart w:id="664" w:name="_Ref467379400"/>
      <w:r>
        <w:rPr>
          <w:rFonts w:ascii="楷体" w:hAnsi="楷体" w:eastAsia="楷体"/>
          <w:color w:val="auto"/>
          <w:sz w:val="24"/>
          <w:highlight w:val="none"/>
        </w:rPr>
        <w:t xml:space="preserve">2.1.5 </w:t>
      </w:r>
      <w:r>
        <w:rPr>
          <w:rFonts w:hint="eastAsia" w:ascii="楷体" w:hAnsi="楷体" w:eastAsia="楷体"/>
          <w:color w:val="auto"/>
          <w:sz w:val="24"/>
          <w:highlight w:val="none"/>
        </w:rPr>
        <w:t>“乙方”系指根据合同约定交付货物的中标供应商</w:t>
      </w:r>
      <w:bookmarkEnd w:id="664"/>
      <w:r>
        <w:rPr>
          <w:rFonts w:hint="eastAsia" w:ascii="楷体" w:hAnsi="楷体" w:eastAsia="楷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color w:val="auto"/>
          <w:sz w:val="24"/>
          <w:highlight w:val="none"/>
        </w:rPr>
      </w:pPr>
      <w:bookmarkStart w:id="665" w:name="_Ref467379436"/>
      <w:r>
        <w:rPr>
          <w:rFonts w:ascii="楷体" w:hAnsi="楷体" w:eastAsia="楷体"/>
          <w:color w:val="auto"/>
          <w:sz w:val="24"/>
          <w:highlight w:val="none"/>
        </w:rPr>
        <w:t xml:space="preserve">2.1.6 </w:t>
      </w:r>
      <w:r>
        <w:rPr>
          <w:rFonts w:hint="eastAsia" w:ascii="楷体" w:hAnsi="楷体" w:eastAsia="楷体"/>
          <w:color w:val="auto"/>
          <w:sz w:val="24"/>
          <w:highlight w:val="none"/>
        </w:rPr>
        <w:t>“现场”系指合同约定货物将要运至或者安装的地点。</w:t>
      </w:r>
      <w:bookmarkEnd w:id="665"/>
    </w:p>
    <w:p>
      <w:pPr>
        <w:spacing w:line="560" w:lineRule="exact"/>
        <w:ind w:firstLine="482" w:firstLineChars="200"/>
        <w:outlineLvl w:val="0"/>
        <w:rPr>
          <w:rFonts w:ascii="楷体" w:hAnsi="楷体" w:eastAsia="楷体"/>
          <w:b/>
          <w:color w:val="auto"/>
          <w:sz w:val="24"/>
          <w:highlight w:val="none"/>
        </w:rPr>
      </w:pPr>
      <w:bookmarkStart w:id="666" w:name="_Toc13114"/>
      <w:bookmarkStart w:id="667" w:name="_Toc21373"/>
      <w:bookmarkStart w:id="668" w:name="_Toc487900350"/>
      <w:bookmarkStart w:id="669" w:name="_Toc2381"/>
      <w:bookmarkStart w:id="670" w:name="_Toc196"/>
      <w:bookmarkStart w:id="671" w:name="_Toc28699"/>
      <w:bookmarkStart w:id="672" w:name="_Toc279701241"/>
      <w:bookmarkStart w:id="673" w:name="_Toc32504"/>
      <w:bookmarkStart w:id="674" w:name="_Toc27635"/>
      <w:bookmarkStart w:id="675" w:name="_Toc31394"/>
      <w:bookmarkStart w:id="676" w:name="_Toc12764"/>
      <w:bookmarkStart w:id="677" w:name="_Toc31616"/>
      <w:bookmarkStart w:id="678" w:name="_Toc259093670"/>
      <w:bookmarkStart w:id="679" w:name="_Toc9162"/>
      <w:bookmarkStart w:id="680" w:name="_Toc23496"/>
      <w:bookmarkStart w:id="681" w:name="_Toc13336"/>
      <w:r>
        <w:rPr>
          <w:rFonts w:ascii="楷体" w:hAnsi="楷体" w:eastAsia="楷体"/>
          <w:b/>
          <w:color w:val="auto"/>
          <w:sz w:val="24"/>
          <w:highlight w:val="none"/>
        </w:rPr>
        <w:t xml:space="preserve">2.2 </w:t>
      </w:r>
      <w:r>
        <w:rPr>
          <w:rFonts w:hint="eastAsia" w:ascii="楷体" w:hAnsi="楷体" w:eastAsia="楷体"/>
          <w:b/>
          <w:color w:val="auto"/>
          <w:sz w:val="24"/>
          <w:highlight w:val="none"/>
        </w:rPr>
        <w:t>技术规范</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货物所应遵守的技术规范应与采购文件规定的技术规范和技术规范附件</w:t>
      </w:r>
      <w:r>
        <w:rPr>
          <w:rFonts w:ascii="楷体" w:hAnsi="楷体" w:eastAsia="楷体"/>
          <w:color w:val="auto"/>
          <w:sz w:val="24"/>
          <w:highlight w:val="none"/>
        </w:rPr>
        <w:t>(</w:t>
      </w:r>
      <w:r>
        <w:rPr>
          <w:rFonts w:hint="eastAsia" w:ascii="楷体" w:hAnsi="楷体" w:eastAsia="楷体"/>
          <w:color w:val="auto"/>
          <w:sz w:val="24"/>
          <w:highlight w:val="none"/>
        </w:rPr>
        <w:t>如果有的话</w:t>
      </w:r>
      <w:r>
        <w:rPr>
          <w:rFonts w:ascii="楷体" w:hAnsi="楷体" w:eastAsia="楷体"/>
          <w:color w:val="auto"/>
          <w:sz w:val="24"/>
          <w:highlight w:val="none"/>
        </w:rPr>
        <w:t>)</w:t>
      </w:r>
      <w:r>
        <w:rPr>
          <w:rFonts w:hint="eastAsia" w:ascii="楷体" w:hAnsi="楷体" w:eastAsia="楷体"/>
          <w:color w:val="auto"/>
          <w:sz w:val="24"/>
          <w:highlight w:val="none"/>
        </w:rPr>
        <w:t>及其技术规范偏差表</w:t>
      </w:r>
      <w:r>
        <w:rPr>
          <w:rFonts w:ascii="楷体" w:hAnsi="楷体" w:eastAsia="楷体"/>
          <w:color w:val="auto"/>
          <w:sz w:val="24"/>
          <w:highlight w:val="none"/>
        </w:rPr>
        <w:t>(</w:t>
      </w:r>
      <w:r>
        <w:rPr>
          <w:rFonts w:hint="eastAsia" w:ascii="楷体" w:hAnsi="楷体" w:eastAsia="楷体"/>
          <w:color w:val="auto"/>
          <w:sz w:val="24"/>
          <w:highlight w:val="none"/>
        </w:rPr>
        <w:t>如果被甲方接受的话</w:t>
      </w:r>
      <w:r>
        <w:rPr>
          <w:rFonts w:ascii="楷体" w:hAnsi="楷体" w:eastAsia="楷体"/>
          <w:color w:val="auto"/>
          <w:sz w:val="24"/>
          <w:highlight w:val="none"/>
        </w:rPr>
        <w:t>)</w:t>
      </w:r>
      <w:r>
        <w:rPr>
          <w:rFonts w:hint="eastAsia" w:ascii="楷体" w:hAnsi="楷体" w:eastAsia="楷体"/>
          <w:color w:val="auto"/>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color w:val="auto"/>
          <w:sz w:val="24"/>
          <w:highlight w:val="none"/>
        </w:rPr>
      </w:pPr>
      <w:bookmarkStart w:id="682" w:name="_Toc25411"/>
      <w:bookmarkStart w:id="683" w:name="_Toc31634"/>
      <w:bookmarkStart w:id="684" w:name="_Toc27853"/>
      <w:bookmarkStart w:id="685" w:name="_Toc6757"/>
      <w:bookmarkStart w:id="686" w:name="_Toc28041"/>
      <w:bookmarkStart w:id="687" w:name="_Toc13923"/>
      <w:bookmarkStart w:id="688" w:name="_Toc487900351"/>
      <w:bookmarkStart w:id="689" w:name="_Toc279701242"/>
      <w:bookmarkStart w:id="690" w:name="_Toc32594"/>
      <w:bookmarkStart w:id="691" w:name="_Toc19653"/>
      <w:bookmarkStart w:id="692" w:name="_Toc8077"/>
      <w:bookmarkStart w:id="693" w:name="_Toc9829"/>
      <w:bookmarkStart w:id="694" w:name="_Toc16416"/>
      <w:bookmarkStart w:id="695" w:name="_Toc259093671"/>
      <w:bookmarkStart w:id="696" w:name="_Toc9812"/>
      <w:bookmarkStart w:id="697" w:name="_Toc13425"/>
      <w:r>
        <w:rPr>
          <w:rFonts w:ascii="楷体" w:hAnsi="楷体" w:eastAsia="楷体"/>
          <w:b/>
          <w:color w:val="auto"/>
          <w:sz w:val="24"/>
          <w:highlight w:val="none"/>
        </w:rPr>
        <w:t xml:space="preserve">2.3 </w:t>
      </w:r>
      <w:r>
        <w:rPr>
          <w:rFonts w:hint="eastAsia" w:ascii="楷体" w:hAnsi="楷体" w:eastAsia="楷体"/>
          <w:b/>
          <w:color w:val="auto"/>
          <w:sz w:val="24"/>
          <w:highlight w:val="none"/>
        </w:rPr>
        <w:t>知识产权</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2.3.1 </w:t>
      </w:r>
      <w:r>
        <w:rPr>
          <w:rFonts w:hint="eastAsia" w:ascii="楷体" w:hAnsi="楷体" w:eastAsia="楷体"/>
          <w:color w:val="auto"/>
          <w:sz w:val="24"/>
          <w:highlight w:val="none"/>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2.3.2</w:t>
      </w:r>
      <w:r>
        <w:rPr>
          <w:rFonts w:hint="eastAsia" w:ascii="楷体" w:hAnsi="楷体" w:eastAsia="楷体"/>
          <w:color w:val="auto"/>
          <w:sz w:val="24"/>
          <w:highlight w:val="none"/>
        </w:rPr>
        <w:t>具有知识产权的计算机软件等货物的知识产权归属，详见</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698" w:name="_Toc21549"/>
      <w:bookmarkStart w:id="699" w:name="_Toc3263"/>
      <w:bookmarkStart w:id="700" w:name="_Toc20851"/>
      <w:bookmarkStart w:id="701" w:name="_Toc1267"/>
      <w:bookmarkStart w:id="702" w:name="_Toc28304"/>
      <w:bookmarkStart w:id="703" w:name="_Toc2144"/>
      <w:bookmarkStart w:id="704" w:name="_Toc28151"/>
      <w:bookmarkStart w:id="705" w:name="_Toc11932"/>
      <w:bookmarkStart w:id="706" w:name="_Toc29149"/>
      <w:bookmarkStart w:id="707" w:name="_Toc4194"/>
      <w:bookmarkStart w:id="708" w:name="_Toc10148"/>
      <w:bookmarkStart w:id="709" w:name="_Toc12322"/>
      <w:bookmarkStart w:id="710" w:name="_Toc13129"/>
      <w:r>
        <w:rPr>
          <w:rFonts w:ascii="楷体" w:hAnsi="楷体" w:eastAsia="楷体"/>
          <w:b/>
          <w:color w:val="auto"/>
          <w:sz w:val="24"/>
          <w:highlight w:val="none"/>
        </w:rPr>
        <w:t xml:space="preserve">2.4 </w:t>
      </w:r>
      <w:r>
        <w:rPr>
          <w:rFonts w:hint="eastAsia" w:ascii="楷体" w:hAnsi="楷体" w:eastAsia="楷体"/>
          <w:b/>
          <w:color w:val="auto"/>
          <w:sz w:val="24"/>
          <w:highlight w:val="none"/>
        </w:rPr>
        <w:t>包装和装运</w:t>
      </w:r>
      <w:bookmarkEnd w:id="698"/>
      <w:bookmarkEnd w:id="699"/>
      <w:bookmarkEnd w:id="700"/>
      <w:bookmarkEnd w:id="701"/>
      <w:bookmarkEnd w:id="702"/>
      <w:bookmarkEnd w:id="703"/>
      <w:bookmarkEnd w:id="704"/>
      <w:bookmarkEnd w:id="705"/>
      <w:bookmarkEnd w:id="706"/>
      <w:bookmarkEnd w:id="707"/>
      <w:bookmarkEnd w:id="708"/>
      <w:bookmarkEnd w:id="709"/>
      <w:bookmarkEnd w:id="710"/>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2.4.1</w:t>
      </w:r>
      <w:r>
        <w:rPr>
          <w:rFonts w:hint="eastAsia" w:ascii="楷体" w:hAnsi="楷体" w:eastAsia="楷体"/>
          <w:color w:val="auto"/>
          <w:sz w:val="24"/>
          <w:highlight w:val="none"/>
        </w:rPr>
        <w:t>除</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另有约定外</w:t>
      </w:r>
      <w:r>
        <w:rPr>
          <w:rFonts w:ascii="楷体" w:hAnsi="楷体" w:eastAsia="楷体"/>
          <w:color w:val="auto"/>
          <w:sz w:val="24"/>
          <w:highlight w:val="none"/>
        </w:rPr>
        <w:t>,</w:t>
      </w:r>
      <w:r>
        <w:rPr>
          <w:rFonts w:hint="eastAsia" w:ascii="楷体" w:hAnsi="楷体" w:eastAsia="楷体"/>
          <w:color w:val="auto"/>
          <w:sz w:val="24"/>
          <w:highlight w:val="none"/>
        </w:rPr>
        <w:t>乙方交付的全部货物</w:t>
      </w:r>
      <w:r>
        <w:rPr>
          <w:rFonts w:ascii="楷体" w:hAnsi="楷体" w:eastAsia="楷体"/>
          <w:color w:val="auto"/>
          <w:sz w:val="24"/>
          <w:highlight w:val="none"/>
        </w:rPr>
        <w:t>,</w:t>
      </w:r>
      <w:r>
        <w:rPr>
          <w:rFonts w:hint="eastAsia" w:ascii="楷体" w:hAnsi="楷体" w:eastAsia="楷体"/>
          <w:color w:val="auto"/>
          <w:sz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2.4.2 </w:t>
      </w:r>
      <w:r>
        <w:rPr>
          <w:rFonts w:hint="eastAsia" w:ascii="楷体" w:hAnsi="楷体" w:eastAsia="楷体"/>
          <w:color w:val="auto"/>
          <w:sz w:val="24"/>
          <w:highlight w:val="none"/>
        </w:rPr>
        <w:t>装运货物的要求和通知，详见</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711" w:name="_Ref467379536"/>
      <w:bookmarkStart w:id="712" w:name="_Ref467379527"/>
      <w:bookmarkStart w:id="713" w:name="_Ref467378541"/>
      <w:bookmarkStart w:id="714" w:name="_Toc279701245"/>
      <w:bookmarkStart w:id="715" w:name="_Ref467379542"/>
      <w:bookmarkStart w:id="716" w:name="_Toc487900354"/>
      <w:bookmarkStart w:id="717" w:name="_Toc259093674"/>
      <w:bookmarkStart w:id="718" w:name="_Ref467378591"/>
      <w:bookmarkStart w:id="719" w:name="_Toc16576"/>
      <w:bookmarkStart w:id="720" w:name="_Toc20948"/>
      <w:bookmarkStart w:id="721" w:name="_Toc3202"/>
      <w:bookmarkStart w:id="722" w:name="_Toc26142"/>
      <w:bookmarkStart w:id="723" w:name="_Toc20262"/>
      <w:bookmarkStart w:id="724" w:name="_Toc31713"/>
      <w:bookmarkStart w:id="725" w:name="_Toc30272"/>
      <w:bookmarkStart w:id="726" w:name="_Toc7562"/>
      <w:bookmarkStart w:id="727" w:name="_Toc14838"/>
      <w:bookmarkStart w:id="728" w:name="_Toc26182"/>
      <w:bookmarkStart w:id="729" w:name="_Toc22056"/>
      <w:bookmarkStart w:id="730" w:name="_Toc19074"/>
      <w:bookmarkStart w:id="731" w:name="_Toc20512"/>
      <w:r>
        <w:rPr>
          <w:rFonts w:ascii="楷体" w:hAnsi="楷体" w:eastAsia="楷体"/>
          <w:b/>
          <w:color w:val="auto"/>
          <w:sz w:val="24"/>
          <w:highlight w:val="none"/>
        </w:rPr>
        <w:t>2.</w:t>
      </w:r>
      <w:bookmarkEnd w:id="711"/>
      <w:bookmarkEnd w:id="712"/>
      <w:bookmarkEnd w:id="713"/>
      <w:bookmarkEnd w:id="714"/>
      <w:bookmarkEnd w:id="715"/>
      <w:bookmarkEnd w:id="716"/>
      <w:bookmarkEnd w:id="717"/>
      <w:bookmarkEnd w:id="718"/>
      <w:r>
        <w:rPr>
          <w:rFonts w:ascii="楷体" w:hAnsi="楷体" w:eastAsia="楷体"/>
          <w:b/>
          <w:color w:val="auto"/>
          <w:sz w:val="24"/>
          <w:highlight w:val="none"/>
        </w:rPr>
        <w:t xml:space="preserve">5 </w:t>
      </w:r>
      <w:r>
        <w:rPr>
          <w:rFonts w:hint="eastAsia" w:ascii="楷体" w:hAnsi="楷体" w:eastAsia="楷体"/>
          <w:b/>
          <w:color w:val="auto"/>
          <w:sz w:val="24"/>
          <w:highlight w:val="none"/>
        </w:rPr>
        <w:t>履约检查和问题反馈</w:t>
      </w:r>
      <w:bookmarkEnd w:id="719"/>
      <w:bookmarkEnd w:id="720"/>
      <w:bookmarkEnd w:id="721"/>
      <w:bookmarkEnd w:id="722"/>
      <w:bookmarkEnd w:id="723"/>
      <w:bookmarkEnd w:id="724"/>
      <w:bookmarkEnd w:id="725"/>
      <w:bookmarkEnd w:id="726"/>
      <w:bookmarkEnd w:id="727"/>
      <w:bookmarkEnd w:id="728"/>
      <w:bookmarkEnd w:id="729"/>
      <w:bookmarkEnd w:id="730"/>
      <w:bookmarkEnd w:id="731"/>
    </w:p>
    <w:p>
      <w:pPr>
        <w:spacing w:line="560" w:lineRule="exact"/>
        <w:ind w:firstLine="480" w:firstLineChars="200"/>
        <w:rPr>
          <w:rFonts w:ascii="楷体" w:hAnsi="楷体" w:eastAsia="楷体"/>
          <w:color w:val="auto"/>
          <w:sz w:val="24"/>
          <w:highlight w:val="none"/>
        </w:rPr>
      </w:pPr>
      <w:bookmarkStart w:id="732" w:name="_Ref467379657"/>
      <w:r>
        <w:rPr>
          <w:rFonts w:ascii="楷体" w:hAnsi="楷体" w:eastAsia="楷体"/>
          <w:color w:val="auto"/>
          <w:sz w:val="24"/>
          <w:highlight w:val="none"/>
        </w:rPr>
        <w:t>2.5.1</w:t>
      </w:r>
      <w:bookmarkEnd w:id="732"/>
      <w:bookmarkStart w:id="733" w:name="_Toc186431854"/>
      <w:bookmarkStart w:id="734" w:name="_Ref467379793"/>
      <w:bookmarkStart w:id="735" w:name="_Ref467379807"/>
      <w:bookmarkStart w:id="736" w:name="_Toc487900357"/>
      <w:bookmarkStart w:id="737" w:name="_Toc279701247"/>
      <w:bookmarkStart w:id="738" w:name="_Toc259093676"/>
      <w:r>
        <w:rPr>
          <w:rFonts w:hint="eastAsia" w:ascii="楷体" w:hAnsi="楷体" w:eastAsia="楷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2.5.2 </w:t>
      </w:r>
      <w:r>
        <w:rPr>
          <w:rFonts w:hint="eastAsia" w:ascii="楷体" w:hAnsi="楷体" w:eastAsia="楷体"/>
          <w:color w:val="auto"/>
          <w:sz w:val="24"/>
          <w:highlight w:val="none"/>
        </w:rPr>
        <w:t>合同履行期间，甲方有权将履行过程中出现的问题反馈给乙方，双方当事人应以书面形式约定需要完善和改进的内容</w:t>
      </w:r>
      <w:bookmarkEnd w:id="733"/>
      <w:bookmarkStart w:id="739" w:name="_Toc186431855"/>
      <w:r>
        <w:rPr>
          <w:rFonts w:hint="eastAsia" w:ascii="楷体" w:hAnsi="楷体" w:eastAsia="楷体"/>
          <w:color w:val="auto"/>
          <w:sz w:val="24"/>
          <w:highlight w:val="none"/>
        </w:rPr>
        <w:t>。</w:t>
      </w:r>
    </w:p>
    <w:bookmarkEnd w:id="739"/>
    <w:p>
      <w:pPr>
        <w:spacing w:line="560" w:lineRule="exact"/>
        <w:ind w:firstLine="482" w:firstLineChars="200"/>
        <w:outlineLvl w:val="0"/>
        <w:rPr>
          <w:rFonts w:ascii="楷体" w:hAnsi="楷体" w:eastAsia="楷体"/>
          <w:b/>
          <w:color w:val="auto"/>
          <w:sz w:val="24"/>
          <w:highlight w:val="none"/>
        </w:rPr>
      </w:pPr>
      <w:bookmarkStart w:id="740" w:name="_Toc19219"/>
      <w:bookmarkStart w:id="741" w:name="_Toc16997"/>
      <w:bookmarkStart w:id="742" w:name="_Toc7939"/>
      <w:bookmarkStart w:id="743" w:name="_Toc20202"/>
      <w:bookmarkStart w:id="744" w:name="_Toc3850"/>
      <w:bookmarkStart w:id="745" w:name="_Toc7836"/>
      <w:bookmarkStart w:id="746" w:name="_Toc4243"/>
      <w:bookmarkStart w:id="747" w:name="_Toc1825"/>
      <w:bookmarkStart w:id="748" w:name="_Toc15481"/>
      <w:bookmarkStart w:id="749" w:name="_Toc30316"/>
      <w:bookmarkStart w:id="750" w:name="_Toc28451"/>
      <w:bookmarkStart w:id="751" w:name="_Toc2312"/>
      <w:bookmarkStart w:id="752" w:name="_Toc3640"/>
      <w:r>
        <w:rPr>
          <w:rFonts w:ascii="楷体" w:hAnsi="楷体" w:eastAsia="楷体"/>
          <w:b/>
          <w:color w:val="auto"/>
          <w:sz w:val="24"/>
          <w:highlight w:val="none"/>
        </w:rPr>
        <w:t xml:space="preserve">2.6 </w:t>
      </w:r>
      <w:r>
        <w:rPr>
          <w:rFonts w:hint="eastAsia" w:ascii="楷体" w:hAnsi="楷体" w:eastAsia="楷体"/>
          <w:b/>
          <w:color w:val="auto"/>
          <w:sz w:val="24"/>
          <w:highlight w:val="none"/>
        </w:rPr>
        <w:t>结算方式和付款条件</w:t>
      </w:r>
      <w:bookmarkEnd w:id="734"/>
      <w:bookmarkEnd w:id="735"/>
      <w:bookmarkEnd w:id="736"/>
      <w:bookmarkEnd w:id="737"/>
      <w:bookmarkEnd w:id="738"/>
      <w:bookmarkEnd w:id="740"/>
      <w:bookmarkEnd w:id="741"/>
      <w:bookmarkEnd w:id="742"/>
      <w:bookmarkEnd w:id="743"/>
      <w:bookmarkEnd w:id="744"/>
      <w:bookmarkEnd w:id="745"/>
      <w:bookmarkEnd w:id="746"/>
      <w:bookmarkEnd w:id="747"/>
      <w:bookmarkEnd w:id="748"/>
      <w:bookmarkEnd w:id="749"/>
      <w:bookmarkEnd w:id="750"/>
      <w:bookmarkEnd w:id="751"/>
      <w:bookmarkEnd w:id="75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详见</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753" w:name="_Ref467379852"/>
      <w:bookmarkStart w:id="754" w:name="_Toc487900358"/>
      <w:bookmarkStart w:id="755" w:name="_Ref467379863"/>
      <w:bookmarkStart w:id="756" w:name="_Toc259093677"/>
      <w:bookmarkStart w:id="757" w:name="_Ref467379923"/>
      <w:bookmarkStart w:id="758" w:name="_Toc279701248"/>
      <w:bookmarkStart w:id="759" w:name="_Toc20583"/>
      <w:bookmarkStart w:id="760" w:name="_Toc7750"/>
      <w:bookmarkStart w:id="761" w:name="_Toc8434"/>
      <w:bookmarkStart w:id="762" w:name="_Toc774"/>
      <w:bookmarkStart w:id="763" w:name="_Toc25579"/>
      <w:bookmarkStart w:id="764" w:name="_Toc24944"/>
      <w:bookmarkStart w:id="765" w:name="_Toc20580"/>
      <w:bookmarkStart w:id="766" w:name="_Toc16649"/>
      <w:bookmarkStart w:id="767" w:name="_Toc16110"/>
      <w:bookmarkStart w:id="768" w:name="_Toc3225"/>
      <w:bookmarkStart w:id="769" w:name="_Toc17674"/>
      <w:bookmarkStart w:id="770" w:name="_Toc13076"/>
      <w:bookmarkStart w:id="771" w:name="_Toc22157"/>
      <w:r>
        <w:rPr>
          <w:rFonts w:ascii="楷体" w:hAnsi="楷体" w:eastAsia="楷体"/>
          <w:b/>
          <w:color w:val="auto"/>
          <w:sz w:val="24"/>
          <w:highlight w:val="none"/>
        </w:rPr>
        <w:t xml:space="preserve">2.7 </w:t>
      </w:r>
      <w:r>
        <w:rPr>
          <w:rFonts w:hint="eastAsia" w:ascii="楷体" w:hAnsi="楷体" w:eastAsia="楷体"/>
          <w:b/>
          <w:color w:val="auto"/>
          <w:sz w:val="24"/>
          <w:highlight w:val="none"/>
        </w:rPr>
        <w:t>技术资料</w:t>
      </w:r>
      <w:bookmarkEnd w:id="753"/>
      <w:bookmarkEnd w:id="754"/>
      <w:bookmarkEnd w:id="755"/>
      <w:bookmarkEnd w:id="756"/>
      <w:bookmarkEnd w:id="757"/>
      <w:bookmarkEnd w:id="758"/>
      <w:r>
        <w:rPr>
          <w:rFonts w:hint="eastAsia" w:ascii="楷体" w:hAnsi="楷体" w:eastAsia="楷体"/>
          <w:b/>
          <w:color w:val="auto"/>
          <w:sz w:val="24"/>
          <w:highlight w:val="none"/>
        </w:rPr>
        <w:t>和保密义务</w:t>
      </w:r>
      <w:bookmarkEnd w:id="759"/>
      <w:bookmarkEnd w:id="760"/>
      <w:bookmarkEnd w:id="761"/>
      <w:bookmarkEnd w:id="762"/>
      <w:bookmarkEnd w:id="763"/>
      <w:bookmarkEnd w:id="764"/>
      <w:bookmarkEnd w:id="765"/>
      <w:bookmarkEnd w:id="766"/>
      <w:bookmarkEnd w:id="767"/>
      <w:bookmarkEnd w:id="768"/>
      <w:bookmarkEnd w:id="769"/>
      <w:bookmarkEnd w:id="770"/>
      <w:bookmarkEnd w:id="771"/>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2.7.1 </w:t>
      </w:r>
      <w:r>
        <w:rPr>
          <w:rFonts w:hint="eastAsia" w:ascii="楷体" w:hAnsi="楷体" w:eastAsia="楷体"/>
          <w:color w:val="auto"/>
          <w:sz w:val="24"/>
          <w:highlight w:val="none"/>
        </w:rPr>
        <w:t>乙方有权依据合同约定和项目需要，向甲方了解有关情况，调阅有关资料等，甲方应予积极配合；</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2.7.2 </w:t>
      </w:r>
      <w:r>
        <w:rPr>
          <w:rFonts w:hint="eastAsia" w:ascii="楷体" w:hAnsi="楷体" w:eastAsia="楷体"/>
          <w:color w:val="auto"/>
          <w:sz w:val="24"/>
          <w:highlight w:val="none"/>
        </w:rPr>
        <w:t>乙方有义务妥善保管和保护由甲方提供的前款信息和资料等；</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2.7.3 </w:t>
      </w:r>
      <w:r>
        <w:rPr>
          <w:rFonts w:hint="eastAsia" w:ascii="楷体" w:hAnsi="楷体" w:eastAsia="楷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color w:val="auto"/>
          <w:sz w:val="24"/>
          <w:highlight w:val="none"/>
        </w:rPr>
      </w:pPr>
      <w:bookmarkStart w:id="772" w:name="_Toc25061"/>
      <w:bookmarkStart w:id="773" w:name="_Toc6333"/>
      <w:bookmarkStart w:id="774" w:name="_Toc18823"/>
      <w:bookmarkStart w:id="775" w:name="_Toc3746"/>
      <w:bookmarkStart w:id="776" w:name="_Toc11527"/>
      <w:bookmarkStart w:id="777" w:name="_Toc1411"/>
      <w:bookmarkStart w:id="778" w:name="_Toc21593"/>
      <w:bookmarkStart w:id="779" w:name="_Toc8820"/>
      <w:bookmarkStart w:id="780" w:name="_Toc19307"/>
      <w:bookmarkStart w:id="781" w:name="_Toc7860"/>
      <w:bookmarkStart w:id="782" w:name="_Toc24247"/>
      <w:r>
        <w:rPr>
          <w:rFonts w:ascii="楷体" w:hAnsi="楷体" w:eastAsia="楷体"/>
          <w:b/>
          <w:color w:val="auto"/>
          <w:sz w:val="24"/>
          <w:highlight w:val="none"/>
        </w:rPr>
        <w:t xml:space="preserve">2.8 </w:t>
      </w:r>
      <w:r>
        <w:rPr>
          <w:rFonts w:hint="eastAsia" w:ascii="楷体" w:hAnsi="楷体" w:eastAsia="楷体"/>
          <w:b/>
          <w:color w:val="auto"/>
          <w:sz w:val="24"/>
          <w:highlight w:val="none"/>
        </w:rPr>
        <w:t>质量保证</w:t>
      </w:r>
      <w:bookmarkEnd w:id="772"/>
      <w:bookmarkEnd w:id="773"/>
      <w:bookmarkEnd w:id="774"/>
      <w:bookmarkEnd w:id="775"/>
      <w:bookmarkEnd w:id="776"/>
      <w:bookmarkEnd w:id="777"/>
      <w:bookmarkEnd w:id="778"/>
      <w:bookmarkEnd w:id="779"/>
      <w:bookmarkEnd w:id="780"/>
      <w:bookmarkEnd w:id="781"/>
      <w:bookmarkEnd w:id="782"/>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2.8.1 </w:t>
      </w:r>
      <w:r>
        <w:rPr>
          <w:rFonts w:hint="eastAsia" w:ascii="楷体" w:hAnsi="楷体" w:eastAsia="楷体"/>
          <w:color w:val="auto"/>
          <w:sz w:val="24"/>
          <w:highlight w:val="none"/>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2.8.2 </w:t>
      </w:r>
      <w:r>
        <w:rPr>
          <w:rFonts w:hint="eastAsia" w:ascii="楷体" w:hAnsi="楷体" w:eastAsia="楷体"/>
          <w:color w:val="auto"/>
          <w:sz w:val="24"/>
          <w:highlight w:val="none"/>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color w:val="auto"/>
          <w:sz w:val="24"/>
          <w:highlight w:val="none"/>
        </w:rPr>
      </w:pPr>
      <w:bookmarkStart w:id="783" w:name="_Toc10597"/>
      <w:bookmarkStart w:id="784" w:name="_Toc26793"/>
      <w:bookmarkStart w:id="785" w:name="_Toc17579"/>
      <w:bookmarkStart w:id="786" w:name="_Toc17976"/>
      <w:bookmarkStart w:id="787" w:name="_Toc17244"/>
      <w:bookmarkStart w:id="788" w:name="_Toc3288"/>
      <w:bookmarkStart w:id="789" w:name="_Toc9137"/>
      <w:bookmarkStart w:id="790" w:name="_Toc9150"/>
      <w:bookmarkStart w:id="791" w:name="_Toc4989"/>
      <w:bookmarkStart w:id="792" w:name="_Toc960"/>
      <w:bookmarkStart w:id="793" w:name="_Toc17541"/>
      <w:bookmarkStart w:id="794" w:name="_Toc259093681"/>
      <w:bookmarkStart w:id="795" w:name="_Toc279701252"/>
      <w:bookmarkStart w:id="796" w:name="_Toc487900362"/>
      <w:r>
        <w:rPr>
          <w:rFonts w:ascii="楷体" w:hAnsi="楷体" w:eastAsia="楷体"/>
          <w:b/>
          <w:color w:val="auto"/>
          <w:sz w:val="24"/>
          <w:highlight w:val="none"/>
        </w:rPr>
        <w:t xml:space="preserve">2.9 </w:t>
      </w:r>
      <w:r>
        <w:rPr>
          <w:rFonts w:hint="eastAsia" w:ascii="楷体" w:hAnsi="楷体" w:eastAsia="楷体"/>
          <w:b/>
          <w:color w:val="auto"/>
          <w:sz w:val="24"/>
          <w:highlight w:val="none"/>
        </w:rPr>
        <w:t>货物的风险负担</w:t>
      </w:r>
      <w:bookmarkEnd w:id="783"/>
      <w:bookmarkEnd w:id="784"/>
      <w:bookmarkEnd w:id="785"/>
      <w:bookmarkEnd w:id="786"/>
      <w:bookmarkEnd w:id="787"/>
      <w:bookmarkEnd w:id="788"/>
      <w:bookmarkEnd w:id="789"/>
      <w:bookmarkEnd w:id="790"/>
      <w:bookmarkEnd w:id="791"/>
      <w:bookmarkEnd w:id="792"/>
      <w:bookmarkEnd w:id="793"/>
    </w:p>
    <w:p>
      <w:pPr>
        <w:spacing w:line="560" w:lineRule="exact"/>
        <w:ind w:firstLine="480" w:firstLineChars="200"/>
        <w:rPr>
          <w:rFonts w:ascii="楷体" w:hAnsi="楷体" w:eastAsia="楷体"/>
          <w:b/>
          <w:color w:val="auto"/>
          <w:sz w:val="24"/>
          <w:highlight w:val="none"/>
        </w:rPr>
      </w:pPr>
      <w:r>
        <w:rPr>
          <w:rFonts w:hint="eastAsia" w:ascii="楷体" w:hAnsi="楷体" w:eastAsia="楷体"/>
          <w:color w:val="auto"/>
          <w:sz w:val="24"/>
          <w:highlight w:val="none"/>
        </w:rPr>
        <w:t>货物或者在途货物或者交付给第一承运人后的货物毁损、灭失的风险负担详见</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797" w:name="_Toc13558"/>
      <w:bookmarkStart w:id="798" w:name="_Toc5780"/>
      <w:bookmarkStart w:id="799" w:name="_Toc32352"/>
      <w:bookmarkStart w:id="800" w:name="_Toc17523"/>
      <w:bookmarkStart w:id="801" w:name="_Toc21712"/>
      <w:bookmarkStart w:id="802" w:name="_Toc9035"/>
      <w:bookmarkStart w:id="803" w:name="_Toc15485"/>
      <w:bookmarkStart w:id="804" w:name="_Toc27492"/>
      <w:bookmarkStart w:id="805" w:name="_Toc3898"/>
      <w:bookmarkStart w:id="806" w:name="_Toc10888"/>
      <w:bookmarkStart w:id="807" w:name="_Toc14055"/>
      <w:r>
        <w:rPr>
          <w:rFonts w:ascii="楷体" w:hAnsi="楷体" w:eastAsia="楷体"/>
          <w:b/>
          <w:color w:val="auto"/>
          <w:sz w:val="24"/>
          <w:highlight w:val="none"/>
        </w:rPr>
        <w:t xml:space="preserve">2.10 </w:t>
      </w:r>
      <w:r>
        <w:rPr>
          <w:rFonts w:hint="eastAsia" w:ascii="楷体" w:hAnsi="楷体" w:eastAsia="楷体"/>
          <w:b/>
          <w:color w:val="auto"/>
          <w:sz w:val="24"/>
          <w:highlight w:val="none"/>
        </w:rPr>
        <w:t>延迟交货</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color w:val="auto"/>
          <w:sz w:val="24"/>
          <w:highlight w:val="none"/>
        </w:rPr>
      </w:pPr>
      <w:bookmarkStart w:id="808" w:name="_Toc15078"/>
      <w:bookmarkStart w:id="809" w:name="_Toc12587"/>
      <w:bookmarkStart w:id="810" w:name="_Toc23300"/>
      <w:bookmarkStart w:id="811" w:name="_Toc10102"/>
      <w:bookmarkStart w:id="812" w:name="_Toc17117"/>
      <w:bookmarkStart w:id="813" w:name="_Toc7502"/>
      <w:bookmarkStart w:id="814" w:name="_Toc20500"/>
      <w:bookmarkStart w:id="815" w:name="_Toc22532"/>
      <w:bookmarkStart w:id="816" w:name="_Toc29457"/>
      <w:bookmarkStart w:id="817" w:name="_Toc16271"/>
      <w:bookmarkStart w:id="818" w:name="_Toc25195"/>
      <w:bookmarkStart w:id="819" w:name="_Toc487900364"/>
      <w:bookmarkStart w:id="820" w:name="_Toc259093683"/>
      <w:bookmarkStart w:id="821" w:name="_Ref467378121"/>
      <w:bookmarkStart w:id="822" w:name="_Toc279701254"/>
      <w:r>
        <w:rPr>
          <w:rFonts w:ascii="楷体" w:hAnsi="楷体" w:eastAsia="楷体"/>
          <w:b/>
          <w:color w:val="auto"/>
          <w:sz w:val="24"/>
          <w:highlight w:val="none"/>
        </w:rPr>
        <w:t xml:space="preserve">2.11 </w:t>
      </w:r>
      <w:r>
        <w:rPr>
          <w:rFonts w:hint="eastAsia" w:ascii="楷体" w:hAnsi="楷体" w:eastAsia="楷体"/>
          <w:b/>
          <w:color w:val="auto"/>
          <w:sz w:val="24"/>
          <w:highlight w:val="none"/>
        </w:rPr>
        <w:t>合同变更</w:t>
      </w:r>
      <w:bookmarkEnd w:id="808"/>
      <w:bookmarkEnd w:id="809"/>
      <w:bookmarkEnd w:id="810"/>
      <w:bookmarkEnd w:id="811"/>
      <w:bookmarkEnd w:id="812"/>
      <w:bookmarkEnd w:id="813"/>
      <w:bookmarkEnd w:id="814"/>
      <w:bookmarkEnd w:id="815"/>
      <w:bookmarkEnd w:id="816"/>
      <w:bookmarkEnd w:id="817"/>
      <w:bookmarkEnd w:id="818"/>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2.11.1</w:t>
      </w:r>
      <w:r>
        <w:rPr>
          <w:rFonts w:hint="eastAsia" w:ascii="楷体" w:hAnsi="楷体" w:eastAsia="楷体"/>
          <w:color w:val="auto"/>
          <w:sz w:val="24"/>
          <w:highlight w:val="none"/>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color w:val="auto"/>
          <w:sz w:val="24"/>
          <w:highlight w:val="none"/>
        </w:rPr>
        <w:t>10%</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2.11.2 </w:t>
      </w:r>
      <w:r>
        <w:rPr>
          <w:rFonts w:hint="eastAsia" w:ascii="楷体" w:hAnsi="楷体" w:eastAsia="楷体"/>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823" w:name="_Toc259093688"/>
      <w:bookmarkStart w:id="824" w:name="_Toc487900369"/>
      <w:bookmarkStart w:id="825" w:name="_Toc279701259"/>
    </w:p>
    <w:p>
      <w:pPr>
        <w:spacing w:line="560" w:lineRule="exact"/>
        <w:ind w:firstLine="482" w:firstLineChars="200"/>
        <w:outlineLvl w:val="0"/>
        <w:rPr>
          <w:rFonts w:ascii="楷体" w:hAnsi="楷体" w:eastAsia="楷体"/>
          <w:b/>
          <w:color w:val="auto"/>
          <w:sz w:val="24"/>
          <w:highlight w:val="none"/>
        </w:rPr>
      </w:pPr>
      <w:bookmarkStart w:id="826" w:name="_Toc14890"/>
      <w:bookmarkStart w:id="827" w:name="_Toc2428"/>
      <w:bookmarkStart w:id="828" w:name="_Toc10366"/>
      <w:bookmarkStart w:id="829" w:name="_Toc22091"/>
      <w:bookmarkStart w:id="830" w:name="_Toc15237"/>
      <w:bookmarkStart w:id="831" w:name="_Toc18138"/>
      <w:bookmarkStart w:id="832" w:name="_Toc21326"/>
      <w:bookmarkStart w:id="833" w:name="_Toc22955"/>
      <w:bookmarkStart w:id="834" w:name="_Toc8699"/>
      <w:bookmarkStart w:id="835" w:name="_Toc9511"/>
      <w:bookmarkStart w:id="836" w:name="_Toc6863"/>
      <w:bookmarkStart w:id="837" w:name="_Toc4670"/>
      <w:bookmarkStart w:id="838" w:name="_Toc6810"/>
      <w:r>
        <w:rPr>
          <w:rFonts w:ascii="楷体" w:hAnsi="楷体" w:eastAsia="楷体"/>
          <w:b/>
          <w:color w:val="auto"/>
          <w:sz w:val="24"/>
          <w:highlight w:val="none"/>
        </w:rPr>
        <w:t xml:space="preserve">2.12 </w:t>
      </w:r>
      <w:r>
        <w:rPr>
          <w:rFonts w:hint="eastAsia" w:ascii="楷体" w:hAnsi="楷体" w:eastAsia="楷体"/>
          <w:b/>
          <w:color w:val="auto"/>
          <w:sz w:val="24"/>
          <w:highlight w:val="none"/>
        </w:rPr>
        <w:t>合同转让</w:t>
      </w:r>
      <w:bookmarkEnd w:id="823"/>
      <w:bookmarkEnd w:id="824"/>
      <w:bookmarkEnd w:id="825"/>
      <w:r>
        <w:rPr>
          <w:rFonts w:hint="eastAsia" w:ascii="楷体" w:hAnsi="楷体" w:eastAsia="楷体"/>
          <w:b/>
          <w:color w:val="auto"/>
          <w:sz w:val="24"/>
          <w:highlight w:val="none"/>
        </w:rPr>
        <w:t>和分包</w:t>
      </w:r>
      <w:bookmarkEnd w:id="826"/>
      <w:bookmarkEnd w:id="827"/>
      <w:bookmarkEnd w:id="828"/>
      <w:bookmarkEnd w:id="829"/>
      <w:bookmarkEnd w:id="830"/>
      <w:bookmarkEnd w:id="831"/>
      <w:bookmarkEnd w:id="832"/>
      <w:bookmarkEnd w:id="833"/>
      <w:bookmarkEnd w:id="834"/>
      <w:bookmarkEnd w:id="835"/>
      <w:bookmarkEnd w:id="836"/>
      <w:bookmarkEnd w:id="837"/>
      <w:bookmarkEnd w:id="838"/>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color w:val="auto"/>
          <w:sz w:val="24"/>
          <w:highlight w:val="none"/>
        </w:rPr>
      </w:pPr>
      <w:bookmarkStart w:id="839" w:name="_Toc13566"/>
      <w:bookmarkStart w:id="840" w:name="_Toc17221"/>
      <w:bookmarkStart w:id="841" w:name="_Toc22672"/>
      <w:bookmarkStart w:id="842" w:name="_Toc25589"/>
      <w:bookmarkStart w:id="843" w:name="_Toc28032"/>
      <w:bookmarkStart w:id="844" w:name="_Toc6190"/>
      <w:bookmarkStart w:id="845" w:name="_Toc7668"/>
      <w:bookmarkStart w:id="846" w:name="_Toc27760"/>
      <w:bookmarkStart w:id="847" w:name="_Toc18914"/>
      <w:bookmarkStart w:id="848" w:name="_Toc14066"/>
      <w:bookmarkStart w:id="849" w:name="_Toc16508"/>
      <w:bookmarkStart w:id="850" w:name="_Toc15654"/>
      <w:bookmarkStart w:id="851" w:name="_Toc10900"/>
      <w:r>
        <w:rPr>
          <w:rFonts w:ascii="楷体" w:hAnsi="楷体" w:eastAsia="楷体"/>
          <w:b/>
          <w:color w:val="auto"/>
          <w:sz w:val="24"/>
          <w:highlight w:val="none"/>
        </w:rPr>
        <w:t xml:space="preserve">2.13 </w:t>
      </w:r>
      <w:r>
        <w:rPr>
          <w:rFonts w:hint="eastAsia" w:ascii="楷体" w:hAnsi="楷体" w:eastAsia="楷体"/>
          <w:b/>
          <w:color w:val="auto"/>
          <w:sz w:val="24"/>
          <w:highlight w:val="none"/>
        </w:rPr>
        <w:t>不可抗力</w:t>
      </w:r>
      <w:bookmarkEnd w:id="839"/>
      <w:bookmarkEnd w:id="840"/>
      <w:bookmarkEnd w:id="841"/>
      <w:bookmarkEnd w:id="842"/>
      <w:bookmarkEnd w:id="843"/>
      <w:bookmarkEnd w:id="844"/>
      <w:bookmarkEnd w:id="845"/>
      <w:bookmarkEnd w:id="846"/>
      <w:bookmarkEnd w:id="847"/>
      <w:bookmarkEnd w:id="848"/>
      <w:bookmarkEnd w:id="849"/>
      <w:bookmarkEnd w:id="850"/>
      <w:bookmarkEnd w:id="851"/>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2.13.1</w:t>
      </w:r>
      <w:r>
        <w:rPr>
          <w:rFonts w:hint="eastAsia" w:ascii="楷体" w:hAnsi="楷体" w:eastAsia="楷体"/>
          <w:color w:val="auto"/>
          <w:sz w:val="24"/>
          <w:highlight w:val="none"/>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2.13.2 </w:t>
      </w:r>
      <w:r>
        <w:rPr>
          <w:rFonts w:hint="eastAsia" w:ascii="楷体" w:hAnsi="楷体" w:eastAsia="楷体"/>
          <w:color w:val="auto"/>
          <w:sz w:val="24"/>
          <w:highlight w:val="none"/>
        </w:rPr>
        <w:t>因不可抗力致使不能实现合同目的的，当事人可以解除合同；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2.13.3 </w:t>
      </w:r>
      <w:r>
        <w:rPr>
          <w:rFonts w:hint="eastAsia" w:ascii="楷体" w:hAnsi="楷体" w:eastAsia="楷体"/>
          <w:color w:val="auto"/>
          <w:sz w:val="24"/>
          <w:highlight w:val="none"/>
        </w:rPr>
        <w:t>因不可抗力致使合同有变更必要的，双方当事人应在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约定时间内以书面形式变更合同；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2.13.4</w:t>
      </w:r>
      <w:r>
        <w:rPr>
          <w:rFonts w:hint="eastAsia" w:ascii="楷体" w:hAnsi="楷体" w:eastAsia="楷体"/>
          <w:color w:val="auto"/>
          <w:sz w:val="24"/>
          <w:highlight w:val="none"/>
        </w:rPr>
        <w:t>受不可抗力影响的一方在不可抗力发生后，应在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约定时间内以书面形式通知对方当事人，并在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约定时间内，将有关部门出具的证明文件送达对方当事人。</w:t>
      </w:r>
    </w:p>
    <w:p>
      <w:pPr>
        <w:spacing w:line="560" w:lineRule="exact"/>
        <w:ind w:firstLine="482" w:firstLineChars="200"/>
        <w:outlineLvl w:val="0"/>
        <w:rPr>
          <w:rFonts w:ascii="楷体" w:hAnsi="楷体" w:eastAsia="楷体"/>
          <w:b/>
          <w:color w:val="auto"/>
          <w:sz w:val="24"/>
          <w:highlight w:val="none"/>
        </w:rPr>
      </w:pPr>
      <w:bookmarkStart w:id="852" w:name="_Toc5196"/>
      <w:bookmarkStart w:id="853" w:name="_Toc15414"/>
      <w:bookmarkStart w:id="854" w:name="_Toc9588"/>
      <w:bookmarkStart w:id="855" w:name="_Toc6969"/>
      <w:bookmarkStart w:id="856" w:name="_Toc23801"/>
      <w:bookmarkStart w:id="857" w:name="_Toc259093684"/>
      <w:bookmarkStart w:id="858" w:name="_Toc23083"/>
      <w:bookmarkStart w:id="859" w:name="_Toc487900365"/>
      <w:bookmarkStart w:id="860" w:name="_Toc30676"/>
      <w:bookmarkStart w:id="861" w:name="_Toc11896"/>
      <w:bookmarkStart w:id="862" w:name="_Toc26015"/>
      <w:bookmarkStart w:id="863" w:name="_Toc20535"/>
      <w:bookmarkStart w:id="864" w:name="_Toc279701255"/>
      <w:bookmarkStart w:id="865" w:name="_Toc28704"/>
      <w:bookmarkStart w:id="866" w:name="_Toc3779"/>
      <w:bookmarkStart w:id="867" w:name="_Toc689"/>
      <w:r>
        <w:rPr>
          <w:rFonts w:ascii="楷体" w:hAnsi="楷体" w:eastAsia="楷体"/>
          <w:b/>
          <w:color w:val="auto"/>
          <w:sz w:val="24"/>
          <w:highlight w:val="none"/>
        </w:rPr>
        <w:t xml:space="preserve">2.14 </w:t>
      </w:r>
      <w:r>
        <w:rPr>
          <w:rFonts w:hint="eastAsia" w:ascii="楷体" w:hAnsi="楷体" w:eastAsia="楷体"/>
          <w:b/>
          <w:color w:val="auto"/>
          <w:sz w:val="24"/>
          <w:highlight w:val="none"/>
        </w:rPr>
        <w:t>税费</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与合同有关的一切税费，均按照中华人民共和国法律的相关规定。</w:t>
      </w:r>
    </w:p>
    <w:p>
      <w:pPr>
        <w:spacing w:line="560" w:lineRule="exact"/>
        <w:ind w:firstLine="482" w:firstLineChars="200"/>
        <w:outlineLvl w:val="0"/>
        <w:rPr>
          <w:rFonts w:ascii="楷体" w:hAnsi="楷体" w:eastAsia="楷体"/>
          <w:b/>
          <w:color w:val="auto"/>
          <w:sz w:val="24"/>
          <w:highlight w:val="none"/>
        </w:rPr>
      </w:pPr>
      <w:bookmarkStart w:id="868" w:name="_Toc31388"/>
      <w:bookmarkStart w:id="869" w:name="_Toc1067"/>
      <w:bookmarkStart w:id="870" w:name="_Toc28292"/>
      <w:bookmarkStart w:id="871" w:name="_Toc7102"/>
      <w:bookmarkStart w:id="872" w:name="_Toc25880"/>
      <w:bookmarkStart w:id="873" w:name="_Toc4123"/>
      <w:bookmarkStart w:id="874" w:name="_Toc31000"/>
      <w:bookmarkStart w:id="875" w:name="_Toc259093687"/>
      <w:bookmarkStart w:id="876" w:name="_Toc21342"/>
      <w:bookmarkStart w:id="877" w:name="_Toc279701258"/>
      <w:bookmarkStart w:id="878" w:name="_Toc487900368"/>
      <w:bookmarkStart w:id="879" w:name="_Toc16959"/>
      <w:bookmarkStart w:id="880" w:name="_Toc11252"/>
      <w:bookmarkStart w:id="881" w:name="_Toc29422"/>
      <w:bookmarkStart w:id="882" w:name="_Toc8298"/>
      <w:bookmarkStart w:id="883" w:name="_Toc7210"/>
      <w:r>
        <w:rPr>
          <w:rFonts w:ascii="楷体" w:hAnsi="楷体" w:eastAsia="楷体"/>
          <w:b/>
          <w:color w:val="auto"/>
          <w:sz w:val="24"/>
          <w:highlight w:val="none"/>
        </w:rPr>
        <w:t xml:space="preserve">2.15 </w:t>
      </w:r>
      <w:r>
        <w:rPr>
          <w:rFonts w:hint="eastAsia" w:ascii="楷体" w:hAnsi="楷体" w:eastAsia="楷体"/>
          <w:b/>
          <w:color w:val="auto"/>
          <w:sz w:val="24"/>
          <w:highlight w:val="none"/>
        </w:rPr>
        <w:t>乙方破产</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color w:val="auto"/>
          <w:sz w:val="24"/>
          <w:highlight w:val="none"/>
        </w:rPr>
      </w:pPr>
      <w:bookmarkStart w:id="884" w:name="_Toc27266"/>
      <w:bookmarkStart w:id="885" w:name="_Toc9321"/>
      <w:bookmarkStart w:id="886" w:name="_Toc4886"/>
      <w:bookmarkStart w:id="887" w:name="_Toc15314"/>
      <w:bookmarkStart w:id="888" w:name="_Toc5181"/>
      <w:bookmarkStart w:id="889" w:name="_Toc17304"/>
      <w:bookmarkStart w:id="890" w:name="_Toc13040"/>
      <w:bookmarkStart w:id="891" w:name="_Toc15387"/>
      <w:bookmarkStart w:id="892" w:name="_Toc2423"/>
      <w:bookmarkStart w:id="893" w:name="_Toc2421"/>
      <w:bookmarkStart w:id="894" w:name="_Toc6134"/>
      <w:bookmarkStart w:id="895" w:name="_Toc29333"/>
      <w:bookmarkStart w:id="896" w:name="_Toc24467"/>
      <w:r>
        <w:rPr>
          <w:rFonts w:ascii="楷体" w:hAnsi="楷体" w:eastAsia="楷体"/>
          <w:b/>
          <w:color w:val="auto"/>
          <w:sz w:val="24"/>
          <w:highlight w:val="none"/>
        </w:rPr>
        <w:t xml:space="preserve">2.16 </w:t>
      </w:r>
      <w:r>
        <w:rPr>
          <w:rFonts w:hint="eastAsia" w:ascii="楷体" w:hAnsi="楷体" w:eastAsia="楷体"/>
          <w:b/>
          <w:color w:val="auto"/>
          <w:sz w:val="24"/>
          <w:highlight w:val="none"/>
        </w:rPr>
        <w:t>合同中止、终止</w:t>
      </w:r>
      <w:bookmarkEnd w:id="884"/>
      <w:bookmarkEnd w:id="885"/>
      <w:bookmarkEnd w:id="886"/>
      <w:bookmarkEnd w:id="887"/>
      <w:bookmarkEnd w:id="888"/>
      <w:bookmarkEnd w:id="889"/>
      <w:bookmarkEnd w:id="890"/>
      <w:bookmarkEnd w:id="891"/>
      <w:bookmarkEnd w:id="892"/>
      <w:bookmarkEnd w:id="893"/>
      <w:bookmarkEnd w:id="894"/>
      <w:bookmarkEnd w:id="895"/>
      <w:bookmarkEnd w:id="896"/>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2.16.1 </w:t>
      </w:r>
      <w:r>
        <w:rPr>
          <w:rFonts w:hint="eastAsia" w:ascii="楷体" w:hAnsi="楷体" w:eastAsia="楷体"/>
          <w:color w:val="auto"/>
          <w:sz w:val="24"/>
          <w:highlight w:val="none"/>
        </w:rPr>
        <w:t>双方当事人不得擅自中止或者终止合同；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2.16.2</w:t>
      </w:r>
      <w:r>
        <w:rPr>
          <w:rFonts w:hint="eastAsia" w:ascii="楷体" w:hAnsi="楷体" w:eastAsia="楷体"/>
          <w:color w:val="auto"/>
          <w:sz w:val="24"/>
          <w:highlight w:val="none"/>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color w:val="auto"/>
          <w:sz w:val="24"/>
          <w:highlight w:val="none"/>
        </w:rPr>
      </w:pPr>
      <w:bookmarkStart w:id="897" w:name="_Toc1125"/>
      <w:bookmarkStart w:id="898" w:name="_Toc860"/>
      <w:bookmarkStart w:id="899" w:name="_Toc25873"/>
      <w:bookmarkStart w:id="900" w:name="_Toc25681"/>
      <w:bookmarkStart w:id="901" w:name="_Toc27330"/>
      <w:bookmarkStart w:id="902" w:name="_Toc6596"/>
      <w:bookmarkStart w:id="903" w:name="_Toc18945"/>
      <w:bookmarkStart w:id="904" w:name="_Toc12209"/>
      <w:bookmarkStart w:id="905" w:name="_Toc20508"/>
      <w:bookmarkStart w:id="906" w:name="_Toc14563"/>
      <w:bookmarkStart w:id="907" w:name="_Toc21555"/>
      <w:bookmarkStart w:id="908" w:name="_Toc24773"/>
      <w:bookmarkStart w:id="909" w:name="_Toc11679"/>
      <w:r>
        <w:rPr>
          <w:rFonts w:ascii="楷体" w:hAnsi="楷体" w:eastAsia="楷体"/>
          <w:b/>
          <w:color w:val="auto"/>
          <w:sz w:val="24"/>
          <w:highlight w:val="none"/>
        </w:rPr>
        <w:t xml:space="preserve">2.17 </w:t>
      </w:r>
      <w:r>
        <w:rPr>
          <w:rFonts w:hint="eastAsia" w:ascii="楷体" w:hAnsi="楷体" w:eastAsia="楷体"/>
          <w:b/>
          <w:color w:val="auto"/>
          <w:sz w:val="24"/>
          <w:highlight w:val="none"/>
        </w:rPr>
        <w:t>检验和验收</w:t>
      </w:r>
      <w:bookmarkEnd w:id="897"/>
      <w:bookmarkEnd w:id="898"/>
      <w:bookmarkEnd w:id="899"/>
      <w:bookmarkEnd w:id="900"/>
      <w:bookmarkEnd w:id="901"/>
      <w:bookmarkEnd w:id="902"/>
      <w:bookmarkEnd w:id="903"/>
      <w:bookmarkEnd w:id="904"/>
      <w:bookmarkEnd w:id="905"/>
      <w:bookmarkEnd w:id="906"/>
      <w:bookmarkEnd w:id="907"/>
      <w:bookmarkEnd w:id="908"/>
      <w:bookmarkEnd w:id="909"/>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2.17.1</w:t>
      </w:r>
      <w:r>
        <w:rPr>
          <w:rFonts w:hint="eastAsia" w:ascii="楷体" w:hAnsi="楷体" w:eastAsia="楷体"/>
          <w:color w:val="auto"/>
          <w:sz w:val="24"/>
          <w:highlight w:val="none"/>
        </w:rPr>
        <w:t>货物交付前，乙方应对货物的质量、数量等方面进行详细、全面的检验，并向甲方出具证明货物符合合同约定的文件；货物交付时，乙方在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2.17.2</w:t>
      </w:r>
      <w:r>
        <w:rPr>
          <w:rFonts w:hint="eastAsia" w:ascii="楷体" w:hAnsi="楷体" w:eastAsia="楷体"/>
          <w:color w:val="auto"/>
          <w:sz w:val="24"/>
          <w:highlight w:val="none"/>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2.17.3 </w:t>
      </w:r>
      <w:r>
        <w:rPr>
          <w:rFonts w:hint="eastAsia" w:ascii="楷体" w:hAnsi="楷体" w:eastAsia="楷体"/>
          <w:color w:val="auto"/>
          <w:sz w:val="24"/>
          <w:highlight w:val="none"/>
        </w:rPr>
        <w:t>检验和验收标准、程序等具体内容以及前述验收书的效力详见</w:t>
      </w:r>
      <w:r>
        <w:rPr>
          <w:rFonts w:hint="eastAsia" w:ascii="楷体" w:hAnsi="楷体" w:eastAsia="楷体"/>
          <w:b/>
          <w:i/>
          <w:color w:val="auto"/>
          <w:sz w:val="24"/>
          <w:highlight w:val="none"/>
          <w:u w:val="single"/>
        </w:rPr>
        <w:t>合同专用条款</w:t>
      </w:r>
      <w:r>
        <w:rPr>
          <w:rFonts w:hint="eastAsia" w:ascii="楷体" w:hAnsi="楷体" w:eastAsia="楷体"/>
          <w:i/>
          <w:color w:val="auto"/>
          <w:sz w:val="24"/>
          <w:highlight w:val="none"/>
        </w:rPr>
        <w:t>。</w:t>
      </w:r>
    </w:p>
    <w:bookmarkEnd w:id="819"/>
    <w:bookmarkEnd w:id="820"/>
    <w:bookmarkEnd w:id="821"/>
    <w:bookmarkEnd w:id="822"/>
    <w:p>
      <w:pPr>
        <w:spacing w:line="560" w:lineRule="exact"/>
        <w:ind w:firstLine="482" w:firstLineChars="200"/>
        <w:outlineLvl w:val="0"/>
        <w:rPr>
          <w:rFonts w:ascii="楷体" w:hAnsi="楷体" w:eastAsia="楷体"/>
          <w:b/>
          <w:color w:val="auto"/>
          <w:sz w:val="24"/>
          <w:highlight w:val="none"/>
        </w:rPr>
      </w:pPr>
      <w:bookmarkStart w:id="910" w:name="_Toc259093690"/>
      <w:bookmarkStart w:id="911" w:name="_Toc487900371"/>
      <w:bookmarkStart w:id="912" w:name="_Toc279701261"/>
      <w:bookmarkStart w:id="913" w:name="_Toc11284"/>
      <w:bookmarkStart w:id="914" w:name="_Toc11562"/>
      <w:bookmarkStart w:id="915" w:name="_Toc15537"/>
      <w:bookmarkStart w:id="916" w:name="_Toc25396"/>
      <w:bookmarkStart w:id="917" w:name="_Toc15215"/>
      <w:bookmarkStart w:id="918" w:name="_Toc25182"/>
      <w:bookmarkStart w:id="919" w:name="_Toc7303"/>
      <w:bookmarkStart w:id="920" w:name="_Toc4288"/>
      <w:bookmarkStart w:id="921" w:name="_Toc19276"/>
      <w:bookmarkStart w:id="922" w:name="_Toc28559"/>
      <w:bookmarkStart w:id="923" w:name="_Toc19604"/>
      <w:bookmarkStart w:id="924" w:name="_Toc29099"/>
      <w:bookmarkStart w:id="925" w:name="_Toc5184"/>
      <w:r>
        <w:rPr>
          <w:rFonts w:ascii="楷体" w:hAnsi="楷体" w:eastAsia="楷体"/>
          <w:b/>
          <w:color w:val="auto"/>
          <w:sz w:val="24"/>
          <w:highlight w:val="none"/>
        </w:rPr>
        <w:t xml:space="preserve">2.18 </w:t>
      </w:r>
      <w:r>
        <w:rPr>
          <w:rFonts w:hint="eastAsia" w:ascii="楷体" w:hAnsi="楷体" w:eastAsia="楷体"/>
          <w:b/>
          <w:color w:val="auto"/>
          <w:sz w:val="24"/>
          <w:highlight w:val="none"/>
        </w:rPr>
        <w:t>通知</w:t>
      </w:r>
      <w:bookmarkEnd w:id="910"/>
      <w:bookmarkEnd w:id="911"/>
      <w:bookmarkEnd w:id="912"/>
      <w:r>
        <w:rPr>
          <w:rFonts w:hint="eastAsia" w:ascii="楷体" w:hAnsi="楷体" w:eastAsia="楷体"/>
          <w:b/>
          <w:color w:val="auto"/>
          <w:sz w:val="24"/>
          <w:highlight w:val="none"/>
        </w:rPr>
        <w:t>和送达</w:t>
      </w:r>
      <w:bookmarkEnd w:id="913"/>
      <w:bookmarkEnd w:id="914"/>
      <w:bookmarkEnd w:id="915"/>
      <w:bookmarkEnd w:id="916"/>
      <w:bookmarkEnd w:id="917"/>
      <w:bookmarkEnd w:id="918"/>
      <w:bookmarkEnd w:id="919"/>
      <w:bookmarkEnd w:id="920"/>
      <w:bookmarkEnd w:id="921"/>
      <w:bookmarkEnd w:id="922"/>
      <w:bookmarkEnd w:id="923"/>
      <w:bookmarkEnd w:id="924"/>
      <w:bookmarkEnd w:id="925"/>
    </w:p>
    <w:p>
      <w:pPr>
        <w:spacing w:line="560" w:lineRule="exact"/>
        <w:ind w:firstLine="480" w:firstLineChars="200"/>
        <w:rPr>
          <w:rFonts w:ascii="楷体" w:hAnsi="楷体" w:eastAsia="楷体"/>
          <w:color w:val="auto"/>
          <w:sz w:val="24"/>
          <w:highlight w:val="none"/>
        </w:rPr>
      </w:pPr>
      <w:bookmarkStart w:id="926" w:name="_Toc6698"/>
      <w:bookmarkStart w:id="927" w:name="_Toc3135"/>
      <w:bookmarkStart w:id="928" w:name="_Toc259093691"/>
      <w:bookmarkStart w:id="929" w:name="_Toc279701262"/>
      <w:bookmarkStart w:id="930" w:name="_Toc487900372"/>
      <w:r>
        <w:rPr>
          <w:rFonts w:ascii="楷体" w:hAnsi="楷体" w:eastAsia="楷体"/>
          <w:color w:val="auto"/>
          <w:sz w:val="24"/>
          <w:highlight w:val="none"/>
        </w:rPr>
        <w:t xml:space="preserve">2.18.1 </w:t>
      </w:r>
      <w:r>
        <w:rPr>
          <w:rFonts w:hint="eastAsia" w:ascii="楷体" w:hAnsi="楷体" w:eastAsia="楷体"/>
          <w:color w:val="auto"/>
          <w:sz w:val="24"/>
          <w:highlight w:val="none"/>
        </w:rPr>
        <w:t>任何一方因履行合同而以合同第一部分尾部所列明的</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发出的所有通知、文件、材料，均视为已向对方当事人送达；任何一方变更上述送达方式或者地址的，应于</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个工作日内书面通知对方当事人，在对方当事人收到有关变更通知之前，变更前的约定送达方式或者地址仍视为有效。</w:t>
      </w:r>
      <w:bookmarkEnd w:id="926"/>
      <w:bookmarkEnd w:id="927"/>
    </w:p>
    <w:p>
      <w:pPr>
        <w:spacing w:line="560" w:lineRule="exact"/>
        <w:ind w:firstLine="480" w:firstLineChars="200"/>
        <w:rPr>
          <w:rFonts w:ascii="楷体" w:hAnsi="楷体" w:eastAsia="楷体"/>
          <w:color w:val="auto"/>
          <w:sz w:val="24"/>
          <w:highlight w:val="none"/>
        </w:rPr>
      </w:pPr>
      <w:bookmarkStart w:id="931" w:name="_Toc23128"/>
      <w:bookmarkStart w:id="932" w:name="_Toc23294"/>
      <w:r>
        <w:rPr>
          <w:rFonts w:ascii="楷体" w:hAnsi="楷体" w:eastAsia="楷体"/>
          <w:color w:val="auto"/>
          <w:sz w:val="24"/>
          <w:highlight w:val="none"/>
        </w:rPr>
        <w:t>2.18.2</w:t>
      </w:r>
      <w:r>
        <w:rPr>
          <w:rFonts w:hint="eastAsia" w:ascii="楷体" w:hAnsi="楷体" w:eastAsia="楷体"/>
          <w:color w:val="auto"/>
          <w:sz w:val="24"/>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931"/>
      <w:bookmarkEnd w:id="932"/>
    </w:p>
    <w:p>
      <w:pPr>
        <w:spacing w:line="560" w:lineRule="exact"/>
        <w:ind w:firstLine="482" w:firstLineChars="200"/>
        <w:outlineLvl w:val="0"/>
        <w:rPr>
          <w:rFonts w:ascii="楷体" w:hAnsi="楷体" w:eastAsia="楷体"/>
          <w:b/>
          <w:color w:val="auto"/>
          <w:sz w:val="24"/>
          <w:highlight w:val="none"/>
        </w:rPr>
      </w:pPr>
      <w:bookmarkStart w:id="933" w:name="_Toc4355"/>
      <w:bookmarkStart w:id="934" w:name="_Toc18529"/>
      <w:bookmarkStart w:id="935" w:name="_Toc538"/>
      <w:bookmarkStart w:id="936" w:name="_Toc20965"/>
      <w:bookmarkStart w:id="937" w:name="_Toc4149"/>
      <w:bookmarkStart w:id="938" w:name="_Toc8262"/>
      <w:bookmarkStart w:id="939" w:name="_Toc7909"/>
      <w:bookmarkStart w:id="940" w:name="_Toc24426"/>
      <w:bookmarkStart w:id="941" w:name="_Toc30599"/>
      <w:bookmarkStart w:id="942" w:name="_Toc18540"/>
      <w:bookmarkStart w:id="943" w:name="_Toc25628"/>
      <w:bookmarkStart w:id="944" w:name="_Toc2321"/>
      <w:bookmarkStart w:id="945" w:name="_Toc14131"/>
      <w:r>
        <w:rPr>
          <w:rFonts w:ascii="楷体" w:hAnsi="楷体" w:eastAsia="楷体"/>
          <w:b/>
          <w:color w:val="auto"/>
          <w:sz w:val="24"/>
          <w:highlight w:val="none"/>
        </w:rPr>
        <w:t xml:space="preserve">2.19 </w:t>
      </w:r>
      <w:r>
        <w:rPr>
          <w:rFonts w:hint="eastAsia" w:ascii="楷体" w:hAnsi="楷体" w:eastAsia="楷体"/>
          <w:b/>
          <w:color w:val="auto"/>
          <w:sz w:val="24"/>
          <w:highlight w:val="none"/>
        </w:rPr>
        <w:t>计量单位</w:t>
      </w:r>
      <w:bookmarkEnd w:id="928"/>
      <w:bookmarkEnd w:id="929"/>
      <w:bookmarkEnd w:id="930"/>
      <w:bookmarkEnd w:id="933"/>
      <w:bookmarkEnd w:id="934"/>
      <w:bookmarkEnd w:id="935"/>
      <w:bookmarkEnd w:id="936"/>
      <w:bookmarkEnd w:id="937"/>
      <w:bookmarkEnd w:id="938"/>
      <w:bookmarkEnd w:id="939"/>
      <w:bookmarkEnd w:id="940"/>
      <w:bookmarkEnd w:id="941"/>
      <w:bookmarkEnd w:id="942"/>
      <w:bookmarkEnd w:id="943"/>
      <w:bookmarkEnd w:id="944"/>
      <w:bookmarkEnd w:id="945"/>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除技术规范中另有规定外</w:t>
      </w:r>
      <w:r>
        <w:rPr>
          <w:rFonts w:ascii="楷体" w:hAnsi="楷体" w:eastAsia="楷体"/>
          <w:color w:val="auto"/>
          <w:sz w:val="24"/>
          <w:highlight w:val="none"/>
        </w:rPr>
        <w:t>,</w:t>
      </w:r>
      <w:r>
        <w:rPr>
          <w:rFonts w:hint="eastAsia" w:ascii="楷体" w:hAnsi="楷体" w:eastAsia="楷体"/>
          <w:color w:val="auto"/>
          <w:sz w:val="24"/>
          <w:highlight w:val="none"/>
        </w:rPr>
        <w:t>合同的计量单位均使用国家法定计量单位。</w:t>
      </w:r>
    </w:p>
    <w:p>
      <w:pPr>
        <w:spacing w:line="560" w:lineRule="exact"/>
        <w:ind w:firstLine="482" w:firstLineChars="200"/>
        <w:outlineLvl w:val="0"/>
        <w:rPr>
          <w:rFonts w:ascii="楷体" w:hAnsi="楷体" w:eastAsia="楷体"/>
          <w:b/>
          <w:color w:val="auto"/>
          <w:sz w:val="24"/>
          <w:highlight w:val="none"/>
        </w:rPr>
      </w:pPr>
      <w:bookmarkStart w:id="946" w:name="_Toc10330"/>
      <w:bookmarkStart w:id="947" w:name="_Toc27214"/>
      <w:bookmarkStart w:id="948" w:name="_Toc916"/>
      <w:bookmarkStart w:id="949" w:name="_Toc279701263"/>
      <w:bookmarkStart w:id="950" w:name="_Toc15735"/>
      <w:bookmarkStart w:id="951" w:name="_Toc20139"/>
      <w:bookmarkStart w:id="952" w:name="_Toc259093692"/>
      <w:bookmarkStart w:id="953" w:name="_Toc18753"/>
      <w:bookmarkStart w:id="954" w:name="_Toc11950"/>
      <w:bookmarkStart w:id="955" w:name="_Toc3091"/>
      <w:bookmarkStart w:id="956" w:name="_Toc12773"/>
      <w:bookmarkStart w:id="957" w:name="_Toc22626"/>
      <w:bookmarkStart w:id="958" w:name="_Toc487900373"/>
      <w:bookmarkStart w:id="959" w:name="_Toc9427"/>
      <w:bookmarkStart w:id="960" w:name="_Toc18567"/>
      <w:bookmarkStart w:id="961" w:name="_Toc20000"/>
      <w:r>
        <w:rPr>
          <w:rFonts w:ascii="楷体" w:hAnsi="楷体" w:eastAsia="楷体"/>
          <w:b/>
          <w:color w:val="auto"/>
          <w:sz w:val="24"/>
          <w:highlight w:val="none"/>
        </w:rPr>
        <w:t xml:space="preserve">2.20 </w:t>
      </w:r>
      <w:r>
        <w:rPr>
          <w:rFonts w:hint="eastAsia" w:ascii="楷体" w:hAnsi="楷体" w:eastAsia="楷体"/>
          <w:b/>
          <w:color w:val="auto"/>
          <w:sz w:val="24"/>
          <w:highlight w:val="none"/>
        </w:rPr>
        <w:t>合同使用的文字和适用的法律</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2.20.1 </w:t>
      </w:r>
      <w:r>
        <w:rPr>
          <w:rFonts w:hint="eastAsia" w:ascii="楷体" w:hAnsi="楷体" w:eastAsia="楷体"/>
          <w:color w:val="auto"/>
          <w:sz w:val="24"/>
          <w:highlight w:val="none"/>
        </w:rPr>
        <w:t>合同使用汉语书就、变更和解释；</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2.20.2 </w:t>
      </w:r>
      <w:r>
        <w:rPr>
          <w:rFonts w:hint="eastAsia" w:ascii="楷体" w:hAnsi="楷体" w:eastAsia="楷体"/>
          <w:color w:val="auto"/>
          <w:sz w:val="24"/>
          <w:highlight w:val="none"/>
        </w:rPr>
        <w:t>合同适用中华人民共和国法律。</w:t>
      </w:r>
    </w:p>
    <w:p>
      <w:pPr>
        <w:spacing w:line="560" w:lineRule="exact"/>
        <w:ind w:firstLine="482" w:firstLineChars="200"/>
        <w:outlineLvl w:val="0"/>
        <w:rPr>
          <w:rFonts w:ascii="楷体" w:hAnsi="楷体" w:eastAsia="楷体"/>
          <w:b/>
          <w:color w:val="auto"/>
          <w:sz w:val="24"/>
          <w:highlight w:val="none"/>
        </w:rPr>
      </w:pPr>
      <w:bookmarkStart w:id="962" w:name="_Toc279701264"/>
      <w:bookmarkStart w:id="963" w:name="_Toc23450"/>
      <w:bookmarkStart w:id="964" w:name="_Toc28875"/>
      <w:bookmarkStart w:id="965" w:name="_Toc12099"/>
      <w:bookmarkStart w:id="966" w:name="_Toc12004"/>
      <w:bookmarkStart w:id="967" w:name="_Toc25499"/>
      <w:bookmarkStart w:id="968" w:name="_Toc3148"/>
      <w:bookmarkStart w:id="969" w:name="_Toc2027"/>
      <w:bookmarkStart w:id="970" w:name="_Toc30288"/>
      <w:bookmarkStart w:id="971" w:name="_Toc259093693"/>
      <w:bookmarkStart w:id="972" w:name="_Toc26448"/>
      <w:bookmarkStart w:id="973" w:name="_Toc150"/>
      <w:bookmarkStart w:id="974" w:name="_Toc20293"/>
      <w:bookmarkStart w:id="975" w:name="_Toc20984"/>
      <w:bookmarkStart w:id="976" w:name="_Toc16673"/>
      <w:bookmarkStart w:id="977" w:name="_Toc487900374"/>
      <w:r>
        <w:rPr>
          <w:rFonts w:ascii="楷体" w:hAnsi="楷体" w:eastAsia="楷体"/>
          <w:b/>
          <w:color w:val="auto"/>
          <w:sz w:val="24"/>
          <w:highlight w:val="none"/>
        </w:rPr>
        <w:t xml:space="preserve">2.21 </w:t>
      </w:r>
      <w:r>
        <w:rPr>
          <w:rFonts w:hint="eastAsia" w:ascii="楷体" w:hAnsi="楷体" w:eastAsia="楷体"/>
          <w:b/>
          <w:color w:val="auto"/>
          <w:sz w:val="24"/>
          <w:highlight w:val="none"/>
        </w:rPr>
        <w:t>履约保证金</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2.21.1 </w:t>
      </w:r>
      <w:r>
        <w:rPr>
          <w:rFonts w:hint="eastAsia" w:ascii="楷体" w:hAnsi="楷体" w:eastAsia="楷体"/>
          <w:color w:val="auto"/>
          <w:sz w:val="24"/>
          <w:highlight w:val="none"/>
        </w:rPr>
        <w:t>采购文件要求乙方提交履约保证金的，乙方应按</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约定的方式，以支票、汇票、本票或者金融机构、担保机构出具的保函等非现金形式，提交不超过合同价</w:t>
      </w:r>
      <w:r>
        <w:rPr>
          <w:rFonts w:ascii="楷体" w:hAnsi="楷体" w:eastAsia="楷体"/>
          <w:color w:val="auto"/>
          <w:sz w:val="24"/>
          <w:highlight w:val="none"/>
        </w:rPr>
        <w:t>10%</w:t>
      </w:r>
      <w:r>
        <w:rPr>
          <w:rFonts w:hint="eastAsia" w:ascii="楷体" w:hAnsi="楷体" w:eastAsia="楷体"/>
          <w:color w:val="auto"/>
          <w:sz w:val="24"/>
          <w:highlight w:val="none"/>
        </w:rPr>
        <w:t>的履约保证金；</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2.21.2  </w:t>
      </w:r>
      <w:r>
        <w:rPr>
          <w:rFonts w:hint="eastAsia" w:ascii="楷体" w:hAnsi="楷体" w:eastAsia="楷体"/>
          <w:color w:val="auto"/>
          <w:sz w:val="24"/>
          <w:highlight w:val="none"/>
        </w:rPr>
        <w:t>履约保证金在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约定期间内或者货物质量保证期内不予退还或者应完全有效，前述约定期间届满或者货物质量保证期届满之日起</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个工作日内，甲方应将履约保证金退还乙方；</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2.21.3 </w:t>
      </w:r>
      <w:r>
        <w:rPr>
          <w:rFonts w:hint="eastAsia" w:ascii="楷体" w:hAnsi="楷体" w:eastAsia="楷体"/>
          <w:color w:val="auto"/>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977"/>
    <w:p>
      <w:pPr>
        <w:spacing w:line="560" w:lineRule="exact"/>
        <w:ind w:firstLine="482" w:firstLineChars="200"/>
        <w:outlineLvl w:val="0"/>
        <w:rPr>
          <w:rFonts w:ascii="楷体" w:hAnsi="楷体" w:eastAsia="楷体"/>
          <w:b/>
          <w:color w:val="auto"/>
          <w:sz w:val="24"/>
          <w:highlight w:val="none"/>
        </w:rPr>
      </w:pPr>
      <w:bookmarkStart w:id="978" w:name="_Toc29532"/>
      <w:bookmarkStart w:id="979" w:name="_Toc27668"/>
      <w:bookmarkStart w:id="980" w:name="_Toc32711"/>
      <w:bookmarkStart w:id="981" w:name="_Toc22214"/>
      <w:bookmarkStart w:id="982" w:name="_Toc6885"/>
      <w:bookmarkStart w:id="983" w:name="_Toc22920"/>
      <w:bookmarkStart w:id="984" w:name="_Toc12368"/>
      <w:bookmarkStart w:id="985" w:name="_Toc32609"/>
      <w:bookmarkStart w:id="986" w:name="_Toc3074"/>
      <w:bookmarkStart w:id="987" w:name="_Toc14001"/>
      <w:bookmarkStart w:id="988" w:name="_Toc32708"/>
      <w:bookmarkStart w:id="989" w:name="_Toc19890"/>
      <w:bookmarkStart w:id="990" w:name="_Toc22588"/>
      <w:r>
        <w:rPr>
          <w:rFonts w:ascii="楷体" w:hAnsi="楷体" w:eastAsia="楷体"/>
          <w:b/>
          <w:color w:val="auto"/>
          <w:sz w:val="24"/>
          <w:highlight w:val="none"/>
        </w:rPr>
        <w:t xml:space="preserve">2.22 </w:t>
      </w:r>
      <w:r>
        <w:rPr>
          <w:rFonts w:hint="eastAsia" w:ascii="楷体" w:hAnsi="楷体" w:eastAsia="楷体"/>
          <w:b/>
          <w:color w:val="auto"/>
          <w:sz w:val="24"/>
          <w:highlight w:val="none"/>
        </w:rPr>
        <w:t>合同份数</w:t>
      </w:r>
      <w:bookmarkEnd w:id="978"/>
      <w:bookmarkEnd w:id="979"/>
      <w:bookmarkEnd w:id="980"/>
      <w:bookmarkEnd w:id="981"/>
      <w:bookmarkEnd w:id="982"/>
      <w:bookmarkEnd w:id="983"/>
      <w:bookmarkEnd w:id="984"/>
      <w:bookmarkEnd w:id="985"/>
      <w:bookmarkEnd w:id="986"/>
      <w:bookmarkEnd w:id="987"/>
      <w:bookmarkEnd w:id="988"/>
      <w:bookmarkEnd w:id="989"/>
      <w:bookmarkEnd w:id="990"/>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合同份数按</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规定，每份均具有同等法律效力。</w:t>
      </w:r>
    </w:p>
    <w:p>
      <w:pPr>
        <w:pStyle w:val="60"/>
        <w:spacing w:line="560" w:lineRule="exact"/>
        <w:ind w:firstLine="0"/>
        <w:jc w:val="center"/>
        <w:rPr>
          <w:rFonts w:ascii="楷体" w:hAnsi="楷体" w:eastAsia="楷体"/>
          <w:b/>
          <w:color w:val="auto"/>
          <w:szCs w:val="24"/>
          <w:highlight w:val="none"/>
        </w:rPr>
      </w:pPr>
      <w:r>
        <w:rPr>
          <w:rFonts w:ascii="楷体" w:hAnsi="楷体" w:eastAsia="楷体"/>
          <w:color w:val="auto"/>
          <w:szCs w:val="24"/>
          <w:highlight w:val="none"/>
        </w:rPr>
        <w:br w:type="page"/>
      </w:r>
      <w:bookmarkStart w:id="991" w:name="_Toc331685784"/>
      <w:r>
        <w:rPr>
          <w:rFonts w:hint="eastAsia" w:ascii="楷体" w:hAnsi="楷体" w:eastAsia="楷体"/>
          <w:b/>
          <w:color w:val="auto"/>
          <w:szCs w:val="24"/>
          <w:highlight w:val="none"/>
        </w:rPr>
        <w:t>第三部分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合同专用条款</w:t>
      </w:r>
      <w:bookmarkEnd w:id="991"/>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color w:val="auto"/>
                <w:sz w:val="24"/>
                <w:highlight w:val="none"/>
              </w:rPr>
            </w:pPr>
            <w:r>
              <w:rPr>
                <w:rFonts w:hint="eastAsia" w:ascii="楷体" w:hAnsi="楷体" w:eastAsia="楷体"/>
                <w:b/>
                <w:color w:val="auto"/>
                <w:sz w:val="24"/>
                <w:highlight w:val="none"/>
              </w:rPr>
              <w:t>条款号</w:t>
            </w:r>
          </w:p>
        </w:tc>
        <w:tc>
          <w:tcPr>
            <w:tcW w:w="7633" w:type="dxa"/>
            <w:noWrap w:val="0"/>
            <w:vAlign w:val="center"/>
          </w:tcPr>
          <w:p>
            <w:pPr>
              <w:spacing w:line="560" w:lineRule="exact"/>
              <w:jc w:val="center"/>
              <w:rPr>
                <w:rFonts w:ascii="楷体" w:hAnsi="楷体" w:eastAsia="楷体"/>
                <w:b/>
                <w:color w:val="auto"/>
                <w:sz w:val="24"/>
                <w:highlight w:val="none"/>
              </w:rPr>
            </w:pPr>
            <w:r>
              <w:rPr>
                <w:rFonts w:hint="eastAsia" w:ascii="楷体" w:hAnsi="楷体" w:eastAsia="楷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bl>
    <w:p>
      <w:pPr>
        <w:spacing w:line="360" w:lineRule="auto"/>
        <w:jc w:val="left"/>
        <w:outlineLvl w:val="1"/>
        <w:rPr>
          <w:rStyle w:val="43"/>
          <w:rFonts w:hint="eastAsia" w:asciiTheme="minorEastAsia" w:hAnsiTheme="minorEastAsia" w:eastAsiaTheme="minorEastAsia" w:cstheme="minorEastAsia"/>
          <w:color w:val="auto"/>
          <w:sz w:val="24"/>
          <w:highlight w:val="none"/>
        </w:rPr>
      </w:pPr>
    </w:p>
    <w:p>
      <w:pPr>
        <w:pStyle w:val="24"/>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sectPr>
      <w:headerReference r:id="rId20" w:type="default"/>
      <w:footerReference r:id="rId21"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right"/>
      <w:rPr>
        <w:rFonts w:hint="eastAsia"/>
        <w:color w:val="FF000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44"/>
      </w:rPr>
    </w:pPr>
    <w:r>
      <w:fldChar w:fldCharType="begin"/>
    </w:r>
    <w:r>
      <w:rPr>
        <w:rStyle w:val="44"/>
      </w:rPr>
      <w:instrText xml:space="preserve">PAGE  </w:instrText>
    </w:r>
    <w:r>
      <w:fldChar w:fldCharType="end"/>
    </w:r>
  </w:p>
  <w:p>
    <w:pPr>
      <w:pStyle w:val="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jc w:val="center"/>
                          </w:pPr>
                          <w:r>
                            <w:fldChar w:fldCharType="begin"/>
                          </w:r>
                          <w:r>
                            <w:instrText xml:space="preserve">PAGE   \* MERGEFORMAT</w:instrText>
                          </w:r>
                          <w:r>
                            <w:fldChar w:fldCharType="separate"/>
                          </w:r>
                          <w:r>
                            <w:rPr>
                              <w:lang w:val="zh-CN"/>
                            </w:rPr>
                            <w:t>11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mc:Fallback>
      </mc:AlternateContent>
    </w:r>
  </w:p>
  <w:p>
    <w:pPr>
      <w:pStyle w:val="2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127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82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6W/D9EAAAADAQAADwAAAAAAAAABACAAAAAiAAAAZHJzL2Rv&#10;d25yZXYueG1sUEsBAhQAFAAAAAgAh07iQARK+0UIAgAAAgQAAA4AAAAAAAAAAQAgAAAAIAEAAGRy&#10;cy9lMm9Eb2MueG1sUEsFBgAAAAAGAAYAWQEAAJoFA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82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44"/>
      </w:rPr>
    </w:pPr>
    <w:r>
      <w:fldChar w:fldCharType="begin"/>
    </w:r>
    <w:r>
      <w:rPr>
        <w:rStyle w:val="44"/>
      </w:rPr>
      <w:instrText xml:space="preserve">PAGE  </w:instrText>
    </w:r>
    <w:r>
      <w:fldChar w:fldCharType="separate"/>
    </w:r>
    <w:r>
      <w:rPr>
        <w:rStyle w:val="44"/>
      </w:rPr>
      <w:t>21</w:t>
    </w:r>
    <w:r>
      <w:fldChar w:fldCharType="end"/>
    </w:r>
  </w:p>
  <w:p>
    <w:pPr>
      <w:pStyle w:val="2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right" w:y="1"/>
      <w:rPr>
        <w:rStyle w:val="44"/>
      </w:rPr>
    </w:pPr>
  </w:p>
  <w:p>
    <w:pPr>
      <w:pStyle w:val="20"/>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p>
    <w:pPr>
      <w:pStyle w:val="20"/>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127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pb8P0QAAAAMBAAAPAAAAAAAAAAEAIAAAACIAAABkcnMv&#10;ZG93bnJldi54bWxQSwECFAAUAAAACACHTuJA3Sz31goCAAACBAAADgAAAAAAAAABACAAAAAgAQAA&#10;ZHJzL2Uyb0RvYy54bWxQSwUGAAAAAAYABgBZAQAAnAU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44"/>
      </w:rPr>
    </w:pPr>
    <w:r>
      <w:fldChar w:fldCharType="begin"/>
    </w:r>
    <w:r>
      <w:rPr>
        <w:rStyle w:val="44"/>
      </w:rPr>
      <w:instrText xml:space="preserve">PAGE  </w:instrText>
    </w:r>
    <w:r>
      <w:fldChar w:fldCharType="end"/>
    </w:r>
  </w:p>
  <w:p>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3175" t="1270" r="0" b="317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6W/D9EAAAADAQAADwAAAAAAAAABACAAAAAiAAAAZHJz&#10;L2Rvd25yZXYueG1sUEsBAhQAFAAAAAgAh07iQPQgnMALAgAAAgQAAA4AAAAAAAAAAQAgAAAAIAEA&#10;AGRycy9lMm9Eb2MueG1sUEsFBgAAAAAGAAYAWQEAAJ0FA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tabs>
        <w:tab w:val="left" w:pos="1794"/>
        <w:tab w:val="clear" w:pos="4153"/>
      </w:tabs>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tabs>
        <w:tab w:val="left" w:pos="1959"/>
        <w:tab w:val="clear" w:pos="4153"/>
      </w:tabs>
      <w:jc w:val="both"/>
      <w:rPr>
        <w:rFonts w:hint="eastAsia"/>
      </w:rPr>
    </w:pPr>
    <w:r>
      <w:rPr>
        <w:rFonts w:hint="eastAsia"/>
      </w:rPr>
      <w:tab/>
    </w:r>
  </w:p>
  <w:p>
    <w:pPr>
      <w:pStyle w:val="21"/>
      <w:pBdr>
        <w:bottom w:val="none" w:color="auto" w:sz="0" w:space="0"/>
      </w:pBdr>
      <w:tabs>
        <w:tab w:val="left" w:pos="1959"/>
        <w:tab w:val="clear" w:pos="4153"/>
      </w:tabs>
      <w:jc w:val="both"/>
      <w:rPr>
        <w:rFonts w:hint="eastAsia"/>
      </w:rPr>
    </w:pPr>
  </w:p>
  <w:p>
    <w:pPr>
      <w:pStyle w:val="21"/>
      <w:pBdr>
        <w:bottom w:val="none" w:color="auto" w:sz="0" w:space="0"/>
      </w:pBdr>
      <w:tabs>
        <w:tab w:val="left" w:pos="1959"/>
        <w:tab w:val="clear" w:pos="4153"/>
      </w:tabs>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E0EAD"/>
    <w:multiLevelType w:val="singleLevel"/>
    <w:tmpl w:val="83CE0EAD"/>
    <w:lvl w:ilvl="0" w:tentative="0">
      <w:start w:val="1"/>
      <w:numFmt w:val="decimal"/>
      <w:suff w:val="nothing"/>
      <w:lvlText w:val="%1、"/>
      <w:lvlJc w:val="left"/>
    </w:lvl>
  </w:abstractNum>
  <w:abstractNum w:abstractNumId="1">
    <w:nsid w:val="A1FDA66A"/>
    <w:multiLevelType w:val="multilevel"/>
    <w:tmpl w:val="A1FDA66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A3CB81B6"/>
    <w:multiLevelType w:val="singleLevel"/>
    <w:tmpl w:val="A3CB81B6"/>
    <w:lvl w:ilvl="0" w:tentative="0">
      <w:start w:val="1"/>
      <w:numFmt w:val="decimal"/>
      <w:suff w:val="nothing"/>
      <w:lvlText w:val="%1、"/>
      <w:lvlJc w:val="left"/>
    </w:lvl>
  </w:abstractNum>
  <w:abstractNum w:abstractNumId="3">
    <w:nsid w:val="E61FFB4C"/>
    <w:multiLevelType w:val="singleLevel"/>
    <w:tmpl w:val="E61FFB4C"/>
    <w:lvl w:ilvl="0" w:tentative="0">
      <w:start w:val="1"/>
      <w:numFmt w:val="decimal"/>
      <w:suff w:val="nothing"/>
      <w:lvlText w:val="%1、"/>
      <w:lvlJc w:val="left"/>
    </w:lvl>
  </w:abstractNum>
  <w:abstractNum w:abstractNumId="4">
    <w:nsid w:val="ED5AE459"/>
    <w:multiLevelType w:val="singleLevel"/>
    <w:tmpl w:val="ED5AE459"/>
    <w:lvl w:ilvl="0" w:tentative="0">
      <w:start w:val="5"/>
      <w:numFmt w:val="chineseCounting"/>
      <w:suff w:val="space"/>
      <w:lvlText w:val="第%1章"/>
      <w:lvlJc w:val="left"/>
      <w:rPr>
        <w:rFonts w:hint="eastAsia"/>
      </w:rPr>
    </w:lvl>
  </w:abstractNum>
  <w:abstractNum w:abstractNumId="5">
    <w:nsid w:val="00000002"/>
    <w:multiLevelType w:val="singleLevel"/>
    <w:tmpl w:val="00000002"/>
    <w:lvl w:ilvl="0" w:tentative="0">
      <w:start w:val="2"/>
      <w:numFmt w:val="decimal"/>
      <w:suff w:val="nothing"/>
      <w:lvlText w:val="%1、"/>
      <w:lvlJc w:val="left"/>
    </w:lvl>
  </w:abstractNum>
  <w:abstractNum w:abstractNumId="6">
    <w:nsid w:val="00000003"/>
    <w:multiLevelType w:val="multilevel"/>
    <w:tmpl w:val="00000003"/>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09"/>
    <w:multiLevelType w:val="multilevel"/>
    <w:tmpl w:val="00000009"/>
    <w:lvl w:ilvl="0" w:tentative="0">
      <w:start w:val="1"/>
      <w:numFmt w:val="decimal"/>
      <w:lvlText w:val="（%1）"/>
      <w:lvlJc w:val="left"/>
      <w:pPr>
        <w:tabs>
          <w:tab w:val="left" w:pos="1571"/>
        </w:tabs>
        <w:ind w:left="157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10">
    <w:nsid w:val="1E3CDBB1"/>
    <w:multiLevelType w:val="singleLevel"/>
    <w:tmpl w:val="1E3CDBB1"/>
    <w:lvl w:ilvl="0" w:tentative="0">
      <w:start w:val="1"/>
      <w:numFmt w:val="decimal"/>
      <w:suff w:val="nothing"/>
      <w:lvlText w:val="%1、"/>
      <w:lvlJc w:val="left"/>
    </w:lvl>
  </w:abstractNum>
  <w:abstractNum w:abstractNumId="11">
    <w:nsid w:val="377D9FDF"/>
    <w:multiLevelType w:val="singleLevel"/>
    <w:tmpl w:val="377D9FDF"/>
    <w:lvl w:ilvl="0" w:tentative="0">
      <w:start w:val="1"/>
      <w:numFmt w:val="decimal"/>
      <w:suff w:val="nothing"/>
      <w:lvlText w:val="（%1）"/>
      <w:lvlJc w:val="left"/>
    </w:lvl>
  </w:abstractNum>
  <w:abstractNum w:abstractNumId="12">
    <w:nsid w:val="41238A4F"/>
    <w:multiLevelType w:val="singleLevel"/>
    <w:tmpl w:val="41238A4F"/>
    <w:lvl w:ilvl="0" w:tentative="0">
      <w:start w:val="3"/>
      <w:numFmt w:val="decimal"/>
      <w:suff w:val="space"/>
      <w:lvlText w:val="第%1章"/>
      <w:lvlJc w:val="left"/>
    </w:lvl>
  </w:abstractNum>
  <w:abstractNum w:abstractNumId="13">
    <w:nsid w:val="4C02D1BD"/>
    <w:multiLevelType w:val="singleLevel"/>
    <w:tmpl w:val="4C02D1BD"/>
    <w:lvl w:ilvl="0" w:tentative="0">
      <w:start w:val="1"/>
      <w:numFmt w:val="decimal"/>
      <w:suff w:val="nothing"/>
      <w:lvlText w:val="%1、"/>
      <w:lvlJc w:val="left"/>
    </w:lvl>
  </w:abstractNum>
  <w:num w:numId="1">
    <w:abstractNumId w:val="1"/>
  </w:num>
  <w:num w:numId="2">
    <w:abstractNumId w:val="8"/>
  </w:num>
  <w:num w:numId="3">
    <w:abstractNumId w:val="9"/>
  </w:num>
  <w:num w:numId="4">
    <w:abstractNumId w:val="7"/>
  </w:num>
  <w:num w:numId="5">
    <w:abstractNumId w:val="5"/>
  </w:num>
  <w:num w:numId="6">
    <w:abstractNumId w:val="6"/>
  </w:num>
  <w:num w:numId="7">
    <w:abstractNumId w:val="11"/>
  </w:num>
  <w:num w:numId="8">
    <w:abstractNumId w:val="12"/>
  </w:num>
  <w:num w:numId="9">
    <w:abstractNumId w:val="4"/>
  </w:num>
  <w:num w:numId="10">
    <w:abstractNumId w:val="0"/>
  </w:num>
  <w:num w:numId="11">
    <w:abstractNumId w:val="13"/>
  </w:num>
  <w:num w:numId="12">
    <w:abstractNumId w:val="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E4482"/>
    <w:rsid w:val="00270BE1"/>
    <w:rsid w:val="002C49F3"/>
    <w:rsid w:val="002F3CBC"/>
    <w:rsid w:val="00410152"/>
    <w:rsid w:val="00411E09"/>
    <w:rsid w:val="00433A1F"/>
    <w:rsid w:val="004C7B52"/>
    <w:rsid w:val="00996275"/>
    <w:rsid w:val="00A010BF"/>
    <w:rsid w:val="00A5025E"/>
    <w:rsid w:val="00B51D48"/>
    <w:rsid w:val="00E057EF"/>
    <w:rsid w:val="00E871B7"/>
    <w:rsid w:val="01352A01"/>
    <w:rsid w:val="01454723"/>
    <w:rsid w:val="015461DE"/>
    <w:rsid w:val="01617883"/>
    <w:rsid w:val="016C3255"/>
    <w:rsid w:val="01961F0B"/>
    <w:rsid w:val="01A95263"/>
    <w:rsid w:val="01BF0B46"/>
    <w:rsid w:val="01DA024B"/>
    <w:rsid w:val="0227335D"/>
    <w:rsid w:val="022C2872"/>
    <w:rsid w:val="025246BE"/>
    <w:rsid w:val="025D057A"/>
    <w:rsid w:val="02644D07"/>
    <w:rsid w:val="026F2E2E"/>
    <w:rsid w:val="02B32419"/>
    <w:rsid w:val="030071F2"/>
    <w:rsid w:val="031D2DA9"/>
    <w:rsid w:val="03200295"/>
    <w:rsid w:val="03216B0C"/>
    <w:rsid w:val="032A1344"/>
    <w:rsid w:val="033E64FA"/>
    <w:rsid w:val="03413436"/>
    <w:rsid w:val="035E129F"/>
    <w:rsid w:val="036E122F"/>
    <w:rsid w:val="039962F1"/>
    <w:rsid w:val="03B10EED"/>
    <w:rsid w:val="03BF257C"/>
    <w:rsid w:val="03E96875"/>
    <w:rsid w:val="03EF1A15"/>
    <w:rsid w:val="03F253A2"/>
    <w:rsid w:val="040354C1"/>
    <w:rsid w:val="04104D25"/>
    <w:rsid w:val="04747431"/>
    <w:rsid w:val="048C0696"/>
    <w:rsid w:val="04DE4423"/>
    <w:rsid w:val="04DF323A"/>
    <w:rsid w:val="05017C52"/>
    <w:rsid w:val="052213CB"/>
    <w:rsid w:val="053E79FB"/>
    <w:rsid w:val="053F1942"/>
    <w:rsid w:val="055200FB"/>
    <w:rsid w:val="055A01D8"/>
    <w:rsid w:val="057B51E1"/>
    <w:rsid w:val="05813759"/>
    <w:rsid w:val="05B74A72"/>
    <w:rsid w:val="05EB6EF4"/>
    <w:rsid w:val="06377C85"/>
    <w:rsid w:val="06475AB4"/>
    <w:rsid w:val="065A3328"/>
    <w:rsid w:val="065D710A"/>
    <w:rsid w:val="06763CC4"/>
    <w:rsid w:val="068663E5"/>
    <w:rsid w:val="069A3EBB"/>
    <w:rsid w:val="069D6E7F"/>
    <w:rsid w:val="069F716E"/>
    <w:rsid w:val="06A72A7B"/>
    <w:rsid w:val="06C263EF"/>
    <w:rsid w:val="06E91EC4"/>
    <w:rsid w:val="06F261AF"/>
    <w:rsid w:val="07117C62"/>
    <w:rsid w:val="07380D52"/>
    <w:rsid w:val="0742579C"/>
    <w:rsid w:val="07463D1F"/>
    <w:rsid w:val="07972A1D"/>
    <w:rsid w:val="07A33243"/>
    <w:rsid w:val="07CE681E"/>
    <w:rsid w:val="07D334D0"/>
    <w:rsid w:val="07E52D2F"/>
    <w:rsid w:val="07EB3837"/>
    <w:rsid w:val="07F13FAE"/>
    <w:rsid w:val="07FC2953"/>
    <w:rsid w:val="0805286A"/>
    <w:rsid w:val="082B7863"/>
    <w:rsid w:val="08742190"/>
    <w:rsid w:val="08951323"/>
    <w:rsid w:val="08B61143"/>
    <w:rsid w:val="08CE3B5E"/>
    <w:rsid w:val="08D824DF"/>
    <w:rsid w:val="08E375DA"/>
    <w:rsid w:val="08E73603"/>
    <w:rsid w:val="08F06BF4"/>
    <w:rsid w:val="08F2186C"/>
    <w:rsid w:val="09806D23"/>
    <w:rsid w:val="09CF47C3"/>
    <w:rsid w:val="09DF1E42"/>
    <w:rsid w:val="09E13402"/>
    <w:rsid w:val="09F00295"/>
    <w:rsid w:val="0A025C02"/>
    <w:rsid w:val="0A2E4453"/>
    <w:rsid w:val="0A3665F0"/>
    <w:rsid w:val="0A477B21"/>
    <w:rsid w:val="0A4F339C"/>
    <w:rsid w:val="0A5955BA"/>
    <w:rsid w:val="0A6C10CA"/>
    <w:rsid w:val="0AFA373C"/>
    <w:rsid w:val="0B23369E"/>
    <w:rsid w:val="0B2B1A64"/>
    <w:rsid w:val="0B302817"/>
    <w:rsid w:val="0B341128"/>
    <w:rsid w:val="0B3461BA"/>
    <w:rsid w:val="0B494F05"/>
    <w:rsid w:val="0B7006D8"/>
    <w:rsid w:val="0BA341BF"/>
    <w:rsid w:val="0BAE0864"/>
    <w:rsid w:val="0BBD42A6"/>
    <w:rsid w:val="0BDE4132"/>
    <w:rsid w:val="0BE95866"/>
    <w:rsid w:val="0C476893"/>
    <w:rsid w:val="0C541046"/>
    <w:rsid w:val="0C685AB4"/>
    <w:rsid w:val="0CCB0162"/>
    <w:rsid w:val="0CCC7B78"/>
    <w:rsid w:val="0CE16AB2"/>
    <w:rsid w:val="0D105505"/>
    <w:rsid w:val="0D152B5D"/>
    <w:rsid w:val="0D6F0E9D"/>
    <w:rsid w:val="0E1F65D3"/>
    <w:rsid w:val="0E880ABE"/>
    <w:rsid w:val="0EAC52AB"/>
    <w:rsid w:val="0EB275A2"/>
    <w:rsid w:val="0EB57084"/>
    <w:rsid w:val="0EF2691D"/>
    <w:rsid w:val="0F071923"/>
    <w:rsid w:val="0F1179FE"/>
    <w:rsid w:val="0F1C170B"/>
    <w:rsid w:val="0F1F16FE"/>
    <w:rsid w:val="0F2560F7"/>
    <w:rsid w:val="0F257751"/>
    <w:rsid w:val="0F386A25"/>
    <w:rsid w:val="0F784FB5"/>
    <w:rsid w:val="0FA60756"/>
    <w:rsid w:val="0FB33040"/>
    <w:rsid w:val="0FB774E5"/>
    <w:rsid w:val="0FF67013"/>
    <w:rsid w:val="0FF94885"/>
    <w:rsid w:val="1016743D"/>
    <w:rsid w:val="102D240F"/>
    <w:rsid w:val="103E0C89"/>
    <w:rsid w:val="1048764B"/>
    <w:rsid w:val="105F7FA2"/>
    <w:rsid w:val="108614E3"/>
    <w:rsid w:val="1088019F"/>
    <w:rsid w:val="10D443EA"/>
    <w:rsid w:val="10D4568C"/>
    <w:rsid w:val="10E2534B"/>
    <w:rsid w:val="112444A4"/>
    <w:rsid w:val="112B6CBA"/>
    <w:rsid w:val="11394CAA"/>
    <w:rsid w:val="11882AE6"/>
    <w:rsid w:val="118A7776"/>
    <w:rsid w:val="11A06B39"/>
    <w:rsid w:val="11C91C80"/>
    <w:rsid w:val="11CF7A69"/>
    <w:rsid w:val="11D87F8D"/>
    <w:rsid w:val="11F73503"/>
    <w:rsid w:val="120A1261"/>
    <w:rsid w:val="12100393"/>
    <w:rsid w:val="12412884"/>
    <w:rsid w:val="12496B57"/>
    <w:rsid w:val="124A5988"/>
    <w:rsid w:val="129B7074"/>
    <w:rsid w:val="12CA1FCB"/>
    <w:rsid w:val="12D5450B"/>
    <w:rsid w:val="12FA0EB2"/>
    <w:rsid w:val="12FD414F"/>
    <w:rsid w:val="13064C62"/>
    <w:rsid w:val="134B45F5"/>
    <w:rsid w:val="1356765C"/>
    <w:rsid w:val="137A2ACA"/>
    <w:rsid w:val="13EC4D37"/>
    <w:rsid w:val="144E46F9"/>
    <w:rsid w:val="148C4FD2"/>
    <w:rsid w:val="14A5684C"/>
    <w:rsid w:val="14D23751"/>
    <w:rsid w:val="14F926F4"/>
    <w:rsid w:val="15036D6B"/>
    <w:rsid w:val="150C0679"/>
    <w:rsid w:val="15131432"/>
    <w:rsid w:val="1534671A"/>
    <w:rsid w:val="153547D4"/>
    <w:rsid w:val="153A744A"/>
    <w:rsid w:val="153D1C95"/>
    <w:rsid w:val="15836462"/>
    <w:rsid w:val="158B5094"/>
    <w:rsid w:val="15A72849"/>
    <w:rsid w:val="15B47A25"/>
    <w:rsid w:val="15D001C2"/>
    <w:rsid w:val="15D05B4B"/>
    <w:rsid w:val="15DC771F"/>
    <w:rsid w:val="16030A25"/>
    <w:rsid w:val="16040EAC"/>
    <w:rsid w:val="164F335B"/>
    <w:rsid w:val="165E095B"/>
    <w:rsid w:val="16692289"/>
    <w:rsid w:val="166B1B54"/>
    <w:rsid w:val="16780592"/>
    <w:rsid w:val="168262A5"/>
    <w:rsid w:val="169F72CB"/>
    <w:rsid w:val="16A92A86"/>
    <w:rsid w:val="16B840F6"/>
    <w:rsid w:val="16BC1C2B"/>
    <w:rsid w:val="16C71A0C"/>
    <w:rsid w:val="16DC417F"/>
    <w:rsid w:val="16E66CA8"/>
    <w:rsid w:val="16F05D79"/>
    <w:rsid w:val="17457EDB"/>
    <w:rsid w:val="175E1956"/>
    <w:rsid w:val="177249E0"/>
    <w:rsid w:val="177F09EF"/>
    <w:rsid w:val="178E66CD"/>
    <w:rsid w:val="17982698"/>
    <w:rsid w:val="1799728D"/>
    <w:rsid w:val="17C4179B"/>
    <w:rsid w:val="17C56B16"/>
    <w:rsid w:val="17C7360F"/>
    <w:rsid w:val="17CB0E14"/>
    <w:rsid w:val="17E87B57"/>
    <w:rsid w:val="17FC05C3"/>
    <w:rsid w:val="18040539"/>
    <w:rsid w:val="18441CAA"/>
    <w:rsid w:val="185F7323"/>
    <w:rsid w:val="1865223F"/>
    <w:rsid w:val="18833402"/>
    <w:rsid w:val="18846C47"/>
    <w:rsid w:val="189866C8"/>
    <w:rsid w:val="189B0FB3"/>
    <w:rsid w:val="18CC1EA9"/>
    <w:rsid w:val="18D117D2"/>
    <w:rsid w:val="18E8663C"/>
    <w:rsid w:val="18EF213D"/>
    <w:rsid w:val="194E6270"/>
    <w:rsid w:val="19706A69"/>
    <w:rsid w:val="19BC671E"/>
    <w:rsid w:val="19C846FD"/>
    <w:rsid w:val="1A044D2F"/>
    <w:rsid w:val="1A167CE7"/>
    <w:rsid w:val="1A3018B6"/>
    <w:rsid w:val="1A562B71"/>
    <w:rsid w:val="1A5669EA"/>
    <w:rsid w:val="1A650ADA"/>
    <w:rsid w:val="1AAC3ACB"/>
    <w:rsid w:val="1AD340FD"/>
    <w:rsid w:val="1AE849BA"/>
    <w:rsid w:val="1AF4544B"/>
    <w:rsid w:val="1AF6702A"/>
    <w:rsid w:val="1B013BA7"/>
    <w:rsid w:val="1B027E29"/>
    <w:rsid w:val="1B06607E"/>
    <w:rsid w:val="1B310782"/>
    <w:rsid w:val="1B3F2E2B"/>
    <w:rsid w:val="1B4A4FB8"/>
    <w:rsid w:val="1B6247CE"/>
    <w:rsid w:val="1B7F1ECD"/>
    <w:rsid w:val="1B8D3B96"/>
    <w:rsid w:val="1B945485"/>
    <w:rsid w:val="1BB05AD7"/>
    <w:rsid w:val="1BE25AC8"/>
    <w:rsid w:val="1C575850"/>
    <w:rsid w:val="1C5D6811"/>
    <w:rsid w:val="1C816E0C"/>
    <w:rsid w:val="1C936B9B"/>
    <w:rsid w:val="1C9A68F4"/>
    <w:rsid w:val="1CBA3EAA"/>
    <w:rsid w:val="1CE02276"/>
    <w:rsid w:val="1CEA6564"/>
    <w:rsid w:val="1CFC1D7B"/>
    <w:rsid w:val="1D2A0CBF"/>
    <w:rsid w:val="1D47167B"/>
    <w:rsid w:val="1D504332"/>
    <w:rsid w:val="1D534248"/>
    <w:rsid w:val="1D62382E"/>
    <w:rsid w:val="1D73656D"/>
    <w:rsid w:val="1D74514B"/>
    <w:rsid w:val="1D824E99"/>
    <w:rsid w:val="1D943C66"/>
    <w:rsid w:val="1D960934"/>
    <w:rsid w:val="1DAB27B4"/>
    <w:rsid w:val="1DE53BD0"/>
    <w:rsid w:val="1DF76FC3"/>
    <w:rsid w:val="1E546BED"/>
    <w:rsid w:val="1E730704"/>
    <w:rsid w:val="1E7E43A7"/>
    <w:rsid w:val="1E982792"/>
    <w:rsid w:val="1EBA1973"/>
    <w:rsid w:val="1F0D5B45"/>
    <w:rsid w:val="1F1A213A"/>
    <w:rsid w:val="1F31530D"/>
    <w:rsid w:val="1F3F670E"/>
    <w:rsid w:val="1F4A3FC8"/>
    <w:rsid w:val="1F7E297A"/>
    <w:rsid w:val="1F8416A5"/>
    <w:rsid w:val="1F896F13"/>
    <w:rsid w:val="1F94245B"/>
    <w:rsid w:val="1FA06536"/>
    <w:rsid w:val="200C5EF7"/>
    <w:rsid w:val="20254B96"/>
    <w:rsid w:val="204130D4"/>
    <w:rsid w:val="20494B3B"/>
    <w:rsid w:val="207D68CF"/>
    <w:rsid w:val="20832C3C"/>
    <w:rsid w:val="209F4559"/>
    <w:rsid w:val="20B90CB8"/>
    <w:rsid w:val="20E65407"/>
    <w:rsid w:val="20E82CD1"/>
    <w:rsid w:val="20F46465"/>
    <w:rsid w:val="20F85F56"/>
    <w:rsid w:val="212964E1"/>
    <w:rsid w:val="216C4715"/>
    <w:rsid w:val="21B25047"/>
    <w:rsid w:val="21BE3625"/>
    <w:rsid w:val="21D46092"/>
    <w:rsid w:val="225F4599"/>
    <w:rsid w:val="22624655"/>
    <w:rsid w:val="227D3D3C"/>
    <w:rsid w:val="228C7D9D"/>
    <w:rsid w:val="22A22B78"/>
    <w:rsid w:val="22A652CA"/>
    <w:rsid w:val="22C41E66"/>
    <w:rsid w:val="22DE117B"/>
    <w:rsid w:val="22E24C9F"/>
    <w:rsid w:val="23205D86"/>
    <w:rsid w:val="232F02B2"/>
    <w:rsid w:val="23497FE2"/>
    <w:rsid w:val="237101D1"/>
    <w:rsid w:val="2391160F"/>
    <w:rsid w:val="23AB3753"/>
    <w:rsid w:val="24116A05"/>
    <w:rsid w:val="2415047B"/>
    <w:rsid w:val="24402A32"/>
    <w:rsid w:val="24551647"/>
    <w:rsid w:val="24BA4F94"/>
    <w:rsid w:val="24E210C0"/>
    <w:rsid w:val="24EA02AB"/>
    <w:rsid w:val="24F84EB5"/>
    <w:rsid w:val="250065F7"/>
    <w:rsid w:val="251832D1"/>
    <w:rsid w:val="25193A37"/>
    <w:rsid w:val="251A12BE"/>
    <w:rsid w:val="254C7E77"/>
    <w:rsid w:val="255E0C3D"/>
    <w:rsid w:val="2578726D"/>
    <w:rsid w:val="2585504B"/>
    <w:rsid w:val="258B68FB"/>
    <w:rsid w:val="25945113"/>
    <w:rsid w:val="25A7080A"/>
    <w:rsid w:val="25A82557"/>
    <w:rsid w:val="25EC679D"/>
    <w:rsid w:val="260B7B36"/>
    <w:rsid w:val="261D2D79"/>
    <w:rsid w:val="262E5F76"/>
    <w:rsid w:val="263746A4"/>
    <w:rsid w:val="264A07E1"/>
    <w:rsid w:val="266C64DB"/>
    <w:rsid w:val="2673757D"/>
    <w:rsid w:val="26750750"/>
    <w:rsid w:val="267730D5"/>
    <w:rsid w:val="267E4F6E"/>
    <w:rsid w:val="26812549"/>
    <w:rsid w:val="268673BB"/>
    <w:rsid w:val="26876723"/>
    <w:rsid w:val="2691785B"/>
    <w:rsid w:val="269A5092"/>
    <w:rsid w:val="26A83D2C"/>
    <w:rsid w:val="26F47545"/>
    <w:rsid w:val="26F96584"/>
    <w:rsid w:val="26FB7F9A"/>
    <w:rsid w:val="27097162"/>
    <w:rsid w:val="272B5813"/>
    <w:rsid w:val="272E05ED"/>
    <w:rsid w:val="2739568C"/>
    <w:rsid w:val="276D1BF0"/>
    <w:rsid w:val="2794321C"/>
    <w:rsid w:val="27B8496C"/>
    <w:rsid w:val="27C52AAC"/>
    <w:rsid w:val="28194FC4"/>
    <w:rsid w:val="285534A0"/>
    <w:rsid w:val="285576FD"/>
    <w:rsid w:val="28604969"/>
    <w:rsid w:val="286D310E"/>
    <w:rsid w:val="289710C6"/>
    <w:rsid w:val="289E5D1B"/>
    <w:rsid w:val="28BB5619"/>
    <w:rsid w:val="28C64B8B"/>
    <w:rsid w:val="28CF7770"/>
    <w:rsid w:val="28D73648"/>
    <w:rsid w:val="28EE3903"/>
    <w:rsid w:val="294E4CA1"/>
    <w:rsid w:val="295632BB"/>
    <w:rsid w:val="296D4B09"/>
    <w:rsid w:val="29FB7ABE"/>
    <w:rsid w:val="2A264078"/>
    <w:rsid w:val="2A664DE6"/>
    <w:rsid w:val="2A980AE0"/>
    <w:rsid w:val="2AB00DE1"/>
    <w:rsid w:val="2AB316EB"/>
    <w:rsid w:val="2ABA5686"/>
    <w:rsid w:val="2B025CFE"/>
    <w:rsid w:val="2B0E482A"/>
    <w:rsid w:val="2B210C49"/>
    <w:rsid w:val="2B263271"/>
    <w:rsid w:val="2B2F1324"/>
    <w:rsid w:val="2B3B2230"/>
    <w:rsid w:val="2B4A26CA"/>
    <w:rsid w:val="2B4D3C2F"/>
    <w:rsid w:val="2B672A8E"/>
    <w:rsid w:val="2B792C16"/>
    <w:rsid w:val="2BA246D3"/>
    <w:rsid w:val="2BAB174C"/>
    <w:rsid w:val="2BBA2B57"/>
    <w:rsid w:val="2BDD490B"/>
    <w:rsid w:val="2BDF4558"/>
    <w:rsid w:val="2BE1026B"/>
    <w:rsid w:val="2C22129E"/>
    <w:rsid w:val="2C7A5DE4"/>
    <w:rsid w:val="2CA867A2"/>
    <w:rsid w:val="2CAC741C"/>
    <w:rsid w:val="2CB216AE"/>
    <w:rsid w:val="2CD557C5"/>
    <w:rsid w:val="2CD878DD"/>
    <w:rsid w:val="2CEE4410"/>
    <w:rsid w:val="2D3D4BA4"/>
    <w:rsid w:val="2D3D7EDB"/>
    <w:rsid w:val="2D644D1B"/>
    <w:rsid w:val="2D741DE9"/>
    <w:rsid w:val="2DA203C1"/>
    <w:rsid w:val="2DA83014"/>
    <w:rsid w:val="2DAC2E33"/>
    <w:rsid w:val="2DAC53BA"/>
    <w:rsid w:val="2DB94CBF"/>
    <w:rsid w:val="2DBF7CBB"/>
    <w:rsid w:val="2DEA7DC1"/>
    <w:rsid w:val="2E061566"/>
    <w:rsid w:val="2E163860"/>
    <w:rsid w:val="2E2C7543"/>
    <w:rsid w:val="2E337C72"/>
    <w:rsid w:val="2E3A7467"/>
    <w:rsid w:val="2E433B71"/>
    <w:rsid w:val="2E4F30CC"/>
    <w:rsid w:val="2E67471B"/>
    <w:rsid w:val="2E6B3BD1"/>
    <w:rsid w:val="2E714505"/>
    <w:rsid w:val="2E7B1F74"/>
    <w:rsid w:val="2EA543C2"/>
    <w:rsid w:val="2EB86E9F"/>
    <w:rsid w:val="2EDD4BD5"/>
    <w:rsid w:val="2EDD6B85"/>
    <w:rsid w:val="2EE15BD5"/>
    <w:rsid w:val="2F146650"/>
    <w:rsid w:val="2F307202"/>
    <w:rsid w:val="2F3D58B4"/>
    <w:rsid w:val="2F43746D"/>
    <w:rsid w:val="2F550F81"/>
    <w:rsid w:val="2F6A2DDB"/>
    <w:rsid w:val="2F705972"/>
    <w:rsid w:val="2F7A262F"/>
    <w:rsid w:val="2F815C0A"/>
    <w:rsid w:val="2F83649B"/>
    <w:rsid w:val="2F8635D0"/>
    <w:rsid w:val="2F936343"/>
    <w:rsid w:val="2FA80C51"/>
    <w:rsid w:val="2FAC2CB7"/>
    <w:rsid w:val="2FE54B3C"/>
    <w:rsid w:val="2FEA4E52"/>
    <w:rsid w:val="2FEC4291"/>
    <w:rsid w:val="2FF57398"/>
    <w:rsid w:val="2FFC10C5"/>
    <w:rsid w:val="30197C97"/>
    <w:rsid w:val="30361D22"/>
    <w:rsid w:val="3057255B"/>
    <w:rsid w:val="30581E01"/>
    <w:rsid w:val="305E59C6"/>
    <w:rsid w:val="308172AC"/>
    <w:rsid w:val="30D055DA"/>
    <w:rsid w:val="30D31682"/>
    <w:rsid w:val="30D760F0"/>
    <w:rsid w:val="30FE1366"/>
    <w:rsid w:val="311074C5"/>
    <w:rsid w:val="316244E8"/>
    <w:rsid w:val="31B50ECC"/>
    <w:rsid w:val="31BC76F1"/>
    <w:rsid w:val="31C0279C"/>
    <w:rsid w:val="31D60E82"/>
    <w:rsid w:val="31F805DF"/>
    <w:rsid w:val="31F93244"/>
    <w:rsid w:val="32153476"/>
    <w:rsid w:val="322609F5"/>
    <w:rsid w:val="322C7E9A"/>
    <w:rsid w:val="32362F63"/>
    <w:rsid w:val="323C78AD"/>
    <w:rsid w:val="327C612F"/>
    <w:rsid w:val="32A51D47"/>
    <w:rsid w:val="32AD6739"/>
    <w:rsid w:val="32B649B5"/>
    <w:rsid w:val="32D66E37"/>
    <w:rsid w:val="32ED4148"/>
    <w:rsid w:val="32FC4CAE"/>
    <w:rsid w:val="331E342F"/>
    <w:rsid w:val="3344327C"/>
    <w:rsid w:val="335F2138"/>
    <w:rsid w:val="338F57E8"/>
    <w:rsid w:val="339D229B"/>
    <w:rsid w:val="339F04B3"/>
    <w:rsid w:val="33A53DEB"/>
    <w:rsid w:val="33A95A9E"/>
    <w:rsid w:val="33DD73D0"/>
    <w:rsid w:val="33ED3E00"/>
    <w:rsid w:val="33F967A9"/>
    <w:rsid w:val="341112F7"/>
    <w:rsid w:val="34261ACE"/>
    <w:rsid w:val="3438129A"/>
    <w:rsid w:val="34763D72"/>
    <w:rsid w:val="347C5E38"/>
    <w:rsid w:val="34911406"/>
    <w:rsid w:val="34A82CE0"/>
    <w:rsid w:val="34AF2E9A"/>
    <w:rsid w:val="34B564CB"/>
    <w:rsid w:val="34EC6E46"/>
    <w:rsid w:val="3518563A"/>
    <w:rsid w:val="351A7159"/>
    <w:rsid w:val="3522139B"/>
    <w:rsid w:val="353E35F3"/>
    <w:rsid w:val="35471EBC"/>
    <w:rsid w:val="357A44A3"/>
    <w:rsid w:val="359C4C5A"/>
    <w:rsid w:val="35CC47EE"/>
    <w:rsid w:val="35E27DC6"/>
    <w:rsid w:val="35F05598"/>
    <w:rsid w:val="35F1059F"/>
    <w:rsid w:val="35F408C2"/>
    <w:rsid w:val="36186944"/>
    <w:rsid w:val="36302304"/>
    <w:rsid w:val="36403262"/>
    <w:rsid w:val="367A38F8"/>
    <w:rsid w:val="367D4551"/>
    <w:rsid w:val="36832BC5"/>
    <w:rsid w:val="368C0EED"/>
    <w:rsid w:val="368C6367"/>
    <w:rsid w:val="36952011"/>
    <w:rsid w:val="36C601DD"/>
    <w:rsid w:val="37092453"/>
    <w:rsid w:val="37181D47"/>
    <w:rsid w:val="37221266"/>
    <w:rsid w:val="37305D6C"/>
    <w:rsid w:val="37337733"/>
    <w:rsid w:val="37466584"/>
    <w:rsid w:val="37796E03"/>
    <w:rsid w:val="377D1977"/>
    <w:rsid w:val="37CC2D77"/>
    <w:rsid w:val="37CF0810"/>
    <w:rsid w:val="37D52408"/>
    <w:rsid w:val="37E57ACF"/>
    <w:rsid w:val="37EA619F"/>
    <w:rsid w:val="380E20F3"/>
    <w:rsid w:val="38291122"/>
    <w:rsid w:val="382C24E9"/>
    <w:rsid w:val="383060FB"/>
    <w:rsid w:val="383371DE"/>
    <w:rsid w:val="38396761"/>
    <w:rsid w:val="383F6C78"/>
    <w:rsid w:val="384640AF"/>
    <w:rsid w:val="38562C4E"/>
    <w:rsid w:val="38CF5590"/>
    <w:rsid w:val="38D03095"/>
    <w:rsid w:val="38D27A21"/>
    <w:rsid w:val="38DB7EA0"/>
    <w:rsid w:val="39004832"/>
    <w:rsid w:val="39132BC2"/>
    <w:rsid w:val="393A6291"/>
    <w:rsid w:val="39445D3B"/>
    <w:rsid w:val="394A408C"/>
    <w:rsid w:val="394A6B08"/>
    <w:rsid w:val="39525507"/>
    <w:rsid w:val="399B197F"/>
    <w:rsid w:val="399B3F70"/>
    <w:rsid w:val="39A9208B"/>
    <w:rsid w:val="39AF186F"/>
    <w:rsid w:val="39D15A37"/>
    <w:rsid w:val="39D16236"/>
    <w:rsid w:val="39DF4E9C"/>
    <w:rsid w:val="39F1799A"/>
    <w:rsid w:val="39F62050"/>
    <w:rsid w:val="3A085004"/>
    <w:rsid w:val="3A192AFD"/>
    <w:rsid w:val="3A1C3B56"/>
    <w:rsid w:val="3A305784"/>
    <w:rsid w:val="3A34347C"/>
    <w:rsid w:val="3A4A73BA"/>
    <w:rsid w:val="3A4F6E02"/>
    <w:rsid w:val="3A5029E0"/>
    <w:rsid w:val="3A644361"/>
    <w:rsid w:val="3A8F19C2"/>
    <w:rsid w:val="3A8F3032"/>
    <w:rsid w:val="3ACE298D"/>
    <w:rsid w:val="3ACF78CF"/>
    <w:rsid w:val="3AE875FD"/>
    <w:rsid w:val="3AFB116A"/>
    <w:rsid w:val="3B047888"/>
    <w:rsid w:val="3B1C530E"/>
    <w:rsid w:val="3B5312E1"/>
    <w:rsid w:val="3B5528EE"/>
    <w:rsid w:val="3BA96BD8"/>
    <w:rsid w:val="3BCE6E72"/>
    <w:rsid w:val="3BD7112A"/>
    <w:rsid w:val="3BE21C16"/>
    <w:rsid w:val="3BF47D70"/>
    <w:rsid w:val="3C0A467F"/>
    <w:rsid w:val="3C15056D"/>
    <w:rsid w:val="3C2E5B77"/>
    <w:rsid w:val="3C507238"/>
    <w:rsid w:val="3CA127CD"/>
    <w:rsid w:val="3CBF4A0D"/>
    <w:rsid w:val="3CC35933"/>
    <w:rsid w:val="3CD4743B"/>
    <w:rsid w:val="3CF47AC1"/>
    <w:rsid w:val="3D197528"/>
    <w:rsid w:val="3D1B6429"/>
    <w:rsid w:val="3D3140FB"/>
    <w:rsid w:val="3D413B21"/>
    <w:rsid w:val="3D7A6218"/>
    <w:rsid w:val="3DAC32C6"/>
    <w:rsid w:val="3DAD4BAE"/>
    <w:rsid w:val="3DBC33A0"/>
    <w:rsid w:val="3DC261DF"/>
    <w:rsid w:val="3DD2237F"/>
    <w:rsid w:val="3E115421"/>
    <w:rsid w:val="3E4E7BEE"/>
    <w:rsid w:val="3E603179"/>
    <w:rsid w:val="3E6F7101"/>
    <w:rsid w:val="3E7932E4"/>
    <w:rsid w:val="3E7E7AE2"/>
    <w:rsid w:val="3E830E87"/>
    <w:rsid w:val="3EA36997"/>
    <w:rsid w:val="3EA60A10"/>
    <w:rsid w:val="3ED35EFF"/>
    <w:rsid w:val="3ED51881"/>
    <w:rsid w:val="3EDE0C35"/>
    <w:rsid w:val="3EDE228D"/>
    <w:rsid w:val="3F217FA7"/>
    <w:rsid w:val="3F3026F0"/>
    <w:rsid w:val="3F7A215C"/>
    <w:rsid w:val="3F7D7AEA"/>
    <w:rsid w:val="3FA550A3"/>
    <w:rsid w:val="3FB66036"/>
    <w:rsid w:val="3FBE0E8C"/>
    <w:rsid w:val="3FE43E1D"/>
    <w:rsid w:val="3FEC2687"/>
    <w:rsid w:val="40291830"/>
    <w:rsid w:val="403A3A56"/>
    <w:rsid w:val="403C48D3"/>
    <w:rsid w:val="40783199"/>
    <w:rsid w:val="40D156B3"/>
    <w:rsid w:val="40D81A9A"/>
    <w:rsid w:val="40E7153F"/>
    <w:rsid w:val="410660A9"/>
    <w:rsid w:val="41160359"/>
    <w:rsid w:val="41511BE0"/>
    <w:rsid w:val="41670F6D"/>
    <w:rsid w:val="41AA1130"/>
    <w:rsid w:val="41C919CE"/>
    <w:rsid w:val="41EB39C1"/>
    <w:rsid w:val="41FF0A9A"/>
    <w:rsid w:val="41FF1169"/>
    <w:rsid w:val="421D7172"/>
    <w:rsid w:val="421F4809"/>
    <w:rsid w:val="42295B17"/>
    <w:rsid w:val="42334D0F"/>
    <w:rsid w:val="4234154C"/>
    <w:rsid w:val="4256053C"/>
    <w:rsid w:val="4262727B"/>
    <w:rsid w:val="42C32E12"/>
    <w:rsid w:val="42F92708"/>
    <w:rsid w:val="43051884"/>
    <w:rsid w:val="43107B42"/>
    <w:rsid w:val="43135873"/>
    <w:rsid w:val="43484406"/>
    <w:rsid w:val="43733C93"/>
    <w:rsid w:val="437C5E8D"/>
    <w:rsid w:val="43821D0C"/>
    <w:rsid w:val="43963680"/>
    <w:rsid w:val="43CB1323"/>
    <w:rsid w:val="43DC279B"/>
    <w:rsid w:val="43DE6563"/>
    <w:rsid w:val="43E146C9"/>
    <w:rsid w:val="4418046D"/>
    <w:rsid w:val="442040C5"/>
    <w:rsid w:val="4436451B"/>
    <w:rsid w:val="443B1BA5"/>
    <w:rsid w:val="443C196B"/>
    <w:rsid w:val="445D2CFE"/>
    <w:rsid w:val="445E48BB"/>
    <w:rsid w:val="44635844"/>
    <w:rsid w:val="4488246F"/>
    <w:rsid w:val="44BB6985"/>
    <w:rsid w:val="44BF21AC"/>
    <w:rsid w:val="44C63AF1"/>
    <w:rsid w:val="44C97CCF"/>
    <w:rsid w:val="44D160BB"/>
    <w:rsid w:val="44DA134B"/>
    <w:rsid w:val="44DB0693"/>
    <w:rsid w:val="44E538B6"/>
    <w:rsid w:val="44F367BE"/>
    <w:rsid w:val="45294080"/>
    <w:rsid w:val="452A7324"/>
    <w:rsid w:val="455E635F"/>
    <w:rsid w:val="45C06AEB"/>
    <w:rsid w:val="45D01D8F"/>
    <w:rsid w:val="462A36B6"/>
    <w:rsid w:val="466B71B4"/>
    <w:rsid w:val="46823724"/>
    <w:rsid w:val="468C18CD"/>
    <w:rsid w:val="46C10423"/>
    <w:rsid w:val="46CC7AD8"/>
    <w:rsid w:val="46DC1FBC"/>
    <w:rsid w:val="46E95792"/>
    <w:rsid w:val="47137A73"/>
    <w:rsid w:val="474D3526"/>
    <w:rsid w:val="47517316"/>
    <w:rsid w:val="476E271F"/>
    <w:rsid w:val="47A04091"/>
    <w:rsid w:val="47A667CB"/>
    <w:rsid w:val="47C06E5A"/>
    <w:rsid w:val="47C971D5"/>
    <w:rsid w:val="47EE10F5"/>
    <w:rsid w:val="47FB2E17"/>
    <w:rsid w:val="483671E0"/>
    <w:rsid w:val="48661A4C"/>
    <w:rsid w:val="487C2D69"/>
    <w:rsid w:val="487C7098"/>
    <w:rsid w:val="48867B01"/>
    <w:rsid w:val="48BC6DC4"/>
    <w:rsid w:val="48DC2638"/>
    <w:rsid w:val="48E94252"/>
    <w:rsid w:val="48FA63D5"/>
    <w:rsid w:val="491446BA"/>
    <w:rsid w:val="493125AB"/>
    <w:rsid w:val="493524DD"/>
    <w:rsid w:val="495C67D2"/>
    <w:rsid w:val="499323AD"/>
    <w:rsid w:val="49A670C7"/>
    <w:rsid w:val="49A67A22"/>
    <w:rsid w:val="49AB57DD"/>
    <w:rsid w:val="49B70628"/>
    <w:rsid w:val="49FF640B"/>
    <w:rsid w:val="4A0649B9"/>
    <w:rsid w:val="4A206289"/>
    <w:rsid w:val="4A3B27D2"/>
    <w:rsid w:val="4A3C0D37"/>
    <w:rsid w:val="4A9C6CB8"/>
    <w:rsid w:val="4AA74182"/>
    <w:rsid w:val="4AAA3BE4"/>
    <w:rsid w:val="4B00156B"/>
    <w:rsid w:val="4B0D2360"/>
    <w:rsid w:val="4B4B11F4"/>
    <w:rsid w:val="4B587455"/>
    <w:rsid w:val="4B887D52"/>
    <w:rsid w:val="4B8A6748"/>
    <w:rsid w:val="4B961FC8"/>
    <w:rsid w:val="4BB70638"/>
    <w:rsid w:val="4BD64D3E"/>
    <w:rsid w:val="4BDC4B21"/>
    <w:rsid w:val="4C0D3F5E"/>
    <w:rsid w:val="4C0E00B7"/>
    <w:rsid w:val="4C0E3C6C"/>
    <w:rsid w:val="4C1A24A8"/>
    <w:rsid w:val="4C6B4FDD"/>
    <w:rsid w:val="4C7958ED"/>
    <w:rsid w:val="4C7A304F"/>
    <w:rsid w:val="4C817E10"/>
    <w:rsid w:val="4C8C62FF"/>
    <w:rsid w:val="4C9438DA"/>
    <w:rsid w:val="4CA26436"/>
    <w:rsid w:val="4CA51A3A"/>
    <w:rsid w:val="4CE258DD"/>
    <w:rsid w:val="4CF3280B"/>
    <w:rsid w:val="4D201780"/>
    <w:rsid w:val="4D297262"/>
    <w:rsid w:val="4DA61F88"/>
    <w:rsid w:val="4DC17EF8"/>
    <w:rsid w:val="4DE42FC2"/>
    <w:rsid w:val="4DEB45C9"/>
    <w:rsid w:val="4E037EBD"/>
    <w:rsid w:val="4E054B12"/>
    <w:rsid w:val="4E0B1E23"/>
    <w:rsid w:val="4E274A1B"/>
    <w:rsid w:val="4E3C7CAD"/>
    <w:rsid w:val="4E921E5D"/>
    <w:rsid w:val="4EBC1C70"/>
    <w:rsid w:val="4EBD0706"/>
    <w:rsid w:val="4EBD73E8"/>
    <w:rsid w:val="4EC132A9"/>
    <w:rsid w:val="4ED432AF"/>
    <w:rsid w:val="4EEB2B76"/>
    <w:rsid w:val="4F002F32"/>
    <w:rsid w:val="4F3C15CE"/>
    <w:rsid w:val="4F3E09E7"/>
    <w:rsid w:val="4F603245"/>
    <w:rsid w:val="4F9130F5"/>
    <w:rsid w:val="4FB07878"/>
    <w:rsid w:val="4FC94691"/>
    <w:rsid w:val="4FE30142"/>
    <w:rsid w:val="4FEB4D65"/>
    <w:rsid w:val="500E1CA9"/>
    <w:rsid w:val="50413516"/>
    <w:rsid w:val="50585DCF"/>
    <w:rsid w:val="505A42B4"/>
    <w:rsid w:val="50753639"/>
    <w:rsid w:val="509739F1"/>
    <w:rsid w:val="509A76B5"/>
    <w:rsid w:val="509B22D6"/>
    <w:rsid w:val="50AD59A2"/>
    <w:rsid w:val="50D00177"/>
    <w:rsid w:val="513A4C55"/>
    <w:rsid w:val="5154207D"/>
    <w:rsid w:val="5159573F"/>
    <w:rsid w:val="516C5916"/>
    <w:rsid w:val="51D0473A"/>
    <w:rsid w:val="51D556F8"/>
    <w:rsid w:val="51F36142"/>
    <w:rsid w:val="52335131"/>
    <w:rsid w:val="524F2BB4"/>
    <w:rsid w:val="52606C48"/>
    <w:rsid w:val="5278001F"/>
    <w:rsid w:val="528A0BA1"/>
    <w:rsid w:val="52BA7F92"/>
    <w:rsid w:val="52BB35DC"/>
    <w:rsid w:val="52C235D0"/>
    <w:rsid w:val="52D64BC8"/>
    <w:rsid w:val="52E03F65"/>
    <w:rsid w:val="52EA38D1"/>
    <w:rsid w:val="53061449"/>
    <w:rsid w:val="53683555"/>
    <w:rsid w:val="537938ED"/>
    <w:rsid w:val="53C32668"/>
    <w:rsid w:val="53C54A08"/>
    <w:rsid w:val="53D61264"/>
    <w:rsid w:val="53DA4EC3"/>
    <w:rsid w:val="53DF103E"/>
    <w:rsid w:val="53FE2E25"/>
    <w:rsid w:val="54086242"/>
    <w:rsid w:val="54131FCB"/>
    <w:rsid w:val="5417555B"/>
    <w:rsid w:val="541F6532"/>
    <w:rsid w:val="54402BFA"/>
    <w:rsid w:val="544D7D8B"/>
    <w:rsid w:val="545434C8"/>
    <w:rsid w:val="545657BD"/>
    <w:rsid w:val="54667539"/>
    <w:rsid w:val="551864CC"/>
    <w:rsid w:val="552774CE"/>
    <w:rsid w:val="553D2107"/>
    <w:rsid w:val="555E38D2"/>
    <w:rsid w:val="55692572"/>
    <w:rsid w:val="5592342B"/>
    <w:rsid w:val="55A01B4B"/>
    <w:rsid w:val="55AC0589"/>
    <w:rsid w:val="55E5165E"/>
    <w:rsid w:val="56265249"/>
    <w:rsid w:val="5636241D"/>
    <w:rsid w:val="563630F9"/>
    <w:rsid w:val="56392D6C"/>
    <w:rsid w:val="56403669"/>
    <w:rsid w:val="56802899"/>
    <w:rsid w:val="56841BD7"/>
    <w:rsid w:val="56873363"/>
    <w:rsid w:val="56A734E4"/>
    <w:rsid w:val="56AB164B"/>
    <w:rsid w:val="56AE795E"/>
    <w:rsid w:val="56B54D14"/>
    <w:rsid w:val="56C35EA7"/>
    <w:rsid w:val="56E94AE9"/>
    <w:rsid w:val="56EA0A7F"/>
    <w:rsid w:val="56EF6E93"/>
    <w:rsid w:val="576378C6"/>
    <w:rsid w:val="576923C5"/>
    <w:rsid w:val="578F2469"/>
    <w:rsid w:val="57EA0764"/>
    <w:rsid w:val="580E21B5"/>
    <w:rsid w:val="58644AF2"/>
    <w:rsid w:val="58655247"/>
    <w:rsid w:val="58A67F17"/>
    <w:rsid w:val="58B101BD"/>
    <w:rsid w:val="58B14A34"/>
    <w:rsid w:val="58DE50A6"/>
    <w:rsid w:val="58DF2FE5"/>
    <w:rsid w:val="58E22385"/>
    <w:rsid w:val="58ED0BBE"/>
    <w:rsid w:val="58FA5862"/>
    <w:rsid w:val="58FD0E74"/>
    <w:rsid w:val="590F6436"/>
    <w:rsid w:val="5975213F"/>
    <w:rsid w:val="59883613"/>
    <w:rsid w:val="59886E8C"/>
    <w:rsid w:val="59C90598"/>
    <w:rsid w:val="59E35F48"/>
    <w:rsid w:val="5A001186"/>
    <w:rsid w:val="5A1B4BD1"/>
    <w:rsid w:val="5A325E29"/>
    <w:rsid w:val="5A6D095E"/>
    <w:rsid w:val="5A983D7A"/>
    <w:rsid w:val="5AE727CA"/>
    <w:rsid w:val="5AED3A61"/>
    <w:rsid w:val="5AF76A47"/>
    <w:rsid w:val="5B2577F0"/>
    <w:rsid w:val="5B2F4184"/>
    <w:rsid w:val="5B522930"/>
    <w:rsid w:val="5B640474"/>
    <w:rsid w:val="5B9B27D2"/>
    <w:rsid w:val="5BCF72D8"/>
    <w:rsid w:val="5C051017"/>
    <w:rsid w:val="5C3373B3"/>
    <w:rsid w:val="5C530A90"/>
    <w:rsid w:val="5C566FA1"/>
    <w:rsid w:val="5C601985"/>
    <w:rsid w:val="5C7B2441"/>
    <w:rsid w:val="5C9522CF"/>
    <w:rsid w:val="5CAC0B09"/>
    <w:rsid w:val="5CD74A1D"/>
    <w:rsid w:val="5CDD5A24"/>
    <w:rsid w:val="5CE45B17"/>
    <w:rsid w:val="5CE80424"/>
    <w:rsid w:val="5CE96F65"/>
    <w:rsid w:val="5D060210"/>
    <w:rsid w:val="5D192F00"/>
    <w:rsid w:val="5D1D5979"/>
    <w:rsid w:val="5D3F34A3"/>
    <w:rsid w:val="5D430194"/>
    <w:rsid w:val="5D4934B7"/>
    <w:rsid w:val="5D7C7845"/>
    <w:rsid w:val="5D7F7DDA"/>
    <w:rsid w:val="5DBC2649"/>
    <w:rsid w:val="5DC13A25"/>
    <w:rsid w:val="5DDC53CE"/>
    <w:rsid w:val="5DF11DF8"/>
    <w:rsid w:val="5E0D0611"/>
    <w:rsid w:val="5E232E30"/>
    <w:rsid w:val="5E2F24AC"/>
    <w:rsid w:val="5E4D221E"/>
    <w:rsid w:val="5E520D48"/>
    <w:rsid w:val="5E6115B7"/>
    <w:rsid w:val="5E9500C2"/>
    <w:rsid w:val="5E9E1E85"/>
    <w:rsid w:val="5EB822A5"/>
    <w:rsid w:val="5EC30B8B"/>
    <w:rsid w:val="5EF23E04"/>
    <w:rsid w:val="5F0C53C6"/>
    <w:rsid w:val="5F29259D"/>
    <w:rsid w:val="5F4E641B"/>
    <w:rsid w:val="5F5C30E6"/>
    <w:rsid w:val="5F6F0DBF"/>
    <w:rsid w:val="5F7D44DA"/>
    <w:rsid w:val="5F8C48C8"/>
    <w:rsid w:val="5F994C9B"/>
    <w:rsid w:val="5FA36662"/>
    <w:rsid w:val="601C30D6"/>
    <w:rsid w:val="601E25EE"/>
    <w:rsid w:val="6039799E"/>
    <w:rsid w:val="60573893"/>
    <w:rsid w:val="60617F3F"/>
    <w:rsid w:val="607320BB"/>
    <w:rsid w:val="608845BF"/>
    <w:rsid w:val="60B306CE"/>
    <w:rsid w:val="60BB1D24"/>
    <w:rsid w:val="60D56D05"/>
    <w:rsid w:val="60D95974"/>
    <w:rsid w:val="60DD2D37"/>
    <w:rsid w:val="60E4332B"/>
    <w:rsid w:val="60F831EF"/>
    <w:rsid w:val="61184007"/>
    <w:rsid w:val="611F7591"/>
    <w:rsid w:val="61284891"/>
    <w:rsid w:val="612B47F8"/>
    <w:rsid w:val="613A01C3"/>
    <w:rsid w:val="61713194"/>
    <w:rsid w:val="61A7469D"/>
    <w:rsid w:val="61BB6726"/>
    <w:rsid w:val="61CE5D71"/>
    <w:rsid w:val="61F5046E"/>
    <w:rsid w:val="620E29D3"/>
    <w:rsid w:val="621D697F"/>
    <w:rsid w:val="622F3D0E"/>
    <w:rsid w:val="62326A29"/>
    <w:rsid w:val="624A3A07"/>
    <w:rsid w:val="626425D0"/>
    <w:rsid w:val="62840D7A"/>
    <w:rsid w:val="62856567"/>
    <w:rsid w:val="62B56103"/>
    <w:rsid w:val="62D72E77"/>
    <w:rsid w:val="62EA49F7"/>
    <w:rsid w:val="631B2370"/>
    <w:rsid w:val="6327110B"/>
    <w:rsid w:val="633A6AF4"/>
    <w:rsid w:val="6361683D"/>
    <w:rsid w:val="636440F4"/>
    <w:rsid w:val="636B344F"/>
    <w:rsid w:val="6376714D"/>
    <w:rsid w:val="63B875EE"/>
    <w:rsid w:val="63E71F50"/>
    <w:rsid w:val="6435673D"/>
    <w:rsid w:val="643A083F"/>
    <w:rsid w:val="643A33F0"/>
    <w:rsid w:val="6453469B"/>
    <w:rsid w:val="64583531"/>
    <w:rsid w:val="646B2DDB"/>
    <w:rsid w:val="647E2A40"/>
    <w:rsid w:val="64A66B3B"/>
    <w:rsid w:val="64B10406"/>
    <w:rsid w:val="64B17EC2"/>
    <w:rsid w:val="64C14930"/>
    <w:rsid w:val="64E01D20"/>
    <w:rsid w:val="64F30A07"/>
    <w:rsid w:val="651D6396"/>
    <w:rsid w:val="6535464F"/>
    <w:rsid w:val="654A1FEB"/>
    <w:rsid w:val="65562338"/>
    <w:rsid w:val="655B40E6"/>
    <w:rsid w:val="655C29B9"/>
    <w:rsid w:val="65737F9E"/>
    <w:rsid w:val="65885B0D"/>
    <w:rsid w:val="65904317"/>
    <w:rsid w:val="65B75702"/>
    <w:rsid w:val="65B85DC7"/>
    <w:rsid w:val="66152911"/>
    <w:rsid w:val="661E1587"/>
    <w:rsid w:val="662F4DB5"/>
    <w:rsid w:val="667176D7"/>
    <w:rsid w:val="66817531"/>
    <w:rsid w:val="6686712D"/>
    <w:rsid w:val="66A56021"/>
    <w:rsid w:val="66BC45A4"/>
    <w:rsid w:val="66CF1A78"/>
    <w:rsid w:val="66FB0CD8"/>
    <w:rsid w:val="672B6FBF"/>
    <w:rsid w:val="672C768A"/>
    <w:rsid w:val="67692442"/>
    <w:rsid w:val="677671A1"/>
    <w:rsid w:val="67864251"/>
    <w:rsid w:val="679553C9"/>
    <w:rsid w:val="67991C6E"/>
    <w:rsid w:val="67C44863"/>
    <w:rsid w:val="67FB0669"/>
    <w:rsid w:val="681F5143"/>
    <w:rsid w:val="6829768C"/>
    <w:rsid w:val="68581BB4"/>
    <w:rsid w:val="686B315F"/>
    <w:rsid w:val="68780948"/>
    <w:rsid w:val="689B1AB8"/>
    <w:rsid w:val="690F605C"/>
    <w:rsid w:val="69305B3D"/>
    <w:rsid w:val="69500D77"/>
    <w:rsid w:val="695C0D52"/>
    <w:rsid w:val="695C1052"/>
    <w:rsid w:val="696D0B5D"/>
    <w:rsid w:val="697A5BAD"/>
    <w:rsid w:val="698652CC"/>
    <w:rsid w:val="69875FB7"/>
    <w:rsid w:val="69F50851"/>
    <w:rsid w:val="6A0042F5"/>
    <w:rsid w:val="6A070843"/>
    <w:rsid w:val="6A211A11"/>
    <w:rsid w:val="6A2164AA"/>
    <w:rsid w:val="6A2C4AA3"/>
    <w:rsid w:val="6A367106"/>
    <w:rsid w:val="6A62713F"/>
    <w:rsid w:val="6A6C66BD"/>
    <w:rsid w:val="6AA313D0"/>
    <w:rsid w:val="6ABB3747"/>
    <w:rsid w:val="6ACB27CD"/>
    <w:rsid w:val="6ACF49F0"/>
    <w:rsid w:val="6ADA29CC"/>
    <w:rsid w:val="6AFD6181"/>
    <w:rsid w:val="6B631F73"/>
    <w:rsid w:val="6B7E2492"/>
    <w:rsid w:val="6BAE4E87"/>
    <w:rsid w:val="6BB4692C"/>
    <w:rsid w:val="6BC26055"/>
    <w:rsid w:val="6BCD7C89"/>
    <w:rsid w:val="6BD111A8"/>
    <w:rsid w:val="6C083EDD"/>
    <w:rsid w:val="6C0905E4"/>
    <w:rsid w:val="6C1B45C4"/>
    <w:rsid w:val="6C1C1795"/>
    <w:rsid w:val="6C296E86"/>
    <w:rsid w:val="6C2C7012"/>
    <w:rsid w:val="6C703274"/>
    <w:rsid w:val="6CC12C2C"/>
    <w:rsid w:val="6CC14D9F"/>
    <w:rsid w:val="6CD2167A"/>
    <w:rsid w:val="6D014896"/>
    <w:rsid w:val="6D1F6511"/>
    <w:rsid w:val="6D1F6C74"/>
    <w:rsid w:val="6D426C06"/>
    <w:rsid w:val="6D5C4743"/>
    <w:rsid w:val="6D647B33"/>
    <w:rsid w:val="6D6601E7"/>
    <w:rsid w:val="6D6A7C2B"/>
    <w:rsid w:val="6D7E4409"/>
    <w:rsid w:val="6DFF6A7F"/>
    <w:rsid w:val="6E0539CA"/>
    <w:rsid w:val="6E1030B4"/>
    <w:rsid w:val="6E264F3A"/>
    <w:rsid w:val="6E3322F3"/>
    <w:rsid w:val="6E496F01"/>
    <w:rsid w:val="6E6715F2"/>
    <w:rsid w:val="6E813FCE"/>
    <w:rsid w:val="6E9F5D73"/>
    <w:rsid w:val="6EA52E3A"/>
    <w:rsid w:val="6EC44FEF"/>
    <w:rsid w:val="6EFF182A"/>
    <w:rsid w:val="6F144E56"/>
    <w:rsid w:val="6F325EC6"/>
    <w:rsid w:val="6F33079C"/>
    <w:rsid w:val="6F4D07E7"/>
    <w:rsid w:val="6FA11C3F"/>
    <w:rsid w:val="6FA47F4A"/>
    <w:rsid w:val="6FC95185"/>
    <w:rsid w:val="6FDF52CE"/>
    <w:rsid w:val="6FE75B83"/>
    <w:rsid w:val="6FF3138F"/>
    <w:rsid w:val="6FFD2050"/>
    <w:rsid w:val="70021F43"/>
    <w:rsid w:val="700659FC"/>
    <w:rsid w:val="70365B5E"/>
    <w:rsid w:val="70553766"/>
    <w:rsid w:val="706A1D39"/>
    <w:rsid w:val="70836408"/>
    <w:rsid w:val="70A22DB5"/>
    <w:rsid w:val="70B812AB"/>
    <w:rsid w:val="70B92CE2"/>
    <w:rsid w:val="70C05C54"/>
    <w:rsid w:val="70CB5B52"/>
    <w:rsid w:val="70CD09CE"/>
    <w:rsid w:val="70E069E7"/>
    <w:rsid w:val="710B35E9"/>
    <w:rsid w:val="71300A15"/>
    <w:rsid w:val="71492558"/>
    <w:rsid w:val="715F2808"/>
    <w:rsid w:val="716465CF"/>
    <w:rsid w:val="71813B02"/>
    <w:rsid w:val="718243C5"/>
    <w:rsid w:val="71BD0EC0"/>
    <w:rsid w:val="71C240B4"/>
    <w:rsid w:val="71C55109"/>
    <w:rsid w:val="71E16A3E"/>
    <w:rsid w:val="71E82A49"/>
    <w:rsid w:val="71ED1E0E"/>
    <w:rsid w:val="71ED57A2"/>
    <w:rsid w:val="724A3493"/>
    <w:rsid w:val="72783C6C"/>
    <w:rsid w:val="72964C89"/>
    <w:rsid w:val="72AB6AE0"/>
    <w:rsid w:val="72B050A2"/>
    <w:rsid w:val="72F2392E"/>
    <w:rsid w:val="73192E66"/>
    <w:rsid w:val="73411315"/>
    <w:rsid w:val="734F24FC"/>
    <w:rsid w:val="735C2E4B"/>
    <w:rsid w:val="736F2EE3"/>
    <w:rsid w:val="737907EB"/>
    <w:rsid w:val="73AB0669"/>
    <w:rsid w:val="73AF7856"/>
    <w:rsid w:val="73C90A9B"/>
    <w:rsid w:val="73DC7820"/>
    <w:rsid w:val="73F27AF3"/>
    <w:rsid w:val="741663D7"/>
    <w:rsid w:val="74460E57"/>
    <w:rsid w:val="74591B65"/>
    <w:rsid w:val="746552FB"/>
    <w:rsid w:val="74741C6B"/>
    <w:rsid w:val="74871362"/>
    <w:rsid w:val="748F6378"/>
    <w:rsid w:val="7499002B"/>
    <w:rsid w:val="74DB6E01"/>
    <w:rsid w:val="74EC0AA3"/>
    <w:rsid w:val="74EF75AF"/>
    <w:rsid w:val="7500666B"/>
    <w:rsid w:val="75342884"/>
    <w:rsid w:val="75476CC6"/>
    <w:rsid w:val="75700620"/>
    <w:rsid w:val="75891890"/>
    <w:rsid w:val="759E6526"/>
    <w:rsid w:val="75A12172"/>
    <w:rsid w:val="75B84ADD"/>
    <w:rsid w:val="75D54A40"/>
    <w:rsid w:val="76061509"/>
    <w:rsid w:val="763B62F9"/>
    <w:rsid w:val="76861A5E"/>
    <w:rsid w:val="768C5548"/>
    <w:rsid w:val="76A8406F"/>
    <w:rsid w:val="76C90347"/>
    <w:rsid w:val="76C97CF9"/>
    <w:rsid w:val="76DE616F"/>
    <w:rsid w:val="76F20812"/>
    <w:rsid w:val="774B472E"/>
    <w:rsid w:val="777F7F72"/>
    <w:rsid w:val="77843BC2"/>
    <w:rsid w:val="77A01E88"/>
    <w:rsid w:val="77BB3AE4"/>
    <w:rsid w:val="77BD2F6B"/>
    <w:rsid w:val="77C05AA3"/>
    <w:rsid w:val="77C646D6"/>
    <w:rsid w:val="77E51BF1"/>
    <w:rsid w:val="77E93077"/>
    <w:rsid w:val="77FA7697"/>
    <w:rsid w:val="786716C2"/>
    <w:rsid w:val="786D3B04"/>
    <w:rsid w:val="7883171E"/>
    <w:rsid w:val="788415B7"/>
    <w:rsid w:val="78A9314B"/>
    <w:rsid w:val="78B657E9"/>
    <w:rsid w:val="78B673FD"/>
    <w:rsid w:val="78C57641"/>
    <w:rsid w:val="78CB1796"/>
    <w:rsid w:val="78CD67FB"/>
    <w:rsid w:val="78D75840"/>
    <w:rsid w:val="78E11678"/>
    <w:rsid w:val="78E95EAE"/>
    <w:rsid w:val="78EC53D5"/>
    <w:rsid w:val="78FF3A5E"/>
    <w:rsid w:val="790A6F7D"/>
    <w:rsid w:val="79102B4C"/>
    <w:rsid w:val="79185AE4"/>
    <w:rsid w:val="79191BBC"/>
    <w:rsid w:val="79294963"/>
    <w:rsid w:val="792C1504"/>
    <w:rsid w:val="792F6877"/>
    <w:rsid w:val="79435153"/>
    <w:rsid w:val="794B5609"/>
    <w:rsid w:val="79535359"/>
    <w:rsid w:val="795C61F7"/>
    <w:rsid w:val="795E4334"/>
    <w:rsid w:val="796A3A14"/>
    <w:rsid w:val="79722304"/>
    <w:rsid w:val="79B86AC2"/>
    <w:rsid w:val="79BA1D94"/>
    <w:rsid w:val="7A1717BB"/>
    <w:rsid w:val="7A9509DA"/>
    <w:rsid w:val="7AC438D9"/>
    <w:rsid w:val="7AD00401"/>
    <w:rsid w:val="7ADD00EE"/>
    <w:rsid w:val="7AF44F42"/>
    <w:rsid w:val="7B031D9A"/>
    <w:rsid w:val="7B04779B"/>
    <w:rsid w:val="7B2157BD"/>
    <w:rsid w:val="7B531EA8"/>
    <w:rsid w:val="7B5E3EEB"/>
    <w:rsid w:val="7B6403E0"/>
    <w:rsid w:val="7B9661CA"/>
    <w:rsid w:val="7BAE439A"/>
    <w:rsid w:val="7BB3231A"/>
    <w:rsid w:val="7BCE1B90"/>
    <w:rsid w:val="7BE90326"/>
    <w:rsid w:val="7BFF10BB"/>
    <w:rsid w:val="7C1F350C"/>
    <w:rsid w:val="7C3109D7"/>
    <w:rsid w:val="7C5755CE"/>
    <w:rsid w:val="7C5C3558"/>
    <w:rsid w:val="7C987ACC"/>
    <w:rsid w:val="7C9F7B6B"/>
    <w:rsid w:val="7CA928B5"/>
    <w:rsid w:val="7CC11FFB"/>
    <w:rsid w:val="7CF33EA9"/>
    <w:rsid w:val="7CF60F14"/>
    <w:rsid w:val="7D1312C2"/>
    <w:rsid w:val="7D147FD3"/>
    <w:rsid w:val="7D2F20BB"/>
    <w:rsid w:val="7D794B33"/>
    <w:rsid w:val="7D80594D"/>
    <w:rsid w:val="7D8772AF"/>
    <w:rsid w:val="7D8B45B0"/>
    <w:rsid w:val="7D950C85"/>
    <w:rsid w:val="7D9F5D43"/>
    <w:rsid w:val="7DBB0105"/>
    <w:rsid w:val="7DBB6EE5"/>
    <w:rsid w:val="7DC15C5C"/>
    <w:rsid w:val="7DD46260"/>
    <w:rsid w:val="7DDC75A2"/>
    <w:rsid w:val="7DEE638C"/>
    <w:rsid w:val="7DFA7F06"/>
    <w:rsid w:val="7DFE21EB"/>
    <w:rsid w:val="7E09686E"/>
    <w:rsid w:val="7E2A0644"/>
    <w:rsid w:val="7E8051DC"/>
    <w:rsid w:val="7E9D3653"/>
    <w:rsid w:val="7EAD6933"/>
    <w:rsid w:val="7ED95BF4"/>
    <w:rsid w:val="7F054C3B"/>
    <w:rsid w:val="7F2A46F7"/>
    <w:rsid w:val="7F5D4C05"/>
    <w:rsid w:val="7F6B2854"/>
    <w:rsid w:val="7F6D1951"/>
    <w:rsid w:val="7F761D2F"/>
    <w:rsid w:val="7F851FDA"/>
    <w:rsid w:val="7F8961DB"/>
    <w:rsid w:val="7F987E78"/>
    <w:rsid w:val="7FD9339F"/>
    <w:rsid w:val="7FDE50A4"/>
    <w:rsid w:val="7FFC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4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unhideWhenUsed/>
    <w:qFormat/>
    <w:uiPriority w:val="0"/>
    <w:pPr>
      <w:keepNext/>
      <w:keepLines/>
      <w:numPr>
        <w:ilvl w:val="3"/>
        <w:numId w:val="1"/>
      </w:numPr>
      <w:tabs>
        <w:tab w:val="left" w:pos="0"/>
        <w:tab w:val="left" w:pos="840"/>
        <w:tab w:val="left" w:pos="1800"/>
      </w:tabs>
      <w:spacing w:line="360" w:lineRule="auto"/>
      <w:ind w:left="0" w:firstLine="0" w:firstLineChars="0"/>
      <w:outlineLvl w:val="3"/>
    </w:pPr>
    <w:rPr>
      <w:rFonts w:ascii="Arial" w:hAnsi="Arial" w:eastAsia="宋体"/>
      <w:b/>
      <w:sz w:val="28"/>
      <w:szCs w:val="20"/>
    </w:rPr>
  </w:style>
  <w:style w:type="paragraph" w:styleId="8">
    <w:name w:val="heading 5"/>
    <w:basedOn w:val="1"/>
    <w:next w:val="1"/>
    <w:unhideWhenUsed/>
    <w:qFormat/>
    <w:uiPriority w:val="0"/>
    <w:pPr>
      <w:keepNext/>
      <w:keepLines/>
      <w:numPr>
        <w:ilvl w:val="4"/>
        <w:numId w:val="1"/>
      </w:numPr>
      <w:tabs>
        <w:tab w:val="left" w:pos="1440"/>
      </w:tabs>
      <w:spacing w:line="372" w:lineRule="auto"/>
      <w:ind w:left="1008" w:hanging="1008" w:firstLineChars="0"/>
      <w:outlineLvl w:val="4"/>
    </w:pPr>
    <w:rPr>
      <w:rFonts w:eastAsia="仿宋"/>
      <w:b/>
    </w:rPr>
  </w:style>
  <w:style w:type="character" w:default="1" w:styleId="42">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tabs>
        <w:tab w:val="left" w:pos="567"/>
      </w:tabs>
      <w:ind w:firstLine="420" w:firstLineChars="100"/>
    </w:pPr>
  </w:style>
  <w:style w:type="paragraph" w:styleId="3">
    <w:name w:val="Body Text"/>
    <w:basedOn w:val="1"/>
    <w:next w:val="2"/>
    <w:link w:val="58"/>
    <w:qFormat/>
    <w:uiPriority w:val="0"/>
    <w:pPr>
      <w:tabs>
        <w:tab w:val="left" w:pos="567"/>
      </w:tabs>
      <w:spacing w:before="120" w:line="22" w:lineRule="atLeast"/>
    </w:pPr>
    <w:rPr>
      <w:rFonts w:ascii="宋体" w:hAnsi="宋体"/>
      <w:sz w:val="24"/>
    </w:rPr>
  </w:style>
  <w:style w:type="paragraph" w:styleId="9">
    <w:name w:val="toc 7"/>
    <w:basedOn w:val="1"/>
    <w:next w:val="1"/>
    <w:qFormat/>
    <w:uiPriority w:val="0"/>
    <w:pPr>
      <w:ind w:left="2520" w:leftChars="1200"/>
    </w:pPr>
  </w:style>
  <w:style w:type="paragraph" w:styleId="10">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1">
    <w:name w:val="annotation text"/>
    <w:basedOn w:val="1"/>
    <w:link w:val="71"/>
    <w:unhideWhenUsed/>
    <w:qFormat/>
    <w:uiPriority w:val="0"/>
    <w:pPr>
      <w:jc w:val="left"/>
    </w:pPr>
  </w:style>
  <w:style w:type="paragraph" w:styleId="12">
    <w:name w:val="Body Text Indent"/>
    <w:basedOn w:val="1"/>
    <w:link w:val="76"/>
    <w:qFormat/>
    <w:uiPriority w:val="0"/>
    <w:pPr>
      <w:spacing w:line="360" w:lineRule="auto"/>
      <w:ind w:firstLine="570"/>
    </w:pPr>
    <w:rPr>
      <w:sz w:val="24"/>
    </w:rPr>
  </w:style>
  <w:style w:type="paragraph" w:styleId="13">
    <w:name w:val="toc 5"/>
    <w:basedOn w:val="1"/>
    <w:next w:val="1"/>
    <w:qFormat/>
    <w:uiPriority w:val="0"/>
    <w:pPr>
      <w:ind w:left="1680" w:leftChars="800"/>
    </w:pPr>
  </w:style>
  <w:style w:type="paragraph" w:styleId="14">
    <w:name w:val="toc 3"/>
    <w:basedOn w:val="1"/>
    <w:next w:val="1"/>
    <w:qFormat/>
    <w:uiPriority w:val="0"/>
    <w:pPr>
      <w:tabs>
        <w:tab w:val="left" w:pos="1260"/>
        <w:tab w:val="right" w:leader="dot" w:pos="8630"/>
      </w:tabs>
      <w:ind w:left="840" w:leftChars="400"/>
    </w:pPr>
  </w:style>
  <w:style w:type="paragraph" w:styleId="15">
    <w:name w:val="Plain Text"/>
    <w:basedOn w:val="1"/>
    <w:next w:val="10"/>
    <w:link w:val="70"/>
    <w:qFormat/>
    <w:uiPriority w:val="0"/>
    <w:rPr>
      <w:rFonts w:ascii="宋体" w:hAnsi="Courier New"/>
      <w:szCs w:val="22"/>
    </w:rPr>
  </w:style>
  <w:style w:type="paragraph" w:styleId="16">
    <w:name w:val="toc 8"/>
    <w:basedOn w:val="1"/>
    <w:next w:val="1"/>
    <w:qFormat/>
    <w:uiPriority w:val="0"/>
    <w:pPr>
      <w:ind w:left="2940" w:leftChars="1400"/>
    </w:pPr>
  </w:style>
  <w:style w:type="paragraph" w:styleId="17">
    <w:name w:val="Date"/>
    <w:basedOn w:val="1"/>
    <w:next w:val="1"/>
    <w:link w:val="54"/>
    <w:qFormat/>
    <w:uiPriority w:val="0"/>
    <w:pPr>
      <w:ind w:left="100" w:leftChars="2500"/>
    </w:pPr>
    <w:rPr>
      <w:rFonts w:ascii="仿宋_GB2312" w:hAnsi="宋体" w:eastAsia="仿宋_GB2312"/>
      <w:color w:val="000000"/>
      <w:sz w:val="24"/>
    </w:rPr>
  </w:style>
  <w:style w:type="paragraph" w:styleId="18">
    <w:name w:val="Body Text Indent 2"/>
    <w:basedOn w:val="1"/>
    <w:link w:val="77"/>
    <w:qFormat/>
    <w:uiPriority w:val="0"/>
    <w:pPr>
      <w:ind w:firstLine="480" w:firstLineChars="200"/>
    </w:pPr>
    <w:rPr>
      <w:rFonts w:ascii="仿宋_GB2312" w:eastAsia="仿宋_GB2312"/>
      <w:sz w:val="24"/>
    </w:rPr>
  </w:style>
  <w:style w:type="paragraph" w:styleId="19">
    <w:name w:val="Balloon Text"/>
    <w:basedOn w:val="1"/>
    <w:link w:val="56"/>
    <w:qFormat/>
    <w:uiPriority w:val="0"/>
    <w:rPr>
      <w:sz w:val="18"/>
      <w:szCs w:val="18"/>
    </w:rPr>
  </w:style>
  <w:style w:type="paragraph" w:styleId="20">
    <w:name w:val="footer"/>
    <w:basedOn w:val="1"/>
    <w:link w:val="57"/>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1">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footnote text"/>
    <w:basedOn w:val="1"/>
    <w:link w:val="74"/>
    <w:qFormat/>
    <w:uiPriority w:val="0"/>
    <w:pPr>
      <w:snapToGrid w:val="0"/>
      <w:jc w:val="left"/>
    </w:pPr>
    <w:rPr>
      <w:sz w:val="18"/>
    </w:rPr>
  </w:style>
  <w:style w:type="paragraph" w:styleId="25">
    <w:name w:val="toc 6"/>
    <w:basedOn w:val="1"/>
    <w:next w:val="1"/>
    <w:qFormat/>
    <w:uiPriority w:val="0"/>
    <w:pPr>
      <w:ind w:left="2100" w:leftChars="1000"/>
    </w:pPr>
  </w:style>
  <w:style w:type="paragraph" w:styleId="26">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0"/>
    <w:pPr>
      <w:ind w:left="420" w:leftChars="200"/>
    </w:pPr>
  </w:style>
  <w:style w:type="paragraph" w:styleId="28">
    <w:name w:val="toc 9"/>
    <w:basedOn w:val="1"/>
    <w:next w:val="1"/>
    <w:qFormat/>
    <w:uiPriority w:val="0"/>
    <w:pPr>
      <w:ind w:left="3360" w:leftChars="1600"/>
    </w:pPr>
  </w:style>
  <w:style w:type="paragraph" w:styleId="29">
    <w:name w:val="Normal (Web)"/>
    <w:basedOn w:val="1"/>
    <w:next w:val="30"/>
    <w:qFormat/>
    <w:uiPriority w:val="0"/>
    <w:pPr>
      <w:widowControl/>
      <w:spacing w:before="100" w:beforeAutospacing="1" w:after="100" w:afterAutospacing="1"/>
      <w:jc w:val="left"/>
    </w:pPr>
    <w:rPr>
      <w:rFonts w:ascii="宋体" w:hAnsi="宋体" w:cs="宋体"/>
      <w:kern w:val="0"/>
      <w:sz w:val="24"/>
    </w:rPr>
  </w:style>
  <w:style w:type="paragraph" w:customStyle="1" w:styleId="30">
    <w:name w:val="目录 41"/>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paragraph" w:styleId="31">
    <w:name w:val="index 1"/>
    <w:basedOn w:val="1"/>
    <w:next w:val="1"/>
    <w:qFormat/>
    <w:uiPriority w:val="0"/>
    <w:rPr>
      <w:szCs w:val="20"/>
    </w:rPr>
  </w:style>
  <w:style w:type="paragraph" w:styleId="32">
    <w:name w:val="annotation subject"/>
    <w:basedOn w:val="11"/>
    <w:next w:val="11"/>
    <w:link w:val="66"/>
    <w:qFormat/>
    <w:uiPriority w:val="0"/>
    <w:rPr>
      <w:b/>
      <w:bCs/>
    </w:rPr>
  </w:style>
  <w:style w:type="paragraph" w:styleId="33">
    <w:name w:val="Body Text First Indent 2"/>
    <w:basedOn w:val="12"/>
    <w:link w:val="85"/>
    <w:qFormat/>
    <w:uiPriority w:val="0"/>
    <w:pPr>
      <w:ind w:firstLine="420" w:firstLineChars="200"/>
    </w:pPr>
  </w:style>
  <w:style w:type="table" w:styleId="35">
    <w:name w:val="Table Grid"/>
    <w:basedOn w:val="3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Medium Grid 3 Accent 1"/>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7">
    <w:name w:val="Medium Grid 3 Accent 2"/>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8">
    <w:name w:val="Medium Grid 3 Accent 3"/>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39">
    <w:name w:val="Medium Grid 3 Accent 4"/>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0">
    <w:name w:val="Medium Grid 3 Accent 5"/>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1">
    <w:name w:val="Medium Grid 3 Accent 6"/>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3">
    <w:name w:val="Strong"/>
    <w:basedOn w:val="42"/>
    <w:qFormat/>
    <w:uiPriority w:val="0"/>
    <w:rPr>
      <w:b/>
      <w:bCs/>
      <w:szCs w:val="21"/>
    </w:rPr>
  </w:style>
  <w:style w:type="character" w:styleId="44">
    <w:name w:val="page number"/>
    <w:basedOn w:val="42"/>
    <w:qFormat/>
    <w:uiPriority w:val="0"/>
    <w:rPr>
      <w:rFonts w:ascii="Times New Roman" w:hAnsi="Times New Roman" w:eastAsia="宋体" w:cs="Times New Roman"/>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表格文字"/>
    <w:basedOn w:val="1"/>
    <w:next w:val="3"/>
    <w:qFormat/>
    <w:uiPriority w:val="0"/>
    <w:pPr>
      <w:spacing w:before="25" w:after="25"/>
      <w:jc w:val="left"/>
    </w:pPr>
    <w:rPr>
      <w:bCs/>
      <w:spacing w:val="10"/>
      <w:kern w:val="0"/>
      <w:sz w:val="24"/>
      <w:szCs w:val="24"/>
    </w:rPr>
  </w:style>
  <w:style w:type="paragraph" w:customStyle="1" w:styleId="48">
    <w:name w:val="Default"/>
    <w:next w:val="1"/>
    <w:qFormat/>
    <w:uiPriority w:val="0"/>
    <w:pPr>
      <w:widowControl w:val="0"/>
      <w:autoSpaceDE w:val="0"/>
      <w:autoSpaceDN w:val="0"/>
    </w:pPr>
    <w:rPr>
      <w:rFonts w:ascii="宋体" w:hAnsi="Times New Roman" w:eastAsia="宋体" w:cs="宋体"/>
      <w:color w:val="000000"/>
      <w:kern w:val="0"/>
      <w:sz w:val="24"/>
      <w:szCs w:val="24"/>
      <w:lang w:val="en-US" w:eastAsia="zh-CN" w:bidi="ar-SA"/>
    </w:rPr>
  </w:style>
  <w:style w:type="character" w:customStyle="1" w:styleId="49">
    <w:name w:val="标题 3 Char"/>
    <w:basedOn w:val="42"/>
    <w:link w:val="6"/>
    <w:qFormat/>
    <w:uiPriority w:val="0"/>
    <w:rPr>
      <w:rFonts w:ascii="宋体" w:hAnsi="Times New Roman" w:eastAsia="宋体" w:cs="Times New Roman"/>
      <w:b/>
      <w:kern w:val="0"/>
      <w:sz w:val="24"/>
      <w:szCs w:val="20"/>
      <w:u w:val="single"/>
    </w:rPr>
  </w:style>
  <w:style w:type="character" w:customStyle="1" w:styleId="50">
    <w:name w:val="标题 1 Char"/>
    <w:basedOn w:val="42"/>
    <w:link w:val="4"/>
    <w:qFormat/>
    <w:uiPriority w:val="0"/>
    <w:rPr>
      <w:rFonts w:ascii="宋体" w:hAnsi="Times New Roman" w:eastAsia="宋体" w:cs="Times New Roman"/>
      <w:b/>
      <w:kern w:val="44"/>
      <w:sz w:val="32"/>
      <w:szCs w:val="20"/>
    </w:rPr>
  </w:style>
  <w:style w:type="character" w:customStyle="1" w:styleId="51">
    <w:name w:val="标题 2 Char"/>
    <w:basedOn w:val="42"/>
    <w:link w:val="5"/>
    <w:qFormat/>
    <w:uiPriority w:val="0"/>
    <w:rPr>
      <w:rFonts w:ascii="Arial" w:hAnsi="Arial" w:eastAsia="黑体" w:cs="Times New Roman"/>
      <w:b/>
      <w:kern w:val="0"/>
      <w:sz w:val="30"/>
      <w:szCs w:val="20"/>
    </w:rPr>
  </w:style>
  <w:style w:type="character" w:customStyle="1" w:styleId="52">
    <w:name w:val="font01"/>
    <w:basedOn w:val="42"/>
    <w:qFormat/>
    <w:uiPriority w:val="0"/>
    <w:rPr>
      <w:rFonts w:hint="eastAsia" w:ascii="宋体" w:hAnsi="宋体" w:eastAsia="宋体" w:cs="宋体"/>
      <w:color w:val="000000"/>
      <w:sz w:val="24"/>
      <w:szCs w:val="24"/>
      <w:u w:val="none"/>
    </w:rPr>
  </w:style>
  <w:style w:type="character" w:customStyle="1" w:styleId="53">
    <w:name w:val="批注文字 Char1"/>
    <w:qFormat/>
    <w:uiPriority w:val="0"/>
    <w:rPr>
      <w:rFonts w:ascii="Times New Roman" w:hAnsi="Times New Roman" w:eastAsia="宋体" w:cs="Times New Roman"/>
      <w:kern w:val="2"/>
      <w:sz w:val="21"/>
      <w:szCs w:val="24"/>
    </w:rPr>
  </w:style>
  <w:style w:type="character" w:customStyle="1" w:styleId="54">
    <w:name w:val="日期 Char"/>
    <w:link w:val="17"/>
    <w:qFormat/>
    <w:uiPriority w:val="0"/>
    <w:rPr>
      <w:rFonts w:ascii="仿宋_GB2312" w:hAnsi="宋体" w:eastAsia="仿宋_GB2312" w:cs="Times New Roman"/>
      <w:color w:val="000000"/>
      <w:sz w:val="24"/>
      <w:szCs w:val="24"/>
    </w:rPr>
  </w:style>
  <w:style w:type="character" w:customStyle="1" w:styleId="55">
    <w:name w:val="font31"/>
    <w:basedOn w:val="42"/>
    <w:qFormat/>
    <w:uiPriority w:val="0"/>
    <w:rPr>
      <w:rFonts w:hint="default" w:ascii="Times New Roman" w:hAnsi="Times New Roman" w:cs="Times New Roman"/>
      <w:color w:val="000000"/>
      <w:sz w:val="20"/>
      <w:szCs w:val="20"/>
      <w:u w:val="none"/>
    </w:rPr>
  </w:style>
  <w:style w:type="character" w:customStyle="1" w:styleId="56">
    <w:name w:val="批注框文本 Char"/>
    <w:link w:val="19"/>
    <w:qFormat/>
    <w:uiPriority w:val="0"/>
    <w:rPr>
      <w:rFonts w:ascii="Times New Roman" w:hAnsi="Times New Roman" w:eastAsia="宋体" w:cs="Times New Roman"/>
      <w:sz w:val="18"/>
      <w:szCs w:val="18"/>
    </w:rPr>
  </w:style>
  <w:style w:type="character" w:customStyle="1" w:styleId="57">
    <w:name w:val="页脚 Char"/>
    <w:link w:val="20"/>
    <w:qFormat/>
    <w:uiPriority w:val="0"/>
    <w:rPr>
      <w:rFonts w:ascii="宋体" w:hAnsi="Times New Roman" w:eastAsia="宋体" w:cs="Times New Roman"/>
      <w:sz w:val="18"/>
    </w:rPr>
  </w:style>
  <w:style w:type="character" w:customStyle="1" w:styleId="58">
    <w:name w:val="正文文本 Char"/>
    <w:link w:val="3"/>
    <w:qFormat/>
    <w:uiPriority w:val="0"/>
    <w:rPr>
      <w:rFonts w:ascii="宋体" w:hAnsi="宋体" w:eastAsia="宋体" w:cs="Times New Roman"/>
      <w:sz w:val="24"/>
      <w:szCs w:val="24"/>
    </w:rPr>
  </w:style>
  <w:style w:type="character" w:customStyle="1" w:styleId="59">
    <w:name w:val="正文缩进 Char1"/>
    <w:link w:val="60"/>
    <w:qFormat/>
    <w:uiPriority w:val="0"/>
    <w:rPr>
      <w:rFonts w:ascii="宋体" w:hAnsi="Times New Roman" w:eastAsia="宋体" w:cs="Times New Roman"/>
      <w:sz w:val="24"/>
    </w:rPr>
  </w:style>
  <w:style w:type="paragraph" w:customStyle="1" w:styleId="60">
    <w:name w:val="正文缩进1"/>
    <w:basedOn w:val="1"/>
    <w:link w:val="59"/>
    <w:qFormat/>
    <w:uiPriority w:val="0"/>
    <w:pPr>
      <w:autoSpaceDE w:val="0"/>
      <w:autoSpaceDN w:val="0"/>
      <w:adjustRightInd w:val="0"/>
      <w:ind w:firstLine="420"/>
      <w:jc w:val="left"/>
    </w:pPr>
    <w:rPr>
      <w:rFonts w:ascii="宋体"/>
      <w:sz w:val="24"/>
      <w:szCs w:val="22"/>
    </w:rPr>
  </w:style>
  <w:style w:type="character" w:customStyle="1" w:styleId="61">
    <w:name w:val="批注文字 Char"/>
    <w:qFormat/>
    <w:uiPriority w:val="0"/>
    <w:rPr>
      <w:rFonts w:ascii="Times New Roman" w:hAnsi="Times New Roman" w:eastAsia="宋体" w:cs="Times New Roman"/>
      <w:kern w:val="2"/>
      <w:sz w:val="21"/>
      <w:szCs w:val="24"/>
    </w:rPr>
  </w:style>
  <w:style w:type="character" w:customStyle="1" w:styleId="62">
    <w:name w:val="font41"/>
    <w:qFormat/>
    <w:uiPriority w:val="0"/>
    <w:rPr>
      <w:rFonts w:hint="eastAsia" w:ascii="宋体" w:hAnsi="宋体" w:eastAsia="宋体"/>
      <w:color w:val="000000"/>
      <w:sz w:val="20"/>
      <w:szCs w:val="20"/>
      <w:u w:val="none"/>
    </w:rPr>
  </w:style>
  <w:style w:type="character" w:customStyle="1" w:styleId="63">
    <w:name w:val="批注框文本 Char1"/>
    <w:qFormat/>
    <w:uiPriority w:val="0"/>
    <w:rPr>
      <w:rFonts w:ascii="Times New Roman" w:hAnsi="Times New Roman" w:eastAsia="宋体" w:cs="Times New Roman"/>
      <w:kern w:val="2"/>
      <w:sz w:val="18"/>
      <w:szCs w:val="18"/>
    </w:rPr>
  </w:style>
  <w:style w:type="character" w:customStyle="1" w:styleId="64">
    <w:name w:val="页眉 Char"/>
    <w:link w:val="21"/>
    <w:qFormat/>
    <w:uiPriority w:val="0"/>
    <w:rPr>
      <w:rFonts w:ascii="Times New Roman" w:hAnsi="Times New Roman" w:eastAsia="宋体" w:cs="Times New Roman"/>
      <w:sz w:val="18"/>
      <w:szCs w:val="18"/>
    </w:rPr>
  </w:style>
  <w:style w:type="character" w:customStyle="1" w:styleId="65">
    <w:name w:val="页眉 Char1"/>
    <w:qFormat/>
    <w:uiPriority w:val="0"/>
    <w:rPr>
      <w:rFonts w:ascii="Times New Roman" w:hAnsi="Times New Roman" w:eastAsia="宋体" w:cs="Times New Roman"/>
      <w:kern w:val="2"/>
      <w:sz w:val="18"/>
      <w:szCs w:val="18"/>
    </w:rPr>
  </w:style>
  <w:style w:type="character" w:customStyle="1" w:styleId="66">
    <w:name w:val="批注主题 Char"/>
    <w:link w:val="32"/>
    <w:qFormat/>
    <w:uiPriority w:val="0"/>
    <w:rPr>
      <w:rFonts w:ascii="Times New Roman" w:hAnsi="Times New Roman" w:eastAsia="宋体" w:cs="Times New Roman"/>
      <w:b/>
      <w:bCs/>
      <w:szCs w:val="24"/>
    </w:rPr>
  </w:style>
  <w:style w:type="character" w:customStyle="1" w:styleId="67">
    <w:name w:val="纯文本 Char1"/>
    <w:link w:val="68"/>
    <w:qFormat/>
    <w:uiPriority w:val="99"/>
    <w:rPr>
      <w:rFonts w:ascii="宋体" w:hAnsi="Courier New" w:eastAsia="宋体" w:cs="Times New Roman"/>
    </w:rPr>
  </w:style>
  <w:style w:type="paragraph" w:customStyle="1" w:styleId="68">
    <w:name w:val="纯文本1"/>
    <w:basedOn w:val="1"/>
    <w:link w:val="67"/>
    <w:qFormat/>
    <w:uiPriority w:val="99"/>
    <w:rPr>
      <w:rFonts w:ascii="宋体" w:hAnsi="Courier New"/>
      <w:szCs w:val="22"/>
    </w:rPr>
  </w:style>
  <w:style w:type="character" w:customStyle="1" w:styleId="69">
    <w:name w:val="批注主题 Char1"/>
    <w:qFormat/>
    <w:uiPriority w:val="0"/>
    <w:rPr>
      <w:rFonts w:ascii="Times New Roman" w:hAnsi="Times New Roman" w:eastAsia="宋体" w:cs="Times New Roman"/>
      <w:b/>
      <w:bCs/>
      <w:kern w:val="2"/>
      <w:sz w:val="21"/>
      <w:szCs w:val="24"/>
    </w:rPr>
  </w:style>
  <w:style w:type="character" w:customStyle="1" w:styleId="70">
    <w:name w:val="纯文本 Char"/>
    <w:link w:val="15"/>
    <w:qFormat/>
    <w:uiPriority w:val="0"/>
    <w:rPr>
      <w:rFonts w:ascii="宋体" w:hAnsi="Courier New" w:eastAsia="宋体" w:cs="Times New Roman"/>
    </w:rPr>
  </w:style>
  <w:style w:type="character" w:customStyle="1" w:styleId="71">
    <w:name w:val="批注文字 Char2"/>
    <w:basedOn w:val="42"/>
    <w:link w:val="11"/>
    <w:semiHidden/>
    <w:qFormat/>
    <w:uiPriority w:val="99"/>
    <w:rPr>
      <w:rFonts w:ascii="Times New Roman" w:hAnsi="Times New Roman" w:eastAsia="宋体" w:cs="Times New Roman"/>
      <w:szCs w:val="24"/>
    </w:rPr>
  </w:style>
  <w:style w:type="character" w:customStyle="1" w:styleId="72">
    <w:name w:val="批注主题 Char2"/>
    <w:basedOn w:val="71"/>
    <w:semiHidden/>
    <w:qFormat/>
    <w:uiPriority w:val="99"/>
    <w:rPr>
      <w:rFonts w:ascii="Times New Roman" w:hAnsi="Times New Roman" w:eastAsia="宋体" w:cs="Times New Roman"/>
      <w:b/>
      <w:bCs/>
      <w:szCs w:val="24"/>
    </w:rPr>
  </w:style>
  <w:style w:type="character" w:customStyle="1" w:styleId="73">
    <w:name w:val="纯文本 Char2"/>
    <w:basedOn w:val="42"/>
    <w:semiHidden/>
    <w:qFormat/>
    <w:uiPriority w:val="99"/>
    <w:rPr>
      <w:rFonts w:ascii="宋体" w:hAnsi="Courier New" w:eastAsia="宋体" w:cs="Courier New"/>
      <w:szCs w:val="21"/>
    </w:rPr>
  </w:style>
  <w:style w:type="character" w:customStyle="1" w:styleId="74">
    <w:name w:val="脚注文本 Char"/>
    <w:basedOn w:val="42"/>
    <w:link w:val="24"/>
    <w:qFormat/>
    <w:uiPriority w:val="0"/>
    <w:rPr>
      <w:rFonts w:ascii="Times New Roman" w:hAnsi="Times New Roman" w:eastAsia="宋体" w:cs="Times New Roman"/>
      <w:sz w:val="18"/>
      <w:szCs w:val="24"/>
    </w:rPr>
  </w:style>
  <w:style w:type="character" w:customStyle="1" w:styleId="75">
    <w:name w:val="正文文本 Char1"/>
    <w:basedOn w:val="42"/>
    <w:semiHidden/>
    <w:qFormat/>
    <w:uiPriority w:val="99"/>
    <w:rPr>
      <w:rFonts w:ascii="Times New Roman" w:hAnsi="Times New Roman" w:eastAsia="宋体" w:cs="Times New Roman"/>
      <w:szCs w:val="24"/>
    </w:rPr>
  </w:style>
  <w:style w:type="character" w:customStyle="1" w:styleId="76">
    <w:name w:val="正文文本缩进 Char"/>
    <w:basedOn w:val="42"/>
    <w:link w:val="12"/>
    <w:qFormat/>
    <w:uiPriority w:val="0"/>
    <w:rPr>
      <w:rFonts w:ascii="Times New Roman" w:hAnsi="Times New Roman" w:eastAsia="宋体" w:cs="Times New Roman"/>
      <w:sz w:val="24"/>
      <w:szCs w:val="24"/>
    </w:rPr>
  </w:style>
  <w:style w:type="character" w:customStyle="1" w:styleId="77">
    <w:name w:val="正文文本缩进 2 Char"/>
    <w:basedOn w:val="42"/>
    <w:link w:val="18"/>
    <w:qFormat/>
    <w:uiPriority w:val="0"/>
    <w:rPr>
      <w:rFonts w:ascii="仿宋_GB2312" w:hAnsi="Times New Roman" w:eastAsia="仿宋_GB2312" w:cs="Times New Roman"/>
      <w:sz w:val="24"/>
      <w:szCs w:val="24"/>
    </w:rPr>
  </w:style>
  <w:style w:type="character" w:customStyle="1" w:styleId="78">
    <w:name w:val="正文文本缩进 3 Char"/>
    <w:basedOn w:val="42"/>
    <w:link w:val="26"/>
    <w:qFormat/>
    <w:uiPriority w:val="0"/>
    <w:rPr>
      <w:rFonts w:ascii="宋体" w:hAnsi="Times New Roman" w:eastAsia="宋体" w:cs="Times New Roman"/>
      <w:kern w:val="0"/>
      <w:sz w:val="24"/>
      <w:szCs w:val="20"/>
    </w:rPr>
  </w:style>
  <w:style w:type="character" w:customStyle="1" w:styleId="79">
    <w:name w:val="日期 Char1"/>
    <w:basedOn w:val="42"/>
    <w:semiHidden/>
    <w:qFormat/>
    <w:uiPriority w:val="99"/>
    <w:rPr>
      <w:rFonts w:ascii="Times New Roman" w:hAnsi="Times New Roman" w:eastAsia="宋体" w:cs="Times New Roman"/>
      <w:szCs w:val="24"/>
    </w:rPr>
  </w:style>
  <w:style w:type="character" w:customStyle="1" w:styleId="80">
    <w:name w:val="批注框文本 Char2"/>
    <w:basedOn w:val="42"/>
    <w:semiHidden/>
    <w:qFormat/>
    <w:uiPriority w:val="99"/>
    <w:rPr>
      <w:rFonts w:ascii="Times New Roman" w:hAnsi="Times New Roman" w:eastAsia="宋体" w:cs="Times New Roman"/>
      <w:sz w:val="18"/>
      <w:szCs w:val="18"/>
    </w:rPr>
  </w:style>
  <w:style w:type="character" w:customStyle="1" w:styleId="81">
    <w:name w:val="页脚 Char1"/>
    <w:basedOn w:val="42"/>
    <w:semiHidden/>
    <w:qFormat/>
    <w:uiPriority w:val="99"/>
    <w:rPr>
      <w:rFonts w:ascii="Times New Roman" w:hAnsi="Times New Roman" w:eastAsia="宋体" w:cs="Times New Roman"/>
      <w:sz w:val="18"/>
      <w:szCs w:val="18"/>
    </w:rPr>
  </w:style>
  <w:style w:type="character" w:customStyle="1" w:styleId="82">
    <w:name w:val="页眉 Char2"/>
    <w:basedOn w:val="42"/>
    <w:semiHidden/>
    <w:qFormat/>
    <w:uiPriority w:val="99"/>
    <w:rPr>
      <w:rFonts w:ascii="Times New Roman" w:hAnsi="Times New Roman" w:eastAsia="宋体" w:cs="Times New Roman"/>
      <w:sz w:val="18"/>
      <w:szCs w:val="18"/>
    </w:rPr>
  </w:style>
  <w:style w:type="paragraph" w:styleId="8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自定义正文"/>
    <w:basedOn w:val="1"/>
    <w:qFormat/>
    <w:uiPriority w:val="0"/>
    <w:pPr>
      <w:spacing w:after="156" w:afterLines="50"/>
      <w:ind w:firstLine="200" w:firstLineChars="200"/>
    </w:pPr>
    <w:rPr>
      <w:rFonts w:ascii="Calibri" w:hAnsi="Calibri"/>
    </w:rPr>
  </w:style>
  <w:style w:type="character" w:customStyle="1" w:styleId="85">
    <w:name w:val="正文首行缩进 2 Char"/>
    <w:basedOn w:val="76"/>
    <w:link w:val="33"/>
    <w:qFormat/>
    <w:uiPriority w:val="0"/>
    <w:rPr>
      <w:rFonts w:ascii="Times New Roman" w:hAnsi="Times New Roman" w:eastAsia="宋体" w:cs="Times New Roman"/>
      <w:sz w:val="24"/>
      <w:szCs w:val="24"/>
    </w:rPr>
  </w:style>
  <w:style w:type="paragraph" w:customStyle="1" w:styleId="86">
    <w:name w:val="WPSOffice手动目录 2"/>
    <w:qFormat/>
    <w:uiPriority w:val="0"/>
    <w:pPr>
      <w:ind w:leftChars="200"/>
    </w:pPr>
    <w:rPr>
      <w:rFonts w:ascii="Times New Roman" w:hAnsi="Times New Roman" w:eastAsia="宋体" w:cs="Times New Roman"/>
      <w:kern w:val="0"/>
      <w:sz w:val="20"/>
      <w:szCs w:val="20"/>
      <w:lang w:val="en-US" w:eastAsia="zh-CN" w:bidi="ar-SA"/>
    </w:rPr>
  </w:style>
  <w:style w:type="paragraph" w:customStyle="1" w:styleId="87">
    <w:name w:val="图例"/>
    <w:basedOn w:val="1"/>
    <w:qFormat/>
    <w:uiPriority w:val="0"/>
    <w:pPr>
      <w:spacing w:before="120" w:after="120"/>
      <w:jc w:val="center"/>
    </w:pPr>
    <w:rPr>
      <w:rFonts w:eastAsia="仿宋_GB2312"/>
      <w:b/>
      <w:szCs w:val="20"/>
    </w:rPr>
  </w:style>
  <w:style w:type="paragraph" w:customStyle="1" w:styleId="88">
    <w:name w:val="_Style 3"/>
    <w:basedOn w:val="1"/>
    <w:qFormat/>
    <w:uiPriority w:val="0"/>
    <w:pPr>
      <w:ind w:firstLine="420" w:firstLineChars="200"/>
    </w:pPr>
    <w:rPr>
      <w:rFonts w:ascii="Calibri" w:hAnsi="Calibri"/>
      <w:szCs w:val="22"/>
    </w:rPr>
  </w:style>
  <w:style w:type="paragraph" w:customStyle="1" w:styleId="89">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90">
    <w:name w:val="索引 11"/>
    <w:basedOn w:val="1"/>
    <w:next w:val="1"/>
    <w:qFormat/>
    <w:uiPriority w:val="0"/>
    <w:pPr>
      <w:spacing w:line="360" w:lineRule="auto"/>
    </w:pPr>
    <w:rPr>
      <w:rFonts w:ascii="仿宋_GB2312" w:eastAsia="仿宋_GB2312"/>
      <w:sz w:val="24"/>
      <w:szCs w:val="20"/>
    </w:rPr>
  </w:style>
  <w:style w:type="paragraph" w:customStyle="1" w:styleId="91">
    <w:name w:val=" Char Char Char Char"/>
    <w:basedOn w:val="1"/>
    <w:qFormat/>
    <w:uiPriority w:val="0"/>
    <w:pPr>
      <w:tabs>
        <w:tab w:val="left" w:pos="360"/>
      </w:tabs>
      <w:ind w:firstLine="420" w:firstLineChars="150"/>
    </w:pPr>
  </w:style>
  <w:style w:type="paragraph" w:styleId="92">
    <w:name w:val="List Paragraph"/>
    <w:basedOn w:val="1"/>
    <w:qFormat/>
    <w:uiPriority w:val="0"/>
    <w:pPr>
      <w:widowControl/>
      <w:ind w:firstLine="420" w:firstLineChars="200"/>
      <w:jc w:val="left"/>
    </w:pPr>
    <w:rPr>
      <w:kern w:val="0"/>
      <w:sz w:val="24"/>
    </w:rPr>
  </w:style>
  <w:style w:type="paragraph" w:customStyle="1" w:styleId="93">
    <w:name w:val="Char"/>
    <w:basedOn w:val="1"/>
    <w:qFormat/>
    <w:uiPriority w:val="0"/>
    <w:pPr>
      <w:tabs>
        <w:tab w:val="left" w:pos="360"/>
      </w:tabs>
    </w:pPr>
    <w:rPr>
      <w:sz w:val="24"/>
    </w:rPr>
  </w:style>
  <w:style w:type="paragraph" w:customStyle="1" w:styleId="94">
    <w:name w:val="列出段落1"/>
    <w:basedOn w:val="1"/>
    <w:qFormat/>
    <w:uiPriority w:val="0"/>
    <w:pPr>
      <w:ind w:firstLine="420" w:firstLineChars="200"/>
    </w:pPr>
    <w:rPr>
      <w:rFonts w:ascii="Calibri" w:hAnsi="Calibri"/>
      <w:szCs w:val="22"/>
    </w:rPr>
  </w:style>
  <w:style w:type="table" w:customStyle="1" w:styleId="95">
    <w:name w:val="中等深浅网格 31"/>
    <w:basedOn w:val="34"/>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6">
    <w:name w:val="段"/>
    <w:next w:val="1"/>
    <w:qFormat/>
    <w:uiPriority w:val="0"/>
    <w:pPr>
      <w:autoSpaceDE w:val="0"/>
      <w:autoSpaceDN w:val="0"/>
      <w:ind w:firstLine="200"/>
      <w:jc w:val="both"/>
    </w:pPr>
    <w:rPr>
      <w:rFonts w:ascii="宋体" w:hAnsi="Times New Roman" w:eastAsia="宋体" w:cs="Times New Roman"/>
      <w:kern w:val="0"/>
      <w:sz w:val="21"/>
      <w:szCs w:val="20"/>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98">
    <w:name w:val="表格内容"/>
    <w:basedOn w:val="1"/>
    <w:next w:val="1"/>
    <w:qFormat/>
    <w:uiPriority w:val="0"/>
    <w:pPr>
      <w:spacing w:line="240" w:lineRule="auto"/>
    </w:pPr>
    <w:rPr>
      <w:rFonts w:ascii="Times New Roman" w:hAnsi="Times New Roman" w:eastAsia="仿宋" w:cs="Times New Roman"/>
      <w:kern w:val="0"/>
      <w:sz w:val="21"/>
      <w:szCs w:val="20"/>
    </w:rPr>
  </w:style>
  <w:style w:type="character" w:customStyle="1" w:styleId="99">
    <w:name w:val="font11"/>
    <w:basedOn w:val="42"/>
    <w:qFormat/>
    <w:uiPriority w:val="0"/>
    <w:rPr>
      <w:rFonts w:hint="eastAsia" w:ascii="仿宋" w:hAnsi="仿宋" w:eastAsia="仿宋" w:cs="仿宋"/>
      <w:color w:val="000000"/>
      <w:sz w:val="21"/>
      <w:szCs w:val="21"/>
      <w:u w:val="none"/>
    </w:rPr>
  </w:style>
  <w:style w:type="character" w:customStyle="1" w:styleId="100">
    <w:name w:val="font21"/>
    <w:basedOn w:val="42"/>
    <w:qFormat/>
    <w:uiPriority w:val="0"/>
    <w:rPr>
      <w:rFonts w:hint="default" w:ascii="Wingdings 2" w:hAnsi="Wingdings 2" w:eastAsia="Wingdings 2" w:cs="Wingdings 2"/>
      <w:color w:val="000000"/>
      <w:sz w:val="21"/>
      <w:szCs w:val="21"/>
      <w:u w:val="none"/>
    </w:rPr>
  </w:style>
  <w:style w:type="character" w:customStyle="1" w:styleId="101">
    <w:name w:val="font81"/>
    <w:basedOn w:val="42"/>
    <w:qFormat/>
    <w:uiPriority w:val="0"/>
    <w:rPr>
      <w:rFonts w:hint="eastAsia" w:ascii="宋体" w:hAnsi="宋体" w:eastAsia="宋体" w:cs="宋体"/>
      <w:color w:val="000000"/>
      <w:sz w:val="21"/>
      <w:szCs w:val="21"/>
      <w:u w:val="none"/>
    </w:rPr>
  </w:style>
  <w:style w:type="character" w:customStyle="1" w:styleId="102">
    <w:name w:val="font91"/>
    <w:basedOn w:val="42"/>
    <w:qFormat/>
    <w:uiPriority w:val="0"/>
    <w:rPr>
      <w:rFonts w:hint="default" w:ascii="Times New Roman" w:hAnsi="Times New Roman" w:cs="Times New Roman"/>
      <w:color w:val="000000"/>
      <w:sz w:val="22"/>
      <w:szCs w:val="22"/>
      <w:u w:val="none"/>
    </w:rPr>
  </w:style>
  <w:style w:type="character" w:customStyle="1" w:styleId="103">
    <w:name w:val="font112"/>
    <w:basedOn w:val="42"/>
    <w:qFormat/>
    <w:uiPriority w:val="0"/>
    <w:rPr>
      <w:rFonts w:hint="default" w:ascii="Times New Roman" w:hAnsi="Times New Roman" w:cs="Times New Roman"/>
      <w:color w:val="000000"/>
      <w:sz w:val="24"/>
      <w:szCs w:val="24"/>
      <w:u w:val="none"/>
    </w:rPr>
  </w:style>
  <w:style w:type="character" w:customStyle="1" w:styleId="104">
    <w:name w:val="font121"/>
    <w:basedOn w:val="42"/>
    <w:qFormat/>
    <w:uiPriority w:val="0"/>
    <w:rPr>
      <w:rFonts w:hint="eastAsia" w:ascii="宋体" w:hAnsi="宋体" w:eastAsia="宋体" w:cs="宋体"/>
      <w:color w:val="000000"/>
      <w:sz w:val="24"/>
      <w:szCs w:val="24"/>
      <w:u w:val="none"/>
    </w:rPr>
  </w:style>
  <w:style w:type="paragraph" w:customStyle="1" w:styleId="105">
    <w:name w:val="Normal"/>
    <w:basedOn w:val="1"/>
    <w:qFormat/>
    <w:uiPriority w:val="0"/>
    <w:pPr>
      <w:widowControl/>
      <w:spacing w:before="0" w:beforeAutospacing="0" w:after="0" w:afterAutospacing="0"/>
      <w:ind w:left="0" w:right="0"/>
      <w:jc w:val="left"/>
    </w:pPr>
    <w:rPr>
      <w:rFonts w:hint="default" w:ascii="Times New Roman" w:hAnsi="Times New Roman" w:cs="Times New Roman"/>
      <w:kern w:val="0"/>
      <w:sz w:val="24"/>
      <w:szCs w:val="24"/>
      <w:lang w:val="en-US" w:eastAsia="zh-CN" w:bidi="ar"/>
    </w:rPr>
  </w:style>
  <w:style w:type="paragraph" w:customStyle="1" w:styleId="106">
    <w:name w:val="正文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07">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character" w:customStyle="1" w:styleId="108">
    <w:name w:val="font61"/>
    <w:basedOn w:val="42"/>
    <w:qFormat/>
    <w:uiPriority w:val="0"/>
    <w:rPr>
      <w:rFonts w:hint="default" w:ascii="Calibri" w:hAnsi="Calibri" w:cs="Calibri"/>
      <w:color w:val="FF0000"/>
      <w:sz w:val="20"/>
      <w:szCs w:val="20"/>
      <w:u w:val="none"/>
    </w:rPr>
  </w:style>
  <w:style w:type="character" w:customStyle="1" w:styleId="109">
    <w:name w:val="font51"/>
    <w:basedOn w:val="42"/>
    <w:qFormat/>
    <w:uiPriority w:val="0"/>
    <w:rPr>
      <w:rFonts w:hint="default" w:ascii="Calibri" w:hAnsi="Calibri" w:cs="Calibri"/>
      <w:color w:val="000000"/>
      <w:sz w:val="20"/>
      <w:szCs w:val="20"/>
      <w:u w:val="none"/>
    </w:rPr>
  </w:style>
  <w:style w:type="character" w:customStyle="1" w:styleId="110">
    <w:name w:val="font71"/>
    <w:basedOn w:val="42"/>
    <w:qFormat/>
    <w:uiPriority w:val="0"/>
    <w:rPr>
      <w:rFonts w:hint="eastAsia" w:ascii="宋体" w:hAnsi="宋体" w:eastAsia="宋体" w:cs="宋体"/>
      <w:color w:val="000000"/>
      <w:sz w:val="18"/>
      <w:szCs w:val="18"/>
      <w:u w:val="none"/>
    </w:rPr>
  </w:style>
  <w:style w:type="character" w:customStyle="1" w:styleId="111">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35389</Words>
  <Characters>37582</Characters>
  <Lines>448</Lines>
  <Paragraphs>126</Paragraphs>
  <TotalTime>0</TotalTime>
  <ScaleCrop>false</ScaleCrop>
  <LinksUpToDate>false</LinksUpToDate>
  <CharactersWithSpaces>44046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2020-05-12T03:25:00Z</dcterms:created>
  <dc:creator>JuneW</dc:creator>
  <cp:lastModifiedBy>都在路上</cp:lastModifiedBy>
  <cp:lastPrinted>2021-12-06T04:16:00Z</cp:lastPrinted>
  <dcterms:modified xsi:type="dcterms:W3CDTF">2021-12-07T11:07:07Z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1402C1C104F241C2B614DEAF4870FD1B</vt:lpwstr>
  </property>
</Properties>
</file>