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both"/>
        <w:rPr>
          <w:rFonts w:hint="eastAsia" w:ascii="黑体" w:hAnsi="黑体" w:eastAsia="黑体"/>
          <w:sz w:val="10"/>
          <w:szCs w:val="10"/>
        </w:rPr>
      </w:pPr>
    </w:p>
    <w:p>
      <w:pPr>
        <w:jc w:val="left"/>
        <w:rPr>
          <w:rFonts w:hint="eastAsia" w:ascii="宋体" w:hAnsi="宋体" w:cs="宋体"/>
          <w:b/>
          <w:sz w:val="36"/>
          <w:szCs w:val="36"/>
          <w:lang w:val="en-US" w:eastAsia="zh-CN"/>
        </w:rPr>
      </w:pPr>
    </w:p>
    <w:p>
      <w:pPr>
        <w:jc w:val="center"/>
        <w:rPr>
          <w:rFonts w:hint="eastAsia" w:ascii="宋体" w:hAnsi="宋体" w:eastAsia="宋体" w:cs="宋体"/>
          <w:b/>
          <w:sz w:val="56"/>
          <w:szCs w:val="56"/>
          <w:lang w:eastAsia="zh-CN"/>
        </w:rPr>
      </w:pPr>
      <w:r>
        <w:rPr>
          <w:rFonts w:hint="eastAsia" w:ascii="宋体" w:hAnsi="宋体" w:cs="宋体"/>
          <w:b/>
          <w:sz w:val="56"/>
          <w:szCs w:val="56"/>
          <w:lang w:eastAsia="zh-CN"/>
        </w:rPr>
        <w:t>新和县智慧工地及管理能力提升项目</w:t>
      </w:r>
    </w:p>
    <w:p>
      <w:pPr>
        <w:jc w:val="center"/>
        <w:rPr>
          <w:rFonts w:hint="eastAsia" w:ascii="宋体" w:hAnsi="宋体" w:cs="宋体"/>
          <w:b/>
          <w:sz w:val="96"/>
          <w:szCs w:val="96"/>
          <w:lang w:eastAsia="zh-CN"/>
        </w:rPr>
      </w:pPr>
    </w:p>
    <w:p>
      <w:pPr>
        <w:jc w:val="center"/>
        <w:rPr>
          <w:rFonts w:hint="eastAsia" w:ascii="宋体" w:hAnsi="宋体" w:eastAsia="宋体" w:cs="宋体"/>
          <w:b/>
          <w:sz w:val="96"/>
          <w:szCs w:val="96"/>
        </w:rPr>
      </w:pPr>
      <w:r>
        <w:rPr>
          <w:rFonts w:hint="eastAsia" w:ascii="宋体" w:hAnsi="宋体" w:cs="宋体"/>
          <w:b/>
          <w:sz w:val="96"/>
          <w:szCs w:val="96"/>
          <w:lang w:eastAsia="zh-CN"/>
        </w:rPr>
        <w:t>竞争性磋商</w:t>
      </w:r>
      <w:r>
        <w:rPr>
          <w:rFonts w:hint="eastAsia" w:ascii="宋体" w:hAnsi="宋体" w:eastAsia="宋体" w:cs="宋体"/>
          <w:b/>
          <w:sz w:val="96"/>
          <w:szCs w:val="96"/>
        </w:rPr>
        <w:t>文件</w:t>
      </w: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jc w:val="both"/>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pStyle w:val="32"/>
        <w:rPr>
          <w:rFonts w:hint="eastAsia" w:ascii="宋体" w:hAnsi="宋体" w:eastAsia="宋体" w:cs="宋体"/>
          <w:sz w:val="32"/>
          <w:szCs w:val="32"/>
        </w:rPr>
      </w:pPr>
    </w:p>
    <w:p>
      <w:pPr>
        <w:pStyle w:val="32"/>
        <w:rPr>
          <w:rFonts w:hint="eastAsia" w:ascii="宋体" w:hAnsi="宋体" w:eastAsia="宋体" w:cs="宋体"/>
          <w:sz w:val="32"/>
          <w:szCs w:val="32"/>
        </w:rPr>
      </w:pPr>
    </w:p>
    <w:p>
      <w:pPr>
        <w:pStyle w:val="32"/>
        <w:rPr>
          <w:rFonts w:hint="eastAsia" w:ascii="宋体" w:hAnsi="宋体" w:eastAsia="宋体" w:cs="宋体"/>
          <w:sz w:val="32"/>
          <w:szCs w:val="32"/>
        </w:rPr>
      </w:pPr>
    </w:p>
    <w:p>
      <w:pPr>
        <w:pStyle w:val="32"/>
        <w:rPr>
          <w:rFonts w:hint="eastAsia" w:ascii="宋体" w:hAnsi="宋体" w:eastAsia="宋体" w:cs="宋体"/>
          <w:sz w:val="32"/>
          <w:szCs w:val="32"/>
        </w:rPr>
      </w:pPr>
    </w:p>
    <w:p>
      <w:pPr>
        <w:pStyle w:val="32"/>
        <w:rPr>
          <w:rFonts w:hint="eastAsia" w:ascii="宋体" w:hAnsi="宋体" w:eastAsia="宋体" w:cs="宋体"/>
          <w:sz w:val="32"/>
          <w:szCs w:val="32"/>
        </w:rPr>
      </w:pPr>
    </w:p>
    <w:p>
      <w:pPr>
        <w:pStyle w:val="32"/>
        <w:rPr>
          <w:rFonts w:hint="eastAsia" w:ascii="宋体" w:hAnsi="宋体" w:eastAsia="宋体" w:cs="宋体"/>
          <w:sz w:val="32"/>
          <w:szCs w:val="32"/>
        </w:rPr>
      </w:pPr>
    </w:p>
    <w:p>
      <w:pPr>
        <w:pStyle w:val="32"/>
        <w:rPr>
          <w:rFonts w:hint="eastAsia" w:ascii="宋体" w:hAnsi="宋体" w:eastAsia="宋体" w:cs="宋体"/>
          <w:sz w:val="32"/>
          <w:szCs w:val="32"/>
        </w:rPr>
      </w:pPr>
    </w:p>
    <w:p>
      <w:pPr>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color w:val="auto"/>
          <w:sz w:val="32"/>
          <w:szCs w:val="32"/>
          <w:lang w:eastAsia="zh-CN"/>
        </w:rPr>
      </w:pPr>
      <w:r>
        <w:rPr>
          <w:rFonts w:hint="eastAsia" w:ascii="宋体" w:hAnsi="宋体" w:cs="宋体"/>
          <w:b/>
          <w:sz w:val="32"/>
          <w:szCs w:val="32"/>
          <w:lang w:eastAsia="zh-CN"/>
        </w:rPr>
        <w:t>采购</w:t>
      </w:r>
      <w:r>
        <w:rPr>
          <w:rFonts w:hint="eastAsia" w:ascii="宋体" w:hAnsi="宋体" w:eastAsia="宋体" w:cs="宋体"/>
          <w:b/>
          <w:sz w:val="32"/>
          <w:szCs w:val="32"/>
        </w:rPr>
        <w:t>人：新和县住房和城乡建设局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项目编</w:t>
      </w:r>
      <w:r>
        <w:rPr>
          <w:rFonts w:hint="eastAsia" w:ascii="宋体" w:hAnsi="宋体" w:cs="宋体"/>
          <w:b/>
          <w:color w:val="auto"/>
          <w:sz w:val="32"/>
          <w:szCs w:val="32"/>
          <w:lang w:eastAsia="zh-CN"/>
        </w:rPr>
        <w:t>号</w:t>
      </w:r>
      <w:r>
        <w:rPr>
          <w:rFonts w:hint="eastAsia" w:ascii="宋体" w:hAnsi="宋体" w:eastAsia="宋体" w:cs="宋体"/>
          <w:b/>
          <w:color w:val="auto"/>
          <w:sz w:val="32"/>
          <w:szCs w:val="32"/>
          <w:lang w:eastAsia="zh-CN"/>
        </w:rPr>
        <w:t>：</w:t>
      </w:r>
      <w:r>
        <w:rPr>
          <w:rFonts w:hint="eastAsia" w:ascii="宋体" w:hAnsi="宋体" w:cs="宋体"/>
          <w:b/>
          <w:color w:val="auto"/>
          <w:sz w:val="32"/>
          <w:szCs w:val="32"/>
          <w:lang w:eastAsia="zh-CN"/>
        </w:rPr>
        <w:t>WAKSXHYJ-2021-015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sz w:val="32"/>
          <w:szCs w:val="32"/>
          <w:lang w:eastAsia="zh-CN"/>
        </w:rPr>
      </w:pPr>
      <w:r>
        <w:rPr>
          <w:rFonts w:hint="eastAsia" w:ascii="宋体" w:hAnsi="宋体" w:cs="宋体"/>
          <w:b/>
          <w:sz w:val="32"/>
          <w:szCs w:val="32"/>
          <w:lang w:eastAsia="zh-CN"/>
        </w:rPr>
        <w:t>采购</w:t>
      </w:r>
      <w:r>
        <w:rPr>
          <w:rFonts w:hint="eastAsia" w:ascii="宋体" w:hAnsi="宋体" w:eastAsia="宋体" w:cs="宋体"/>
          <w:b/>
          <w:sz w:val="32"/>
          <w:szCs w:val="32"/>
        </w:rPr>
        <w:t>代理机构：</w:t>
      </w:r>
      <w:r>
        <w:rPr>
          <w:rFonts w:hint="eastAsia" w:ascii="宋体" w:hAnsi="宋体" w:cs="宋体"/>
          <w:b/>
          <w:sz w:val="32"/>
          <w:szCs w:val="32"/>
          <w:lang w:eastAsia="zh-CN"/>
        </w:rPr>
        <w:t>阿克苏新华远景工程造价咨询有限公司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sz w:val="32"/>
          <w:szCs w:val="32"/>
        </w:rPr>
      </w:pPr>
      <w:r>
        <w:rPr>
          <w:rFonts w:hint="eastAsia" w:ascii="宋体" w:hAnsi="宋体" w:eastAsia="宋体" w:cs="宋体"/>
          <w:b/>
          <w:sz w:val="32"/>
          <w:szCs w:val="32"/>
        </w:rPr>
        <w:t>二Ｏ</w:t>
      </w:r>
      <w:r>
        <w:rPr>
          <w:rFonts w:hint="eastAsia" w:ascii="宋体" w:hAnsi="宋体" w:cs="宋体"/>
          <w:b/>
          <w:sz w:val="32"/>
          <w:szCs w:val="32"/>
          <w:lang w:eastAsia="zh-CN"/>
        </w:rPr>
        <w:t>二</w:t>
      </w:r>
      <w:r>
        <w:rPr>
          <w:rFonts w:hint="eastAsia" w:ascii="宋体" w:hAnsi="宋体" w:eastAsia="宋体" w:cs="宋体"/>
          <w:b/>
          <w:sz w:val="32"/>
          <w:szCs w:val="32"/>
        </w:rPr>
        <w:t>一年</w:t>
      </w:r>
      <w:r>
        <w:rPr>
          <w:rFonts w:hint="eastAsia" w:ascii="宋体" w:hAnsi="宋体" w:cs="宋体"/>
          <w:b/>
          <w:sz w:val="32"/>
          <w:szCs w:val="32"/>
          <w:lang w:val="en-US" w:eastAsia="zh-CN"/>
        </w:rPr>
        <w:t>十二</w:t>
      </w:r>
      <w:r>
        <w:rPr>
          <w:rFonts w:hint="eastAsia" w:ascii="宋体" w:hAnsi="宋体" w:eastAsia="宋体" w:cs="宋体"/>
          <w:b/>
          <w:sz w:val="32"/>
          <w:szCs w:val="32"/>
        </w:rPr>
        <w:t>月</w:t>
      </w:r>
    </w:p>
    <w:p>
      <w:pPr>
        <w:pStyle w:val="32"/>
        <w:rPr>
          <w:rFonts w:hint="eastAsia" w:ascii="宋体" w:hAnsi="宋体" w:eastAsia="宋体" w:cs="宋体"/>
          <w:color w:val="auto"/>
          <w:sz w:val="36"/>
          <w:szCs w:val="36"/>
          <w:highlight w:val="none"/>
        </w:rPr>
      </w:pPr>
    </w:p>
    <w:p>
      <w:pPr>
        <w:pStyle w:val="32"/>
        <w:rPr>
          <w:rFonts w:hint="eastAsia" w:ascii="宋体" w:hAnsi="宋体" w:eastAsia="宋体" w:cs="宋体"/>
          <w:color w:val="auto"/>
          <w:sz w:val="36"/>
          <w:szCs w:val="36"/>
          <w:highlight w:val="none"/>
        </w:rPr>
      </w:pPr>
    </w:p>
    <w:p>
      <w:pPr>
        <w:adjustRightInd w:val="0"/>
        <w:snapToGrid w:val="0"/>
        <w:spacing w:line="360" w:lineRule="auto"/>
        <w:jc w:val="both"/>
        <w:rPr>
          <w:rFonts w:hint="eastAsia" w:ascii="宋体" w:hAnsi="宋体" w:eastAsia="宋体" w:cs="宋体"/>
          <w:color w:val="auto"/>
          <w:highlight w:val="none"/>
        </w:rPr>
      </w:pPr>
    </w:p>
    <w:p>
      <w:pPr>
        <w:pStyle w:val="32"/>
        <w:ind w:left="0" w:leftChars="0" w:firstLine="0" w:firstLineChars="0"/>
        <w:rPr>
          <w:rFonts w:hint="eastAsia" w:ascii="宋体" w:hAnsi="宋体" w:eastAsia="宋体" w:cs="宋体"/>
        </w:rPr>
      </w:pPr>
    </w:p>
    <w:p>
      <w:pPr>
        <w:ind w:left="1960" w:hanging="1960" w:hangingChars="700"/>
        <w:jc w:val="center"/>
        <w:rPr>
          <w:rFonts w:hint="eastAsia" w:ascii="宋体" w:hAnsi="宋体"/>
          <w:bCs/>
          <w:sz w:val="28"/>
          <w:szCs w:val="28"/>
        </w:rPr>
        <w:sectPr>
          <w:footerReference r:id="rId3" w:type="default"/>
          <w:pgSz w:w="11906" w:h="16838"/>
          <w:pgMar w:top="1440" w:right="1080" w:bottom="1440" w:left="1080" w:header="851" w:footer="992" w:gutter="0"/>
          <w:pgNumType w:fmt="decimal" w:start="1"/>
          <w:cols w:space="425" w:num="1"/>
          <w:docGrid w:linePitch="312" w:charSpace="0"/>
        </w:sectPr>
      </w:pPr>
    </w:p>
    <w:p>
      <w:pPr>
        <w:ind w:left="1960" w:hanging="1960" w:hangingChars="700"/>
        <w:jc w:val="center"/>
        <w:rPr>
          <w:rFonts w:hint="eastAsia"/>
        </w:rPr>
      </w:pPr>
      <w:r>
        <w:rPr>
          <w:rFonts w:hint="eastAsia" w:ascii="宋体" w:hAnsi="宋体"/>
          <w:bCs/>
          <w:sz w:val="28"/>
          <w:szCs w:val="28"/>
        </w:rPr>
        <w:t xml:space="preserve">                     </w:t>
      </w:r>
    </w:p>
    <w:p>
      <w:pPr>
        <w:snapToGrid w:val="0"/>
        <w:spacing w:line="700" w:lineRule="exact"/>
        <w:ind w:left="149" w:leftChars="-95" w:hanging="348" w:hangingChars="62"/>
        <w:jc w:val="center"/>
        <w:rPr>
          <w:rFonts w:hint="eastAsia" w:ascii="宋体" w:hAnsi="宋体"/>
          <w:b/>
          <w:bCs/>
          <w:spacing w:val="40"/>
          <w:sz w:val="48"/>
          <w:szCs w:val="48"/>
        </w:rPr>
      </w:pPr>
    </w:p>
    <w:p>
      <w:pPr>
        <w:snapToGrid w:val="0"/>
        <w:spacing w:line="700" w:lineRule="exact"/>
        <w:ind w:left="149" w:leftChars="-95" w:hanging="348" w:hangingChars="62"/>
        <w:jc w:val="center"/>
        <w:rPr>
          <w:rFonts w:hint="eastAsia" w:ascii="宋体" w:hAnsi="宋体"/>
          <w:b/>
          <w:bCs/>
          <w:spacing w:val="40"/>
          <w:sz w:val="48"/>
          <w:szCs w:val="48"/>
        </w:rPr>
      </w:pPr>
      <w:r>
        <w:rPr>
          <w:rFonts w:hint="eastAsia" w:ascii="宋体" w:hAnsi="宋体"/>
          <w:b/>
          <w:bCs/>
          <w:spacing w:val="40"/>
          <w:sz w:val="48"/>
          <w:szCs w:val="48"/>
        </w:rPr>
        <w:t>竞争性</w:t>
      </w:r>
      <w:r>
        <w:rPr>
          <w:rFonts w:hint="eastAsia" w:ascii="宋体" w:hAnsi="宋体"/>
          <w:b/>
          <w:bCs/>
          <w:spacing w:val="40"/>
          <w:sz w:val="48"/>
          <w:szCs w:val="48"/>
          <w:lang w:eastAsia="zh-CN"/>
        </w:rPr>
        <w:t>磋商</w:t>
      </w:r>
      <w:r>
        <w:rPr>
          <w:rFonts w:hint="eastAsia" w:ascii="宋体" w:hAnsi="宋体"/>
          <w:b/>
          <w:bCs/>
          <w:spacing w:val="40"/>
          <w:sz w:val="48"/>
          <w:szCs w:val="48"/>
        </w:rPr>
        <w:t>文件</w:t>
      </w:r>
    </w:p>
    <w:p>
      <w:pPr>
        <w:snapToGrid w:val="0"/>
        <w:spacing w:line="700" w:lineRule="exact"/>
        <w:ind w:left="149" w:leftChars="-95" w:hanging="348" w:hangingChars="62"/>
        <w:jc w:val="center"/>
        <w:rPr>
          <w:rFonts w:hint="eastAsia" w:ascii="宋体" w:hAnsi="宋体"/>
          <w:b/>
          <w:bCs/>
          <w:spacing w:val="40"/>
          <w:sz w:val="48"/>
          <w:szCs w:val="48"/>
        </w:rPr>
      </w:pPr>
    </w:p>
    <w:p>
      <w:pPr>
        <w:snapToGrid w:val="0"/>
        <w:spacing w:line="700" w:lineRule="exact"/>
        <w:ind w:left="80" w:leftChars="38" w:firstLine="103" w:firstLineChars="37"/>
        <w:rPr>
          <w:rFonts w:hint="eastAsia" w:ascii="宋体" w:hAnsi="宋体"/>
          <w:bCs/>
          <w:sz w:val="28"/>
          <w:szCs w:val="28"/>
          <w:lang w:val="en-US" w:eastAsia="zh-CN"/>
        </w:rPr>
      </w:pPr>
      <w:r>
        <w:rPr>
          <w:rFonts w:hint="eastAsia" w:ascii="宋体" w:hAnsi="宋体"/>
          <w:bCs/>
          <w:sz w:val="28"/>
          <w:szCs w:val="28"/>
        </w:rPr>
        <w:t>项目名称：</w:t>
      </w:r>
      <w:r>
        <w:rPr>
          <w:rFonts w:hint="eastAsia" w:ascii="宋体" w:hAnsi="宋体" w:eastAsia="宋体" w:cs="Times New Roman"/>
          <w:bCs/>
          <w:sz w:val="28"/>
          <w:szCs w:val="28"/>
          <w:lang w:eastAsia="zh-CN"/>
        </w:rPr>
        <w:t xml:space="preserve"> </w:t>
      </w:r>
      <w:r>
        <w:rPr>
          <w:rFonts w:hint="eastAsia" w:ascii="宋体" w:hAnsi="宋体" w:cs="Times New Roman"/>
          <w:bCs/>
          <w:sz w:val="28"/>
          <w:szCs w:val="28"/>
          <w:lang w:eastAsia="zh-CN"/>
        </w:rPr>
        <w:t>新和县智慧工地及管理能力提升项目</w:t>
      </w:r>
    </w:p>
    <w:p>
      <w:pPr>
        <w:snapToGrid w:val="0"/>
        <w:spacing w:line="700" w:lineRule="exact"/>
        <w:ind w:left="80" w:leftChars="38" w:firstLine="103" w:firstLineChars="37"/>
        <w:rPr>
          <w:rFonts w:hint="eastAsia" w:ascii="宋体" w:hAnsi="宋体"/>
          <w:bCs/>
          <w:sz w:val="28"/>
          <w:szCs w:val="28"/>
        </w:rPr>
      </w:pPr>
      <w:r>
        <w:rPr>
          <w:rFonts w:hint="eastAsia" w:ascii="宋体" w:hAnsi="宋体"/>
          <w:bCs/>
          <w:sz w:val="28"/>
          <w:szCs w:val="28"/>
        </w:rPr>
        <w:t>采购人（盖章）: 新和县住房和城乡建设局</w:t>
      </w:r>
    </w:p>
    <w:p>
      <w:pPr>
        <w:snapToGrid w:val="0"/>
        <w:spacing w:line="700" w:lineRule="exact"/>
        <w:ind w:left="-26" w:leftChars="-95" w:hanging="173" w:hangingChars="62"/>
        <w:rPr>
          <w:rFonts w:hint="eastAsia" w:ascii="宋体" w:hAnsi="宋体"/>
          <w:bCs/>
          <w:sz w:val="28"/>
          <w:szCs w:val="28"/>
        </w:rPr>
      </w:pPr>
      <w:r>
        <w:rPr>
          <w:rFonts w:hint="eastAsia" w:ascii="宋体" w:hAnsi="宋体"/>
          <w:bCs/>
          <w:sz w:val="28"/>
          <w:szCs w:val="28"/>
        </w:rPr>
        <w:t xml:space="preserve">   法定代表人或其委托代理人（签字或盖章）:</w:t>
      </w:r>
    </w:p>
    <w:p>
      <w:pPr>
        <w:snapToGrid w:val="0"/>
        <w:spacing w:line="700" w:lineRule="exact"/>
        <w:ind w:left="-26" w:leftChars="-95" w:hanging="173" w:hangingChars="62"/>
        <w:rPr>
          <w:rFonts w:hint="eastAsia" w:ascii="宋体" w:hAnsi="宋体"/>
          <w:bCs/>
          <w:sz w:val="28"/>
          <w:szCs w:val="28"/>
        </w:rPr>
      </w:pPr>
      <w:r>
        <w:rPr>
          <w:rFonts w:hint="eastAsia" w:ascii="宋体" w:hAnsi="宋体"/>
          <w:bCs/>
          <w:sz w:val="28"/>
          <w:szCs w:val="28"/>
        </w:rPr>
        <w:t xml:space="preserve">   联系人：艾买尔江·托乎提</w:t>
      </w:r>
      <w:r>
        <w:rPr>
          <w:rFonts w:hint="eastAsia" w:ascii="宋体" w:hAnsi="宋体"/>
          <w:bCs/>
          <w:sz w:val="28"/>
          <w:szCs w:val="28"/>
          <w:lang w:val="en-US" w:eastAsia="zh-CN"/>
        </w:rPr>
        <w:t xml:space="preserve">        </w:t>
      </w:r>
      <w:r>
        <w:rPr>
          <w:rFonts w:hint="eastAsia" w:ascii="宋体" w:hAnsi="宋体"/>
          <w:bCs/>
          <w:sz w:val="28"/>
          <w:szCs w:val="28"/>
        </w:rPr>
        <w:t xml:space="preserve">   </w:t>
      </w:r>
    </w:p>
    <w:p>
      <w:pPr>
        <w:snapToGrid w:val="0"/>
        <w:spacing w:line="700" w:lineRule="exact"/>
        <w:ind w:left="80" w:leftChars="38" w:firstLine="103" w:firstLineChars="37"/>
        <w:rPr>
          <w:rFonts w:hint="eastAsia" w:ascii="宋体" w:hAnsi="宋体"/>
          <w:bCs/>
          <w:sz w:val="28"/>
          <w:szCs w:val="28"/>
        </w:rPr>
      </w:pPr>
      <w:r>
        <w:rPr>
          <w:rFonts w:hint="eastAsia" w:ascii="宋体" w:hAnsi="宋体"/>
          <w:bCs/>
          <w:sz w:val="28"/>
          <w:szCs w:val="28"/>
        </w:rPr>
        <w:t>联系电话：13565135351  </w:t>
      </w:r>
    </w:p>
    <w:p>
      <w:pPr>
        <w:pStyle w:val="5"/>
        <w:rPr>
          <w:rFonts w:hint="eastAsia"/>
        </w:rPr>
      </w:pPr>
    </w:p>
    <w:p>
      <w:pPr>
        <w:rPr>
          <w:rFonts w:hint="eastAsia"/>
        </w:rPr>
      </w:pPr>
    </w:p>
    <w:p>
      <w:pPr>
        <w:pStyle w:val="5"/>
        <w:rPr>
          <w:rFonts w:hint="eastAsia"/>
        </w:rPr>
      </w:pPr>
    </w:p>
    <w:p>
      <w:pPr>
        <w:snapToGrid w:val="0"/>
        <w:spacing w:line="700" w:lineRule="exact"/>
        <w:ind w:left="-26" w:leftChars="-95" w:hanging="173" w:hangingChars="62"/>
        <w:rPr>
          <w:rFonts w:hint="eastAsia" w:ascii="宋体" w:hAnsi="宋体"/>
          <w:bCs/>
          <w:sz w:val="28"/>
          <w:szCs w:val="28"/>
        </w:rPr>
      </w:pPr>
      <w:r>
        <w:rPr>
          <w:rFonts w:hint="eastAsia" w:ascii="宋体" w:hAnsi="宋体"/>
          <w:bCs/>
          <w:sz w:val="28"/>
          <w:szCs w:val="28"/>
        </w:rPr>
        <w:t xml:space="preserve">   招标代理机构（盖章）:</w:t>
      </w:r>
      <w:r>
        <w:rPr>
          <w:rFonts w:hint="eastAsia" w:ascii="宋体" w:hAnsi="宋体"/>
          <w:bCs/>
          <w:sz w:val="28"/>
          <w:szCs w:val="28"/>
          <w:lang w:eastAsia="zh-CN"/>
        </w:rPr>
        <w:t>阿克苏新华远景工程造价咨询有限公司</w:t>
      </w:r>
      <w:r>
        <w:rPr>
          <w:rFonts w:hint="eastAsia" w:ascii="宋体" w:hAnsi="宋体"/>
          <w:bCs/>
          <w:sz w:val="28"/>
          <w:szCs w:val="28"/>
        </w:rPr>
        <w:t>　</w:t>
      </w:r>
    </w:p>
    <w:p>
      <w:pPr>
        <w:snapToGrid w:val="0"/>
        <w:spacing w:line="700" w:lineRule="exact"/>
        <w:ind w:left="-26" w:leftChars="-95" w:hanging="173" w:hangingChars="62"/>
        <w:rPr>
          <w:rFonts w:hint="eastAsia" w:ascii="宋体" w:hAnsi="宋体"/>
          <w:bCs/>
          <w:sz w:val="28"/>
          <w:szCs w:val="28"/>
        </w:rPr>
      </w:pPr>
      <w:r>
        <w:rPr>
          <w:rFonts w:hint="eastAsia" w:ascii="宋体" w:hAnsi="宋体"/>
          <w:bCs/>
          <w:sz w:val="28"/>
          <w:szCs w:val="28"/>
        </w:rPr>
        <w:t xml:space="preserve">   法定代表人或其委托代理人（签字或盖章）: </w:t>
      </w:r>
    </w:p>
    <w:p>
      <w:pPr>
        <w:snapToGrid w:val="0"/>
        <w:spacing w:line="700" w:lineRule="exact"/>
        <w:ind w:left="-26" w:leftChars="-95" w:hanging="173" w:hangingChars="62"/>
        <w:rPr>
          <w:rFonts w:hint="eastAsia" w:ascii="宋体" w:hAnsi="宋体" w:eastAsia="宋体"/>
          <w:bCs/>
          <w:sz w:val="28"/>
          <w:szCs w:val="28"/>
          <w:lang w:eastAsia="zh-CN"/>
        </w:rPr>
      </w:pPr>
      <w:r>
        <w:rPr>
          <w:rFonts w:hint="eastAsia" w:ascii="宋体" w:hAnsi="宋体"/>
          <w:bCs/>
          <w:sz w:val="28"/>
          <w:szCs w:val="28"/>
        </w:rPr>
        <w:t xml:space="preserve">   联系人：</w:t>
      </w:r>
      <w:r>
        <w:rPr>
          <w:rFonts w:hint="eastAsia" w:ascii="宋体" w:hAnsi="宋体"/>
          <w:bCs/>
          <w:sz w:val="28"/>
          <w:szCs w:val="28"/>
          <w:lang w:eastAsia="zh-CN"/>
        </w:rPr>
        <w:t>王兵</w:t>
      </w:r>
    </w:p>
    <w:p>
      <w:pPr>
        <w:snapToGrid w:val="0"/>
        <w:spacing w:line="700" w:lineRule="exact"/>
        <w:ind w:left="-26" w:leftChars="-95" w:hanging="173" w:hangingChars="62"/>
        <w:rPr>
          <w:rFonts w:hint="eastAsia" w:ascii="宋体" w:hAnsi="宋体" w:eastAsia="宋体"/>
          <w:bCs/>
          <w:sz w:val="28"/>
          <w:szCs w:val="28"/>
          <w:lang w:eastAsia="zh-CN"/>
        </w:rPr>
      </w:pPr>
      <w:r>
        <w:rPr>
          <w:rFonts w:hint="eastAsia" w:ascii="宋体" w:hAnsi="宋体"/>
          <w:bCs/>
          <w:sz w:val="28"/>
          <w:szCs w:val="28"/>
        </w:rPr>
        <w:t xml:space="preserve">   联系电话：</w:t>
      </w:r>
      <w:r>
        <w:rPr>
          <w:rFonts w:hint="eastAsia" w:ascii="宋体" w:hAnsi="宋体"/>
          <w:bCs/>
          <w:sz w:val="28"/>
          <w:szCs w:val="28"/>
          <w:lang w:val="en-US" w:eastAsia="zh-CN"/>
        </w:rPr>
        <w:t xml:space="preserve">15292303654  </w:t>
      </w:r>
      <w:r>
        <w:rPr>
          <w:rFonts w:hint="eastAsia" w:ascii="宋体" w:hAnsi="宋体"/>
          <w:bCs/>
          <w:sz w:val="28"/>
          <w:szCs w:val="28"/>
        </w:rPr>
        <w:t xml:space="preserve"> </w:t>
      </w:r>
    </w:p>
    <w:p>
      <w:pPr>
        <w:snapToGrid w:val="0"/>
        <w:spacing w:line="700" w:lineRule="exact"/>
        <w:ind w:left="-26" w:leftChars="-95" w:hanging="173" w:hangingChars="62"/>
        <w:rPr>
          <w:rFonts w:hint="eastAsia" w:ascii="宋体" w:hAnsi="宋体"/>
          <w:bCs/>
          <w:sz w:val="28"/>
          <w:szCs w:val="28"/>
        </w:rPr>
      </w:pPr>
    </w:p>
    <w:p>
      <w:pPr>
        <w:rPr>
          <w:rFonts w:hint="eastAsia" w:ascii="宋体" w:hAnsi="宋体"/>
          <w:bCs/>
          <w:sz w:val="28"/>
          <w:szCs w:val="28"/>
        </w:rPr>
      </w:pPr>
    </w:p>
    <w:p>
      <w:pPr>
        <w:jc w:val="center"/>
        <w:rPr>
          <w:rFonts w:hint="eastAsia" w:ascii="宋体" w:hAnsi="宋体"/>
          <w:bCs/>
          <w:sz w:val="28"/>
          <w:szCs w:val="28"/>
        </w:rPr>
      </w:pPr>
    </w:p>
    <w:p>
      <w:pPr>
        <w:rPr>
          <w:rFonts w:hint="eastAsia" w:ascii="宋体" w:hAnsi="宋体"/>
          <w:bCs/>
          <w:sz w:val="28"/>
          <w:szCs w:val="28"/>
        </w:rPr>
      </w:pPr>
    </w:p>
    <w:p>
      <w:pPr>
        <w:spacing w:line="500" w:lineRule="exact"/>
        <w:ind w:left="618" w:hanging="540" w:hangingChars="193"/>
        <w:jc w:val="center"/>
        <w:rPr>
          <w:rFonts w:hint="eastAsia" w:ascii="宋体" w:hAnsi="宋体"/>
          <w:sz w:val="28"/>
          <w:szCs w:val="28"/>
          <w:lang w:val="zh-CN"/>
        </w:rPr>
      </w:pPr>
      <w:r>
        <w:rPr>
          <w:rFonts w:hint="eastAsia" w:ascii="宋体" w:hAnsi="宋体"/>
          <w:bCs/>
          <w:sz w:val="28"/>
          <w:szCs w:val="28"/>
        </w:rPr>
        <w:t>202</w:t>
      </w:r>
      <w:r>
        <w:rPr>
          <w:rFonts w:hint="eastAsia" w:ascii="宋体" w:hAnsi="宋体"/>
          <w:bCs/>
          <w:sz w:val="28"/>
          <w:szCs w:val="28"/>
          <w:lang w:val="en-US" w:eastAsia="zh-CN"/>
        </w:rPr>
        <w:t>1</w:t>
      </w:r>
      <w:r>
        <w:rPr>
          <w:rFonts w:hint="eastAsia" w:ascii="宋体" w:hAnsi="宋体"/>
          <w:bCs/>
          <w:sz w:val="28"/>
          <w:szCs w:val="28"/>
        </w:rPr>
        <w:t>年</w:t>
      </w:r>
      <w:r>
        <w:rPr>
          <w:rFonts w:hint="eastAsia" w:ascii="宋体" w:hAnsi="宋体"/>
          <w:bCs/>
          <w:sz w:val="28"/>
          <w:szCs w:val="28"/>
          <w:lang w:val="en-US" w:eastAsia="zh-CN"/>
        </w:rPr>
        <w:t>12</w:t>
      </w:r>
      <w:r>
        <w:rPr>
          <w:rFonts w:hint="eastAsia" w:ascii="宋体" w:hAnsi="宋体"/>
          <w:bCs/>
          <w:sz w:val="28"/>
          <w:szCs w:val="28"/>
        </w:rPr>
        <w:t>月</w:t>
      </w:r>
    </w:p>
    <w:p>
      <w:pPr>
        <w:pStyle w:val="32"/>
        <w:rPr>
          <w:rFonts w:hint="eastAsia" w:ascii="宋体" w:hAnsi="宋体" w:eastAsia="宋体" w:cs="宋体"/>
          <w:b w:val="0"/>
          <w:bCs/>
          <w:color w:val="auto"/>
          <w:sz w:val="28"/>
          <w:szCs w:val="28"/>
          <w:highlight w:val="none"/>
        </w:rPr>
      </w:pPr>
    </w:p>
    <w:p>
      <w:pPr>
        <w:spacing w:line="500" w:lineRule="exact"/>
        <w:ind w:left="849" w:hanging="853" w:hangingChars="193"/>
        <w:jc w:val="both"/>
        <w:rPr>
          <w:rFonts w:hint="eastAsia" w:ascii="宋体" w:hAnsi="宋体"/>
          <w:b/>
          <w:color w:val="000000"/>
          <w:sz w:val="44"/>
          <w:highlight w:val="white"/>
          <w:lang w:val="zh-CN"/>
        </w:rPr>
      </w:pPr>
    </w:p>
    <w:p>
      <w:pPr>
        <w:pStyle w:val="32"/>
        <w:ind w:left="0" w:leftChars="0" w:firstLine="0" w:firstLineChars="0"/>
        <w:rPr>
          <w:rFonts w:hint="eastAsia" w:ascii="宋体" w:hAnsi="宋体"/>
          <w:b/>
          <w:color w:val="000000"/>
          <w:sz w:val="44"/>
          <w:highlight w:val="white"/>
          <w:lang w:val="zh-CN"/>
        </w:rPr>
      </w:pPr>
    </w:p>
    <w:p>
      <w:pPr>
        <w:pStyle w:val="19"/>
        <w:adjustRightInd w:val="0"/>
        <w:snapToGrid w:val="0"/>
        <w:spacing w:line="360" w:lineRule="auto"/>
        <w:jc w:val="center"/>
        <w:rPr>
          <w:rFonts w:hint="eastAsia" w:hAnsi="宋体" w:cs="宋体"/>
          <w:b/>
          <w:spacing w:val="160"/>
          <w:sz w:val="32"/>
          <w:szCs w:val="32"/>
        </w:rPr>
        <w:sectPr>
          <w:footerReference r:id="rId4" w:type="default"/>
          <w:pgSz w:w="11906" w:h="16838"/>
          <w:pgMar w:top="1440" w:right="1080" w:bottom="1440" w:left="1080" w:header="851" w:footer="992" w:gutter="0"/>
          <w:pgNumType w:fmt="decimal" w:start="1"/>
          <w:cols w:space="425" w:num="1"/>
          <w:docGrid w:linePitch="312" w:charSpace="0"/>
        </w:sectPr>
      </w:pPr>
    </w:p>
    <w:p>
      <w:pPr>
        <w:pStyle w:val="19"/>
        <w:adjustRightInd w:val="0"/>
        <w:snapToGrid w:val="0"/>
        <w:spacing w:line="360" w:lineRule="auto"/>
        <w:jc w:val="center"/>
        <w:rPr>
          <w:rFonts w:hint="eastAsia"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hint="eastAsia" w:ascii="宋体" w:hAnsi="宋体" w:cs="宋体"/>
          <w:szCs w:val="21"/>
        </w:rPr>
      </w:pPr>
    </w:p>
    <w:p>
      <w:pPr>
        <w:pStyle w:val="24"/>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TOC \o "1-1" \h \u </w:instrText>
      </w:r>
      <w:r>
        <w:rPr>
          <w:rFonts w:hint="eastAsia" w:ascii="宋体" w:hAnsi="宋体" w:cs="宋体"/>
          <w:spacing w:val="160"/>
          <w:szCs w:val="24"/>
          <w:highlight w:val="none"/>
        </w:rPr>
        <w:fldChar w:fldCharType="separate"/>
      </w: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_Toc13739 </w:instrText>
      </w:r>
      <w:r>
        <w:rPr>
          <w:rFonts w:hint="eastAsia" w:ascii="宋体" w:hAnsi="宋体" w:cs="宋体"/>
          <w:spacing w:val="160"/>
          <w:szCs w:val="24"/>
          <w:highlight w:val="none"/>
        </w:rPr>
        <w:fldChar w:fldCharType="separate"/>
      </w:r>
      <w:r>
        <w:rPr>
          <w:rFonts w:hint="eastAsia"/>
        </w:rPr>
        <w:t>第一章 竞争性磋商</w:t>
      </w:r>
      <w:r>
        <w:rPr>
          <w:rFonts w:hint="eastAsia"/>
          <w:lang w:eastAsia="zh-CN"/>
        </w:rPr>
        <w:t>公告</w:t>
      </w:r>
      <w:r>
        <w:tab/>
      </w:r>
      <w:r>
        <w:rPr>
          <w:rFonts w:hint="eastAsia"/>
          <w:lang w:val="en-US" w:eastAsia="zh-CN"/>
        </w:rPr>
        <w:t>1</w:t>
      </w:r>
      <w:r>
        <w:rPr>
          <w:rFonts w:hint="eastAsia" w:ascii="宋体" w:hAnsi="宋体" w:cs="宋体"/>
          <w:spacing w:val="160"/>
          <w:szCs w:val="24"/>
          <w:highlight w:val="none"/>
        </w:rPr>
        <w:fldChar w:fldCharType="end"/>
      </w:r>
    </w:p>
    <w:p>
      <w:pPr>
        <w:pStyle w:val="24"/>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_Toc27143 </w:instrText>
      </w:r>
      <w:r>
        <w:rPr>
          <w:rFonts w:hint="eastAsia" w:ascii="宋体" w:hAnsi="宋体" w:cs="宋体"/>
          <w:spacing w:val="160"/>
          <w:szCs w:val="24"/>
          <w:highlight w:val="none"/>
        </w:rPr>
        <w:fldChar w:fldCharType="separate"/>
      </w:r>
      <w:r>
        <w:rPr>
          <w:rFonts w:hint="eastAsia"/>
          <w:lang w:val="en-US" w:eastAsia="zh-CN"/>
        </w:rPr>
        <w:t xml:space="preserve">第二章 </w:t>
      </w:r>
      <w:r>
        <w:rPr>
          <w:rFonts w:hint="eastAsia"/>
        </w:rPr>
        <w:t>供应商须知</w:t>
      </w:r>
      <w:r>
        <w:tab/>
      </w:r>
      <w:r>
        <w:rPr>
          <w:rFonts w:hint="eastAsia"/>
          <w:lang w:val="en-US" w:eastAsia="zh-CN"/>
        </w:rPr>
        <w:t>4</w:t>
      </w:r>
      <w:r>
        <w:rPr>
          <w:rFonts w:hint="eastAsia" w:ascii="宋体" w:hAnsi="宋体" w:cs="宋体"/>
          <w:spacing w:val="160"/>
          <w:szCs w:val="24"/>
          <w:highlight w:val="none"/>
        </w:rPr>
        <w:fldChar w:fldCharType="end"/>
      </w:r>
    </w:p>
    <w:p>
      <w:pPr>
        <w:pStyle w:val="24"/>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_Toc2350 </w:instrText>
      </w:r>
      <w:r>
        <w:rPr>
          <w:rFonts w:hint="eastAsia" w:ascii="宋体" w:hAnsi="宋体" w:cs="宋体"/>
          <w:spacing w:val="160"/>
          <w:szCs w:val="24"/>
          <w:highlight w:val="none"/>
        </w:rPr>
        <w:fldChar w:fldCharType="separate"/>
      </w:r>
      <w:r>
        <w:rPr>
          <w:rFonts w:hint="eastAsia"/>
        </w:rPr>
        <w:t>第三章 采购需求</w:t>
      </w:r>
      <w:r>
        <w:tab/>
      </w:r>
      <w:r>
        <w:fldChar w:fldCharType="begin"/>
      </w:r>
      <w:r>
        <w:instrText xml:space="preserve"> PAGEREF _Toc2350 \h </w:instrText>
      </w:r>
      <w:r>
        <w:fldChar w:fldCharType="separate"/>
      </w:r>
      <w:r>
        <w:t>2</w:t>
      </w:r>
      <w:r>
        <w:rPr>
          <w:rFonts w:hint="eastAsia"/>
          <w:lang w:val="en-US" w:eastAsia="zh-CN"/>
        </w:rPr>
        <w:t>5</w:t>
      </w:r>
      <w:r>
        <w:fldChar w:fldCharType="end"/>
      </w:r>
      <w:r>
        <w:rPr>
          <w:rFonts w:hint="eastAsia" w:ascii="宋体" w:hAnsi="宋体" w:cs="宋体"/>
          <w:spacing w:val="160"/>
          <w:szCs w:val="24"/>
          <w:highlight w:val="none"/>
        </w:rPr>
        <w:fldChar w:fldCharType="end"/>
      </w:r>
    </w:p>
    <w:p>
      <w:pPr>
        <w:pStyle w:val="24"/>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_Toc31732 </w:instrText>
      </w:r>
      <w:r>
        <w:rPr>
          <w:rFonts w:hint="eastAsia" w:ascii="宋体" w:hAnsi="宋体" w:cs="宋体"/>
          <w:spacing w:val="160"/>
          <w:szCs w:val="24"/>
          <w:highlight w:val="none"/>
        </w:rPr>
        <w:fldChar w:fldCharType="separate"/>
      </w:r>
      <w:r>
        <w:rPr>
          <w:rFonts w:hint="eastAsia"/>
        </w:rPr>
        <w:t xml:space="preserve">第四章 </w:t>
      </w:r>
      <w:r>
        <w:rPr>
          <w:rFonts w:hint="eastAsia"/>
          <w:highlight w:val="none"/>
        </w:rPr>
        <w:t>评审方法</w:t>
      </w:r>
      <w:r>
        <w:tab/>
      </w:r>
      <w:r>
        <w:fldChar w:fldCharType="begin"/>
      </w:r>
      <w:r>
        <w:instrText xml:space="preserve"> PAGEREF _Toc31732 \h </w:instrText>
      </w:r>
      <w:r>
        <w:fldChar w:fldCharType="separate"/>
      </w:r>
      <w:r>
        <w:t>43</w:t>
      </w:r>
      <w:r>
        <w:fldChar w:fldCharType="end"/>
      </w:r>
      <w:r>
        <w:rPr>
          <w:rFonts w:hint="eastAsia" w:ascii="宋体" w:hAnsi="宋体" w:cs="宋体"/>
          <w:spacing w:val="160"/>
          <w:szCs w:val="24"/>
          <w:highlight w:val="none"/>
        </w:rPr>
        <w:fldChar w:fldCharType="end"/>
      </w:r>
    </w:p>
    <w:p>
      <w:pPr>
        <w:pStyle w:val="24"/>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_Toc25634 </w:instrText>
      </w:r>
      <w:r>
        <w:rPr>
          <w:rFonts w:hint="eastAsia" w:ascii="宋体" w:hAnsi="宋体" w:cs="宋体"/>
          <w:spacing w:val="160"/>
          <w:szCs w:val="24"/>
          <w:highlight w:val="none"/>
        </w:rPr>
        <w:fldChar w:fldCharType="separate"/>
      </w:r>
      <w:r>
        <w:rPr>
          <w:rFonts w:hint="eastAsia"/>
        </w:rPr>
        <w:t xml:space="preserve">第五章 </w:t>
      </w:r>
      <w:r>
        <w:rPr>
          <w:rFonts w:hint="eastAsia"/>
          <w:highlight w:val="none"/>
        </w:rPr>
        <w:t>合同</w:t>
      </w:r>
      <w:r>
        <w:rPr>
          <w:rFonts w:hint="eastAsia"/>
          <w:highlight w:val="none"/>
          <w:lang w:eastAsia="zh-CN"/>
        </w:rPr>
        <w:t>文件</w:t>
      </w:r>
      <w:r>
        <w:tab/>
      </w:r>
      <w:r>
        <w:fldChar w:fldCharType="begin"/>
      </w:r>
      <w:r>
        <w:instrText xml:space="preserve"> PAGEREF _Toc25634 \h </w:instrText>
      </w:r>
      <w:r>
        <w:fldChar w:fldCharType="separate"/>
      </w:r>
      <w:r>
        <w:t>54</w:t>
      </w:r>
      <w:r>
        <w:fldChar w:fldCharType="end"/>
      </w:r>
      <w:r>
        <w:rPr>
          <w:rFonts w:hint="eastAsia" w:ascii="宋体" w:hAnsi="宋体" w:cs="宋体"/>
          <w:spacing w:val="160"/>
          <w:szCs w:val="24"/>
          <w:highlight w:val="none"/>
        </w:rPr>
        <w:fldChar w:fldCharType="end"/>
      </w:r>
    </w:p>
    <w:p>
      <w:pPr>
        <w:pStyle w:val="24"/>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_Toc5766 </w:instrText>
      </w:r>
      <w:r>
        <w:rPr>
          <w:rFonts w:hint="eastAsia" w:ascii="宋体" w:hAnsi="宋体" w:cs="宋体"/>
          <w:spacing w:val="160"/>
          <w:szCs w:val="24"/>
          <w:highlight w:val="none"/>
        </w:rPr>
        <w:fldChar w:fldCharType="separate"/>
      </w:r>
      <w:r>
        <w:rPr>
          <w:rFonts w:hint="eastAsia"/>
        </w:rPr>
        <w:t xml:space="preserve">第六章 </w:t>
      </w:r>
      <w:r>
        <w:rPr>
          <w:rFonts w:hint="eastAsia"/>
          <w:highlight w:val="none"/>
        </w:rPr>
        <w:t>响应文件格式</w:t>
      </w:r>
      <w:r>
        <w:tab/>
      </w:r>
      <w:r>
        <w:fldChar w:fldCharType="begin"/>
      </w:r>
      <w:r>
        <w:instrText xml:space="preserve"> PAGEREF _Toc5766 \h </w:instrText>
      </w:r>
      <w:r>
        <w:fldChar w:fldCharType="separate"/>
      </w:r>
      <w:r>
        <w:t>63</w:t>
      </w:r>
      <w:r>
        <w:fldChar w:fldCharType="end"/>
      </w:r>
      <w:r>
        <w:rPr>
          <w:rFonts w:hint="eastAsia" w:ascii="宋体" w:hAnsi="宋体" w:cs="宋体"/>
          <w:spacing w:val="160"/>
          <w:szCs w:val="24"/>
          <w:highlight w:val="none"/>
        </w:rPr>
        <w:fldChar w:fldCharType="end"/>
      </w:r>
      <w:bookmarkStart w:id="263" w:name="_GoBack"/>
      <w:bookmarkEnd w:id="263"/>
    </w:p>
    <w:p>
      <w:pPr>
        <w:pStyle w:val="32"/>
        <w:ind w:left="0" w:leftChars="0" w:firstLine="0" w:firstLineChars="0"/>
        <w:rPr>
          <w:rFonts w:hint="eastAsia" w:ascii="宋体" w:hAnsi="宋体" w:cs="宋体"/>
          <w:spacing w:val="160"/>
          <w:szCs w:val="24"/>
        </w:rPr>
      </w:pPr>
      <w:r>
        <w:rPr>
          <w:rFonts w:hint="eastAsia" w:ascii="宋体" w:hAnsi="宋体" w:cs="宋体"/>
          <w:spacing w:val="160"/>
          <w:szCs w:val="24"/>
          <w:highlight w:val="none"/>
        </w:rPr>
        <w:fldChar w:fldCharType="end"/>
      </w: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lang w:val="zh-CN"/>
        </w:rPr>
      </w:pPr>
    </w:p>
    <w:p>
      <w:pPr>
        <w:pStyle w:val="32"/>
        <w:ind w:left="0" w:leftChars="0" w:firstLine="0" w:firstLineChars="0"/>
        <w:rPr>
          <w:rFonts w:hint="eastAsia" w:ascii="宋体" w:hAnsi="宋体" w:cs="宋体"/>
          <w:spacing w:val="160"/>
          <w:szCs w:val="24"/>
          <w:lang w:val="zh-CN"/>
        </w:rPr>
      </w:pPr>
    </w:p>
    <w:p>
      <w:pPr>
        <w:pStyle w:val="3"/>
        <w:numPr>
          <w:ilvl w:val="0"/>
          <w:numId w:val="1"/>
        </w:numPr>
        <w:spacing w:before="0" w:after="0" w:line="240" w:lineRule="auto"/>
        <w:ind w:left="0" w:leftChars="0"/>
        <w:rPr>
          <w:rFonts w:hint="eastAsia"/>
        </w:rPr>
        <w:sectPr>
          <w:footerReference r:id="rId5" w:type="default"/>
          <w:pgSz w:w="11906" w:h="16838"/>
          <w:pgMar w:top="1440" w:right="1080" w:bottom="1440" w:left="1080" w:header="851" w:footer="992" w:gutter="0"/>
          <w:pgNumType w:fmt="decimal" w:start="1"/>
          <w:cols w:space="425" w:num="1"/>
          <w:docGrid w:linePitch="312" w:charSpace="0"/>
        </w:sectPr>
      </w:pPr>
      <w:bookmarkStart w:id="0" w:name="_Toc21151"/>
      <w:bookmarkStart w:id="1" w:name="_Toc13739"/>
      <w:bookmarkStart w:id="2" w:name="_Toc4209"/>
      <w:bookmarkStart w:id="3" w:name="_Toc456718476"/>
    </w:p>
    <w:p>
      <w:pPr>
        <w:pStyle w:val="3"/>
        <w:numPr>
          <w:ilvl w:val="0"/>
          <w:numId w:val="1"/>
        </w:numPr>
        <w:spacing w:before="0" w:after="0" w:line="240" w:lineRule="auto"/>
        <w:ind w:left="0" w:leftChars="0"/>
        <w:rPr>
          <w:rFonts w:hint="eastAsia"/>
        </w:rPr>
      </w:pPr>
      <w:r>
        <w:rPr>
          <w:rFonts w:hint="eastAsia"/>
        </w:rPr>
        <w:t>竞争性磋商</w:t>
      </w:r>
      <w:bookmarkEnd w:id="0"/>
      <w:r>
        <w:rPr>
          <w:rFonts w:hint="eastAsia"/>
          <w:lang w:eastAsia="zh-CN"/>
        </w:rPr>
        <w:t>公告</w:t>
      </w:r>
      <w:bookmarkEnd w:id="1"/>
      <w:bookmarkEnd w:id="2"/>
    </w:p>
    <w:p>
      <w:pPr>
        <w:pStyle w:val="28"/>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center"/>
        <w:textAlignment w:val="auto"/>
        <w:rPr>
          <w:rFonts w:hint="eastAsia" w:ascii="仿宋" w:hAnsi="仿宋" w:eastAsia="仿宋" w:cs="仿宋"/>
          <w:sz w:val="27"/>
          <w:szCs w:val="27"/>
          <w:lang w:eastAsia="zh-CN"/>
        </w:rPr>
      </w:pPr>
      <w:bookmarkStart w:id="4" w:name="_Toc10571"/>
      <w:bookmarkStart w:id="5" w:name="_Toc1347"/>
      <w:r>
        <w:rPr>
          <w:rFonts w:hint="eastAsia" w:ascii="仿宋" w:hAnsi="仿宋" w:eastAsia="仿宋" w:cs="仿宋"/>
          <w:b/>
          <w:bCs/>
          <w:sz w:val="40"/>
          <w:szCs w:val="40"/>
          <w:lang w:eastAsia="zh-CN"/>
        </w:rPr>
        <w:t>新和县智慧工地及管理能力提升项目竞争性磋商公告</w:t>
      </w:r>
    </w:p>
    <w:p>
      <w:pPr>
        <w:pStyle w:val="28"/>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sz w:val="27"/>
          <w:szCs w:val="27"/>
        </w:rPr>
      </w:pPr>
      <w:r>
        <w:rPr>
          <w:rFonts w:hint="eastAsia" w:ascii="仿宋" w:hAnsi="仿宋" w:eastAsia="仿宋" w:cs="仿宋"/>
          <w:sz w:val="27"/>
          <w:szCs w:val="27"/>
        </w:rPr>
        <w:t xml:space="preserve"> 项目概况                                                    </w:t>
      </w:r>
    </w:p>
    <w:p>
      <w:pPr>
        <w:pStyle w:val="28"/>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sz w:val="27"/>
          <w:szCs w:val="27"/>
        </w:rPr>
      </w:pPr>
      <w:r>
        <w:rPr>
          <w:rFonts w:hint="eastAsia" w:ascii="仿宋" w:hAnsi="仿宋" w:eastAsia="仿宋" w:cs="仿宋"/>
          <w:sz w:val="27"/>
          <w:szCs w:val="27"/>
        </w:rPr>
        <w:t> 新和县智慧工地及管理能力提升项目的潜在供应商应在政采云平台线上获取获取采购文件，并于</w:t>
      </w:r>
      <w:r>
        <w:rPr>
          <w:rFonts w:hint="eastAsia" w:ascii="仿宋" w:hAnsi="仿宋" w:eastAsia="仿宋" w:cs="仿宋"/>
          <w:color w:val="auto"/>
          <w:sz w:val="27"/>
          <w:szCs w:val="27"/>
        </w:rPr>
        <w:t>2021年12月</w:t>
      </w:r>
      <w:r>
        <w:rPr>
          <w:rFonts w:hint="eastAsia" w:ascii="仿宋" w:hAnsi="仿宋" w:eastAsia="仿宋" w:cs="仿宋"/>
          <w:color w:val="auto"/>
          <w:sz w:val="27"/>
          <w:szCs w:val="27"/>
          <w:lang w:val="en-US" w:eastAsia="zh-CN"/>
        </w:rPr>
        <w:t>20</w:t>
      </w:r>
      <w:r>
        <w:rPr>
          <w:rFonts w:hint="eastAsia" w:ascii="仿宋" w:hAnsi="仿宋" w:eastAsia="仿宋" w:cs="仿宋"/>
          <w:color w:val="auto"/>
          <w:sz w:val="27"/>
          <w:szCs w:val="27"/>
        </w:rPr>
        <w:t xml:space="preserve">日 </w:t>
      </w:r>
      <w:r>
        <w:rPr>
          <w:rFonts w:hint="eastAsia" w:ascii="仿宋" w:hAnsi="仿宋" w:eastAsia="仿宋" w:cs="仿宋"/>
          <w:color w:val="auto"/>
          <w:sz w:val="27"/>
          <w:szCs w:val="27"/>
          <w:lang w:val="en-US" w:eastAsia="zh-CN"/>
        </w:rPr>
        <w:t>16</w:t>
      </w: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rPr>
        <w:t>0</w:t>
      </w:r>
      <w:r>
        <w:rPr>
          <w:rFonts w:hint="eastAsia" w:ascii="仿宋" w:hAnsi="仿宋" w:eastAsia="仿宋" w:cs="仿宋"/>
          <w:sz w:val="27"/>
          <w:szCs w:val="27"/>
        </w:rPr>
        <w:t>（北京时间）前提交响应文件。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kern w:val="0"/>
          <w:sz w:val="31"/>
          <w:szCs w:val="31"/>
          <w:lang w:val="en-US" w:eastAsia="zh-CN" w:bidi="ar"/>
        </w:rPr>
      </w:pPr>
      <w:r>
        <w:rPr>
          <w:rFonts w:ascii="黑体" w:hAnsi="宋体" w:eastAsia="黑体" w:cs="黑体"/>
          <w:b/>
          <w:kern w:val="0"/>
          <w:sz w:val="27"/>
          <w:szCs w:val="27"/>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hint="eastAsia" w:ascii="Calibri" w:hAnsi="Calibri" w:eastAsia="仿宋" w:cs="Times New Roman"/>
          <w:kern w:val="0"/>
          <w:sz w:val="24"/>
          <w:szCs w:val="24"/>
          <w:lang w:val="en-US" w:eastAsia="zh-CN" w:bidi="ar"/>
        </w:rPr>
      </w:pPr>
      <w:r>
        <w:rPr>
          <w:rFonts w:hint="eastAsia" w:ascii="仿宋" w:hAnsi="仿宋" w:eastAsia="仿宋" w:cs="仿宋"/>
          <w:kern w:val="0"/>
          <w:sz w:val="27"/>
          <w:szCs w:val="27"/>
          <w:lang w:val="en-US" w:eastAsia="zh-CN" w:bidi="ar"/>
        </w:rPr>
        <w:t>    项目编号：WAKSXHYJ-2021-015</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项目名称：新和县智慧工地及管理能力提升项目</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采购方式：竞争性磋商</w:t>
      </w:r>
      <w:r>
        <w:rPr>
          <w:rFonts w:hint="eastAsia" w:ascii="仿宋" w:hAnsi="仿宋" w:eastAsia="仿宋" w:cs="仿宋"/>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预算金额（元）：1299200.00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最高限价（元）：1299200.00 </w:t>
      </w:r>
      <w:r>
        <w:rPr>
          <w:rFonts w:hint="eastAsia" w:ascii="仿宋" w:hAnsi="仿宋" w:eastAsia="仿宋" w:cs="仿宋"/>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    采购需求:</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7"/>
          <w:szCs w:val="27"/>
          <w:lang w:val="en-US" w:eastAsia="zh-CN" w:bidi="ar"/>
        </w:rPr>
        <w:t>    数量：不限 </w:t>
      </w:r>
      <w:r>
        <w:rPr>
          <w:rFonts w:hint="eastAsia" w:ascii="仿宋" w:hAnsi="仿宋" w:eastAsia="仿宋" w:cs="仿宋"/>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预算金额（元）：1299200.00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单位：套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简要规格描述：智慧工地平台系统（详见采购清单）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备注：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hint="default"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合同履约期限：标项 1，</w:t>
      </w:r>
      <w:r>
        <w:rPr>
          <w:rFonts w:hint="eastAsia" w:ascii="仿宋" w:hAnsi="仿宋" w:eastAsia="仿宋" w:cs="仿宋"/>
          <w:kern w:val="0"/>
          <w:sz w:val="27"/>
          <w:szCs w:val="27"/>
          <w:highlight w:val="none"/>
          <w:lang w:val="en-US" w:eastAsia="zh-CN" w:bidi="ar"/>
        </w:rPr>
        <w:t>自合同签订后30日历天</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本项目（否）接受联合体投标。</w:t>
      </w:r>
      <w:r>
        <w:rPr>
          <w:rFonts w:hint="eastAsia" w:ascii="仿宋" w:hAnsi="仿宋" w:eastAsia="仿宋" w:cs="仿宋"/>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kern w:val="0"/>
          <w:sz w:val="27"/>
          <w:szCs w:val="27"/>
          <w:lang w:val="en-US" w:eastAsia="zh-CN" w:bidi="ar"/>
        </w:rPr>
      </w:pPr>
      <w:r>
        <w:rPr>
          <w:rFonts w:ascii="黑体" w:hAnsi="宋体" w:eastAsia="黑体" w:cs="黑体"/>
          <w:b/>
          <w:kern w:val="0"/>
          <w:sz w:val="27"/>
          <w:szCs w:val="27"/>
          <w:lang w:val="en-US" w:eastAsia="zh-CN" w:bidi="ar"/>
        </w:rPr>
        <w:t>二、申请人的资格要求：</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1.满足《中华人民共和国政府采购法》第二十二条规定；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    2.落实政府采购政策需满足的资格要求：标项1：（1）财政部、国家发展改革委、生态环境部、市场监管总局《关于调整优化节能产品、环境标志产品政府采购执行机制的通知》（财库[2019]9号文）；</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（2）财政部、生态环境部《关于印发环境标志产品政府采购品目清单的通知》（财库[2019]18号文）；</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（3）财政部、发展改革委《关于印发节能产品政府采购品目清单的通知》（财库[2019]19号文）；</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（4）市场监管总局《市场监管总局关于发布参与实施政府采购节能产品、环境标志产品认证机构名录的公告》（2019年第16号）；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 xml:space="preserve">（5）财政部、工业和信息化部《关于印发《政府采购促进中小企业发展管理办法》的通知》（财库[2020]46号文）；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 xml:space="preserve">（6）财政部、民政部、中国残疾人联合会《关于促进残疾人就业政府采购政策的通知》（财库[2017]141号）；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（7）财政部、司法部《关于政府采购支持监狱企业发展有关问题的通知》（财库[2014]68号文）。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3.本项目的特定资格要求：无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kern w:val="0"/>
          <w:sz w:val="27"/>
          <w:szCs w:val="27"/>
          <w:lang w:val="en-US" w:eastAsia="zh-CN" w:bidi="ar"/>
        </w:rPr>
      </w:pPr>
      <w:r>
        <w:rPr>
          <w:rFonts w:ascii="黑体" w:hAnsi="宋体" w:eastAsia="黑体" w:cs="黑体"/>
          <w:b/>
          <w:kern w:val="0"/>
          <w:sz w:val="27"/>
          <w:szCs w:val="27"/>
          <w:lang w:val="en-US" w:eastAsia="zh-CN" w:bidi="ar"/>
        </w:rPr>
        <w:t>三、获取采购文件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xml:space="preserve">     </w:t>
      </w:r>
      <w:r>
        <w:rPr>
          <w:rFonts w:hint="eastAsia" w:ascii="仿宋" w:hAnsi="仿宋" w:eastAsia="仿宋" w:cs="仿宋"/>
          <w:kern w:val="0"/>
          <w:sz w:val="27"/>
          <w:szCs w:val="27"/>
          <w:u w:val="none"/>
          <w:lang w:val="en-US" w:eastAsia="zh-CN" w:bidi="ar"/>
        </w:rPr>
        <w:t>时间：</w:t>
      </w:r>
      <w:r>
        <w:rPr>
          <w:rFonts w:hint="eastAsia" w:ascii="仿宋" w:hAnsi="仿宋" w:eastAsia="仿宋" w:cs="仿宋"/>
          <w:color w:val="000000" w:themeColor="text1"/>
          <w:kern w:val="0"/>
          <w:sz w:val="27"/>
          <w:szCs w:val="27"/>
          <w:u w:val="none"/>
          <w:lang w:val="en-US" w:eastAsia="zh-CN" w:bidi="ar"/>
          <w14:textFill>
            <w14:solidFill>
              <w14:schemeClr w14:val="tx1"/>
            </w14:solidFill>
          </w14:textFill>
        </w:rPr>
        <w:t>2021年12月09日至2021年12月16日，每天上午10:00至14:00，下午15:30至19:30（</w:t>
      </w:r>
      <w:r>
        <w:rPr>
          <w:rFonts w:hint="eastAsia" w:ascii="仿宋" w:hAnsi="仿宋" w:eastAsia="仿宋" w:cs="仿宋"/>
          <w:kern w:val="0"/>
          <w:sz w:val="27"/>
          <w:szCs w:val="27"/>
          <w:u w:val="none"/>
          <w:lang w:val="en-US" w:eastAsia="zh-CN" w:bidi="ar"/>
        </w:rPr>
        <w:t>北京时间，法定节假日除外）</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地点：政采云平台线上获取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方式：供应商登录政采云平台https://www.zcygov.cn/在线申请获取采购文件（进入“项目采购”应用，在获取采购文件菜单中选择项目，申请获取采购文件）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售价（元）：0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kern w:val="0"/>
          <w:sz w:val="27"/>
          <w:szCs w:val="27"/>
          <w:lang w:val="en-US" w:eastAsia="zh-CN" w:bidi="ar"/>
        </w:rPr>
      </w:pPr>
      <w:r>
        <w:rPr>
          <w:rFonts w:ascii="黑体" w:hAnsi="宋体" w:eastAsia="黑体" w:cs="黑体"/>
          <w:b/>
          <w:kern w:val="0"/>
          <w:sz w:val="27"/>
          <w:szCs w:val="27"/>
          <w:lang w:val="en-US" w:eastAsia="zh-CN" w:bidi="ar"/>
        </w:rPr>
        <w:t>四、响应文件提交</w:t>
      </w:r>
      <w:r>
        <w:rPr>
          <w:rFonts w:ascii="黑体" w:hAnsi="宋体" w:eastAsia="黑体" w:cs="黑体"/>
          <w:kern w:val="0"/>
          <w:sz w:val="27"/>
          <w:szCs w:val="27"/>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截止时间：2021年12月20日 16:00（北京时间）</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40" w:firstLineChars="200"/>
        <w:jc w:val="left"/>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地点：政采云网上不见面开评标系统</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kern w:val="0"/>
          <w:sz w:val="27"/>
          <w:szCs w:val="27"/>
          <w:lang w:val="en-US" w:eastAsia="zh-CN" w:bidi="ar"/>
        </w:rPr>
      </w:pPr>
      <w:r>
        <w:rPr>
          <w:rFonts w:ascii="黑体" w:hAnsi="宋体" w:eastAsia="黑体" w:cs="黑体"/>
          <w:b/>
          <w:kern w:val="0"/>
          <w:sz w:val="27"/>
          <w:szCs w:val="27"/>
          <w:lang w:val="en-US" w:eastAsia="zh-CN" w:bidi="ar"/>
        </w:rPr>
        <w:t>五、响应文件开启</w:t>
      </w:r>
      <w:r>
        <w:rPr>
          <w:rFonts w:ascii="黑体" w:hAnsi="宋体" w:eastAsia="黑体" w:cs="黑体"/>
          <w:kern w:val="0"/>
          <w:sz w:val="27"/>
          <w:szCs w:val="27"/>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开启时间：2021年12月20日 16:00（北京时间）</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地点：政采云网上不见面开评标系统</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kern w:val="0"/>
          <w:sz w:val="31"/>
          <w:szCs w:val="31"/>
          <w:lang w:val="en-US" w:eastAsia="zh-CN" w:bidi="ar"/>
        </w:rPr>
      </w:pPr>
      <w:r>
        <w:rPr>
          <w:rFonts w:ascii="黑体" w:hAnsi="宋体" w:eastAsia="黑体" w:cs="黑体"/>
          <w:b/>
          <w:kern w:val="0"/>
          <w:sz w:val="27"/>
          <w:szCs w:val="27"/>
          <w:lang w:val="en-US" w:eastAsia="zh-CN" w:bidi="ar"/>
        </w:rPr>
        <w:t>六、公告期限</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left"/>
        <w:textAlignment w:val="auto"/>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自本公告发布之日起5个工作日。</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kern w:val="0"/>
          <w:sz w:val="27"/>
          <w:szCs w:val="27"/>
          <w:lang w:val="en-US" w:eastAsia="zh-CN" w:bidi="ar"/>
        </w:rPr>
      </w:pPr>
      <w:r>
        <w:rPr>
          <w:rFonts w:ascii="黑体" w:hAnsi="宋体" w:eastAsia="黑体" w:cs="黑体"/>
          <w:b/>
          <w:kern w:val="0"/>
          <w:sz w:val="27"/>
          <w:szCs w:val="27"/>
          <w:lang w:val="en-US" w:eastAsia="zh-CN" w:bidi="ar"/>
        </w:rPr>
        <w:t>七、其他补充事宜</w:t>
      </w:r>
      <w:r>
        <w:rPr>
          <w:rFonts w:ascii="黑体" w:hAnsi="宋体" w:eastAsia="黑体" w:cs="黑体"/>
          <w:kern w:val="0"/>
          <w:sz w:val="27"/>
          <w:szCs w:val="27"/>
          <w:lang w:val="en-US" w:eastAsia="zh-CN" w:bidi="ar"/>
        </w:rPr>
        <w:t> </w:t>
      </w:r>
    </w:p>
    <w:p>
      <w:pPr>
        <w:keepNext w:val="0"/>
        <w:keepLines w:val="0"/>
        <w:widowControl/>
        <w:suppressLineNumbers w:val="0"/>
        <w:spacing w:before="75" w:beforeAutospacing="0" w:after="75" w:afterAutospacing="0" w:line="315" w:lineRule="atLeast"/>
        <w:ind w:left="0" w:right="0" w:firstLine="540" w:firstLineChars="200"/>
        <w:jc w:val="left"/>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1、本项目实行电子招投标，供应商须登录政采云平台申请获取采购文件，并需要使用CA锁，登录政采云电子投标客户端制作响应文件，若供应商参与投标,自行承担与投标有关的一切费用。</w:t>
      </w:r>
    </w:p>
    <w:p>
      <w:pPr>
        <w:keepNext w:val="0"/>
        <w:keepLines w:val="0"/>
        <w:widowControl/>
        <w:suppressLineNumbers w:val="0"/>
        <w:spacing w:before="75" w:beforeAutospacing="0" w:after="75" w:afterAutospacing="0" w:line="315" w:lineRule="atLeast"/>
        <w:ind w:left="0" w:right="0" w:firstLine="540" w:firstLineChars="200"/>
        <w:jc w:val="left"/>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widowControl/>
        <w:suppressLineNumbers w:val="0"/>
        <w:spacing w:before="75" w:beforeAutospacing="0" w:after="75" w:afterAutospacing="0" w:line="315" w:lineRule="atLeast"/>
        <w:ind w:left="0" w:right="0" w:firstLine="540" w:firstLineChars="200"/>
        <w:jc w:val="left"/>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3、本项目响应文件解密时间定为30分钟，如因自身原因导致无法正常解密，后果由供应商自行承担。</w:t>
      </w:r>
    </w:p>
    <w:p>
      <w:pPr>
        <w:keepNext w:val="0"/>
        <w:keepLines w:val="0"/>
        <w:widowControl/>
        <w:suppressLineNumbers w:val="0"/>
        <w:spacing w:before="75" w:beforeAutospacing="0" w:after="75" w:afterAutospacing="0" w:line="315" w:lineRule="atLeast"/>
        <w:ind w:left="0" w:right="0" w:firstLine="540" w:firstLineChars="200"/>
        <w:jc w:val="left"/>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4、供应商可前往新疆政府采购（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widowControl/>
        <w:suppressLineNumbers w:val="0"/>
        <w:spacing w:before="75" w:beforeAutospacing="0" w:after="75" w:afterAutospacing="0" w:line="315" w:lineRule="atLeast"/>
        <w:ind w:right="0" w:firstLine="540" w:firstLineChars="200"/>
        <w:jc w:val="left"/>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 xml:space="preserve"> 5、供应商在开标时须携带制作加密电子响应文件所使用的CA锁，电脑须提前配置好浏览器（建议使用360浏览器或谷歌浏览器），以便开标时在线解密。</w:t>
      </w:r>
    </w:p>
    <w:p>
      <w:pPr>
        <w:keepNext w:val="0"/>
        <w:keepLines w:val="0"/>
        <w:widowControl/>
        <w:suppressLineNumbers w:val="0"/>
        <w:spacing w:before="75" w:beforeAutospacing="0" w:after="75" w:afterAutospacing="0" w:line="315" w:lineRule="atLeast"/>
        <w:ind w:left="0" w:right="0" w:firstLine="540" w:firstLineChars="200"/>
        <w:jc w:val="left"/>
        <w:rPr>
          <w:rFonts w:ascii="Calibri" w:hAnsi="Calibri" w:eastAsia="宋体" w:cs="Times New Roman"/>
          <w:kern w:val="0"/>
          <w:sz w:val="24"/>
          <w:szCs w:val="24"/>
          <w:lang w:val="en-US" w:eastAsia="zh-CN" w:bidi="ar"/>
        </w:rPr>
      </w:pPr>
      <w:r>
        <w:rPr>
          <w:rFonts w:hint="eastAsia" w:ascii="仿宋" w:hAnsi="仿宋" w:eastAsia="仿宋" w:cs="仿宋"/>
          <w:kern w:val="0"/>
          <w:sz w:val="27"/>
          <w:szCs w:val="27"/>
          <w:lang w:val="en-US" w:eastAsia="zh-CN" w:bidi="ar"/>
        </w:rPr>
        <w:t xml:space="preserve"> 6、投标供应商应当在投标截止时间前，将生成的“电子加密响应文件”上传递交至“政府采购云平台”，投标截止时间以后上传递交的响应文件将被“政府采购云平台”拒收。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jc w:val="both"/>
        <w:textAlignment w:val="auto"/>
        <w:rPr>
          <w:rFonts w:hint="default" w:ascii="黑体" w:hAnsi="宋体" w:eastAsia="黑体" w:cs="黑体"/>
          <w:kern w:val="0"/>
          <w:sz w:val="31"/>
          <w:szCs w:val="31"/>
          <w:lang w:val="en-US" w:eastAsia="zh-CN" w:bidi="ar"/>
        </w:rPr>
      </w:pPr>
      <w:r>
        <w:rPr>
          <w:rFonts w:ascii="黑体" w:hAnsi="宋体" w:eastAsia="黑体" w:cs="黑体"/>
          <w:b/>
          <w:kern w:val="0"/>
          <w:sz w:val="27"/>
          <w:szCs w:val="27"/>
          <w:lang w:val="en-US" w:eastAsia="zh-CN" w:bidi="ar"/>
        </w:rPr>
        <w:t>八、凡对本次招标提出询问，请按以下方式联系</w:t>
      </w:r>
      <w:r>
        <w:rPr>
          <w:rFonts w:hint="eastAsia" w:ascii="黑体" w:hAnsi="宋体" w:eastAsia="黑体" w:cs="黑体"/>
          <w:b/>
          <w:kern w:val="0"/>
          <w:sz w:val="27"/>
          <w:szCs w:val="27"/>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7"/>
          <w:szCs w:val="27"/>
          <w:lang w:val="en-US" w:eastAsia="zh-CN" w:bidi="ar"/>
        </w:rPr>
        <w:t>1.采购人信息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Style w:val="41"/>
          <w:rFonts w:hint="eastAsia" w:ascii="仿宋" w:hAnsi="仿宋" w:eastAsia="仿宋" w:cs="仿宋"/>
          <w:kern w:val="0"/>
          <w:sz w:val="27"/>
          <w:szCs w:val="27"/>
          <w:lang w:val="en-US" w:eastAsia="zh-CN" w:bidi="ar"/>
        </w:rPr>
      </w:pPr>
      <w:r>
        <w:rPr>
          <w:rStyle w:val="41"/>
          <w:rFonts w:hint="eastAsia" w:ascii="仿宋" w:hAnsi="仿宋" w:eastAsia="仿宋" w:cs="仿宋"/>
          <w:kern w:val="0"/>
          <w:sz w:val="27"/>
          <w:szCs w:val="27"/>
          <w:lang w:val="en-US" w:eastAsia="zh-CN" w:bidi="ar"/>
        </w:rPr>
        <w:t>名 称：新和县住房和城乡建设局</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Style w:val="41"/>
          <w:rFonts w:hint="eastAsia" w:ascii="仿宋" w:hAnsi="仿宋" w:eastAsia="仿宋" w:cs="仿宋"/>
          <w:kern w:val="0"/>
          <w:sz w:val="27"/>
          <w:szCs w:val="27"/>
          <w:lang w:val="en-US" w:eastAsia="zh-CN" w:bidi="ar"/>
        </w:rPr>
      </w:pPr>
      <w:r>
        <w:rPr>
          <w:rStyle w:val="41"/>
          <w:rFonts w:hint="eastAsia" w:ascii="仿宋" w:hAnsi="仿宋" w:eastAsia="仿宋" w:cs="仿宋"/>
          <w:kern w:val="0"/>
          <w:sz w:val="27"/>
          <w:szCs w:val="27"/>
          <w:lang w:val="en-US" w:eastAsia="zh-CN" w:bidi="ar"/>
        </w:rPr>
        <w:t>地 址：新和县红光路6号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Style w:val="41"/>
          <w:rFonts w:hint="default" w:ascii="仿宋" w:hAnsi="仿宋" w:eastAsia="仿宋" w:cs="仿宋"/>
          <w:kern w:val="0"/>
          <w:sz w:val="27"/>
          <w:szCs w:val="27"/>
          <w:lang w:val="en-US" w:eastAsia="zh-CN" w:bidi="ar"/>
        </w:rPr>
      </w:pPr>
      <w:r>
        <w:rPr>
          <w:rStyle w:val="41"/>
          <w:rFonts w:hint="eastAsia" w:ascii="仿宋" w:hAnsi="仿宋" w:eastAsia="仿宋" w:cs="仿宋"/>
          <w:kern w:val="0"/>
          <w:sz w:val="27"/>
          <w:szCs w:val="27"/>
          <w:lang w:val="en-US" w:eastAsia="zh-CN" w:bidi="ar"/>
        </w:rPr>
        <w:t>联系方式：13565135351</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Style w:val="41"/>
          <w:rFonts w:hint="eastAsia" w:ascii="仿宋" w:hAnsi="仿宋" w:eastAsia="仿宋" w:cs="仿宋"/>
          <w:kern w:val="0"/>
          <w:sz w:val="27"/>
          <w:szCs w:val="27"/>
          <w:lang w:val="en-US" w:eastAsia="zh-CN" w:bidi="ar"/>
        </w:rPr>
      </w:pPr>
      <w:r>
        <w:rPr>
          <w:rStyle w:val="41"/>
          <w:rFonts w:hint="eastAsia" w:ascii="仿宋" w:hAnsi="仿宋" w:eastAsia="仿宋" w:cs="仿宋"/>
          <w:kern w:val="0"/>
          <w:sz w:val="27"/>
          <w:szCs w:val="27"/>
          <w:lang w:val="en-US" w:eastAsia="zh-CN" w:bidi="ar"/>
        </w:rPr>
        <w:t>2.采购代理机构信息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Style w:val="41"/>
          <w:rFonts w:hint="eastAsia" w:ascii="仿宋" w:hAnsi="仿宋" w:eastAsia="仿宋" w:cs="仿宋"/>
          <w:kern w:val="0"/>
          <w:sz w:val="27"/>
          <w:szCs w:val="27"/>
          <w:lang w:val="en-US" w:eastAsia="zh-CN" w:bidi="ar"/>
        </w:rPr>
      </w:pPr>
      <w:r>
        <w:rPr>
          <w:rStyle w:val="41"/>
          <w:rFonts w:hint="eastAsia" w:ascii="仿宋" w:hAnsi="仿宋" w:eastAsia="仿宋" w:cs="仿宋"/>
          <w:kern w:val="0"/>
          <w:sz w:val="27"/>
          <w:szCs w:val="27"/>
          <w:lang w:val="en-US" w:eastAsia="zh-CN" w:bidi="ar"/>
        </w:rPr>
        <w:t>名 称：阿克苏新华远景工程造价咨询有限公司</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Style w:val="41"/>
          <w:rFonts w:hint="eastAsia" w:ascii="仿宋" w:hAnsi="仿宋" w:eastAsia="仿宋" w:cs="仿宋"/>
          <w:kern w:val="0"/>
          <w:sz w:val="27"/>
          <w:szCs w:val="27"/>
          <w:lang w:val="en-US" w:eastAsia="zh-CN" w:bidi="ar"/>
        </w:rPr>
      </w:pPr>
      <w:r>
        <w:rPr>
          <w:rStyle w:val="41"/>
          <w:rFonts w:hint="eastAsia" w:ascii="仿宋" w:hAnsi="仿宋" w:eastAsia="仿宋" w:cs="仿宋"/>
          <w:kern w:val="0"/>
          <w:sz w:val="27"/>
          <w:szCs w:val="27"/>
          <w:lang w:val="en-US" w:eastAsia="zh-CN" w:bidi="ar"/>
        </w:rPr>
        <w:t>地 址：新疆阿克苏市左岸明珠7号楼二单元208室</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Style w:val="41"/>
          <w:rFonts w:hint="eastAsia" w:ascii="仿宋" w:hAnsi="仿宋" w:eastAsia="仿宋" w:cs="仿宋"/>
          <w:kern w:val="0"/>
          <w:sz w:val="27"/>
          <w:szCs w:val="27"/>
          <w:lang w:val="en-US" w:eastAsia="zh-CN" w:bidi="ar"/>
        </w:rPr>
      </w:pPr>
      <w:r>
        <w:rPr>
          <w:rStyle w:val="41"/>
          <w:rFonts w:hint="eastAsia" w:ascii="仿宋" w:hAnsi="仿宋" w:eastAsia="仿宋" w:cs="仿宋"/>
          <w:kern w:val="0"/>
          <w:sz w:val="27"/>
          <w:szCs w:val="27"/>
          <w:lang w:val="en-US" w:eastAsia="zh-CN" w:bidi="ar"/>
        </w:rPr>
        <w:t>联系方式：15292303654</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Style w:val="41"/>
          <w:rFonts w:hint="eastAsia" w:ascii="仿宋" w:hAnsi="仿宋" w:eastAsia="仿宋" w:cs="仿宋"/>
          <w:kern w:val="0"/>
          <w:sz w:val="27"/>
          <w:szCs w:val="27"/>
          <w:lang w:val="en-US" w:eastAsia="zh-CN" w:bidi="ar"/>
        </w:rPr>
      </w:pPr>
      <w:r>
        <w:rPr>
          <w:rStyle w:val="41"/>
          <w:rFonts w:hint="eastAsia" w:ascii="仿宋" w:hAnsi="仿宋" w:eastAsia="仿宋" w:cs="仿宋"/>
          <w:kern w:val="0"/>
          <w:sz w:val="27"/>
          <w:szCs w:val="27"/>
          <w:lang w:val="en-US" w:eastAsia="zh-CN" w:bidi="ar"/>
        </w:rPr>
        <w:t>3.项目联系方式</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Style w:val="41"/>
          <w:rFonts w:hint="eastAsia" w:ascii="仿宋" w:hAnsi="仿宋" w:eastAsia="仿宋" w:cs="仿宋"/>
          <w:kern w:val="0"/>
          <w:sz w:val="27"/>
          <w:szCs w:val="27"/>
          <w:lang w:val="en-US" w:eastAsia="zh-CN" w:bidi="ar"/>
        </w:rPr>
      </w:pPr>
      <w:r>
        <w:rPr>
          <w:rStyle w:val="41"/>
          <w:rFonts w:hint="eastAsia" w:ascii="仿宋" w:hAnsi="仿宋" w:eastAsia="仿宋" w:cs="仿宋"/>
          <w:kern w:val="0"/>
          <w:sz w:val="27"/>
          <w:szCs w:val="27"/>
          <w:lang w:val="en-US" w:eastAsia="zh-CN" w:bidi="ar"/>
        </w:rPr>
        <w:t>项目联系人：王兵</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Style w:val="41"/>
          <w:rFonts w:hint="eastAsia" w:ascii="仿宋" w:hAnsi="仿宋" w:eastAsia="仿宋" w:cs="仿宋"/>
          <w:kern w:val="0"/>
          <w:sz w:val="27"/>
          <w:szCs w:val="27"/>
          <w:lang w:val="en-US" w:eastAsia="zh-CN" w:bidi="ar"/>
        </w:rPr>
      </w:pPr>
      <w:r>
        <w:rPr>
          <w:rStyle w:val="41"/>
          <w:rFonts w:hint="eastAsia" w:ascii="仿宋" w:hAnsi="仿宋" w:eastAsia="仿宋" w:cs="仿宋"/>
          <w:kern w:val="0"/>
          <w:sz w:val="27"/>
          <w:szCs w:val="27"/>
          <w:lang w:val="en-US" w:eastAsia="zh-CN" w:bidi="ar"/>
        </w:rPr>
        <w:t>电 话：15292303654</w:t>
      </w:r>
    </w:p>
    <w:p>
      <w:pPr>
        <w:pStyle w:val="2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 w:hAnsi="仿宋" w:eastAsia="仿宋" w:cs="仿宋"/>
          <w:sz w:val="27"/>
          <w:szCs w:val="27"/>
          <w:lang w:val="en-US" w:eastAsia="zh-CN"/>
        </w:rPr>
      </w:pPr>
    </w:p>
    <w:p>
      <w:pPr>
        <w:pStyle w:val="28"/>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仿宋" w:hAnsi="仿宋" w:eastAsia="仿宋" w:cs="仿宋"/>
          <w:sz w:val="27"/>
          <w:szCs w:val="27"/>
          <w:lang w:val="en-US" w:eastAsia="zh-CN"/>
        </w:rPr>
      </w:pPr>
    </w:p>
    <w:p>
      <w:pPr>
        <w:pStyle w:val="3"/>
        <w:numPr>
          <w:ilvl w:val="0"/>
          <w:numId w:val="1"/>
        </w:numPr>
        <w:spacing w:before="0" w:after="0" w:line="240" w:lineRule="auto"/>
        <w:ind w:left="0" w:leftChars="0"/>
        <w:rPr>
          <w:rFonts w:hint="eastAsia"/>
          <w:lang w:val="en-US" w:eastAsia="zh-CN"/>
        </w:rPr>
      </w:pPr>
      <w:r>
        <w:rPr>
          <w:rFonts w:hint="eastAsia"/>
          <w:lang w:val="en-US" w:eastAsia="zh-CN"/>
        </w:rPr>
        <w:t xml:space="preserve"> </w:t>
      </w:r>
      <w:bookmarkStart w:id="6" w:name="_Toc27143"/>
      <w:bookmarkStart w:id="7" w:name="_Toc136"/>
      <w:r>
        <w:rPr>
          <w:rFonts w:hint="eastAsia"/>
        </w:rPr>
        <w:t>供应商须知</w:t>
      </w:r>
      <w:bookmarkEnd w:id="4"/>
      <w:bookmarkEnd w:id="5"/>
      <w:bookmarkEnd w:id="6"/>
      <w:bookmarkEnd w:id="7"/>
      <w:bookmarkStart w:id="8" w:name="_Toc21720"/>
    </w:p>
    <w:p>
      <w:pPr>
        <w:pStyle w:val="4"/>
        <w:ind w:firstLine="420" w:firstLineChars="0"/>
        <w:jc w:val="center"/>
        <w:rPr>
          <w:rFonts w:hint="eastAsia"/>
        </w:rPr>
      </w:pPr>
      <w:r>
        <w:rPr>
          <w:rFonts w:hint="eastAsia"/>
        </w:rPr>
        <w:t>供应商须知前附表</w:t>
      </w:r>
      <w:bookmarkEnd w:id="8"/>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647"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603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1.1.1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green"/>
                <w:u w:val="none"/>
              </w:rPr>
            </w:pPr>
            <w:r>
              <w:rPr>
                <w:rFonts w:hint="eastAsia" w:ascii="宋体" w:hAnsi="宋体" w:eastAsia="宋体" w:cs="宋体"/>
                <w:b/>
                <w:bCs/>
                <w:color w:val="000000"/>
                <w:sz w:val="24"/>
                <w:szCs w:val="24"/>
                <w:u w:val="none"/>
              </w:rPr>
              <w:t>项目名称</w:t>
            </w:r>
          </w:p>
        </w:tc>
        <w:tc>
          <w:tcPr>
            <w:tcW w:w="6038" w:type="dxa"/>
            <w:vAlign w:val="center"/>
          </w:tcPr>
          <w:p>
            <w:pPr>
              <w:jc w:val="both"/>
              <w:rPr>
                <w:rFonts w:hint="eastAsia" w:ascii="宋体" w:hAnsi="宋体" w:eastAsia="宋体" w:cs="宋体"/>
                <w:sz w:val="24"/>
                <w:szCs w:val="28"/>
                <w:lang w:val="en-US" w:eastAsia="zh-CN"/>
              </w:rPr>
            </w:pPr>
            <w:r>
              <w:rPr>
                <w:rFonts w:hint="eastAsia" w:ascii="宋体" w:hAnsi="宋体" w:cs="宋体"/>
                <w:sz w:val="24"/>
                <w:szCs w:val="28"/>
                <w:lang w:val="en-US" w:eastAsia="zh-CN"/>
              </w:rPr>
              <w:t>新和县智慧工地及管理能力提升项目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采购人</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名称：新和县住房和城乡建设局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联系人：艾买尔江·托乎提</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en-US" w:eastAsia="zh-CN"/>
              </w:rPr>
              <w:t xml:space="preserve">联系电话：13565135351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采购代理机构</w:t>
            </w:r>
          </w:p>
        </w:tc>
        <w:tc>
          <w:tcPr>
            <w:tcW w:w="6038" w:type="dxa"/>
            <w:vAlign w:val="center"/>
          </w:tcPr>
          <w:p>
            <w:pPr>
              <w:pStyle w:val="32"/>
              <w:spacing w:line="36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招标代理机构：阿克苏新华远景工程造价咨询有限公司</w:t>
            </w:r>
          </w:p>
          <w:p>
            <w:pPr>
              <w:pStyle w:val="32"/>
              <w:spacing w:line="36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联系人：王兵         联系电话：15292303654</w:t>
            </w:r>
          </w:p>
          <w:p>
            <w:pPr>
              <w:pStyle w:val="32"/>
              <w:spacing w:line="36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en-US" w:eastAsia="zh-CN"/>
              </w:rPr>
              <w:t xml:space="preserve">联系地址：新疆阿克苏市左岸明珠7号楼二单元208室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1.2.3</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监管部门</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名  称：新和县</w:t>
            </w:r>
            <w:r>
              <w:rPr>
                <w:rFonts w:hint="eastAsia" w:ascii="宋体" w:hAnsi="宋体" w:eastAsia="宋体" w:cs="宋体"/>
                <w:kern w:val="0"/>
                <w:sz w:val="24"/>
                <w:lang w:val="en-US" w:eastAsia="zh-CN"/>
              </w:rPr>
              <w:t>政府采购管理办公室</w:t>
            </w:r>
            <w:r>
              <w:rPr>
                <w:rFonts w:hint="eastAsia" w:ascii="宋体" w:hAnsi="宋体" w:eastAsia="宋体" w:cs="宋体"/>
                <w:kern w:val="0"/>
                <w:sz w:val="24"/>
                <w:lang w:val="zh-CN" w:eastAsia="zh-CN"/>
              </w:rPr>
              <w:t xml:space="preserve">                             </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地  址：新和县                             </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电  话：</w:t>
            </w:r>
            <w:r>
              <w:rPr>
                <w:rFonts w:hint="eastAsia" w:ascii="宋体" w:hAnsi="宋体" w:eastAsia="宋体" w:cs="宋体"/>
                <w:kern w:val="0"/>
                <w:sz w:val="24"/>
                <w:lang w:val="en-US" w:eastAsia="zh-CN"/>
              </w:rPr>
              <w:t>15899369097</w:t>
            </w:r>
            <w:r>
              <w:rPr>
                <w:rFonts w:hint="eastAsia" w:ascii="宋体" w:hAnsi="宋体" w:eastAsia="宋体" w:cs="宋体"/>
                <w:kern w:val="0"/>
                <w:sz w:val="24"/>
                <w:lang w:val="zh-CN" w:eastAsia="zh-CN"/>
              </w:rPr>
              <w:t xml:space="preserve">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联系人：</w:t>
            </w:r>
            <w:r>
              <w:rPr>
                <w:rFonts w:hint="eastAsia" w:ascii="宋体" w:hAnsi="宋体" w:eastAsia="宋体" w:cs="宋体"/>
                <w:kern w:val="0"/>
                <w:sz w:val="24"/>
                <w:lang w:val="en-US" w:eastAsia="zh-CN"/>
              </w:rPr>
              <w:t xml:space="preserve">李子鲜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1.4.1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供应商资格</w:t>
            </w:r>
            <w:r>
              <w:rPr>
                <w:rFonts w:hint="eastAsia" w:ascii="宋体" w:hAnsi="宋体" w:cs="宋体"/>
                <w:b/>
                <w:bCs/>
                <w:color w:val="000000"/>
                <w:sz w:val="24"/>
                <w:szCs w:val="24"/>
                <w:u w:val="none"/>
                <w:lang w:eastAsia="zh-CN"/>
              </w:rPr>
              <w:t>要求</w:t>
            </w:r>
          </w:p>
        </w:tc>
        <w:tc>
          <w:tcPr>
            <w:tcW w:w="6038" w:type="dxa"/>
            <w:vAlign w:val="center"/>
          </w:tcPr>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1、满足《中华人民共和国政府采购法》第二十二条规定；</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2、落实政府采购政策需满足的资格要求：</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（1）财政部、国家发展改革委、生态环境部、市场监管总局《关于调整优化节能产品、环境标志产品政府采购执行机制的通知》（财库[2019]9号文）；</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（2）财政部、生态环境部《关于印发环境标志产品政府采购品目清单的通知》（财库[2019]18号文）；</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（3）财政部、发展改革委《关于印发节能产品政府采购品目清单的通知》（财库[2019]19号文）；</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（4）市场监管总局《市场监管总局关于发布参与实施政府采购节能产品、环境标志产品认证机构名录的公告》（2019年第16号）；</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 xml:space="preserve">（5）财政部、工业和信息化部《关于印发《政府采购促进中小企业发展管理办法》的通知》（财库[2020]46号文）； </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 xml:space="preserve">（6）财政部、民政部、中国残疾人联合会《关于促进残疾人就业政府采购政策的通知》（财库[2017]141号）； </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（7）财政部、司法部《关于政府采购支持监狱企业发展有关问题的通知》（财库[2014]68号文）。  </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3、本项目的特定资格要求：</w:t>
            </w:r>
            <w:r>
              <w:rPr>
                <w:rFonts w:hint="eastAsia" w:ascii="宋体" w:hAnsi="宋体" w:cs="宋体"/>
                <w:color w:val="000000"/>
                <w:sz w:val="24"/>
                <w:szCs w:val="24"/>
                <w:u w:val="none"/>
                <w:lang w:val="en-US" w:eastAsia="zh-CN"/>
              </w:rPr>
              <w:t>无</w:t>
            </w:r>
            <w:r>
              <w:rPr>
                <w:rFonts w:hint="eastAsia" w:ascii="宋体" w:hAnsi="宋体" w:eastAsia="宋体" w:cs="宋体"/>
                <w:color w:val="000000"/>
                <w:sz w:val="24"/>
                <w:szCs w:val="24"/>
                <w:u w:val="none"/>
                <w:lang w:val="en-US" w:eastAsia="zh-CN"/>
              </w:rPr>
              <w:t>；</w:t>
            </w:r>
          </w:p>
          <w:p>
            <w:pPr>
              <w:adjustRightInd w:val="0"/>
              <w:snapToGrid w:val="0"/>
              <w:spacing w:before="120" w:beforeLines="50" w:line="240" w:lineRule="auto"/>
              <w:rPr>
                <w:rFonts w:hint="eastAsia" w:ascii="宋体" w:hAnsi="宋体" w:eastAsia="宋体" w:cs="宋体"/>
                <w:color w:val="000000"/>
                <w:sz w:val="24"/>
                <w:szCs w:val="24"/>
                <w:u w:val="none"/>
                <w:lang w:val="zh-CN" w:eastAsia="zh-CN"/>
              </w:rPr>
            </w:pPr>
            <w:r>
              <w:rPr>
                <w:rFonts w:hint="eastAsia" w:ascii="宋体" w:hAnsi="宋体" w:eastAsia="宋体" w:cs="宋体"/>
                <w:color w:val="000000"/>
                <w:sz w:val="24"/>
                <w:szCs w:val="24"/>
                <w:u w:val="none"/>
                <w:lang w:val="en-US" w:eastAsia="zh-CN"/>
              </w:rPr>
              <w:t>4、</w:t>
            </w:r>
            <w:r>
              <w:rPr>
                <w:rFonts w:hint="eastAsia" w:ascii="宋体" w:hAnsi="宋体" w:eastAsia="宋体" w:cs="宋体"/>
                <w:color w:val="000000"/>
                <w:sz w:val="24"/>
                <w:szCs w:val="24"/>
                <w:u w:val="none"/>
                <w:lang w:val="zh-CN" w:eastAsia="zh-CN"/>
              </w:rPr>
              <w:t>供应商如在“信用中国”、“中国政府采购网”网站被列入失信被执行人、重大税收违法案件当事人名单、政府采购严重违法失信行为记录名单的，将拒绝其参加本次采购活动；</w:t>
            </w:r>
          </w:p>
          <w:p>
            <w:pPr>
              <w:adjustRightInd w:val="0"/>
              <w:snapToGrid w:val="0"/>
              <w:spacing w:before="120" w:beforeLines="50" w:line="240" w:lineRule="auto"/>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sz w:val="24"/>
                <w:szCs w:val="24"/>
                <w:u w:val="none"/>
                <w:lang w:val="en-US" w:eastAsia="zh-CN"/>
              </w:rPr>
              <w:t>5、</w:t>
            </w:r>
            <w:r>
              <w:rPr>
                <w:rFonts w:hint="eastAsia" w:ascii="宋体" w:hAnsi="宋体" w:eastAsia="宋体" w:cs="宋体"/>
                <w:color w:val="000000"/>
                <w:sz w:val="24"/>
                <w:szCs w:val="24"/>
                <w:u w:val="none"/>
                <w:lang w:val="zh-CN" w:eastAsia="zh-CN"/>
              </w:rPr>
              <w:t>单位负责人为同一人或者存在直接控股、管理关系的不同供应商，不得参加本次采购活动。</w:t>
            </w:r>
            <w:r>
              <w:rPr>
                <w:rFonts w:hint="eastAsia" w:ascii="宋体" w:hAnsi="宋体" w:eastAsia="宋体" w:cs="宋体"/>
                <w:color w:val="000000"/>
                <w:sz w:val="24"/>
                <w:szCs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1.4.2</w:t>
            </w:r>
          </w:p>
        </w:tc>
        <w:tc>
          <w:tcPr>
            <w:tcW w:w="2647"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供货期</w:t>
            </w:r>
          </w:p>
        </w:tc>
        <w:tc>
          <w:tcPr>
            <w:tcW w:w="6038" w:type="dxa"/>
            <w:vAlign w:val="center"/>
          </w:tcPr>
          <w:p>
            <w:pPr>
              <w:pStyle w:val="32"/>
              <w:spacing w:line="240" w:lineRule="auto"/>
              <w:ind w:left="0" w:leftChars="0" w:firstLine="0" w:firstLine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30日历天（供货及安装调试（交钥匙工程））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1.5</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highlight w:val="none"/>
                <w:lang w:eastAsia="zh-CN"/>
              </w:rPr>
              <w:t>是否接受联合体投标</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不接受</w:t>
            </w:r>
          </w:p>
          <w:p>
            <w:pPr>
              <w:pStyle w:val="3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1.9.1</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auto"/>
                <w:sz w:val="24"/>
                <w:szCs w:val="24"/>
                <w:u w:val="none"/>
                <w:lang w:eastAsia="zh-CN"/>
              </w:rPr>
              <w:t>是否组织</w:t>
            </w:r>
            <w:r>
              <w:rPr>
                <w:rFonts w:hint="eastAsia" w:ascii="宋体" w:hAnsi="宋体" w:eastAsia="宋体" w:cs="宋体"/>
                <w:b/>
                <w:bCs/>
                <w:color w:val="auto"/>
                <w:sz w:val="24"/>
                <w:szCs w:val="24"/>
                <w:u w:val="none"/>
                <w:lang w:eastAsia="zh-CN"/>
              </w:rPr>
              <w:t>现场考察</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☑不组织</w:t>
            </w:r>
          </w:p>
          <w:p>
            <w:pPr>
              <w:pStyle w:val="3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□组织，时间：/</w:t>
            </w:r>
          </w:p>
          <w:p>
            <w:pPr>
              <w:pStyle w:val="32"/>
              <w:spacing w:line="240" w:lineRule="auto"/>
              <w:ind w:left="0" w:leftChars="0" w:firstLine="960" w:firstLineChars="40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1.10.1</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分包</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不允许</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□允许，分包内容要求：</w:t>
            </w:r>
          </w:p>
          <w:p>
            <w:pPr>
              <w:pStyle w:val="32"/>
              <w:spacing w:line="240" w:lineRule="auto"/>
              <w:ind w:left="0" w:leftChars="0" w:firstLine="960" w:firstLineChars="4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分包金额要求：</w:t>
            </w:r>
          </w:p>
          <w:p>
            <w:pPr>
              <w:pStyle w:val="32"/>
              <w:spacing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1.11.4</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非实质性要求和条件是否允许偏离</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□不允许</w:t>
            </w:r>
          </w:p>
          <w:p>
            <w:pPr>
              <w:pStyle w:val="32"/>
              <w:spacing w:line="240" w:lineRule="auto"/>
              <w:ind w:left="0" w:leftChars="0" w:firstLine="0" w:firstLineChars="0"/>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3.4.8</w:t>
            </w:r>
          </w:p>
        </w:tc>
        <w:tc>
          <w:tcPr>
            <w:tcW w:w="2647"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★预算金额</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金额（小写）：</w:t>
            </w:r>
            <w:r>
              <w:rPr>
                <w:rFonts w:hint="eastAsia" w:ascii="宋体" w:hAnsi="宋体" w:eastAsia="宋体" w:cs="宋体"/>
                <w:kern w:val="0"/>
                <w:sz w:val="24"/>
                <w:lang w:val="en-US" w:eastAsia="zh-CN"/>
              </w:rPr>
              <w:t xml:space="preserve">1299200.00元                            </w:t>
            </w:r>
          </w:p>
          <w:p>
            <w:pPr>
              <w:pStyle w:val="32"/>
              <w:spacing w:line="240" w:lineRule="auto"/>
              <w:ind w:left="0" w:leftChars="0" w:firstLine="0" w:firstLineChars="0"/>
              <w:rPr>
                <w:rFonts w:hint="default" w:ascii="宋体" w:hAnsi="宋体" w:eastAsia="宋体" w:cs="宋体"/>
                <w:kern w:val="0"/>
                <w:sz w:val="24"/>
                <w:lang w:val="en-US" w:eastAsia="zh-CN"/>
              </w:rPr>
            </w:pPr>
            <w:r>
              <w:rPr>
                <w:rFonts w:hint="eastAsia" w:ascii="宋体" w:hAnsi="宋体" w:eastAsia="宋体" w:cs="宋体"/>
                <w:kern w:val="0"/>
                <w:sz w:val="24"/>
                <w:lang w:val="zh-CN" w:eastAsia="zh-CN"/>
              </w:rPr>
              <w:t>金额（大写）：</w:t>
            </w:r>
            <w:r>
              <w:rPr>
                <w:rFonts w:hint="eastAsia" w:ascii="宋体" w:hAnsi="宋体" w:eastAsia="宋体" w:cs="宋体"/>
                <w:kern w:val="0"/>
                <w:sz w:val="24"/>
                <w:lang w:val="en-US" w:eastAsia="zh-CN"/>
              </w:rPr>
              <w:t>壹佰贰拾玖万玖仟贰佰元整</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本项目设有最高限价：1299200.00元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3.4.9</w:t>
            </w:r>
          </w:p>
        </w:tc>
        <w:tc>
          <w:tcPr>
            <w:tcW w:w="2647"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是否接受进口产品</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□是</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3.5.1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rPr>
              <w:t>备选方案</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 xml:space="preserve">不接受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3.6.1</w:t>
            </w:r>
          </w:p>
        </w:tc>
        <w:tc>
          <w:tcPr>
            <w:tcW w:w="2647" w:type="dxa"/>
            <w:vAlign w:val="center"/>
          </w:tcPr>
          <w:p>
            <w:pPr>
              <w:adjustRightInd w:val="0"/>
              <w:snapToGrid w:val="0"/>
              <w:spacing w:before="120" w:beforeLines="50" w:line="240" w:lineRule="auto"/>
              <w:jc w:val="center"/>
              <w:rPr>
                <w:rFonts w:hint="eastAsia" w:ascii="宋体" w:hAnsi="宋体" w:cs="宋体" w:eastAsiaTheme="majorEastAsia"/>
                <w:b/>
                <w:bCs/>
                <w:color w:val="000000"/>
                <w:sz w:val="24"/>
                <w:szCs w:val="24"/>
                <w:u w:val="none"/>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响应保证金</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不要求</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3.7.1</w:t>
            </w:r>
          </w:p>
        </w:tc>
        <w:tc>
          <w:tcPr>
            <w:tcW w:w="2647"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投标有效期</w:t>
            </w:r>
          </w:p>
        </w:tc>
        <w:tc>
          <w:tcPr>
            <w:tcW w:w="6038" w:type="dxa"/>
            <w:vAlign w:val="center"/>
          </w:tcPr>
          <w:p>
            <w:pPr>
              <w:spacing w:line="240" w:lineRule="auto"/>
              <w:ind w:left="520" w:leftChars="1" w:hanging="518" w:hangingChars="216"/>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u w:val="none"/>
              </w:rPr>
              <w:t xml:space="preserve"> </w:t>
            </w:r>
            <w:r>
              <w:rPr>
                <w:rFonts w:hint="eastAsia" w:ascii="宋体" w:hAnsi="宋体" w:cs="宋体"/>
                <w:color w:val="000000"/>
                <w:sz w:val="24"/>
                <w:szCs w:val="24"/>
                <w:u w:val="none"/>
                <w:lang w:val="en-US" w:eastAsia="zh-CN"/>
              </w:rPr>
              <w:t>90</w:t>
            </w:r>
            <w:r>
              <w:rPr>
                <w:rFonts w:hint="eastAsia" w:ascii="宋体" w:hAnsi="宋体" w:eastAsia="宋体" w:cs="宋体"/>
                <w:color w:val="000000"/>
                <w:sz w:val="24"/>
                <w:szCs w:val="24"/>
                <w:u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4.1.1</w:t>
            </w:r>
          </w:p>
        </w:tc>
        <w:tc>
          <w:tcPr>
            <w:tcW w:w="2647"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000000"/>
                <w:sz w:val="24"/>
                <w:szCs w:val="24"/>
                <w:u w:val="none"/>
                <w:lang w:val="en-US" w:eastAsia="zh-CN"/>
              </w:rPr>
              <w:t>响应</w:t>
            </w:r>
            <w:r>
              <w:rPr>
                <w:rFonts w:hint="eastAsia" w:ascii="宋体" w:hAnsi="宋体" w:eastAsia="宋体" w:cs="宋体"/>
                <w:b/>
                <w:bCs/>
                <w:color w:val="000000"/>
                <w:sz w:val="24"/>
                <w:szCs w:val="24"/>
                <w:u w:val="none"/>
              </w:rPr>
              <w:t>文件份数</w:t>
            </w:r>
          </w:p>
        </w:tc>
        <w:tc>
          <w:tcPr>
            <w:tcW w:w="6038" w:type="dxa"/>
            <w:vAlign w:val="center"/>
          </w:tcPr>
          <w:p>
            <w:pPr>
              <w:autoSpaceDE w:val="0"/>
              <w:autoSpaceDN w:val="0"/>
              <w:adjustRightInd w:val="0"/>
              <w:spacing w:line="240" w:lineRule="auto"/>
              <w:rPr>
                <w:rFonts w:hint="eastAsia" w:ascii="宋体" w:hAnsi="宋体" w:eastAsia="宋体" w:cs="宋体"/>
                <w:color w:val="000000"/>
                <w:kern w:val="0"/>
                <w:sz w:val="24"/>
                <w:szCs w:val="24"/>
                <w:u w:val="none"/>
                <w:lang w:val="en-US" w:eastAsia="zh-CN"/>
              </w:rPr>
            </w:pPr>
            <w:r>
              <w:rPr>
                <w:rFonts w:hint="eastAsia" w:hAnsi="宋体" w:cs="宋体"/>
                <w:sz w:val="24"/>
              </w:rPr>
              <w:t>正本壹份、副本叁份, U盘壹份（正本扫描件），开标后按要求提供纸质版</w:t>
            </w:r>
            <w:r>
              <w:rPr>
                <w:rFonts w:hint="eastAsia" w:hAnsi="宋体" w:cs="宋体"/>
                <w:sz w:val="24"/>
                <w:lang w:eastAsia="zh-CN"/>
              </w:rPr>
              <w:t>与电子版</w:t>
            </w:r>
            <w:r>
              <w:rPr>
                <w:rFonts w:hint="eastAsia" w:hAnsi="宋体" w:cs="宋体"/>
                <w:sz w:val="24"/>
              </w:rPr>
              <w:t>投标文件至招标代理公司处。</w:t>
            </w:r>
          </w:p>
          <w:p>
            <w:pPr>
              <w:autoSpaceDE w:val="0"/>
              <w:autoSpaceDN w:val="0"/>
              <w:adjustRightInd w:val="0"/>
              <w:spacing w:line="240" w:lineRule="auto"/>
              <w:rPr>
                <w:rFonts w:hint="eastAsia" w:ascii="宋体" w:hAnsi="宋体" w:eastAsia="宋体" w:cs="宋体"/>
                <w:color w:val="000000"/>
                <w:sz w:val="24"/>
                <w:szCs w:val="24"/>
                <w:u w:val="none"/>
              </w:rPr>
            </w:pPr>
            <w:r>
              <w:rPr>
                <w:rFonts w:hint="eastAsia" w:ascii="宋体" w:hAnsi="宋体" w:eastAsia="宋体" w:cs="宋体"/>
                <w:color w:val="000000"/>
                <w:kern w:val="0"/>
                <w:sz w:val="24"/>
                <w:szCs w:val="24"/>
                <w:u w:val="none"/>
                <w:lang w:val="en-US" w:eastAsia="zh-CN"/>
              </w:rPr>
              <w:t>注：不分册装订，采用</w:t>
            </w:r>
            <w:r>
              <w:rPr>
                <w:rFonts w:hint="eastAsia" w:ascii="宋体" w:hAnsi="宋体" w:eastAsia="宋体" w:cs="宋体"/>
                <w:b/>
                <w:bCs/>
                <w:color w:val="000000"/>
                <w:kern w:val="0"/>
                <w:sz w:val="24"/>
                <w:szCs w:val="24"/>
                <w:u w:val="single"/>
                <w:lang w:val="en-US" w:eastAsia="zh-CN"/>
              </w:rPr>
              <w:t>死页胶装</w:t>
            </w:r>
            <w:r>
              <w:rPr>
                <w:rFonts w:hint="eastAsia" w:ascii="宋体" w:hAnsi="宋体" w:eastAsia="宋体" w:cs="宋体"/>
                <w:color w:val="000000"/>
                <w:kern w:val="0"/>
                <w:sz w:val="24"/>
                <w:szCs w:val="24"/>
                <w:u w:val="none"/>
                <w:lang w:val="en-US" w:eastAsia="zh-CN"/>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4.2.2</w:t>
            </w:r>
          </w:p>
        </w:tc>
        <w:tc>
          <w:tcPr>
            <w:tcW w:w="2647"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r>
              <w:rPr>
                <w:rFonts w:hint="eastAsia" w:ascii="宋体" w:hAnsi="宋体" w:eastAsia="宋体" w:cs="宋体"/>
                <w:b/>
                <w:bCs/>
                <w:color w:val="000000"/>
                <w:sz w:val="24"/>
                <w:szCs w:val="24"/>
                <w:u w:val="none"/>
                <w:lang w:val="en-US" w:eastAsia="zh-CN"/>
              </w:rPr>
              <w:t>封套内容</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项目名称：</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项目编码：</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招标人名称：</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投标人名称：</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法定代表人：</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投标人地址：</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联系电话：</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响应文件在2021年12月20日16:00 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4.3.2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响应文件递交截止时间</w:t>
            </w:r>
            <w:r>
              <w:rPr>
                <w:rFonts w:hint="eastAsia" w:ascii="宋体" w:hAnsi="宋体" w:cs="宋体"/>
                <w:b/>
                <w:bCs/>
                <w:color w:val="000000"/>
                <w:sz w:val="24"/>
                <w:szCs w:val="24"/>
                <w:u w:val="none"/>
                <w:lang w:eastAsia="zh-CN"/>
              </w:rPr>
              <w:t>及地点</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时间：2021年12月20日16:00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地点：政采云网上不见面开评标系统</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备注：应按照本项目竞争性磋商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磋商时间</w:t>
            </w:r>
            <w:r>
              <w:rPr>
                <w:rFonts w:hint="eastAsia" w:ascii="宋体" w:hAnsi="宋体" w:cs="宋体"/>
                <w:b/>
                <w:bCs/>
                <w:color w:val="000000"/>
                <w:sz w:val="24"/>
                <w:szCs w:val="24"/>
                <w:u w:val="none"/>
                <w:lang w:eastAsia="zh-CN"/>
              </w:rPr>
              <w:t>及</w:t>
            </w:r>
            <w:r>
              <w:rPr>
                <w:rFonts w:hint="eastAsia" w:ascii="宋体" w:hAnsi="宋体" w:eastAsia="宋体" w:cs="宋体"/>
                <w:b/>
                <w:bCs/>
                <w:color w:val="000000"/>
                <w:sz w:val="24"/>
                <w:szCs w:val="24"/>
                <w:u w:val="none"/>
              </w:rPr>
              <w:t>地点</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时间：2021年12月20日16:00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地点：政采云网上不见面开评标系统</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sz w:val="24"/>
                <w:u w:val="none"/>
                <w:lang w:val="en-US" w:eastAsia="zh-CN"/>
              </w:rPr>
              <w:t xml:space="preserve">备注:供应商需要使用CA锁，登录政府采购云平台电子投标客户端制作响应文件，将生成的"JMBS 格式电子加密响应文件”上传递交至“政府采购云平台”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117" w:type="dxa"/>
            <w:vMerge w:val="restart"/>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eastAsia="zh-CN"/>
              </w:rPr>
              <w:t>投标报价</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1、磋商轮数:两轮（采取第一轮响应文件报价，最终一轮政采云不面系统报价）注：政采云系统报价时间为30分钟。</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2、按照《中华人民共和国招标投标法》第三十三条投标人不得以低于成本的报价竞标。</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最后一轮磋商结束后，并由供应商代表在政采云系统签字确认。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17" w:type="dxa"/>
            <w:vMerge w:val="continue"/>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p>
        </w:tc>
        <w:tc>
          <w:tcPr>
            <w:tcW w:w="2647" w:type="dxa"/>
            <w:vAlign w:val="center"/>
          </w:tcPr>
          <w:p>
            <w:pPr>
              <w:spacing w:before="12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auto"/>
                <w:sz w:val="24"/>
                <w:szCs w:val="24"/>
                <w:highlight w:val="none"/>
                <w:u w:val="none"/>
                <w:lang w:eastAsia="zh-CN"/>
              </w:rPr>
              <w:t>是否公开开启响应文件</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是</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6.1.1</w:t>
            </w:r>
          </w:p>
        </w:tc>
        <w:tc>
          <w:tcPr>
            <w:tcW w:w="2647"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000000"/>
                <w:sz w:val="24"/>
                <w:szCs w:val="24"/>
                <w:u w:val="none"/>
              </w:rPr>
              <w:t>磋商小组的组建及确定方式</w:t>
            </w:r>
          </w:p>
        </w:tc>
        <w:tc>
          <w:tcPr>
            <w:tcW w:w="6038"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招标采购单位依法组建磋商小组共 3 人组成，其中采购人代表</w:t>
            </w:r>
            <w:r>
              <w:rPr>
                <w:rFonts w:hint="eastAsia" w:ascii="宋体" w:hAnsi="宋体" w:eastAsia="宋体" w:cs="宋体"/>
                <w:kern w:val="0"/>
                <w:sz w:val="24"/>
                <w:u w:val="single"/>
                <w:lang w:val="en-US" w:eastAsia="zh-CN"/>
              </w:rPr>
              <w:t xml:space="preserve">  0  </w:t>
            </w:r>
            <w:r>
              <w:rPr>
                <w:rFonts w:hint="eastAsia" w:ascii="宋体" w:hAnsi="宋体" w:eastAsia="宋体" w:cs="宋体"/>
                <w:kern w:val="0"/>
                <w:sz w:val="24"/>
                <w:lang w:val="en-US" w:eastAsia="zh-CN"/>
              </w:rPr>
              <w:t>人和专家评委__</w:t>
            </w:r>
            <w:r>
              <w:rPr>
                <w:rFonts w:hint="eastAsia" w:ascii="宋体" w:hAnsi="宋体" w:eastAsia="宋体" w:cs="宋体"/>
                <w:kern w:val="0"/>
                <w:sz w:val="24"/>
                <w:u w:val="single"/>
                <w:lang w:val="en-US" w:eastAsia="zh-CN"/>
              </w:rPr>
              <w:t>3</w:t>
            </w:r>
            <w:r>
              <w:rPr>
                <w:rFonts w:hint="eastAsia" w:ascii="宋体" w:hAnsi="宋体" w:eastAsia="宋体" w:cs="宋体"/>
                <w:kern w:val="0"/>
                <w:sz w:val="24"/>
                <w:lang w:val="en-US" w:eastAsia="zh-CN"/>
              </w:rPr>
              <w:t>__人。</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专家确定方式：</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☑政府采购云平台线上自行抽取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7.1.3</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成交结果公告媒介</w:t>
            </w:r>
          </w:p>
        </w:tc>
        <w:tc>
          <w:tcPr>
            <w:tcW w:w="6038" w:type="dxa"/>
            <w:vAlign w:val="center"/>
          </w:tcPr>
          <w:p>
            <w:pPr>
              <w:adjustRightInd w:val="0"/>
              <w:snapToGrid w:val="0"/>
              <w:spacing w:before="120" w:beforeLines="50" w:line="240" w:lineRule="auto"/>
              <w:jc w:val="left"/>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auto"/>
                <w:sz w:val="24"/>
                <w:szCs w:val="24"/>
                <w:u w:val="none"/>
              </w:rPr>
              <w:t>采购人认为</w:t>
            </w:r>
            <w:r>
              <w:rPr>
                <w:rFonts w:hint="eastAsia" w:ascii="宋体" w:hAnsi="宋体" w:cs="宋体"/>
                <w:b/>
                <w:bCs/>
                <w:color w:val="auto"/>
                <w:sz w:val="24"/>
                <w:szCs w:val="24"/>
                <w:u w:val="none"/>
                <w:lang w:eastAsia="zh-CN"/>
              </w:rPr>
              <w:t>需要</w:t>
            </w:r>
            <w:r>
              <w:rPr>
                <w:rFonts w:hint="eastAsia" w:ascii="宋体" w:hAnsi="宋体" w:eastAsia="宋体" w:cs="宋体"/>
                <w:b/>
                <w:bCs/>
                <w:color w:val="auto"/>
                <w:sz w:val="24"/>
                <w:szCs w:val="24"/>
                <w:u w:val="none"/>
              </w:rPr>
              <w:t>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w:t>
            </w:r>
          </w:p>
        </w:tc>
        <w:tc>
          <w:tcPr>
            <w:tcW w:w="2647" w:type="dxa"/>
            <w:vAlign w:val="center"/>
          </w:tcPr>
          <w:p>
            <w:pPr>
              <w:spacing w:line="240" w:lineRule="auto"/>
              <w:jc w:val="center"/>
              <w:rPr>
                <w:rFonts w:hint="eastAsia" w:ascii="宋体" w:hAnsi="宋体" w:eastAsia="宋体" w:cs="宋体"/>
                <w:b/>
                <w:bCs/>
                <w:color w:val="000000"/>
                <w:kern w:val="0"/>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kern w:val="0"/>
                <w:sz w:val="24"/>
                <w:szCs w:val="24"/>
                <w:u w:val="none"/>
              </w:rPr>
              <w:t>履约保证金</w:t>
            </w:r>
          </w:p>
        </w:tc>
        <w:tc>
          <w:tcPr>
            <w:tcW w:w="6038" w:type="dxa"/>
            <w:vAlign w:val="center"/>
          </w:tcPr>
          <w:p>
            <w:pPr>
              <w:pStyle w:val="71"/>
              <w:spacing w:line="24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lang w:val="en-US" w:eastAsia="zh-CN"/>
              </w:rPr>
              <w:t>☑</w:t>
            </w:r>
            <w:r>
              <w:rPr>
                <w:rFonts w:hint="eastAsia" w:ascii="宋体" w:hAnsi="宋体" w:eastAsia="宋体" w:cs="宋体"/>
                <w:kern w:val="0"/>
                <w:sz w:val="24"/>
              </w:rPr>
              <w:t>要求，履约保证金的形式：</w:t>
            </w:r>
            <w:r>
              <w:rPr>
                <w:rFonts w:hint="eastAsia" w:ascii="宋体" w:hAnsi="宋体" w:eastAsia="宋体" w:cs="宋体"/>
                <w:kern w:val="0"/>
                <w:sz w:val="24"/>
                <w:lang w:val="en-US" w:eastAsia="zh-CN"/>
              </w:rPr>
              <w:t>支票、汇票、本票等非现金形式</w:t>
            </w:r>
            <w:r>
              <w:rPr>
                <w:rFonts w:hint="eastAsia" w:ascii="宋体" w:hAnsi="宋体" w:cs="宋体"/>
                <w:kern w:val="0"/>
                <w:sz w:val="24"/>
                <w:lang w:val="en-US" w:eastAsia="zh-CN"/>
              </w:rPr>
              <w:t>；</w:t>
            </w:r>
          </w:p>
          <w:p>
            <w:pPr>
              <w:pStyle w:val="71"/>
              <w:spacing w:line="240" w:lineRule="auto"/>
              <w:ind w:left="0" w:leftChars="0" w:firstLine="960" w:firstLineChars="400"/>
              <w:rPr>
                <w:rFonts w:hint="default" w:ascii="宋体" w:hAnsi="宋体" w:eastAsia="宋体" w:cs="宋体"/>
                <w:kern w:val="0"/>
                <w:sz w:val="24"/>
                <w:lang w:val="en-US" w:eastAsia="zh-CN"/>
              </w:rPr>
            </w:pPr>
            <w:r>
              <w:rPr>
                <w:rFonts w:hint="eastAsia" w:ascii="宋体" w:hAnsi="宋体" w:eastAsia="宋体" w:cs="宋体"/>
                <w:kern w:val="0"/>
                <w:sz w:val="24"/>
              </w:rPr>
              <w:t>履约保证金的金额：</w:t>
            </w:r>
            <w:r>
              <w:rPr>
                <w:rFonts w:hint="eastAsia" w:ascii="宋体" w:hAnsi="宋体" w:cs="宋体"/>
                <w:kern w:val="0"/>
                <w:sz w:val="24"/>
                <w:lang w:val="en-US" w:eastAsia="zh-CN"/>
              </w:rPr>
              <w:t>10%；</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kern w:val="0"/>
                <w:sz w:val="24"/>
                <w:lang w:val="en-US" w:eastAsia="zh-CN"/>
              </w:rPr>
              <w:t>□</w:t>
            </w:r>
            <w:r>
              <w:rPr>
                <w:rFonts w:hint="eastAsia" w:ascii="宋体" w:hAnsi="宋体" w:eastAsia="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2</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本项目是</w:t>
            </w:r>
            <w:r>
              <w:rPr>
                <w:rFonts w:hint="eastAsia" w:ascii="宋体" w:hAnsi="宋体" w:eastAsia="宋体" w:cs="宋体"/>
                <w:b/>
                <w:bCs/>
                <w:color w:val="000000"/>
                <w:kern w:val="0"/>
                <w:sz w:val="24"/>
                <w:szCs w:val="24"/>
                <w:u w:val="none"/>
                <w:lang w:val="en-US" w:eastAsia="zh-CN"/>
              </w:rPr>
              <w:t>否</w:t>
            </w:r>
            <w:r>
              <w:rPr>
                <w:rFonts w:hint="eastAsia" w:ascii="宋体" w:hAnsi="宋体" w:eastAsia="宋体" w:cs="宋体"/>
                <w:b/>
                <w:bCs/>
                <w:color w:val="000000"/>
                <w:kern w:val="0"/>
                <w:sz w:val="24"/>
                <w:szCs w:val="24"/>
                <w:u w:val="none"/>
                <w:lang w:eastAsia="zh-CN"/>
              </w:rPr>
              <w:t>专门面向中小企业</w:t>
            </w:r>
          </w:p>
        </w:tc>
        <w:tc>
          <w:tcPr>
            <w:tcW w:w="6038" w:type="dxa"/>
            <w:vAlign w:val="center"/>
          </w:tcPr>
          <w:p>
            <w:pPr>
              <w:autoSpaceDE w:val="0"/>
              <w:autoSpaceDN w:val="0"/>
              <w:adjustRightInd w:val="0"/>
              <w:spacing w:line="240" w:lineRule="auto"/>
              <w:rPr>
                <w:rFonts w:hint="default" w:ascii="宋体" w:hAnsi="宋体" w:eastAsia="宋体" w:cs="宋体"/>
                <w:kern w:val="0"/>
                <w:sz w:val="24"/>
                <w:u w:val="none"/>
                <w:lang w:val="en-US" w:eastAsia="zh-CN"/>
              </w:rPr>
            </w:pPr>
            <w:r>
              <w:rPr>
                <w:rFonts w:hint="eastAsia" w:ascii="宋体" w:hAnsi="宋体" w:eastAsia="宋体" w:cs="宋体"/>
                <w:kern w:val="0"/>
                <w:sz w:val="24"/>
                <w:u w:val="none"/>
              </w:rPr>
              <w:t>□</w:t>
            </w:r>
            <w:r>
              <w:rPr>
                <w:rFonts w:hint="eastAsia" w:ascii="宋体" w:hAnsi="宋体" w:eastAsia="宋体" w:cs="宋体"/>
                <w:kern w:val="0"/>
                <w:sz w:val="24"/>
                <w:u w:val="none"/>
                <w:lang w:eastAsia="zh-CN"/>
              </w:rPr>
              <w:t>是，中小企业需要满足的要求：</w:t>
            </w:r>
            <w:r>
              <w:rPr>
                <w:rFonts w:hint="eastAsia" w:ascii="宋体" w:hAnsi="宋体" w:eastAsia="宋体" w:cs="宋体"/>
                <w:kern w:val="0"/>
                <w:sz w:val="24"/>
                <w:u w:val="none"/>
                <w:lang w:val="en-US" w:eastAsia="zh-CN"/>
              </w:rPr>
              <w:t>/</w:t>
            </w:r>
          </w:p>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val="en-US" w:eastAsia="zh-CN"/>
              </w:rPr>
              <w:t>☑</w:t>
            </w:r>
            <w:r>
              <w:rPr>
                <w:rFonts w:hint="eastAsia" w:ascii="宋体" w:hAnsi="宋体" w:eastAsia="宋体" w:cs="宋体"/>
                <w:kern w:val="0"/>
                <w:sz w:val="24"/>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中小企业</w:t>
            </w:r>
            <w:r>
              <w:rPr>
                <w:rFonts w:hint="eastAsia" w:ascii="宋体" w:hAnsi="宋体" w:eastAsia="宋体" w:cs="宋体"/>
                <w:b/>
                <w:bCs/>
                <w:color w:val="000000"/>
                <w:kern w:val="0"/>
                <w:sz w:val="24"/>
                <w:szCs w:val="24"/>
                <w:u w:val="none"/>
                <w:lang w:eastAsia="zh-CN"/>
              </w:rPr>
              <w:t>扶持</w:t>
            </w:r>
            <w:r>
              <w:rPr>
                <w:rFonts w:hint="eastAsia" w:ascii="宋体" w:hAnsi="宋体" w:eastAsia="宋体" w:cs="宋体"/>
                <w:b/>
                <w:bCs/>
                <w:color w:val="000000"/>
                <w:kern w:val="0"/>
                <w:sz w:val="24"/>
                <w:szCs w:val="24"/>
                <w:u w:val="none"/>
              </w:rPr>
              <w:t>政策</w:t>
            </w:r>
          </w:p>
        </w:tc>
        <w:tc>
          <w:tcPr>
            <w:tcW w:w="6038"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4</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本项目所属行业</w:t>
            </w:r>
          </w:p>
        </w:tc>
        <w:tc>
          <w:tcPr>
            <w:tcW w:w="6038"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cs="宋体"/>
                <w:color w:val="000000"/>
                <w:kern w:val="0"/>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5</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优先采购</w:t>
            </w:r>
            <w:r>
              <w:rPr>
                <w:rFonts w:hint="eastAsia" w:ascii="宋体" w:hAnsi="宋体" w:eastAsia="宋体" w:cs="宋体"/>
                <w:b/>
                <w:bCs/>
                <w:color w:val="000000"/>
                <w:kern w:val="0"/>
                <w:sz w:val="24"/>
                <w:szCs w:val="24"/>
                <w:u w:val="none"/>
              </w:rPr>
              <w:t>节能、</w:t>
            </w:r>
            <w:r>
              <w:rPr>
                <w:rFonts w:hint="eastAsia" w:ascii="宋体" w:hAnsi="宋体" w:eastAsia="宋体" w:cs="宋体"/>
                <w:b/>
                <w:bCs/>
                <w:color w:val="000000"/>
                <w:kern w:val="0"/>
                <w:sz w:val="24"/>
                <w:szCs w:val="24"/>
                <w:u w:val="none"/>
                <w:lang w:eastAsia="zh-CN"/>
              </w:rPr>
              <w:t>环境标志产品</w:t>
            </w:r>
          </w:p>
        </w:tc>
        <w:tc>
          <w:tcPr>
            <w:tcW w:w="6038"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6</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重大违法记录</w:t>
            </w:r>
          </w:p>
        </w:tc>
        <w:tc>
          <w:tcPr>
            <w:tcW w:w="6038"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7</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kern w:val="2"/>
                <w:sz w:val="24"/>
                <w:szCs w:val="24"/>
                <w:u w:val="none"/>
                <w:lang w:val="en-US" w:eastAsia="zh-CN" w:bidi="ar-SA"/>
              </w:rPr>
              <w:t>响应文件要求</w:t>
            </w:r>
          </w:p>
        </w:tc>
        <w:tc>
          <w:tcPr>
            <w:tcW w:w="6038" w:type="dxa"/>
            <w:vAlign w:val="center"/>
          </w:tcPr>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2、各供应商应在开标前确保是新疆维吾尔自治区政府采购网正式注册入库的供应商，并完成CA数字证书申领。因未注册入库、未办理CA数字证书等原因造成无法投标或投标失败等后果的由供应商自行承担。3、供应商可前往新疆政府采购网http:/www.ccgp-xinjin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4、供应商在开标时须携带制作加密电子响应文件所使用的CA锁，电脑须提前配置好浏览器(建议使用360 浏览器或谷歌浏览器)，以便开标时在线解密。</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5、投标供应商应当在投标截止时间前，将生成的“JMBS格式电子加密响应文件”上传递交至“政府采购云平台”，投标截止时间以后上传递交的响应文件将被“政府采购云平台”拒收。6、评标结束后，各投标单位须在一周内按采购文件要求将纸质版投标文件递交至</w:t>
            </w:r>
            <w:r>
              <w:rPr>
                <w:rFonts w:hint="eastAsia" w:ascii="宋体" w:hAnsi="宋体" w:cs="宋体"/>
                <w:kern w:val="0"/>
                <w:sz w:val="24"/>
                <w:highlight w:val="none"/>
                <w:lang w:val="en-US" w:eastAsia="zh-CN"/>
              </w:rPr>
              <w:t>新疆阿克苏市左岸明珠7号楼二单元208室</w:t>
            </w:r>
            <w:r>
              <w:rPr>
                <w:rFonts w:hint="eastAsia" w:ascii="宋体" w:hAnsi="宋体" w:eastAsia="宋体" w:cs="宋体"/>
                <w:kern w:val="0"/>
                <w:sz w:val="24"/>
                <w:highlight w:val="none"/>
                <w:lang w:val="en-US" w:eastAsia="zh-CN"/>
              </w:rPr>
              <w:t>(所产生的的费用投标单位自理)。纸质版投标文件可通过加密电子版投标文件打印生成，应当与电子版投标文件一致。[1、份数要求:正本壹份、副本</w:t>
            </w:r>
            <w:r>
              <w:rPr>
                <w:rFonts w:hint="eastAsia" w:ascii="宋体" w:hAnsi="宋体" w:cs="宋体"/>
                <w:kern w:val="0"/>
                <w:sz w:val="24"/>
                <w:highlight w:val="none"/>
                <w:lang w:val="en-US" w:eastAsia="zh-CN"/>
              </w:rPr>
              <w:t>叁</w:t>
            </w:r>
            <w:r>
              <w:rPr>
                <w:rFonts w:hint="eastAsia" w:ascii="宋体" w:hAnsi="宋体" w:eastAsia="宋体" w:cs="宋体"/>
                <w:kern w:val="0"/>
                <w:sz w:val="24"/>
                <w:highlight w:val="none"/>
                <w:lang w:val="en-US" w:eastAsia="zh-CN"/>
              </w:rPr>
              <w:t>份，电子标U盘壹份(</w:t>
            </w:r>
            <w:r>
              <w:rPr>
                <w:rFonts w:hint="eastAsia" w:ascii="宋体" w:hAnsi="宋体" w:cs="宋体"/>
                <w:kern w:val="0"/>
                <w:sz w:val="24"/>
                <w:highlight w:val="none"/>
                <w:lang w:val="en-US" w:eastAsia="zh-CN"/>
              </w:rPr>
              <w:t>为正本扫描件</w:t>
            </w:r>
            <w:r>
              <w:rPr>
                <w:rFonts w:hint="eastAsia" w:ascii="宋体" w:hAnsi="宋体" w:eastAsia="宋体" w:cs="宋体"/>
                <w:kern w:val="0"/>
                <w:sz w:val="24"/>
                <w:highlight w:val="none"/>
                <w:lang w:val="en-US" w:eastAsia="zh-CN"/>
              </w:rPr>
              <w:t>)。2、装订要求:响应文件商务技术部分装订成一册，响应文件的装订必须采用死页胶粘本。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8</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sz w:val="24"/>
                <w:szCs w:val="24"/>
              </w:rPr>
              <w:t>政府采购其他政策</w:t>
            </w:r>
          </w:p>
        </w:tc>
        <w:tc>
          <w:tcPr>
            <w:tcW w:w="6038" w:type="dxa"/>
            <w:vAlign w:val="center"/>
          </w:tcPr>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1、政府采购强制采购:(1)标记*符号的节能产品;(2)其他采购《节能产品政府采购清单》内的产品。 2、政府采购优先采购:(1)非标记符号的节能产品;(2)环境标志产品;3、采购产品为《节能产品政府采购清单》内非标记*符号的节能产品政府采购其他政策及《环境标志产品政府采购清单》内的产品:响应文件中对所投标产品为节能、环境标志产品青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9</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sz w:val="24"/>
                <w:szCs w:val="24"/>
              </w:rPr>
              <w:t>支持中小微企业发展</w:t>
            </w:r>
          </w:p>
        </w:tc>
        <w:tc>
          <w:tcPr>
            <w:tcW w:w="6038" w:type="dxa"/>
            <w:vAlign w:val="center"/>
          </w:tcPr>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根据中华人民共和国财政部、中华人民共和国工业和信息化部《政府采购促进中小企业发展管理办法》(财库(2020) 46号)文件的规定，属于中小企业评审优惠内容及幅度如下:</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(一)中小企业(含中型、小型、微型企业)应当同时符合以下条件:1、符合中小企业划分标准(按《关于印发中小企业划型标准规定的通知》(工信部联企业(2011) 300号)执行) ;2、提供本企业制造的货物、承担的项目或者服务，或者提供其他中小支持中小企业发展企业制造的货物。本项所称货物不包括使用大型企业注册商标的货物;3、小型、微型企业提供中型企业制造的货物的，视同为中型企业。</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(二)价格扣除办法:</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对于非专门面向中小企业的项目，对小型和微型企业(或联合体各方均为小型、微型企业的)产品的价格给予6%的扣除，用扣除后的价格参加评审。</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(三)小型和微型企业适用价格扣除办法时应提供的相关资料:《中小企业声明函》及证明材料</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政府采购支持中小企业融资:有融资需求的，可查询相关业务。政府采购信用担保:有担保需求的，可查询相关业务。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10</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sz w:val="24"/>
                <w:szCs w:val="24"/>
              </w:rPr>
              <w:t>低于成本不正当竞争预防措施</w:t>
            </w:r>
          </w:p>
        </w:tc>
        <w:tc>
          <w:tcPr>
            <w:tcW w:w="6038" w:type="dxa"/>
            <w:vAlign w:val="center"/>
          </w:tcPr>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根据“财政部87号令《政府采购货物服务招标投标管理办法》”第六十条之规定:评标委员会认为投标人报价明显低于其他通过符合性审查投标人的报价，有可能影响产品质里或者不能诚信履约的，应当要求其在评标现场合理的时间内提供书面说明，必要时提交相关证明材料:投标人不能证明其报价合理性的，评标委员会应当将其作为无效投标处理。</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评标委员会应当要求其在评标现场合理的时间内提供成本构成书面说明，并提交相关证明材料。供应商书面说明应当按照国家财务会计低于成本价不正当制度的规定要求，逐项就供应商提供的货物、工程和服务的主营业务预防措施成本(应根据供应商企业类型予以区别)、税金及附加、销售美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11</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sz w:val="24"/>
                <w:szCs w:val="24"/>
              </w:rPr>
              <w:t>竞争性磋商文件的澄清与质疑</w:t>
            </w:r>
          </w:p>
        </w:tc>
        <w:tc>
          <w:tcPr>
            <w:tcW w:w="6038" w:type="dxa"/>
            <w:vAlign w:val="center"/>
          </w:tcPr>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供应商对政府采购活动事项有疑问的，可以向被质疑人提出询问，被质疑人应当及时予以答复，但答复的内容不得涉及商业秘密。供应商询问和质疑实行实名制。供应商询问和质疑应当有事实根据，不得进行虚假、恶意询问或质疑，干扰政府采购正常的工作秩序。供应商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2、对竞争性磋商文件的澄青和质疑</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供应商应尽早领取竞争性磋商文件，若对竞争性磋商文件有疑问需要澄清或质疑，须在开标7日前由澄清或质疑方的法定代表人或授权投标人(必须为法定代表人授权进行该项目投标的被授权人)以书面形式向采购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青晰、有效，并要求由该身份证持有人在印件正反面非空白位置注明“该复印件用于在项目名称)澄清或质疑使用”字样，并由身份证持有人签字确认。上述资料均须加盖公章。采购人在投标截止日3天前根据澄清或质疑函的具体内容相应作出答复或不予答复，管复内容不得涉及商业秘密。作出答复的将以书面形式通知提出澄清或质疑的供应商和其他有关投标人，或在新疆政府采购网上予以公布。递交质疑的供应商和其他有关供应商在被告知收到上述公告、通知或答疑书后，应立即向采购人回函确认。未确认情况应当视为对质疑答复的知晓，也将视为对质疑答复内容接受的默认。对于未在响应文件中对修改内容做实质性响应的，对其产生的不利因素由未确认者自行承担。同时采购人可以酌情延长投标截止时间。</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对招标过程和拟中标结果的质疑：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s 招标人应在受理投标人的书面质疑后，根据质疑函的具体内容及时向递交质疑函的供应商作出管复或不予管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告复的知晓，也将视为对质疑答复内容接受的默认。</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4、澄清或质疑不予受理的情况，有下列情形之一的，属于无效质疑，</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被质疑人不予受理，因此产生的影响由供应商自行承担:</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 1、不是参与该政府采购项目活动供应商的</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 2、被质疑人为采购人或政府采购代理机构之外的;</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 3、所有质疑事项超过质疑有效期的;</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 4、以具有法律效力的文书送达之外方式提出的;</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 5、未按上述规定递交澄青或质疑函的;</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 6、其它不符合受理条件的情形。</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 5、其他</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 澄清或质疑函递交地点:</w:t>
            </w:r>
            <w:r>
              <w:rPr>
                <w:rFonts w:hint="eastAsia" w:ascii="宋体" w:hAnsi="宋体" w:cs="宋体"/>
                <w:kern w:val="0"/>
                <w:sz w:val="24"/>
                <w:highlight w:val="none"/>
                <w:lang w:val="en-US" w:eastAsia="zh-CN"/>
              </w:rPr>
              <w:t>新疆阿克苏市左岸明珠7号楼二单元208室</w:t>
            </w:r>
          </w:p>
          <w:p>
            <w:pPr>
              <w:spacing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 联系电话:</w:t>
            </w:r>
            <w:r>
              <w:rPr>
                <w:rFonts w:hint="eastAsia" w:ascii="宋体" w:hAnsi="宋体" w:cs="宋体"/>
                <w:kern w:val="0"/>
                <w:sz w:val="24"/>
                <w:highlight w:val="none"/>
                <w:lang w:val="en-US" w:eastAsia="zh-CN"/>
              </w:rPr>
              <w:t>15292303654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12</w:t>
            </w:r>
          </w:p>
        </w:tc>
        <w:tc>
          <w:tcPr>
            <w:tcW w:w="2647"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lang w:val="en-US" w:eastAsia="zh-CN"/>
              </w:rPr>
              <w:t>代理</w:t>
            </w:r>
            <w:r>
              <w:rPr>
                <w:rFonts w:hint="eastAsia" w:ascii="宋体" w:hAnsi="宋体" w:eastAsia="宋体" w:cs="宋体"/>
                <w:b/>
                <w:bCs/>
                <w:color w:val="000000"/>
                <w:sz w:val="24"/>
                <w:szCs w:val="24"/>
                <w:u w:val="none"/>
              </w:rPr>
              <w:t>服务费</w:t>
            </w:r>
          </w:p>
        </w:tc>
        <w:tc>
          <w:tcPr>
            <w:tcW w:w="6038" w:type="dxa"/>
            <w:vAlign w:val="center"/>
          </w:tcPr>
          <w:p>
            <w:pPr>
              <w:spacing w:line="240" w:lineRule="auto"/>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highlight w:val="none"/>
                <w:lang w:val="en-US" w:eastAsia="zh-CN"/>
              </w:rPr>
              <w:t>代理服务费：按国家标准收取，</w:t>
            </w:r>
            <w:r>
              <w:rPr>
                <w:rFonts w:hint="eastAsia" w:ascii="宋体" w:hAnsi="宋体" w:cs="宋体"/>
                <w:kern w:val="0"/>
                <w:sz w:val="24"/>
                <w:highlight w:val="none"/>
                <w:lang w:val="en-US" w:eastAsia="zh-CN"/>
              </w:rPr>
              <w:t>由</w:t>
            </w:r>
            <w:r>
              <w:rPr>
                <w:rFonts w:hint="eastAsia" w:ascii="宋体" w:hAnsi="宋体" w:eastAsia="宋体" w:cs="宋体"/>
                <w:kern w:val="0"/>
                <w:sz w:val="24"/>
                <w:highlight w:val="none"/>
                <w:lang w:val="en-US" w:eastAsia="zh-CN"/>
              </w:rPr>
              <w:t>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13</w:t>
            </w:r>
          </w:p>
        </w:tc>
        <w:tc>
          <w:tcPr>
            <w:tcW w:w="2647"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场地服务费</w:t>
            </w:r>
          </w:p>
        </w:tc>
        <w:tc>
          <w:tcPr>
            <w:tcW w:w="6038" w:type="dxa"/>
            <w:vAlign w:val="center"/>
          </w:tcPr>
          <w:p>
            <w:pPr>
              <w:pStyle w:val="32"/>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投标人在提交投标文件时，需按交易场所的规定缴纳场地使用费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14</w:t>
            </w:r>
          </w:p>
        </w:tc>
        <w:tc>
          <w:tcPr>
            <w:tcW w:w="2647"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公证费</w:t>
            </w:r>
          </w:p>
        </w:tc>
        <w:tc>
          <w:tcPr>
            <w:tcW w:w="6038" w:type="dxa"/>
            <w:vAlign w:val="center"/>
          </w:tcPr>
          <w:p>
            <w:pPr>
              <w:pStyle w:val="32"/>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val="en-US" w:eastAsia="zh-CN"/>
              </w:rPr>
              <w:t>中标单位需按规定缴纳公证费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02" w:type="dxa"/>
            <w:gridSpan w:val="3"/>
            <w:vAlign w:val="center"/>
          </w:tcPr>
          <w:p>
            <w:pPr>
              <w:spacing w:line="240" w:lineRule="auto"/>
              <w:ind w:firstLine="480" w:firstLineChars="200"/>
              <w:rPr>
                <w:rFonts w:hint="eastAsia" w:ascii="宋体" w:hAnsi="宋体" w:eastAsia="宋体" w:cs="宋体"/>
                <w:color w:val="000000"/>
                <w:kern w:val="2"/>
                <w:sz w:val="24"/>
                <w:szCs w:val="24"/>
                <w:u w:val="none"/>
                <w:lang w:val="en-US" w:eastAsia="zh-CN" w:bidi="ar-SA"/>
              </w:rPr>
            </w:pPr>
            <w:r>
              <w:rPr>
                <w:rFonts w:hint="eastAsia" w:ascii="宋体" w:hAnsi="宋体" w:eastAsia="宋体" w:cs="宋体"/>
                <w:kern w:val="0"/>
                <w:sz w:val="24"/>
                <w:szCs w:val="20"/>
                <w:highlight w:val="none"/>
                <w:lang w:val="en-US" w:eastAsia="zh-CN" w:bidi="ar-SA"/>
              </w:rPr>
              <w:t>为方便广大中小企业、政府部门和社会公众识别企业规模类型，工业和信息化部组织开发了中小企业规模类型自测小程序，并于2020年2月27日上线运行，在国务院客户端和工业和信息化部网站（https://www.miit.gov.cn/）上均有链接，广大中小企业和各类社会机构填写企业所属的行业和指标数据自动生成企业规模类型测试结果。</w:t>
            </w:r>
          </w:p>
        </w:tc>
      </w:tr>
    </w:tbl>
    <w:p>
      <w:pPr>
        <w:spacing w:line="440" w:lineRule="exact"/>
        <w:rPr>
          <w:rFonts w:hint="eastAsia"/>
          <w:lang w:eastAsia="zh-CN"/>
        </w:rPr>
        <w:sectPr>
          <w:footerReference r:id="rId6" w:type="default"/>
          <w:pgSz w:w="11906" w:h="16838"/>
          <w:pgMar w:top="1440" w:right="1080" w:bottom="1440" w:left="1080" w:header="851" w:footer="992" w:gutter="0"/>
          <w:pgNumType w:fmt="decimal" w:start="1"/>
          <w:cols w:space="425" w:num="1"/>
          <w:docGrid w:linePitch="312" w:charSpace="0"/>
        </w:sectPr>
      </w:pPr>
      <w:r>
        <w:rPr>
          <w:rFonts w:hint="eastAsia" w:ascii="宋体" w:hAnsi="宋体" w:eastAsia="宋体" w:cs="宋体"/>
          <w:b/>
          <w:bCs/>
          <w:kern w:val="0"/>
          <w:sz w:val="24"/>
          <w:szCs w:val="22"/>
        </w:rPr>
        <w:t>注：</w:t>
      </w:r>
      <w:r>
        <w:rPr>
          <w:rFonts w:hint="eastAsia" w:ascii="宋体" w:hAnsi="宋体" w:eastAsia="宋体" w:cs="宋体"/>
          <w:sz w:val="24"/>
          <w:szCs w:val="22"/>
          <w:lang w:val="en-US" w:eastAsia="zh-CN"/>
        </w:rPr>
        <w:t>1</w:t>
      </w:r>
      <w:r>
        <w:rPr>
          <w:rFonts w:hint="eastAsia" w:ascii="宋体" w:hAnsi="宋体" w:eastAsia="宋体" w:cs="宋体"/>
          <w:sz w:val="24"/>
          <w:szCs w:val="22"/>
        </w:rPr>
        <w:t>、本表内容与</w:t>
      </w:r>
      <w:r>
        <w:rPr>
          <w:rFonts w:hint="eastAsia" w:ascii="宋体" w:hAnsi="宋体" w:cs="宋体"/>
          <w:sz w:val="24"/>
          <w:szCs w:val="22"/>
          <w:lang w:eastAsia="zh-CN"/>
        </w:rPr>
        <w:t>磋商</w:t>
      </w:r>
      <w:r>
        <w:rPr>
          <w:rFonts w:hint="eastAsia" w:ascii="宋体" w:hAnsi="宋体" w:eastAsia="宋体" w:cs="宋体"/>
          <w:sz w:val="24"/>
          <w:szCs w:val="22"/>
        </w:rPr>
        <w:t>文件其它内容不一致的，应当以本表内容为准。</w:t>
      </w:r>
      <w:r>
        <w:rPr>
          <w:rFonts w:hint="eastAsia" w:ascii="宋体" w:hAnsi="宋体" w:eastAsia="宋体" w:cs="宋体"/>
          <w:kern w:val="0"/>
          <w:sz w:val="24"/>
          <w:szCs w:val="22"/>
          <w:lang w:val="en-US" w:eastAsia="zh-CN"/>
        </w:rPr>
        <w:t>2</w:t>
      </w:r>
      <w:r>
        <w:rPr>
          <w:rFonts w:hint="eastAsia" w:ascii="宋体" w:hAnsi="宋体" w:eastAsia="宋体" w:cs="宋体"/>
          <w:kern w:val="0"/>
          <w:sz w:val="24"/>
          <w:szCs w:val="22"/>
        </w:rPr>
        <w:t>、本表中“</w:t>
      </w:r>
      <w:r>
        <w:rPr>
          <w:rFonts w:hint="eastAsia" w:ascii="宋体" w:hAnsi="宋体" w:eastAsia="宋体" w:cs="宋体"/>
          <w:kern w:val="0"/>
          <w:sz w:val="24"/>
          <w:szCs w:val="22"/>
        </w:rPr>
        <w:fldChar w:fldCharType="begin"/>
      </w:r>
      <w:r>
        <w:rPr>
          <w:rFonts w:hint="eastAsia" w:ascii="宋体" w:hAnsi="宋体" w:eastAsia="宋体" w:cs="宋体"/>
          <w:kern w:val="0"/>
          <w:sz w:val="22"/>
          <w:szCs w:val="22"/>
        </w:rPr>
        <w:instrText xml:space="preserve"> eq \o\ac(</w:instrText>
      </w:r>
      <w:r>
        <w:rPr>
          <w:rFonts w:hint="eastAsia" w:ascii="宋体" w:hAnsi="宋体" w:eastAsia="宋体" w:cs="宋体"/>
          <w:kern w:val="0"/>
          <w:position w:val="-4"/>
          <w:sz w:val="33"/>
          <w:szCs w:val="22"/>
        </w:rPr>
        <w:instrText xml:space="preserve">□</w:instrText>
      </w:r>
      <w:r>
        <w:rPr>
          <w:rFonts w:hint="eastAsia" w:ascii="宋体" w:hAnsi="宋体" w:eastAsia="宋体" w:cs="宋体"/>
          <w:kern w:val="0"/>
          <w:position w:val="0"/>
          <w:sz w:val="22"/>
          <w:szCs w:val="22"/>
        </w:rPr>
        <w:instrText xml:space="preserve">,√)</w:instrText>
      </w:r>
      <w:r>
        <w:rPr>
          <w:rFonts w:hint="eastAsia" w:ascii="宋体" w:hAnsi="宋体" w:eastAsia="宋体" w:cs="宋体"/>
          <w:kern w:val="0"/>
          <w:sz w:val="24"/>
          <w:szCs w:val="22"/>
        </w:rPr>
        <w:fldChar w:fldCharType="end"/>
      </w:r>
      <w:r>
        <w:rPr>
          <w:rFonts w:hint="eastAsia" w:ascii="宋体" w:hAnsi="宋体" w:eastAsia="宋体" w:cs="宋体"/>
          <w:kern w:val="0"/>
          <w:sz w:val="24"/>
          <w:szCs w:val="22"/>
        </w:rPr>
        <w:t>”标示选择使用该项</w:t>
      </w:r>
      <w:r>
        <w:rPr>
          <w:rFonts w:hint="eastAsia" w:ascii="宋体" w:hAnsi="宋体" w:cs="宋体"/>
          <w:kern w:val="0"/>
          <w:sz w:val="24"/>
          <w:szCs w:val="22"/>
          <w:lang w:eastAsia="zh-CN"/>
        </w:rPr>
        <w:t>。</w:t>
      </w:r>
    </w:p>
    <w:bookmarkEnd w:id="3"/>
    <w:p>
      <w:pPr>
        <w:pStyle w:val="4"/>
        <w:pageBreakBefore w:val="0"/>
        <w:kinsoku/>
        <w:overflowPunct/>
        <w:autoSpaceDE/>
        <w:autoSpaceDN/>
        <w:bidi w:val="0"/>
        <w:spacing w:line="400" w:lineRule="exact"/>
        <w:rPr>
          <w:rFonts w:hint="eastAsia"/>
        </w:rPr>
      </w:pPr>
      <w:bookmarkStart w:id="9" w:name="_Toc455227390"/>
      <w:bookmarkEnd w:id="9"/>
      <w:bookmarkStart w:id="10" w:name="_Toc513029202"/>
      <w:bookmarkEnd w:id="10"/>
      <w:bookmarkStart w:id="11" w:name="_Toc120614213"/>
      <w:bookmarkEnd w:id="11"/>
      <w:bookmarkStart w:id="12" w:name="_Toc20823274"/>
      <w:bookmarkEnd w:id="12"/>
      <w:bookmarkStart w:id="13" w:name="_Toc16938518"/>
      <w:bookmarkEnd w:id="13"/>
      <w:bookmarkStart w:id="14" w:name="_Toc1621"/>
      <w:bookmarkStart w:id="15" w:name="_Toc20759"/>
      <w:r>
        <w:rPr>
          <w:rFonts w:hint="eastAsia"/>
        </w:rPr>
        <w:t>一、说明</w:t>
      </w:r>
      <w:bookmarkEnd w:id="14"/>
      <w:bookmarkEnd w:id="15"/>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1.1适用范围</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1.2定义</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1.3货物</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kern w:val="0"/>
          <w:sz w:val="24"/>
          <w:szCs w:val="24"/>
        </w:rPr>
        <w:t>提供的货物必须是其合法生产的符合国家有关标准要求的货物，并能够按照合同规定的品牌、产地、质量、价格和有效期等履约。</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lang w:eastAsia="zh-CN"/>
        </w:rPr>
        <w:t>磋商</w:t>
      </w:r>
      <w:r>
        <w:rPr>
          <w:rFonts w:hint="eastAsia" w:ascii="宋体" w:hAnsi="宋体" w:eastAsia="宋体" w:cs="宋体"/>
          <w:b/>
          <w:sz w:val="24"/>
          <w:szCs w:val="24"/>
        </w:rPr>
        <w:t>供应商资格要求</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符合供应商须知前附表所规定的供应商资格要求，并满足本文件实质性要求和条件的规定。</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1.4.2</w:t>
      </w:r>
      <w:r>
        <w:rPr>
          <w:rFonts w:hint="eastAsia" w:ascii="宋体" w:hAnsi="宋体" w:eastAsia="宋体" w:cs="宋体"/>
          <w:color w:val="auto"/>
          <w:sz w:val="24"/>
          <w:szCs w:val="24"/>
        </w:rPr>
        <w:t>投</w:t>
      </w:r>
      <w:r>
        <w:rPr>
          <w:rFonts w:hint="eastAsia" w:ascii="宋体" w:hAnsi="宋体" w:eastAsia="宋体" w:cs="宋体"/>
          <w:sz w:val="24"/>
          <w:szCs w:val="24"/>
        </w:rPr>
        <w:t>标人或投标人之间如果存在下列情形之一的，不得同时参加同一包（标段）或者不分包（标段）的同一项目投标：</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（4）在近三年内发生重大产品质量问题（以相关行业主管部门的行政处罚决定或司法机关出具的有关法律文书为准）；</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（7）在“中国政府采购网”网站（http://www.ccgp.gov.cn/）中列入政府采购严重违法失信行为信息记录名单；</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（8）法律法规规定的其他情形。</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供应商须知前附表规定接受联合体投标的，联合体除应符合上述资格要求外，还应遵守以下规定：</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两个以上供应商可以组成一个联合体，以一个供应商的身份共同参与磋商。</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联合体各方之间必须签订联合磋商协议，明确约定联合体主体及各方承担的工作和相应的责任，其响应文件中必须提供联合磋商协议。</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w:t>
      </w:r>
      <w:r>
        <w:rPr>
          <w:rFonts w:hint="eastAsia" w:hAnsi="宋体" w:cs="宋体"/>
          <w:b/>
          <w:color w:val="auto"/>
          <w:sz w:val="24"/>
          <w:szCs w:val="24"/>
          <w:lang w:eastAsia="zh-CN"/>
        </w:rPr>
        <w:t>磋商</w:t>
      </w:r>
      <w:r>
        <w:rPr>
          <w:rFonts w:hint="eastAsia" w:ascii="宋体" w:hAnsi="宋体" w:eastAsia="宋体" w:cs="宋体"/>
          <w:b/>
          <w:sz w:val="24"/>
          <w:szCs w:val="24"/>
        </w:rPr>
        <w:t>文件的约束力</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w:t>
      </w:r>
      <w:r>
        <w:rPr>
          <w:rFonts w:hint="eastAsia" w:ascii="宋体" w:hAnsi="宋体" w:cs="宋体"/>
          <w:sz w:val="24"/>
          <w:szCs w:val="24"/>
          <w:lang w:eastAsia="zh-CN"/>
        </w:rPr>
        <w:t>磋商文件</w:t>
      </w:r>
      <w:r>
        <w:rPr>
          <w:rFonts w:hint="eastAsia" w:ascii="宋体" w:hAnsi="宋体" w:eastAsia="宋体" w:cs="宋体"/>
          <w:sz w:val="24"/>
          <w:szCs w:val="24"/>
        </w:rPr>
        <w:t>不单独提供供货使用地的自然环境、气候条件、公用设施等情况，投标人被视为熟悉上述与履行合同有关的一切情况。</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文件中用文字规定或标注“★”符号的条款为实质性要求和条件；未用文字规定或“★”符号标注的条款为非实质性要求和条件。</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w:t>
      </w:r>
      <w:r>
        <w:rPr>
          <w:rFonts w:hint="eastAsia" w:ascii="宋体" w:hAnsi="宋体" w:cs="宋体"/>
          <w:sz w:val="24"/>
          <w:szCs w:val="24"/>
          <w:highlight w:val="none"/>
          <w:lang w:val="en-US" w:eastAsia="zh-CN"/>
        </w:rPr>
        <w:t>投标报价</w:t>
      </w:r>
      <w:r>
        <w:rPr>
          <w:rFonts w:hint="eastAsia" w:ascii="宋体" w:hAnsi="宋体" w:eastAsia="宋体" w:cs="宋体"/>
          <w:sz w:val="24"/>
          <w:szCs w:val="24"/>
          <w:highlight w:val="none"/>
          <w:lang w:val="en-US" w:eastAsia="zh-CN"/>
        </w:rPr>
        <w:t>中必须包括合法获取该知识产权的相关费用。</w:t>
      </w:r>
    </w:p>
    <w:p>
      <w:pPr>
        <w:pStyle w:val="4"/>
        <w:pageBreakBefore w:val="0"/>
        <w:kinsoku/>
        <w:overflowPunct/>
        <w:autoSpaceDE/>
        <w:autoSpaceDN/>
        <w:bidi w:val="0"/>
        <w:spacing w:line="400" w:lineRule="exact"/>
      </w:pPr>
      <w:bookmarkStart w:id="16" w:name="_Toc3092"/>
      <w:bookmarkStart w:id="17" w:name="_Toc293736011"/>
      <w:bookmarkStart w:id="18" w:name="_Toc293738992"/>
      <w:bookmarkStart w:id="19" w:name="_Toc18317"/>
      <w:bookmarkStart w:id="20" w:name="_Toc446599311"/>
      <w:bookmarkStart w:id="21" w:name="_Toc293736054"/>
      <w:r>
        <w:rPr>
          <w:rFonts w:hint="eastAsia"/>
        </w:rPr>
        <w:t>二、磋商文件</w:t>
      </w:r>
      <w:bookmarkEnd w:id="16"/>
      <w:bookmarkEnd w:id="17"/>
      <w:bookmarkEnd w:id="18"/>
      <w:bookmarkEnd w:id="19"/>
      <w:bookmarkEnd w:id="20"/>
      <w:bookmarkEnd w:id="21"/>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lang w:eastAsia="zh-CN"/>
        </w:rPr>
        <w:t>邀请</w:t>
      </w:r>
      <w:r>
        <w:rPr>
          <w:rFonts w:hint="eastAsia" w:ascii="宋体" w:hAnsi="宋体" w:cs="宋体"/>
          <w:sz w:val="24"/>
          <w:szCs w:val="24"/>
          <w:lang w:eastAsia="zh-CN"/>
        </w:rPr>
        <w:t>书）</w:t>
      </w:r>
      <w:r>
        <w:rPr>
          <w:rFonts w:hint="eastAsia" w:ascii="宋体" w:hAnsi="宋体" w:eastAsia="宋体" w:cs="宋体"/>
          <w:sz w:val="24"/>
          <w:szCs w:val="24"/>
        </w:rPr>
        <w:t>；</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w:t>
      </w:r>
      <w:r>
        <w:rPr>
          <w:rFonts w:hint="eastAsia" w:ascii="宋体" w:hAnsi="宋体" w:cs="宋体"/>
          <w:sz w:val="24"/>
          <w:szCs w:val="24"/>
          <w:lang w:eastAsia="zh-CN"/>
        </w:rPr>
        <w:t>文件</w:t>
      </w:r>
      <w:r>
        <w:rPr>
          <w:rFonts w:hint="eastAsia" w:ascii="宋体" w:hAnsi="宋体" w:eastAsia="宋体" w:cs="宋体"/>
          <w:sz w:val="24"/>
          <w:szCs w:val="24"/>
        </w:rPr>
        <w:t>；</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(7)在磋商过程中由采购单位发出的澄清和补充文件等。</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进行网上提问。采购单位对供应商所要求澄清的内容均予以答复（答复中不包括问题的来源）。必要时，采购单位将组织相关专家召开答疑会，并</w:t>
      </w:r>
      <w:r>
        <w:rPr>
          <w:rFonts w:hint="eastAsia" w:ascii="宋体" w:hAnsi="宋体" w:eastAsia="宋体" w:cs="宋体"/>
          <w:color w:val="auto"/>
          <w:sz w:val="24"/>
          <w:szCs w:val="24"/>
          <w:lang w:eastAsia="zh-CN"/>
        </w:rPr>
        <w:t>以书面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z w:val="24"/>
          <w:szCs w:val="24"/>
        </w:rPr>
        <w:t>向所有供应商公布澄清文件。澄清文件作为磋商文件的组成部分，对供应商具有同等约束作用。</w:t>
      </w:r>
    </w:p>
    <w:p>
      <w:pPr>
        <w:pStyle w:val="12"/>
        <w:pageBreakBefore w:val="0"/>
        <w:kinsoku/>
        <w:overflow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2.3磋商文件的修改</w:t>
      </w:r>
    </w:p>
    <w:p>
      <w:pPr>
        <w:pStyle w:val="12"/>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2.3.1采购单位可以对已发出的磋商文件进行必要的澄清或者修改。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日前</w:t>
      </w:r>
      <w:r>
        <w:rPr>
          <w:rFonts w:hint="eastAsia" w:ascii="宋体" w:hAnsi="宋体" w:eastAsia="宋体" w:cs="宋体"/>
          <w:color w:val="auto"/>
          <w:spacing w:val="-6"/>
          <w:sz w:val="24"/>
          <w:szCs w:val="24"/>
          <w:lang w:eastAsia="zh-CN"/>
        </w:rPr>
        <w:t>以</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 xml:space="preserve">发布更正公告。 </w:t>
      </w:r>
    </w:p>
    <w:p>
      <w:pPr>
        <w:pStyle w:val="12"/>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2.3.2澄清或者修改的内容是磋商文件的组成部分，将</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向所有供应商公布澄清或者修改文件，澄清或者修改文件对供应商具有约束力。</w:t>
      </w:r>
    </w:p>
    <w:p>
      <w:pPr>
        <w:pStyle w:val="12"/>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2.3.3为使供应商有充足的时间对磋商文件的修改部分进行研究，采购单位可适当推迟响应文件截止期，并通过</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发布公告通知所有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pPr>
        <w:pStyle w:val="12"/>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color w:val="auto"/>
          <w:spacing w:val="-6"/>
          <w:sz w:val="24"/>
          <w:szCs w:val="24"/>
        </w:rPr>
        <w:t>2.3.4供应商应注意及时</w:t>
      </w:r>
      <w:r>
        <w:rPr>
          <w:rFonts w:hint="eastAsia" w:ascii="宋体" w:hAnsi="宋体" w:eastAsia="宋体" w:cs="宋体"/>
          <w:color w:val="auto"/>
          <w:spacing w:val="-6"/>
          <w:sz w:val="24"/>
          <w:szCs w:val="24"/>
          <w:lang w:eastAsia="zh-CN"/>
        </w:rPr>
        <w:t>接收或</w:t>
      </w:r>
      <w:r>
        <w:rPr>
          <w:rFonts w:hint="eastAsia" w:ascii="宋体" w:hAnsi="宋体" w:eastAsia="宋体" w:cs="宋体"/>
          <w:color w:val="auto"/>
          <w:spacing w:val="-6"/>
          <w:sz w:val="24"/>
          <w:szCs w:val="24"/>
        </w:rPr>
        <w:t>浏览网上发布的澄清或修改通知，因供应商原</w:t>
      </w:r>
      <w:r>
        <w:rPr>
          <w:rFonts w:hint="eastAsia" w:ascii="宋体" w:hAnsi="宋体" w:eastAsia="宋体" w:cs="宋体"/>
          <w:spacing w:val="-6"/>
          <w:sz w:val="24"/>
          <w:szCs w:val="24"/>
        </w:rPr>
        <w:t>因未及时获知澄清、修改或补充内容而导致的任何后果将由供应商自行承担。</w:t>
      </w:r>
    </w:p>
    <w:p>
      <w:pPr>
        <w:pStyle w:val="4"/>
        <w:pageBreakBefore w:val="0"/>
        <w:kinsoku/>
        <w:overflowPunct/>
        <w:autoSpaceDE/>
        <w:autoSpaceDN/>
        <w:bidi w:val="0"/>
        <w:spacing w:line="400" w:lineRule="exact"/>
      </w:pPr>
      <w:bookmarkStart w:id="22" w:name="_Toc1735"/>
      <w:bookmarkStart w:id="23" w:name="_Toc446599312"/>
      <w:bookmarkStart w:id="24" w:name="_Toc293736012"/>
      <w:bookmarkStart w:id="25" w:name="_Toc293736055"/>
      <w:bookmarkStart w:id="26" w:name="_Toc13231"/>
      <w:bookmarkStart w:id="27" w:name="_Toc293738993"/>
      <w:r>
        <w:rPr>
          <w:rFonts w:hint="eastAsia"/>
        </w:rPr>
        <w:t>三、响应文件的编制</w:t>
      </w:r>
      <w:bookmarkEnd w:id="22"/>
      <w:bookmarkEnd w:id="23"/>
      <w:bookmarkEnd w:id="24"/>
      <w:bookmarkEnd w:id="25"/>
      <w:bookmarkEnd w:id="26"/>
      <w:bookmarkEnd w:id="27"/>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12"/>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sz w:val="24"/>
          <w:szCs w:val="24"/>
        </w:rPr>
      </w:pPr>
      <w:r>
        <w:rPr>
          <w:rFonts w:hint="eastAsia" w:ascii="宋体" w:hAnsi="宋体" w:eastAsia="宋体" w:cs="宋体"/>
          <w:sz w:val="24"/>
          <w:szCs w:val="24"/>
        </w:rPr>
        <w:t>响应文件由</w:t>
      </w:r>
      <w:r>
        <w:rPr>
          <w:rFonts w:hint="eastAsia" w:ascii="宋体" w:hAnsi="宋体" w:eastAsia="宋体" w:cs="宋体"/>
          <w:b/>
          <w:bCs/>
          <w:sz w:val="24"/>
          <w:szCs w:val="24"/>
        </w:rPr>
        <w:t>“资格证明文件”、“商务技术文件”</w:t>
      </w:r>
      <w:r>
        <w:rPr>
          <w:rFonts w:hint="eastAsia" w:ascii="宋体" w:hAnsi="宋体" w:eastAsia="宋体" w:cs="宋体"/>
          <w:sz w:val="24"/>
          <w:szCs w:val="24"/>
        </w:rPr>
        <w:t>组成（具体内容要求详见第六章“响应文件格式”）。供应商在</w:t>
      </w:r>
      <w:r>
        <w:rPr>
          <w:rFonts w:hint="eastAsia" w:hAnsi="宋体" w:cs="宋体"/>
          <w:sz w:val="24"/>
          <w:szCs w:val="24"/>
          <w:lang w:eastAsia="zh-CN"/>
        </w:rPr>
        <w:t>磋商</w:t>
      </w:r>
      <w:r>
        <w:rPr>
          <w:rFonts w:hint="eastAsia" w:ascii="宋体" w:hAnsi="宋体" w:eastAsia="宋体" w:cs="宋体"/>
          <w:sz w:val="24"/>
          <w:szCs w:val="24"/>
        </w:rPr>
        <w:t>和评审过程中做出的符合竞争性</w:t>
      </w:r>
      <w:r>
        <w:rPr>
          <w:rFonts w:hint="eastAsia" w:hAnsi="宋体" w:cs="宋体"/>
          <w:sz w:val="24"/>
          <w:szCs w:val="24"/>
          <w:lang w:eastAsia="zh-CN"/>
        </w:rPr>
        <w:t>磋商</w:t>
      </w:r>
      <w:r>
        <w:rPr>
          <w:rFonts w:hint="eastAsia" w:ascii="宋体" w:hAnsi="宋体" w:eastAsia="宋体" w:cs="宋体"/>
          <w:sz w:val="24"/>
          <w:szCs w:val="24"/>
        </w:rPr>
        <w:t>文件要求的澄清、说明或补正，构成响应文件的组成部分。</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3.3.2响应文件应当对磋商文件有关技术要求、合同条件、投标有效期、</w:t>
      </w:r>
      <w:r>
        <w:rPr>
          <w:rFonts w:hint="eastAsia" w:ascii="宋体" w:hAnsi="宋体" w:cs="宋体"/>
          <w:kern w:val="0"/>
          <w:sz w:val="24"/>
          <w:szCs w:val="24"/>
          <w:lang w:val="en-US" w:eastAsia="zh-CN"/>
        </w:rPr>
        <w:t>响应保证金</w:t>
      </w:r>
      <w:r>
        <w:rPr>
          <w:rFonts w:hint="eastAsia" w:ascii="宋体" w:hAnsi="宋体" w:eastAsia="宋体" w:cs="宋体"/>
          <w:kern w:val="0"/>
          <w:sz w:val="24"/>
          <w:szCs w:val="24"/>
          <w:lang w:val="en-US" w:eastAsia="zh-CN"/>
        </w:rPr>
        <w:t>、投标报价、响应文件密封、响应文件签署盖章、响应文件格式等实质性内容作出响应。响应文件满足磋商文件实质性要求的基础上，可以提出比磋商文件要求更有利于采购人的承诺。</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供应商必须保证响应文件所提供的全部资料真实可靠，并接受采购单位对其中任何资料进一步核实的要求。</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3.3.8</w:t>
      </w:r>
      <w:r>
        <w:rPr>
          <w:rFonts w:hint="eastAsia" w:ascii="宋体" w:hAnsi="宋体" w:eastAsia="宋体" w:cs="宋体"/>
          <w:kern w:val="0"/>
          <w:sz w:val="24"/>
          <w:szCs w:val="24"/>
          <w:lang w:val="en-US" w:eastAsia="zh-CN"/>
        </w:rPr>
        <w:t>证明供应商资格及符合</w:t>
      </w:r>
      <w:r>
        <w:rPr>
          <w:rFonts w:hint="eastAsia" w:ascii="宋体" w:hAnsi="宋体" w:cs="宋体"/>
          <w:kern w:val="0"/>
          <w:sz w:val="24"/>
          <w:szCs w:val="24"/>
          <w:lang w:val="en-US" w:eastAsia="zh-CN"/>
        </w:rPr>
        <w:t>磋商文件</w:t>
      </w:r>
      <w:r>
        <w:rPr>
          <w:rFonts w:hint="eastAsia" w:ascii="宋体" w:hAnsi="宋体" w:eastAsia="宋体" w:cs="宋体"/>
          <w:kern w:val="0"/>
          <w:sz w:val="24"/>
          <w:szCs w:val="24"/>
          <w:lang w:val="en-US" w:eastAsia="zh-CN"/>
        </w:rPr>
        <w:t>规定的文件：（1）供应商应按要求提交资格证明文件及符合</w:t>
      </w:r>
      <w:r>
        <w:rPr>
          <w:rFonts w:hint="eastAsia" w:ascii="宋体" w:hAnsi="宋体" w:cs="宋体"/>
          <w:kern w:val="0"/>
          <w:sz w:val="24"/>
          <w:szCs w:val="24"/>
          <w:lang w:val="en-US" w:eastAsia="zh-CN"/>
        </w:rPr>
        <w:t>磋商文件</w:t>
      </w:r>
      <w:r>
        <w:rPr>
          <w:rFonts w:hint="eastAsia" w:ascii="宋体" w:hAnsi="宋体" w:eastAsia="宋体" w:cs="宋体"/>
          <w:kern w:val="0"/>
          <w:sz w:val="24"/>
          <w:szCs w:val="24"/>
          <w:lang w:val="en-US" w:eastAsia="zh-CN"/>
        </w:rPr>
        <w:t>规定的文件</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（2）供应商应提交证明其有资格参加投标和中标后有能力独立履行合同的文件</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（3）供应商除必须具有履行合同所需提供的货物以及服务的能力外，还必须具备相应的财务、技术等方面的能力</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（4）供应商应提交根据合同要求提供的证明产品质量合格以及符合</w:t>
      </w:r>
      <w:r>
        <w:rPr>
          <w:rFonts w:hint="eastAsia" w:ascii="宋体" w:hAnsi="宋体" w:cs="宋体"/>
          <w:kern w:val="0"/>
          <w:sz w:val="24"/>
          <w:szCs w:val="24"/>
          <w:lang w:val="en-US" w:eastAsia="zh-CN"/>
        </w:rPr>
        <w:t>磋商文件</w:t>
      </w:r>
      <w:r>
        <w:rPr>
          <w:rFonts w:hint="eastAsia" w:ascii="宋体" w:hAnsi="宋体" w:eastAsia="宋体" w:cs="宋体"/>
          <w:kern w:val="0"/>
          <w:sz w:val="24"/>
          <w:szCs w:val="24"/>
          <w:lang w:val="en-US" w:eastAsia="zh-CN"/>
        </w:rPr>
        <w:t>规定的证明文件。证明所提供货物与</w:t>
      </w:r>
      <w:r>
        <w:rPr>
          <w:rFonts w:hint="eastAsia" w:ascii="宋体" w:hAnsi="宋体" w:cs="宋体"/>
          <w:kern w:val="0"/>
          <w:sz w:val="24"/>
          <w:szCs w:val="24"/>
          <w:lang w:val="en-US" w:eastAsia="zh-CN"/>
        </w:rPr>
        <w:t>磋商文件</w:t>
      </w:r>
      <w:r>
        <w:rPr>
          <w:rFonts w:hint="eastAsia" w:ascii="宋体" w:hAnsi="宋体" w:eastAsia="宋体" w:cs="宋体"/>
          <w:kern w:val="0"/>
          <w:sz w:val="24"/>
          <w:szCs w:val="24"/>
          <w:lang w:val="en-US" w:eastAsia="zh-CN"/>
        </w:rPr>
        <w:t>的要求相一致的文件可以是手册、图纸、文字资料和数据。</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3.4</w:t>
      </w:r>
      <w:r>
        <w:rPr>
          <w:rFonts w:hint="eastAsia" w:hAnsi="宋体" w:cs="宋体"/>
          <w:b/>
          <w:sz w:val="24"/>
          <w:szCs w:val="24"/>
          <w:lang w:eastAsia="zh-CN"/>
        </w:rPr>
        <w:t>投标报价</w:t>
      </w:r>
      <w:r>
        <w:rPr>
          <w:rFonts w:hint="eastAsia" w:ascii="宋体" w:hAnsi="宋体" w:eastAsia="宋体" w:cs="宋体"/>
          <w:b/>
          <w:sz w:val="24"/>
          <w:szCs w:val="24"/>
        </w:rPr>
        <w:t>要求</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3.4.1供应商所提供的货物均以人民币报价。</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3.4.2供商应按照“第三章 采购需求”规定的货物、服务内容、责任范围以及合同条款进行报价。并按</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eastAsia="zh-CN"/>
        </w:rPr>
        <w:t>报价一览表</w:t>
      </w:r>
      <w:r>
        <w:rPr>
          <w:rFonts w:hint="eastAsia" w:ascii="宋体" w:hAnsi="宋体" w:eastAsia="宋体" w:cs="宋体"/>
          <w:kern w:val="0"/>
          <w:sz w:val="24"/>
          <w:szCs w:val="24"/>
          <w:highlight w:val="none"/>
        </w:rPr>
        <w:t>》和《</w:t>
      </w:r>
      <w:r>
        <w:rPr>
          <w:rFonts w:hint="eastAsia" w:ascii="宋体" w:hAnsi="宋体" w:cs="宋体"/>
          <w:kern w:val="0"/>
          <w:sz w:val="24"/>
          <w:szCs w:val="24"/>
          <w:highlight w:val="none"/>
          <w:lang w:eastAsia="zh-CN"/>
        </w:rPr>
        <w:t>报价明细表</w:t>
      </w:r>
      <w:r>
        <w:rPr>
          <w:rFonts w:hint="eastAsia" w:ascii="宋体" w:hAnsi="宋体" w:eastAsia="宋体" w:cs="宋体"/>
          <w:kern w:val="0"/>
          <w:sz w:val="24"/>
          <w:szCs w:val="24"/>
          <w:highlight w:val="none"/>
        </w:rPr>
        <w:t>》</w:t>
      </w:r>
      <w:r>
        <w:rPr>
          <w:rFonts w:hint="eastAsia" w:ascii="宋体" w:hAnsi="宋体" w:eastAsia="宋体" w:cs="宋体"/>
          <w:kern w:val="0"/>
          <w:sz w:val="24"/>
          <w:szCs w:val="24"/>
        </w:rPr>
        <w:t>确定的格式报出分项价格和总价。</w:t>
      </w:r>
      <w:r>
        <w:rPr>
          <w:rFonts w:hint="eastAsia" w:ascii="宋体" w:hAnsi="宋体" w:cs="宋体"/>
          <w:kern w:val="0"/>
          <w:sz w:val="24"/>
          <w:szCs w:val="24"/>
          <w:lang w:eastAsia="zh-CN"/>
        </w:rPr>
        <w:t>投标报价</w:t>
      </w:r>
      <w:r>
        <w:rPr>
          <w:rFonts w:hint="eastAsia" w:ascii="宋体" w:hAnsi="宋体" w:eastAsia="宋体" w:cs="宋体"/>
          <w:kern w:val="0"/>
          <w:sz w:val="24"/>
          <w:szCs w:val="24"/>
        </w:rPr>
        <w:t>应为优惠后的报价，任何报价上的优惠应体现在各分项报价中，国家规定的各项税费不得优惠。</w:t>
      </w:r>
      <w:r>
        <w:rPr>
          <w:rFonts w:hint="eastAsia" w:ascii="宋体" w:hAnsi="宋体" w:cs="宋体"/>
          <w:kern w:val="0"/>
          <w:sz w:val="24"/>
          <w:szCs w:val="24"/>
          <w:lang w:eastAsia="zh-CN"/>
        </w:rPr>
        <w:t>投标报价</w:t>
      </w:r>
      <w:r>
        <w:rPr>
          <w:rFonts w:hint="eastAsia" w:ascii="宋体" w:hAnsi="宋体" w:eastAsia="宋体" w:cs="宋体"/>
          <w:kern w:val="0"/>
          <w:sz w:val="24"/>
          <w:szCs w:val="24"/>
        </w:rPr>
        <w:t>中不得包含磋商文件要求以外的内容，否则，在评审时不予核减。</w:t>
      </w:r>
      <w:r>
        <w:rPr>
          <w:rFonts w:hint="eastAsia" w:ascii="宋体" w:hAnsi="宋体" w:cs="宋体"/>
          <w:kern w:val="0"/>
          <w:sz w:val="24"/>
          <w:szCs w:val="24"/>
          <w:lang w:eastAsia="zh-CN"/>
        </w:rPr>
        <w:t>投标报价</w:t>
      </w:r>
      <w:r>
        <w:rPr>
          <w:rFonts w:hint="eastAsia" w:ascii="宋体" w:hAnsi="宋体" w:eastAsia="宋体" w:cs="宋体"/>
          <w:kern w:val="0"/>
          <w:sz w:val="24"/>
          <w:szCs w:val="24"/>
        </w:rPr>
        <w:t>中也不得缺漏磋商文件所要求的内容，否则，在评审时将被视为已包含在</w:t>
      </w:r>
      <w:r>
        <w:rPr>
          <w:rFonts w:hint="eastAsia" w:ascii="宋体" w:hAnsi="宋体" w:cs="宋体"/>
          <w:kern w:val="0"/>
          <w:sz w:val="24"/>
          <w:szCs w:val="24"/>
          <w:lang w:eastAsia="zh-CN"/>
        </w:rPr>
        <w:t>投标报价</w:t>
      </w:r>
      <w:r>
        <w:rPr>
          <w:rFonts w:hint="eastAsia" w:ascii="宋体" w:hAnsi="宋体" w:eastAsia="宋体" w:cs="宋体"/>
          <w:kern w:val="0"/>
          <w:sz w:val="24"/>
          <w:szCs w:val="24"/>
        </w:rPr>
        <w:t>中。</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w:t>
      </w:r>
      <w:r>
        <w:rPr>
          <w:rFonts w:hint="eastAsia" w:ascii="宋体" w:hAnsi="宋体" w:cs="宋体"/>
          <w:kern w:val="0"/>
          <w:sz w:val="24"/>
          <w:szCs w:val="24"/>
          <w:lang w:eastAsia="zh-CN"/>
        </w:rPr>
        <w:t>报价明细表</w:t>
      </w:r>
      <w:r>
        <w:rPr>
          <w:rFonts w:hint="eastAsia" w:ascii="宋体" w:hAnsi="宋体" w:eastAsia="宋体" w:cs="宋体"/>
          <w:kern w:val="0"/>
          <w:sz w:val="24"/>
          <w:szCs w:val="24"/>
        </w:rPr>
        <w:t>》填写时应响应下列要求：</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（1）对于报价免费的项目应标明“免费”；</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（2）所有根据合同或其它原因应由供应商支付的税款和其它应交纳的费用都要包括在供应商提交的磋商总价中；</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（3）应包含货物运至最终目的地的运输、保险和伴随货物服务的有关费用。</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3.4.5每一种规格的货物只允许有一个报价，否则将被视为无效投标。</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3.4.6供应商所报的总价在合同执行过程中是固定不变的，不得以任何理由予以变更。</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3.4.7供应商的最后</w:t>
      </w:r>
      <w:r>
        <w:rPr>
          <w:rFonts w:hint="eastAsia" w:ascii="宋体" w:hAnsi="宋体" w:cs="宋体"/>
          <w:color w:val="auto"/>
          <w:kern w:val="0"/>
          <w:sz w:val="24"/>
          <w:szCs w:val="24"/>
          <w:lang w:eastAsia="zh-CN"/>
        </w:rPr>
        <w:t>投标报价</w:t>
      </w:r>
      <w:r>
        <w:rPr>
          <w:rFonts w:hint="eastAsia" w:ascii="宋体" w:hAnsi="宋体" w:eastAsia="宋体" w:cs="宋体"/>
          <w:color w:val="auto"/>
          <w:kern w:val="0"/>
          <w:sz w:val="24"/>
          <w:szCs w:val="24"/>
        </w:rPr>
        <w:t>超过项目采购预算的为无效报价。</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3.4.8本项目预算金额见供应商须知前附表。采购人设有最高限价的，供应商的报价不得超过最高限价，否则其投标无效，最高限价在供应商须知前附表中载明。</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3.4.9本项目是否接受进口产品按照供应商须知前附表中的规定。</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3.5备选方案</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3.5.1供应商应按</w:t>
      </w:r>
      <w:r>
        <w:rPr>
          <w:rFonts w:hint="eastAsia" w:ascii="宋体" w:hAnsi="宋体" w:eastAsia="宋体" w:cs="宋体"/>
          <w:kern w:val="0"/>
          <w:sz w:val="24"/>
          <w:szCs w:val="24"/>
          <w:highlight w:val="none"/>
        </w:rPr>
        <w:t>照供应商须知前附表要求编制磋商备选方案，否则将被视为无效响应文件。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6</w:t>
      </w:r>
      <w:r>
        <w:rPr>
          <w:rFonts w:hint="eastAsia" w:hAnsi="宋体" w:cs="宋体"/>
          <w:b/>
          <w:sz w:val="24"/>
          <w:szCs w:val="24"/>
          <w:highlight w:val="none"/>
          <w:lang w:eastAsia="zh-CN"/>
        </w:rPr>
        <w:t>响应保证金（本项目不适用）</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本项目</w:t>
      </w:r>
      <w:r>
        <w:rPr>
          <w:rFonts w:hint="eastAsia" w:ascii="宋体" w:hAnsi="宋体" w:cs="宋体"/>
          <w:kern w:val="0"/>
          <w:sz w:val="24"/>
          <w:szCs w:val="24"/>
          <w:highlight w:val="none"/>
          <w:lang w:eastAsia="zh-CN"/>
        </w:rPr>
        <w:t>响应保证金</w:t>
      </w:r>
      <w:r>
        <w:rPr>
          <w:rFonts w:hint="eastAsia" w:ascii="宋体" w:hAnsi="宋体" w:eastAsia="宋体" w:cs="宋体"/>
          <w:kern w:val="0"/>
          <w:sz w:val="24"/>
          <w:szCs w:val="24"/>
          <w:highlight w:val="none"/>
        </w:rPr>
        <w:t>收取要求见供应商须知前附表，</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应在</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内有效。</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.2对于未按规定提交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的，即到响应文件递交截止时间前未提交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，提交的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形式、数量和有效期不满足</w:t>
      </w:r>
      <w:r>
        <w:rPr>
          <w:rFonts w:hint="eastAsia" w:ascii="宋体" w:hAnsi="宋体" w:cs="宋体"/>
          <w:kern w:val="0"/>
          <w:sz w:val="24"/>
          <w:szCs w:val="24"/>
          <w:lang w:eastAsia="zh-CN"/>
        </w:rPr>
        <w:t>磋商</w:t>
      </w:r>
      <w:r>
        <w:rPr>
          <w:rFonts w:hint="eastAsia" w:ascii="宋体" w:hAnsi="宋体" w:eastAsia="宋体" w:cs="宋体"/>
          <w:kern w:val="0"/>
          <w:sz w:val="24"/>
          <w:szCs w:val="24"/>
        </w:rPr>
        <w:t>文件要求的，其投标无效。</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.3未成交的供应商，其</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在成交公告公布后5个工作日内退还；成交供应商的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,在成交供应商与采购人签订合同后5个工作日内退还；如有质疑或投诉，采购代理机构将在质疑和投诉处理完毕后5个工作日内。</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有下列情形之一的，保证金将被没收：</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w:t>
      </w:r>
      <w:r>
        <w:rPr>
          <w:rFonts w:hint="eastAsia" w:hAnsi="宋体" w:cs="宋体"/>
          <w:color w:val="auto"/>
          <w:kern w:val="0"/>
          <w:sz w:val="24"/>
          <w:szCs w:val="24"/>
          <w:lang w:eastAsia="zh-CN"/>
        </w:rPr>
        <w:t>投标有效期</w:t>
      </w:r>
      <w:r>
        <w:rPr>
          <w:rFonts w:hint="eastAsia" w:ascii="宋体" w:hAnsi="宋体" w:eastAsia="宋体" w:cs="宋体"/>
          <w:color w:val="auto"/>
          <w:kern w:val="0"/>
          <w:sz w:val="24"/>
          <w:szCs w:val="24"/>
        </w:rPr>
        <w:t>内无正当理由撤回其</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响应文件或者在</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过程中无正当理由退出</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活动；</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（2）为谋取最终成交，</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供应商在整个</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过程中提供的相关文件被确认是虚假的、不真实的；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（3）参加</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的供应商之间被证实有串通、欺诈行为或者恶意进行竞争，影响采购人合法权益的。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（4）整个采购活动中采取不正当手段诋毁、排挤其他供应商的；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（5）与采购人相关工作人员恶意串通的；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（6）向采购人相关工作人员行贿或者提供其他不正当利益的；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（7）成交供应商在规定期限内未能根据规定签订合同；</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（8）成交供应商在规定期限内未能根据规定交纳履约保证金。</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3.</w:t>
      </w:r>
      <w:r>
        <w:rPr>
          <w:rFonts w:hint="eastAsia" w:hAnsi="宋体" w:cs="宋体"/>
          <w:b/>
          <w:sz w:val="24"/>
          <w:szCs w:val="24"/>
          <w:lang w:val="en-US" w:eastAsia="zh-CN"/>
        </w:rPr>
        <w:t>7</w:t>
      </w:r>
      <w:r>
        <w:rPr>
          <w:rFonts w:hint="eastAsia" w:hAnsi="宋体" w:cs="宋体"/>
          <w:b/>
          <w:sz w:val="24"/>
          <w:szCs w:val="24"/>
          <w:lang w:eastAsia="zh-CN"/>
        </w:rPr>
        <w:t>投标有效期</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.1</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详</w:t>
      </w:r>
      <w:r>
        <w:rPr>
          <w:rFonts w:hint="eastAsia" w:ascii="宋体" w:hAnsi="宋体" w:eastAsia="宋体" w:cs="宋体"/>
          <w:kern w:val="0"/>
          <w:sz w:val="24"/>
          <w:szCs w:val="24"/>
          <w:highlight w:val="none"/>
        </w:rPr>
        <w:t>见供应商须知前附表</w:t>
      </w:r>
      <w:r>
        <w:rPr>
          <w:rFonts w:hint="eastAsia" w:ascii="宋体" w:hAnsi="宋体" w:eastAsia="宋体" w:cs="宋体"/>
          <w:kern w:val="0"/>
          <w:sz w:val="24"/>
          <w:szCs w:val="24"/>
        </w:rPr>
        <w:t>。供应商响应文件中有效期不足的将被视为无效文件。</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.2 有效期内供应商未经采购结果确认谈判达成一致不得改变其磋商最后报价及承诺的全部义务。</w:t>
      </w:r>
    </w:p>
    <w:p>
      <w:pPr>
        <w:pStyle w:val="4"/>
        <w:pageBreakBefore w:val="0"/>
        <w:kinsoku/>
        <w:overflowPunct/>
        <w:autoSpaceDE/>
        <w:autoSpaceDN/>
        <w:bidi w:val="0"/>
        <w:spacing w:line="400" w:lineRule="exact"/>
        <w:rPr>
          <w:rFonts w:hint="eastAsia" w:cs="Times New Roman"/>
        </w:rPr>
      </w:pPr>
      <w:bookmarkStart w:id="28" w:name="_Toc293738994"/>
      <w:bookmarkStart w:id="29" w:name="_Toc293736013"/>
      <w:bookmarkStart w:id="30" w:name="_Toc446599313"/>
      <w:bookmarkStart w:id="31" w:name="_Toc293736056"/>
      <w:r>
        <w:rPr>
          <w:rFonts w:hint="eastAsia" w:cs="Times New Roman"/>
        </w:rPr>
        <w:t>四、响应文件的递交</w:t>
      </w:r>
      <w:bookmarkEnd w:id="28"/>
      <w:bookmarkEnd w:id="29"/>
      <w:bookmarkEnd w:id="30"/>
      <w:bookmarkEnd w:id="31"/>
    </w:p>
    <w:p>
      <w:pPr>
        <w:pStyle w:val="12"/>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4.1</w:t>
      </w:r>
      <w:r>
        <w:rPr>
          <w:rFonts w:hint="eastAsia" w:ascii="宋体" w:hAnsi="宋体" w:eastAsia="宋体" w:cs="宋体"/>
          <w:b/>
          <w:bCs/>
          <w:kern w:val="0"/>
          <w:sz w:val="24"/>
          <w:szCs w:val="24"/>
        </w:rPr>
        <w:t>响应文件的份数</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4.1.1</w:t>
      </w:r>
      <w:r>
        <w:rPr>
          <w:rFonts w:hint="eastAsia" w:ascii="宋体" w:hAnsi="宋体" w:eastAsia="宋体" w:cs="宋体"/>
          <w:kern w:val="0"/>
          <w:sz w:val="24"/>
          <w:szCs w:val="24"/>
        </w:rPr>
        <w:t>响应文件正本</w:t>
      </w:r>
      <w:r>
        <w:rPr>
          <w:rFonts w:hint="eastAsia" w:ascii="宋体" w:hAnsi="宋体" w:cs="宋体"/>
          <w:kern w:val="0"/>
          <w:sz w:val="24"/>
          <w:szCs w:val="24"/>
          <w:lang w:eastAsia="zh-CN"/>
        </w:rPr>
        <w:t>一份</w:t>
      </w:r>
      <w:r>
        <w:rPr>
          <w:rFonts w:hint="eastAsia" w:ascii="宋体" w:hAnsi="宋体" w:eastAsia="宋体" w:cs="宋体"/>
          <w:kern w:val="0"/>
          <w:sz w:val="24"/>
          <w:szCs w:val="24"/>
        </w:rPr>
        <w:t>、副本份数要</w:t>
      </w:r>
      <w:r>
        <w:rPr>
          <w:rFonts w:hint="eastAsia" w:ascii="宋体" w:hAnsi="宋体" w:eastAsia="宋体" w:cs="宋体"/>
          <w:kern w:val="0"/>
          <w:sz w:val="24"/>
          <w:szCs w:val="24"/>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2"/>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响应文件的密封和标记</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4.2.1</w:t>
      </w:r>
      <w:r>
        <w:rPr>
          <w:rFonts w:hint="eastAsia" w:ascii="宋体" w:hAnsi="宋体" w:eastAsia="宋体" w:cs="宋体"/>
          <w:kern w:val="0"/>
          <w:sz w:val="24"/>
          <w:szCs w:val="24"/>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4.2.2</w:t>
      </w:r>
      <w:r>
        <w:rPr>
          <w:rFonts w:hint="eastAsia" w:ascii="宋体" w:hAnsi="宋体" w:eastAsia="宋体" w:cs="宋体"/>
          <w:kern w:val="0"/>
          <w:sz w:val="24"/>
          <w:szCs w:val="24"/>
        </w:rPr>
        <w:t>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rPr>
        <w:t>见供应商须知前附表。未按要求密封的响应文件，采购人将予以拒收。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3</w:t>
      </w:r>
      <w:r>
        <w:rPr>
          <w:rFonts w:hint="eastAsia" w:ascii="宋体" w:hAnsi="宋体" w:eastAsia="宋体" w:cs="宋体"/>
          <w:b/>
          <w:color w:val="000000" w:themeColor="text1"/>
          <w:sz w:val="24"/>
          <w:szCs w:val="24"/>
          <w:highlight w:val="none"/>
          <w14:textFill>
            <w14:solidFill>
              <w14:schemeClr w14:val="tx1"/>
            </w14:solidFill>
          </w14:textFill>
        </w:rPr>
        <w:t>响</w:t>
      </w:r>
      <w:r>
        <w:rPr>
          <w:rFonts w:hint="eastAsia" w:ascii="宋体" w:hAnsi="宋体" w:eastAsia="宋体" w:cs="宋体"/>
          <w:b/>
          <w:sz w:val="24"/>
          <w:szCs w:val="24"/>
          <w:highlight w:val="none"/>
        </w:rPr>
        <w:t>应文件</w:t>
      </w:r>
      <w:r>
        <w:rPr>
          <w:rFonts w:hint="eastAsia" w:ascii="宋体" w:hAnsi="宋体" w:eastAsia="宋体" w:cs="宋体"/>
          <w:b/>
          <w:color w:val="000000" w:themeColor="text1"/>
          <w:sz w:val="24"/>
          <w:szCs w:val="24"/>
          <w:highlight w:val="none"/>
          <w14:textFill>
            <w14:solidFill>
              <w14:schemeClr w14:val="tx1"/>
            </w14:solidFill>
          </w14:textFill>
        </w:rPr>
        <w:t>的</w:t>
      </w:r>
      <w:r>
        <w:rPr>
          <w:rFonts w:hint="eastAsia" w:ascii="宋体" w:hAnsi="宋体" w:eastAsia="宋体" w:cs="宋体"/>
          <w:b/>
          <w:sz w:val="24"/>
          <w:szCs w:val="24"/>
          <w:highlight w:val="none"/>
        </w:rPr>
        <w:t>递交</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.1供应商应在供应商须知前附表规定的响应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ascii="宋体" w:hAnsi="宋体" w:eastAsia="宋体" w:cs="宋体"/>
          <w:b/>
          <w:sz w:val="24"/>
          <w:szCs w:val="24"/>
        </w:rPr>
        <w:t>4.4响应文件的修改和撤回</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4.4.2供应商所提交的响应文件在评审结束后，无论中标与否都不退还。</w:t>
      </w:r>
    </w:p>
    <w:p>
      <w:pPr>
        <w:pStyle w:val="4"/>
        <w:pageBreakBefore w:val="0"/>
        <w:kinsoku/>
        <w:overflowPunct/>
        <w:autoSpaceDE/>
        <w:autoSpaceDN/>
        <w:bidi w:val="0"/>
        <w:spacing w:line="400" w:lineRule="exact"/>
        <w:rPr>
          <w:rFonts w:hint="eastAsia" w:cs="Times New Roman"/>
          <w:color w:val="auto"/>
          <w:lang w:eastAsia="zh-CN"/>
        </w:rPr>
      </w:pPr>
      <w:r>
        <w:rPr>
          <w:rFonts w:hint="eastAsia" w:cs="Times New Roman"/>
          <w:color w:val="auto"/>
          <w:lang w:val="en-US" w:eastAsia="zh-CN"/>
        </w:rPr>
        <w:t>五</w:t>
      </w:r>
      <w:r>
        <w:rPr>
          <w:rFonts w:hint="eastAsia" w:cs="Times New Roman"/>
          <w:color w:val="auto"/>
        </w:rPr>
        <w:t>、</w:t>
      </w:r>
      <w:r>
        <w:rPr>
          <w:rFonts w:hint="eastAsia" w:cs="Times New Roman"/>
          <w:color w:val="auto"/>
          <w:lang w:eastAsia="zh-CN"/>
        </w:rPr>
        <w:t>开启响应文件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hAnsi="宋体" w:cs="宋体"/>
          <w:b/>
          <w:sz w:val="24"/>
          <w:szCs w:val="24"/>
          <w:lang w:val="en-US" w:eastAsia="zh-CN"/>
        </w:rPr>
        <w:t>5</w:t>
      </w:r>
      <w:r>
        <w:rPr>
          <w:rFonts w:hint="eastAsia" w:ascii="宋体" w:hAnsi="宋体" w:eastAsia="宋体" w:cs="宋体"/>
          <w:b/>
          <w:sz w:val="24"/>
          <w:szCs w:val="24"/>
          <w:lang w:val="en-US" w:eastAsia="zh-CN"/>
        </w:rPr>
        <w:t>.会议仪式</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.2主持人按下列程序主持仪式：</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（1）宣布会议纪律；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（2）宣布会议参会人员姓名；</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（3）公布在响应文件递交截止时间前递交响应文件的供应商名称；</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（4）由采购人代表、监督人员及公证人员现场查验供应商须知前附表规定内容；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（5）由供应商代表检查确认响应文件的密封情况；</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（6）按供应商须知前附表规定是否公开开启响应文件；；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（7）供应商代表、采购人代表、监督人员、公证人员、记录人等有关人员在开启记录上签字确认；</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（8）会议结束。</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.3会议异议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.4在政府采购活动中，采购人员及相关人员与投标人有下列利害关系之一的，应当回避：</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（一）参加采购活动前3年内与投标人存在劳动关系；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（二）参加采购活动前3年内担任投标人的董事、监事；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（三）参加采购活动前3年内是投标人的控股股东或者实际控制人；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（四）与投标人的法定代表人或者负责人有夫妻、直系血亲、三代以内旁系血亲或者近姻亲关系；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（五）与投标人有其他可能影响政府采购活动公平、公正进行的关系。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4"/>
        <w:pageBreakBefore w:val="0"/>
        <w:kinsoku/>
        <w:overflowPunct/>
        <w:autoSpaceDE/>
        <w:autoSpaceDN/>
        <w:bidi w:val="0"/>
        <w:spacing w:line="400" w:lineRule="exact"/>
        <w:rPr>
          <w:rFonts w:hint="eastAsia"/>
          <w:color w:val="auto"/>
          <w:lang w:val="en-US" w:eastAsia="zh-CN"/>
        </w:rPr>
      </w:pPr>
      <w:r>
        <w:rPr>
          <w:rFonts w:hint="eastAsia" w:cs="Times New Roman"/>
          <w:color w:val="auto"/>
          <w:lang w:val="en-US" w:eastAsia="zh-CN"/>
        </w:rPr>
        <w:t>六</w:t>
      </w:r>
      <w:r>
        <w:rPr>
          <w:rFonts w:hint="eastAsia" w:cs="Times New Roman"/>
          <w:color w:val="auto"/>
        </w:rPr>
        <w:t>、</w:t>
      </w:r>
      <w:r>
        <w:rPr>
          <w:rFonts w:hint="eastAsia" w:cs="Times New Roman"/>
          <w:color w:val="auto"/>
          <w:lang w:eastAsia="zh-CN"/>
        </w:rPr>
        <w:t>磋商和评审</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cs="宋体"/>
          <w:b/>
          <w:sz w:val="24"/>
          <w:szCs w:val="24"/>
          <w:lang w:val="en-US" w:eastAsia="zh-CN"/>
        </w:rPr>
        <w:t>6.1</w:t>
      </w:r>
      <w:r>
        <w:rPr>
          <w:rFonts w:hint="eastAsia" w:ascii="宋体" w:hAnsi="宋体" w:eastAsia="宋体" w:cs="宋体"/>
          <w:b/>
          <w:sz w:val="24"/>
          <w:szCs w:val="24"/>
        </w:rPr>
        <w:t>磋商小组的组成</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w:t>
      </w: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w:t>
      </w:r>
      <w:r>
        <w:rPr>
          <w:rFonts w:hint="eastAsia" w:ascii="宋体" w:hAnsi="宋体" w:cs="宋体"/>
          <w:kern w:val="0"/>
          <w:sz w:val="24"/>
          <w:szCs w:val="24"/>
          <w:lang w:eastAsia="zh-CN"/>
        </w:rPr>
        <w:t>磋商</w:t>
      </w:r>
      <w:r>
        <w:rPr>
          <w:rFonts w:hint="eastAsia" w:ascii="宋体" w:hAnsi="宋体" w:eastAsia="宋体" w:cs="宋体"/>
          <w:kern w:val="0"/>
          <w:sz w:val="24"/>
          <w:szCs w:val="24"/>
        </w:rPr>
        <w:t>小组组长,不得以评审专家身份参加采购项目的评审。</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6.1.2</w:t>
      </w:r>
      <w:r>
        <w:rPr>
          <w:rFonts w:hint="eastAsia" w:ascii="宋体" w:hAnsi="宋体" w:cs="宋体"/>
          <w:kern w:val="0"/>
          <w:sz w:val="24"/>
          <w:szCs w:val="24"/>
          <w:lang w:eastAsia="zh-CN"/>
        </w:rPr>
        <w:t>磋商</w:t>
      </w:r>
      <w:r>
        <w:rPr>
          <w:rFonts w:hint="eastAsia" w:ascii="宋体" w:hAnsi="宋体" w:eastAsia="宋体" w:cs="宋体"/>
          <w:kern w:val="0"/>
          <w:sz w:val="24"/>
          <w:szCs w:val="24"/>
        </w:rPr>
        <w:t>小组应以科学、公正的态度参加评审工作并推荐成交候选人。评审专家在评审过程中不受任何干扰，独立、负责地提出评审意见，并对自己的评审意见承担责任。</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6.1.3</w:t>
      </w:r>
      <w:r>
        <w:rPr>
          <w:rFonts w:hint="eastAsia" w:ascii="宋体" w:hAnsi="宋体" w:eastAsia="宋体" w:cs="宋体"/>
          <w:kern w:val="0"/>
          <w:sz w:val="24"/>
          <w:szCs w:val="24"/>
        </w:rPr>
        <w:t>回避情形</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小组成员有下列情形之一的，应当回避：</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小组发现本人与参加本项目的供应商有利害关系的,应当主动提出回避。采购人或者采购代理机构发现</w:t>
      </w:r>
      <w:r>
        <w:rPr>
          <w:rFonts w:hint="eastAsia" w:ascii="宋体" w:hAnsi="宋体" w:cs="宋体"/>
          <w:kern w:val="0"/>
          <w:sz w:val="24"/>
          <w:szCs w:val="24"/>
          <w:lang w:eastAsia="zh-CN"/>
        </w:rPr>
        <w:t>磋商</w:t>
      </w:r>
      <w:r>
        <w:rPr>
          <w:rFonts w:hint="eastAsia" w:ascii="宋体" w:hAnsi="宋体" w:eastAsia="宋体" w:cs="宋体"/>
          <w:kern w:val="0"/>
          <w:sz w:val="24"/>
          <w:szCs w:val="24"/>
        </w:rPr>
        <w:t>小组与参加采购活动的供应商有利害关系的,应当要求其回避。</w:t>
      </w:r>
    </w:p>
    <w:p>
      <w:pPr>
        <w:pStyle w:val="12"/>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6.2</w:t>
      </w:r>
      <w:r>
        <w:rPr>
          <w:rFonts w:hint="eastAsia" w:ascii="宋体" w:hAnsi="宋体" w:eastAsia="宋体" w:cs="宋体"/>
          <w:b/>
          <w:bCs/>
          <w:kern w:val="0"/>
          <w:sz w:val="24"/>
          <w:szCs w:val="24"/>
        </w:rPr>
        <w:t>磋商方法</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32" w:name="_Toc446599315"/>
      <w:bookmarkStart w:id="33" w:name="_Toc293736015"/>
      <w:bookmarkStart w:id="34" w:name="_Toc21441"/>
      <w:bookmarkStart w:id="35" w:name="_Toc10373"/>
      <w:bookmarkStart w:id="36" w:name="_Toc293736058"/>
      <w:bookmarkStart w:id="37" w:name="_Toc293738996"/>
      <w:r>
        <w:rPr>
          <w:rFonts w:hint="eastAsia" w:ascii="宋体" w:hAnsi="宋体" w:eastAsia="宋体" w:cs="宋体"/>
          <w:color w:val="auto"/>
          <w:sz w:val="24"/>
          <w:szCs w:val="24"/>
          <w:lang w:val="en-US" w:eastAsia="zh-CN"/>
        </w:rPr>
        <w:t>6.2.1初步评审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pPr>
        <w:pStyle w:val="4"/>
        <w:pageBreakBefore w:val="0"/>
        <w:kinsoku/>
        <w:overflowPunct/>
        <w:autoSpaceDE/>
        <w:autoSpaceDN/>
        <w:bidi w:val="0"/>
        <w:spacing w:line="400" w:lineRule="exact"/>
        <w:rPr>
          <w:rFonts w:hint="eastAsia" w:cs="Times New Roman"/>
          <w:lang w:eastAsia="zh-CN"/>
        </w:rPr>
      </w:pPr>
      <w:bookmarkStart w:id="38" w:name="_Toc29411"/>
      <w:bookmarkStart w:id="39" w:name="_Toc456291348"/>
      <w:bookmarkStart w:id="40" w:name="_Toc456291531"/>
      <w:bookmarkStart w:id="41" w:name="_Toc456291473"/>
      <w:bookmarkStart w:id="42" w:name="_Toc456291254"/>
      <w:bookmarkStart w:id="43" w:name="_Toc2"/>
      <w:bookmarkStart w:id="44" w:name="_Toc456291274"/>
      <w:bookmarkStart w:id="45" w:name="_Toc456291159"/>
      <w:r>
        <w:rPr>
          <w:rFonts w:hint="eastAsia" w:cs="Times New Roman"/>
          <w:lang w:eastAsia="zh-CN"/>
        </w:rPr>
        <w:t>七、推荐成交供应商</w:t>
      </w:r>
      <w:bookmarkEnd w:id="38"/>
      <w:bookmarkEnd w:id="39"/>
      <w:bookmarkEnd w:id="40"/>
      <w:bookmarkEnd w:id="41"/>
      <w:bookmarkEnd w:id="42"/>
      <w:bookmarkEnd w:id="43"/>
      <w:bookmarkEnd w:id="44"/>
      <w:bookmarkEnd w:id="45"/>
    </w:p>
    <w:p>
      <w:pPr>
        <w:pStyle w:val="12"/>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7.1推荐成交供应商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7.1</w:t>
      </w:r>
      <w:r>
        <w:rPr>
          <w:rFonts w:hint="eastAsia" w:ascii="宋体" w:hAnsi="宋体" w:eastAsia="宋体" w:cs="宋体"/>
          <w:color w:val="auto"/>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4"/>
        <w:pageBreakBefore w:val="0"/>
        <w:kinsoku/>
        <w:overflowPunct/>
        <w:autoSpaceDE/>
        <w:autoSpaceDN/>
        <w:bidi w:val="0"/>
        <w:spacing w:line="400" w:lineRule="exact"/>
        <w:rPr>
          <w:rFonts w:asciiTheme="majorEastAsia" w:hAnsiTheme="majorEastAsia" w:eastAsiaTheme="majorEastAsia"/>
          <w:b/>
          <w:sz w:val="28"/>
          <w:szCs w:val="28"/>
          <w:highlight w:val="green"/>
        </w:rPr>
      </w:pPr>
      <w:r>
        <w:rPr>
          <w:rFonts w:hint="eastAsia"/>
          <w:lang w:eastAsia="zh-CN"/>
        </w:rPr>
        <w:t>八</w:t>
      </w:r>
      <w:r>
        <w:rPr>
          <w:rFonts w:hint="eastAsia"/>
        </w:rPr>
        <w:t>、</w:t>
      </w:r>
      <w:r>
        <w:rPr>
          <w:rFonts w:hint="eastAsia"/>
          <w:lang w:eastAsia="zh-CN"/>
        </w:rPr>
        <w:t>签订</w:t>
      </w:r>
      <w:r>
        <w:rPr>
          <w:rFonts w:hint="eastAsia"/>
        </w:rPr>
        <w:t>合同</w:t>
      </w:r>
      <w:bookmarkEnd w:id="32"/>
      <w:bookmarkEnd w:id="33"/>
      <w:bookmarkEnd w:id="34"/>
      <w:bookmarkEnd w:id="35"/>
      <w:bookmarkEnd w:id="36"/>
      <w:bookmarkEnd w:id="37"/>
    </w:p>
    <w:p>
      <w:pPr>
        <w:pStyle w:val="12"/>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8</w:t>
      </w:r>
      <w:r>
        <w:rPr>
          <w:rFonts w:hint="eastAsia" w:ascii="宋体" w:hAnsi="宋体" w:eastAsia="宋体" w:cs="宋体"/>
          <w:b/>
          <w:bCs/>
          <w:kern w:val="0"/>
          <w:sz w:val="24"/>
          <w:szCs w:val="24"/>
          <w:lang w:val="en-US" w:eastAsia="zh-CN"/>
        </w:rPr>
        <w:t>.1 签订合同</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.1.1采购人应在成交通知书发出后</w:t>
      </w:r>
      <w:r>
        <w:rPr>
          <w:rFonts w:hint="eastAsia" w:ascii="宋体" w:hAnsi="宋体" w:cs="宋体"/>
          <w:kern w:val="0"/>
          <w:sz w:val="24"/>
          <w:szCs w:val="24"/>
          <w:lang w:val="en-US" w:eastAsia="zh-CN"/>
        </w:rPr>
        <w:t>7</w:t>
      </w:r>
      <w:r>
        <w:rPr>
          <w:rFonts w:hint="eastAsia" w:ascii="宋体" w:hAnsi="宋体" w:eastAsia="宋体" w:cs="宋体"/>
          <w:kern w:val="0"/>
          <w:sz w:val="24"/>
          <w:szCs w:val="24"/>
          <w:lang w:val="en-US" w:eastAsia="zh-CN"/>
        </w:rPr>
        <w:t>日内，根据成交结果和磋商文件、响应文件及有关补遗文件和确认谈判备忘录拟定的合同文本与成交供应商签订项目合同。</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.1.2采购人应按磋商文件要求和中标人的响应文件承诺订立书面合同，不得超出磋商文件和中标人响应文件的范围，也不得再另行订立背离合同实质性内容的其他协议。</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.1.3采购人应在《中标通知书》发出之日起</w:t>
      </w:r>
      <w:r>
        <w:rPr>
          <w:rFonts w:hint="eastAsia" w:ascii="宋体" w:hAnsi="宋体" w:cs="宋体"/>
          <w:kern w:val="0"/>
          <w:sz w:val="24"/>
          <w:szCs w:val="24"/>
          <w:lang w:val="en-US" w:eastAsia="zh-CN"/>
        </w:rPr>
        <w:t>7</w:t>
      </w:r>
      <w:r>
        <w:rPr>
          <w:rFonts w:hint="eastAsia" w:ascii="宋体" w:hAnsi="宋体" w:eastAsia="宋体" w:cs="宋体"/>
          <w:kern w:val="0"/>
          <w:sz w:val="24"/>
          <w:szCs w:val="24"/>
          <w:lang w:val="en-US" w:eastAsia="zh-CN"/>
        </w:rPr>
        <w:t>天内与中标人签订政府采购合同。签订政府采购合同后7个工作日内，采购人应将政府采购合同副本报政府采购监管部门备案。</w:t>
      </w:r>
    </w:p>
    <w:p>
      <w:pPr>
        <w:pStyle w:val="12"/>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8.1.4</w:t>
      </w:r>
      <w:r>
        <w:rPr>
          <w:rFonts w:hint="eastAsia" w:ascii="宋体" w:hAnsi="宋体" w:eastAsia="宋体" w:cs="宋体"/>
          <w:kern w:val="0"/>
          <w:sz w:val="24"/>
          <w:szCs w:val="24"/>
          <w:lang w:val="en-US" w:eastAsia="zh-CN"/>
        </w:rPr>
        <w:t>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4"/>
        <w:pageBreakBefore w:val="0"/>
        <w:kinsoku/>
        <w:overflowPunct/>
        <w:autoSpaceDE/>
        <w:autoSpaceDN/>
        <w:bidi w:val="0"/>
        <w:spacing w:line="400" w:lineRule="exact"/>
        <w:rPr>
          <w:rFonts w:hint="eastAsia" w:cs="Times New Roman"/>
          <w:lang w:eastAsia="zh-CN"/>
        </w:rPr>
      </w:pPr>
      <w:bookmarkStart w:id="46" w:name="_Toc456291533"/>
      <w:bookmarkStart w:id="47" w:name="_Toc456291276"/>
      <w:bookmarkStart w:id="48" w:name="_Toc456291350"/>
      <w:bookmarkStart w:id="49" w:name="_Toc456291256"/>
      <w:bookmarkStart w:id="50" w:name="_Toc7269"/>
      <w:bookmarkStart w:id="51" w:name="_Toc456291475"/>
      <w:bookmarkStart w:id="52" w:name="_Toc456291161"/>
      <w:bookmarkStart w:id="53" w:name="_Toc5694"/>
      <w:r>
        <w:rPr>
          <w:rFonts w:hint="eastAsia" w:cs="Times New Roman"/>
          <w:lang w:eastAsia="zh-CN"/>
        </w:rPr>
        <w:t>九、质疑</w:t>
      </w:r>
      <w:bookmarkEnd w:id="46"/>
      <w:bookmarkEnd w:id="47"/>
      <w:bookmarkEnd w:id="48"/>
      <w:bookmarkEnd w:id="49"/>
      <w:bookmarkEnd w:id="50"/>
      <w:bookmarkEnd w:id="51"/>
      <w:bookmarkEnd w:id="52"/>
      <w:bookmarkEnd w:id="53"/>
    </w:p>
    <w:p>
      <w:pPr>
        <w:pStyle w:val="12"/>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9.1质疑</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如果谈判供应商对此次采购活动有疑问，可依据《政府采购法》、《政府采购质疑和投诉办法》等相关规定，在规定时间内以书面形式向采购人和采购代理机构提出质疑。质疑书应当包括下列主要内容（质疑函格式见附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①质疑人的名称、地址、电话等；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②质疑人法人签章和单位公章；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③具体的质疑事项及事实依据；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④明确的请求和必要（合法来源）的证明材料；</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⑤以联合体形式参与谈判的，则必须联合体各方共同签署、盖章；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⑥提起质疑的日期。</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特注：未按上述程序规定的必备内容进行质疑的，政府采购机构将不予以受理。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9.1.2成交公告期限届满之日起7个工作日内如有质疑的，采购人或采购代理机构将依法给与答复，并将结果告知所有当事人。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9.1.3质疑供应商对采购人或采购代理机构答复不满意，可在15个工作日内向监管部门投诉。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9.1.4谈判供应商的质疑和投诉应有事实依据，若为无效投诉，监管部门将按有关规定给予处罚。</w:t>
      </w:r>
    </w:p>
    <w:p>
      <w:pPr>
        <w:pStyle w:val="4"/>
        <w:pageBreakBefore w:val="0"/>
        <w:kinsoku/>
        <w:overflowPunct/>
        <w:autoSpaceDE/>
        <w:autoSpaceDN/>
        <w:bidi w:val="0"/>
        <w:spacing w:line="400" w:lineRule="exact"/>
        <w:rPr>
          <w:rFonts w:hint="eastAsia" w:cs="Times New Roman"/>
          <w:lang w:eastAsia="zh-CN"/>
        </w:rPr>
      </w:pPr>
      <w:bookmarkStart w:id="54" w:name="_Toc456291534"/>
      <w:bookmarkStart w:id="55" w:name="_Toc456291257"/>
      <w:bookmarkStart w:id="56" w:name="_Toc456291351"/>
      <w:bookmarkStart w:id="57" w:name="_Toc456291277"/>
      <w:bookmarkStart w:id="58" w:name="_Toc456291476"/>
      <w:bookmarkStart w:id="59" w:name="_Toc456291162"/>
      <w:bookmarkStart w:id="60" w:name="_Toc25716"/>
      <w:bookmarkStart w:id="61" w:name="_Toc11180"/>
      <w:r>
        <w:rPr>
          <w:rFonts w:hint="eastAsia" w:cs="Times New Roman"/>
          <w:lang w:eastAsia="zh-CN"/>
        </w:rPr>
        <w:t>十、</w:t>
      </w:r>
      <w:bookmarkEnd w:id="54"/>
      <w:bookmarkEnd w:id="55"/>
      <w:bookmarkEnd w:id="56"/>
      <w:bookmarkEnd w:id="57"/>
      <w:bookmarkEnd w:id="58"/>
      <w:bookmarkEnd w:id="59"/>
      <w:bookmarkEnd w:id="60"/>
      <w:bookmarkEnd w:id="61"/>
      <w:r>
        <w:rPr>
          <w:rFonts w:hint="eastAsia" w:cs="Times New Roman"/>
          <w:lang w:eastAsia="zh-CN"/>
        </w:rPr>
        <w:t>纪律要求</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采购人不得泄露谈判采购活动中应当保密的情况和资料，不得与供应商串通损害国家利益、社会公共利益或者他人合法权益。</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供应商不得相互串通或者与采购人串通，不得向采购人或者谈判小组成员行贿谋取成交，不得以他人名义参加谈判采购活动或者以其他方式弄虚作假骗取成交；供应商不得以任何方式干扰、影响评审工作。</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10.3对谈判小组成员的纪律要求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谈判小组成员不得收受他人的财务或者其他好处，不得向他人透露对响应文件的评审和比较、候选成交供应商的推荐情况以及评审有关的其他情况。在谈判活动中，谈判小组成员应当客观、公正地履行职责，遵守职业道德，不得擅离职守、影响谈判工作的正常进行，不得使用第四章“评审办法”没有规定的评审因素和标准进行评审。</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10.4对与谈判活动有关的工作人员的纪律要求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谈判活动有关的工作人员不得收受他人的财务或者其他好处，不得向他人透露对响应文件的评审和比较、候选成交供应商的推荐情况以及评审有关的其他情况。在谈判活动中，与谈判活动有关的工作人员不得擅离职守、影响谈判工作的正常进行。</w:t>
      </w:r>
      <w:r>
        <w:rPr>
          <w:rFonts w:hint="eastAsia" w:ascii="宋体" w:hAnsi="宋体" w:eastAsia="宋体" w:cs="宋体"/>
          <w:color w:val="auto"/>
          <w:kern w:val="2"/>
          <w:sz w:val="24"/>
          <w:szCs w:val="24"/>
          <w:lang w:val="en-US" w:eastAsia="zh-CN" w:bidi="ar-SA"/>
        </w:rPr>
        <w:t xml:space="preserve">    </w:t>
      </w:r>
    </w:p>
    <w:p>
      <w:pPr>
        <w:pStyle w:val="4"/>
        <w:pageBreakBefore w:val="0"/>
        <w:kinsoku/>
        <w:overflowPunct/>
        <w:autoSpaceDE/>
        <w:autoSpaceDN/>
        <w:bidi w:val="0"/>
        <w:spacing w:line="400" w:lineRule="exact"/>
        <w:rPr>
          <w:rFonts w:hint="eastAsia" w:cs="Times New Roman"/>
          <w:lang w:eastAsia="zh-CN"/>
        </w:rPr>
      </w:pPr>
      <w:r>
        <w:rPr>
          <w:rFonts w:hint="eastAsia" w:cs="Times New Roman"/>
          <w:lang w:eastAsia="zh-CN"/>
        </w:rPr>
        <w:t>十一、需要补充的其他内容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需要补充的其他内容：详见供应商须知前附表。</w:t>
      </w:r>
    </w:p>
    <w:p>
      <w:pPr>
        <w:rPr>
          <w:rFonts w:hint="eastAsia" w:ascii="宋体" w:hAnsi="宋体" w:eastAsia="宋体" w:cs="宋体"/>
          <w:color w:val="auto"/>
          <w:sz w:val="28"/>
          <w:highlight w:val="cyan"/>
        </w:rPr>
      </w:pPr>
    </w:p>
    <w:p>
      <w:pPr>
        <w:pStyle w:val="32"/>
        <w:rPr>
          <w:rFonts w:hint="eastAsia" w:ascii="宋体" w:hAnsi="宋体" w:eastAsia="宋体" w:cs="宋体"/>
          <w:color w:val="auto"/>
          <w:sz w:val="28"/>
          <w:highlight w:val="cyan"/>
        </w:rPr>
      </w:pPr>
    </w:p>
    <w:p>
      <w:pPr>
        <w:pStyle w:val="32"/>
        <w:rPr>
          <w:rFonts w:hint="eastAsia" w:ascii="宋体" w:hAnsi="宋体" w:eastAsia="宋体" w:cs="宋体"/>
          <w:color w:val="auto"/>
          <w:sz w:val="28"/>
          <w:highlight w:val="cyan"/>
        </w:rPr>
      </w:pPr>
    </w:p>
    <w:p>
      <w:pPr>
        <w:pStyle w:val="32"/>
        <w:rPr>
          <w:rFonts w:hint="eastAsia" w:ascii="宋体" w:hAnsi="宋体" w:eastAsia="宋体" w:cs="宋体"/>
          <w:color w:val="auto"/>
          <w:sz w:val="28"/>
          <w:highlight w:val="cyan"/>
        </w:rPr>
      </w:pPr>
    </w:p>
    <w:p>
      <w:pPr>
        <w:pStyle w:val="32"/>
        <w:rPr>
          <w:rFonts w:hint="eastAsia" w:ascii="宋体" w:hAnsi="宋体" w:eastAsia="宋体" w:cs="宋体"/>
          <w:color w:val="auto"/>
          <w:sz w:val="28"/>
          <w:highlight w:val="cyan"/>
        </w:rPr>
      </w:pPr>
    </w:p>
    <w:p>
      <w:pPr>
        <w:pStyle w:val="32"/>
        <w:rPr>
          <w:rFonts w:hint="eastAsia" w:ascii="宋体" w:hAnsi="宋体" w:eastAsia="宋体" w:cs="宋体"/>
          <w:color w:val="auto"/>
          <w:sz w:val="28"/>
          <w:highlight w:val="cyan"/>
        </w:rPr>
      </w:pPr>
    </w:p>
    <w:p>
      <w:pPr>
        <w:pStyle w:val="32"/>
        <w:rPr>
          <w:rFonts w:hint="eastAsia" w:ascii="宋体" w:hAnsi="宋体" w:eastAsia="宋体" w:cs="宋体"/>
          <w:color w:val="auto"/>
          <w:sz w:val="28"/>
          <w:highlight w:val="cyan"/>
        </w:rPr>
      </w:pPr>
    </w:p>
    <w:p>
      <w:pPr>
        <w:pStyle w:val="32"/>
        <w:ind w:left="0" w:leftChars="0" w:firstLine="0" w:firstLineChars="0"/>
        <w:rPr>
          <w:rFonts w:hint="eastAsia" w:ascii="宋体" w:hAnsi="宋体" w:eastAsia="宋体" w:cs="宋体"/>
          <w:color w:val="auto"/>
          <w:sz w:val="28"/>
          <w:highlight w:val="cyan"/>
        </w:rPr>
      </w:pPr>
    </w:p>
    <w:p>
      <w:pPr>
        <w:pStyle w:val="32"/>
        <w:ind w:left="0" w:leftChars="0" w:firstLine="0" w:firstLineChars="0"/>
        <w:rPr>
          <w:rFonts w:hint="eastAsia" w:ascii="宋体" w:hAnsi="宋体" w:eastAsia="宋体" w:cs="宋体"/>
          <w:color w:val="auto"/>
          <w:sz w:val="28"/>
          <w:highlight w:val="cyan"/>
        </w:rPr>
      </w:pPr>
    </w:p>
    <w:p>
      <w:pPr>
        <w:pStyle w:val="32"/>
        <w:ind w:left="0" w:leftChars="0" w:firstLine="0" w:firstLineChars="0"/>
        <w:rPr>
          <w:rFonts w:hint="eastAsia" w:ascii="宋体" w:hAnsi="宋体" w:eastAsia="宋体" w:cs="宋体"/>
          <w:color w:val="auto"/>
          <w:sz w:val="28"/>
          <w:highlight w:val="cyan"/>
        </w:rPr>
      </w:pPr>
    </w:p>
    <w:p>
      <w:pPr>
        <w:pStyle w:val="32"/>
        <w:ind w:left="0" w:leftChars="0" w:firstLine="0" w:firstLineChars="0"/>
        <w:rPr>
          <w:rFonts w:hint="eastAsia" w:ascii="宋体" w:hAnsi="宋体" w:eastAsia="宋体" w:cs="宋体"/>
          <w:color w:val="auto"/>
          <w:sz w:val="28"/>
          <w:highlight w:val="cyan"/>
        </w:rPr>
      </w:pPr>
    </w:p>
    <w:p>
      <w:pPr>
        <w:pStyle w:val="32"/>
        <w:ind w:left="0" w:leftChars="0" w:firstLine="0" w:firstLineChars="0"/>
        <w:rPr>
          <w:rFonts w:hint="eastAsia" w:ascii="宋体" w:hAnsi="宋体" w:eastAsia="宋体" w:cs="宋体"/>
          <w:color w:val="auto"/>
          <w:sz w:val="28"/>
          <w:highlight w:val="cyan"/>
        </w:rPr>
      </w:pPr>
    </w:p>
    <w:p>
      <w:pPr>
        <w:pStyle w:val="32"/>
        <w:ind w:left="0" w:leftChars="0" w:firstLine="0" w:firstLineChars="0"/>
        <w:rPr>
          <w:rFonts w:hint="eastAsia" w:ascii="宋体" w:hAnsi="宋体" w:eastAsia="宋体" w:cs="宋体"/>
          <w:color w:val="auto"/>
          <w:sz w:val="28"/>
          <w:highlight w:val="cyan"/>
        </w:rPr>
      </w:pPr>
    </w:p>
    <w:p>
      <w:pPr>
        <w:pStyle w:val="32"/>
        <w:ind w:left="0" w:leftChars="0" w:firstLine="0" w:firstLineChars="0"/>
        <w:rPr>
          <w:rFonts w:hint="eastAsia" w:ascii="宋体" w:hAnsi="宋体" w:eastAsia="宋体" w:cs="宋体"/>
          <w:color w:val="auto"/>
          <w:sz w:val="28"/>
          <w:highlight w:val="cyan"/>
        </w:rPr>
      </w:pPr>
    </w:p>
    <w:p>
      <w:pPr>
        <w:pStyle w:val="32"/>
        <w:ind w:left="0" w:leftChars="0" w:firstLine="0" w:firstLineChars="0"/>
        <w:rPr>
          <w:rFonts w:hint="eastAsia"/>
        </w:rPr>
      </w:pPr>
    </w:p>
    <w:p>
      <w:pPr>
        <w:pStyle w:val="80"/>
        <w:rPr>
          <w:rFonts w:hint="eastAsia" w:ascii="宋体" w:hAnsi="宋体" w:eastAsia="宋体" w:cs="宋体"/>
          <w:color w:val="auto"/>
          <w:sz w:val="24"/>
          <w:lang w:eastAsia="zh-CN"/>
        </w:rPr>
      </w:pPr>
      <w:r>
        <w:rPr>
          <w:rFonts w:hint="eastAsia" w:ascii="宋体" w:hAnsi="宋体" w:eastAsia="宋体" w:cs="宋体"/>
          <w:color w:val="auto"/>
          <w:sz w:val="24"/>
          <w:lang w:eastAsia="zh-CN"/>
        </w:rPr>
        <w:t>附件：</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质疑函范本</w:t>
      </w:r>
    </w:p>
    <w:p>
      <w:pPr>
        <w:adjustRightInd w:val="0"/>
        <w:snapToGrid w:val="0"/>
        <w:spacing w:before="312" w:beforeLines="10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12"/>
        <w:spacing w:line="500" w:lineRule="exact"/>
        <w:ind w:left="0" w:leftChars="0" w:firstLine="0" w:firstLineChars="0"/>
        <w:jc w:val="left"/>
        <w:rPr>
          <w:rFonts w:hint="eastAsia" w:asciiTheme="majorEastAsia" w:hAnsiTheme="majorEastAsia" w:eastAsiaTheme="majorEastAsia"/>
          <w:sz w:val="28"/>
          <w:szCs w:val="28"/>
        </w:rPr>
      </w:pPr>
    </w:p>
    <w:p>
      <w:pPr>
        <w:pStyle w:val="3"/>
        <w:numPr>
          <w:ilvl w:val="0"/>
          <w:numId w:val="1"/>
        </w:numPr>
        <w:spacing w:before="0" w:after="0" w:line="240" w:lineRule="auto"/>
        <w:ind w:left="0" w:leftChars="0"/>
        <w:rPr>
          <w:rFonts w:hint="eastAsia"/>
        </w:rPr>
      </w:pPr>
      <w:bookmarkStart w:id="62" w:name="_Toc293736019"/>
      <w:bookmarkStart w:id="63" w:name="_Toc293736062"/>
      <w:bookmarkStart w:id="64" w:name="_Toc293739000"/>
      <w:bookmarkStart w:id="65" w:name="_Toc28105"/>
      <w:bookmarkStart w:id="66" w:name="_Toc28752"/>
      <w:bookmarkStart w:id="67" w:name="_Toc446599321"/>
      <w:bookmarkStart w:id="68" w:name="_Toc293739001"/>
      <w:bookmarkStart w:id="69" w:name="_Toc293736020"/>
      <w:bookmarkStart w:id="70" w:name="_Toc293736063"/>
      <w:bookmarkStart w:id="71" w:name="_Toc446599322"/>
      <w:r>
        <w:rPr>
          <w:rFonts w:hint="eastAsia"/>
          <w:lang w:val="en-US" w:eastAsia="zh-CN"/>
        </w:rPr>
        <w:t xml:space="preserve"> </w:t>
      </w:r>
      <w:bookmarkStart w:id="72" w:name="_Toc21897"/>
      <w:bookmarkStart w:id="73" w:name="_Toc2350"/>
      <w:r>
        <w:rPr>
          <w:rFonts w:hint="eastAsia"/>
        </w:rPr>
        <w:t>采购</w:t>
      </w:r>
      <w:bookmarkEnd w:id="62"/>
      <w:bookmarkEnd w:id="63"/>
      <w:bookmarkEnd w:id="64"/>
      <w:bookmarkStart w:id="74" w:name="_Toc294515580"/>
      <w:r>
        <w:rPr>
          <w:rFonts w:hint="eastAsia"/>
        </w:rPr>
        <w:t>需求</w:t>
      </w:r>
      <w:bookmarkEnd w:id="65"/>
      <w:bookmarkEnd w:id="66"/>
      <w:bookmarkEnd w:id="67"/>
      <w:bookmarkEnd w:id="72"/>
      <w:bookmarkEnd w:id="73"/>
    </w:p>
    <w:bookmarkEnd w:id="74"/>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一、货物清单</w:t>
      </w:r>
    </w:p>
    <w:tbl>
      <w:tblPr>
        <w:tblStyle w:val="33"/>
        <w:tblW w:w="0" w:type="auto"/>
        <w:tblInd w:w="96" w:type="dxa"/>
        <w:tblLayout w:type="autofit"/>
        <w:tblCellMar>
          <w:top w:w="0" w:type="dxa"/>
          <w:left w:w="108" w:type="dxa"/>
          <w:bottom w:w="0" w:type="dxa"/>
          <w:right w:w="108" w:type="dxa"/>
        </w:tblCellMar>
      </w:tblPr>
      <w:tblGrid>
        <w:gridCol w:w="536"/>
        <w:gridCol w:w="950"/>
        <w:gridCol w:w="1060"/>
        <w:gridCol w:w="4605"/>
        <w:gridCol w:w="536"/>
        <w:gridCol w:w="536"/>
        <w:gridCol w:w="821"/>
        <w:gridCol w:w="822"/>
      </w:tblGrid>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系统名称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商品名称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参数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数量</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单价(元)</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合价(元)</w:t>
            </w: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vMerge w:val="restart"/>
            <w:tcBorders>
              <w:top w:val="nil"/>
              <w:left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工地安全帽</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工地安全帽</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视频安全帽，白色一体化安全帽，符合GB2811-2007标准。具备视频预览，视频对讲，拍照录像；GPS定位，蓝牙区域定位，语音广播，4G数据通信，撞击告警，SOS呼救功能。</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30</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p>
        </w:tc>
        <w:tc>
          <w:tcPr>
            <w:tcW w:w="0" w:type="auto"/>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配套座充</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安全帽座充，支持≥6个安全帽同时充电，自带适配器。</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3</w:t>
            </w:r>
          </w:p>
        </w:tc>
        <w:tc>
          <w:tcPr>
            <w:tcW w:w="0" w:type="auto"/>
            <w:vMerge w:val="continue"/>
            <w:tcBorders>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安全帽内存卡</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bidi="ar"/>
              </w:rPr>
            </w:pPr>
            <w:r>
              <w:rPr>
                <w:rFonts w:hint="eastAsia" w:ascii="微软雅黑" w:hAnsi="微软雅黑" w:eastAsia="微软雅黑" w:cs="微软雅黑"/>
                <w:kern w:val="0"/>
                <w:sz w:val="16"/>
                <w:szCs w:val="16"/>
                <w:lang w:bidi="ar"/>
              </w:rPr>
              <w:t>1</w:t>
            </w:r>
            <w:r>
              <w:rPr>
                <w:rFonts w:ascii="微软雅黑" w:hAnsi="微软雅黑" w:eastAsia="微软雅黑" w:cs="微软雅黑"/>
                <w:kern w:val="0"/>
                <w:sz w:val="16"/>
                <w:szCs w:val="16"/>
                <w:lang w:bidi="ar"/>
              </w:rPr>
              <w:t>6G</w:t>
            </w:r>
            <w:r>
              <w:rPr>
                <w:rFonts w:hint="eastAsia" w:ascii="微软雅黑" w:hAnsi="微软雅黑" w:eastAsia="微软雅黑" w:cs="微软雅黑"/>
                <w:kern w:val="0"/>
                <w:sz w:val="16"/>
                <w:szCs w:val="16"/>
                <w:lang w:bidi="ar"/>
              </w:rPr>
              <w:t>高速存储内存卡</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3</w:t>
            </w:r>
            <w:r>
              <w:rPr>
                <w:rFonts w:ascii="微软雅黑" w:hAnsi="微软雅黑" w:eastAsia="微软雅黑" w:cs="微软雅黑"/>
                <w:color w:val="000000"/>
                <w:kern w:val="0"/>
                <w:sz w:val="16"/>
                <w:szCs w:val="16"/>
                <w:lang w:bidi="ar"/>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张</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4</w:t>
            </w:r>
          </w:p>
        </w:tc>
        <w:tc>
          <w:tcPr>
            <w:tcW w:w="0" w:type="auto"/>
            <w:vMerge w:val="restart"/>
            <w:tcBorders>
              <w:top w:val="nil"/>
              <w:left w:val="nil"/>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工地执法巡查系统</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工地单兵取证终端</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音频输入：支持2路内置MIC输入，1路3.5mm耳机接口；音频输出：扬声器，1路3.5mm耳机接口</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分辨率1280*720、4.7英寸LCD显示屏，具备手套触摸设置</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具备本地录音、本地回放视音频文件功能</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支持图像抓拍，后置摄像头最大抓拍分辨率4160*3120，前置摄像头最大抓拍分辨率3264*2488</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插入SIM卡后，能够进行通话和短信收发</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前置和后置摄像头录像分辨率支持1920*1080,1280*720和648*480</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具备本地车牌识别，并能够将识别的车牌号码及截图上传，支持新能源车牌识别</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具备人脸识别功能，支持检出瞳距20像素点以上的人脸</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检出齐刘海遮挡眉毛、戴普通眼镜、戴墨镜、戴彩色眼镜、戴帽子、戴头戴式耳机等遮挡方式的人脸</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 xml:space="preserve">支持密码、指纹、人脸识别方式登录系统 </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支持身份证、行驶证、护照、驾照、银行卡识别</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支持1080P无线相机接入</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电池容量5200mAH，采用可拆卸式电池设计</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设备内置加速度传感器，数字罗盘，陀螺仪传感器，光线传感器，距离传感器，温度传感器，气压传感器，以及深度学习算法</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设备支持IP68防水防尘等级</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r>
              <w:rPr>
                <w:rFonts w:ascii="微软雅黑" w:hAnsi="微软雅黑" w:eastAsia="微软雅黑" w:cs="微软雅黑"/>
                <w:color w:val="000000"/>
                <w:kern w:val="0"/>
                <w:sz w:val="16"/>
                <w:szCs w:val="16"/>
                <w:lang w:bidi="ar"/>
              </w:rPr>
              <w:t>5</w:t>
            </w:r>
          </w:p>
        </w:tc>
        <w:tc>
          <w:tcPr>
            <w:tcW w:w="0" w:type="auto"/>
            <w:vMerge w:val="continue"/>
            <w:tcBorders>
              <w:left w:val="nil"/>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取证终端内存卡</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bidi="ar"/>
              </w:rPr>
            </w:pPr>
            <w:r>
              <w:rPr>
                <w:rFonts w:hint="eastAsia" w:ascii="微软雅黑" w:hAnsi="微软雅黑" w:eastAsia="微软雅黑" w:cs="微软雅黑"/>
                <w:kern w:val="0"/>
                <w:sz w:val="16"/>
                <w:szCs w:val="16"/>
                <w:lang w:bidi="ar"/>
              </w:rPr>
              <w:t>1</w:t>
            </w:r>
            <w:r>
              <w:rPr>
                <w:rFonts w:ascii="微软雅黑" w:hAnsi="微软雅黑" w:eastAsia="微软雅黑" w:cs="微软雅黑"/>
                <w:kern w:val="0"/>
                <w:sz w:val="16"/>
                <w:szCs w:val="16"/>
                <w:lang w:bidi="ar"/>
              </w:rPr>
              <w:t>28G</w:t>
            </w:r>
            <w:r>
              <w:rPr>
                <w:rFonts w:hint="eastAsia" w:ascii="微软雅黑" w:hAnsi="微软雅黑" w:eastAsia="微软雅黑" w:cs="微软雅黑"/>
                <w:kern w:val="0"/>
                <w:sz w:val="16"/>
                <w:szCs w:val="16"/>
                <w:lang w:bidi="ar"/>
              </w:rPr>
              <w:t>高速存储卡</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张</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6</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工地巡检车载系统</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工地巡检车载NVR</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视频输入：8路IPC接入，可支持1080P及以上录像分辨率；</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硬盘存储：支持2块2.5寸硬盘；</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SD卡存储：1个，标准SD卡插槽；（标配不带SD卡）</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通信模块：全网通（支持移动、联通、电信）；</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定位模块：支持GPS/GLONASS/北斗三模定位；</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7</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工地巡检车前摄像机</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传感器类型 1/2.8 "Progressive Scan CMOS</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最低照度 0.005 Lux@(F1.2，AGC ON),0 Lux with IR</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快门 1/3秒至1/100000秒</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数字降噪 3D数字降噪</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最大图像尺寸 1920×1080</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8</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工地巡检驾驶室内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传感器类型 1/2.8 "Progressive Scan CMOS</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最低照度 0.005 Lux@(F1.2，AGC ON),0 Lux with IR</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快门 1/3秒至1/100000秒</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数字降噪 3D数字降噪</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最大图像尺寸 1920×1080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9</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工地巡检车两侧摄像机</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传感器类型 1/2.8 "Progressive Scan CMOS</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最低照度 0.005 Lux@(F1.2，AGC ON),0 Lux with IR</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快门 1/3秒至1/100000秒</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日夜转换模式 ICR红外滤片式</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同步方式 内同步</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宽动态 120dB</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数字降噪 3D数字降噪</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4</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10</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工地巡检调试工具</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串口调试线；遥控器，</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钥匙、扳手、梅花螺丝包</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1</w:t>
            </w:r>
            <w:r>
              <w:rPr>
                <w:rFonts w:ascii="微软雅黑" w:hAnsi="微软雅黑" w:eastAsia="微软雅黑" w:cs="微软雅黑"/>
                <w:color w:val="000000"/>
                <w:sz w:val="16"/>
                <w:szCs w:val="16"/>
              </w:rPr>
              <w:t>1</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转接线</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摄像机延长线</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根</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12</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工地巡检检测工具</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1、工作频率为 2.4GHz</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2、最高 150Mbps 无线传输速率</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3、符合 IEEE 802.11b/g/n 标准</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4、具有 QSS 快速设置功能，轻松设置无线安全</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5、Type-A USB2.0 标准接口</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13</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工地巡检移动布控设备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支持感兴趣区域增强编码功能，并且可以设置打开/关闭，支持最大8个区域单独设置，等级1-6级可配置；</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可以通过无线网络或有线网络连接客户端，并应能响应客户端软件发出的水平、垂直和变焦命令；</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在客户端软件上通过触摸屏控制云台进行转动，变焦命令，以及智能功能命令；</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预置位数目不少于255个；</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支持定时任务，当设备待机时间达到设定值时，可自动运行调预置位、巡航扫描、花样扫描等功能；</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支持自动白平衡功能，当使用环境实际色温在2800K ~ 10000K范围内变化时，摄像机应能自动调整白平衡，使输出图像准确重现出观察场景的实际色彩；</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具有电子防抖功能，能通过浏览器设置电子防抖功能开启/关闭；</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支持2.4G/5G，可通过WiFi接入无线网络，也可将自身设置为WiFi热点，支持通过手机或PAD直连访问操作；</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可接入蓝牙耳机，支持本地麦克风扬声器与平台对讲；</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内置双拾音器，具备降噪功能；内置麦克风；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使用内置锂电池供电时，设备正常运行不低于10小时；</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可对行驶车辆进行抓拍并识别车牌；</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支持人脸抓拍功能，可对经过设定区域的行人进行人脸检测和人脸跟踪，当检测到人脸后，可抓拍人脸图片，抓拍图片数量可设；</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具备GPS/北斗/混合定位功能，并能在监控画面叠加设备所在的经纬度信息；</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支持安全帽检测，最大同时检测30个安全帽。支持4种颜色，红色、白色、蓝色、黄色安全帽颜色检测；</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预览界面显示红、绿、黑三种状态；支持循环播报及关联语音报警输出，支持不少于5个循环文件播报，支持不少于5个语音报警输出功能，支持自定义语音播报；支持不戴安全帽报警照片以及取证录像；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14</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车辆出入口管控系统</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小区广告门</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通道宽度800mm—1400mm，尺寸可以现场调节</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工作电压24VDC，工作温度范围-20℃~50℃</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灯箱广告LED发光均匀</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开合方向可控制，开合方式可遥控，（自带两遥控器）</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遇阻保护：设备采用雷达感应技术，支持遇阻反弹和防夹保护功能</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广告门控制调节：关门力度，开门保持时间，广告门开、关门速度，减速角度、加速度可调节</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6</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r>
              <w:rPr>
                <w:rFonts w:ascii="微软雅黑" w:hAnsi="微软雅黑" w:eastAsia="微软雅黑" w:cs="微软雅黑"/>
                <w:color w:val="000000"/>
                <w:kern w:val="0"/>
                <w:sz w:val="16"/>
                <w:szCs w:val="16"/>
                <w:lang w:bidi="ar"/>
              </w:rPr>
              <w:t>5</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人脸门禁一体机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设备采用7英寸LCD触摸显示屏，屏幕流明度350cd/㎡，分辨率不小于1024*600，屏幕防暴等级IK04。（公安部检验报告证明）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设备采用嵌入式Linux系统，支持刷脸认证，支持IC卡，身份证卡号读取，CPU卡内容读取及开启/关闭NFC刷卡功能，并支持指纹蓝牙一体模块（具有指纹和蓝牙功能）或身份证模块拼接扩展。（公安部检验报告证明）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设备采用高清双目宽动态相机（可见光摄像头*1，红外摄像头*1），最大分辨率：1920×1080。（公安部检验报告证明）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设备本地人脸库存储容量5000张，本地卡存储容量6000张，本地出入记录存储容量50000条。（公安部检验报告证明）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设备具有丰富的硬件接口，应不少于以下硬件接口及能力：LAN*1（10M/100M/1000M自适应）；RS485*1；韦根*1； USB *1；喇叭扬声器；I/O输出*2； I/O输入*4； PSAM*1；SIM*1；机械防拆开关*1。（公安部检验报告证明）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设备支持授权人员刷人脸时可抓拍图片并实时上传平台，支持被4个客户端软件同时实时监听，在线状态下实时上传比对记录。（公安部检验报告证明）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支持通过WEB进行设备信息查询;支持通过WEB进行用户信息管理;支持通过WEB进行设备时间管理;支持通过WEB进行系统维护;支持通过WEB进行安全操作管理;支持通过WEB进行人脸、指纹等技术参数配置;支持通过WEB进行图像参数配置。（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1.支持在0.001lux低照度无补光环境下正常实现人脸识别；2.人脸识别距离：0.2~3m，识别高度范围为0.9~2.2m；3. 人脸识别误识率≤0.01%的条件下，准确率99.85%；4. 人脸比对平均时间≤0.2s；5.支持防假体攻击功能，对视频、电子照片、打印照片中的人脸应不能进行人脸识别4.（公安部检验报告证明）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设备支持以下认证方式：人脸识别、刷卡、二维码、密码； 支持上述任意一种、任意两组组合、任意三组组合的认证开门； （公安部检验报告证明）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设备支持多种人脸注册方式：设备本地人脸注册；本地U盘导入人员信息； 远程中心下发人脸；通过APP采集人脸并注册下发。（公安部检验报告证明）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设备支持视频对讲功能，可跟平台或客户端、室内机、管理机、手机APP进行视频对讲；同时支持管理中心远程视频预览功能； 支持接入NVR设备，实现视频监控录像 。（公安部检验报告证明）</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设备应具有CE、FCC、UL、CB、BIS、公安部检测报告。</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r>
              <w:rPr>
                <w:rFonts w:ascii="微软雅黑" w:hAnsi="微软雅黑" w:eastAsia="微软雅黑" w:cs="微软雅黑"/>
                <w:color w:val="000000"/>
                <w:kern w:val="0"/>
                <w:sz w:val="16"/>
                <w:szCs w:val="16"/>
                <w:lang w:bidi="ar"/>
              </w:rPr>
              <w:t>6</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人脸门禁一体机身份证读卡器</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可支持识别：身份证内容，IC卡，CPU卡卡号；</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6</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r>
              <w:rPr>
                <w:rFonts w:ascii="微软雅黑" w:hAnsi="微软雅黑" w:eastAsia="微软雅黑" w:cs="微软雅黑"/>
                <w:color w:val="000000"/>
                <w:kern w:val="0"/>
                <w:sz w:val="16"/>
                <w:szCs w:val="16"/>
                <w:lang w:bidi="ar"/>
              </w:rPr>
              <w:t>7</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人脸门禁一体机遮阳罩</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遮阳罩</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r>
              <w:rPr>
                <w:rFonts w:ascii="微软雅黑" w:hAnsi="微软雅黑" w:eastAsia="微软雅黑" w:cs="微软雅黑"/>
                <w:color w:val="000000"/>
                <w:kern w:val="0"/>
                <w:sz w:val="16"/>
                <w:szCs w:val="16"/>
                <w:lang w:bidi="ar"/>
              </w:rPr>
              <w:t>8</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车辆出入口抓拍视频单元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数字水印功能：支持在编码时加入特殊字段，可提示录像文件或图片被篡改</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断网续传功能：当网络断开时，可将抓拍图片和录像文件存储于样机内置TF卡内，当网络恢复时，可上传抓拍图片至PC本地。支持TF卡支持自动识别自动格式化和TF卡抓拍图片自动覆盖功能</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车牌跟踪功检查能：支持对车牌实时跟踪并识别</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无牌车辆抓拍功能检查：当视频监控区域内有无号牌车辆进入时，可对该车辆进行抓拍</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机动车捕获率：在天气晴朗无雾条件下进行测试，日间环境光照度不低于2001x，夜间辅助光照度不高于301x。日间机动车捕获率≥99.9%；夜间地动车捕获率≥99.9%</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机动车车牌识别准确率试验：在天气晴朗无雾，机动车结构化属性信息清晰可辨的条件下进行测试，日间环境光照度不低于2001x，夜间辅助光照度不高于301x。日间机动车车牌号识别准确率≥99.9%；夜间机动车车牌号识别准确率≥99.9%</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三码流输出功能：三码流同时输出可达到：主码流：分辨率1920×1200，帧率为25帧/s，码率为4Mbps;第一辅码流：分辨率1920×1200，帧率为25帧/s，码率为4Mbps;第二辅码流：分辨率1920×1200，帧率为25帧/s，码率为4Mbps</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宽动态设置检查:具有宽动态设置选项，并可通过菜单设置功能开启/关闭</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报警功能检查：发生以下情况之一时应产生报警提醒：（1）当识读到未授权的车辆时；（2）当识读到已设定须提示的车辆时；(3）当未经正常操作而使出入口挡车器开启时(4)当通讯发生故障时</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黑白名单同步和比对功能检查：联网时，可与后台的黑白名单同步，并进行比对和管控；断网时，可使用本地保存的黑白名单进行比对和管控。</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车牌识别功能检查：支持识别大（小）型汽车、使领馆汽车、警用汽车、军车、新能源汽车（小车的绿色和大车的黄绿色的车牌号；支持识别倾斜角度0°~30°的车牌号；支持识别相机法线与行车方向角度小于65°的车牌号；支持识别车牌宽度范围为70像素~300像素的车牌号</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异常车牌识别功能：支持对部分污损车牌及遮挡面积不超过1/3的车牌进行检测和识别</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机动车行进方向识别功能检查：支持识别机动车行进方向；行进方向包括来向、去向</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过车放行响应时间试验：车牌触及检车线至样机发出抬杆信号的响应时间≤1s</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过滤抓拍功能检查：支持过滤抓拍功能，可设置正向抓拍、背向和全部抓拍</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虚假车牌过滤：支持对打印车牌，单独车牌照片等虚假车牌进行过滤</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连续过车功能检查：支持于连续过车模式，连续过车时道闸不落杆</w:t>
            </w:r>
          </w:p>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强光抑制设置检查：强光抑制设置选项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r>
              <w:rPr>
                <w:rFonts w:ascii="微软雅黑" w:hAnsi="微软雅黑" w:eastAsia="微软雅黑" w:cs="微软雅黑"/>
                <w:color w:val="000000"/>
                <w:kern w:val="0"/>
                <w:sz w:val="16"/>
                <w:szCs w:val="16"/>
                <w:lang w:bidi="ar"/>
              </w:rPr>
              <w:t>9</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出入口控制终端（含软件授权）</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网络接入功能检验：可直接接入网络。同时支持6路10M/100M/1000M网口和1路4G全网通无线通信功能。</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VGA输出功能：可通过VGA输出进行显示。</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HDMI输出功能检验：可通过HDMI输出进行显示。</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报警输入输出功能检验：样机可控制报警输出，并获取报警输入信息</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交换机功能检验：样机具有多口交换机功能，能够使用5个10M/100M/1000M自适应RJ45接口进行网络交换功能。</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双IP地址检验：样机可设置两个独立的IP地址。</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校时功能检验：可通过WEB、NTP、客户端软件模块对样机进行校时。样机可自动对连接的IP摄像机等设备进行校时。</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单机模式检验：能够进行单机收费，单机发卡，单机配置收费规则等，</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级联功能检验：能够支持5个终端同时运行管理独立停车场，无需平台。</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内嵌停车场功能检验：样机支持内嵌停车场，支持一个大停车场嵌套四个同级内嵌子停车场</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车卡资料管理功能检验：支持增加、修改和删除车卡资料</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布控信息管理功能检验：布控信息支持增加、删除、修改功能</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卡片管理功能检验 支持近距离IC卡、900MHZ/2.45GHZ 远距离RFID卡、蓝牙卡等卡片的单独和批量发卡功能，支持续期功能</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无卡固定车和无车固定卡功能检验：支持无卡固定车和无车固定卡放行，车卡一致时，该类型默认通过</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收费管理功能检验：支持收费规则和减免规则的增加、删除、修改功能</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车卡资料与布控信息的导入导出检验：支持车卡资料和布控信息的导入和导出</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信息备份与还原功能检验：支持车卡分类、包期规则、收费规则、减免规则的备份和还原</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设备校时功能检验：样机能够统一按照数据库时间对设备所连接的设备进行定期校时，校时周期默认180秒。</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支持车辆充值扣费功能：支持添加储值车,车辆到中心充值,车辆出场后可以支持扣除余额出场</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支持支付宝刷条形码支付：车辆出场后,收费员可使用扫描枪扫车主的支付宝条形码实现移动支付放行</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支持微信扫码支付：车辆出场后,收费员可使用扫描枪扫车主的微信条形码实现移动支付放行</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静电放电抗扰度试验：样机处于工作状态，接触放电，测试电压±7KV，放电频率2Hz，正负各试验30次，试验后样机应能正常工作</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电快速瞬变脉冲群抗扰度试验：样机处于工作状态，将幅度为2000V，重复频率为5KHz的电快速瞬变脉冲群信号依次加到样机电源线输入端上，对样机进行电瞬变快速瞬变脉冲群抗扰度试验。试验中允许功能或性能丧失或降低，但在骚扰停止后能自行恢复，不需要操作者干预。</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20</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车辆数字广告道闸</w:t>
            </w:r>
          </w:p>
        </w:tc>
        <w:tc>
          <w:tcPr>
            <w:tcW w:w="0" w:type="auto"/>
            <w:tcBorders>
              <w:top w:val="nil"/>
              <w:left w:val="nil"/>
              <w:bottom w:val="nil"/>
              <w:right w:val="nil"/>
            </w:tcBorders>
            <w:shd w:val="clear" w:color="auto" w:fill="auto"/>
            <w:vAlign w:val="center"/>
          </w:tcPr>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道闸方向：右向</w:t>
            </w:r>
          </w:p>
          <w:p>
            <w:pPr>
              <w:widowControl/>
              <w:jc w:val="left"/>
              <w:textAlignment w:val="center"/>
              <w:rPr>
                <w:rFonts w:hint="eastAsia" w:ascii="微软雅黑" w:hAnsi="微软雅黑" w:eastAsia="微软雅黑" w:cs="微软雅黑"/>
                <w:color w:val="000000"/>
                <w:kern w:val="0"/>
                <w:sz w:val="16"/>
                <w:szCs w:val="16"/>
                <w:lang w:eastAsia="zh-CN" w:bidi="ar"/>
              </w:rPr>
            </w:pPr>
            <w:r>
              <w:rPr>
                <w:rFonts w:hint="eastAsia" w:ascii="微软雅黑" w:hAnsi="微软雅黑" w:eastAsia="微软雅黑" w:cs="微软雅黑"/>
                <w:color w:val="000000"/>
                <w:kern w:val="0"/>
                <w:sz w:val="16"/>
                <w:szCs w:val="16"/>
                <w:lang w:bidi="ar"/>
              </w:rPr>
              <w:t>道闸杆长：4米</w:t>
            </w:r>
          </w:p>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功能特性：杆件双面可粘贴，箱体正面可安装宣传海报，出厂不含广告，杆件叶片采用无动力控制；</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2</w:t>
            </w:r>
            <w:r>
              <w:rPr>
                <w:rFonts w:ascii="微软雅黑" w:hAnsi="微软雅黑" w:eastAsia="微软雅黑" w:cs="微软雅黑"/>
                <w:color w:val="000000"/>
                <w:sz w:val="16"/>
                <w:szCs w:val="16"/>
              </w:rPr>
              <w:t>1</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车辆数字广告道闸</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道闸方向：左向</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道闸杆长：4米</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功能特性：杆件双面可粘贴，箱体正面可安装宣传海报，出厂不含广告，杆件叶片采用无动力控制；</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22</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防砸雷达</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支持宽电压范围为：DC9V~16V，一般采用DC12V供电。</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功耗≤3W。</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设备具有电源和状态指示灯。一个红色电源指示灯，一个绿色状态指示灯；实时反映是否有车或有人。</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在触发雷达作用区域内，车速30km/h以内，触发捕获率大于99%。（实测100次，捕获率100%）</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具有人车区分功能。可对行人和车辆进行区分，控制触发。</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触发模式具有区分方向功能，方向区分成功率大于95%。（实测100次，捕获率100%）</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检测距离：最远6米（可设置）；检测宽度：最宽2米（可设置）。</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可通过WIFI和串口线进行数据通信，对设备进行升级和调试。</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1组RS485接口；1组报警信号输出；1组固件升级接口。支持WIFI。</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外壳防护等级：IP67</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r>
              <w:rPr>
                <w:rFonts w:ascii="微软雅黑" w:hAnsi="微软雅黑" w:eastAsia="微软雅黑" w:cs="微软雅黑"/>
                <w:color w:val="000000"/>
                <w:kern w:val="0"/>
                <w:sz w:val="16"/>
                <w:szCs w:val="16"/>
                <w:lang w:bidi="ar"/>
              </w:rPr>
              <w:t>3</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智慧小区监管系统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高空抛物智能识别硬盘录像机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有2个HDMI接口、2个VGA接口、2个RJ45网络接口、2个USB2.0接口、2个USB3.0接口、1个RS232接口、1个RS485接口、1个eSata接口、一个miniSAS扩展接口、1个键盘485接口、1路音频输入接口、2路音频输出接口；16路报警输入接口、9路报警输出接口、可内置8个SATA接口硬盘。</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支持2路DC 12V反向供电输出接口，其中1路为受控报警输出口</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支持1路8160×3616格式、H.265编码、25fps的视频实时预览。（以公安部检测报告为准）</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支持图片存储服务，可将NVR作为图片存储服务器，接收并存储前端推送的图片（以公安部检测报告为准）</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具有存储安全保障功能，当业务变化导致存储压力过高或硬盘出现性能不足时，系统会开启增强模式优先录像业务存储；</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o支持RTMP协议推流直播，支持主码流、子码流推流，支持符音视频复合流推流，在特定条件下，推流延迟最低可控制在1秒以内。支持HLS协议推流直播，支持主码流、子码流推流，支持符音视频复合流推流。（以公安部检测报告为准）（需定制支持）</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WEB端可设置开启HTTPS安全链接、802.1X、SSH。</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可同时显示输出64路H.265编码、30fps、1920×1080格式的视频图像（以公安部检测报告为准）</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可显示8160×3616（25帧/秒）、8208x3072（25帧/秒）、8160×2400（25帧/秒）、6912x2800(25帧/秒)、5760x1696(25帧/秒)、5520×2400（25帧/秒）、4096×2160（25帧/秒）、4000×3000(25帧/秒)、3840×2160(25帧/秒)、3072×2048(25帧/秒)、2560×2048(25帧/秒)、2048×1536(25帧/秒)、1920×1080(25帧/秒)、1280×720(25帧/秒)、704×576(25帧/秒)分辨率码流以公安部检测报告为准）</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磁盘阵列功能： 可设置为RAID0、RAID1、RAID5、RAID6、RAID10、RAID50、RAID60、JBOD模式；支持一键创建RAID5阵列功能；支持开启RAID后，系统接入带宽、存储带宽、转发带宽、回放带宽不下降（以公安部检测报告为准）</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支持接入具有人脸抓拍功能的门禁设备，可预览门禁主机的视频画面，触发人脸抓拍时，通过客户端软件可设定报警提示并联动录像、弹出报警画面、发送语音提示、发送邮件。 （以公安部检测报告为准）</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支持设置一台设备为其他多台的热备机，最多支持32台主设备，当主设备断网时，备份设备替换主设备进行录像工作；当主设备正常时，备份机可回传录像文件至主设备。（以公安部检测报告为准）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r>
              <w:rPr>
                <w:rFonts w:ascii="微软雅黑" w:hAnsi="微软雅黑" w:eastAsia="微软雅黑" w:cs="微软雅黑"/>
                <w:color w:val="000000"/>
                <w:kern w:val="0"/>
                <w:sz w:val="16"/>
                <w:szCs w:val="16"/>
                <w:lang w:bidi="ar"/>
              </w:rPr>
              <w:t>4</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高空抛物智能识别摄像机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具有400万像素 CMOS传感器。</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具有不小于1/1.8"靶面尺寸。（公安部检验报告证明）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内置GPU芯片。（公安部检验报告证明）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光圈大小为F1.0±5%。（公安部检验报告证明）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最低照度彩色不大于0.0002 lx，黑白不大于0.0001 lx。（公安部检验报告证明）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设备水平中心分辨力不小于1500TVL。（公安部检验报告证明）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支持H.264、H.265、MJPEG视频编码格式，且具有High Profile编码能力。（公安部检验报告证明）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需支持双码流技术，主码流分辨率不小于2560x1440@25fps，子码流不小于704x576@25fps。（公安部检验报告证明）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支持镜头前盖玻璃加热功能，内置温度传感器，当温度低于设定阈值时，可开启加热片，去除玻璃上的水、冰、雪、雾类附着物，可根据环境温度自动调整加热功率。（公安部检验报告证明）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镜头前盖采用增强透光玻璃，透过率不小于96%。（公安部检验报告证明）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需支持IP67防尘防水、IK10防暴等级。（公安部检验报告证明）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支持高空抛物检测功能，可检测如垃圾袋、纸盒、矿泉水瓶等，可抓图并发出报警提示。（公安部检验报告证明）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支持高空抛物抗扰功能，当出现非从高处落向低处的物体，不产生报警提示信息。（公安部检验报告证明）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高空抛物检测误报率≤1%。（公安部检验报告证明）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设备默认不开启telnet、ftp和tftp服务，对未使用的服务及端口应默认关闭。（公安部检验报告证明）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射频电磁场辐射抗扰度应符合GB/T 17626.3-2006中试验等级3的规定。（公安部检验报告证明）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传导骚扰极限值应符合GB 9254-2008中等级A的规定。（公安部检验报告证明）</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辐射骚扰限值应符合GB 9254-2008中等级A的规定。（公安部检验报告证明）</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r>
              <w:rPr>
                <w:rFonts w:ascii="微软雅黑" w:hAnsi="微软雅黑" w:eastAsia="微软雅黑" w:cs="微软雅黑"/>
                <w:color w:val="000000"/>
                <w:kern w:val="0"/>
                <w:sz w:val="16"/>
                <w:szCs w:val="16"/>
                <w:lang w:bidi="ar"/>
              </w:rPr>
              <w:t>5</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消防通道车辆占道检测筒型网络摄像机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具有400万像素 CMOS传感器。</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具有不小于1/1.8"靶面尺寸。（公安部检验报告证明）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像元尺寸不小于2.9um×2.9um。（公安部检验报告证明）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内置2个麦克风、1个扬声器。（公安部检验报告证明）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内置2颗白光灯（1颗远光灯、1颗近光灯）。（公安部检验报告证明）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镜头支持电动变焦，并可对拍摄物体进行自动聚焦，光圈大小为F1.0。（公安部检验报告证明）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在彩色模式下，当环境照度降低至设定阈值，可自动开启白光补光灯，在白天、夜晚均可输出彩色视频图像。（公安部检验报告证明）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最低照度彩色不大于0.0002 lx，黑白不大于0.0001 lx。（公安部检验报告证明）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宽动态能力不小于120dB。（公安部检验报告证明）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设备水平中心分辨力不小于1500TVL。（公安部检验报告证明）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支持H.264、H.265、MJPEG视频编码格式，且具有High Profile编码能力。（公安部检验报告证明）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信噪比不小于58dB。（公安部检验报告证明）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在分辨率1920x1080 @ 25fps，延时不大于70ms。（公安部检验报告证明）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支持MD5、SHA256加密算法。（公安部检验报告证明）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需支持四码流技术，主码流分辨率不小于2560x1440@25fps，子码流不小于704x576@25fps，第三码流不小于1920x1080@25fps，第四码流不小于704x576@25fps。（公安部检验报告证明）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支持声光报警功能，当报警产生时，可在布防时间内联动声音警报和/或白光闪烁。（公安部检验报告证明）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支持声音报警功能，报警声音类型不小于11种，报警音量和重复次数可设置。（公安部检验报告证明）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需具备智能分析抗干扰功能，当篮球、小狗、树摇晃等情况经过检测区域时，不会触发报警。（公安部检验报告证明）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同一静止场景相同图像质量下，设备在H.265编码方式时，开启智能编码功能和不开启智能编码相比，码率节约80%。（公安部检验报告证明）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需支持IP67防尘防水。（公安部检验报告证明）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具有低温低气压适应性，可在不高于-45℃和气压70kPa环境下正常工作。（公安部检验报告证明）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需同时支持DC12V和POE供电，且在不小于DC12V±30%范围内变化时可以正常工作。（公安部检验报告证明）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需支持本地SD卡存储，最大支持256G，并支持存储卡可使用时长显示。（公安部检验报告证明）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支持对存储卡进行读写锁定，锁定后的存储卡在移动终端需要密码才能访问。（公安部检验报告证明）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设备通信报文中不存在明文格式的用户身份鉴别信息。（公安部检验报告证明）</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支持https通信协议，且https协议不存在已公布的漏洞。（公安部检验报告证明）</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r>
              <w:rPr>
                <w:rFonts w:ascii="微软雅黑" w:hAnsi="微软雅黑" w:eastAsia="微软雅黑" w:cs="微软雅黑"/>
                <w:color w:val="000000"/>
                <w:kern w:val="0"/>
                <w:sz w:val="16"/>
                <w:szCs w:val="16"/>
                <w:lang w:bidi="ar"/>
              </w:rPr>
              <w:t>6</w:t>
            </w:r>
          </w:p>
        </w:tc>
        <w:tc>
          <w:tcPr>
            <w:tcW w:w="0" w:type="auto"/>
            <w:vMerge w:val="continue"/>
            <w:tcBorders>
              <w:top w:val="single" w:color="auto" w:sz="4" w:space="0"/>
              <w:left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摄像机支架</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壁装支架/铝合金</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r>
              <w:rPr>
                <w:rFonts w:ascii="微软雅黑" w:hAnsi="微软雅黑" w:eastAsia="微软雅黑" w:cs="微软雅黑"/>
                <w:color w:val="000000"/>
                <w:kern w:val="0"/>
                <w:sz w:val="16"/>
                <w:szCs w:val="16"/>
                <w:lang w:bidi="ar"/>
              </w:rPr>
              <w:t>7</w:t>
            </w:r>
          </w:p>
        </w:tc>
        <w:tc>
          <w:tcPr>
            <w:tcW w:w="0" w:type="auto"/>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摄像机适配器</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摄像机配套配套电源1</w:t>
            </w:r>
            <w:r>
              <w:rPr>
                <w:rFonts w:ascii="微软雅黑" w:hAnsi="微软雅黑" w:eastAsia="微软雅黑" w:cs="微软雅黑"/>
                <w:color w:val="000000"/>
                <w:sz w:val="16"/>
                <w:szCs w:val="16"/>
              </w:rPr>
              <w:t>2V/2A</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100</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2</w:t>
            </w:r>
            <w:r>
              <w:rPr>
                <w:rFonts w:ascii="微软雅黑" w:hAnsi="微软雅黑" w:eastAsia="微软雅黑" w:cs="微软雅黑"/>
                <w:color w:val="000000"/>
                <w:kern w:val="0"/>
                <w:sz w:val="16"/>
                <w:szCs w:val="16"/>
                <w:lang w:bidi="ar"/>
              </w:rPr>
              <w:t>8</w:t>
            </w:r>
          </w:p>
        </w:tc>
        <w:tc>
          <w:tcPr>
            <w:tcW w:w="0" w:type="auto"/>
            <w:vMerge w:val="continue"/>
            <w:tcBorders>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监控立杆</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3米监控立杆</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4</w:t>
            </w:r>
            <w:r>
              <w:rPr>
                <w:rFonts w:ascii="微软雅黑" w:hAnsi="微软雅黑" w:eastAsia="微软雅黑" w:cs="微软雅黑"/>
                <w:color w:val="000000"/>
                <w:kern w:val="0"/>
                <w:sz w:val="16"/>
                <w:szCs w:val="16"/>
                <w:lang w:bidi="ar"/>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个</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r>
              <w:rPr>
                <w:rFonts w:ascii="微软雅黑" w:hAnsi="微软雅黑" w:eastAsia="微软雅黑" w:cs="微软雅黑"/>
                <w:color w:val="000000"/>
                <w:kern w:val="0"/>
                <w:sz w:val="16"/>
                <w:szCs w:val="16"/>
                <w:lang w:bidi="ar"/>
              </w:rPr>
              <w:t>9</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智慧工地平台软件授权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车辆出入口管理模块授权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p>
            <w:pPr>
              <w:widowControl/>
              <w:jc w:val="left"/>
              <w:textAlignment w:val="center"/>
              <w:rPr>
                <w:rStyle w:val="95"/>
                <w:rFonts w:hint="eastAsia" w:eastAsia="微软雅黑"/>
                <w:lang w:eastAsia="zh-CN" w:bidi="ar"/>
              </w:rPr>
            </w:pPr>
            <w:r>
              <w:rPr>
                <w:rStyle w:val="95"/>
                <w:rFonts w:hint="default"/>
                <w:lang w:bidi="ar"/>
              </w:rPr>
              <w:t>一、出入口车道管理</w:t>
            </w:r>
          </w:p>
          <w:p>
            <w:pPr>
              <w:widowControl/>
              <w:jc w:val="left"/>
              <w:textAlignment w:val="center"/>
              <w:rPr>
                <w:rStyle w:val="95"/>
                <w:rFonts w:hint="eastAsia" w:eastAsia="微软雅黑"/>
                <w:lang w:eastAsia="zh-CN" w:bidi="ar"/>
              </w:rPr>
            </w:pPr>
            <w:r>
              <w:rPr>
                <w:rStyle w:val="95"/>
                <w:rFonts w:hint="default"/>
                <w:lang w:bidi="ar"/>
              </w:rPr>
              <w:t>1、支持停车场出入口设备的管理，包含出入口抓拍机、道闸、显示屏等</w:t>
            </w:r>
          </w:p>
          <w:p>
            <w:pPr>
              <w:widowControl/>
              <w:jc w:val="left"/>
              <w:textAlignment w:val="center"/>
              <w:rPr>
                <w:rStyle w:val="95"/>
                <w:rFonts w:hint="eastAsia" w:eastAsia="微软雅黑"/>
                <w:lang w:eastAsia="zh-CN" w:bidi="ar"/>
              </w:rPr>
            </w:pPr>
            <w:r>
              <w:rPr>
                <w:rStyle w:val="95"/>
                <w:rFonts w:hint="default"/>
                <w:lang w:bidi="ar"/>
              </w:rPr>
              <w:t>2、支持对停车场的管理，配置停车库的名称、车位数、车道信息、车库管理人员电话</w:t>
            </w:r>
          </w:p>
          <w:p>
            <w:pPr>
              <w:widowControl/>
              <w:jc w:val="left"/>
              <w:textAlignment w:val="center"/>
              <w:rPr>
                <w:rStyle w:val="95"/>
                <w:rFonts w:hint="eastAsia" w:eastAsia="微软雅黑"/>
                <w:lang w:eastAsia="zh-CN" w:bidi="ar"/>
              </w:rPr>
            </w:pPr>
            <w:r>
              <w:rPr>
                <w:rStyle w:val="95"/>
                <w:rFonts w:hint="default"/>
                <w:lang w:bidi="ar"/>
              </w:rPr>
              <w:t>3、支持对车道的管理，支持管理车道方向、识别模式（车牌识别、卡号识别）和启用时段</w:t>
            </w:r>
          </w:p>
          <w:p>
            <w:pPr>
              <w:widowControl/>
              <w:jc w:val="left"/>
              <w:textAlignment w:val="center"/>
              <w:rPr>
                <w:rStyle w:val="95"/>
                <w:rFonts w:hint="eastAsia" w:eastAsia="微软雅黑"/>
                <w:lang w:eastAsia="zh-CN" w:bidi="ar"/>
              </w:rPr>
            </w:pPr>
            <w:r>
              <w:rPr>
                <w:rStyle w:val="95"/>
                <w:rFonts w:hint="default"/>
                <w:lang w:bidi="ar"/>
              </w:rPr>
              <w:t>二、车辆管理</w:t>
            </w:r>
          </w:p>
          <w:p>
            <w:pPr>
              <w:widowControl/>
              <w:jc w:val="left"/>
              <w:textAlignment w:val="center"/>
              <w:rPr>
                <w:rStyle w:val="95"/>
                <w:rFonts w:hint="eastAsia" w:eastAsia="微软雅黑"/>
                <w:lang w:eastAsia="zh-CN" w:bidi="ar"/>
              </w:rPr>
            </w:pPr>
            <w:r>
              <w:rPr>
                <w:rStyle w:val="95"/>
                <w:rFonts w:hint="default"/>
                <w:lang w:bidi="ar"/>
              </w:rPr>
              <w:t>1、支持固定车、临时车、预约车、黑名单车辆的管理</w:t>
            </w:r>
          </w:p>
          <w:p>
            <w:pPr>
              <w:widowControl/>
              <w:jc w:val="left"/>
              <w:textAlignment w:val="center"/>
              <w:rPr>
                <w:rStyle w:val="95"/>
                <w:rFonts w:hint="eastAsia" w:eastAsia="微软雅黑"/>
                <w:lang w:eastAsia="zh-CN" w:bidi="ar"/>
              </w:rPr>
            </w:pPr>
            <w:r>
              <w:rPr>
                <w:rStyle w:val="95"/>
                <w:rFonts w:hint="default"/>
                <w:lang w:bidi="ar"/>
              </w:rPr>
              <w:t>2、支持黑名单车辆管控，黑名单车辆进出报警提醒</w:t>
            </w:r>
          </w:p>
          <w:p>
            <w:pPr>
              <w:widowControl/>
              <w:jc w:val="left"/>
              <w:textAlignment w:val="center"/>
              <w:rPr>
                <w:rStyle w:val="95"/>
                <w:rFonts w:hint="eastAsia" w:eastAsia="微软雅黑"/>
                <w:lang w:eastAsia="zh-CN" w:bidi="ar"/>
              </w:rPr>
            </w:pPr>
            <w:r>
              <w:rPr>
                <w:rStyle w:val="95"/>
                <w:rFonts w:hint="default"/>
                <w:lang w:bidi="ar"/>
              </w:rPr>
              <w:t>3、支持预约车管理，按次预约和按时段预约</w:t>
            </w:r>
          </w:p>
          <w:p>
            <w:pPr>
              <w:widowControl/>
              <w:jc w:val="left"/>
              <w:textAlignment w:val="center"/>
              <w:rPr>
                <w:rStyle w:val="95"/>
                <w:rFonts w:hint="eastAsia" w:eastAsia="微软雅黑"/>
                <w:lang w:eastAsia="zh-CN" w:bidi="ar"/>
              </w:rPr>
            </w:pPr>
            <w:r>
              <w:rPr>
                <w:rStyle w:val="95"/>
                <w:rFonts w:hint="default"/>
                <w:lang w:bidi="ar"/>
              </w:rPr>
              <w:t>三、车辆放行规则管理</w:t>
            </w:r>
          </w:p>
          <w:p>
            <w:pPr>
              <w:widowControl/>
              <w:jc w:val="left"/>
              <w:textAlignment w:val="center"/>
              <w:rPr>
                <w:rStyle w:val="95"/>
                <w:rFonts w:hint="eastAsia" w:eastAsia="微软雅黑"/>
                <w:lang w:eastAsia="zh-CN" w:bidi="ar"/>
              </w:rPr>
            </w:pPr>
            <w:r>
              <w:rPr>
                <w:rStyle w:val="95"/>
                <w:rFonts w:hint="default"/>
                <w:lang w:bidi="ar"/>
              </w:rPr>
              <w:t>1、支持嵌套停车场场景下的车辆进出管理和余位统计</w:t>
            </w:r>
          </w:p>
          <w:p>
            <w:pPr>
              <w:widowControl/>
              <w:jc w:val="left"/>
              <w:textAlignment w:val="center"/>
              <w:rPr>
                <w:rStyle w:val="95"/>
                <w:rFonts w:hint="eastAsia" w:eastAsia="微软雅黑"/>
                <w:lang w:eastAsia="zh-CN" w:bidi="ar"/>
              </w:rPr>
            </w:pPr>
            <w:r>
              <w:rPr>
                <w:rStyle w:val="95"/>
                <w:rFonts w:hint="default"/>
                <w:lang w:bidi="ar"/>
              </w:rPr>
              <w:t>2、支持出入口潮汐车道、摩托车车道、混行车道的车道模式</w:t>
            </w:r>
          </w:p>
          <w:p>
            <w:pPr>
              <w:widowControl/>
              <w:jc w:val="left"/>
              <w:textAlignment w:val="center"/>
              <w:rPr>
                <w:rStyle w:val="95"/>
                <w:rFonts w:hint="eastAsia" w:eastAsia="微软雅黑"/>
                <w:lang w:eastAsia="zh-CN" w:bidi="ar"/>
              </w:rPr>
            </w:pPr>
            <w:r>
              <w:rPr>
                <w:rStyle w:val="95"/>
                <w:rFonts w:hint="default"/>
                <w:lang w:bidi="ar"/>
              </w:rPr>
              <w:t>3、支持自动放行、手动放行和单进单出等多种放行模式；支持车位满时固定车辆、临时车辆自动放行</w:t>
            </w:r>
          </w:p>
          <w:p>
            <w:pPr>
              <w:widowControl/>
              <w:jc w:val="left"/>
              <w:textAlignment w:val="center"/>
              <w:rPr>
                <w:rStyle w:val="95"/>
                <w:rFonts w:hint="eastAsia" w:eastAsia="微软雅黑"/>
                <w:lang w:eastAsia="zh-CN" w:bidi="ar"/>
              </w:rPr>
            </w:pPr>
            <w:r>
              <w:rPr>
                <w:rStyle w:val="95"/>
                <w:rFonts w:hint="default"/>
                <w:lang w:bidi="ar"/>
              </w:rPr>
              <w:t>4、支持配置特殊车辆（武警车、警车、使馆车）、车牌类型、车牌前缀，自动放行</w:t>
            </w:r>
          </w:p>
          <w:p>
            <w:pPr>
              <w:widowControl/>
              <w:jc w:val="left"/>
              <w:textAlignment w:val="center"/>
              <w:rPr>
                <w:rStyle w:val="95"/>
                <w:rFonts w:hint="eastAsia" w:eastAsia="微软雅黑"/>
                <w:lang w:eastAsia="zh-CN" w:bidi="ar"/>
              </w:rPr>
            </w:pPr>
            <w:r>
              <w:rPr>
                <w:rStyle w:val="95"/>
                <w:rFonts w:hint="default"/>
                <w:lang w:bidi="ar"/>
              </w:rPr>
              <w:t>5、支持配置节假日车辆自动免费放行</w:t>
            </w:r>
          </w:p>
          <w:p>
            <w:pPr>
              <w:widowControl/>
              <w:jc w:val="left"/>
              <w:textAlignment w:val="center"/>
              <w:rPr>
                <w:rStyle w:val="95"/>
                <w:rFonts w:hint="eastAsia" w:eastAsia="微软雅黑"/>
                <w:lang w:eastAsia="zh-CN" w:bidi="ar"/>
              </w:rPr>
            </w:pPr>
            <w:r>
              <w:rPr>
                <w:rStyle w:val="95"/>
                <w:rFonts w:hint="default"/>
                <w:lang w:bidi="ar"/>
              </w:rPr>
              <w:t>6、支持按车辆群组配置放行规则，按放行时段（全天、按日、按周）配置入场和出场放行权限、车位满是否放行、是否余位统计群组车进行配置</w:t>
            </w:r>
          </w:p>
          <w:p>
            <w:pPr>
              <w:widowControl/>
              <w:jc w:val="left"/>
              <w:textAlignment w:val="center"/>
              <w:rPr>
                <w:rStyle w:val="95"/>
                <w:rFonts w:hint="eastAsia" w:eastAsia="微软雅黑"/>
                <w:lang w:eastAsia="zh-CN" w:bidi="ar"/>
              </w:rPr>
            </w:pPr>
            <w:r>
              <w:rPr>
                <w:rStyle w:val="95"/>
                <w:rFonts w:hint="default"/>
                <w:lang w:bidi="ar"/>
              </w:rPr>
              <w:t>7、支持一户多车。当车主只有一个车位两辆车时，只允许一辆车进入停车场</w:t>
            </w:r>
          </w:p>
          <w:p>
            <w:pPr>
              <w:widowControl/>
              <w:jc w:val="left"/>
              <w:textAlignment w:val="center"/>
              <w:rPr>
                <w:rStyle w:val="95"/>
                <w:rFonts w:hint="eastAsia" w:eastAsia="微软雅黑"/>
                <w:lang w:eastAsia="zh-CN" w:bidi="ar"/>
              </w:rPr>
            </w:pPr>
            <w:r>
              <w:rPr>
                <w:rStyle w:val="95"/>
                <w:rFonts w:hint="default"/>
                <w:lang w:bidi="ar"/>
              </w:rPr>
              <w:t>8、支持车辆满位排队进场，当停车场车位满时，有车辆出场后，</w:t>
            </w:r>
          </w:p>
          <w:p>
            <w:pPr>
              <w:widowControl/>
              <w:jc w:val="left"/>
              <w:textAlignment w:val="center"/>
              <w:rPr>
                <w:rStyle w:val="95"/>
                <w:rFonts w:hint="eastAsia" w:eastAsia="微软雅黑"/>
                <w:lang w:eastAsia="zh-CN" w:bidi="ar"/>
              </w:rPr>
            </w:pPr>
            <w:r>
              <w:rPr>
                <w:rStyle w:val="95"/>
                <w:rFonts w:hint="default"/>
                <w:lang w:bidi="ar"/>
              </w:rPr>
              <w:t>四、出入口显示和语音播报管理</w:t>
            </w:r>
          </w:p>
          <w:p>
            <w:pPr>
              <w:widowControl/>
              <w:jc w:val="left"/>
              <w:textAlignment w:val="center"/>
              <w:rPr>
                <w:rStyle w:val="95"/>
                <w:rFonts w:hint="eastAsia" w:eastAsia="微软雅黑"/>
                <w:lang w:eastAsia="zh-CN" w:bidi="ar"/>
              </w:rPr>
            </w:pPr>
            <w:r>
              <w:rPr>
                <w:rStyle w:val="95"/>
                <w:rFonts w:hint="default"/>
                <w:lang w:bidi="ar"/>
              </w:rPr>
              <w:t>1、支持根据车道类型自定义配置LED屏的显示内容，支持过车显示内容和空闲显示内容，显示内容可自定义配置文字颜色、文字对齐方式、显示方式和显示内容</w:t>
            </w:r>
          </w:p>
          <w:p>
            <w:pPr>
              <w:widowControl/>
              <w:jc w:val="left"/>
              <w:textAlignment w:val="center"/>
              <w:rPr>
                <w:rStyle w:val="95"/>
                <w:rFonts w:hint="eastAsia" w:eastAsia="微软雅黑"/>
                <w:lang w:eastAsia="zh-CN" w:bidi="ar"/>
              </w:rPr>
            </w:pPr>
            <w:r>
              <w:rPr>
                <w:rStyle w:val="95"/>
                <w:rFonts w:hint="default"/>
                <w:lang w:bidi="ar"/>
              </w:rPr>
              <w:t>2、出入口显示屏的空闲显示内容包括：空余车位、当前时间、当前日期及自定义文字</w:t>
            </w:r>
          </w:p>
          <w:p>
            <w:pPr>
              <w:widowControl/>
              <w:jc w:val="left"/>
              <w:textAlignment w:val="center"/>
              <w:rPr>
                <w:rStyle w:val="95"/>
                <w:rFonts w:hint="eastAsia" w:eastAsia="微软雅黑"/>
                <w:lang w:eastAsia="zh-CN" w:bidi="ar"/>
              </w:rPr>
            </w:pPr>
            <w:r>
              <w:rPr>
                <w:rStyle w:val="95"/>
                <w:rFonts w:hint="default"/>
                <w:lang w:bidi="ar"/>
              </w:rPr>
              <w:t>3、出入口显示屏的过车显示内容，可以根据车辆类型配置不同的内容，包括：车牌号码、车辆卡号、车辆类型、入场时间、到期提醒、空余车位、账户余额、车辆分类、一户多车满位及自定义文字</w:t>
            </w:r>
          </w:p>
          <w:p>
            <w:pPr>
              <w:widowControl/>
              <w:jc w:val="left"/>
              <w:textAlignment w:val="center"/>
              <w:rPr>
                <w:rStyle w:val="95"/>
                <w:rFonts w:hint="eastAsia" w:eastAsia="微软雅黑"/>
                <w:lang w:eastAsia="zh-CN" w:bidi="ar"/>
              </w:rPr>
            </w:pPr>
            <w:r>
              <w:rPr>
                <w:rStyle w:val="95"/>
                <w:rFonts w:hint="default"/>
                <w:lang w:bidi="ar"/>
              </w:rPr>
              <w:t>4、出入口显示屏支持根据车道的启用和禁用状态显示对应的图标</w:t>
            </w:r>
          </w:p>
          <w:p>
            <w:pPr>
              <w:widowControl/>
              <w:jc w:val="left"/>
              <w:textAlignment w:val="center"/>
              <w:rPr>
                <w:rStyle w:val="95"/>
                <w:rFonts w:hint="eastAsia" w:eastAsia="微软雅黑"/>
                <w:lang w:eastAsia="zh-CN" w:bidi="ar"/>
              </w:rPr>
            </w:pPr>
            <w:r>
              <w:rPr>
                <w:rStyle w:val="95"/>
                <w:rFonts w:hint="default"/>
                <w:lang w:bidi="ar"/>
              </w:rPr>
              <w:t>5、支持根据车辆类型，自定义配置入场播报、出场播报和放行播报的语音播报内容</w:t>
            </w:r>
          </w:p>
          <w:p>
            <w:pPr>
              <w:widowControl/>
              <w:jc w:val="left"/>
              <w:textAlignment w:val="center"/>
              <w:rPr>
                <w:rStyle w:val="95"/>
                <w:rFonts w:hint="eastAsia" w:eastAsia="微软雅黑"/>
                <w:lang w:eastAsia="zh-CN" w:bidi="ar"/>
              </w:rPr>
            </w:pPr>
            <w:r>
              <w:rPr>
                <w:rStyle w:val="95"/>
                <w:rFonts w:hint="default"/>
                <w:lang w:bidi="ar"/>
              </w:rPr>
              <w:t>6、语音播报的入场播报，包括：车牌号码、到期时间、一户多车满位、欢迎光临/车位已满、车辆分类及自定义文字</w:t>
            </w:r>
          </w:p>
          <w:p>
            <w:pPr>
              <w:widowControl/>
              <w:jc w:val="left"/>
              <w:textAlignment w:val="center"/>
              <w:rPr>
                <w:rStyle w:val="95"/>
                <w:rFonts w:hint="eastAsia" w:eastAsia="微软雅黑"/>
                <w:lang w:eastAsia="zh-CN" w:bidi="ar"/>
              </w:rPr>
            </w:pPr>
            <w:r>
              <w:rPr>
                <w:rStyle w:val="95"/>
                <w:rFonts w:hint="default"/>
                <w:lang w:bidi="ar"/>
              </w:rPr>
              <w:t>7、语音播报的出场播报，包括：车牌号码、车辆卡号、入场时间、收费金额/到期提醒、出场时间、停车时长、余额提醒、车辆分类及自定义文字</w:t>
            </w:r>
          </w:p>
          <w:p>
            <w:pPr>
              <w:widowControl/>
              <w:jc w:val="left"/>
              <w:textAlignment w:val="center"/>
              <w:rPr>
                <w:rStyle w:val="95"/>
                <w:rFonts w:hint="eastAsia" w:eastAsia="微软雅黑"/>
                <w:lang w:eastAsia="zh-CN" w:bidi="ar"/>
              </w:rPr>
            </w:pPr>
            <w:r>
              <w:rPr>
                <w:rStyle w:val="95"/>
                <w:rFonts w:hint="default"/>
                <w:lang w:bidi="ar"/>
              </w:rPr>
              <w:t>五、库内车辆管理</w:t>
            </w:r>
          </w:p>
          <w:p>
            <w:pPr>
              <w:widowControl/>
              <w:jc w:val="left"/>
              <w:textAlignment w:val="center"/>
              <w:rPr>
                <w:rStyle w:val="95"/>
                <w:rFonts w:hint="eastAsia" w:eastAsia="微软雅黑"/>
                <w:lang w:eastAsia="zh-CN" w:bidi="ar"/>
              </w:rPr>
            </w:pPr>
            <w:r>
              <w:rPr>
                <w:rStyle w:val="95"/>
                <w:rFonts w:hint="default"/>
                <w:lang w:bidi="ar"/>
              </w:rPr>
              <w:t>1、支持按停车时长进行库内车辆的查询</w:t>
            </w:r>
          </w:p>
          <w:p>
            <w:pPr>
              <w:widowControl/>
              <w:jc w:val="left"/>
              <w:textAlignment w:val="center"/>
              <w:rPr>
                <w:rStyle w:val="95"/>
                <w:rFonts w:hint="eastAsia" w:eastAsia="微软雅黑"/>
                <w:lang w:eastAsia="zh-CN" w:bidi="ar"/>
              </w:rPr>
            </w:pPr>
            <w:r>
              <w:rPr>
                <w:rStyle w:val="95"/>
                <w:rFonts w:hint="default"/>
                <w:lang w:bidi="ar"/>
              </w:rPr>
              <w:t>2、支持对库内车辆进行车牌校正</w:t>
            </w:r>
          </w:p>
          <w:p>
            <w:pPr>
              <w:widowControl/>
              <w:jc w:val="left"/>
              <w:textAlignment w:val="center"/>
              <w:rPr>
                <w:rStyle w:val="95"/>
                <w:rFonts w:hint="eastAsia" w:eastAsia="微软雅黑"/>
                <w:lang w:eastAsia="zh-CN" w:bidi="ar"/>
              </w:rPr>
            </w:pPr>
            <w:r>
              <w:rPr>
                <w:rStyle w:val="95"/>
                <w:rFonts w:hint="default"/>
                <w:lang w:bidi="ar"/>
              </w:rPr>
              <w:t>3、支持对场内异常车辆的记录进行清理</w:t>
            </w:r>
          </w:p>
          <w:p>
            <w:pPr>
              <w:widowControl/>
              <w:jc w:val="left"/>
              <w:textAlignment w:val="center"/>
              <w:rPr>
                <w:rStyle w:val="95"/>
                <w:rFonts w:hint="eastAsia" w:eastAsia="微软雅黑"/>
                <w:lang w:eastAsia="zh-CN" w:bidi="ar"/>
              </w:rPr>
            </w:pPr>
            <w:r>
              <w:rPr>
                <w:rStyle w:val="95"/>
                <w:rFonts w:hint="default"/>
                <w:lang w:bidi="ar"/>
              </w:rPr>
              <w:t>4、支持对场内无牌车定期自动清理</w:t>
            </w:r>
          </w:p>
          <w:p>
            <w:pPr>
              <w:widowControl/>
              <w:jc w:val="left"/>
              <w:textAlignment w:val="center"/>
              <w:rPr>
                <w:rStyle w:val="95"/>
                <w:rFonts w:hint="eastAsia" w:eastAsia="微软雅黑"/>
                <w:lang w:eastAsia="zh-CN" w:bidi="ar"/>
              </w:rPr>
            </w:pPr>
            <w:r>
              <w:rPr>
                <w:rStyle w:val="95"/>
                <w:rFonts w:hint="default"/>
                <w:lang w:bidi="ar"/>
              </w:rPr>
              <w:t>六、记录查询和统计</w:t>
            </w:r>
          </w:p>
          <w:p>
            <w:pPr>
              <w:widowControl/>
              <w:jc w:val="left"/>
              <w:textAlignment w:val="center"/>
              <w:rPr>
                <w:rStyle w:val="95"/>
                <w:rFonts w:hint="eastAsia" w:eastAsia="微软雅黑"/>
                <w:lang w:eastAsia="zh-CN" w:bidi="ar"/>
              </w:rPr>
            </w:pPr>
            <w:r>
              <w:rPr>
                <w:rStyle w:val="95"/>
                <w:rFonts w:hint="default"/>
                <w:lang w:bidi="ar"/>
              </w:rPr>
              <w:t>1、支持多种记录查询包括：过车记录、停车记录、场内车辆记录、预约记录、班次记录；查询结果支持列表和图片两种方式展示</w:t>
            </w:r>
          </w:p>
          <w:p>
            <w:pPr>
              <w:widowControl/>
              <w:jc w:val="left"/>
              <w:textAlignment w:val="center"/>
              <w:rPr>
                <w:rStyle w:val="95"/>
                <w:rFonts w:hint="eastAsia" w:eastAsia="微软雅黑"/>
                <w:lang w:eastAsia="zh-CN" w:bidi="ar"/>
              </w:rPr>
            </w:pPr>
            <w:r>
              <w:rPr>
                <w:rStyle w:val="95"/>
                <w:rFonts w:hint="default"/>
                <w:lang w:bidi="ar"/>
              </w:rPr>
              <w:t>2、支持车流量按日、月、年、自定义日期，统计停车场车辆进出的车流量总数、平均车流量、峰值车流量</w:t>
            </w:r>
          </w:p>
          <w:p>
            <w:pPr>
              <w:widowControl/>
              <w:jc w:val="left"/>
              <w:textAlignment w:val="center"/>
              <w:rPr>
                <w:rStyle w:val="95"/>
                <w:rFonts w:hint="eastAsia" w:eastAsia="微软雅黑"/>
                <w:lang w:eastAsia="zh-CN" w:bidi="ar"/>
              </w:rPr>
            </w:pPr>
            <w:r>
              <w:rPr>
                <w:rStyle w:val="95"/>
                <w:rFonts w:hint="default"/>
                <w:lang w:bidi="ar"/>
              </w:rPr>
              <w:t>八、岗亭管控</w:t>
            </w:r>
          </w:p>
          <w:p>
            <w:pPr>
              <w:widowControl/>
              <w:jc w:val="left"/>
              <w:textAlignment w:val="center"/>
              <w:rPr>
                <w:rStyle w:val="95"/>
                <w:rFonts w:hint="eastAsia" w:eastAsia="微软雅黑"/>
                <w:lang w:eastAsia="zh-CN" w:bidi="ar"/>
              </w:rPr>
            </w:pPr>
            <w:r>
              <w:rPr>
                <w:rStyle w:val="95"/>
                <w:rFonts w:hint="default"/>
                <w:lang w:bidi="ar"/>
              </w:rPr>
              <w:t>1、支持查看停车场的总车位、剩余车位和预约车位信息</w:t>
            </w:r>
          </w:p>
          <w:p>
            <w:pPr>
              <w:widowControl/>
              <w:jc w:val="left"/>
              <w:textAlignment w:val="center"/>
              <w:rPr>
                <w:rStyle w:val="95"/>
                <w:rFonts w:hint="eastAsia" w:eastAsia="微软雅黑"/>
                <w:lang w:eastAsia="zh-CN" w:bidi="ar"/>
              </w:rPr>
            </w:pPr>
            <w:r>
              <w:rPr>
                <w:rStyle w:val="95"/>
                <w:rFonts w:hint="default"/>
                <w:lang w:bidi="ar"/>
              </w:rPr>
              <w:t>2、支持查看各车道的过车信息，包含过车时间、车牌号、放行状态</w:t>
            </w:r>
          </w:p>
          <w:p>
            <w:pPr>
              <w:widowControl/>
              <w:jc w:val="left"/>
              <w:textAlignment w:val="center"/>
              <w:rPr>
                <w:rStyle w:val="95"/>
                <w:rFonts w:hint="eastAsia" w:eastAsia="微软雅黑"/>
                <w:lang w:eastAsia="zh-CN" w:bidi="ar"/>
              </w:rPr>
            </w:pPr>
            <w:r>
              <w:rPr>
                <w:rStyle w:val="95"/>
                <w:rFonts w:hint="default"/>
                <w:lang w:bidi="ar"/>
              </w:rPr>
              <w:t>3、支持控制车道开闸、常开、关闸</w:t>
            </w:r>
          </w:p>
          <w:p>
            <w:pPr>
              <w:widowControl/>
              <w:jc w:val="left"/>
              <w:textAlignment w:val="center"/>
              <w:rPr>
                <w:rStyle w:val="95"/>
                <w:rFonts w:hint="eastAsia" w:eastAsia="微软雅黑"/>
                <w:lang w:eastAsia="zh-CN" w:bidi="ar"/>
              </w:rPr>
            </w:pPr>
            <w:r>
              <w:rPr>
                <w:rStyle w:val="95"/>
                <w:rFonts w:hint="default"/>
                <w:lang w:bidi="ar"/>
              </w:rPr>
              <w:t>4、支持查看各车道设备的在线状态</w:t>
            </w:r>
          </w:p>
          <w:p>
            <w:pPr>
              <w:widowControl/>
              <w:jc w:val="left"/>
              <w:textAlignment w:val="center"/>
              <w:rPr>
                <w:rStyle w:val="95"/>
                <w:rFonts w:hint="eastAsia" w:eastAsia="微软雅黑"/>
                <w:lang w:eastAsia="zh-CN" w:bidi="ar"/>
              </w:rPr>
            </w:pPr>
            <w:r>
              <w:rPr>
                <w:rStyle w:val="95"/>
                <w:rFonts w:hint="default"/>
                <w:lang w:bidi="ar"/>
              </w:rPr>
              <w:t>5、支持对在出入口的车辆进行校正车牌、修改车辆类型和手动放行。</w:t>
            </w:r>
          </w:p>
          <w:p>
            <w:pPr>
              <w:widowControl/>
              <w:jc w:val="left"/>
              <w:textAlignment w:val="center"/>
              <w:rPr>
                <w:rStyle w:val="95"/>
                <w:rFonts w:hint="eastAsia" w:eastAsia="微软雅黑"/>
                <w:lang w:eastAsia="zh-CN" w:bidi="ar"/>
              </w:rPr>
            </w:pPr>
            <w:r>
              <w:rPr>
                <w:rStyle w:val="95"/>
                <w:rFonts w:hint="default"/>
                <w:lang w:bidi="ar"/>
              </w:rPr>
              <w:t>6、支持查询过车记录、预约车辆、固定车辆信息</w:t>
            </w:r>
          </w:p>
          <w:p>
            <w:pPr>
              <w:widowControl/>
              <w:jc w:val="left"/>
              <w:textAlignment w:val="center"/>
              <w:rPr>
                <w:rStyle w:val="95"/>
                <w:rFonts w:hint="eastAsia" w:eastAsia="微软雅黑"/>
                <w:lang w:eastAsia="zh-CN" w:bidi="ar"/>
              </w:rPr>
            </w:pPr>
            <w:r>
              <w:rPr>
                <w:rStyle w:val="95"/>
                <w:rFonts w:hint="default"/>
                <w:lang w:bidi="ar"/>
              </w:rPr>
              <w:t>7、支持将车辆添加到黑名单</w:t>
            </w:r>
          </w:p>
          <w:p>
            <w:pPr>
              <w:widowControl/>
              <w:jc w:val="left"/>
              <w:textAlignment w:val="center"/>
              <w:rPr>
                <w:rStyle w:val="95"/>
                <w:rFonts w:hint="eastAsia" w:eastAsia="微软雅黑"/>
                <w:lang w:eastAsia="zh-CN" w:bidi="ar"/>
              </w:rPr>
            </w:pPr>
            <w:r>
              <w:rPr>
                <w:rStyle w:val="95"/>
                <w:rFonts w:hint="default"/>
                <w:lang w:bidi="ar"/>
              </w:rPr>
              <w:t>8、支持违章车辆在出入口实现放行限制，并展示违章详情记录</w:t>
            </w:r>
          </w:p>
          <w:p>
            <w:pPr>
              <w:widowControl/>
              <w:jc w:val="left"/>
              <w:textAlignment w:val="center"/>
              <w:rPr>
                <w:rStyle w:val="95"/>
                <w:rFonts w:hint="eastAsia" w:eastAsia="微软雅黑"/>
                <w:lang w:eastAsia="zh-CN" w:bidi="ar"/>
              </w:rPr>
            </w:pPr>
            <w:r>
              <w:rPr>
                <w:rStyle w:val="95"/>
                <w:rFonts w:hint="default"/>
                <w:lang w:bidi="ar"/>
              </w:rPr>
              <w:t xml:space="preserve">九、中心管控 </w:t>
            </w:r>
          </w:p>
          <w:p>
            <w:pPr>
              <w:widowControl/>
              <w:jc w:val="left"/>
              <w:textAlignment w:val="center"/>
              <w:rPr>
                <w:rStyle w:val="95"/>
                <w:rFonts w:hint="eastAsia" w:eastAsia="微软雅黑"/>
                <w:lang w:eastAsia="zh-CN" w:bidi="ar"/>
              </w:rPr>
            </w:pPr>
            <w:r>
              <w:rPr>
                <w:rStyle w:val="95"/>
                <w:rFonts w:hint="default"/>
                <w:lang w:bidi="ar"/>
              </w:rPr>
              <w:t>1、支持查看车道的过车记录，包含过车时间、车牌号码、车辆类型、停车库、入库口等</w:t>
            </w:r>
          </w:p>
          <w:p>
            <w:pPr>
              <w:widowControl/>
              <w:jc w:val="left"/>
              <w:textAlignment w:val="center"/>
              <w:rPr>
                <w:rStyle w:val="95"/>
                <w:rFonts w:hint="eastAsia" w:eastAsia="微软雅黑"/>
                <w:lang w:eastAsia="zh-CN" w:bidi="ar"/>
              </w:rPr>
            </w:pPr>
            <w:r>
              <w:rPr>
                <w:rStyle w:val="95"/>
                <w:rFonts w:hint="default"/>
                <w:lang w:bidi="ar"/>
              </w:rPr>
              <w:t>2、支持远程控制车道，对车道进行开闸、关闸、常开和呼叫的操作</w:t>
            </w:r>
          </w:p>
          <w:p>
            <w:pPr>
              <w:widowControl/>
              <w:jc w:val="left"/>
              <w:textAlignment w:val="center"/>
              <w:rPr>
                <w:rStyle w:val="95"/>
                <w:rFonts w:hint="eastAsia" w:eastAsia="微软雅黑"/>
                <w:lang w:eastAsia="zh-CN" w:bidi="ar"/>
              </w:rPr>
            </w:pPr>
            <w:r>
              <w:rPr>
                <w:rStyle w:val="95"/>
                <w:rFonts w:hint="default"/>
                <w:lang w:bidi="ar"/>
              </w:rPr>
              <w:t>3、支持远程查看各车道设备的在线状态</w:t>
            </w:r>
          </w:p>
          <w:p>
            <w:pPr>
              <w:widowControl/>
              <w:jc w:val="left"/>
              <w:textAlignment w:val="center"/>
              <w:rPr>
                <w:rStyle w:val="95"/>
                <w:rFonts w:hint="eastAsia" w:eastAsia="微软雅黑"/>
                <w:lang w:eastAsia="zh-CN" w:bidi="ar"/>
              </w:rPr>
            </w:pPr>
            <w:r>
              <w:rPr>
                <w:rStyle w:val="95"/>
                <w:rFonts w:hint="default"/>
                <w:lang w:bidi="ar"/>
              </w:rPr>
              <w:t>4、支持出入口票箱、可视对讲发起与中心对讲，中心对车辆进行校正车牌、手动放行的操作</w:t>
            </w:r>
          </w:p>
          <w:p>
            <w:pPr>
              <w:widowControl/>
              <w:jc w:val="left"/>
              <w:textAlignment w:val="center"/>
              <w:rPr>
                <w:rFonts w:ascii="微软雅黑" w:hAnsi="微软雅黑" w:eastAsia="微软雅黑" w:cs="微软雅黑"/>
                <w:sz w:val="16"/>
                <w:szCs w:val="16"/>
              </w:rPr>
            </w:pPr>
            <w:r>
              <w:rPr>
                <w:rStyle w:val="95"/>
                <w:rFonts w:hint="default"/>
                <w:lang w:bidi="ar"/>
              </w:rPr>
              <w:t>5、支持在中心查看一户多车车辆的车辆信息和在场状态，可通过强制离场操作将已在场内的一户多车车辆改为离场状态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30</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高空抛物监管模块授权</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高空抛物溯源应用提供高层建筑高空抛物行为监管能力，能对高空抛物行为进行实时监测管控，记录物体坠落轨迹以及造成的侵害情况，对侵权对象进行追溯，实现事件完整溯源，有效解决定责难的问题，提升管理方的工作效率。</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1、高空抛物实时告警，可对百米高层建筑实现全天候实时监测告警；</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2、高空抛物行为回溯，可对事件进行回溯，查看物体掉落轨迹和物体落地影响情况，确认高空抛物行为事发位置，明确具体侵权对象；</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3、高空抛物事件查询，实现高空抛物历史事件查询，包括事件记录、图片、录像信息。</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4、隐私遮掩，可对高空抛物视频监控画面进行隐私遮掩，防止室内隐私视频泄漏；</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套</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31</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平台可视化授权</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支持主题导入、导出和删除功能。</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支持主题分组管理。</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支持数据源配置。</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支持主题预览上屏展示，并且对应主题可进行公开分享与加密分享。</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支持数据源管理，包含对数据源的添加、删除、修改和查询。</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支持配置导入主题样式。</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套</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32</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安全帽管理授权</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平台开启智能安全帽管理功能</w:t>
            </w:r>
          </w:p>
          <w:p>
            <w:pPr>
              <w:widowControl/>
              <w:jc w:val="left"/>
              <w:textAlignment w:val="center"/>
              <w:rPr>
                <w:rStyle w:val="95"/>
                <w:rFonts w:hint="eastAsia" w:eastAsia="微软雅黑"/>
                <w:lang w:eastAsia="zh-CN" w:bidi="ar"/>
              </w:rPr>
            </w:pPr>
            <w:r>
              <w:rPr>
                <w:rStyle w:val="95"/>
                <w:rFonts w:hint="default"/>
                <w:lang w:bidi="ar"/>
              </w:rPr>
              <w:t>支持安全帽脱戴帽、撞击检测、人员定位告警，管理人员安全帽佩戴状态，页面实时刷新，动态展示安全帽状态变化。</w:t>
            </w:r>
          </w:p>
          <w:p>
            <w:pPr>
              <w:widowControl/>
              <w:jc w:val="left"/>
              <w:textAlignment w:val="center"/>
              <w:rPr>
                <w:rStyle w:val="95"/>
                <w:rFonts w:hint="eastAsia" w:eastAsia="微软雅黑"/>
                <w:lang w:eastAsia="zh-CN" w:bidi="ar"/>
              </w:rPr>
            </w:pPr>
            <w:r>
              <w:rPr>
                <w:rStyle w:val="95"/>
                <w:rFonts w:hint="default"/>
                <w:lang w:bidi="ar"/>
              </w:rPr>
              <w:t>支持通过安全帽检测前端设备识别未带安全帽事件，并在项目看板展示未带事件告警列表和告警对应录像回放。</w:t>
            </w:r>
          </w:p>
          <w:p>
            <w:pPr>
              <w:widowControl/>
              <w:jc w:val="left"/>
              <w:textAlignment w:val="center"/>
              <w:rPr>
                <w:rStyle w:val="95"/>
                <w:rFonts w:hint="eastAsia" w:eastAsia="微软雅黑"/>
                <w:lang w:eastAsia="zh-CN" w:bidi="ar"/>
              </w:rPr>
            </w:pPr>
            <w:r>
              <w:rPr>
                <w:rStyle w:val="95"/>
                <w:rFonts w:hint="default"/>
                <w:lang w:bidi="ar"/>
              </w:rPr>
              <w:t>统计所选节点下安全帽总数、在线/离线安全帽总数、各状态安全帽数量、安全帽佩戴率变化趋势等数据。</w:t>
            </w:r>
          </w:p>
          <w:p>
            <w:pPr>
              <w:widowControl/>
              <w:jc w:val="left"/>
              <w:textAlignment w:val="center"/>
              <w:rPr>
                <w:rStyle w:val="95"/>
                <w:rFonts w:hint="eastAsia" w:eastAsia="微软雅黑"/>
                <w:lang w:eastAsia="zh-CN" w:bidi="ar"/>
              </w:rPr>
            </w:pPr>
            <w:r>
              <w:rPr>
                <w:rStyle w:val="95"/>
                <w:rFonts w:hint="default"/>
                <w:lang w:bidi="ar"/>
              </w:rPr>
              <w:t>统计时段内各类型异常事件产生数量。</w:t>
            </w:r>
          </w:p>
          <w:p>
            <w:pPr>
              <w:widowControl/>
              <w:jc w:val="left"/>
              <w:textAlignment w:val="center"/>
              <w:rPr>
                <w:rFonts w:ascii="微软雅黑" w:hAnsi="微软雅黑" w:eastAsia="微软雅黑" w:cs="微软雅黑"/>
                <w:sz w:val="16"/>
                <w:szCs w:val="16"/>
              </w:rPr>
            </w:pPr>
            <w:r>
              <w:rPr>
                <w:rStyle w:val="95"/>
                <w:rFonts w:hint="default"/>
                <w:lang w:bidi="ar"/>
              </w:rPr>
              <w:t>统计时段内各区域的越界告警产生数量。</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套</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r>
              <w:rPr>
                <w:rFonts w:ascii="微软雅黑" w:hAnsi="微软雅黑" w:eastAsia="微软雅黑" w:cs="微软雅黑"/>
                <w:color w:val="000000"/>
                <w:kern w:val="0"/>
                <w:sz w:val="16"/>
                <w:szCs w:val="16"/>
                <w:lang w:bidi="ar"/>
              </w:rPr>
              <w:t>3</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多媒体通信管理应用授权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1.提供文字、图片、语音、视频即时消息通讯功能</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2.提供实时音视频通讯功能</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3.提供文件传输功能</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4.提供集群对讲功能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r>
              <w:rPr>
                <w:rFonts w:ascii="微软雅黑" w:hAnsi="微软雅黑" w:eastAsia="微软雅黑" w:cs="微软雅黑"/>
                <w:color w:val="000000"/>
                <w:kern w:val="0"/>
                <w:sz w:val="16"/>
                <w:szCs w:val="16"/>
                <w:lang w:bidi="ar"/>
              </w:rPr>
              <w:t>4</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网络及其它</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高清解码器</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采用嵌入式架构，专用Linux系统，使用DSP解码。为了设备稳定可靠运行，不得采用工控机或者PC机的X86架构。</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有12个HDMI输出接口、1个VGA输入接口、1个DVI输入接口、2个USB口、1个语音对讲输入、1个语音对讲输出、12个音频输出、8个报警输入、8个报警输出、1个RS485接口、6个CVBS输出接口（通过转接头实现）、1个RS232接口，2个千兆网口、2个光口。样机采用AC220V电源供电。</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具有1个电源指示灯、1个VGA信号接入指示灯和1个DVI信号接入指示灯</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支持对输入的视频画面进行90°、180°、270°旋转显示。（提供封面具有CNAS认证标识的公安部报告证明。）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设备接入具有智能行为分析功能的摄像机，可解码显示智能行为分析信息，包括移动侦测、越界入侵、区域入侵、起身离开等，并上传报警信息。（提供封面具有CNAS认证标识的公安部报告证明。）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支持前端接入智能摄像机，直连前端人脸检测设备，可实时展示人脸检测结果，包括年龄、性别、是否戴眼镜等人脸属性信息；属性直接叠加画面显示。（提供封面具有CNAS认证标识的</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支持通过IE浏览器进行网络模式设置，包括设置为流畅性优先/实时性优先。（提供封面具有CNAS认证标识的公安部报告证明。）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可通过设备抓屏软件，将远程电脑桌面实时解码上墙显示，画面帧率可达30fps。（提供封面具有CNAS认证标识的公安部报告证明）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可通过客户端软件导入和导出设备配置参数。提供封面具有CNAS认证标识的公安部报告证明。</w:t>
            </w:r>
          </w:p>
          <w:p>
            <w:pPr>
              <w:widowControl/>
              <w:jc w:val="left"/>
              <w:textAlignment w:val="center"/>
              <w:rPr>
                <w:rFonts w:hint="eastAsia" w:ascii="微软雅黑" w:hAnsi="微软雅黑" w:eastAsia="微软雅黑" w:cs="微软雅黑"/>
                <w:kern w:val="0"/>
                <w:sz w:val="16"/>
                <w:szCs w:val="16"/>
                <w:lang w:eastAsia="zh-CN" w:bidi="ar"/>
              </w:rPr>
            </w:pPr>
            <w:r>
              <w:rPr>
                <w:rFonts w:hint="eastAsia" w:ascii="微软雅黑" w:hAnsi="微软雅黑" w:eastAsia="微软雅黑" w:cs="微软雅黑"/>
                <w:kern w:val="0"/>
                <w:sz w:val="16"/>
                <w:szCs w:val="16"/>
                <w:lang w:bidi="ar"/>
              </w:rPr>
              <w:t>可通过客户端软件设置HDMI接口输出分辨率为3840*2160(30Hz、1920*1080(50Hz)、1920*1080(60Hz))、1680*1050(60Hz)、1600*1200(60Hz)、1280*1024(60Hz)、1280*720(60Hz)、1280*720(50Hz)、1024*768(60Hz)。（提供封面具有CNAS认证标识的公安部报告证明）</w:t>
            </w:r>
          </w:p>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支持1、2、4、6、8、9、10、12、16、25、36画面分割显示；支持平均分割；支持分割线开启/关闭设置，支持底色设置功能。（提供封面具有CNAS认证标识的公安部报告证明）</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35</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单兵及车载通信物联网</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1年高速物联网使用费，200G/月</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7</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张</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r>
              <w:rPr>
                <w:rFonts w:ascii="微软雅黑" w:hAnsi="微软雅黑" w:eastAsia="微软雅黑" w:cs="微软雅黑"/>
                <w:color w:val="000000"/>
                <w:kern w:val="0"/>
                <w:sz w:val="16"/>
                <w:szCs w:val="16"/>
                <w:lang w:bidi="ar"/>
              </w:rPr>
              <w:t>6</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安全帽物联网</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1年高速物联网使用费，8G/月</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30</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张</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r>
              <w:rPr>
                <w:rFonts w:ascii="微软雅黑" w:hAnsi="微软雅黑" w:eastAsia="微软雅黑" w:cs="微软雅黑"/>
                <w:color w:val="000000"/>
                <w:kern w:val="0"/>
                <w:sz w:val="16"/>
                <w:szCs w:val="16"/>
                <w:lang w:bidi="ar"/>
              </w:rPr>
              <w:t>7</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辅材</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网线、电源线、铆钉、线槽、交换机、光纤、信息箱、电源控制器等施工必要辅材及美化</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批</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r>
              <w:rPr>
                <w:rFonts w:ascii="微软雅黑" w:hAnsi="微软雅黑" w:eastAsia="微软雅黑" w:cs="微软雅黑"/>
                <w:color w:val="000000"/>
                <w:kern w:val="0"/>
                <w:sz w:val="16"/>
                <w:szCs w:val="16"/>
                <w:lang w:bidi="ar"/>
              </w:rPr>
              <w:t>8</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施工安装</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项目整体实施及安装</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项</w:t>
            </w: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r>
              <w:rPr>
                <w:rFonts w:ascii="微软雅黑" w:hAnsi="微软雅黑" w:eastAsia="微软雅黑" w:cs="微软雅黑"/>
                <w:color w:val="000000"/>
                <w:kern w:val="0"/>
                <w:sz w:val="16"/>
                <w:szCs w:val="16"/>
                <w:lang w:bidi="ar"/>
              </w:rPr>
              <w:t>9</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平台维护费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1年平台维护费，包含300M专线及固定IP一个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年</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40</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平台专线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1条200M点对点专线，包含1年通信服务费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ascii="微软雅黑" w:hAnsi="微软雅黑" w:eastAsia="微软雅黑" w:cs="微软雅黑"/>
                <w:color w:val="000000"/>
                <w:kern w:val="0"/>
                <w:sz w:val="16"/>
                <w:szCs w:val="16"/>
                <w:lang w:bidi="ar"/>
              </w:rPr>
              <w:t>41</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小区接入专线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1条100M点对点专线，包含1年通信服务费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4</w:t>
            </w:r>
            <w:r>
              <w:rPr>
                <w:rFonts w:ascii="微软雅黑" w:hAnsi="微软雅黑" w:eastAsia="微软雅黑" w:cs="微软雅黑"/>
                <w:color w:val="000000"/>
                <w:kern w:val="0"/>
                <w:sz w:val="16"/>
                <w:szCs w:val="16"/>
                <w:lang w:bidi="ar"/>
              </w:rPr>
              <w:t>2</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集成服务</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通过计算机网络等技术实现分离的系统集合整一，包含项目咨询、组织、调试等服务</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批</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42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合计(元)：</w:t>
            </w:r>
          </w:p>
        </w:tc>
        <w:tc>
          <w:tcPr>
            <w:tcW w:w="0" w:type="auto"/>
            <w:gridSpan w:val="4"/>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微软雅黑" w:hAnsi="微软雅黑" w:eastAsia="微软雅黑" w:cs="微软雅黑"/>
                <w:color w:val="000000"/>
                <w:sz w:val="16"/>
                <w:szCs w:val="16"/>
              </w:rPr>
            </w:pPr>
          </w:p>
        </w:tc>
      </w:tr>
    </w:tbl>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25"/>
        <w:rPr>
          <w:rFonts w:hint="eastAsia"/>
          <w:color w:val="auto"/>
          <w:highlight w:val="none"/>
          <w:lang w:val="en-US" w:eastAsia="zh-CN"/>
        </w:rPr>
      </w:pPr>
    </w:p>
    <w:p>
      <w:pPr>
        <w:pStyle w:val="25"/>
        <w:rPr>
          <w:rFonts w:hint="eastAsia"/>
          <w:color w:val="auto"/>
          <w:highlight w:val="none"/>
          <w:lang w:val="en-US" w:eastAsia="zh-CN"/>
        </w:rPr>
      </w:pP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、商务需求</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★1、交货期：合同签定后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天（日历日）内，交货期是指所有货物运抵现场安装调试完毕后交付用户验收的日期。</w:t>
      </w:r>
    </w:p>
    <w:p>
      <w:pPr>
        <w:widowControl/>
        <w:spacing w:line="4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★2、交货地点：新和县</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★3、报价要求：响应总价必须是完成该项目的一切费用总和，包括设备费、运输费、装卸费、保险费、技术培训费、设备安装费、调试费、售后服务费、国家规定的各项税费等。</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★4、付款方式：</w:t>
      </w:r>
      <w:r>
        <w:rPr>
          <w:rFonts w:hint="eastAsia" w:ascii="宋体" w:hAnsi="宋体" w:cs="宋体"/>
          <w:color w:val="auto"/>
          <w:sz w:val="24"/>
          <w:szCs w:val="24"/>
          <w:highlight w:val="none"/>
          <w:lang w:val="en-US" w:eastAsia="zh-CN"/>
        </w:rPr>
        <w:t>中标后按甲乙双方</w:t>
      </w:r>
      <w:r>
        <w:rPr>
          <w:rFonts w:hint="eastAsia" w:ascii="宋体" w:hAnsi="宋体" w:eastAsia="宋体" w:cs="宋体"/>
          <w:color w:val="auto"/>
          <w:sz w:val="24"/>
          <w:szCs w:val="24"/>
          <w:highlight w:val="none"/>
          <w:lang w:val="en-US" w:eastAsia="zh-CN"/>
        </w:rPr>
        <w:t>签订采购合同实际为准。</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6、安装、调试及验收方式：</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6.1中标供应商应当派有经验的技术人员到现场进行安装、调试，直到设备正常使用。</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6.2由采购人按合同和采购文件、响应文件约定的要求和标准及中华人民共和国现行的验收规范和评定标准进行交货验收。</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验收要求：货物必须满足以下条件后方可被用户方接受：（1）设备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5）在货物安装调试合格后，所有技术指标达到技术规范书要求，经验收合格后，双方共同签署验收报告。</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7、售后服务要求：</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★7.1质量保证期为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年。在此期间，如遇与所供产品有关的问题在接用户通知后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48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小时内应赶到现场提供免费服务。</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7.2中标供应商应提供售后服务队伍名称、资质、人员配备、联系地址、电话等详细资料，以及书面提出用户人员操作培训、长期保修、维护服务和今后技术支持的措施计划和承诺。 </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7.3在保质期满以后，中标供应商为此设备应以优惠价格终生提供保障其正常运行的配件和维护并能提供送货上门服务（以设备正常使用年限为限）。</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8、备件备品要求：</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8.1在质保期内，中标供应商应无偿并迅速更换由于元件缺陷及制造工艺等问题而发生故障的产品。</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8.2保质期满以后，中标供应商应按其在新疆地区同类产品的优惠价格提供保修服务。</w:t>
      </w:r>
    </w:p>
    <w:p>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9、其他</w:t>
      </w:r>
    </w:p>
    <w:p>
      <w:pPr>
        <w:rPr>
          <w:rFonts w:hint="eastAsia"/>
          <w:color w:val="auto"/>
          <w:highlight w:val="none"/>
        </w:rPr>
      </w:pPr>
      <w:bookmarkStart w:id="75" w:name="_Toc10724"/>
      <w:bookmarkStart w:id="76" w:name="_Toc20816"/>
      <w:r>
        <w:rPr>
          <w:rFonts w:hint="eastAsia"/>
          <w:color w:val="auto"/>
          <w:highlight w:val="none"/>
          <w:lang w:val="en-US" w:eastAsia="zh-CN"/>
        </w:rPr>
        <w:br w:type="page"/>
      </w:r>
    </w:p>
    <w:p>
      <w:pPr>
        <w:pStyle w:val="3"/>
        <w:numPr>
          <w:ilvl w:val="0"/>
          <w:numId w:val="1"/>
        </w:numPr>
        <w:spacing w:before="0" w:after="0" w:line="240" w:lineRule="auto"/>
        <w:ind w:left="0" w:leftChars="0"/>
        <w:rPr>
          <w:rFonts w:hint="eastAsia"/>
          <w:color w:val="auto"/>
          <w:highlight w:val="none"/>
        </w:rPr>
      </w:pPr>
      <w:r>
        <w:rPr>
          <w:rFonts w:hint="eastAsia"/>
          <w:color w:val="auto"/>
          <w:highlight w:val="none"/>
          <w:lang w:val="en-US" w:eastAsia="zh-CN"/>
        </w:rPr>
        <w:t xml:space="preserve"> </w:t>
      </w:r>
      <w:bookmarkStart w:id="77" w:name="_Toc31732"/>
      <w:bookmarkStart w:id="78" w:name="_Toc23076"/>
      <w:r>
        <w:rPr>
          <w:rFonts w:hint="eastAsia"/>
          <w:color w:val="auto"/>
          <w:highlight w:val="none"/>
        </w:rPr>
        <w:t>评审方法</w:t>
      </w:r>
      <w:bookmarkEnd w:id="68"/>
      <w:bookmarkEnd w:id="69"/>
      <w:bookmarkEnd w:id="70"/>
      <w:bookmarkEnd w:id="71"/>
      <w:bookmarkEnd w:id="75"/>
      <w:bookmarkEnd w:id="76"/>
      <w:bookmarkEnd w:id="77"/>
      <w:bookmarkEnd w:id="78"/>
    </w:p>
    <w:p>
      <w:pPr>
        <w:tabs>
          <w:tab w:val="left" w:pos="420"/>
          <w:tab w:val="left" w:pos="7560"/>
          <w:tab w:val="left" w:pos="7740"/>
          <w:tab w:val="left" w:pos="7920"/>
        </w:tabs>
        <w:adjustRightInd w:val="0"/>
        <w:snapToGrid w:val="0"/>
        <w:spacing w:line="360" w:lineRule="exact"/>
        <w:rPr>
          <w:rFonts w:hint="eastAsia" w:ascii="宋体" w:hAnsi="宋体"/>
          <w:b/>
          <w:color w:val="auto"/>
          <w:sz w:val="28"/>
          <w:szCs w:val="24"/>
          <w:highlight w:val="none"/>
          <w:lang w:val="en-US" w:eastAsia="zh-CN"/>
        </w:rPr>
      </w:pPr>
      <w:bookmarkStart w:id="79" w:name="_Toc293739005"/>
      <w:bookmarkStart w:id="80" w:name="_Toc446599330"/>
      <w:bookmarkStart w:id="81" w:name="_Toc293736067"/>
      <w:bookmarkStart w:id="82" w:name="_Toc293736024"/>
    </w:p>
    <w:p>
      <w:pPr>
        <w:spacing w:line="500" w:lineRule="exact"/>
        <w:outlineLvl w:val="1"/>
        <w:rPr>
          <w:rFonts w:hint="eastAsia" w:ascii="宋体" w:hAnsi="宋体"/>
          <w:b/>
          <w:color w:val="auto"/>
          <w:sz w:val="28"/>
          <w:szCs w:val="24"/>
          <w:highlight w:val="none"/>
          <w:lang w:val="en-US" w:eastAsia="zh-CN"/>
        </w:rPr>
      </w:pPr>
      <w:bookmarkStart w:id="83" w:name="_Toc16809"/>
      <w:bookmarkStart w:id="84" w:name="_Toc12926"/>
      <w:r>
        <w:rPr>
          <w:rFonts w:hint="eastAsia" w:ascii="宋体" w:hAnsi="宋体" w:eastAsia="宋体" w:cs="宋体"/>
          <w:b/>
          <w:color w:val="auto"/>
          <w:sz w:val="28"/>
          <w:szCs w:val="28"/>
          <w:highlight w:val="none"/>
          <w:lang w:eastAsia="zh-CN"/>
        </w:rPr>
        <w:t>一、评</w:t>
      </w:r>
      <w:r>
        <w:rPr>
          <w:rFonts w:hint="eastAsia" w:ascii="宋体" w:hAnsi="宋体" w:cs="宋体"/>
          <w:b/>
          <w:color w:val="auto"/>
          <w:sz w:val="28"/>
          <w:szCs w:val="28"/>
          <w:highlight w:val="none"/>
          <w:lang w:eastAsia="zh-CN"/>
        </w:rPr>
        <w:t>审</w:t>
      </w:r>
      <w:r>
        <w:rPr>
          <w:rFonts w:hint="eastAsia" w:ascii="宋体" w:hAnsi="宋体" w:eastAsia="宋体" w:cs="宋体"/>
          <w:b/>
          <w:color w:val="auto"/>
          <w:sz w:val="28"/>
          <w:szCs w:val="28"/>
          <w:highlight w:val="none"/>
          <w:lang w:eastAsia="zh-CN"/>
        </w:rPr>
        <w:t>办法</w:t>
      </w:r>
      <w:r>
        <w:rPr>
          <w:rFonts w:hint="eastAsia" w:ascii="宋体" w:hAnsi="宋体" w:eastAsia="宋体" w:cs="宋体"/>
          <w:b/>
          <w:color w:val="auto"/>
          <w:sz w:val="28"/>
          <w:szCs w:val="28"/>
          <w:highlight w:val="none"/>
        </w:rPr>
        <w:t>前附表</w:t>
      </w:r>
      <w:bookmarkEnd w:id="83"/>
      <w:bookmarkEnd w:id="84"/>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noWrap w:val="0"/>
            <w:vAlign w:val="center"/>
          </w:tcPr>
          <w:p>
            <w:pPr>
              <w:spacing w:line="360" w:lineRule="auto"/>
              <w:ind w:firstLine="649" w:firstLineChars="294"/>
              <w:jc w:val="both"/>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评分因素</w:t>
            </w:r>
          </w:p>
        </w:tc>
        <w:tc>
          <w:tcPr>
            <w:tcW w:w="5845" w:type="dxa"/>
            <w:noWrap w:val="0"/>
            <w:vAlign w:val="center"/>
          </w:tcPr>
          <w:p>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评分标准</w:t>
            </w:r>
          </w:p>
        </w:tc>
        <w:tc>
          <w:tcPr>
            <w:tcW w:w="1235" w:type="dxa"/>
            <w:noWrap w:val="0"/>
            <w:vAlign w:val="center"/>
          </w:tcPr>
          <w:p>
            <w:pPr>
              <w:spacing w:line="360" w:lineRule="auto"/>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评审</w:t>
            </w:r>
            <w:r>
              <w:rPr>
                <w:rFonts w:hint="eastAsia" w:ascii="宋体" w:hAnsi="宋体" w:eastAsia="宋体" w:cs="宋体"/>
                <w:b/>
                <w:color w:val="auto"/>
                <w:sz w:val="22"/>
                <w:szCs w:val="22"/>
                <w:highlight w:val="none"/>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10" w:firstLineChars="5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初步评审</w:t>
            </w:r>
          </w:p>
        </w:tc>
        <w:tc>
          <w:tcPr>
            <w:tcW w:w="1708" w:type="dxa"/>
            <w:noWrap w:val="0"/>
            <w:vAlign w:val="center"/>
          </w:tcPr>
          <w:p>
            <w:pPr>
              <w:spacing w:line="360" w:lineRule="auto"/>
              <w:jc w:val="center"/>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rPr>
              <w:t>资格</w:t>
            </w:r>
            <w:r>
              <w:rPr>
                <w:rFonts w:hint="eastAsia" w:ascii="宋体" w:hAnsi="宋体" w:eastAsia="宋体" w:cs="宋体"/>
                <w:color w:val="auto"/>
                <w:sz w:val="22"/>
                <w:szCs w:val="22"/>
                <w:highlight w:val="none"/>
                <w:lang w:eastAsia="zh-CN"/>
              </w:rPr>
              <w:t>审查</w:t>
            </w:r>
          </w:p>
        </w:tc>
        <w:tc>
          <w:tcPr>
            <w:tcW w:w="5845" w:type="dxa"/>
            <w:vMerge w:val="restart"/>
            <w:noWrap w:val="0"/>
            <w:vAlign w:val="center"/>
          </w:tcPr>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详见附表</w:t>
            </w:r>
            <w:r>
              <w:rPr>
                <w:rFonts w:hint="eastAsia" w:ascii="宋体" w:hAnsi="宋体" w:cs="宋体"/>
                <w:color w:val="auto"/>
                <w:sz w:val="22"/>
                <w:szCs w:val="22"/>
                <w:highlight w:val="none"/>
                <w:lang w:eastAsia="zh-CN"/>
              </w:rPr>
              <w:t>一</w:t>
            </w:r>
          </w:p>
        </w:tc>
        <w:tc>
          <w:tcPr>
            <w:tcW w:w="1235" w:type="dxa"/>
            <w:vMerge w:val="restart"/>
            <w:noWrap w:val="0"/>
            <w:vAlign w:val="top"/>
          </w:tcPr>
          <w:p>
            <w:pPr>
              <w:spacing w:line="360" w:lineRule="auto"/>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color w:val="auto"/>
                <w:sz w:val="22"/>
                <w:szCs w:val="22"/>
                <w:highlight w:val="none"/>
              </w:rPr>
            </w:pPr>
          </w:p>
        </w:tc>
        <w:tc>
          <w:tcPr>
            <w:tcW w:w="1708" w:type="dxa"/>
            <w:noWrap w:val="0"/>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符合性</w:t>
            </w:r>
            <w:r>
              <w:rPr>
                <w:rFonts w:hint="eastAsia" w:ascii="宋体" w:hAnsi="宋体" w:eastAsia="宋体" w:cs="宋体"/>
                <w:color w:val="auto"/>
                <w:sz w:val="22"/>
                <w:szCs w:val="22"/>
                <w:highlight w:val="none"/>
                <w:lang w:eastAsia="zh-CN"/>
              </w:rPr>
              <w:t>审查</w:t>
            </w:r>
          </w:p>
        </w:tc>
        <w:tc>
          <w:tcPr>
            <w:tcW w:w="5845" w:type="dxa"/>
            <w:vMerge w:val="continue"/>
            <w:noWrap w:val="0"/>
            <w:vAlign w:val="center"/>
          </w:tcPr>
          <w:p>
            <w:pPr>
              <w:spacing w:line="440" w:lineRule="exact"/>
              <w:jc w:val="left"/>
              <w:rPr>
                <w:rFonts w:hint="eastAsia" w:ascii="宋体" w:hAnsi="宋体" w:eastAsia="宋体" w:cs="宋体"/>
                <w:color w:val="auto"/>
                <w:sz w:val="22"/>
                <w:szCs w:val="22"/>
                <w:highlight w:val="none"/>
              </w:rPr>
            </w:pPr>
          </w:p>
        </w:tc>
        <w:tc>
          <w:tcPr>
            <w:tcW w:w="1235" w:type="dxa"/>
            <w:vMerge w:val="continue"/>
            <w:noWrap w:val="0"/>
            <w:vAlign w:val="top"/>
          </w:tcPr>
          <w:p>
            <w:pPr>
              <w:spacing w:line="360" w:lineRule="auto"/>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说明：</w:t>
            </w:r>
            <w:r>
              <w:rPr>
                <w:rFonts w:hint="eastAsia" w:ascii="宋体" w:hAnsi="宋体" w:eastAsia="宋体" w:cs="宋体"/>
                <w:color w:val="auto"/>
                <w:sz w:val="22"/>
                <w:szCs w:val="22"/>
                <w:highlight w:val="none"/>
              </w:rPr>
              <w:t>初步评审</w:t>
            </w:r>
            <w:r>
              <w:rPr>
                <w:rFonts w:hint="eastAsia" w:ascii="宋体" w:hAnsi="宋体" w:eastAsia="宋体" w:cs="宋体"/>
                <w:color w:val="auto"/>
                <w:sz w:val="22"/>
                <w:szCs w:val="22"/>
                <w:highlight w:val="none"/>
                <w:lang w:eastAsia="zh-CN"/>
              </w:rPr>
              <w:t>不通过的</w:t>
            </w:r>
            <w:r>
              <w:rPr>
                <w:rFonts w:hint="eastAsia" w:ascii="宋体" w:hAnsi="宋体" w:eastAsia="宋体" w:cs="宋体"/>
                <w:color w:val="auto"/>
                <w:sz w:val="22"/>
                <w:szCs w:val="22"/>
                <w:highlight w:val="none"/>
                <w:lang w:val="en-US" w:eastAsia="zh-CN"/>
              </w:rPr>
              <w:t>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noWrap w:val="0"/>
            <w:vAlign w:val="top"/>
          </w:tcPr>
          <w:p>
            <w:pPr>
              <w:spacing w:line="360" w:lineRule="auto"/>
              <w:ind w:firstLine="541" w:firstLineChars="245"/>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评分因素</w:t>
            </w:r>
          </w:p>
        </w:tc>
        <w:tc>
          <w:tcPr>
            <w:tcW w:w="7080" w:type="dxa"/>
            <w:gridSpan w:val="2"/>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详细评审</w:t>
            </w:r>
          </w:p>
        </w:tc>
        <w:tc>
          <w:tcPr>
            <w:tcW w:w="1708" w:type="dxa"/>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投标报价评审</w:t>
            </w:r>
          </w:p>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tc>
        <w:tc>
          <w:tcPr>
            <w:tcW w:w="7080" w:type="dxa"/>
            <w:gridSpan w:val="2"/>
            <w:noWrap w:val="0"/>
            <w:vAlign w:val="center"/>
          </w:tcPr>
          <w:p>
            <w:pP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评标基准价=有效投标报价的最低值，有效投标报价等于基准值的得满分，投标报价得分=（评标基准价/投标报价）×</w:t>
            </w:r>
            <w:r>
              <w:rPr>
                <w:rFonts w:hint="eastAsia" w:ascii="宋体" w:hAnsi="宋体" w:cs="宋体"/>
                <w:color w:val="auto"/>
                <w:kern w:val="2"/>
                <w:sz w:val="22"/>
                <w:szCs w:val="22"/>
                <w:highlight w:val="none"/>
                <w:lang w:val="en-US" w:eastAsia="zh-CN" w:bidi="ar-SA"/>
              </w:rPr>
              <w:t>30%</w:t>
            </w:r>
            <w:r>
              <w:rPr>
                <w:rFonts w:hint="eastAsia" w:ascii="宋体" w:hAnsi="宋体" w:eastAsia="宋体" w:cs="宋体"/>
                <w:color w:val="auto"/>
                <w:kern w:val="2"/>
                <w:sz w:val="22"/>
                <w:szCs w:val="22"/>
                <w:highlight w:val="none"/>
                <w:lang w:val="en-US" w:eastAsia="zh-CN" w:bidi="ar-SA"/>
              </w:rPr>
              <w:t>×100。有效投标报价为通过初步审查的供应商报价</w:t>
            </w:r>
          </w:p>
          <w:p>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注：中小企业产品价格扣除后的报价=投标报价×（1－6%），以价格扣除后的报价作为评审依据。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color w:val="auto"/>
                <w:sz w:val="22"/>
                <w:szCs w:val="22"/>
                <w:highlight w:val="none"/>
              </w:rPr>
            </w:pPr>
          </w:p>
        </w:tc>
        <w:tc>
          <w:tcPr>
            <w:tcW w:w="1708" w:type="dxa"/>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商务</w:t>
            </w:r>
            <w:r>
              <w:rPr>
                <w:rFonts w:hint="eastAsia" w:ascii="宋体" w:hAnsi="宋体" w:eastAsia="宋体" w:cs="宋体"/>
                <w:color w:val="auto"/>
                <w:sz w:val="22"/>
                <w:szCs w:val="22"/>
                <w:highlight w:val="none"/>
              </w:rPr>
              <w:t>技术标评审</w:t>
            </w:r>
          </w:p>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70</w:t>
            </w:r>
            <w:r>
              <w:rPr>
                <w:rFonts w:hint="eastAsia" w:ascii="宋体" w:hAnsi="宋体" w:eastAsia="宋体" w:cs="宋体"/>
                <w:color w:val="auto"/>
                <w:sz w:val="22"/>
                <w:szCs w:val="22"/>
                <w:highlight w:val="none"/>
              </w:rPr>
              <w:t>分）</w:t>
            </w:r>
          </w:p>
        </w:tc>
        <w:tc>
          <w:tcPr>
            <w:tcW w:w="7080" w:type="dxa"/>
            <w:gridSpan w:val="2"/>
            <w:noWrap w:val="0"/>
            <w:vAlign w:val="center"/>
          </w:tcPr>
          <w:p>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详见附表</w:t>
            </w:r>
            <w:r>
              <w:rPr>
                <w:rFonts w:hint="eastAsia" w:ascii="宋体" w:hAnsi="宋体" w:cs="宋体"/>
                <w:color w:val="auto"/>
                <w:sz w:val="22"/>
                <w:szCs w:val="22"/>
                <w:highlight w:val="none"/>
                <w:lang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noWrap w:val="0"/>
            <w:vAlign w:val="top"/>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合计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100分</w:t>
            </w:r>
            <w:r>
              <w:rPr>
                <w:rFonts w:hint="eastAsia" w:ascii="宋体" w:hAnsi="宋体" w:eastAsia="宋体" w:cs="宋体"/>
                <w:color w:val="auto"/>
                <w:sz w:val="22"/>
                <w:szCs w:val="22"/>
                <w:highlight w:val="none"/>
                <w:lang w:eastAsia="zh-CN"/>
              </w:rPr>
              <w:t>）</w:t>
            </w:r>
          </w:p>
        </w:tc>
        <w:tc>
          <w:tcPr>
            <w:tcW w:w="7080" w:type="dxa"/>
            <w:gridSpan w:val="2"/>
            <w:noWrap w:val="0"/>
            <w:vAlign w:val="center"/>
          </w:tcPr>
          <w:p>
            <w:pPr>
              <w:spacing w:line="360" w:lineRule="auto"/>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注：评分分值计算保留小数点后两位，小数点后第三位“四舍五入”</w:t>
            </w:r>
          </w:p>
        </w:tc>
      </w:tr>
    </w:tbl>
    <w:p>
      <w:pPr>
        <w:pStyle w:val="32"/>
        <w:ind w:left="0" w:leftChars="0" w:firstLine="0" w:firstLineChars="0"/>
        <w:rPr>
          <w:rFonts w:hint="eastAsia" w:ascii="宋体" w:hAnsi="宋体" w:eastAsia="宋体" w:cs="Times New Roman"/>
          <w:color w:val="auto"/>
          <w:kern w:val="2"/>
          <w:sz w:val="28"/>
          <w:szCs w:val="24"/>
          <w:highlight w:val="non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sz w:val="24"/>
          <w:highlight w:val="none"/>
          <w:lang w:eastAsia="zh-CN"/>
        </w:rPr>
        <w:t>政府采购政策功能落实：</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一、关于中小企业、</w:t>
      </w:r>
      <w:r>
        <w:rPr>
          <w:rFonts w:hint="eastAsia" w:ascii="宋体" w:hAnsi="宋体" w:eastAsia="宋体" w:cs="宋体"/>
          <w:color w:val="auto"/>
          <w:sz w:val="24"/>
          <w:szCs w:val="24"/>
          <w:highlight w:val="none"/>
        </w:rPr>
        <w:t>残疾人福利</w:t>
      </w:r>
      <w:r>
        <w:rPr>
          <w:rFonts w:hint="eastAsia" w:ascii="宋体" w:hAnsi="宋体" w:eastAsia="宋体" w:cs="宋体"/>
          <w:color w:val="auto"/>
          <w:sz w:val="24"/>
          <w:szCs w:val="24"/>
          <w:highlight w:val="none"/>
          <w:lang w:eastAsia="zh-CN"/>
        </w:rPr>
        <w:t>性</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w:t>
      </w:r>
      <w:r>
        <w:rPr>
          <w:rFonts w:hint="eastAsia" w:ascii="宋体" w:hAnsi="宋体" w:eastAsia="宋体" w:cs="宋体"/>
          <w:color w:val="auto"/>
          <w:sz w:val="24"/>
          <w:szCs w:val="24"/>
          <w:highlight w:val="none"/>
          <w:lang w:eastAsia="zh-CN"/>
        </w:rPr>
        <w:t>扶持政策落实的规定：</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小企业</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rPr>
        <w:t>价格扣除</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小企业</w:t>
      </w:r>
      <w:r>
        <w:rPr>
          <w:rFonts w:hint="eastAsia" w:ascii="宋体" w:hAnsi="宋体" w:eastAsia="宋体" w:cs="宋体"/>
          <w:color w:val="auto"/>
          <w:sz w:val="24"/>
          <w:szCs w:val="24"/>
          <w:highlight w:val="none"/>
          <w:lang w:eastAsia="zh-CN"/>
        </w:rPr>
        <w:t>产品价格</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6%</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的扣除，用扣除后的价格参与评审。</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（2）供应商需按照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w:t>
      </w:r>
      <w:r>
        <w:rPr>
          <w:rFonts w:hint="eastAsia" w:ascii="宋体" w:hAnsi="宋体" w:eastAsia="宋体" w:cs="宋体"/>
          <w:color w:val="auto"/>
          <w:sz w:val="24"/>
          <w:szCs w:val="24"/>
          <w:highlight w:val="none"/>
          <w:lang w:eastAsia="zh-CN"/>
        </w:rPr>
        <w:t>中小</w:t>
      </w:r>
      <w:r>
        <w:rPr>
          <w:rFonts w:hint="eastAsia" w:ascii="宋体" w:hAnsi="宋体" w:eastAsia="宋体" w:cs="宋体"/>
          <w:color w:val="auto"/>
          <w:sz w:val="24"/>
          <w:szCs w:val="24"/>
          <w:highlight w:val="none"/>
        </w:rPr>
        <w:t>企业声明函》</w:t>
      </w:r>
      <w:r>
        <w:rPr>
          <w:rFonts w:hint="eastAsia" w:ascii="宋体" w:hAnsi="宋体" w:eastAsia="宋体" w:cs="宋体"/>
          <w:color w:val="auto"/>
          <w:sz w:val="24"/>
          <w:szCs w:val="24"/>
          <w:highlight w:val="none"/>
          <w:lang w:eastAsia="zh-CN"/>
        </w:rPr>
        <w:t>，详见第六章“响应文件格式”附件八</w:t>
      </w:r>
      <w:r>
        <w:rPr>
          <w:rFonts w:hint="eastAsia" w:ascii="宋体" w:hAnsi="宋体" w:eastAsia="宋体" w:cs="宋体"/>
          <w:color w:val="auto"/>
          <w:sz w:val="24"/>
          <w:szCs w:val="24"/>
          <w:highlight w:val="none"/>
        </w:rPr>
        <w:t>。</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（3）企业标准请参照《关于印发中小企业划型标准规定的通知》（工信部联企业[2011]300号）文件规定自行填写。</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w:t>
      </w:r>
      <w:r>
        <w:rPr>
          <w:rFonts w:hint="eastAsia" w:ascii="宋体" w:hAnsi="宋体" w:eastAsia="宋体" w:cs="宋体"/>
          <w:color w:val="auto"/>
          <w:sz w:val="24"/>
          <w:szCs w:val="24"/>
          <w:highlight w:val="none"/>
          <w:lang w:eastAsia="zh-CN"/>
        </w:rPr>
        <w:t>性</w:t>
      </w:r>
      <w:r>
        <w:rPr>
          <w:rFonts w:hint="eastAsia" w:ascii="宋体" w:hAnsi="宋体" w:eastAsia="宋体" w:cs="宋体"/>
          <w:color w:val="auto"/>
          <w:sz w:val="24"/>
          <w:szCs w:val="24"/>
          <w:highlight w:val="none"/>
        </w:rPr>
        <w:t>单位价格扣除</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（1）本项目对残疾人福利性单位视同小型、微型企业，给予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6%</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的价格扣除，用扣除后的价格参与评审。</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w:t>
      </w:r>
      <w:r>
        <w:rPr>
          <w:rFonts w:hint="eastAsia" w:ascii="宋体" w:hAnsi="宋体" w:eastAsia="宋体" w:cs="宋体"/>
          <w:color w:val="auto"/>
          <w:sz w:val="24"/>
          <w:szCs w:val="24"/>
          <w:highlight w:val="none"/>
          <w:lang w:eastAsia="zh-CN"/>
        </w:rPr>
        <w:t>性</w:t>
      </w:r>
      <w:r>
        <w:rPr>
          <w:rFonts w:hint="eastAsia" w:ascii="宋体" w:hAnsi="宋体" w:eastAsia="宋体" w:cs="宋体"/>
          <w:color w:val="auto"/>
          <w:sz w:val="24"/>
          <w:szCs w:val="24"/>
          <w:highlight w:val="none"/>
        </w:rPr>
        <w:t>单位需按照采购文件的要求提供《残疾人福利性单位声明函》。</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w:t>
      </w:r>
      <w:r>
        <w:rPr>
          <w:rFonts w:hint="eastAsia" w:ascii="宋体" w:hAnsi="宋体" w:eastAsia="宋体" w:cs="宋体"/>
          <w:color w:val="auto"/>
          <w:sz w:val="24"/>
          <w:szCs w:val="24"/>
          <w:highlight w:val="none"/>
          <w:lang w:eastAsia="zh-CN"/>
        </w:rPr>
        <w:t>性</w:t>
      </w:r>
      <w:r>
        <w:rPr>
          <w:rFonts w:hint="eastAsia" w:ascii="宋体" w:hAnsi="宋体" w:eastAsia="宋体" w:cs="宋体"/>
          <w:color w:val="auto"/>
          <w:sz w:val="24"/>
          <w:szCs w:val="24"/>
          <w:highlight w:val="none"/>
        </w:rPr>
        <w:t>单位标准请参照《关于促进残疾人就业政府采购政策的通知》（财库〔2017〕141号）。</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3、监狱和戒毒企业价格扣除</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（1）本项目对监狱和戒毒企业（简称监狱企业）视同小型、微型企业，给予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6%</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的价格扣除，用扣除后的价格参与评审。</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（3）监狱企业标准请参照《关于政府采购支持监狱企业发展有关问题的通知》（财库[2014]68号）。</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4、残疾人福利单位、监狱企业属于小型、微型企业的，不重复享受政策。</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r>
        <w:rPr>
          <w:rFonts w:hint="eastAsia" w:ascii="宋体" w:hAnsi="宋体" w:eastAsia="宋体" w:cs="宋体"/>
          <w:color w:val="auto"/>
          <w:sz w:val="24"/>
          <w:szCs w:val="24"/>
          <w:highlight w:val="none"/>
          <w:lang w:eastAsia="zh-CN"/>
        </w:rPr>
        <w:t>（注意：组成联合体的中小</w:t>
      </w: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eastAsia="zh-CN"/>
        </w:rPr>
        <w:t>与联合体内其他</w:t>
      </w: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eastAsia="zh-CN"/>
        </w:rPr>
        <w:t>之间不得存在直接控股、管理关系）</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6、联合体各方均为小型、微型企业（残疾人福利单位、监狱企业）的，联合体享受</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6%</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价格扣除，用扣除后的价格参与评审。</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7、符合中小企业划型标准的个体工商户视同中小企业。</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8、若本项目所有投标人均属中小企业、残疾人福利性单位、监狱企业的，按原报价进行评审。</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二、优先采购（含强制采购）</w:t>
      </w:r>
      <w:r>
        <w:rPr>
          <w:rFonts w:hint="eastAsia" w:ascii="宋体" w:hAnsi="宋体" w:eastAsia="宋体" w:cs="宋体"/>
          <w:color w:val="auto"/>
          <w:sz w:val="24"/>
          <w:szCs w:val="24"/>
          <w:highlight w:val="none"/>
          <w:lang w:eastAsia="zh-CN"/>
        </w:rPr>
        <w:t>政策落实的规定：</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1、现行的政策文件：</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（1）关于印发《节能产品政府采购实施意见》的通知 财库[2004]185号 </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（2）《关于环境标志产品政府采购实施的意见》财库[2006]90号 </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（3）关于建立政府强制采购节能产品制度的通知 国办发〔2007〕51号</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（4）关于发布参与实施政府采购节能产品、环境标志产品认证机构名录的公告2019年第16号</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（5）关于调整优化节能产品、环境标志产品政府采购执行机制的通知 财库[2019]9号</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（6）关于印发环境标志产品政府采购品目清单的通知 财库[2019]18号</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（7）关于印发节能产品政府采购品目清单的通知 财库[2019]19号</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供应商提供的货物属于节能产品、环境标志产品品目清单里的产品，提供产品取得国家确定的认证机构出具的、处于有效期之内的节能产品、环境标志产品认证证书（认证证书不能反映具体产品的，需提供认证证书附件），享受给予产品价格4% 的扣除，用扣除后的价格参与评审。</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同一合同包内的节能、环境标志产品</w:t>
      </w:r>
      <w:r>
        <w:rPr>
          <w:rFonts w:hint="eastAsia" w:ascii="宋体" w:hAnsi="宋体" w:cs="宋体"/>
          <w:b/>
          <w:bCs/>
          <w:color w:val="auto"/>
          <w:sz w:val="24"/>
          <w:szCs w:val="24"/>
          <w:highlight w:val="none"/>
          <w:lang w:val="en-US" w:eastAsia="zh-CN"/>
        </w:rPr>
        <w:t>部分</w:t>
      </w:r>
      <w:r>
        <w:rPr>
          <w:rFonts w:hint="eastAsia" w:ascii="宋体" w:hAnsi="宋体" w:cs="宋体"/>
          <w:color w:val="auto"/>
          <w:sz w:val="24"/>
          <w:szCs w:val="24"/>
          <w:highlight w:val="none"/>
          <w:lang w:val="en-US" w:eastAsia="zh-CN"/>
        </w:rPr>
        <w:t>属于品目清单内的产品，则只对该部分属于品目清单内的非强制类产品进行价格扣除，强制类产品已作为投标时强制性要求不再给予价格扣除。若节能、环境标志品目清单内的产品仅是构成投标产品的部件、组件或零件的，则该投标产品不予价格扣除。</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节能品目清单产品价格扣除后的报价=投标报价×（1－4%）</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环境标志品目清单产品价格扣除后的报价=投标报价×（1－4%）</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节能品目清单部分产品价格扣除后的报价=投标报价－部分产品价格×4%</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环境标志品目清单部分产品价格扣除后的报价=投标报价－部分产品价格×4%</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注：供应商须单独提供所投节能、环境标志产品部分属于品目清单内产品的价格，便于价格扣除计算，未能提供导致无法享受价格扣除的，由供应商自行承担后果。</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三、落实政府采购政策过程中特殊情况的处理</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1、供应商所提供产品既属于节能产品，又属于环境标志产品的，将分别给予价格评审优惠，累加计算。</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2、供应商既符合中小企业，又提供优先采购产品，将分别给予评审优惠，累加计算。</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p>
    <w:p>
      <w:pPr>
        <w:rPr>
          <w:rFonts w:hint="eastAsia"/>
          <w:color w:val="auto"/>
          <w:highlight w:val="none"/>
          <w:lang w:val="en-US" w:eastAsia="zh-CN"/>
        </w:rPr>
      </w:pPr>
    </w:p>
    <w:p>
      <w:pPr>
        <w:pStyle w:val="32"/>
        <w:rPr>
          <w:rFonts w:hint="eastAsia"/>
          <w:color w:val="auto"/>
          <w:highlight w:val="none"/>
          <w:lang w:val="en-US" w:eastAsia="zh-CN"/>
        </w:rPr>
      </w:pPr>
    </w:p>
    <w:p>
      <w:pPr>
        <w:pStyle w:val="8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附表</w:t>
      </w:r>
      <w:r>
        <w:rPr>
          <w:rFonts w:hint="eastAsia" w:ascii="宋体" w:hAnsi="宋体" w:cs="宋体"/>
          <w:color w:val="auto"/>
          <w:sz w:val="22"/>
          <w:szCs w:val="22"/>
          <w:highlight w:val="none"/>
          <w:lang w:eastAsia="zh-CN"/>
        </w:rPr>
        <w:t>一</w:t>
      </w:r>
      <w:r>
        <w:rPr>
          <w:rFonts w:hint="eastAsia" w:ascii="宋体" w:hAnsi="宋体" w:eastAsia="宋体" w:cs="宋体"/>
          <w:color w:val="auto"/>
          <w:sz w:val="22"/>
          <w:szCs w:val="22"/>
          <w:highlight w:val="none"/>
          <w:lang w:val="en-US" w:eastAsia="zh-CN"/>
        </w:rPr>
        <w:t>：</w:t>
      </w:r>
    </w:p>
    <w:p>
      <w:pPr>
        <w:pStyle w:val="80"/>
        <w:jc w:val="center"/>
        <w:rPr>
          <w:rFonts w:hint="eastAsia" w:ascii="宋体" w:hAnsi="宋体" w:eastAsia="宋体" w:cs="宋体"/>
          <w:b/>
          <w:bCs/>
          <w:color w:val="auto"/>
          <w:sz w:val="28"/>
          <w:szCs w:val="32"/>
          <w:highlight w:val="none"/>
          <w:lang w:eastAsia="zh-CN"/>
        </w:rPr>
      </w:pPr>
      <w:r>
        <w:rPr>
          <w:rFonts w:hint="eastAsia" w:ascii="宋体" w:hAnsi="宋体" w:eastAsia="宋体" w:cs="宋体"/>
          <w:b/>
          <w:bCs/>
          <w:color w:val="auto"/>
          <w:sz w:val="28"/>
          <w:szCs w:val="32"/>
          <w:highlight w:val="none"/>
          <w:lang w:eastAsia="zh-CN"/>
        </w:rPr>
        <w:t>初步评审－资格、符合性审查表</w:t>
      </w:r>
    </w:p>
    <w:p>
      <w:pPr>
        <w:pStyle w:val="80"/>
        <w:jc w:val="left"/>
        <w:rPr>
          <w:rFonts w:hint="eastAsia" w:ascii="宋体" w:hAnsi="宋体" w:eastAsia="宋体" w:cs="宋体"/>
          <w:b/>
          <w:bCs/>
          <w:color w:val="auto"/>
          <w:sz w:val="28"/>
          <w:szCs w:val="32"/>
          <w:highlight w:val="none"/>
          <w:lang w:val="en-US" w:eastAsia="zh-CN"/>
        </w:rPr>
      </w:pPr>
      <w:r>
        <w:rPr>
          <w:rFonts w:hint="eastAsia" w:ascii="宋体" w:hAnsi="宋体" w:cs="宋体"/>
          <w:b/>
          <w:bCs/>
          <w:color w:val="auto"/>
          <w:sz w:val="28"/>
          <w:szCs w:val="32"/>
          <w:highlight w:val="none"/>
          <w:lang w:eastAsia="zh-CN"/>
        </w:rPr>
        <w:t>资格审查表：</w:t>
      </w:r>
    </w:p>
    <w:tbl>
      <w:tblPr>
        <w:tblStyle w:val="33"/>
        <w:tblW w:w="0" w:type="auto"/>
        <w:jc w:val="center"/>
        <w:tblLayout w:type="autofit"/>
        <w:tblCellMar>
          <w:top w:w="0" w:type="dxa"/>
          <w:left w:w="15" w:type="dxa"/>
          <w:bottom w:w="0" w:type="dxa"/>
          <w:right w:w="15" w:type="dxa"/>
        </w:tblCellMar>
      </w:tblPr>
      <w:tblGrid>
        <w:gridCol w:w="688"/>
        <w:gridCol w:w="5711"/>
        <w:gridCol w:w="1182"/>
        <w:gridCol w:w="1140"/>
        <w:gridCol w:w="1055"/>
      </w:tblGrid>
      <w:tr>
        <w:tblPrEx>
          <w:tblCellMar>
            <w:top w:w="0" w:type="dxa"/>
            <w:left w:w="15" w:type="dxa"/>
            <w:bottom w:w="0" w:type="dxa"/>
            <w:right w:w="15" w:type="dxa"/>
          </w:tblCellMar>
        </w:tblPrEx>
        <w:trPr>
          <w:trHeight w:val="416" w:hRule="atLeast"/>
          <w:jc w:val="center"/>
        </w:trPr>
        <w:tc>
          <w:tcPr>
            <w:tcW w:w="698" w:type="dxa"/>
            <w:vMerge w:val="restart"/>
            <w:tcBorders>
              <w:top w:val="single" w:color="000000" w:sz="4" w:space="0"/>
              <w:left w:val="single" w:color="000000" w:sz="4" w:space="0"/>
              <w:right w:val="single" w:color="000000" w:sz="4" w:space="0"/>
            </w:tcBorders>
            <w:noWrap w:val="0"/>
            <w:vAlign w:val="center"/>
          </w:tcPr>
          <w:p>
            <w:pPr>
              <w:autoSpaceDN w:val="0"/>
              <w:jc w:val="center"/>
              <w:textAlignment w:val="center"/>
              <w:rPr>
                <w:rFonts w:hAnsi="宋体" w:eastAsia="宋体" w:cs="宋体"/>
                <w:sz w:val="24"/>
                <w:szCs w:val="24"/>
              </w:rPr>
            </w:pPr>
            <w:r>
              <w:rPr>
                <w:rFonts w:hAnsi="宋体" w:eastAsia="宋体" w:cs="宋体"/>
                <w:sz w:val="24"/>
                <w:szCs w:val="24"/>
              </w:rPr>
              <w:t>序号</w:t>
            </w:r>
          </w:p>
        </w:tc>
        <w:tc>
          <w:tcPr>
            <w:tcW w:w="5577" w:type="dxa"/>
            <w:vMerge w:val="restart"/>
            <w:tcBorders>
              <w:top w:val="single" w:color="000000" w:sz="4" w:space="0"/>
              <w:left w:val="single" w:color="000000" w:sz="4"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审查因素</w:t>
            </w:r>
          </w:p>
        </w:tc>
        <w:tc>
          <w:tcPr>
            <w:tcW w:w="1227"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r>
              <w:rPr>
                <w:rFonts w:hint="eastAsia" w:hAnsi="宋体" w:eastAsia="宋体" w:cs="宋体"/>
                <w:sz w:val="24"/>
                <w:szCs w:val="24"/>
              </w:rPr>
              <w:t>供应商A</w:t>
            </w:r>
          </w:p>
        </w:tc>
        <w:tc>
          <w:tcPr>
            <w:tcW w:w="1183"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r>
              <w:rPr>
                <w:rFonts w:hint="eastAsia" w:hAnsi="宋体" w:eastAsia="宋体" w:cs="宋体"/>
                <w:sz w:val="24"/>
                <w:szCs w:val="24"/>
              </w:rPr>
              <w:t>供应商B</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Ansi="宋体" w:eastAsia="宋体" w:cs="宋体"/>
                <w:sz w:val="24"/>
                <w:szCs w:val="24"/>
              </w:rPr>
            </w:pPr>
            <w:r>
              <w:rPr>
                <w:rFonts w:hint="eastAsia" w:hAnsi="宋体" w:eastAsia="宋体" w:cs="宋体"/>
                <w:sz w:val="24"/>
                <w:szCs w:val="24"/>
              </w:rPr>
              <w:t>供应商C</w:t>
            </w:r>
          </w:p>
        </w:tc>
      </w:tr>
      <w:tr>
        <w:tblPrEx>
          <w:tblCellMar>
            <w:top w:w="0" w:type="dxa"/>
            <w:left w:w="15" w:type="dxa"/>
            <w:bottom w:w="0" w:type="dxa"/>
            <w:right w:w="15" w:type="dxa"/>
          </w:tblCellMar>
        </w:tblPrEx>
        <w:trPr>
          <w:trHeight w:val="345" w:hRule="atLeast"/>
          <w:jc w:val="center"/>
        </w:trPr>
        <w:tc>
          <w:tcPr>
            <w:tcW w:w="698" w:type="dxa"/>
            <w:vMerge w:val="continue"/>
            <w:tcBorders>
              <w:left w:val="single" w:color="000000" w:sz="4" w:space="0"/>
              <w:bottom w:val="single" w:color="000000" w:sz="4" w:space="0"/>
              <w:right w:val="single" w:color="000000" w:sz="4" w:space="0"/>
            </w:tcBorders>
            <w:noWrap w:val="0"/>
            <w:vAlign w:val="center"/>
          </w:tcPr>
          <w:p>
            <w:pPr>
              <w:rPr>
                <w:rFonts w:hAnsi="宋体" w:eastAsia="宋体" w:cs="宋体"/>
                <w:sz w:val="24"/>
                <w:szCs w:val="24"/>
              </w:rPr>
            </w:pPr>
          </w:p>
        </w:tc>
        <w:tc>
          <w:tcPr>
            <w:tcW w:w="5577" w:type="dxa"/>
            <w:vMerge w:val="continue"/>
            <w:tcBorders>
              <w:left w:val="single" w:color="000000" w:sz="4" w:space="0"/>
              <w:bottom w:val="single" w:color="000000" w:sz="4" w:space="0"/>
            </w:tcBorders>
            <w:noWrap w:val="0"/>
            <w:vAlign w:val="center"/>
          </w:tcPr>
          <w:p>
            <w:pPr>
              <w:autoSpaceDN w:val="0"/>
              <w:rPr>
                <w:rFonts w:hAnsi="宋体" w:eastAsia="宋体" w:cs="宋体"/>
                <w:sz w:val="24"/>
                <w:szCs w:val="24"/>
              </w:rPr>
            </w:pPr>
          </w:p>
        </w:tc>
        <w:tc>
          <w:tcPr>
            <w:tcW w:w="1227"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r>
              <w:rPr>
                <w:rFonts w:hAnsi="宋体" w:eastAsia="宋体" w:cs="宋体"/>
                <w:sz w:val="24"/>
                <w:szCs w:val="24"/>
              </w:rPr>
              <w:t>是否合格</w:t>
            </w:r>
          </w:p>
        </w:tc>
        <w:tc>
          <w:tcPr>
            <w:tcW w:w="1183"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r>
              <w:rPr>
                <w:rFonts w:hAnsi="宋体" w:eastAsia="宋体" w:cs="宋体"/>
                <w:sz w:val="24"/>
                <w:szCs w:val="24"/>
              </w:rPr>
              <w:t>是否合格</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Ansi="宋体" w:eastAsia="宋体" w:cs="宋体"/>
                <w:sz w:val="24"/>
                <w:szCs w:val="24"/>
              </w:rPr>
            </w:pPr>
            <w:r>
              <w:rPr>
                <w:rFonts w:hAnsi="宋体" w:eastAsia="宋体" w:cs="宋体"/>
                <w:sz w:val="24"/>
                <w:szCs w:val="24"/>
              </w:rPr>
              <w:t>是否合格</w:t>
            </w:r>
          </w:p>
        </w:tc>
      </w:tr>
      <w:tr>
        <w:tblPrEx>
          <w:tblCellMar>
            <w:top w:w="0" w:type="dxa"/>
            <w:left w:w="15" w:type="dxa"/>
            <w:bottom w:w="0" w:type="dxa"/>
            <w:right w:w="15" w:type="dxa"/>
          </w:tblCellMar>
        </w:tblPrEx>
        <w:trPr>
          <w:trHeight w:val="807"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hAnsi="宋体" w:eastAsia="宋体" w:cs="宋体"/>
                <w:sz w:val="24"/>
                <w:szCs w:val="24"/>
                <w:lang w:eastAsia="zh-CN"/>
              </w:rPr>
            </w:pPr>
            <w:r>
              <w:rPr>
                <w:rFonts w:hint="eastAsia" w:hAnsi="宋体" w:cs="宋体"/>
                <w:sz w:val="24"/>
                <w:szCs w:val="24"/>
                <w:lang w:val="en-US" w:eastAsia="zh-CN"/>
              </w:rPr>
              <w:t>1</w:t>
            </w:r>
          </w:p>
        </w:tc>
        <w:tc>
          <w:tcPr>
            <w:tcW w:w="5577" w:type="dxa"/>
            <w:tcBorders>
              <w:top w:val="single" w:color="000000" w:sz="4" w:space="0"/>
              <w:left w:val="single" w:color="000000" w:sz="4" w:space="0"/>
              <w:bottom w:val="single" w:color="000000" w:sz="4" w:space="0"/>
            </w:tcBorders>
            <w:noWrap w:val="0"/>
            <w:vAlign w:val="center"/>
          </w:tcPr>
          <w:p>
            <w:pPr>
              <w:autoSpaceDN w:val="0"/>
              <w:jc w:val="left"/>
              <w:textAlignment w:val="center"/>
              <w:rPr>
                <w:rFonts w:hint="eastAsia" w:hAnsi="宋体" w:eastAsia="宋体"/>
                <w:sz w:val="24"/>
                <w:szCs w:val="24"/>
                <w:lang w:eastAsia="zh-CN"/>
              </w:rPr>
            </w:pPr>
            <w:r>
              <w:rPr>
                <w:rFonts w:hint="eastAsia" w:hAnsi="宋体" w:eastAsia="宋体"/>
                <w:sz w:val="24"/>
                <w:szCs w:val="24"/>
              </w:rPr>
              <w:t>具备有效经年检的五证一码或三证合一的营业执照、开户许可证（或开户信息）</w:t>
            </w:r>
            <w:r>
              <w:rPr>
                <w:rFonts w:hint="eastAsia" w:hAnsi="宋体"/>
                <w:sz w:val="24"/>
                <w:szCs w:val="24"/>
                <w:lang w:eastAsia="zh-CN"/>
              </w:rPr>
              <w:t>；</w:t>
            </w:r>
          </w:p>
        </w:tc>
        <w:tc>
          <w:tcPr>
            <w:tcW w:w="1227"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183"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Ansi="宋体" w:eastAsia="宋体" w:cs="宋体"/>
                <w:sz w:val="24"/>
                <w:szCs w:val="24"/>
              </w:rPr>
            </w:pPr>
          </w:p>
        </w:tc>
      </w:tr>
      <w:tr>
        <w:tblPrEx>
          <w:tblCellMar>
            <w:top w:w="0" w:type="dxa"/>
            <w:left w:w="15" w:type="dxa"/>
            <w:bottom w:w="0" w:type="dxa"/>
            <w:right w:w="15" w:type="dxa"/>
          </w:tblCellMar>
        </w:tblPrEx>
        <w:trPr>
          <w:trHeight w:val="787"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hAnsi="宋体" w:eastAsia="宋体" w:cs="宋体"/>
                <w:sz w:val="24"/>
                <w:szCs w:val="24"/>
                <w:lang w:eastAsia="zh-CN"/>
              </w:rPr>
            </w:pPr>
            <w:r>
              <w:rPr>
                <w:rFonts w:hint="eastAsia" w:hAnsi="宋体" w:cs="宋体"/>
                <w:sz w:val="24"/>
                <w:szCs w:val="24"/>
                <w:lang w:val="en-US" w:eastAsia="zh-CN"/>
              </w:rPr>
              <w:t>2</w:t>
            </w:r>
          </w:p>
        </w:tc>
        <w:tc>
          <w:tcPr>
            <w:tcW w:w="5577" w:type="dxa"/>
            <w:tcBorders>
              <w:top w:val="single" w:color="000000" w:sz="4" w:space="0"/>
              <w:left w:val="single" w:color="000000" w:sz="4" w:space="0"/>
              <w:bottom w:val="single" w:color="000000" w:sz="4" w:space="0"/>
            </w:tcBorders>
            <w:noWrap w:val="0"/>
            <w:vAlign w:val="center"/>
          </w:tcPr>
          <w:p>
            <w:pPr>
              <w:autoSpaceDN w:val="0"/>
              <w:jc w:val="left"/>
              <w:textAlignment w:val="center"/>
              <w:rPr>
                <w:rFonts w:hint="eastAsia" w:hAnsi="宋体" w:eastAsia="宋体"/>
                <w:sz w:val="24"/>
                <w:szCs w:val="24"/>
                <w:lang w:eastAsia="zh-CN"/>
              </w:rPr>
            </w:pPr>
            <w:r>
              <w:rPr>
                <w:rFonts w:hAnsi="宋体" w:eastAsia="宋体"/>
                <w:sz w:val="24"/>
                <w:szCs w:val="24"/>
              </w:rPr>
              <w:t>法定代表人</w:t>
            </w:r>
            <w:r>
              <w:rPr>
                <w:rFonts w:hint="eastAsia" w:hAnsi="宋体"/>
                <w:sz w:val="24"/>
                <w:szCs w:val="24"/>
                <w:lang w:val="en-US" w:eastAsia="zh-CN"/>
              </w:rPr>
              <w:t>（负责人）</w:t>
            </w:r>
            <w:r>
              <w:rPr>
                <w:rFonts w:hAnsi="宋体" w:eastAsia="宋体"/>
                <w:sz w:val="24"/>
                <w:szCs w:val="24"/>
              </w:rPr>
              <w:t>身份证明、授权委托人须提供法人授权委托书</w:t>
            </w:r>
            <w:r>
              <w:rPr>
                <w:rFonts w:hint="eastAsia" w:hAnsi="宋体"/>
                <w:sz w:val="24"/>
                <w:szCs w:val="24"/>
                <w:lang w:eastAsia="zh-CN"/>
              </w:rPr>
              <w:t>；</w:t>
            </w:r>
          </w:p>
        </w:tc>
        <w:tc>
          <w:tcPr>
            <w:tcW w:w="1227"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183"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091"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hAnsi="宋体" w:eastAsia="宋体" w:cs="宋体"/>
                <w:sz w:val="24"/>
                <w:szCs w:val="24"/>
              </w:rPr>
            </w:pPr>
          </w:p>
        </w:tc>
      </w:tr>
      <w:tr>
        <w:tblPrEx>
          <w:tblCellMar>
            <w:top w:w="0" w:type="dxa"/>
            <w:left w:w="15" w:type="dxa"/>
            <w:bottom w:w="0" w:type="dxa"/>
            <w:right w:w="15" w:type="dxa"/>
          </w:tblCellMar>
        </w:tblPrEx>
        <w:trPr>
          <w:trHeight w:val="852"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hAnsi="宋体" w:eastAsia="宋体" w:cs="宋体"/>
                <w:sz w:val="24"/>
                <w:szCs w:val="24"/>
                <w:lang w:eastAsia="zh-CN"/>
              </w:rPr>
            </w:pPr>
            <w:r>
              <w:rPr>
                <w:rFonts w:hint="eastAsia" w:hAnsi="宋体" w:cs="宋体"/>
                <w:sz w:val="24"/>
                <w:szCs w:val="24"/>
                <w:lang w:val="en-US" w:eastAsia="zh-CN"/>
              </w:rPr>
              <w:t>3</w:t>
            </w:r>
          </w:p>
        </w:tc>
        <w:tc>
          <w:tcPr>
            <w:tcW w:w="5577" w:type="dxa"/>
            <w:tcBorders>
              <w:top w:val="single" w:color="000000" w:sz="4" w:space="0"/>
              <w:left w:val="single" w:color="000000" w:sz="4" w:space="0"/>
              <w:bottom w:val="single" w:color="000000" w:sz="4" w:space="0"/>
            </w:tcBorders>
            <w:noWrap w:val="0"/>
            <w:vAlign w:val="center"/>
          </w:tcPr>
          <w:p>
            <w:pPr>
              <w:autoSpaceDN w:val="0"/>
              <w:jc w:val="left"/>
              <w:textAlignment w:val="center"/>
              <w:rPr>
                <w:rFonts w:hint="eastAsia" w:hAnsi="宋体" w:eastAsia="宋体"/>
                <w:sz w:val="24"/>
                <w:szCs w:val="24"/>
              </w:rPr>
            </w:pPr>
            <w:r>
              <w:rPr>
                <w:rFonts w:hint="eastAsia" w:hAnsi="宋体" w:eastAsia="宋体"/>
                <w:sz w:val="24"/>
                <w:szCs w:val="24"/>
                <w:lang w:val="en-US" w:eastAsia="zh-CN"/>
              </w:rPr>
              <w:t>近三年财务审计报告（2018年-2020年）或财务报表（企业成立不足1年的，需提供企业成立以来的财务报表）</w:t>
            </w:r>
            <w:r>
              <w:rPr>
                <w:rFonts w:hint="eastAsia" w:hAnsi="宋体"/>
                <w:sz w:val="24"/>
                <w:szCs w:val="24"/>
                <w:lang w:val="en-US" w:eastAsia="zh-CN"/>
              </w:rPr>
              <w:t>；</w:t>
            </w:r>
          </w:p>
        </w:tc>
        <w:tc>
          <w:tcPr>
            <w:tcW w:w="1227"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183"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Ansi="宋体" w:eastAsia="宋体" w:cs="宋体"/>
                <w:sz w:val="24"/>
                <w:szCs w:val="24"/>
              </w:rPr>
            </w:pPr>
          </w:p>
        </w:tc>
      </w:tr>
      <w:tr>
        <w:tblPrEx>
          <w:tblCellMar>
            <w:top w:w="0" w:type="dxa"/>
            <w:left w:w="15" w:type="dxa"/>
            <w:bottom w:w="0" w:type="dxa"/>
            <w:right w:w="15" w:type="dxa"/>
          </w:tblCellMar>
        </w:tblPrEx>
        <w:trPr>
          <w:trHeight w:val="852"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hAnsi="宋体" w:eastAsia="宋体" w:cs="宋体"/>
                <w:sz w:val="24"/>
                <w:szCs w:val="24"/>
                <w:lang w:eastAsia="zh-CN"/>
              </w:rPr>
            </w:pPr>
            <w:r>
              <w:rPr>
                <w:rFonts w:hint="eastAsia" w:hAnsi="宋体" w:cs="宋体"/>
                <w:sz w:val="24"/>
                <w:szCs w:val="24"/>
                <w:lang w:val="en-US" w:eastAsia="zh-CN"/>
              </w:rPr>
              <w:t>4</w:t>
            </w:r>
          </w:p>
        </w:tc>
        <w:tc>
          <w:tcPr>
            <w:tcW w:w="5577" w:type="dxa"/>
            <w:tcBorders>
              <w:top w:val="single" w:color="000000" w:sz="4" w:space="0"/>
              <w:left w:val="single" w:color="000000" w:sz="4" w:space="0"/>
              <w:bottom w:val="single" w:color="000000" w:sz="4" w:space="0"/>
            </w:tcBorders>
            <w:noWrap w:val="0"/>
            <w:vAlign w:val="center"/>
          </w:tcPr>
          <w:p>
            <w:pPr>
              <w:autoSpaceDN w:val="0"/>
              <w:jc w:val="left"/>
              <w:textAlignment w:val="center"/>
              <w:rPr>
                <w:rFonts w:hint="eastAsia" w:hAnsi="宋体" w:eastAsia="宋体"/>
                <w:sz w:val="24"/>
                <w:szCs w:val="24"/>
                <w:lang w:eastAsia="zh-CN"/>
              </w:rPr>
            </w:pPr>
            <w:r>
              <w:rPr>
                <w:rFonts w:hint="eastAsia" w:hAnsi="宋体" w:eastAsia="宋体"/>
                <w:sz w:val="24"/>
                <w:szCs w:val="24"/>
              </w:rPr>
              <w:t>近</w:t>
            </w:r>
            <w:r>
              <w:rPr>
                <w:rFonts w:hint="eastAsia" w:hAnsi="宋体"/>
                <w:sz w:val="24"/>
                <w:szCs w:val="24"/>
                <w:lang w:val="en-US" w:eastAsia="zh-CN"/>
              </w:rPr>
              <w:t>三</w:t>
            </w:r>
            <w:r>
              <w:rPr>
                <w:rFonts w:hint="eastAsia" w:hAnsi="宋体" w:eastAsia="宋体"/>
                <w:sz w:val="24"/>
                <w:szCs w:val="24"/>
                <w:lang w:eastAsia="zh-CN"/>
              </w:rPr>
              <w:t>个月</w:t>
            </w:r>
            <w:r>
              <w:rPr>
                <w:rFonts w:hint="eastAsia" w:hAnsi="宋体" w:eastAsia="宋体"/>
                <w:sz w:val="24"/>
                <w:szCs w:val="24"/>
              </w:rPr>
              <w:t>社会保障资金记录,</w:t>
            </w:r>
            <w:r>
              <w:rPr>
                <w:rFonts w:hint="eastAsia" w:hAnsi="宋体" w:eastAsia="宋体"/>
                <w:sz w:val="24"/>
                <w:szCs w:val="24"/>
                <w:lang w:eastAsia="zh-CN"/>
              </w:rPr>
              <w:t>应包含法定代表人</w:t>
            </w:r>
            <w:r>
              <w:rPr>
                <w:rFonts w:hint="eastAsia" w:hAnsi="宋体"/>
                <w:sz w:val="24"/>
                <w:szCs w:val="24"/>
                <w:lang w:val="en-US" w:eastAsia="zh-CN"/>
              </w:rPr>
              <w:t>(负责人）</w:t>
            </w:r>
            <w:r>
              <w:rPr>
                <w:rFonts w:hint="eastAsia" w:hAnsi="宋体" w:eastAsia="宋体"/>
                <w:sz w:val="24"/>
                <w:szCs w:val="24"/>
                <w:lang w:eastAsia="zh-CN"/>
              </w:rPr>
              <w:t>、</w:t>
            </w:r>
            <w:r>
              <w:rPr>
                <w:rFonts w:hint="eastAsia" w:hAnsi="宋体" w:eastAsia="宋体"/>
                <w:sz w:val="24"/>
                <w:szCs w:val="24"/>
              </w:rPr>
              <w:t>授权委托人在内，若是退休人员需提供退休证明</w:t>
            </w:r>
            <w:r>
              <w:rPr>
                <w:rFonts w:hint="eastAsia" w:hAnsi="宋体"/>
                <w:sz w:val="24"/>
                <w:szCs w:val="24"/>
                <w:lang w:eastAsia="zh-CN"/>
              </w:rPr>
              <w:t>；</w:t>
            </w:r>
          </w:p>
        </w:tc>
        <w:tc>
          <w:tcPr>
            <w:tcW w:w="1227"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183"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Ansi="宋体" w:eastAsia="宋体" w:cs="宋体"/>
                <w:sz w:val="24"/>
                <w:szCs w:val="24"/>
              </w:rPr>
            </w:pPr>
          </w:p>
        </w:tc>
      </w:tr>
      <w:tr>
        <w:tblPrEx>
          <w:tblCellMar>
            <w:top w:w="0" w:type="dxa"/>
            <w:left w:w="15" w:type="dxa"/>
            <w:bottom w:w="0" w:type="dxa"/>
            <w:right w:w="15" w:type="dxa"/>
          </w:tblCellMar>
        </w:tblPrEx>
        <w:trPr>
          <w:trHeight w:val="897"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hAnsi="宋体" w:eastAsia="宋体" w:cs="宋体"/>
                <w:sz w:val="24"/>
                <w:szCs w:val="24"/>
                <w:lang w:eastAsia="zh-CN"/>
              </w:rPr>
            </w:pPr>
            <w:r>
              <w:rPr>
                <w:rFonts w:hint="eastAsia" w:hAnsi="宋体" w:cs="宋体"/>
                <w:sz w:val="24"/>
                <w:szCs w:val="24"/>
                <w:lang w:val="en-US" w:eastAsia="zh-CN"/>
              </w:rPr>
              <w:t>5</w:t>
            </w:r>
          </w:p>
        </w:tc>
        <w:tc>
          <w:tcPr>
            <w:tcW w:w="5577" w:type="dxa"/>
            <w:tcBorders>
              <w:top w:val="single" w:color="000000" w:sz="4" w:space="0"/>
              <w:left w:val="single" w:color="000000" w:sz="4" w:space="0"/>
              <w:bottom w:val="single" w:color="000000" w:sz="4" w:space="0"/>
            </w:tcBorders>
            <w:noWrap w:val="0"/>
            <w:vAlign w:val="center"/>
          </w:tcPr>
          <w:p>
            <w:pPr>
              <w:autoSpaceDN w:val="0"/>
              <w:jc w:val="left"/>
              <w:textAlignment w:val="center"/>
              <w:rPr>
                <w:rFonts w:hint="eastAsia" w:hAnsi="宋体" w:eastAsia="宋体"/>
                <w:sz w:val="24"/>
                <w:szCs w:val="24"/>
                <w:lang w:eastAsia="zh-CN"/>
              </w:rPr>
            </w:pPr>
            <w:r>
              <w:rPr>
                <w:rFonts w:hint="eastAsia" w:hAnsi="宋体" w:eastAsia="宋体"/>
                <w:sz w:val="24"/>
                <w:szCs w:val="24"/>
              </w:rPr>
              <w:t>依法缴纳税收的记录证明（近期完税证明，如未缴税需提供其相关税务部门开具的资料证明</w:t>
            </w:r>
            <w:r>
              <w:rPr>
                <w:rFonts w:hint="eastAsia" w:hAnsi="宋体"/>
                <w:sz w:val="24"/>
                <w:szCs w:val="24"/>
                <w:lang w:eastAsia="zh-CN"/>
              </w:rPr>
              <w:t>）；</w:t>
            </w:r>
          </w:p>
        </w:tc>
        <w:tc>
          <w:tcPr>
            <w:tcW w:w="1227"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183"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Ansi="宋体" w:eastAsia="宋体" w:cs="宋体"/>
                <w:sz w:val="24"/>
                <w:szCs w:val="24"/>
              </w:rPr>
            </w:pPr>
          </w:p>
        </w:tc>
      </w:tr>
      <w:tr>
        <w:tblPrEx>
          <w:tblCellMar>
            <w:top w:w="0" w:type="dxa"/>
            <w:left w:w="15" w:type="dxa"/>
            <w:bottom w:w="0" w:type="dxa"/>
            <w:right w:w="15" w:type="dxa"/>
          </w:tblCellMar>
        </w:tblPrEx>
        <w:trPr>
          <w:trHeight w:val="2303"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hAnsi="宋体" w:eastAsia="宋体" w:cs="宋体"/>
                <w:sz w:val="24"/>
                <w:szCs w:val="24"/>
                <w:lang w:eastAsia="zh-CN"/>
              </w:rPr>
            </w:pPr>
            <w:r>
              <w:rPr>
                <w:rFonts w:hint="eastAsia" w:hAnsi="宋体" w:cs="宋体"/>
                <w:sz w:val="24"/>
                <w:szCs w:val="24"/>
                <w:lang w:val="en-US" w:eastAsia="zh-CN"/>
              </w:rPr>
              <w:t>6</w:t>
            </w:r>
          </w:p>
        </w:tc>
        <w:tc>
          <w:tcPr>
            <w:tcW w:w="5577" w:type="dxa"/>
            <w:tcBorders>
              <w:top w:val="single" w:color="000000" w:sz="4" w:space="0"/>
              <w:left w:val="single" w:color="000000" w:sz="4" w:space="0"/>
              <w:bottom w:val="single" w:color="000000" w:sz="4" w:space="0"/>
            </w:tcBorders>
            <w:noWrap w:val="0"/>
            <w:vAlign w:val="center"/>
          </w:tcPr>
          <w:p>
            <w:pPr>
              <w:autoSpaceDN w:val="0"/>
              <w:jc w:val="left"/>
              <w:textAlignment w:val="center"/>
              <w:rPr>
                <w:rFonts w:hAnsi="宋体" w:eastAsia="宋体"/>
                <w:sz w:val="24"/>
                <w:szCs w:val="24"/>
              </w:rPr>
            </w:pPr>
            <w:r>
              <w:rPr>
                <w:rFonts w:hint="eastAsia" w:hAnsi="宋体" w:eastAsia="宋体"/>
                <w:sz w:val="24"/>
                <w:szCs w:val="24"/>
                <w:lang w:val="en-US" w:eastAsia="zh-CN"/>
              </w:rPr>
              <w:t>提供通过“信用中国”网站（https://www.creditchina.gov.cn/）和中国政府采购网（http://www.ccgp.gov.cn/）查询信用记录查询信用记录，查询结果截图并加盖公章（截止时点为投标截止时间），被列入失信被执行人、重大税收违法案件当事人名单、严重违法失信行为记录名单的供应商，没有资格参加本项目的采购活动</w:t>
            </w:r>
            <w:r>
              <w:rPr>
                <w:rFonts w:hint="eastAsia" w:hAnsi="宋体" w:eastAsia="宋体"/>
                <w:sz w:val="24"/>
                <w:szCs w:val="24"/>
              </w:rPr>
              <w:t>；</w:t>
            </w:r>
          </w:p>
        </w:tc>
        <w:tc>
          <w:tcPr>
            <w:tcW w:w="1227"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183"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Ansi="宋体" w:eastAsia="宋体" w:cs="宋体"/>
                <w:sz w:val="24"/>
                <w:szCs w:val="24"/>
              </w:rPr>
            </w:pPr>
          </w:p>
        </w:tc>
      </w:tr>
      <w:tr>
        <w:tblPrEx>
          <w:tblCellMar>
            <w:top w:w="0" w:type="dxa"/>
            <w:left w:w="15" w:type="dxa"/>
            <w:bottom w:w="0" w:type="dxa"/>
            <w:right w:w="15" w:type="dxa"/>
          </w:tblCellMar>
        </w:tblPrEx>
        <w:trPr>
          <w:trHeight w:val="807"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hAnsi="宋体" w:eastAsia="宋体" w:cs="宋体"/>
                <w:sz w:val="24"/>
                <w:szCs w:val="24"/>
                <w:lang w:eastAsia="zh-CN"/>
              </w:rPr>
            </w:pPr>
            <w:r>
              <w:rPr>
                <w:rFonts w:hint="eastAsia" w:hAnsi="宋体" w:cs="宋体"/>
                <w:sz w:val="24"/>
                <w:szCs w:val="24"/>
                <w:lang w:val="en-US" w:eastAsia="zh-CN"/>
              </w:rPr>
              <w:t>7</w:t>
            </w:r>
          </w:p>
        </w:tc>
        <w:tc>
          <w:tcPr>
            <w:tcW w:w="5577" w:type="dxa"/>
            <w:tcBorders>
              <w:top w:val="single" w:color="000000" w:sz="4" w:space="0"/>
              <w:left w:val="single" w:color="000000" w:sz="4" w:space="0"/>
              <w:bottom w:val="single" w:color="000000" w:sz="4" w:space="0"/>
            </w:tcBorders>
            <w:noWrap w:val="0"/>
            <w:vAlign w:val="center"/>
          </w:tcPr>
          <w:p>
            <w:pPr>
              <w:autoSpaceDN w:val="0"/>
              <w:jc w:val="left"/>
              <w:textAlignment w:val="center"/>
              <w:rPr>
                <w:rFonts w:hint="eastAsia" w:hAnsi="宋体" w:eastAsia="宋体"/>
                <w:sz w:val="24"/>
                <w:szCs w:val="24"/>
                <w:lang w:eastAsia="zh-CN"/>
              </w:rPr>
            </w:pPr>
            <w:r>
              <w:rPr>
                <w:rFonts w:hint="eastAsia" w:hAnsi="宋体" w:eastAsia="宋体"/>
                <w:sz w:val="24"/>
                <w:szCs w:val="24"/>
              </w:rPr>
              <w:t>参加本次采购活动前3年内在经营活动中没有重大违法记录的书面证明</w:t>
            </w:r>
            <w:r>
              <w:rPr>
                <w:rFonts w:hint="eastAsia" w:hAnsi="宋体"/>
                <w:sz w:val="24"/>
                <w:szCs w:val="24"/>
                <w:lang w:eastAsia="zh-CN"/>
              </w:rPr>
              <w:t>；</w:t>
            </w:r>
          </w:p>
        </w:tc>
        <w:tc>
          <w:tcPr>
            <w:tcW w:w="1227"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183"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Ansi="宋体" w:eastAsia="宋体" w:cs="宋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Ansi="宋体" w:eastAsia="宋体" w:cs="宋体"/>
                <w:sz w:val="24"/>
                <w:szCs w:val="24"/>
              </w:rPr>
            </w:pPr>
          </w:p>
        </w:tc>
      </w:tr>
      <w:tr>
        <w:tblPrEx>
          <w:tblCellMar>
            <w:top w:w="0" w:type="dxa"/>
            <w:left w:w="15" w:type="dxa"/>
            <w:bottom w:w="0" w:type="dxa"/>
            <w:right w:w="15" w:type="dxa"/>
          </w:tblCellMar>
        </w:tblPrEx>
        <w:trPr>
          <w:trHeight w:val="601" w:hRule="atLeast"/>
          <w:jc w:val="center"/>
        </w:trPr>
        <w:tc>
          <w:tcPr>
            <w:tcW w:w="6275" w:type="dxa"/>
            <w:gridSpan w:val="2"/>
            <w:tcBorders>
              <w:top w:val="single" w:color="000000" w:sz="4" w:space="0"/>
              <w:left w:val="single" w:color="000000" w:sz="4" w:space="0"/>
              <w:bottom w:val="single" w:color="000000" w:sz="4" w:space="0"/>
              <w:right w:val="single" w:color="auto" w:sz="4" w:space="0"/>
            </w:tcBorders>
            <w:noWrap w:val="0"/>
            <w:vAlign w:val="center"/>
          </w:tcPr>
          <w:p>
            <w:pPr>
              <w:autoSpaceDN w:val="0"/>
              <w:jc w:val="center"/>
              <w:textAlignment w:val="center"/>
              <w:rPr>
                <w:rFonts w:hAnsi="宋体" w:eastAsia="宋体" w:cs="宋体"/>
                <w:sz w:val="24"/>
                <w:szCs w:val="24"/>
              </w:rPr>
            </w:pPr>
            <w:r>
              <w:rPr>
                <w:rFonts w:hint="eastAsia" w:hAnsi="宋体" w:eastAsia="宋体" w:cs="宋体"/>
                <w:sz w:val="24"/>
                <w:szCs w:val="24"/>
              </w:rPr>
              <w:t>评审结果</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Ansi="宋体" w:eastAsia="宋体" w:cs="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Ansi="宋体" w:eastAsia="宋体" w:cs="宋体"/>
                <w:sz w:val="24"/>
                <w:szCs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Ansi="宋体" w:eastAsia="宋体" w:cs="宋体"/>
                <w:sz w:val="24"/>
                <w:szCs w:val="24"/>
              </w:rPr>
            </w:pPr>
          </w:p>
        </w:tc>
      </w:tr>
      <w:tr>
        <w:tblPrEx>
          <w:tblCellMar>
            <w:top w:w="0" w:type="dxa"/>
            <w:left w:w="15" w:type="dxa"/>
            <w:bottom w:w="0" w:type="dxa"/>
            <w:right w:w="15" w:type="dxa"/>
          </w:tblCellMar>
        </w:tblPrEx>
        <w:trPr>
          <w:trHeight w:val="299" w:hRule="atLeast"/>
          <w:jc w:val="center"/>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Ansi="宋体" w:eastAsia="宋体" w:cs="宋体"/>
                <w:sz w:val="24"/>
                <w:szCs w:val="24"/>
              </w:rPr>
            </w:pPr>
            <w:r>
              <w:rPr>
                <w:rFonts w:hAnsi="宋体" w:eastAsia="宋体" w:cs="宋体"/>
                <w:sz w:val="24"/>
                <w:szCs w:val="24"/>
              </w:rPr>
              <w:t>“√”表示合格；“×”表示不合格，一项不合格结果为不合格，如不合格，请在结果中写明原因。</w:t>
            </w:r>
          </w:p>
        </w:tc>
      </w:tr>
    </w:tbl>
    <w:p>
      <w:pPr>
        <w:tabs>
          <w:tab w:val="left" w:pos="420"/>
          <w:tab w:val="left" w:pos="7560"/>
          <w:tab w:val="left" w:pos="7740"/>
          <w:tab w:val="left" w:pos="7920"/>
        </w:tabs>
        <w:adjustRightInd w:val="0"/>
        <w:snapToGrid w:val="0"/>
        <w:spacing w:line="360" w:lineRule="exact"/>
        <w:rPr>
          <w:rFonts w:hint="eastAsia" w:ascii="宋体" w:hAnsi="宋体"/>
          <w:b/>
          <w:color w:val="auto"/>
          <w:sz w:val="28"/>
          <w:szCs w:val="24"/>
          <w:highlight w:val="none"/>
          <w:lang w:val="en-US" w:eastAsia="zh-CN"/>
        </w:rPr>
      </w:pPr>
    </w:p>
    <w:p>
      <w:pPr>
        <w:tabs>
          <w:tab w:val="left" w:pos="420"/>
          <w:tab w:val="left" w:pos="7560"/>
          <w:tab w:val="left" w:pos="7740"/>
          <w:tab w:val="left" w:pos="7920"/>
        </w:tabs>
        <w:adjustRightInd w:val="0"/>
        <w:snapToGrid w:val="0"/>
        <w:spacing w:line="360" w:lineRule="exact"/>
        <w:rPr>
          <w:rFonts w:hint="eastAsia" w:ascii="宋体" w:hAnsi="宋体"/>
          <w:b/>
          <w:color w:val="auto"/>
          <w:sz w:val="28"/>
          <w:szCs w:val="24"/>
          <w:highlight w:val="none"/>
          <w:lang w:val="en-US" w:eastAsia="zh-CN"/>
        </w:rPr>
      </w:pPr>
      <w:r>
        <w:rPr>
          <w:rFonts w:hint="eastAsia" w:ascii="宋体" w:hAnsi="宋体"/>
          <w:b/>
          <w:color w:val="auto"/>
          <w:sz w:val="28"/>
          <w:szCs w:val="24"/>
          <w:highlight w:val="none"/>
          <w:lang w:val="en-US" w:eastAsia="zh-CN"/>
        </w:rPr>
        <w:t>符合性审查：</w:t>
      </w:r>
    </w:p>
    <w:tbl>
      <w:tblPr>
        <w:tblStyle w:val="33"/>
        <w:tblW w:w="5000" w:type="pct"/>
        <w:tblInd w:w="0" w:type="dxa"/>
        <w:tblLayout w:type="autofit"/>
        <w:tblCellMar>
          <w:top w:w="0" w:type="dxa"/>
          <w:left w:w="108" w:type="dxa"/>
          <w:bottom w:w="0" w:type="dxa"/>
          <w:right w:w="108" w:type="dxa"/>
        </w:tblCellMar>
      </w:tblPr>
      <w:tblGrid>
        <w:gridCol w:w="861"/>
        <w:gridCol w:w="5324"/>
        <w:gridCol w:w="1197"/>
        <w:gridCol w:w="1295"/>
        <w:gridCol w:w="1285"/>
      </w:tblGrid>
      <w:tr>
        <w:tblPrEx>
          <w:tblCellMar>
            <w:top w:w="0" w:type="dxa"/>
            <w:left w:w="108" w:type="dxa"/>
            <w:bottom w:w="0" w:type="dxa"/>
            <w:right w:w="108" w:type="dxa"/>
          </w:tblCellMar>
        </w:tblPrEx>
        <w:trPr>
          <w:trHeight w:val="285" w:hRule="atLeast"/>
        </w:trPr>
        <w:tc>
          <w:tcPr>
            <w:tcW w:w="432" w:type="pct"/>
            <w:vMerge w:val="restart"/>
            <w:tcBorders>
              <w:top w:val="single" w:color="auto" w:sz="6" w:space="0"/>
              <w:left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序号</w:t>
            </w:r>
          </w:p>
        </w:tc>
        <w:tc>
          <w:tcPr>
            <w:tcW w:w="2672" w:type="pct"/>
            <w:vMerge w:val="restart"/>
            <w:tcBorders>
              <w:top w:val="single" w:color="auto" w:sz="6" w:space="0"/>
              <w:left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审查因素</w:t>
            </w:r>
          </w:p>
        </w:tc>
        <w:tc>
          <w:tcPr>
            <w:tcW w:w="601"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供应商A</w:t>
            </w:r>
          </w:p>
        </w:tc>
        <w:tc>
          <w:tcPr>
            <w:tcW w:w="650" w:type="pct"/>
            <w:tcBorders>
              <w:top w:val="single" w:color="auto" w:sz="6" w:space="0"/>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供应商B</w:t>
            </w:r>
          </w:p>
        </w:tc>
        <w:tc>
          <w:tcPr>
            <w:tcW w:w="646"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供应商C</w:t>
            </w:r>
          </w:p>
        </w:tc>
      </w:tr>
      <w:tr>
        <w:tblPrEx>
          <w:tblCellMar>
            <w:top w:w="0" w:type="dxa"/>
            <w:left w:w="108" w:type="dxa"/>
            <w:bottom w:w="0" w:type="dxa"/>
            <w:right w:w="108" w:type="dxa"/>
          </w:tblCellMar>
        </w:tblPrEx>
        <w:trPr>
          <w:trHeight w:val="285" w:hRule="atLeast"/>
        </w:trPr>
        <w:tc>
          <w:tcPr>
            <w:tcW w:w="432" w:type="pct"/>
            <w:vMerge w:val="continue"/>
            <w:tcBorders>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2672" w:type="pct"/>
            <w:vMerge w:val="continue"/>
            <w:tcBorders>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601"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是否合格</w:t>
            </w:r>
          </w:p>
        </w:tc>
        <w:tc>
          <w:tcPr>
            <w:tcW w:w="650" w:type="pct"/>
            <w:tcBorders>
              <w:top w:val="single" w:color="auto" w:sz="6" w:space="0"/>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是否合格</w:t>
            </w:r>
          </w:p>
        </w:tc>
        <w:tc>
          <w:tcPr>
            <w:tcW w:w="646"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是否合格</w:t>
            </w:r>
          </w:p>
        </w:tc>
      </w:tr>
      <w:tr>
        <w:tblPrEx>
          <w:tblCellMar>
            <w:top w:w="0" w:type="dxa"/>
            <w:left w:w="108" w:type="dxa"/>
            <w:bottom w:w="0" w:type="dxa"/>
            <w:right w:w="108" w:type="dxa"/>
          </w:tblCellMar>
        </w:tblPrEx>
        <w:trPr>
          <w:trHeight w:val="554" w:hRule="atLeast"/>
        </w:trPr>
        <w:tc>
          <w:tcPr>
            <w:tcW w:w="432"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1</w:t>
            </w:r>
          </w:p>
        </w:tc>
        <w:tc>
          <w:tcPr>
            <w:tcW w:w="2672" w:type="pct"/>
            <w:tcBorders>
              <w:top w:val="single" w:color="auto" w:sz="6" w:space="0"/>
              <w:left w:val="single" w:color="auto" w:sz="6" w:space="0"/>
              <w:bottom w:val="single" w:color="auto" w:sz="6" w:space="0"/>
              <w:right w:val="single" w:color="auto" w:sz="6" w:space="0"/>
            </w:tcBorders>
            <w:noWrap w:val="0"/>
            <w:vAlign w:val="center"/>
          </w:tcPr>
          <w:p>
            <w:pPr>
              <w:autoSpaceDN w:val="0"/>
              <w:jc w:val="both"/>
              <w:textAlignment w:val="center"/>
              <w:rPr>
                <w:rFonts w:hint="eastAsia" w:hAnsi="宋体" w:eastAsia="宋体" w:cs="宋体"/>
                <w:sz w:val="24"/>
                <w:szCs w:val="24"/>
              </w:rPr>
            </w:pPr>
            <w:r>
              <w:rPr>
                <w:rFonts w:hint="eastAsia" w:hAnsi="宋体" w:eastAsia="宋体" w:cs="宋体"/>
                <w:sz w:val="24"/>
                <w:szCs w:val="24"/>
              </w:rPr>
              <w:t>法定代表人身份证明及授权委托书有效，且符合招标文件规定的格式；</w:t>
            </w:r>
          </w:p>
        </w:tc>
        <w:tc>
          <w:tcPr>
            <w:tcW w:w="601"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650" w:type="pct"/>
            <w:tcBorders>
              <w:top w:val="single" w:color="auto" w:sz="6" w:space="0"/>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p>
        </w:tc>
        <w:tc>
          <w:tcPr>
            <w:tcW w:w="646"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r>
      <w:tr>
        <w:tblPrEx>
          <w:tblCellMar>
            <w:top w:w="0" w:type="dxa"/>
            <w:left w:w="108" w:type="dxa"/>
            <w:bottom w:w="0" w:type="dxa"/>
            <w:right w:w="108" w:type="dxa"/>
          </w:tblCellMar>
        </w:tblPrEx>
        <w:trPr>
          <w:trHeight w:val="805" w:hRule="atLeast"/>
        </w:trPr>
        <w:tc>
          <w:tcPr>
            <w:tcW w:w="432"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2</w:t>
            </w:r>
          </w:p>
        </w:tc>
        <w:tc>
          <w:tcPr>
            <w:tcW w:w="2672" w:type="pct"/>
            <w:tcBorders>
              <w:top w:val="single" w:color="auto" w:sz="6" w:space="0"/>
              <w:left w:val="single" w:color="auto" w:sz="6" w:space="0"/>
              <w:bottom w:val="single" w:color="auto" w:sz="6" w:space="0"/>
              <w:right w:val="single" w:color="auto" w:sz="6" w:space="0"/>
            </w:tcBorders>
            <w:noWrap w:val="0"/>
            <w:vAlign w:val="center"/>
          </w:tcPr>
          <w:p>
            <w:pPr>
              <w:autoSpaceDN w:val="0"/>
              <w:jc w:val="both"/>
              <w:textAlignment w:val="center"/>
              <w:rPr>
                <w:rFonts w:hint="eastAsia" w:hAnsi="宋体" w:eastAsia="宋体" w:cs="宋体"/>
                <w:sz w:val="24"/>
                <w:szCs w:val="24"/>
              </w:rPr>
            </w:pPr>
            <w:r>
              <w:rPr>
                <w:rFonts w:hint="eastAsia" w:hAnsi="宋体" w:eastAsia="宋体"/>
                <w:sz w:val="24"/>
                <w:szCs w:val="24"/>
              </w:rPr>
              <w:t>由政府立项核准、审批的采购项目, 投标报价高于设定的采购预算价的；</w:t>
            </w:r>
          </w:p>
        </w:tc>
        <w:tc>
          <w:tcPr>
            <w:tcW w:w="601" w:type="pct"/>
            <w:tcBorders>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650" w:type="pct"/>
            <w:tcBorders>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p>
        </w:tc>
        <w:tc>
          <w:tcPr>
            <w:tcW w:w="646" w:type="pct"/>
            <w:tcBorders>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r>
      <w:tr>
        <w:tblPrEx>
          <w:tblCellMar>
            <w:top w:w="0" w:type="dxa"/>
            <w:left w:w="108" w:type="dxa"/>
            <w:bottom w:w="0" w:type="dxa"/>
            <w:right w:w="108" w:type="dxa"/>
          </w:tblCellMar>
        </w:tblPrEx>
        <w:trPr>
          <w:trHeight w:val="574" w:hRule="atLeast"/>
        </w:trPr>
        <w:tc>
          <w:tcPr>
            <w:tcW w:w="432"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3</w:t>
            </w:r>
          </w:p>
        </w:tc>
        <w:tc>
          <w:tcPr>
            <w:tcW w:w="2672" w:type="pct"/>
            <w:tcBorders>
              <w:top w:val="single" w:color="auto" w:sz="6" w:space="0"/>
              <w:left w:val="single" w:color="auto" w:sz="6" w:space="0"/>
              <w:bottom w:val="single" w:color="auto" w:sz="6" w:space="0"/>
              <w:right w:val="single" w:color="auto" w:sz="6" w:space="0"/>
            </w:tcBorders>
            <w:noWrap w:val="0"/>
            <w:vAlign w:val="center"/>
          </w:tcPr>
          <w:p>
            <w:pPr>
              <w:autoSpaceDN w:val="0"/>
              <w:jc w:val="both"/>
              <w:textAlignment w:val="center"/>
              <w:rPr>
                <w:rFonts w:hint="eastAsia" w:hAnsi="宋体" w:eastAsia="宋体" w:cs="宋体"/>
                <w:sz w:val="24"/>
                <w:szCs w:val="24"/>
              </w:rPr>
            </w:pPr>
            <w:r>
              <w:rPr>
                <w:rFonts w:hint="eastAsia" w:hAnsi="宋体" w:eastAsia="宋体" w:cs="宋体"/>
                <w:sz w:val="24"/>
                <w:szCs w:val="24"/>
              </w:rPr>
              <w:t>只能有一个有效报价，不得提交选择性报价；</w:t>
            </w:r>
          </w:p>
        </w:tc>
        <w:tc>
          <w:tcPr>
            <w:tcW w:w="601"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650" w:type="pct"/>
            <w:tcBorders>
              <w:top w:val="single" w:color="auto" w:sz="6" w:space="0"/>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p>
        </w:tc>
        <w:tc>
          <w:tcPr>
            <w:tcW w:w="646"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r>
      <w:tr>
        <w:tblPrEx>
          <w:tblCellMar>
            <w:top w:w="0" w:type="dxa"/>
            <w:left w:w="108" w:type="dxa"/>
            <w:bottom w:w="0" w:type="dxa"/>
            <w:right w:w="108" w:type="dxa"/>
          </w:tblCellMar>
        </w:tblPrEx>
        <w:trPr>
          <w:trHeight w:val="577" w:hRule="atLeast"/>
        </w:trPr>
        <w:tc>
          <w:tcPr>
            <w:tcW w:w="432"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4</w:t>
            </w:r>
          </w:p>
        </w:tc>
        <w:tc>
          <w:tcPr>
            <w:tcW w:w="2672" w:type="pct"/>
            <w:tcBorders>
              <w:top w:val="single" w:color="auto" w:sz="6" w:space="0"/>
              <w:left w:val="single" w:color="auto" w:sz="6" w:space="0"/>
              <w:bottom w:val="single" w:color="auto" w:sz="6" w:space="0"/>
              <w:right w:val="single" w:color="auto" w:sz="6" w:space="0"/>
            </w:tcBorders>
            <w:noWrap w:val="0"/>
            <w:vAlign w:val="center"/>
          </w:tcPr>
          <w:p>
            <w:pPr>
              <w:autoSpaceDN w:val="0"/>
              <w:jc w:val="both"/>
              <w:textAlignment w:val="center"/>
              <w:rPr>
                <w:rFonts w:hint="eastAsia" w:hAnsi="宋体" w:eastAsia="宋体" w:cs="宋体"/>
                <w:sz w:val="24"/>
                <w:szCs w:val="24"/>
              </w:rPr>
            </w:pPr>
            <w:r>
              <w:rPr>
                <w:rFonts w:hint="eastAsia" w:hAnsi="宋体" w:eastAsia="宋体" w:cs="宋体"/>
                <w:sz w:val="24"/>
                <w:szCs w:val="24"/>
              </w:rPr>
              <w:t>投标文件内容齐全、无遗漏；</w:t>
            </w:r>
          </w:p>
        </w:tc>
        <w:tc>
          <w:tcPr>
            <w:tcW w:w="601"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650" w:type="pct"/>
            <w:tcBorders>
              <w:top w:val="single" w:color="auto" w:sz="6" w:space="0"/>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p>
        </w:tc>
        <w:tc>
          <w:tcPr>
            <w:tcW w:w="646"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r>
      <w:tr>
        <w:tblPrEx>
          <w:tblCellMar>
            <w:top w:w="0" w:type="dxa"/>
            <w:left w:w="108" w:type="dxa"/>
            <w:bottom w:w="0" w:type="dxa"/>
            <w:right w:w="108" w:type="dxa"/>
          </w:tblCellMar>
        </w:tblPrEx>
        <w:trPr>
          <w:trHeight w:val="614" w:hRule="atLeast"/>
        </w:trPr>
        <w:tc>
          <w:tcPr>
            <w:tcW w:w="432"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5</w:t>
            </w:r>
          </w:p>
        </w:tc>
        <w:tc>
          <w:tcPr>
            <w:tcW w:w="2672" w:type="pct"/>
            <w:tcBorders>
              <w:top w:val="single" w:color="auto" w:sz="6" w:space="0"/>
              <w:left w:val="single" w:color="auto" w:sz="6" w:space="0"/>
              <w:bottom w:val="single" w:color="auto" w:sz="6" w:space="0"/>
              <w:right w:val="single" w:color="auto" w:sz="6" w:space="0"/>
            </w:tcBorders>
            <w:noWrap w:val="0"/>
            <w:vAlign w:val="center"/>
          </w:tcPr>
          <w:p>
            <w:pPr>
              <w:autoSpaceDN w:val="0"/>
              <w:jc w:val="both"/>
              <w:textAlignment w:val="center"/>
              <w:rPr>
                <w:rFonts w:hint="eastAsia" w:hAnsi="宋体" w:eastAsia="宋体" w:cs="宋体"/>
                <w:sz w:val="24"/>
                <w:szCs w:val="24"/>
              </w:rPr>
            </w:pPr>
            <w:r>
              <w:rPr>
                <w:rFonts w:hint="eastAsia" w:hAnsi="宋体" w:eastAsia="宋体" w:cs="宋体"/>
                <w:sz w:val="24"/>
                <w:szCs w:val="24"/>
              </w:rPr>
              <w:t>对招标文件规定的招标内容全部作出响应；</w:t>
            </w:r>
          </w:p>
        </w:tc>
        <w:tc>
          <w:tcPr>
            <w:tcW w:w="601"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650" w:type="pct"/>
            <w:tcBorders>
              <w:top w:val="single" w:color="auto" w:sz="6" w:space="0"/>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p>
        </w:tc>
        <w:tc>
          <w:tcPr>
            <w:tcW w:w="646"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r>
      <w:tr>
        <w:tblPrEx>
          <w:tblCellMar>
            <w:top w:w="0" w:type="dxa"/>
            <w:left w:w="108" w:type="dxa"/>
            <w:bottom w:w="0" w:type="dxa"/>
            <w:right w:w="108" w:type="dxa"/>
          </w:tblCellMar>
        </w:tblPrEx>
        <w:trPr>
          <w:trHeight w:val="558" w:hRule="atLeast"/>
        </w:trPr>
        <w:tc>
          <w:tcPr>
            <w:tcW w:w="432"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6</w:t>
            </w:r>
          </w:p>
        </w:tc>
        <w:tc>
          <w:tcPr>
            <w:tcW w:w="2672" w:type="pct"/>
            <w:tcBorders>
              <w:top w:val="single" w:color="auto" w:sz="6" w:space="0"/>
              <w:left w:val="single" w:color="auto" w:sz="6" w:space="0"/>
              <w:bottom w:val="single" w:color="auto" w:sz="6" w:space="0"/>
              <w:right w:val="single" w:color="auto" w:sz="6" w:space="0"/>
            </w:tcBorders>
            <w:noWrap w:val="0"/>
            <w:vAlign w:val="center"/>
          </w:tcPr>
          <w:p>
            <w:pPr>
              <w:autoSpaceDN w:val="0"/>
              <w:jc w:val="both"/>
              <w:textAlignment w:val="center"/>
              <w:rPr>
                <w:rFonts w:hint="eastAsia" w:hAnsi="宋体" w:eastAsia="宋体" w:cs="宋体"/>
                <w:sz w:val="24"/>
                <w:szCs w:val="24"/>
              </w:rPr>
            </w:pPr>
            <w:r>
              <w:rPr>
                <w:rFonts w:hint="eastAsia" w:hAnsi="宋体" w:eastAsia="宋体" w:cs="宋体"/>
                <w:sz w:val="24"/>
                <w:szCs w:val="24"/>
              </w:rPr>
              <w:t>满足招标文件提出的技术和质量要求；</w:t>
            </w:r>
          </w:p>
        </w:tc>
        <w:tc>
          <w:tcPr>
            <w:tcW w:w="601"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650" w:type="pct"/>
            <w:tcBorders>
              <w:top w:val="single" w:color="auto" w:sz="6" w:space="0"/>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p>
        </w:tc>
        <w:tc>
          <w:tcPr>
            <w:tcW w:w="646"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r>
      <w:tr>
        <w:tblPrEx>
          <w:tblCellMar>
            <w:top w:w="0" w:type="dxa"/>
            <w:left w:w="108" w:type="dxa"/>
            <w:bottom w:w="0" w:type="dxa"/>
            <w:right w:w="108" w:type="dxa"/>
          </w:tblCellMar>
        </w:tblPrEx>
        <w:trPr>
          <w:trHeight w:val="521" w:hRule="atLeast"/>
        </w:trPr>
        <w:tc>
          <w:tcPr>
            <w:tcW w:w="432"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7</w:t>
            </w:r>
          </w:p>
        </w:tc>
        <w:tc>
          <w:tcPr>
            <w:tcW w:w="2672" w:type="pct"/>
            <w:tcBorders>
              <w:top w:val="single" w:color="auto" w:sz="6" w:space="0"/>
              <w:left w:val="single" w:color="auto" w:sz="6" w:space="0"/>
              <w:bottom w:val="single" w:color="auto" w:sz="6" w:space="0"/>
              <w:right w:val="single" w:color="auto" w:sz="6" w:space="0"/>
            </w:tcBorders>
            <w:noWrap w:val="0"/>
            <w:vAlign w:val="center"/>
          </w:tcPr>
          <w:p>
            <w:pPr>
              <w:autoSpaceDN w:val="0"/>
              <w:jc w:val="both"/>
              <w:textAlignment w:val="center"/>
              <w:rPr>
                <w:rFonts w:hint="eastAsia" w:hAnsi="宋体" w:eastAsia="宋体" w:cs="宋体"/>
                <w:sz w:val="24"/>
                <w:szCs w:val="24"/>
              </w:rPr>
            </w:pPr>
            <w:r>
              <w:rPr>
                <w:rFonts w:hint="eastAsia" w:hAnsi="宋体" w:eastAsia="宋体" w:cs="宋体"/>
                <w:sz w:val="24"/>
                <w:szCs w:val="24"/>
              </w:rPr>
              <w:t>完成期限满足招标文件要求；</w:t>
            </w:r>
          </w:p>
        </w:tc>
        <w:tc>
          <w:tcPr>
            <w:tcW w:w="601"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650" w:type="pct"/>
            <w:tcBorders>
              <w:top w:val="single" w:color="auto" w:sz="6" w:space="0"/>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p>
        </w:tc>
        <w:tc>
          <w:tcPr>
            <w:tcW w:w="646"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r>
      <w:tr>
        <w:tblPrEx>
          <w:tblCellMar>
            <w:top w:w="0" w:type="dxa"/>
            <w:left w:w="108" w:type="dxa"/>
            <w:bottom w:w="0" w:type="dxa"/>
            <w:right w:w="108" w:type="dxa"/>
          </w:tblCellMar>
        </w:tblPrEx>
        <w:trPr>
          <w:trHeight w:val="484" w:hRule="atLeast"/>
        </w:trPr>
        <w:tc>
          <w:tcPr>
            <w:tcW w:w="432"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8</w:t>
            </w:r>
          </w:p>
        </w:tc>
        <w:tc>
          <w:tcPr>
            <w:tcW w:w="2672" w:type="pct"/>
            <w:tcBorders>
              <w:top w:val="single" w:color="auto" w:sz="6" w:space="0"/>
              <w:left w:val="single" w:color="auto" w:sz="6" w:space="0"/>
              <w:bottom w:val="single" w:color="auto" w:sz="6" w:space="0"/>
              <w:right w:val="single" w:color="auto" w:sz="6" w:space="0"/>
            </w:tcBorders>
            <w:noWrap w:val="0"/>
            <w:vAlign w:val="center"/>
          </w:tcPr>
          <w:p>
            <w:pPr>
              <w:autoSpaceDN w:val="0"/>
              <w:jc w:val="both"/>
              <w:textAlignment w:val="center"/>
              <w:rPr>
                <w:rFonts w:hint="eastAsia" w:hAnsi="宋体" w:eastAsia="宋体" w:cs="宋体"/>
                <w:sz w:val="24"/>
                <w:szCs w:val="24"/>
              </w:rPr>
            </w:pPr>
            <w:r>
              <w:rPr>
                <w:rFonts w:hint="eastAsia" w:hAnsi="宋体" w:eastAsia="宋体" w:cs="宋体"/>
                <w:sz w:val="24"/>
                <w:szCs w:val="24"/>
              </w:rPr>
              <w:t>售后服务满足招标文件要求；</w:t>
            </w:r>
          </w:p>
        </w:tc>
        <w:tc>
          <w:tcPr>
            <w:tcW w:w="601"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650" w:type="pct"/>
            <w:tcBorders>
              <w:top w:val="single" w:color="auto" w:sz="6" w:space="0"/>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p>
        </w:tc>
        <w:tc>
          <w:tcPr>
            <w:tcW w:w="646"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r>
      <w:tr>
        <w:tblPrEx>
          <w:tblCellMar>
            <w:top w:w="0" w:type="dxa"/>
            <w:left w:w="108" w:type="dxa"/>
            <w:bottom w:w="0" w:type="dxa"/>
            <w:right w:w="108" w:type="dxa"/>
          </w:tblCellMar>
        </w:tblPrEx>
        <w:trPr>
          <w:trHeight w:val="558" w:hRule="atLeast"/>
        </w:trPr>
        <w:tc>
          <w:tcPr>
            <w:tcW w:w="432"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9</w:t>
            </w:r>
          </w:p>
        </w:tc>
        <w:tc>
          <w:tcPr>
            <w:tcW w:w="2672" w:type="pct"/>
            <w:tcBorders>
              <w:top w:val="single" w:color="auto" w:sz="6" w:space="0"/>
              <w:left w:val="single" w:color="auto" w:sz="6" w:space="0"/>
              <w:bottom w:val="single" w:color="auto" w:sz="6" w:space="0"/>
              <w:right w:val="single" w:color="auto" w:sz="6" w:space="0"/>
            </w:tcBorders>
            <w:noWrap w:val="0"/>
            <w:vAlign w:val="center"/>
          </w:tcPr>
          <w:p>
            <w:pPr>
              <w:autoSpaceDN w:val="0"/>
              <w:jc w:val="both"/>
              <w:textAlignment w:val="center"/>
              <w:rPr>
                <w:rFonts w:hint="eastAsia" w:hAnsi="宋体" w:eastAsia="宋体" w:cs="宋体"/>
                <w:sz w:val="24"/>
                <w:szCs w:val="24"/>
              </w:rPr>
            </w:pPr>
            <w:r>
              <w:rPr>
                <w:rFonts w:hint="eastAsia" w:hAnsi="宋体" w:eastAsia="宋体" w:cs="宋体"/>
                <w:sz w:val="24"/>
                <w:szCs w:val="24"/>
              </w:rPr>
              <w:t>投标有效期满足招标文件要求；</w:t>
            </w:r>
          </w:p>
        </w:tc>
        <w:tc>
          <w:tcPr>
            <w:tcW w:w="601"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650" w:type="pct"/>
            <w:tcBorders>
              <w:top w:val="single" w:color="auto" w:sz="6" w:space="0"/>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p>
        </w:tc>
        <w:tc>
          <w:tcPr>
            <w:tcW w:w="646"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r>
      <w:tr>
        <w:tblPrEx>
          <w:tblCellMar>
            <w:top w:w="0" w:type="dxa"/>
            <w:left w:w="108" w:type="dxa"/>
            <w:bottom w:w="0" w:type="dxa"/>
            <w:right w:w="108" w:type="dxa"/>
          </w:tblCellMar>
        </w:tblPrEx>
        <w:trPr>
          <w:trHeight w:val="652" w:hRule="atLeast"/>
        </w:trPr>
        <w:tc>
          <w:tcPr>
            <w:tcW w:w="432"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10</w:t>
            </w:r>
          </w:p>
        </w:tc>
        <w:tc>
          <w:tcPr>
            <w:tcW w:w="2672" w:type="pct"/>
            <w:tcBorders>
              <w:top w:val="single" w:color="auto" w:sz="6" w:space="0"/>
              <w:left w:val="single" w:color="auto" w:sz="6" w:space="0"/>
              <w:bottom w:val="single" w:color="auto" w:sz="6" w:space="0"/>
              <w:right w:val="single" w:color="auto" w:sz="6" w:space="0"/>
            </w:tcBorders>
            <w:noWrap w:val="0"/>
            <w:vAlign w:val="center"/>
          </w:tcPr>
          <w:p>
            <w:pPr>
              <w:autoSpaceDN w:val="0"/>
              <w:jc w:val="both"/>
              <w:textAlignment w:val="center"/>
              <w:rPr>
                <w:rFonts w:hint="eastAsia" w:hAnsi="宋体" w:eastAsia="宋体" w:cs="宋体"/>
                <w:sz w:val="24"/>
                <w:szCs w:val="24"/>
              </w:rPr>
            </w:pPr>
            <w:r>
              <w:rPr>
                <w:rFonts w:hint="eastAsia" w:hAnsi="宋体" w:eastAsia="宋体" w:cs="宋体"/>
                <w:sz w:val="24"/>
                <w:szCs w:val="24"/>
              </w:rPr>
              <w:t>供应商详细地址、联系人、电话；</w:t>
            </w:r>
          </w:p>
        </w:tc>
        <w:tc>
          <w:tcPr>
            <w:tcW w:w="601"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650" w:type="pct"/>
            <w:tcBorders>
              <w:top w:val="single" w:color="auto" w:sz="6" w:space="0"/>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p>
        </w:tc>
        <w:tc>
          <w:tcPr>
            <w:tcW w:w="646"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r>
      <w:tr>
        <w:tblPrEx>
          <w:tblCellMar>
            <w:top w:w="0" w:type="dxa"/>
            <w:left w:w="108" w:type="dxa"/>
            <w:bottom w:w="0" w:type="dxa"/>
            <w:right w:w="108" w:type="dxa"/>
          </w:tblCellMar>
        </w:tblPrEx>
        <w:trPr>
          <w:trHeight w:val="542" w:hRule="atLeast"/>
        </w:trPr>
        <w:tc>
          <w:tcPr>
            <w:tcW w:w="3104" w:type="pct"/>
            <w:gridSpan w:val="2"/>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int="eastAsia" w:hAnsi="宋体" w:eastAsia="宋体" w:cs="宋体"/>
                <w:sz w:val="24"/>
                <w:szCs w:val="24"/>
              </w:rPr>
              <w:t>评审结果：</w:t>
            </w:r>
          </w:p>
        </w:tc>
        <w:tc>
          <w:tcPr>
            <w:tcW w:w="601"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c>
          <w:tcPr>
            <w:tcW w:w="650" w:type="pct"/>
            <w:tcBorders>
              <w:top w:val="single" w:color="auto" w:sz="6" w:space="0"/>
              <w:left w:val="single" w:color="auto" w:sz="6" w:space="0"/>
              <w:bottom w:val="single" w:color="auto" w:sz="6" w:space="0"/>
            </w:tcBorders>
            <w:noWrap w:val="0"/>
            <w:vAlign w:val="center"/>
          </w:tcPr>
          <w:p>
            <w:pPr>
              <w:autoSpaceDN w:val="0"/>
              <w:jc w:val="center"/>
              <w:textAlignment w:val="center"/>
              <w:rPr>
                <w:rFonts w:hint="eastAsia" w:hAnsi="宋体" w:eastAsia="宋体" w:cs="宋体"/>
                <w:sz w:val="24"/>
                <w:szCs w:val="24"/>
              </w:rPr>
            </w:pPr>
          </w:p>
        </w:tc>
        <w:tc>
          <w:tcPr>
            <w:tcW w:w="646" w:type="pct"/>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p>
        </w:tc>
      </w:tr>
      <w:tr>
        <w:tblPrEx>
          <w:tblCellMar>
            <w:top w:w="0" w:type="dxa"/>
            <w:left w:w="108" w:type="dxa"/>
            <w:bottom w:w="0" w:type="dxa"/>
            <w:right w:w="108" w:type="dxa"/>
          </w:tblCellMar>
        </w:tblPrEx>
        <w:trPr>
          <w:trHeight w:val="506" w:hRule="atLeast"/>
        </w:trPr>
        <w:tc>
          <w:tcPr>
            <w:tcW w:w="5000" w:type="pct"/>
            <w:gridSpan w:val="5"/>
            <w:tcBorders>
              <w:top w:val="single" w:color="auto" w:sz="6" w:space="0"/>
              <w:left w:val="single" w:color="auto" w:sz="6" w:space="0"/>
              <w:bottom w:val="single" w:color="auto" w:sz="6" w:space="0"/>
              <w:right w:val="single" w:color="auto" w:sz="6" w:space="0"/>
            </w:tcBorders>
            <w:noWrap w:val="0"/>
            <w:vAlign w:val="center"/>
          </w:tcPr>
          <w:p>
            <w:pPr>
              <w:autoSpaceDN w:val="0"/>
              <w:jc w:val="center"/>
              <w:textAlignment w:val="center"/>
              <w:rPr>
                <w:rFonts w:hint="eastAsia" w:hAnsi="宋体" w:eastAsia="宋体" w:cs="宋体"/>
                <w:sz w:val="24"/>
                <w:szCs w:val="24"/>
              </w:rPr>
            </w:pPr>
            <w:r>
              <w:rPr>
                <w:rFonts w:hAnsi="宋体" w:eastAsia="宋体" w:cs="宋体"/>
                <w:sz w:val="24"/>
                <w:szCs w:val="24"/>
              </w:rPr>
              <w:t>“√”表示合格；“×”表示不合格，一项不合格结果为不合格，如不合格，请在结果中写明原因。</w:t>
            </w:r>
          </w:p>
        </w:tc>
      </w:tr>
    </w:tbl>
    <w:p>
      <w:pPr>
        <w:pStyle w:val="80"/>
        <w:jc w:val="left"/>
        <w:rPr>
          <w:rFonts w:hint="eastAsia" w:ascii="宋体" w:hAnsi="宋体" w:eastAsia="宋体" w:cs="宋体"/>
          <w:color w:val="auto"/>
          <w:sz w:val="22"/>
          <w:szCs w:val="22"/>
          <w:highlight w:val="none"/>
          <w:lang w:eastAsia="zh-CN"/>
        </w:rPr>
      </w:pPr>
    </w:p>
    <w:p>
      <w:pPr>
        <w:pStyle w:val="80"/>
        <w:jc w:val="left"/>
        <w:rPr>
          <w:rFonts w:hint="eastAsia" w:ascii="宋体" w:hAnsi="宋体" w:eastAsia="宋体" w:cs="宋体"/>
          <w:color w:val="auto"/>
          <w:sz w:val="22"/>
          <w:szCs w:val="22"/>
          <w:highlight w:val="none"/>
          <w:lang w:eastAsia="zh-CN"/>
        </w:rPr>
      </w:pPr>
    </w:p>
    <w:p>
      <w:pPr>
        <w:pStyle w:val="8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附表</w:t>
      </w:r>
      <w:r>
        <w:rPr>
          <w:rFonts w:hint="eastAsia" w:ascii="宋体" w:hAnsi="宋体" w:cs="宋体"/>
          <w:color w:val="auto"/>
          <w:sz w:val="22"/>
          <w:szCs w:val="22"/>
          <w:highlight w:val="none"/>
          <w:lang w:eastAsia="zh-CN"/>
        </w:rPr>
        <w:t>二</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 xml:space="preserve">                         </w:t>
      </w:r>
      <w:r>
        <w:rPr>
          <w:rFonts w:hint="eastAsia" w:ascii="宋体" w:hAnsi="宋体" w:cs="宋体"/>
          <w:b/>
          <w:bCs/>
          <w:color w:val="auto"/>
          <w:sz w:val="28"/>
          <w:szCs w:val="32"/>
          <w:highlight w:val="none"/>
          <w:lang w:val="en-US" w:eastAsia="zh-CN"/>
        </w:rPr>
        <w:t>商务</w:t>
      </w:r>
      <w:r>
        <w:rPr>
          <w:rFonts w:hint="eastAsia" w:ascii="宋体" w:hAnsi="宋体" w:cs="宋体"/>
          <w:b/>
          <w:bCs/>
          <w:color w:val="auto"/>
          <w:sz w:val="28"/>
          <w:szCs w:val="32"/>
          <w:highlight w:val="none"/>
          <w:lang w:eastAsia="zh-CN"/>
        </w:rPr>
        <w:t>技术标详细评审</w:t>
      </w:r>
      <w:r>
        <w:rPr>
          <w:rFonts w:hint="eastAsia" w:ascii="宋体" w:hAnsi="宋体" w:eastAsia="宋体" w:cs="宋体"/>
          <w:b/>
          <w:bCs/>
          <w:color w:val="auto"/>
          <w:sz w:val="28"/>
          <w:szCs w:val="32"/>
          <w:highlight w:val="none"/>
          <w:lang w:eastAsia="zh-CN"/>
        </w:rPr>
        <w:t>表</w:t>
      </w:r>
    </w:p>
    <w:tbl>
      <w:tblPr>
        <w:tblStyle w:val="33"/>
        <w:tblpPr w:leftFromText="180" w:rightFromText="180" w:vertAnchor="text" w:horzAnchor="page" w:tblpX="1310" w:tblpY="1530"/>
        <w:tblOverlap w:val="never"/>
        <w:tblW w:w="0" w:type="auto"/>
        <w:tblInd w:w="0" w:type="dxa"/>
        <w:tblLayout w:type="autofit"/>
        <w:tblCellMar>
          <w:top w:w="0" w:type="dxa"/>
          <w:left w:w="108" w:type="dxa"/>
          <w:bottom w:w="0" w:type="dxa"/>
          <w:right w:w="108" w:type="dxa"/>
        </w:tblCellMar>
      </w:tblPr>
      <w:tblGrid>
        <w:gridCol w:w="393"/>
        <w:gridCol w:w="975"/>
        <w:gridCol w:w="769"/>
        <w:gridCol w:w="7825"/>
      </w:tblGrid>
      <w:tr>
        <w:tblPrEx>
          <w:tblCellMar>
            <w:top w:w="0" w:type="dxa"/>
            <w:left w:w="108" w:type="dxa"/>
            <w:bottom w:w="0" w:type="dxa"/>
            <w:right w:w="108" w:type="dxa"/>
          </w:tblCellMar>
        </w:tblPrEx>
        <w:trPr>
          <w:trHeight w:val="575"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评分内容</w:t>
            </w:r>
          </w:p>
        </w:tc>
        <w:tc>
          <w:tcPr>
            <w:tcW w:w="7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分值</w:t>
            </w:r>
          </w:p>
        </w:tc>
        <w:tc>
          <w:tcPr>
            <w:tcW w:w="782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评分标准</w:t>
            </w:r>
          </w:p>
        </w:tc>
      </w:tr>
      <w:tr>
        <w:tblPrEx>
          <w:tblCellMar>
            <w:top w:w="0" w:type="dxa"/>
            <w:left w:w="108" w:type="dxa"/>
            <w:bottom w:w="0" w:type="dxa"/>
            <w:right w:w="108" w:type="dxa"/>
          </w:tblCellMar>
        </w:tblPrEx>
        <w:trPr>
          <w:trHeight w:val="90" w:hRule="atLeast"/>
        </w:trPr>
        <w:tc>
          <w:tcPr>
            <w:tcW w:w="39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460" w:lineRule="exact"/>
              <w:ind w:firstLine="28"/>
              <w:jc w:val="center"/>
              <w:rPr>
                <w:rFonts w:ascii="宋体" w:hAnsi="宋体" w:cs="宋体"/>
                <w:szCs w:val="21"/>
              </w:rPr>
            </w:pPr>
            <w:r>
              <w:rPr>
                <w:rFonts w:hint="eastAsia" w:ascii="宋体" w:hAnsi="宋体" w:cs="宋体"/>
                <w:kern w:val="0"/>
                <w:szCs w:val="21"/>
              </w:rPr>
              <w:t>供应商实力介绍</w:t>
            </w:r>
          </w:p>
        </w:tc>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0-10</w:t>
            </w:r>
          </w:p>
        </w:tc>
        <w:tc>
          <w:tcPr>
            <w:tcW w:w="782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rPr>
              <w:t>1、具备国家保密局核发的涉密信息系统集成资质证书甲级得3分，乙级得1分，没有不得分（业务种类：系统集成/软件开发）；</w:t>
            </w:r>
          </w:p>
          <w:p>
            <w:pPr>
              <w:widowControl/>
              <w:jc w:val="left"/>
              <w:rPr>
                <w:rFonts w:hint="eastAsia" w:ascii="宋体" w:hAnsi="宋体" w:eastAsia="宋体" w:cs="宋体"/>
                <w:kern w:val="0"/>
                <w:szCs w:val="21"/>
                <w:lang w:eastAsia="zh-CN"/>
              </w:rPr>
            </w:pPr>
            <w:r>
              <w:rPr>
                <w:rFonts w:hint="eastAsia" w:ascii="宋体" w:hAnsi="宋体" w:cs="宋体"/>
                <w:kern w:val="0"/>
                <w:szCs w:val="21"/>
              </w:rPr>
              <w:t>2、具有CMMI五级资质认证证书得3分，四级证书得2分，三级及以下证书得1分，没有不得分；</w:t>
            </w:r>
          </w:p>
          <w:p>
            <w:pPr>
              <w:widowControl/>
              <w:jc w:val="left"/>
              <w:rPr>
                <w:rFonts w:hint="eastAsia" w:ascii="宋体" w:hAnsi="宋体" w:eastAsia="宋体" w:cs="宋体"/>
                <w:kern w:val="0"/>
                <w:szCs w:val="21"/>
                <w:lang w:eastAsia="zh-CN"/>
              </w:rPr>
            </w:pPr>
            <w:r>
              <w:rPr>
                <w:rFonts w:hint="eastAsia" w:ascii="宋体" w:hAnsi="宋体" w:cs="宋体"/>
                <w:kern w:val="0"/>
                <w:szCs w:val="21"/>
              </w:rPr>
              <w:t>3、具有信息系统服务交付能力一级（CCID）资质得2分，二级（CCID）及以下得1分，没有不得分。</w:t>
            </w:r>
          </w:p>
          <w:p>
            <w:pPr>
              <w:widowControl/>
              <w:jc w:val="left"/>
              <w:rPr>
                <w:rFonts w:hint="eastAsia" w:ascii="宋体" w:hAnsi="宋体" w:eastAsia="宋体" w:cs="宋体"/>
                <w:kern w:val="0"/>
                <w:szCs w:val="21"/>
                <w:lang w:eastAsia="zh-CN"/>
              </w:rPr>
            </w:pPr>
            <w:r>
              <w:rPr>
                <w:rFonts w:hint="eastAsia" w:ascii="宋体" w:hAnsi="宋体" w:cs="宋体"/>
                <w:kern w:val="0"/>
                <w:szCs w:val="21"/>
              </w:rPr>
              <w:t>4、《信息通信网络系统集成企业服务能力》证书甲级得2分、甲级及以下得1分，没有不得分。</w:t>
            </w:r>
          </w:p>
          <w:p>
            <w:pPr>
              <w:widowControl/>
              <w:jc w:val="left"/>
              <w:rPr>
                <w:rFonts w:hint="eastAsia" w:ascii="宋体" w:hAnsi="宋体" w:eastAsia="宋体" w:cs="宋体"/>
                <w:szCs w:val="21"/>
                <w:lang w:val="en-US" w:eastAsia="zh-CN"/>
              </w:rPr>
            </w:pPr>
            <w:r>
              <w:rPr>
                <w:rFonts w:hint="eastAsia" w:ascii="宋体" w:hAnsi="宋体" w:cs="宋体"/>
                <w:kern w:val="0"/>
                <w:szCs w:val="21"/>
              </w:rPr>
              <w:t>（分公司同一体系内资质有效，提供证书复印件并加盖供应商公章）</w:t>
            </w:r>
            <w:r>
              <w:rPr>
                <w:rFonts w:hint="eastAsia" w:ascii="宋体" w:hAnsi="宋体" w:cs="宋体"/>
                <w:kern w:val="0"/>
                <w:szCs w:val="21"/>
                <w:lang w:val="en-US" w:eastAsia="zh-CN"/>
              </w:rPr>
              <w:t>;</w:t>
            </w:r>
          </w:p>
        </w:tc>
      </w:tr>
      <w:tr>
        <w:tblPrEx>
          <w:tblCellMar>
            <w:top w:w="0" w:type="dxa"/>
            <w:left w:w="108" w:type="dxa"/>
            <w:bottom w:w="0" w:type="dxa"/>
            <w:right w:w="108" w:type="dxa"/>
          </w:tblCellMar>
        </w:tblPrEx>
        <w:trPr>
          <w:trHeight w:val="604" w:hRule="atLeast"/>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460" w:lineRule="exact"/>
              <w:ind w:firstLine="28"/>
              <w:jc w:val="center"/>
              <w:rPr>
                <w:rFonts w:ascii="宋体" w:hAnsi="宋体" w:cs="宋体"/>
                <w:kern w:val="0"/>
                <w:szCs w:val="21"/>
              </w:rPr>
            </w:pPr>
            <w:r>
              <w:rPr>
                <w:rFonts w:hint="eastAsia" w:ascii="宋体" w:hAnsi="宋体" w:cs="宋体"/>
                <w:kern w:val="0"/>
                <w:szCs w:val="21"/>
              </w:rPr>
              <w:t>供应商获奖项目及专利</w:t>
            </w:r>
          </w:p>
        </w:tc>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0-2</w:t>
            </w:r>
          </w:p>
        </w:tc>
        <w:tc>
          <w:tcPr>
            <w:tcW w:w="782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rPr>
              <w:t>具有信息化服务平台或系统类的发明专利，每一个得1分，最高2分；</w:t>
            </w:r>
          </w:p>
          <w:p>
            <w:pPr>
              <w:widowControl/>
              <w:jc w:val="left"/>
              <w:rPr>
                <w:rFonts w:hint="eastAsia" w:ascii="宋体" w:hAnsi="宋体" w:eastAsia="宋体" w:cs="宋体"/>
                <w:kern w:val="0"/>
                <w:szCs w:val="21"/>
                <w:lang w:val="en-US" w:eastAsia="zh-CN"/>
              </w:rPr>
            </w:pPr>
            <w:r>
              <w:rPr>
                <w:rFonts w:hint="eastAsia" w:ascii="宋体" w:hAnsi="宋体" w:cs="宋体"/>
                <w:kern w:val="0"/>
                <w:szCs w:val="21"/>
              </w:rPr>
              <w:t>（提供证书复印件加盖供应商公章，分公司同一体系内专利及获奖项目有效）</w:t>
            </w:r>
            <w:r>
              <w:rPr>
                <w:rFonts w:hint="eastAsia" w:ascii="宋体" w:hAnsi="宋体" w:cs="宋体"/>
                <w:kern w:val="0"/>
                <w:szCs w:val="21"/>
                <w:lang w:val="en-US" w:eastAsia="zh-CN"/>
              </w:rPr>
              <w:t>;</w:t>
            </w:r>
          </w:p>
        </w:tc>
      </w:tr>
      <w:tr>
        <w:tblPrEx>
          <w:tblCellMar>
            <w:top w:w="0" w:type="dxa"/>
            <w:left w:w="108" w:type="dxa"/>
            <w:bottom w:w="0" w:type="dxa"/>
            <w:right w:w="108" w:type="dxa"/>
          </w:tblCellMar>
        </w:tblPrEx>
        <w:trPr>
          <w:trHeight w:val="604" w:hRule="atLeast"/>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460" w:lineRule="exact"/>
              <w:ind w:firstLine="28"/>
              <w:jc w:val="center"/>
              <w:rPr>
                <w:rFonts w:ascii="宋体" w:hAnsi="宋体" w:cs="宋体"/>
                <w:kern w:val="0"/>
                <w:szCs w:val="21"/>
              </w:rPr>
            </w:pPr>
            <w:r>
              <w:rPr>
                <w:rFonts w:hint="eastAsia" w:ascii="宋体" w:hAnsi="宋体" w:cs="宋体"/>
                <w:kern w:val="0"/>
                <w:szCs w:val="21"/>
              </w:rPr>
              <w:t>基础技术参数指标</w:t>
            </w:r>
          </w:p>
        </w:tc>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0-10</w:t>
            </w:r>
          </w:p>
        </w:tc>
        <w:tc>
          <w:tcPr>
            <w:tcW w:w="782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rPr>
              <w:t>所投产品各项规格参数要求均满足招标文件要求，得10分，有一项不满足扣1分，扣完为止最低0分。</w:t>
            </w:r>
          </w:p>
          <w:p>
            <w:pPr>
              <w:widowControl/>
              <w:jc w:val="left"/>
              <w:rPr>
                <w:rFonts w:hint="eastAsia" w:ascii="宋体" w:hAnsi="宋体" w:eastAsia="宋体" w:cs="宋体"/>
                <w:kern w:val="0"/>
                <w:szCs w:val="21"/>
                <w:lang w:eastAsia="zh-CN"/>
              </w:rPr>
            </w:pPr>
            <w:r>
              <w:rPr>
                <w:rFonts w:hint="eastAsia" w:ascii="宋体" w:hAnsi="宋体" w:cs="宋体"/>
                <w:kern w:val="0"/>
                <w:szCs w:val="21"/>
              </w:rPr>
              <w:t>注：按照招标文件要求，提供相应产品的检测报告、及相关证书扫描件并加盖投标单位公章，不提供则作扣分处理。</w:t>
            </w:r>
          </w:p>
          <w:p>
            <w:pPr>
              <w:widowControl/>
              <w:jc w:val="left"/>
              <w:rPr>
                <w:rFonts w:ascii="宋体" w:hAnsi="宋体" w:cs="宋体"/>
                <w:kern w:val="0"/>
                <w:szCs w:val="21"/>
              </w:rPr>
            </w:pPr>
            <w:r>
              <w:rPr>
                <w:rFonts w:hint="eastAsia" w:ascii="宋体" w:hAnsi="宋体" w:cs="宋体"/>
                <w:kern w:val="0"/>
                <w:szCs w:val="21"/>
              </w:rPr>
              <w:t>需提供主要设备授权厂商授权书并以现场原件核验为准，否则本项不得分。</w:t>
            </w:r>
          </w:p>
        </w:tc>
      </w:tr>
      <w:tr>
        <w:tblPrEx>
          <w:tblCellMar>
            <w:top w:w="0" w:type="dxa"/>
            <w:left w:w="108" w:type="dxa"/>
            <w:bottom w:w="0" w:type="dxa"/>
            <w:right w:w="108" w:type="dxa"/>
          </w:tblCellMar>
        </w:tblPrEx>
        <w:trPr>
          <w:trHeight w:val="604" w:hRule="atLeast"/>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460" w:lineRule="exact"/>
              <w:ind w:firstLine="28"/>
              <w:jc w:val="center"/>
              <w:rPr>
                <w:rFonts w:ascii="宋体" w:hAnsi="宋体" w:cs="宋体"/>
                <w:kern w:val="0"/>
                <w:szCs w:val="21"/>
              </w:rPr>
            </w:pPr>
            <w:r>
              <w:rPr>
                <w:rFonts w:hint="eastAsia" w:ascii="宋体" w:hAnsi="宋体" w:cs="宋体"/>
                <w:kern w:val="0"/>
                <w:szCs w:val="21"/>
              </w:rPr>
              <w:t>项目团队</w:t>
            </w:r>
          </w:p>
        </w:tc>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0-3</w:t>
            </w:r>
          </w:p>
        </w:tc>
        <w:tc>
          <w:tcPr>
            <w:tcW w:w="78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投标人拟投项目经理需同时具备高级工程师、PMP、信息系统项目管理师（高级）、一级建造师得3分，没有或不全不得分（投标人需提供人员资质证明文件及202</w:t>
            </w:r>
            <w:r>
              <w:rPr>
                <w:rFonts w:hint="eastAsia" w:ascii="宋体" w:hAnsi="宋体" w:cs="宋体"/>
                <w:kern w:val="0"/>
                <w:szCs w:val="21"/>
                <w:lang w:val="en-US" w:eastAsia="zh-CN"/>
              </w:rPr>
              <w:t>1</w:t>
            </w:r>
            <w:r>
              <w:rPr>
                <w:rFonts w:hint="eastAsia" w:ascii="宋体" w:hAnsi="宋体" w:cs="宋体"/>
                <w:kern w:val="0"/>
                <w:szCs w:val="21"/>
              </w:rPr>
              <w:t>年内连续</w:t>
            </w:r>
            <w:r>
              <w:rPr>
                <w:rFonts w:hint="eastAsia" w:ascii="宋体" w:hAnsi="宋体" w:cs="宋体"/>
                <w:kern w:val="0"/>
                <w:szCs w:val="21"/>
                <w:lang w:val="en-US" w:eastAsia="zh-CN"/>
              </w:rPr>
              <w:t>3</w:t>
            </w:r>
            <w:r>
              <w:rPr>
                <w:rFonts w:hint="eastAsia" w:ascii="宋体" w:hAnsi="宋体" w:cs="宋体"/>
                <w:kern w:val="0"/>
                <w:szCs w:val="21"/>
              </w:rPr>
              <w:t>个月社保证明）（分公司同一体系内人员资质有效，提供证书复印件并加盖供应商公章）</w:t>
            </w:r>
          </w:p>
        </w:tc>
      </w:tr>
      <w:tr>
        <w:tblPrEx>
          <w:tblCellMar>
            <w:top w:w="0" w:type="dxa"/>
            <w:left w:w="108" w:type="dxa"/>
            <w:bottom w:w="0" w:type="dxa"/>
            <w:right w:w="108" w:type="dxa"/>
          </w:tblCellMar>
        </w:tblPrEx>
        <w:trPr>
          <w:trHeight w:val="826" w:hRule="atLeast"/>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pStyle w:val="22"/>
              <w:spacing w:line="460" w:lineRule="exact"/>
              <w:jc w:val="center"/>
              <w:rPr>
                <w:rFonts w:ascii="宋体" w:hAnsi="宋体" w:eastAsia="宋体" w:cs="宋体"/>
                <w:sz w:val="21"/>
                <w:szCs w:val="21"/>
              </w:rPr>
            </w:pPr>
            <w:r>
              <w:rPr>
                <w:rFonts w:hint="eastAsia" w:ascii="宋体" w:hAnsi="宋体" w:eastAsia="宋体" w:cs="宋体"/>
                <w:sz w:val="21"/>
                <w:szCs w:val="21"/>
              </w:rPr>
              <w:t>项目技术方案</w:t>
            </w:r>
          </w:p>
        </w:tc>
        <w:tc>
          <w:tcPr>
            <w:tcW w:w="769" w:type="dxa"/>
            <w:tcBorders>
              <w:top w:val="single" w:color="auto" w:sz="4" w:space="0"/>
              <w:left w:val="single" w:color="auto" w:sz="4" w:space="0"/>
              <w:bottom w:val="single" w:color="auto" w:sz="4" w:space="0"/>
              <w:right w:val="single" w:color="auto" w:sz="4" w:space="0"/>
            </w:tcBorders>
            <w:vAlign w:val="center"/>
          </w:tcPr>
          <w:p>
            <w:pPr>
              <w:pStyle w:val="94"/>
              <w:widowControl/>
              <w:spacing w:line="440" w:lineRule="exact"/>
              <w:ind w:firstLine="0" w:firstLineChars="0"/>
              <w:rPr>
                <w:rFonts w:ascii="宋体" w:hAnsi="宋体" w:eastAsia="宋体" w:cs="宋体"/>
                <w:b w:val="0"/>
                <w:kern w:val="0"/>
                <w:sz w:val="21"/>
                <w:szCs w:val="21"/>
              </w:rPr>
            </w:pPr>
            <w:r>
              <w:rPr>
                <w:rFonts w:hint="eastAsia" w:ascii="宋体" w:hAnsi="宋体" w:eastAsia="宋体" w:cs="宋体"/>
                <w:b w:val="0"/>
                <w:kern w:val="0"/>
                <w:sz w:val="21"/>
                <w:szCs w:val="21"/>
              </w:rPr>
              <w:t>0-15</w:t>
            </w:r>
          </w:p>
        </w:tc>
        <w:tc>
          <w:tcPr>
            <w:tcW w:w="7825" w:type="dxa"/>
            <w:tcBorders>
              <w:top w:val="single" w:color="auto" w:sz="4" w:space="0"/>
              <w:left w:val="single" w:color="auto" w:sz="4" w:space="0"/>
              <w:bottom w:val="single" w:color="auto" w:sz="4" w:space="0"/>
              <w:right w:val="single" w:color="auto" w:sz="4" w:space="0"/>
            </w:tcBorders>
            <w:vAlign w:val="center"/>
          </w:tcPr>
          <w:p>
            <w:pPr>
              <w:pStyle w:val="81"/>
              <w:spacing w:line="460" w:lineRule="exact"/>
              <w:ind w:firstLine="0"/>
              <w:rPr>
                <w:rFonts w:hint="eastAsia" w:ascii="宋体" w:hAnsi="宋体" w:eastAsia="宋体" w:cs="宋体"/>
                <w:kern w:val="0"/>
                <w:sz w:val="21"/>
                <w:szCs w:val="21"/>
                <w:lang w:eastAsia="zh-CN"/>
              </w:rPr>
            </w:pPr>
            <w:r>
              <w:rPr>
                <w:rFonts w:hint="eastAsia" w:ascii="宋体" w:hAnsi="宋体" w:cs="宋体"/>
                <w:kern w:val="0"/>
                <w:sz w:val="21"/>
                <w:szCs w:val="21"/>
              </w:rPr>
              <w:t>根据投标投标人提供的技术方案，按是否思路清晰、完整、合理、可行等方面根据评委评审做出评价。</w:t>
            </w:r>
          </w:p>
          <w:p>
            <w:pPr>
              <w:pStyle w:val="81"/>
              <w:spacing w:line="460" w:lineRule="exact"/>
              <w:ind w:firstLine="0"/>
              <w:rPr>
                <w:rFonts w:hint="eastAsia" w:ascii="宋体" w:hAnsi="宋体" w:eastAsia="宋体" w:cs="宋体"/>
                <w:kern w:val="0"/>
                <w:sz w:val="21"/>
                <w:szCs w:val="21"/>
                <w:lang w:eastAsia="zh-CN"/>
              </w:rPr>
            </w:pPr>
            <w:r>
              <w:rPr>
                <w:rFonts w:hint="eastAsia" w:ascii="宋体" w:hAnsi="宋体" w:cs="宋体"/>
                <w:kern w:val="0"/>
                <w:sz w:val="21"/>
                <w:szCs w:val="21"/>
              </w:rPr>
              <w:t>1、技术方案优于招标文件要求, 并提出改进优化系统功能合理化方案建议，方案内容细致、编制合理、可执行性高, 得10-15 分；</w:t>
            </w:r>
          </w:p>
          <w:p>
            <w:pPr>
              <w:pStyle w:val="81"/>
              <w:spacing w:line="460" w:lineRule="exact"/>
              <w:ind w:firstLine="0"/>
              <w:rPr>
                <w:rFonts w:hint="eastAsia" w:ascii="宋体" w:hAnsi="宋体" w:eastAsia="宋体" w:cs="宋体"/>
                <w:kern w:val="0"/>
                <w:sz w:val="21"/>
                <w:szCs w:val="21"/>
                <w:lang w:eastAsia="zh-CN"/>
              </w:rPr>
            </w:pPr>
            <w:r>
              <w:rPr>
                <w:rFonts w:hint="eastAsia" w:ascii="宋体" w:hAnsi="宋体" w:cs="宋体"/>
                <w:kern w:val="0"/>
                <w:sz w:val="21"/>
                <w:szCs w:val="21"/>
              </w:rPr>
              <w:t>2、技术方案满足招标文件要求,方案整体思路清晰、编制较合理, 具体措施可实行, 得5-10分；</w:t>
            </w:r>
          </w:p>
          <w:p>
            <w:pPr>
              <w:pStyle w:val="81"/>
              <w:spacing w:line="460" w:lineRule="exact"/>
              <w:ind w:firstLine="0"/>
              <w:rPr>
                <w:rFonts w:hint="eastAsia" w:ascii="宋体" w:hAnsi="宋体" w:eastAsia="宋体" w:cs="宋体"/>
                <w:kern w:val="0"/>
                <w:sz w:val="21"/>
                <w:szCs w:val="21"/>
                <w:lang w:eastAsia="zh-CN"/>
              </w:rPr>
            </w:pPr>
            <w:r>
              <w:rPr>
                <w:rFonts w:hint="eastAsia" w:ascii="宋体" w:hAnsi="宋体" w:cs="宋体"/>
                <w:kern w:val="0"/>
                <w:sz w:val="21"/>
                <w:szCs w:val="21"/>
              </w:rPr>
              <w:t>3、技术方案基本满足招标文件要求,方案基本完整,编制基本能满足要求,方案经优化后可执行，得0-5分；</w:t>
            </w:r>
          </w:p>
          <w:p>
            <w:pPr>
              <w:pStyle w:val="81"/>
              <w:spacing w:line="460" w:lineRule="exact"/>
              <w:ind w:firstLine="0"/>
              <w:rPr>
                <w:rFonts w:ascii="宋体" w:hAnsi="宋体" w:cs="宋体"/>
                <w:sz w:val="21"/>
                <w:szCs w:val="21"/>
              </w:rPr>
            </w:pPr>
            <w:r>
              <w:rPr>
                <w:rFonts w:hint="eastAsia" w:ascii="宋体" w:hAnsi="宋体" w:cs="宋体"/>
                <w:kern w:val="0"/>
                <w:sz w:val="21"/>
                <w:szCs w:val="21"/>
              </w:rPr>
              <w:t>4、技术方案与招标文件要求存在偏差,方案不完整,编制不满足要求,方案存在多处偏离，得0分。</w:t>
            </w:r>
          </w:p>
        </w:tc>
      </w:tr>
      <w:tr>
        <w:tblPrEx>
          <w:tblCellMar>
            <w:top w:w="0" w:type="dxa"/>
            <w:left w:w="108" w:type="dxa"/>
            <w:bottom w:w="0" w:type="dxa"/>
            <w:right w:w="108" w:type="dxa"/>
          </w:tblCellMar>
        </w:tblPrEx>
        <w:trPr>
          <w:trHeight w:val="406" w:hRule="atLeast"/>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pStyle w:val="81"/>
              <w:spacing w:line="460" w:lineRule="exact"/>
              <w:ind w:firstLine="0"/>
              <w:jc w:val="center"/>
              <w:rPr>
                <w:rFonts w:ascii="宋体" w:hAnsi="宋体" w:cs="宋体"/>
                <w:sz w:val="21"/>
                <w:szCs w:val="21"/>
              </w:rPr>
            </w:pPr>
            <w:r>
              <w:rPr>
                <w:rFonts w:hint="eastAsia" w:ascii="宋体" w:hAnsi="宋体" w:cs="宋体"/>
                <w:sz w:val="21"/>
                <w:szCs w:val="21"/>
              </w:rPr>
              <w:t>项目实施方案</w:t>
            </w:r>
          </w:p>
        </w:tc>
        <w:tc>
          <w:tcPr>
            <w:tcW w:w="769" w:type="dxa"/>
            <w:tcBorders>
              <w:top w:val="single" w:color="auto" w:sz="4" w:space="0"/>
              <w:left w:val="single" w:color="auto" w:sz="4" w:space="0"/>
              <w:bottom w:val="single" w:color="auto" w:sz="4" w:space="0"/>
              <w:right w:val="single" w:color="auto" w:sz="4" w:space="0"/>
            </w:tcBorders>
            <w:vAlign w:val="center"/>
          </w:tcPr>
          <w:p>
            <w:pPr>
              <w:pStyle w:val="94"/>
              <w:widowControl/>
              <w:spacing w:line="440" w:lineRule="exact"/>
              <w:ind w:firstLine="0" w:firstLineChars="0"/>
              <w:rPr>
                <w:rFonts w:hint="eastAsia" w:ascii="宋体" w:hAnsi="宋体" w:eastAsia="宋体" w:cs="宋体"/>
                <w:b w:val="0"/>
                <w:kern w:val="0"/>
                <w:sz w:val="21"/>
                <w:szCs w:val="21"/>
              </w:rPr>
            </w:pPr>
            <w:r>
              <w:rPr>
                <w:rFonts w:hint="eastAsia" w:ascii="宋体" w:hAnsi="宋体" w:eastAsia="宋体" w:cs="宋体"/>
                <w:b w:val="0"/>
                <w:kern w:val="0"/>
                <w:sz w:val="21"/>
                <w:szCs w:val="21"/>
              </w:rPr>
              <w:t>0-6</w:t>
            </w:r>
          </w:p>
        </w:tc>
        <w:tc>
          <w:tcPr>
            <w:tcW w:w="7825" w:type="dxa"/>
            <w:tcBorders>
              <w:top w:val="single" w:color="auto" w:sz="4" w:space="0"/>
              <w:left w:val="single" w:color="auto" w:sz="4" w:space="0"/>
              <w:bottom w:val="single" w:color="auto" w:sz="4" w:space="0"/>
              <w:right w:val="single" w:color="auto" w:sz="4" w:space="0"/>
            </w:tcBorders>
            <w:vAlign w:val="center"/>
          </w:tcPr>
          <w:p>
            <w:pPr>
              <w:pStyle w:val="81"/>
              <w:spacing w:line="460" w:lineRule="exact"/>
              <w:ind w:firstLine="0"/>
              <w:rPr>
                <w:rFonts w:ascii="宋体" w:hAnsi="宋体" w:cs="宋体"/>
                <w:sz w:val="21"/>
                <w:szCs w:val="21"/>
              </w:rPr>
            </w:pPr>
            <w:r>
              <w:rPr>
                <w:rFonts w:hint="eastAsia" w:ascii="宋体" w:hAnsi="宋体" w:cs="宋体"/>
                <w:kern w:val="0"/>
                <w:sz w:val="21"/>
                <w:szCs w:val="21"/>
              </w:rPr>
              <w:t>根据投标人针对本项目制定的项目实施方案（设备运输措施、工期与供货总体进度安排，安装调试、自检，货物设备验收）进行综合评审，评委根据评审内容完整，合理可行、科学、及时有效的得3-6分，内容完整，较合理可行、较科学、较及时有效的得1-3分，内容不完整、不合理得0-1分。</w:t>
            </w:r>
          </w:p>
        </w:tc>
      </w:tr>
      <w:tr>
        <w:tblPrEx>
          <w:tblCellMar>
            <w:top w:w="0" w:type="dxa"/>
            <w:left w:w="108" w:type="dxa"/>
            <w:bottom w:w="0" w:type="dxa"/>
            <w:right w:w="108" w:type="dxa"/>
          </w:tblCellMar>
        </w:tblPrEx>
        <w:trPr>
          <w:trHeight w:val="534" w:hRule="atLeast"/>
        </w:trPr>
        <w:tc>
          <w:tcPr>
            <w:tcW w:w="393" w:type="dxa"/>
            <w:vMerge w:val="continue"/>
            <w:tcBorders>
              <w:top w:val="single" w:color="auto" w:sz="4" w:space="0"/>
              <w:left w:val="single" w:color="auto" w:sz="4" w:space="0"/>
              <w:right w:val="single" w:color="auto" w:sz="4" w:space="0"/>
            </w:tcBorders>
            <w:vAlign w:val="center"/>
          </w:tcPr>
          <w:p>
            <w:pPr>
              <w:spacing w:line="240" w:lineRule="exact"/>
              <w:jc w:val="center"/>
              <w:rPr>
                <w:rFonts w:ascii="宋体" w:hAnsi="宋体" w:cs="宋体"/>
                <w:szCs w:val="21"/>
              </w:rPr>
            </w:pPr>
          </w:p>
        </w:tc>
        <w:tc>
          <w:tcPr>
            <w:tcW w:w="975" w:type="dxa"/>
            <w:tcBorders>
              <w:top w:val="single" w:color="auto" w:sz="4" w:space="0"/>
              <w:left w:val="nil"/>
              <w:bottom w:val="single" w:color="auto" w:sz="4" w:space="0"/>
              <w:right w:val="single" w:color="auto" w:sz="4" w:space="0"/>
            </w:tcBorders>
            <w:vAlign w:val="center"/>
          </w:tcPr>
          <w:p>
            <w:pPr>
              <w:pStyle w:val="81"/>
              <w:spacing w:line="460" w:lineRule="exact"/>
              <w:ind w:firstLine="0"/>
              <w:jc w:val="center"/>
              <w:rPr>
                <w:rFonts w:ascii="宋体" w:hAnsi="宋体" w:cs="宋体"/>
                <w:sz w:val="21"/>
                <w:szCs w:val="21"/>
              </w:rPr>
            </w:pPr>
            <w:r>
              <w:rPr>
                <w:rFonts w:hint="eastAsia" w:ascii="宋体" w:hAnsi="宋体" w:cs="宋体"/>
                <w:kern w:val="0"/>
                <w:sz w:val="21"/>
                <w:szCs w:val="21"/>
              </w:rPr>
              <w:t>安全管理体系与措施</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0-6</w:t>
            </w:r>
          </w:p>
        </w:tc>
        <w:tc>
          <w:tcPr>
            <w:tcW w:w="7825" w:type="dxa"/>
            <w:tcBorders>
              <w:top w:val="single" w:color="auto" w:sz="4" w:space="0"/>
              <w:left w:val="nil"/>
              <w:bottom w:val="single" w:color="auto" w:sz="4" w:space="0"/>
              <w:right w:val="single" w:color="auto" w:sz="4" w:space="0"/>
            </w:tcBorders>
            <w:vAlign w:val="center"/>
          </w:tcPr>
          <w:p>
            <w:pPr>
              <w:pStyle w:val="81"/>
              <w:spacing w:line="460" w:lineRule="exact"/>
              <w:ind w:firstLine="0"/>
              <w:rPr>
                <w:rFonts w:ascii="宋体" w:hAnsi="宋体" w:cs="宋体"/>
                <w:kern w:val="0"/>
                <w:sz w:val="21"/>
                <w:szCs w:val="21"/>
              </w:rPr>
            </w:pPr>
            <w:r>
              <w:rPr>
                <w:rFonts w:hint="eastAsia" w:ascii="宋体" w:hAnsi="宋体" w:cs="宋体"/>
                <w:kern w:val="0"/>
                <w:sz w:val="21"/>
                <w:szCs w:val="21"/>
              </w:rPr>
              <w:t>针对本项目安全保障管理体系、安全措施、安全文明管理制度、安全设施投入进行综合评审，内容完整，切实可行、针对性强、合理的根据评委评审得3-6分，内容完整，较切实可行、针对性较强、较合理的得0-3分。</w:t>
            </w:r>
          </w:p>
        </w:tc>
      </w:tr>
      <w:tr>
        <w:tblPrEx>
          <w:tblCellMar>
            <w:top w:w="0" w:type="dxa"/>
            <w:left w:w="108" w:type="dxa"/>
            <w:bottom w:w="0" w:type="dxa"/>
            <w:right w:w="108" w:type="dxa"/>
          </w:tblCellMar>
        </w:tblPrEx>
        <w:trPr>
          <w:trHeight w:val="316" w:hRule="atLeast"/>
        </w:trPr>
        <w:tc>
          <w:tcPr>
            <w:tcW w:w="39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rPr>
            </w:pPr>
          </w:p>
        </w:tc>
        <w:tc>
          <w:tcPr>
            <w:tcW w:w="975" w:type="dxa"/>
            <w:tcBorders>
              <w:top w:val="single" w:color="auto" w:sz="4" w:space="0"/>
              <w:left w:val="nil"/>
              <w:bottom w:val="single" w:color="auto" w:sz="4" w:space="0"/>
              <w:right w:val="single" w:color="auto" w:sz="4" w:space="0"/>
            </w:tcBorders>
            <w:vAlign w:val="center"/>
          </w:tcPr>
          <w:p>
            <w:pPr>
              <w:pStyle w:val="81"/>
              <w:spacing w:line="460" w:lineRule="exact"/>
              <w:ind w:firstLine="0"/>
              <w:jc w:val="center"/>
              <w:rPr>
                <w:rFonts w:ascii="宋体" w:hAnsi="宋体" w:cs="宋体"/>
                <w:sz w:val="21"/>
                <w:szCs w:val="21"/>
              </w:rPr>
            </w:pPr>
            <w:r>
              <w:rPr>
                <w:rFonts w:hint="eastAsia" w:ascii="宋体" w:hAnsi="宋体" w:cs="宋体"/>
                <w:sz w:val="21"/>
                <w:szCs w:val="21"/>
              </w:rPr>
              <w:t>售后服务方案</w:t>
            </w:r>
          </w:p>
        </w:tc>
        <w:tc>
          <w:tcPr>
            <w:tcW w:w="769" w:type="dxa"/>
            <w:tcBorders>
              <w:top w:val="single" w:color="auto" w:sz="4" w:space="0"/>
              <w:left w:val="nil"/>
              <w:bottom w:val="single" w:color="auto" w:sz="4" w:space="0"/>
              <w:right w:val="single" w:color="auto" w:sz="4" w:space="0"/>
            </w:tcBorders>
            <w:vAlign w:val="center"/>
          </w:tcPr>
          <w:p>
            <w:pPr>
              <w:pStyle w:val="94"/>
              <w:widowControl/>
              <w:spacing w:line="440" w:lineRule="exact"/>
              <w:ind w:firstLine="0" w:firstLineChars="0"/>
              <w:rPr>
                <w:rFonts w:ascii="宋体" w:hAnsi="宋体" w:eastAsia="宋体" w:cs="宋体"/>
                <w:b w:val="0"/>
                <w:kern w:val="0"/>
                <w:sz w:val="21"/>
                <w:szCs w:val="21"/>
              </w:rPr>
            </w:pPr>
            <w:r>
              <w:rPr>
                <w:rFonts w:hint="eastAsia" w:ascii="宋体" w:hAnsi="宋体" w:eastAsia="宋体" w:cs="宋体"/>
                <w:b w:val="0"/>
                <w:kern w:val="0"/>
                <w:sz w:val="21"/>
                <w:szCs w:val="21"/>
              </w:rPr>
              <w:t>0-8</w:t>
            </w:r>
          </w:p>
        </w:tc>
        <w:tc>
          <w:tcPr>
            <w:tcW w:w="7825" w:type="dxa"/>
            <w:tcBorders>
              <w:top w:val="single" w:color="auto" w:sz="4" w:space="0"/>
              <w:left w:val="nil"/>
              <w:bottom w:val="single" w:color="auto" w:sz="4" w:space="0"/>
              <w:right w:val="single" w:color="auto" w:sz="4" w:space="0"/>
            </w:tcBorders>
            <w:vAlign w:val="center"/>
          </w:tcPr>
          <w:p>
            <w:pPr>
              <w:pStyle w:val="81"/>
              <w:spacing w:line="460" w:lineRule="exact"/>
              <w:ind w:firstLine="0"/>
              <w:rPr>
                <w:rFonts w:ascii="宋体" w:hAnsi="宋体" w:cs="宋体"/>
                <w:kern w:val="0"/>
                <w:sz w:val="21"/>
                <w:szCs w:val="21"/>
              </w:rPr>
            </w:pPr>
            <w:r>
              <w:rPr>
                <w:rFonts w:hint="eastAsia" w:ascii="宋体" w:hAnsi="宋体" w:cs="宋体"/>
                <w:kern w:val="0"/>
                <w:sz w:val="21"/>
                <w:szCs w:val="21"/>
              </w:rPr>
              <w:t>提供可行的售后服务方案，能保障本地化技术服务及售后服务的协调性、及时性。提供售后服务内容、服务响应方式及响应时间，提供故障处理流程、维护保障流程及组织架构、拟投入本项目的维护人员配置等内容详实、完整、准确的得4-8分；</w:t>
            </w:r>
          </w:p>
          <w:p>
            <w:pPr>
              <w:pStyle w:val="81"/>
              <w:spacing w:line="460" w:lineRule="exact"/>
              <w:ind w:firstLine="0"/>
              <w:rPr>
                <w:rFonts w:ascii="宋体" w:hAnsi="宋体" w:cs="宋体"/>
                <w:kern w:val="0"/>
                <w:sz w:val="21"/>
                <w:szCs w:val="21"/>
              </w:rPr>
            </w:pPr>
            <w:r>
              <w:rPr>
                <w:rFonts w:hint="eastAsia" w:ascii="宋体" w:hAnsi="宋体" w:cs="宋体"/>
                <w:kern w:val="0"/>
                <w:sz w:val="21"/>
                <w:szCs w:val="21"/>
              </w:rPr>
              <w:t>提供的售后服务方案一般，基本能保障本地化技术服务及售后服务的协调性、及时性。提供售后服务内容、服务响应方式及响应时间，提供故障处理流程、维护保障流程及组织架构、拟投入本项目的维护人员配置等内容不够详实、不够完整、不够准确的得0-4分；</w:t>
            </w:r>
          </w:p>
        </w:tc>
      </w:tr>
      <w:tr>
        <w:tblPrEx>
          <w:tblCellMar>
            <w:top w:w="0" w:type="dxa"/>
            <w:left w:w="108" w:type="dxa"/>
            <w:bottom w:w="0" w:type="dxa"/>
            <w:right w:w="108" w:type="dxa"/>
          </w:tblCellMar>
        </w:tblPrEx>
        <w:trPr>
          <w:trHeight w:val="531" w:hRule="atLeast"/>
        </w:trPr>
        <w:tc>
          <w:tcPr>
            <w:tcW w:w="39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rPr>
            </w:pPr>
          </w:p>
        </w:tc>
        <w:tc>
          <w:tcPr>
            <w:tcW w:w="975" w:type="dxa"/>
            <w:tcBorders>
              <w:top w:val="single" w:color="auto" w:sz="4" w:space="0"/>
              <w:left w:val="nil"/>
              <w:bottom w:val="single" w:color="auto" w:sz="4" w:space="0"/>
              <w:right w:val="single" w:color="auto" w:sz="4" w:space="0"/>
            </w:tcBorders>
            <w:vAlign w:val="center"/>
          </w:tcPr>
          <w:p>
            <w:pPr>
              <w:pStyle w:val="22"/>
              <w:spacing w:line="460" w:lineRule="exact"/>
              <w:jc w:val="center"/>
              <w:rPr>
                <w:rFonts w:ascii="宋体" w:hAnsi="宋体" w:eastAsia="宋体" w:cs="宋体"/>
                <w:sz w:val="21"/>
                <w:szCs w:val="21"/>
              </w:rPr>
            </w:pPr>
            <w:r>
              <w:rPr>
                <w:rFonts w:hint="eastAsia" w:ascii="宋体" w:hAnsi="宋体" w:eastAsia="宋体" w:cs="宋体"/>
                <w:sz w:val="21"/>
                <w:szCs w:val="21"/>
              </w:rPr>
              <w:t>安装调试方案</w:t>
            </w:r>
          </w:p>
        </w:tc>
        <w:tc>
          <w:tcPr>
            <w:tcW w:w="769" w:type="dxa"/>
            <w:tcBorders>
              <w:top w:val="single" w:color="auto" w:sz="4" w:space="0"/>
              <w:left w:val="nil"/>
              <w:bottom w:val="single" w:color="auto" w:sz="4" w:space="0"/>
              <w:right w:val="single" w:color="auto" w:sz="4" w:space="0"/>
            </w:tcBorders>
            <w:vAlign w:val="center"/>
          </w:tcPr>
          <w:p>
            <w:pPr>
              <w:pStyle w:val="94"/>
              <w:widowControl/>
              <w:spacing w:line="440" w:lineRule="exact"/>
              <w:ind w:firstLine="0" w:firstLineChars="0"/>
              <w:rPr>
                <w:rFonts w:ascii="宋体" w:hAnsi="宋体" w:eastAsia="宋体" w:cs="宋体"/>
                <w:b w:val="0"/>
                <w:kern w:val="0"/>
                <w:sz w:val="21"/>
                <w:szCs w:val="21"/>
              </w:rPr>
            </w:pPr>
            <w:r>
              <w:rPr>
                <w:rFonts w:hint="eastAsia" w:ascii="宋体" w:hAnsi="宋体" w:eastAsia="宋体" w:cs="宋体"/>
                <w:b w:val="0"/>
                <w:kern w:val="0"/>
                <w:sz w:val="21"/>
                <w:szCs w:val="21"/>
              </w:rPr>
              <w:t>0-8</w:t>
            </w:r>
          </w:p>
        </w:tc>
        <w:tc>
          <w:tcPr>
            <w:tcW w:w="7825" w:type="dxa"/>
            <w:tcBorders>
              <w:top w:val="nil"/>
              <w:left w:val="nil"/>
              <w:bottom w:val="single" w:color="auto" w:sz="4" w:space="0"/>
              <w:right w:val="single" w:color="auto" w:sz="4" w:space="0"/>
            </w:tcBorders>
            <w:vAlign w:val="center"/>
          </w:tcPr>
          <w:p>
            <w:pPr>
              <w:pStyle w:val="81"/>
              <w:spacing w:line="460" w:lineRule="exact"/>
              <w:ind w:firstLine="0"/>
              <w:rPr>
                <w:rFonts w:ascii="宋体" w:hAnsi="宋体" w:cs="宋体"/>
                <w:kern w:val="0"/>
                <w:sz w:val="21"/>
                <w:szCs w:val="21"/>
              </w:rPr>
            </w:pPr>
            <w:r>
              <w:rPr>
                <w:rFonts w:hint="eastAsia" w:ascii="宋体" w:hAnsi="宋体" w:cs="宋体"/>
                <w:kern w:val="0"/>
                <w:sz w:val="21"/>
                <w:szCs w:val="21"/>
              </w:rPr>
              <w:t>安装调试方案明确具体，方案完善的完全满足安装调试要求的得4-8分。</w:t>
            </w:r>
          </w:p>
          <w:p>
            <w:pPr>
              <w:pStyle w:val="81"/>
              <w:spacing w:line="460" w:lineRule="exact"/>
              <w:ind w:firstLine="0"/>
              <w:rPr>
                <w:rFonts w:ascii="宋体" w:hAnsi="宋体" w:cs="宋体"/>
                <w:kern w:val="0"/>
                <w:sz w:val="21"/>
                <w:szCs w:val="21"/>
              </w:rPr>
            </w:pPr>
            <w:r>
              <w:rPr>
                <w:rFonts w:hint="eastAsia" w:ascii="宋体" w:hAnsi="宋体" w:cs="宋体"/>
                <w:kern w:val="0"/>
                <w:sz w:val="21"/>
                <w:szCs w:val="21"/>
              </w:rPr>
              <w:t>安装调试方案一般，基本满足安装调试要求的得0-4分。</w:t>
            </w:r>
          </w:p>
        </w:tc>
      </w:tr>
      <w:tr>
        <w:tblPrEx>
          <w:tblCellMar>
            <w:top w:w="0" w:type="dxa"/>
            <w:left w:w="108" w:type="dxa"/>
            <w:bottom w:w="0" w:type="dxa"/>
            <w:right w:w="108" w:type="dxa"/>
          </w:tblCellMar>
        </w:tblPrEx>
        <w:trPr>
          <w:trHeight w:val="531" w:hRule="atLeast"/>
        </w:trPr>
        <w:tc>
          <w:tcPr>
            <w:tcW w:w="39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pStyle w:val="22"/>
              <w:spacing w:line="460" w:lineRule="exact"/>
              <w:jc w:val="center"/>
              <w:rPr>
                <w:rFonts w:ascii="宋体" w:hAnsi="宋体" w:eastAsia="宋体" w:cs="宋体"/>
                <w:sz w:val="21"/>
                <w:szCs w:val="21"/>
              </w:rPr>
            </w:pPr>
            <w:r>
              <w:rPr>
                <w:rFonts w:hint="eastAsia" w:ascii="宋体" w:hAnsi="宋体" w:eastAsia="宋体" w:cs="宋体"/>
                <w:sz w:val="21"/>
                <w:szCs w:val="21"/>
              </w:rPr>
              <w:t>标书制作</w:t>
            </w:r>
          </w:p>
        </w:tc>
        <w:tc>
          <w:tcPr>
            <w:tcW w:w="769" w:type="dxa"/>
            <w:tcBorders>
              <w:top w:val="single" w:color="auto" w:sz="4" w:space="0"/>
              <w:left w:val="single" w:color="auto" w:sz="4" w:space="0"/>
              <w:bottom w:val="single" w:color="auto" w:sz="4" w:space="0"/>
              <w:right w:val="single" w:color="auto" w:sz="4" w:space="0"/>
            </w:tcBorders>
            <w:vAlign w:val="center"/>
          </w:tcPr>
          <w:p>
            <w:pPr>
              <w:pStyle w:val="94"/>
              <w:widowControl/>
              <w:spacing w:line="440" w:lineRule="exact"/>
              <w:ind w:firstLine="0" w:firstLineChars="0"/>
              <w:rPr>
                <w:rFonts w:ascii="宋体" w:hAnsi="宋体" w:eastAsia="宋体" w:cs="宋体"/>
                <w:b w:val="0"/>
                <w:kern w:val="0"/>
                <w:sz w:val="21"/>
                <w:szCs w:val="21"/>
              </w:rPr>
            </w:pPr>
            <w:r>
              <w:rPr>
                <w:rFonts w:hint="eastAsia" w:ascii="宋体" w:hAnsi="宋体" w:eastAsia="宋体" w:cs="宋体"/>
                <w:b w:val="0"/>
                <w:kern w:val="0"/>
                <w:sz w:val="21"/>
                <w:szCs w:val="21"/>
              </w:rPr>
              <w:t>0-2</w:t>
            </w:r>
          </w:p>
        </w:tc>
        <w:tc>
          <w:tcPr>
            <w:tcW w:w="7825" w:type="dxa"/>
            <w:tcBorders>
              <w:top w:val="single" w:color="auto" w:sz="4" w:space="0"/>
              <w:left w:val="single" w:color="auto" w:sz="4" w:space="0"/>
              <w:bottom w:val="single" w:color="auto" w:sz="4" w:space="0"/>
              <w:right w:val="single" w:color="auto" w:sz="4" w:space="0"/>
            </w:tcBorders>
            <w:vAlign w:val="center"/>
          </w:tcPr>
          <w:p>
            <w:pPr>
              <w:pStyle w:val="81"/>
              <w:spacing w:line="460" w:lineRule="exact"/>
              <w:ind w:firstLine="0"/>
              <w:rPr>
                <w:rFonts w:ascii="宋体" w:hAnsi="宋体" w:cs="宋体"/>
                <w:kern w:val="0"/>
                <w:sz w:val="21"/>
                <w:szCs w:val="21"/>
              </w:rPr>
            </w:pPr>
            <w:r>
              <w:rPr>
                <w:rFonts w:hint="eastAsia" w:ascii="宋体" w:hAnsi="宋体" w:cs="宋体"/>
                <w:kern w:val="0"/>
                <w:sz w:val="21"/>
                <w:szCs w:val="21"/>
              </w:rPr>
              <w:t>编制内容完整、齐备；标书无大面积涂改、错页、漏页现象的得1-2分；</w:t>
            </w:r>
          </w:p>
          <w:p>
            <w:pPr>
              <w:pStyle w:val="81"/>
              <w:spacing w:line="460" w:lineRule="exact"/>
              <w:ind w:firstLine="0"/>
              <w:rPr>
                <w:rFonts w:ascii="宋体" w:hAnsi="宋体" w:cs="宋体"/>
                <w:kern w:val="0"/>
                <w:sz w:val="21"/>
                <w:szCs w:val="21"/>
              </w:rPr>
            </w:pPr>
            <w:r>
              <w:rPr>
                <w:rFonts w:hint="eastAsia" w:ascii="宋体" w:hAnsi="宋体" w:cs="宋体"/>
                <w:kern w:val="0"/>
                <w:sz w:val="21"/>
                <w:szCs w:val="21"/>
              </w:rPr>
              <w:t>编制内容不完整；标书有涂改、有错页、有漏页现象的得0-1分。</w:t>
            </w:r>
          </w:p>
        </w:tc>
      </w:tr>
      <w:tr>
        <w:tblPrEx>
          <w:tblCellMar>
            <w:top w:w="0" w:type="dxa"/>
            <w:left w:w="108" w:type="dxa"/>
            <w:bottom w:w="0" w:type="dxa"/>
            <w:right w:w="108" w:type="dxa"/>
          </w:tblCellMar>
        </w:tblPrEx>
        <w:trPr>
          <w:trHeight w:val="508"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合计</w:t>
            </w:r>
          </w:p>
        </w:tc>
        <w:tc>
          <w:tcPr>
            <w:tcW w:w="7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70分</w:t>
            </w:r>
          </w:p>
        </w:tc>
        <w:tc>
          <w:tcPr>
            <w:tcW w:w="7825" w:type="dxa"/>
            <w:tcBorders>
              <w:top w:val="single" w:color="auto" w:sz="4" w:space="0"/>
              <w:left w:val="single" w:color="auto" w:sz="4" w:space="0"/>
              <w:bottom w:val="single" w:color="auto" w:sz="4" w:space="0"/>
              <w:right w:val="single" w:color="auto" w:sz="4" w:space="0"/>
            </w:tcBorders>
            <w:vAlign w:val="center"/>
          </w:tcPr>
          <w:p>
            <w:pPr>
              <w:pStyle w:val="28"/>
              <w:spacing w:before="0" w:beforeAutospacing="0" w:after="0" w:afterAutospacing="0" w:line="240" w:lineRule="exact"/>
              <w:jc w:val="both"/>
              <w:rPr>
                <w:rFonts w:cs="宋体"/>
                <w:b/>
                <w:color w:val="auto"/>
                <w:sz w:val="21"/>
                <w:szCs w:val="21"/>
              </w:rPr>
            </w:pPr>
          </w:p>
        </w:tc>
      </w:tr>
    </w:tbl>
    <w:p>
      <w:pPr>
        <w:keepNext/>
        <w:keepLines/>
        <w:pageBreakBefore/>
        <w:spacing w:line="264" w:lineRule="auto"/>
        <w:jc w:val="center"/>
        <w:outlineLvl w:val="2"/>
        <w:rPr>
          <w:rFonts w:ascii="宋体" w:hAnsi="宋体" w:cs="宋体"/>
          <w:sz w:val="24"/>
        </w:rPr>
      </w:pPr>
      <w:r>
        <w:rPr>
          <w:rFonts w:hint="eastAsia" w:ascii="宋体" w:hAnsi="宋体" w:cs="宋体"/>
          <w:b/>
          <w:sz w:val="24"/>
        </w:rPr>
        <w:t>技术标评分标准</w:t>
      </w:r>
    </w:p>
    <w:p>
      <w:pPr>
        <w:pStyle w:val="32"/>
        <w:ind w:left="0" w:leftChars="0" w:firstLine="0" w:firstLineChars="0"/>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color w:val="auto"/>
          <w:kern w:val="0"/>
          <w:sz w:val="24"/>
          <w:highlight w:val="none"/>
          <w:lang w:eastAsia="zh-CN"/>
        </w:rPr>
      </w:pPr>
      <w:bookmarkStart w:id="85" w:name="_Toc25362"/>
      <w:bookmarkStart w:id="86" w:name="_Toc14001"/>
      <w:r>
        <w:rPr>
          <w:rFonts w:hint="eastAsia" w:ascii="宋体" w:hAnsi="宋体" w:eastAsia="宋体" w:cs="宋体"/>
          <w:b/>
          <w:color w:val="auto"/>
          <w:sz w:val="28"/>
          <w:szCs w:val="28"/>
          <w:highlight w:val="none"/>
          <w:lang w:eastAsia="zh-CN"/>
        </w:rPr>
        <w:t>二、评</w:t>
      </w:r>
      <w:r>
        <w:rPr>
          <w:rFonts w:hint="eastAsia" w:ascii="宋体" w:hAnsi="宋体" w:cs="宋体"/>
          <w:b/>
          <w:color w:val="auto"/>
          <w:sz w:val="28"/>
          <w:szCs w:val="28"/>
          <w:highlight w:val="none"/>
          <w:lang w:eastAsia="zh-CN"/>
        </w:rPr>
        <w:t>审</w:t>
      </w:r>
      <w:r>
        <w:rPr>
          <w:rFonts w:hint="eastAsia" w:ascii="宋体" w:hAnsi="宋体" w:eastAsia="宋体" w:cs="宋体"/>
          <w:b/>
          <w:color w:val="auto"/>
          <w:sz w:val="28"/>
          <w:szCs w:val="28"/>
          <w:highlight w:val="none"/>
          <w:lang w:eastAsia="zh-CN"/>
        </w:rPr>
        <w:t>办法正文部分</w:t>
      </w:r>
      <w:bookmarkEnd w:id="85"/>
      <w:bookmarkEnd w:id="86"/>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经磋商确定最终采购需求和提交最后报价的供应商后，由磋商小组采用综合评分法对提交最后报价的供应商的响应文件和最后报价进行综合评分。</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综合评分法，是指响应文件满足磋商文件全部实质性要求且按评审因素的量化指标评审得分最高的供应商为成交候选供应商的评审方法。</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评审时，磋商小组各成员应当独立对每个有效响应的文件进行评价、打分，然后汇总每个供应商每项评分因素的得分。</w:t>
      </w:r>
    </w:p>
    <w:p>
      <w:pPr>
        <w:pStyle w:val="12"/>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响应文件的初审</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初审分为资格审查和符合性审查。</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2.1.1</w:t>
      </w:r>
      <w:r>
        <w:rPr>
          <w:rFonts w:hint="eastAsia" w:ascii="宋体" w:hAnsi="宋体" w:eastAsia="宋体" w:cs="宋体"/>
          <w:color w:val="auto"/>
          <w:sz w:val="24"/>
          <w:szCs w:val="24"/>
          <w:highlight w:val="none"/>
        </w:rPr>
        <w:t>资格审查</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（1）磋商小组根据评</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办法前附表规定的评审因素和评审标准，对供应商的响应文件进行资格评审。资格审查不合格的供应商的响应文件作无效文件处理。</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（2）磋商小组在进行资格检查时，不得改变磋商文件中已载明的资格条件、标准和办法。资格审查不合格的供应商的响应文件作无效文件处理。</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）磋商小组在评审中必要时可按供应商提供的联系方式就有关问题进行查询核实，或要求供应商做出书面澄清，查询及澄清结果将作为审查的依据。</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）通过全部资格审查条件合格的供应商才能通过资格审查，其响应文件方可进入下一个检查阶段。</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2.1.2</w:t>
      </w:r>
      <w:r>
        <w:rPr>
          <w:rFonts w:hint="eastAsia" w:ascii="宋体" w:hAnsi="宋体" w:eastAsia="宋体" w:cs="宋体"/>
          <w:color w:val="auto"/>
          <w:sz w:val="24"/>
          <w:szCs w:val="24"/>
          <w:highlight w:val="none"/>
        </w:rPr>
        <w:t>符合性审查</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磋商小组根据评</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办法前附表规定的评审因素和评审标准，对供应商的响应文件进行符合性审查。符合性审查不合格的供应商的响应文件作无效文件处理。</w:t>
      </w:r>
    </w:p>
    <w:p>
      <w:pPr>
        <w:pStyle w:val="12"/>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磋商小组审查响应文件是否完整、有无计算上的错误等。</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2.2.1</w:t>
      </w:r>
      <w:r>
        <w:rPr>
          <w:rFonts w:hint="eastAsia" w:ascii="宋体" w:hAnsi="宋体" w:eastAsia="宋体" w:cs="宋体"/>
          <w:color w:val="auto"/>
          <w:sz w:val="24"/>
          <w:szCs w:val="24"/>
          <w:highlight w:val="none"/>
        </w:rPr>
        <w:t>响应文件的修正及澄清</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磋商小组对确定为实质上响应磋商文件要求的响应文件进行校核，看其是否有计算或表达上的错误，算术错误将按以下方法更正：</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w:t>
      </w:r>
      <w:r>
        <w:rPr>
          <w:rFonts w:hint="eastAsia" w:ascii="宋体" w:hAnsi="宋体" w:cs="宋体"/>
          <w:color w:val="auto"/>
          <w:sz w:val="24"/>
          <w:szCs w:val="24"/>
          <w:highlight w:val="none"/>
          <w:lang w:eastAsia="zh-CN"/>
        </w:rPr>
        <w:t>报价一览表</w:t>
      </w:r>
      <w:r>
        <w:rPr>
          <w:rFonts w:hint="eastAsia" w:ascii="宋体" w:hAnsi="宋体" w:eastAsia="宋体" w:cs="宋体"/>
          <w:color w:val="auto"/>
          <w:sz w:val="24"/>
          <w:szCs w:val="24"/>
          <w:highlight w:val="none"/>
        </w:rPr>
        <w:t>内容与</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文件中相应内容不一致的，以</w:t>
      </w:r>
      <w:r>
        <w:rPr>
          <w:rFonts w:hint="eastAsia" w:ascii="宋体" w:hAnsi="宋体" w:cs="宋体"/>
          <w:color w:val="auto"/>
          <w:sz w:val="24"/>
          <w:szCs w:val="24"/>
          <w:highlight w:val="none"/>
          <w:lang w:eastAsia="zh-CN"/>
        </w:rPr>
        <w:t>报价一览表</w:t>
      </w:r>
      <w:r>
        <w:rPr>
          <w:rFonts w:hint="eastAsia" w:ascii="宋体" w:hAnsi="宋体" w:eastAsia="宋体" w:cs="宋体"/>
          <w:color w:val="auto"/>
          <w:sz w:val="24"/>
          <w:szCs w:val="24"/>
          <w:highlight w:val="none"/>
        </w:rPr>
        <w:t>为准；大写金额和小写金额不一致的，以大写金额为准；单价金额小数点或者百分比有明显错位的，以</w:t>
      </w:r>
      <w:r>
        <w:rPr>
          <w:rFonts w:hint="eastAsia" w:ascii="宋体" w:hAnsi="宋体" w:cs="宋体"/>
          <w:color w:val="auto"/>
          <w:sz w:val="24"/>
          <w:szCs w:val="24"/>
          <w:highlight w:val="none"/>
          <w:lang w:eastAsia="zh-CN"/>
        </w:rPr>
        <w:t>报价一览表</w:t>
      </w:r>
      <w:r>
        <w:rPr>
          <w:rFonts w:hint="eastAsia" w:ascii="宋体" w:hAnsi="宋体" w:eastAsia="宋体" w:cs="宋体"/>
          <w:color w:val="auto"/>
          <w:sz w:val="24"/>
          <w:szCs w:val="24"/>
          <w:highlight w:val="none"/>
        </w:rPr>
        <w:t>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2.2.2</w:t>
      </w:r>
      <w:r>
        <w:rPr>
          <w:rFonts w:hint="eastAsia" w:ascii="宋体" w:hAnsi="宋体" w:eastAsia="宋体" w:cs="宋体"/>
          <w:color w:val="auto"/>
          <w:sz w:val="24"/>
          <w:szCs w:val="24"/>
          <w:highlight w:val="none"/>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2.2.3</w:t>
      </w:r>
      <w:r>
        <w:rPr>
          <w:rFonts w:hint="eastAsia" w:ascii="宋体" w:hAnsi="宋体" w:eastAsia="宋体" w:cs="宋体"/>
          <w:color w:val="auto"/>
          <w:sz w:val="24"/>
          <w:szCs w:val="24"/>
          <w:highlight w:val="none"/>
        </w:rPr>
        <w:t>实质上没有响应磋商文件要求的响应文件将被视为无效文件。供应商不得通过修正或撤销不合要求的偏离从而使其成为实质上响应的文件。</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2.2.5</w:t>
      </w:r>
      <w:r>
        <w:rPr>
          <w:rFonts w:hint="eastAsia" w:ascii="宋体" w:hAnsi="宋体" w:eastAsia="宋体" w:cs="宋体"/>
          <w:color w:val="auto"/>
          <w:sz w:val="24"/>
          <w:szCs w:val="24"/>
          <w:highlight w:val="none"/>
        </w:rPr>
        <w:t>供应商的澄清文件是其响应文件的组成部分。</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2.2.6一个分包内只有一种产品，不同投标人所投产品为同一品牌的或一个分包内包含多种产品的，采购人将在</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规定的方式（</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未规定的采取随机抽取的方式）确定一个中标候选人，其他同品牌投标人不作为中标候选人。</w:t>
      </w:r>
    </w:p>
    <w:p>
      <w:pPr>
        <w:pStyle w:val="12"/>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磋商</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.1磋商小组所有成员应当集中与单一供应商分别进行磋商，并给予所有参加磋商的供应商平等的磋商机会。</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.3对磋商文件作出的实质性变动是磋商文件的有效组成部分，磋商小组应当及时以书面形式同时通知所有参加磋商的供应商。</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家以上供应商的设计方案或者解决方案，并要求其在规定时间内提交最后报价。</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.7已提交响应文件的供应商，在提交最后报价之前，可以根据磋商情况退出磋商。其</w:t>
      </w:r>
      <w:r>
        <w:rPr>
          <w:rFonts w:hint="eastAsia" w:ascii="宋体" w:hAnsi="宋体" w:cs="宋体"/>
          <w:color w:val="auto"/>
          <w:sz w:val="24"/>
          <w:szCs w:val="24"/>
          <w:highlight w:val="none"/>
          <w:lang w:eastAsia="zh-CN"/>
        </w:rPr>
        <w:t>响应保证金</w:t>
      </w:r>
      <w:r>
        <w:rPr>
          <w:rFonts w:hint="eastAsia" w:ascii="宋体" w:hAnsi="宋体" w:eastAsia="宋体" w:cs="宋体"/>
          <w:color w:val="auto"/>
          <w:sz w:val="24"/>
          <w:szCs w:val="24"/>
          <w:highlight w:val="none"/>
        </w:rPr>
        <w:t>将予以退还。</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.8最后报价是供应商响应文件的有效组成部分。符合</w:t>
      </w:r>
      <w:r>
        <w:rPr>
          <w:rFonts w:hint="eastAsia" w:ascii="宋体" w:hAnsi="宋体" w:eastAsia="宋体" w:cs="宋体"/>
          <w:color w:val="auto"/>
          <w:sz w:val="24"/>
          <w:szCs w:val="24"/>
          <w:highlight w:val="none"/>
          <w:lang w:eastAsia="zh-CN"/>
        </w:rPr>
        <w:t>《政府采购竞争性磋商采购方式管理暂行办法》</w:t>
      </w:r>
      <w:r>
        <w:rPr>
          <w:rFonts w:hint="eastAsia" w:ascii="宋体" w:hAnsi="宋体" w:eastAsia="宋体" w:cs="宋体"/>
          <w:color w:val="auto"/>
          <w:sz w:val="24"/>
          <w:szCs w:val="24"/>
          <w:highlight w:val="none"/>
        </w:rPr>
        <w:t>第三条第四项情形</w:t>
      </w:r>
      <w:r>
        <w:rPr>
          <w:rFonts w:hint="eastAsia" w:ascii="宋体" w:hAnsi="宋体" w:eastAsia="宋体" w:cs="宋体"/>
          <w:color w:val="auto"/>
          <w:sz w:val="24"/>
          <w:szCs w:val="24"/>
          <w:highlight w:val="none"/>
          <w:lang w:eastAsia="zh-CN"/>
        </w:rPr>
        <w:t>：市场竞争不充分的科研项目，以及需要扶持的科技成果转化项目</w:t>
      </w:r>
      <w:r>
        <w:rPr>
          <w:rFonts w:hint="eastAsia" w:ascii="宋体" w:hAnsi="宋体" w:cs="宋体"/>
          <w:color w:val="auto"/>
          <w:sz w:val="24"/>
          <w:szCs w:val="24"/>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.9经磋商确定最终采购需求和提交最后报价的供应商后，由磋商小组采用综合评分法对提交最后报价的供应商的响应文件和最后报价进行综合评分。</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.10采购结果确认</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（3）条款是指磋商过程中确定的最终采购需求及报价。</w:t>
      </w:r>
    </w:p>
    <w:p>
      <w:pPr>
        <w:pStyle w:val="12"/>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推荐成交供应商</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2"/>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确定成交供应商</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采购代理机构应当在评审结束后2个工作日内将评审报告送采购人确认。</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color w:val="auto"/>
          <w:sz w:val="28"/>
          <w:szCs w:val="28"/>
          <w:highlight w:val="none"/>
          <w:lang w:val="en-US" w:eastAsia="zh-CN"/>
        </w:rPr>
      </w:pPr>
      <w:bookmarkStart w:id="87" w:name="_Toc19418"/>
      <w:r>
        <w:rPr>
          <w:rFonts w:hint="eastAsia" w:ascii="宋体" w:hAnsi="宋体" w:eastAsia="宋体" w:cs="宋体"/>
          <w:b/>
          <w:color w:val="auto"/>
          <w:sz w:val="28"/>
          <w:szCs w:val="28"/>
          <w:highlight w:val="none"/>
          <w:lang w:val="en-US" w:eastAsia="zh-CN"/>
        </w:rPr>
        <w:t>三、串通投标的情况</w:t>
      </w:r>
      <w:bookmarkEnd w:id="87"/>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有下列情形之一的，视为投标人串通投标，其投标无效：</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1、不同投标人的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由同一单位或者个人编制；</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2、不同投标人委托同一单位或者个人办理投标事宜；</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3、不同投标人的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载明的项目管理成员或者联系人员为同一人；</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4、不同投标人的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异常一致或者投标报价呈规律性差异；</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5、不同投标人的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相互混装；</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cs="Times New Roman" w:asciiTheme="majorEastAsia" w:hAnsiTheme="majorEastAsia" w:eastAsiaTheme="majorEastAsia"/>
          <w:color w:val="auto"/>
          <w:sz w:val="28"/>
          <w:szCs w:val="28"/>
          <w:highlight w:val="none"/>
        </w:rPr>
      </w:pPr>
      <w:r>
        <w:rPr>
          <w:rFonts w:hint="eastAsia" w:ascii="宋体" w:hAnsi="宋体" w:eastAsia="宋体" w:cs="宋体"/>
          <w:color w:val="auto"/>
          <w:sz w:val="24"/>
          <w:szCs w:val="24"/>
          <w:highlight w:val="none"/>
          <w:lang w:val="en-US" w:eastAsia="zh-CN"/>
        </w:rPr>
        <w:t>6、不同投标人的</w:t>
      </w:r>
      <w:r>
        <w:rPr>
          <w:rFonts w:hint="eastAsia" w:ascii="宋体" w:hAnsi="宋体" w:cs="宋体"/>
          <w:color w:val="auto"/>
          <w:sz w:val="24"/>
          <w:szCs w:val="24"/>
          <w:highlight w:val="none"/>
          <w:lang w:val="en-US" w:eastAsia="zh-CN"/>
        </w:rPr>
        <w:t>响应保证金</w:t>
      </w:r>
      <w:r>
        <w:rPr>
          <w:rFonts w:hint="eastAsia" w:ascii="宋体" w:hAnsi="宋体" w:eastAsia="宋体" w:cs="宋体"/>
          <w:color w:val="auto"/>
          <w:sz w:val="24"/>
          <w:szCs w:val="24"/>
          <w:highlight w:val="none"/>
          <w:lang w:val="en-US" w:eastAsia="zh-CN"/>
        </w:rPr>
        <w:t>从同一单位或者个人的账户转出。</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lang w:val="en-US" w:eastAsia="zh-CN"/>
        </w:rPr>
        <w:t>、无效投标条款和废标条款</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4.1无效投标条款</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投标人不遵循公平竞争的原则，恶意串通，妨碍其他投标人的竞争，损害采购人或者其他投标人的合法权益，评标委员会应当认定其投标无效。</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4.2废标条款：</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4.2.1符合专业条件的供应商或者对磋商文件作实质响应的供应商不足三家的；</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4.2.2出现影响采购公正的违法、违规行为的；</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4.2.3投标人的报价均超过了采购预算，采购人不能支付的；</w:t>
      </w:r>
    </w:p>
    <w:p>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4.2.4因重大变故，采购任务取消的。</w:t>
      </w: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12"/>
        <w:spacing w:line="500" w:lineRule="exact"/>
        <w:ind w:firstLine="565" w:firstLineChars="202"/>
        <w:jc w:val="left"/>
        <w:rPr>
          <w:rFonts w:hint="eastAsia" w:cs="Times New Roman" w:asciiTheme="majorEastAsia" w:hAnsiTheme="majorEastAsia" w:eastAsiaTheme="majorEastAsia"/>
          <w:color w:val="auto"/>
          <w:sz w:val="28"/>
          <w:szCs w:val="28"/>
          <w:highlight w:val="none"/>
        </w:rPr>
      </w:pPr>
    </w:p>
    <w:p>
      <w:pPr>
        <w:pStyle w:val="3"/>
        <w:numPr>
          <w:ilvl w:val="0"/>
          <w:numId w:val="1"/>
        </w:numPr>
        <w:spacing w:before="0" w:after="0" w:line="240" w:lineRule="auto"/>
        <w:ind w:left="0" w:leftChars="0"/>
        <w:rPr>
          <w:rFonts w:hint="eastAsia"/>
          <w:color w:val="auto"/>
          <w:highlight w:val="none"/>
        </w:rPr>
      </w:pPr>
      <w:bookmarkStart w:id="88" w:name="_Toc6170"/>
      <w:bookmarkStart w:id="89" w:name="_Toc22804"/>
      <w:r>
        <w:rPr>
          <w:rFonts w:hint="eastAsia"/>
          <w:color w:val="auto"/>
          <w:highlight w:val="none"/>
          <w:lang w:val="en-US" w:eastAsia="zh-CN"/>
        </w:rPr>
        <w:t xml:space="preserve"> </w:t>
      </w:r>
      <w:bookmarkStart w:id="90" w:name="_Toc10028"/>
      <w:bookmarkStart w:id="91" w:name="_Toc25634"/>
      <w:r>
        <w:rPr>
          <w:rFonts w:hint="eastAsia"/>
          <w:color w:val="auto"/>
          <w:highlight w:val="none"/>
        </w:rPr>
        <w:t>合同</w:t>
      </w:r>
      <w:bookmarkEnd w:id="79"/>
      <w:bookmarkEnd w:id="80"/>
      <w:bookmarkEnd w:id="81"/>
      <w:bookmarkEnd w:id="82"/>
      <w:bookmarkEnd w:id="88"/>
      <w:bookmarkEnd w:id="89"/>
      <w:bookmarkEnd w:id="90"/>
      <w:r>
        <w:rPr>
          <w:rFonts w:hint="eastAsia"/>
          <w:color w:val="auto"/>
          <w:highlight w:val="none"/>
          <w:lang w:eastAsia="zh-CN"/>
        </w:rPr>
        <w:t>文件</w:t>
      </w:r>
      <w:bookmarkEnd w:id="91"/>
    </w:p>
    <w:p>
      <w:pPr>
        <w:pStyle w:val="84"/>
        <w:jc w:val="center"/>
        <w:rPr>
          <w:rFonts w:hint="eastAsia" w:ascii="宋体" w:hAnsi="宋体" w:eastAsia="宋体" w:cs="宋体"/>
          <w:b/>
          <w:color w:val="auto"/>
          <w:sz w:val="52"/>
          <w:szCs w:val="52"/>
          <w:highlight w:val="none"/>
        </w:rPr>
      </w:pPr>
    </w:p>
    <w:p>
      <w:pPr>
        <w:pStyle w:val="84"/>
        <w:jc w:val="center"/>
        <w:rPr>
          <w:rFonts w:hint="eastAsia" w:ascii="宋体" w:hAnsi="宋体" w:eastAsia="宋体" w:cs="宋体"/>
          <w:b/>
          <w:color w:val="auto"/>
          <w:sz w:val="52"/>
          <w:szCs w:val="52"/>
          <w:highlight w:val="none"/>
        </w:rPr>
      </w:pPr>
    </w:p>
    <w:p>
      <w:pPr>
        <w:pStyle w:val="84"/>
        <w:jc w:val="center"/>
        <w:rPr>
          <w:rFonts w:hint="eastAsia" w:ascii="宋体" w:hAnsi="宋体" w:eastAsia="宋体" w:cs="宋体"/>
          <w:b/>
          <w:color w:val="auto"/>
          <w:sz w:val="52"/>
          <w:szCs w:val="52"/>
          <w:highlight w:val="none"/>
        </w:rPr>
      </w:pPr>
    </w:p>
    <w:p>
      <w:pPr>
        <w:pStyle w:val="84"/>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政府采购合同</w:t>
      </w:r>
    </w:p>
    <w:p>
      <w:pPr>
        <w:pStyle w:val="84"/>
        <w:jc w:val="center"/>
        <w:rPr>
          <w:rFonts w:hint="eastAsia" w:ascii="宋体" w:hAnsi="宋体" w:eastAsia="宋体" w:cs="宋体"/>
          <w:b/>
          <w:color w:val="auto"/>
          <w:sz w:val="52"/>
          <w:szCs w:val="52"/>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84"/>
        <w:ind w:firstLine="1597" w:firstLineChars="497"/>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z w:val="32"/>
          <w:szCs w:val="32"/>
          <w:highlight w:val="none"/>
          <w:u w:val="single"/>
        </w:rPr>
        <w:t xml:space="preserve">                    </w:t>
      </w:r>
    </w:p>
    <w:p>
      <w:pPr>
        <w:pStyle w:val="84"/>
        <w:spacing w:before="312" w:beforeLines="100"/>
        <w:ind w:firstLine="1597" w:firstLineChars="497"/>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u w:val="single"/>
        </w:rPr>
        <w:t xml:space="preserve">                    </w:t>
      </w:r>
    </w:p>
    <w:p>
      <w:pPr>
        <w:pStyle w:val="84"/>
        <w:spacing w:before="312" w:beforeLines="100"/>
        <w:ind w:firstLine="1597" w:firstLineChars="497"/>
        <w:rPr>
          <w:rFonts w:hint="eastAsia" w:ascii="宋体" w:hAnsi="宋体" w:eastAsia="宋体" w:cs="宋体"/>
          <w:b/>
          <w:color w:val="auto"/>
          <w:sz w:val="32"/>
          <w:szCs w:val="32"/>
          <w:highlight w:val="none"/>
          <w:u w:val="single"/>
        </w:rPr>
      </w:pPr>
      <w:r>
        <w:rPr>
          <w:rFonts w:hint="eastAsia" w:ascii="宋体" w:hAnsi="宋体" w:eastAsia="宋体" w:cs="宋体"/>
          <w:b/>
          <w:bCs/>
          <w:color w:val="auto"/>
          <w:kern w:val="0"/>
          <w:sz w:val="32"/>
          <w:szCs w:val="32"/>
          <w:highlight w:val="none"/>
        </w:rPr>
        <w:t>合同编号:</w:t>
      </w:r>
      <w:r>
        <w:rPr>
          <w:rFonts w:hint="eastAsia" w:ascii="宋体" w:hAnsi="宋体" w:eastAsia="宋体" w:cs="宋体"/>
          <w:b/>
          <w:color w:val="auto"/>
          <w:sz w:val="32"/>
          <w:szCs w:val="32"/>
          <w:highlight w:val="none"/>
          <w:u w:val="single"/>
        </w:rPr>
        <w:t xml:space="preserve">                    </w:t>
      </w:r>
    </w:p>
    <w:p>
      <w:pPr>
        <w:pStyle w:val="84"/>
        <w:spacing w:before="312" w:beforeLines="100"/>
        <w:jc w:val="center"/>
        <w:rPr>
          <w:rFonts w:hint="eastAsia" w:ascii="宋体" w:hAnsi="宋体" w:eastAsia="宋体" w:cs="宋体"/>
          <w:b/>
          <w:color w:val="auto"/>
          <w:sz w:val="32"/>
          <w:szCs w:val="32"/>
          <w:highlight w:val="none"/>
          <w:u w:val="single"/>
        </w:rPr>
      </w:pPr>
    </w:p>
    <w:p>
      <w:pPr>
        <w:pStyle w:val="84"/>
        <w:spacing w:before="312" w:beforeLines="100"/>
        <w:jc w:val="center"/>
        <w:rPr>
          <w:rFonts w:hint="eastAsia" w:ascii="宋体" w:hAnsi="宋体" w:eastAsia="宋体" w:cs="宋体"/>
          <w:b/>
          <w:color w:val="auto"/>
          <w:sz w:val="32"/>
          <w:szCs w:val="32"/>
          <w:highlight w:val="none"/>
          <w:u w:val="single"/>
        </w:rPr>
      </w:pPr>
    </w:p>
    <w:p>
      <w:pPr>
        <w:pStyle w:val="84"/>
        <w:spacing w:before="312" w:beforeLines="100"/>
        <w:jc w:val="center"/>
        <w:rPr>
          <w:rFonts w:hint="eastAsia" w:ascii="宋体" w:hAnsi="宋体" w:eastAsia="宋体" w:cs="宋体"/>
          <w:b/>
          <w:color w:val="auto"/>
          <w:sz w:val="32"/>
          <w:szCs w:val="32"/>
          <w:highlight w:val="none"/>
          <w:u w:val="single"/>
        </w:rPr>
      </w:pPr>
    </w:p>
    <w:p>
      <w:pPr>
        <w:pStyle w:val="84"/>
        <w:spacing w:before="312" w:beforeLines="100"/>
        <w:jc w:val="center"/>
        <w:rPr>
          <w:rFonts w:hint="eastAsia" w:ascii="宋体" w:hAnsi="宋体" w:eastAsia="宋体" w:cs="宋体"/>
          <w:b/>
          <w:color w:val="auto"/>
          <w:sz w:val="32"/>
          <w:szCs w:val="32"/>
          <w:highlight w:val="none"/>
          <w:u w:val="single"/>
        </w:rPr>
      </w:pPr>
    </w:p>
    <w:p>
      <w:pPr>
        <w:pStyle w:val="84"/>
        <w:ind w:firstLine="1606" w:firstLineChars="5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甲    方:</w:t>
      </w:r>
      <w:r>
        <w:rPr>
          <w:rFonts w:hint="eastAsia" w:ascii="宋体" w:hAnsi="宋体" w:eastAsia="宋体" w:cs="宋体"/>
          <w:b/>
          <w:color w:val="auto"/>
          <w:sz w:val="32"/>
          <w:szCs w:val="32"/>
          <w:highlight w:val="none"/>
          <w:u w:val="single"/>
        </w:rPr>
        <w:t xml:space="preserve">                    </w:t>
      </w:r>
    </w:p>
    <w:p>
      <w:pPr>
        <w:pStyle w:val="84"/>
        <w:spacing w:before="312" w:beforeLines="100"/>
        <w:ind w:firstLine="1606" w:firstLineChars="500"/>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乙    方:</w:t>
      </w:r>
      <w:r>
        <w:rPr>
          <w:rFonts w:hint="eastAsia" w:ascii="宋体" w:hAnsi="宋体" w:eastAsia="宋体" w:cs="宋体"/>
          <w:b/>
          <w:color w:val="auto"/>
          <w:sz w:val="32"/>
          <w:szCs w:val="32"/>
          <w:highlight w:val="none"/>
          <w:u w:val="single"/>
        </w:rPr>
        <w:t xml:space="preserve">                    </w:t>
      </w:r>
    </w:p>
    <w:p>
      <w:pPr>
        <w:rPr>
          <w:rFonts w:hint="eastAsia" w:ascii="宋体" w:hAnsi="宋体" w:eastAsia="宋体" w:cs="宋体"/>
          <w:color w:val="auto"/>
          <w:sz w:val="24"/>
          <w:szCs w:val="24"/>
          <w:highlight w:val="none"/>
          <w:u w:val="single"/>
          <w:lang w:val="zh-CN"/>
        </w:rPr>
      </w:pPr>
    </w:p>
    <w:p>
      <w:pPr>
        <w:rPr>
          <w:rFonts w:hint="eastAsia" w:ascii="宋体" w:hAnsi="宋体" w:eastAsia="宋体" w:cs="宋体"/>
          <w:color w:val="auto"/>
          <w:sz w:val="24"/>
          <w:szCs w:val="24"/>
          <w:highlight w:val="none"/>
          <w:u w:val="single"/>
          <w:lang w:val="zh-CN"/>
        </w:rPr>
      </w:pPr>
    </w:p>
    <w:p>
      <w:pPr>
        <w:rPr>
          <w:rFonts w:hint="eastAsia" w:ascii="宋体" w:hAnsi="宋体" w:eastAsia="宋体" w:cs="宋体"/>
          <w:color w:val="auto"/>
          <w:sz w:val="24"/>
          <w:szCs w:val="24"/>
          <w:highlight w:val="none"/>
          <w:u w:val="single"/>
          <w:lang w:val="zh-CN"/>
        </w:rPr>
      </w:pPr>
    </w:p>
    <w:p>
      <w:pPr>
        <w:rPr>
          <w:rFonts w:hint="eastAsia" w:ascii="宋体" w:hAnsi="宋体" w:eastAsia="宋体" w:cs="宋体"/>
          <w:color w:val="auto"/>
          <w:sz w:val="24"/>
          <w:szCs w:val="24"/>
          <w:highlight w:val="none"/>
          <w:u w:val="single"/>
          <w:lang w:val="zh-CN"/>
        </w:rPr>
      </w:pPr>
    </w:p>
    <w:p>
      <w:pPr>
        <w:rPr>
          <w:rFonts w:hint="eastAsia" w:ascii="宋体" w:hAnsi="宋体" w:eastAsia="宋体" w:cs="宋体"/>
          <w:color w:val="auto"/>
          <w:sz w:val="24"/>
          <w:szCs w:val="24"/>
          <w:highlight w:val="none"/>
          <w:u w:val="single"/>
          <w:lang w:val="zh-CN"/>
        </w:rPr>
      </w:pPr>
    </w:p>
    <w:p>
      <w:pPr>
        <w:pStyle w:val="32"/>
        <w:rPr>
          <w:rFonts w:hint="eastAsia" w:ascii="宋体" w:hAnsi="宋体" w:eastAsia="宋体" w:cs="宋体"/>
          <w:color w:val="auto"/>
          <w:sz w:val="24"/>
          <w:szCs w:val="24"/>
          <w:highlight w:val="none"/>
          <w:u w:val="single"/>
          <w:lang w:val="zh-CN"/>
        </w:rPr>
      </w:pPr>
    </w:p>
    <w:p>
      <w:pPr>
        <w:pStyle w:val="32"/>
        <w:rPr>
          <w:rFonts w:hint="eastAsia" w:ascii="宋体" w:hAnsi="宋体" w:eastAsia="宋体" w:cs="宋体"/>
          <w:color w:val="auto"/>
          <w:sz w:val="24"/>
          <w:szCs w:val="24"/>
          <w:highlight w:val="none"/>
          <w:u w:val="single"/>
          <w:lang w:val="zh-CN"/>
        </w:rPr>
      </w:pPr>
    </w:p>
    <w:p>
      <w:pPr>
        <w:pStyle w:val="32"/>
        <w:rPr>
          <w:rFonts w:hint="eastAsia" w:ascii="宋体" w:hAnsi="宋体" w:eastAsia="宋体" w:cs="宋体"/>
          <w:color w:val="auto"/>
          <w:sz w:val="24"/>
          <w:szCs w:val="24"/>
          <w:highlight w:val="none"/>
          <w:u w:val="single"/>
          <w:lang w:val="zh-CN"/>
        </w:rPr>
      </w:pPr>
    </w:p>
    <w:p>
      <w:pPr>
        <w:pStyle w:val="32"/>
        <w:rPr>
          <w:rFonts w:hint="eastAsia" w:ascii="宋体" w:hAnsi="宋体" w:eastAsia="宋体" w:cs="宋体"/>
          <w:color w:val="auto"/>
          <w:sz w:val="24"/>
          <w:szCs w:val="24"/>
          <w:highlight w:val="none"/>
          <w:u w:val="single"/>
          <w:lang w:val="zh-CN"/>
        </w:rPr>
      </w:pPr>
    </w:p>
    <w:p>
      <w:pPr>
        <w:pStyle w:val="32"/>
        <w:rPr>
          <w:rFonts w:hint="eastAsia" w:ascii="宋体" w:hAnsi="宋体" w:eastAsia="宋体" w:cs="宋体"/>
          <w:color w:val="auto"/>
          <w:sz w:val="24"/>
          <w:szCs w:val="24"/>
          <w:highlight w:val="none"/>
          <w:u w:val="single"/>
          <w:lang w:val="zh-CN"/>
        </w:rPr>
      </w:pPr>
    </w:p>
    <w:p>
      <w:pPr>
        <w:pStyle w:val="32"/>
        <w:rPr>
          <w:rFonts w:hint="eastAsia" w:ascii="宋体" w:hAnsi="宋体" w:eastAsia="宋体" w:cs="宋体"/>
          <w:color w:val="auto"/>
          <w:sz w:val="24"/>
          <w:szCs w:val="24"/>
          <w:highlight w:val="none"/>
          <w:u w:val="single"/>
          <w:lang w:val="zh-CN"/>
        </w:rPr>
      </w:pPr>
    </w:p>
    <w:p>
      <w:pPr>
        <w:pStyle w:val="32"/>
        <w:rPr>
          <w:rFonts w:hint="eastAsia" w:ascii="宋体" w:hAnsi="宋体" w:eastAsia="宋体" w:cs="宋体"/>
          <w:color w:val="auto"/>
          <w:sz w:val="24"/>
          <w:szCs w:val="24"/>
          <w:highlight w:val="none"/>
          <w:u w:val="single"/>
          <w:lang w:val="zh-CN"/>
        </w:rPr>
      </w:pPr>
    </w:p>
    <w:p>
      <w:pPr>
        <w:pageBreakBefore w:val="0"/>
        <w:widowControl w:val="0"/>
        <w:numPr>
          <w:ilvl w:val="0"/>
          <w:numId w:val="2"/>
        </w:numPr>
        <w:kinsoku/>
        <w:wordWrap/>
        <w:overflowPunct/>
        <w:topLinePunct w:val="0"/>
        <w:autoSpaceDE/>
        <w:autoSpaceDN/>
        <w:bidi w:val="0"/>
        <w:snapToGrid/>
        <w:spacing w:line="400" w:lineRule="exact"/>
        <w:jc w:val="center"/>
        <w:outlineLvl w:val="1"/>
        <w:rPr>
          <w:rFonts w:hint="eastAsia" w:ascii="宋体" w:hAnsi="宋体" w:eastAsia="宋体" w:cs="宋体"/>
          <w:b/>
          <w:color w:val="auto"/>
          <w:sz w:val="28"/>
          <w:szCs w:val="28"/>
          <w:highlight w:val="none"/>
          <w:lang w:val="zh-CN" w:eastAsia="zh-CN"/>
        </w:rPr>
      </w:pPr>
      <w:bookmarkStart w:id="92" w:name="_Toc8658"/>
      <w:bookmarkStart w:id="93" w:name="_Toc22897"/>
      <w:bookmarkStart w:id="94" w:name="_Toc27010"/>
      <w:r>
        <w:rPr>
          <w:rFonts w:hint="eastAsia" w:ascii="宋体" w:hAnsi="宋体" w:eastAsia="宋体" w:cs="宋体"/>
          <w:b/>
          <w:color w:val="auto"/>
          <w:sz w:val="28"/>
          <w:szCs w:val="28"/>
          <w:highlight w:val="none"/>
          <w:lang w:val="zh-CN" w:eastAsia="zh-CN"/>
        </w:rPr>
        <w:t>合同书</w:t>
      </w:r>
      <w:bookmarkEnd w:id="92"/>
      <w:bookmarkEnd w:id="93"/>
      <w:bookmarkEnd w:id="94"/>
    </w:p>
    <w:p>
      <w:pPr>
        <w:pStyle w:val="32"/>
        <w:numPr>
          <w:ilvl w:val="0"/>
          <w:numId w:val="0"/>
        </w:numPr>
        <w:ind w:leftChars="196"/>
        <w:rPr>
          <w:rFonts w:hint="eastAsia"/>
          <w:color w:val="auto"/>
          <w:highlight w:val="none"/>
          <w:lang w:val="zh-CN" w:eastAsia="zh-CN"/>
        </w:rPr>
      </w:pPr>
    </w:p>
    <w:p>
      <w:pPr>
        <w:widowControl/>
        <w:jc w:val="left"/>
        <w:rPr>
          <w:rFonts w:hint="eastAsia" w:asciiTheme="minorEastAsia" w:hAnsiTheme="minorEastAsia" w:eastAsiaTheme="minorEastAsia"/>
          <w:sz w:val="24"/>
          <w:szCs w:val="24"/>
        </w:rPr>
      </w:pPr>
      <w:bookmarkStart w:id="95" w:name="_Toc331685783"/>
      <w:r>
        <w:rPr>
          <w:rFonts w:hint="eastAsia" w:asciiTheme="minorEastAsia" w:hAnsiTheme="minorEastAsia" w:eastAsiaTheme="minorEastAsia"/>
          <w:sz w:val="24"/>
          <w:szCs w:val="24"/>
        </w:rPr>
        <w:t xml:space="preserve">甲方： </w:t>
      </w:r>
    </w:p>
    <w:p>
      <w:pPr>
        <w:topLinePunct/>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地址 :</w:t>
      </w:r>
    </w:p>
    <w:p>
      <w:pPr>
        <w:topLinePunct/>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法定代表人（负责人）： </w:t>
      </w:r>
    </w:p>
    <w:p>
      <w:pPr>
        <w:topLinePunct/>
        <w:spacing w:line="360" w:lineRule="auto"/>
        <w:rPr>
          <w:rFonts w:asciiTheme="minorEastAsia" w:hAnsiTheme="minorEastAsia" w:eastAsiaTheme="minorEastAsia"/>
          <w:sz w:val="24"/>
          <w:szCs w:val="24"/>
        </w:rPr>
      </w:pPr>
    </w:p>
    <w:p>
      <w:pPr>
        <w:topLinePunct/>
        <w:spacing w:line="360" w:lineRule="auto"/>
        <w:rPr>
          <w:rFonts w:hint="eastAsia" w:asciiTheme="minorEastAsia" w:hAnsiTheme="minorEastAsia" w:eastAsiaTheme="minorEastAsia"/>
          <w:spacing w:val="-6"/>
          <w:sz w:val="24"/>
          <w:szCs w:val="24"/>
        </w:rPr>
      </w:pPr>
      <w:r>
        <w:rPr>
          <w:rFonts w:hint="eastAsia" w:asciiTheme="minorEastAsia" w:hAnsiTheme="minorEastAsia" w:eastAsiaTheme="minorEastAsia"/>
          <w:sz w:val="24"/>
          <w:szCs w:val="24"/>
        </w:rPr>
        <w:t>乙方:</w:t>
      </w:r>
      <w:r>
        <w:rPr>
          <w:rFonts w:hint="eastAsia" w:asciiTheme="minorEastAsia" w:hAnsiTheme="minorEastAsia" w:eastAsiaTheme="minorEastAsia"/>
          <w:spacing w:val="-6"/>
          <w:sz w:val="24"/>
          <w:szCs w:val="24"/>
        </w:rPr>
        <w:t xml:space="preserve">  </w:t>
      </w:r>
    </w:p>
    <w:p>
      <w:pPr>
        <w:topLinePunct/>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地址： </w:t>
      </w:r>
    </w:p>
    <w:p>
      <w:pPr>
        <w:topLinePunct/>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法定代表人（负责人）： </w:t>
      </w:r>
    </w:p>
    <w:p>
      <w:pPr>
        <w:topLinePunct/>
        <w:spacing w:line="360" w:lineRule="auto"/>
        <w:rPr>
          <w:rFonts w:asciiTheme="minorEastAsia" w:hAnsiTheme="minorEastAsia" w:eastAsiaTheme="minorEastAsia"/>
          <w:b/>
          <w:bCs/>
          <w:sz w:val="24"/>
          <w:szCs w:val="24"/>
        </w:rPr>
      </w:pPr>
    </w:p>
    <w:p>
      <w:pPr>
        <w:topLinePunct/>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 xml:space="preserve">    第一条 总则</w:t>
      </w:r>
    </w:p>
    <w:p>
      <w:pPr>
        <w:topLinePunct/>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根据《中华人民共和国民法典》及相关法律、法规，本着自愿、平等、诚实信用的原则，双方就</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事宜，协商一致，签订本协议。</w:t>
      </w:r>
    </w:p>
    <w:p>
      <w:pPr>
        <w:topLinePunct/>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第二条 服务内容</w:t>
      </w:r>
    </w:p>
    <w:p>
      <w:pPr>
        <w:topLinePunct/>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2.1.服务内容:                               </w:t>
      </w:r>
    </w:p>
    <w:p>
      <w:pPr>
        <w:topLinePunct/>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2.2.</w:t>
      </w:r>
      <w:r>
        <w:rPr>
          <w:rFonts w:hint="eastAsia" w:asciiTheme="minorEastAsia" w:hAnsiTheme="minorEastAsia" w:eastAsiaTheme="minorEastAsia"/>
          <w:sz w:val="24"/>
          <w:szCs w:val="24"/>
        </w:rPr>
        <w:t>乙方根据本项目实际情况提供</w:t>
      </w:r>
      <w:r>
        <w:rPr>
          <w:rFonts w:asciiTheme="minorEastAsia" w:hAnsiTheme="minorEastAsia" w:eastAsiaTheme="minorEastAsia"/>
          <w:sz w:val="24"/>
          <w:szCs w:val="24"/>
        </w:rPr>
        <w:t>集成服务</w:t>
      </w:r>
      <w:r>
        <w:rPr>
          <w:rFonts w:hint="eastAsia" w:asciiTheme="minorEastAsia" w:hAnsiTheme="minorEastAsia" w:eastAsiaTheme="minorEastAsia"/>
          <w:sz w:val="24"/>
          <w:szCs w:val="24"/>
        </w:rPr>
        <w:t>，提供本项目勘查服务、设计服务、方案集成与实施服务、运营维护服务、专业培训服务、项目组织等服务，保障项目按时交付。</w:t>
      </w:r>
    </w:p>
    <w:p>
      <w:pPr>
        <w:topLinePunct/>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2.2.服务内容详见附件一。</w:t>
      </w:r>
    </w:p>
    <w:p>
      <w:pPr>
        <w:topLinePunct/>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第三条 费用及支付</w:t>
      </w:r>
    </w:p>
    <w:p>
      <w:pPr>
        <w:topLinePunct/>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3.1.本项目总金额含税价     元（大写：          ）；</w:t>
      </w:r>
    </w:p>
    <w:p>
      <w:pPr>
        <w:topLinePunct/>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3.2.本项目融资租赁费用为：     元（大写：          ）；</w:t>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融资租赁服务期限：</w:t>
      </w:r>
      <w:r>
        <w:rPr>
          <w:rFonts w:hint="eastAsia" w:asciiTheme="minorEastAsia" w:hAnsiTheme="minorEastAsia" w:eastAsiaTheme="minorEastAsia"/>
          <w:sz w:val="24"/>
          <w:szCs w:val="24"/>
          <w:u w:val="single"/>
        </w:rPr>
        <w:t>自    年  月起至   年   月,</w:t>
      </w:r>
      <w:r>
        <w:rPr>
          <w:rFonts w:hint="eastAsia" w:asciiTheme="minorEastAsia" w:hAnsiTheme="minorEastAsia" w:eastAsiaTheme="minorEastAsia"/>
          <w:sz w:val="24"/>
          <w:szCs w:val="24"/>
        </w:rPr>
        <w:t>具体以验收日期为准；</w:t>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3.3.集成服务费含税价     元（大写：          ）；</w:t>
      </w:r>
    </w:p>
    <w:p>
      <w:pPr>
        <w:tabs>
          <w:tab w:val="left" w:pos="6664"/>
        </w:tabs>
        <w:topLinePunct/>
        <w:spacing w:line="36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第四条 付款方式</w:t>
      </w:r>
      <w:r>
        <w:rPr>
          <w:rFonts w:hint="eastAsia" w:asciiTheme="minorEastAsia" w:hAnsiTheme="minorEastAsia" w:eastAsiaTheme="minorEastAsia"/>
          <w:b/>
          <w:bCs/>
          <w:sz w:val="24"/>
          <w:szCs w:val="24"/>
        </w:rPr>
        <w:tab/>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4.1.合同签订后支付合同总价款的</w:t>
      </w:r>
      <w:r>
        <w:rPr>
          <w:rFonts w:asciiTheme="minorEastAsia" w:hAnsiTheme="minorEastAsia" w:eastAsiaTheme="minorEastAsia"/>
          <w:sz w:val="24"/>
          <w:szCs w:val="24"/>
        </w:rPr>
        <w:t>6</w:t>
      </w:r>
      <w:r>
        <w:rPr>
          <w:rFonts w:hint="eastAsia" w:asciiTheme="minorEastAsia" w:hAnsiTheme="minorEastAsia" w:eastAsiaTheme="minorEastAsia"/>
          <w:sz w:val="24"/>
          <w:szCs w:val="24"/>
        </w:rPr>
        <w:t>0%（其余按照合同相关约定执行）。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4.2.乙方账户信息如下：</w:t>
      </w:r>
    </w:p>
    <w:p>
      <w:pPr>
        <w:spacing w:line="360" w:lineRule="auto"/>
        <w:ind w:firstLine="480" w:firstLineChars="200"/>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收款单位名称： </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开户行名称：</w:t>
      </w:r>
    </w:p>
    <w:p>
      <w:pPr>
        <w:spacing w:line="360" w:lineRule="auto"/>
        <w:ind w:firstLine="480" w:firstLineChars="200"/>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银行账号：</w:t>
      </w:r>
      <w:r>
        <w:rPr>
          <w:rFonts w:hint="eastAsia" w:asciiTheme="minorEastAsia" w:hAnsiTheme="minorEastAsia" w:eastAsiaTheme="minorEastAsia"/>
          <w:sz w:val="24"/>
          <w:szCs w:val="24"/>
          <w:u w:val="single"/>
        </w:rPr>
        <w:t xml:space="preserve"> </w:t>
      </w:r>
    </w:p>
    <w:p>
      <w:pPr>
        <w:topLinePunct/>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第五条 验收与交付</w:t>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5.1.乙方应于合同签订后</w:t>
      </w:r>
      <w:r>
        <w:rPr>
          <w:rFonts w:asciiTheme="minorEastAsia" w:hAnsiTheme="minorEastAsia" w:eastAsiaTheme="minorEastAsia"/>
          <w:sz w:val="24"/>
          <w:szCs w:val="24"/>
        </w:rPr>
        <w:t>30</w:t>
      </w:r>
      <w:r>
        <w:rPr>
          <w:rFonts w:hint="eastAsia" w:asciiTheme="minorEastAsia" w:hAnsiTheme="minorEastAsia" w:eastAsiaTheme="minorEastAsia"/>
          <w:sz w:val="24"/>
          <w:szCs w:val="24"/>
        </w:rPr>
        <w:t>个日内完工。乙方完成项目后，应以书面方式通知甲方，甲方在接到通知后</w:t>
      </w:r>
      <w:r>
        <w:rPr>
          <w:rFonts w:hint="eastAsia" w:asciiTheme="minorEastAsia" w:hAnsiTheme="minorEastAsia" w:eastAsiaTheme="minorEastAsia"/>
          <w:sz w:val="24"/>
          <w:szCs w:val="24"/>
          <w:u w:val="single"/>
        </w:rPr>
        <w:t>3</w:t>
      </w:r>
      <w:r>
        <w:rPr>
          <w:rFonts w:hint="eastAsia" w:asciiTheme="minorEastAsia" w:hAnsiTheme="minorEastAsia" w:eastAsiaTheme="minorEastAsia"/>
          <w:sz w:val="24"/>
          <w:szCs w:val="24"/>
        </w:rPr>
        <w:t>日内对乙方项目质量组织验收。</w:t>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5.2验收地点：</w:t>
      </w:r>
      <w:r>
        <w:rPr>
          <w:rFonts w:hint="eastAsia" w:asciiTheme="minorEastAsia" w:hAnsiTheme="minorEastAsia" w:eastAsiaTheme="minorEastAsia"/>
          <w:sz w:val="24"/>
          <w:szCs w:val="24"/>
          <w:u w:val="single"/>
        </w:rPr>
        <w:t xml:space="preserve">        </w:t>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5.3验收方式：甲方验收采用  </w:t>
      </w:r>
      <w:r>
        <w:rPr>
          <w:rFonts w:hint="eastAsia" w:asciiTheme="minorEastAsia" w:hAnsiTheme="minorEastAsia" w:eastAsiaTheme="minorEastAsia"/>
          <w:sz w:val="24"/>
          <w:szCs w:val="24"/>
          <w:u w:val="single"/>
        </w:rPr>
        <w:t>现场</w:t>
      </w:r>
      <w:r>
        <w:rPr>
          <w:rFonts w:hint="eastAsia" w:asciiTheme="minorEastAsia" w:hAnsiTheme="minorEastAsia" w:eastAsiaTheme="minorEastAsia"/>
          <w:sz w:val="24"/>
          <w:szCs w:val="24"/>
        </w:rPr>
        <w:t xml:space="preserve"> 方式进行。</w:t>
      </w:r>
    </w:p>
    <w:p>
      <w:pPr>
        <w:topLinePunct/>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第六条 甲乙双方约定</w:t>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6.1.甲方应配合向乙方完成对应建设过程中</w:t>
      </w:r>
      <w:r>
        <w:rPr>
          <w:rFonts w:hint="eastAsia" w:asciiTheme="minorEastAsia" w:hAnsiTheme="minorEastAsia" w:eastAsiaTheme="minorEastAsia"/>
          <w:sz w:val="24"/>
          <w:szCs w:val="24"/>
          <w:u w:val="single"/>
        </w:rPr>
        <w:t>相关配合、组织、调度及验收交付工作</w:t>
      </w:r>
      <w:r>
        <w:rPr>
          <w:rFonts w:hint="eastAsia" w:asciiTheme="minorEastAsia" w:hAnsiTheme="minorEastAsia" w:eastAsiaTheme="minorEastAsia"/>
          <w:sz w:val="24"/>
          <w:szCs w:val="24"/>
        </w:rPr>
        <w:t>。</w:t>
      </w:r>
    </w:p>
    <w:p>
      <w:pPr>
        <w:snapToGrid w:val="0"/>
        <w:spacing w:before="160" w:beforeLines="50"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6.2.乙方在整个服务过程中应提供和保持一套质量保证体系和严格的质量控制程序，保证使用适当合格的人员为甲方提供服务，保证按本协议规定提供的服务满足协议要求，符合本项目目标。</w:t>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6.3.本融资租赁服务合同服务期限为   个月，租赁期内相关产权归乙方所有，如有损坏需照价赔偿，租期结束后产权为甲方所有。</w:t>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6.4.乙方按照要求提供对应等额发票。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6.5.甲、乙双方如发生争议应协商解决，对本合同以上事项补充约定，双方应另外签署补充协议。</w:t>
      </w:r>
    </w:p>
    <w:p>
      <w:pPr>
        <w:topLinePunct/>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第七条 质量保障和故障处理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7.1.乙方提供的服务具体标准应符合《中华人民共和国电信条例》的规定，满足工业和信息化部颁布的《电信服务规范》的要求，保证甲方使用通信业务安全畅通。</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7.2.乙方应向甲方提供项目   年</w:t>
      </w:r>
      <w:r>
        <w:rPr>
          <w:rFonts w:asciiTheme="minorEastAsia" w:hAnsiTheme="minorEastAsia" w:eastAsiaTheme="minorEastAsia"/>
          <w:sz w:val="24"/>
          <w:szCs w:val="24"/>
        </w:rPr>
        <w:t>的技术</w:t>
      </w:r>
      <w:r>
        <w:rPr>
          <w:rFonts w:hint="eastAsia" w:asciiTheme="minorEastAsia" w:hAnsiTheme="minorEastAsia" w:eastAsiaTheme="minorEastAsia"/>
          <w:sz w:val="24"/>
          <w:szCs w:val="24"/>
        </w:rPr>
        <w:t>服务，故障申告电话：             ，并提供“7  X  24”小时客服服务，接听甲方的故障申告。</w:t>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（1）一般故障2-8小时内恢复</w:t>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（2）重大故障1-3天内恢复</w:t>
      </w:r>
    </w:p>
    <w:p>
      <w:pPr>
        <w:topLinePunct/>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第八条 违约责任</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8.1.违约方应依照相关法律法规的规定和本协议的约定，就其违约行为，向守约方承担相应违约责任。</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8.2.甲方应按时足额支付到期费用，甲方迟延付款达30日的，乙方有权暂停提供服务；甲方逾期超过90日的，乙方有权终止服务，并向甲方追索欠费。</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8.3.本协议项下乙方所提供服务，如未能达到《电信条例》等法律法规规定和双方约定的标准及质量，乙方应按照要求进行整改，给甲方造成损失的，还应当赔偿甲方的损失。</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8.4.除法律、行政法规另有规定或有权机关要求提供外，未经对方事先书面同意，任何一方均不得擅自向第三方披露其在本协议项下获得的，有关对方的信息、资料，以及本协议的具体内容。否则，违反前述保密责任的一方，应依法赔偿由此给另一方造成的损失。</w:t>
      </w:r>
    </w:p>
    <w:p>
      <w:pPr>
        <w:topLinePunct/>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第九条 免责条款</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9.1.因不可抗力或意外事件，导致甲、乙双方或一方不能履行或不能完全履行本协议项下有关义务的（包括地震、火灾、洪水等），双方得以免责。</w:t>
      </w:r>
    </w:p>
    <w:p>
      <w:pPr>
        <w:topLinePunct/>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附则</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本合同未经对方事先书面同意，任何一方不得自行变更或修改本合同。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本合同一式 肆份，双方各执 贰 份。本协议所有附件作为本协议不可分割的组成部分，与本协议正文具有同等法律效力。</w:t>
      </w:r>
    </w:p>
    <w:p>
      <w:pPr>
        <w:spacing w:line="360" w:lineRule="auto"/>
        <w:rPr>
          <w:rStyle w:val="96"/>
          <w:rFonts w:asciiTheme="minorEastAsia" w:hAnsiTheme="minorEastAsia" w:eastAsiaTheme="minorEastAsia"/>
          <w:b/>
          <w:bCs/>
          <w:sz w:val="24"/>
          <w:szCs w:val="24"/>
        </w:rPr>
      </w:pPr>
    </w:p>
    <w:p>
      <w:pPr>
        <w:spacing w:line="360" w:lineRule="auto"/>
        <w:ind w:left="5239" w:leftChars="209" w:hanging="4800" w:hangingChars="20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甲方（盖章）：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乙方（盖章）： </w:t>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法定代表人（负责人）</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法定代表人（负责人）</w:t>
      </w:r>
    </w:p>
    <w:p>
      <w:pPr>
        <w:topLinePunct/>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或授权代表：</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或授权代表：</w:t>
      </w:r>
    </w:p>
    <w:p>
      <w:pPr>
        <w:widowControl/>
        <w:spacing w:line="560" w:lineRule="exact"/>
        <w:ind w:firstLine="720" w:firstLineChars="300"/>
        <w:jc w:val="left"/>
        <w:rPr>
          <w:rFonts w:ascii="楷体" w:hAnsi="楷体" w:eastAsia="楷体"/>
          <w:b/>
          <w:color w:val="auto"/>
          <w:highlight w:val="none"/>
        </w:rPr>
      </w:pPr>
      <w:r>
        <w:rPr>
          <w:rFonts w:hint="eastAsia" w:asciiTheme="minorEastAsia" w:hAnsiTheme="minorEastAsia" w:eastAsiaTheme="minorEastAsia"/>
          <w:sz w:val="24"/>
          <w:szCs w:val="24"/>
        </w:rPr>
        <w:t>签字日期：</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签字日期：</w:t>
      </w:r>
    </w:p>
    <w:p>
      <w:pPr>
        <w:widowControl/>
        <w:spacing w:line="560" w:lineRule="exact"/>
        <w:jc w:val="left"/>
        <w:rPr>
          <w:rFonts w:ascii="楷体" w:hAnsi="楷体" w:eastAsia="楷体"/>
          <w:b/>
          <w:color w:val="auto"/>
          <w:highlight w:val="none"/>
        </w:rPr>
      </w:pPr>
    </w:p>
    <w:p>
      <w:pPr>
        <w:widowControl/>
        <w:spacing w:line="560" w:lineRule="exact"/>
        <w:jc w:val="left"/>
        <w:rPr>
          <w:rFonts w:ascii="楷体" w:hAnsi="楷体" w:eastAsia="楷体"/>
          <w:b/>
          <w:color w:val="auto"/>
          <w:kern w:val="0"/>
          <w:sz w:val="24"/>
          <w:highlight w:val="none"/>
        </w:rPr>
      </w:pPr>
    </w:p>
    <w:p>
      <w:pPr>
        <w:widowControl/>
        <w:spacing w:line="560" w:lineRule="exact"/>
        <w:jc w:val="left"/>
        <w:rPr>
          <w:rFonts w:ascii="楷体" w:hAnsi="楷体" w:eastAsia="楷体"/>
          <w:b/>
          <w:color w:val="auto"/>
          <w:kern w:val="0"/>
          <w:sz w:val="24"/>
          <w:highlight w:val="none"/>
        </w:rPr>
      </w:pPr>
    </w:p>
    <w:p>
      <w:pPr>
        <w:widowControl/>
        <w:spacing w:line="560" w:lineRule="exact"/>
        <w:jc w:val="left"/>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Style w:val="32"/>
        <w:rPr>
          <w:rFonts w:ascii="楷体" w:hAnsi="楷体" w:eastAsia="楷体"/>
          <w:b/>
          <w:color w:val="auto"/>
          <w:kern w:val="0"/>
          <w:sz w:val="24"/>
          <w:highlight w:val="none"/>
        </w:rPr>
      </w:pPr>
    </w:p>
    <w:p>
      <w:pPr>
        <w:pageBreakBefore w:val="0"/>
        <w:widowControl w:val="0"/>
        <w:numPr>
          <w:ilvl w:val="0"/>
          <w:numId w:val="2"/>
        </w:numPr>
        <w:kinsoku/>
        <w:wordWrap/>
        <w:overflowPunct/>
        <w:topLinePunct w:val="0"/>
        <w:autoSpaceDE/>
        <w:autoSpaceDN/>
        <w:bidi w:val="0"/>
        <w:snapToGrid/>
        <w:spacing w:line="400" w:lineRule="exact"/>
        <w:jc w:val="center"/>
        <w:outlineLvl w:val="1"/>
        <w:rPr>
          <w:rFonts w:hint="eastAsia" w:ascii="宋体" w:hAnsi="宋体" w:eastAsia="宋体" w:cs="宋体"/>
          <w:b/>
          <w:color w:val="auto"/>
          <w:sz w:val="28"/>
          <w:szCs w:val="28"/>
          <w:highlight w:val="none"/>
          <w:lang w:val="zh-CN" w:eastAsia="zh-CN"/>
        </w:rPr>
      </w:pPr>
      <w:bookmarkStart w:id="96" w:name="_Toc22108"/>
      <w:bookmarkStart w:id="97" w:name="_Toc10426"/>
      <w:bookmarkStart w:id="98" w:name="_Toc13679"/>
      <w:r>
        <w:rPr>
          <w:rFonts w:hint="eastAsia" w:ascii="宋体" w:hAnsi="宋体" w:eastAsia="宋体" w:cs="宋体"/>
          <w:b/>
          <w:color w:val="auto"/>
          <w:sz w:val="28"/>
          <w:szCs w:val="28"/>
          <w:highlight w:val="none"/>
          <w:lang w:val="zh-CN" w:eastAsia="zh-CN"/>
        </w:rPr>
        <w:t>合同一般条款</w:t>
      </w:r>
      <w:bookmarkEnd w:id="95"/>
      <w:bookmarkEnd w:id="96"/>
      <w:bookmarkEnd w:id="97"/>
      <w:bookmarkEnd w:id="98"/>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99" w:name="_Ref467379214"/>
      <w:bookmarkStart w:id="100" w:name="_Ref467378404"/>
      <w:bookmarkStart w:id="101" w:name="_Toc259093669"/>
      <w:bookmarkStart w:id="102" w:name="_Ref467378499"/>
      <w:bookmarkStart w:id="103" w:name="_Ref467379094"/>
      <w:bookmarkStart w:id="104" w:name="_Toc19614"/>
      <w:bookmarkStart w:id="105" w:name="_Ref467379225"/>
      <w:bookmarkStart w:id="106" w:name="_Ref467379109"/>
      <w:bookmarkStart w:id="107" w:name="_Ref467379205"/>
      <w:bookmarkStart w:id="108" w:name="_Toc279701240"/>
      <w:bookmarkStart w:id="109" w:name="_Toc487900349"/>
      <w:bookmarkStart w:id="110" w:name="_Toc16917"/>
      <w:bookmarkStart w:id="111" w:name="_Ref467378463"/>
      <w:bookmarkStart w:id="112" w:name="_Toc28763"/>
      <w:bookmarkStart w:id="113" w:name="_Ref467379195"/>
      <w:bookmarkStart w:id="114" w:name="_Ref467379101"/>
      <w:r>
        <w:rPr>
          <w:rFonts w:hint="eastAsia" w:ascii="宋体" w:hAnsi="宋体" w:eastAsia="宋体" w:cs="宋体"/>
          <w:b/>
          <w:bCs/>
          <w:color w:val="auto"/>
          <w:sz w:val="24"/>
          <w:szCs w:val="24"/>
          <w:highlight w:val="none"/>
        </w:rPr>
        <w:t>2.1 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15" w:name="_Ref467378840"/>
      <w:r>
        <w:rPr>
          <w:rFonts w:hint="eastAsia" w:ascii="宋体" w:hAnsi="宋体" w:eastAsia="宋体" w:cs="宋体"/>
          <w:color w:val="auto"/>
          <w:sz w:val="24"/>
          <w:highlight w:val="none"/>
        </w:rPr>
        <w:t>2.1.4 “甲方”系指与中标供应商签署合同的采购人</w:t>
      </w:r>
      <w:bookmarkEnd w:id="115"/>
      <w:r>
        <w:rPr>
          <w:rFonts w:hint="eastAsia" w:ascii="宋体" w:hAnsi="宋体" w:eastAsia="宋体" w:cs="宋体"/>
          <w:color w:val="auto"/>
          <w:sz w:val="24"/>
          <w:highlight w:val="none"/>
        </w:rPr>
        <w:t>；采购人委托采购代理机构代表其与乙方签订合同的，采购人的授权委托书作为合同附件。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16" w:name="_Ref467379400"/>
      <w:r>
        <w:rPr>
          <w:rFonts w:hint="eastAsia" w:ascii="宋体" w:hAnsi="宋体" w:eastAsia="宋体" w:cs="宋体"/>
          <w:color w:val="auto"/>
          <w:sz w:val="24"/>
          <w:highlight w:val="none"/>
        </w:rPr>
        <w:t>2.1.5 “乙方”系指根据合同约定交付货物的中标供应商</w:t>
      </w:r>
      <w:bookmarkEnd w:id="116"/>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17" w:name="_Ref467379436"/>
      <w:r>
        <w:rPr>
          <w:rFonts w:hint="eastAsia" w:ascii="宋体" w:hAnsi="宋体" w:eastAsia="宋体" w:cs="宋体"/>
          <w:color w:val="auto"/>
          <w:sz w:val="24"/>
          <w:highlight w:val="none"/>
        </w:rPr>
        <w:t>2.1.6 “现场”系指合同约定货物将要运至或者安装的地点。</w:t>
      </w:r>
      <w:bookmarkEnd w:id="117"/>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18" w:name="_Toc259093670"/>
      <w:bookmarkStart w:id="119" w:name="_Toc279701241"/>
      <w:bookmarkStart w:id="120" w:name="_Toc27635"/>
      <w:bookmarkStart w:id="121" w:name="_Toc487900350"/>
      <w:bookmarkStart w:id="122" w:name="_Toc13336"/>
      <w:bookmarkStart w:id="123" w:name="_Toc32504"/>
      <w:r>
        <w:rPr>
          <w:rFonts w:hint="eastAsia" w:ascii="宋体" w:hAnsi="宋体" w:eastAsia="宋体" w:cs="宋体"/>
          <w:b/>
          <w:bCs/>
          <w:color w:val="auto"/>
          <w:sz w:val="24"/>
          <w:szCs w:val="24"/>
          <w:highlight w:val="none"/>
        </w:rPr>
        <w:t>2.2 技术规范</w:t>
      </w:r>
      <w:bookmarkEnd w:id="118"/>
      <w:bookmarkEnd w:id="119"/>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24" w:name="_Toc31634"/>
      <w:bookmarkStart w:id="125" w:name="_Toc487900351"/>
      <w:bookmarkStart w:id="126" w:name="_Toc279701242"/>
      <w:bookmarkStart w:id="127" w:name="_Toc259093671"/>
      <w:bookmarkStart w:id="128" w:name="_Toc9829"/>
      <w:bookmarkStart w:id="129" w:name="_Toc27853"/>
      <w:r>
        <w:rPr>
          <w:rFonts w:hint="eastAsia" w:ascii="宋体" w:hAnsi="宋体" w:eastAsia="宋体" w:cs="宋体"/>
          <w:b/>
          <w:bCs/>
          <w:color w:val="auto"/>
          <w:sz w:val="24"/>
          <w:szCs w:val="24"/>
          <w:highlight w:val="none"/>
        </w:rPr>
        <w:t>2.3 知识产权</w:t>
      </w:r>
      <w:bookmarkEnd w:id="124"/>
      <w:bookmarkEnd w:id="125"/>
      <w:bookmarkEnd w:id="126"/>
      <w:bookmarkEnd w:id="127"/>
      <w:bookmarkEnd w:id="128"/>
      <w:bookmarkEnd w:id="129"/>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30" w:name="_Toc11932"/>
      <w:bookmarkStart w:id="131" w:name="_Toc4194"/>
      <w:bookmarkStart w:id="132" w:name="_Toc29149"/>
      <w:r>
        <w:rPr>
          <w:rFonts w:hint="eastAsia" w:ascii="宋体" w:hAnsi="宋体" w:eastAsia="宋体" w:cs="宋体"/>
          <w:b/>
          <w:bCs/>
          <w:color w:val="auto"/>
          <w:sz w:val="24"/>
          <w:szCs w:val="24"/>
          <w:highlight w:val="none"/>
        </w:rPr>
        <w:t>2.4 包装和装运</w:t>
      </w:r>
      <w:bookmarkEnd w:id="130"/>
      <w:bookmarkEnd w:id="131"/>
      <w:bookmarkEnd w:id="132"/>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装运货物的要求和通知，详见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33" w:name="_Toc487900354"/>
      <w:bookmarkStart w:id="134" w:name="_Ref467379542"/>
      <w:bookmarkStart w:id="135" w:name="_Toc259093674"/>
      <w:bookmarkStart w:id="136" w:name="_Ref467378541"/>
      <w:bookmarkStart w:id="137" w:name="_Ref467378591"/>
      <w:bookmarkStart w:id="138" w:name="_Ref467379527"/>
      <w:bookmarkStart w:id="139" w:name="_Toc279701245"/>
      <w:bookmarkStart w:id="140" w:name="_Ref467379536"/>
      <w:bookmarkStart w:id="141" w:name="_Toc26182"/>
      <w:bookmarkStart w:id="142" w:name="_Toc30272"/>
      <w:bookmarkStart w:id="143" w:name="_Toc19074"/>
      <w:r>
        <w:rPr>
          <w:rFonts w:hint="eastAsia" w:ascii="宋体" w:hAnsi="宋体" w:eastAsia="宋体" w:cs="宋体"/>
          <w:b/>
          <w:bCs/>
          <w:color w:val="auto"/>
          <w:sz w:val="24"/>
          <w:szCs w:val="24"/>
          <w:highlight w:val="none"/>
        </w:rPr>
        <w:t>2.</w:t>
      </w:r>
      <w:bookmarkEnd w:id="133"/>
      <w:bookmarkEnd w:id="134"/>
      <w:bookmarkEnd w:id="135"/>
      <w:bookmarkEnd w:id="136"/>
      <w:bookmarkEnd w:id="137"/>
      <w:bookmarkEnd w:id="138"/>
      <w:bookmarkEnd w:id="139"/>
      <w:bookmarkEnd w:id="140"/>
      <w:r>
        <w:rPr>
          <w:rFonts w:hint="eastAsia" w:ascii="宋体" w:hAnsi="宋体" w:eastAsia="宋体" w:cs="宋体"/>
          <w:b/>
          <w:bCs/>
          <w:color w:val="auto"/>
          <w:sz w:val="24"/>
          <w:szCs w:val="24"/>
          <w:highlight w:val="none"/>
        </w:rPr>
        <w:t>5 履约检查和问题反馈</w:t>
      </w:r>
      <w:bookmarkEnd w:id="141"/>
      <w:bookmarkEnd w:id="142"/>
      <w:bookmarkEnd w:id="14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44" w:name="_Ref467379657"/>
      <w:r>
        <w:rPr>
          <w:rFonts w:hint="eastAsia" w:ascii="宋体" w:hAnsi="宋体" w:eastAsia="宋体" w:cs="宋体"/>
          <w:color w:val="auto"/>
          <w:sz w:val="24"/>
          <w:highlight w:val="none"/>
        </w:rPr>
        <w:t>2.5.1</w:t>
      </w:r>
      <w:bookmarkEnd w:id="144"/>
      <w:bookmarkStart w:id="145" w:name="_Toc186431854"/>
      <w:bookmarkStart w:id="146" w:name="_Ref467379807"/>
      <w:bookmarkStart w:id="147" w:name="_Toc259093676"/>
      <w:bookmarkStart w:id="148" w:name="_Toc487900357"/>
      <w:bookmarkStart w:id="149" w:name="_Ref467379793"/>
      <w:bookmarkStart w:id="150" w:name="_Toc279701247"/>
      <w:r>
        <w:rPr>
          <w:rFonts w:hint="eastAsia" w:ascii="宋体" w:hAnsi="宋体" w:eastAsia="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45"/>
      <w:bookmarkStart w:id="151" w:name="_Toc186431855"/>
      <w:r>
        <w:rPr>
          <w:rFonts w:hint="eastAsia" w:ascii="宋体" w:hAnsi="宋体" w:eastAsia="宋体" w:cs="宋体"/>
          <w:color w:val="auto"/>
          <w:sz w:val="24"/>
          <w:highlight w:val="none"/>
        </w:rPr>
        <w:t>。</w:t>
      </w:r>
    </w:p>
    <w:bookmarkEnd w:id="151"/>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52" w:name="_Toc7836"/>
      <w:bookmarkStart w:id="153" w:name="_Toc19219"/>
      <w:bookmarkStart w:id="154" w:name="_Toc28451"/>
      <w:r>
        <w:rPr>
          <w:rFonts w:hint="eastAsia" w:ascii="宋体" w:hAnsi="宋体" w:eastAsia="宋体" w:cs="宋体"/>
          <w:b/>
          <w:bCs/>
          <w:color w:val="auto"/>
          <w:sz w:val="24"/>
          <w:szCs w:val="24"/>
          <w:highlight w:val="none"/>
        </w:rPr>
        <w:t>2.6 结算方式和付款条件</w:t>
      </w:r>
      <w:bookmarkEnd w:id="146"/>
      <w:bookmarkEnd w:id="147"/>
      <w:bookmarkEnd w:id="148"/>
      <w:bookmarkEnd w:id="149"/>
      <w:bookmarkEnd w:id="150"/>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55" w:name="_Ref467379923"/>
      <w:bookmarkStart w:id="156" w:name="_Ref467379863"/>
      <w:bookmarkStart w:id="157" w:name="_Toc259093677"/>
      <w:bookmarkStart w:id="158" w:name="_Toc487900358"/>
      <w:bookmarkStart w:id="159" w:name="_Ref467379852"/>
      <w:bookmarkStart w:id="160" w:name="_Toc279701248"/>
      <w:bookmarkStart w:id="161" w:name="_Toc3225"/>
      <w:bookmarkStart w:id="162" w:name="_Toc774"/>
      <w:bookmarkStart w:id="163" w:name="_Toc16110"/>
      <w:r>
        <w:rPr>
          <w:rFonts w:hint="eastAsia" w:ascii="宋体" w:hAnsi="宋体" w:eastAsia="宋体" w:cs="宋体"/>
          <w:b/>
          <w:bCs/>
          <w:color w:val="auto"/>
          <w:sz w:val="24"/>
          <w:szCs w:val="24"/>
          <w:highlight w:val="none"/>
        </w:rPr>
        <w:t>2.7 技术资料</w:t>
      </w:r>
      <w:bookmarkEnd w:id="155"/>
      <w:bookmarkEnd w:id="156"/>
      <w:bookmarkEnd w:id="157"/>
      <w:bookmarkEnd w:id="158"/>
      <w:bookmarkEnd w:id="159"/>
      <w:bookmarkEnd w:id="160"/>
      <w:r>
        <w:rPr>
          <w:rFonts w:hint="eastAsia" w:ascii="宋体" w:hAnsi="宋体" w:eastAsia="宋体" w:cs="宋体"/>
          <w:b/>
          <w:bCs/>
          <w:color w:val="auto"/>
          <w:sz w:val="24"/>
          <w:szCs w:val="24"/>
          <w:highlight w:val="none"/>
        </w:rPr>
        <w:t>和保密义务</w:t>
      </w:r>
      <w:bookmarkEnd w:id="161"/>
      <w:bookmarkEnd w:id="162"/>
      <w:bookmarkEnd w:id="16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64" w:name="_Toc7860"/>
      <w:r>
        <w:rPr>
          <w:rFonts w:hint="eastAsia" w:ascii="宋体" w:hAnsi="宋体" w:eastAsia="宋体" w:cs="宋体"/>
          <w:b/>
          <w:bCs/>
          <w:color w:val="auto"/>
          <w:sz w:val="24"/>
          <w:szCs w:val="24"/>
          <w:highlight w:val="none"/>
        </w:rPr>
        <w:t>2.8 质量保证</w:t>
      </w:r>
      <w:bookmarkEnd w:id="164"/>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65" w:name="_Toc17244"/>
      <w:bookmarkStart w:id="166" w:name="_Toc487900362"/>
      <w:bookmarkStart w:id="167" w:name="_Toc259093681"/>
      <w:bookmarkStart w:id="168" w:name="_Toc279701252"/>
      <w:r>
        <w:rPr>
          <w:rFonts w:hint="eastAsia" w:ascii="宋体" w:hAnsi="宋体" w:eastAsia="宋体" w:cs="宋体"/>
          <w:b/>
          <w:bCs/>
          <w:color w:val="auto"/>
          <w:sz w:val="24"/>
          <w:szCs w:val="24"/>
          <w:highlight w:val="none"/>
        </w:rPr>
        <w:t>2.9 货物的风险负担</w:t>
      </w:r>
      <w:bookmarkEnd w:id="165"/>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货物或者在途货物或者交付给第一承运人后的货物毁损、灭失的风险负担详见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69" w:name="_Toc14055"/>
      <w:r>
        <w:rPr>
          <w:rFonts w:hint="eastAsia" w:ascii="宋体" w:hAnsi="宋体" w:eastAsia="宋体" w:cs="宋体"/>
          <w:b/>
          <w:bCs/>
          <w:color w:val="auto"/>
          <w:sz w:val="24"/>
          <w:szCs w:val="24"/>
          <w:highlight w:val="none"/>
        </w:rPr>
        <w:t>2.10 延迟交货</w:t>
      </w:r>
      <w:bookmarkEnd w:id="166"/>
      <w:bookmarkEnd w:id="167"/>
      <w:bookmarkEnd w:id="168"/>
      <w:bookmarkEnd w:id="169"/>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70" w:name="_Toc7502"/>
      <w:bookmarkStart w:id="171" w:name="_Toc279701254"/>
      <w:bookmarkStart w:id="172" w:name="_Toc487900364"/>
      <w:bookmarkStart w:id="173" w:name="_Ref467378121"/>
      <w:bookmarkStart w:id="174" w:name="_Toc259093683"/>
      <w:r>
        <w:rPr>
          <w:rFonts w:hint="eastAsia" w:ascii="宋体" w:hAnsi="宋体" w:eastAsia="宋体" w:cs="宋体"/>
          <w:b/>
          <w:bCs/>
          <w:color w:val="auto"/>
          <w:sz w:val="24"/>
          <w:szCs w:val="24"/>
          <w:highlight w:val="none"/>
        </w:rPr>
        <w:t>2.11 合同变更</w:t>
      </w:r>
      <w:bookmarkEnd w:id="17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5" w:name="_Toc279701259"/>
      <w:bookmarkStart w:id="176" w:name="_Toc259093688"/>
      <w:bookmarkStart w:id="177" w:name="_Toc487900369"/>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78" w:name="_Toc15237"/>
      <w:bookmarkStart w:id="179" w:name="_Toc22955"/>
      <w:bookmarkStart w:id="180" w:name="_Toc10366"/>
      <w:r>
        <w:rPr>
          <w:rFonts w:hint="eastAsia" w:ascii="宋体" w:hAnsi="宋体" w:eastAsia="宋体" w:cs="宋体"/>
          <w:b/>
          <w:bCs/>
          <w:color w:val="auto"/>
          <w:sz w:val="24"/>
          <w:szCs w:val="24"/>
          <w:highlight w:val="none"/>
        </w:rPr>
        <w:t>2.12 合同转让</w:t>
      </w:r>
      <w:bookmarkEnd w:id="175"/>
      <w:bookmarkEnd w:id="176"/>
      <w:bookmarkEnd w:id="177"/>
      <w:r>
        <w:rPr>
          <w:rFonts w:hint="eastAsia" w:ascii="宋体" w:hAnsi="宋体" w:eastAsia="宋体" w:cs="宋体"/>
          <w:b/>
          <w:bCs/>
          <w:color w:val="auto"/>
          <w:sz w:val="24"/>
          <w:szCs w:val="24"/>
          <w:highlight w:val="none"/>
        </w:rPr>
        <w:t>和分包</w:t>
      </w:r>
      <w:bookmarkEnd w:id="178"/>
      <w:bookmarkEnd w:id="179"/>
      <w:bookmarkEnd w:id="18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81" w:name="_Toc16508"/>
      <w:bookmarkStart w:id="182" w:name="_Toc14066"/>
      <w:bookmarkStart w:id="183" w:name="_Toc13566"/>
      <w:r>
        <w:rPr>
          <w:rFonts w:hint="eastAsia" w:ascii="宋体" w:hAnsi="宋体" w:eastAsia="宋体" w:cs="宋体"/>
          <w:b/>
          <w:bCs/>
          <w:color w:val="auto"/>
          <w:sz w:val="24"/>
          <w:szCs w:val="24"/>
          <w:highlight w:val="none"/>
        </w:rPr>
        <w:t>2.13 不可抗力</w:t>
      </w:r>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84" w:name="_Toc30676"/>
      <w:bookmarkStart w:id="185" w:name="_Toc279701255"/>
      <w:bookmarkStart w:id="186" w:name="_Toc6969"/>
      <w:bookmarkStart w:id="187" w:name="_Toc689"/>
      <w:bookmarkStart w:id="188" w:name="_Toc487900365"/>
      <w:bookmarkStart w:id="189" w:name="_Toc259093684"/>
      <w:r>
        <w:rPr>
          <w:rFonts w:hint="eastAsia" w:ascii="宋体" w:hAnsi="宋体" w:eastAsia="宋体" w:cs="宋体"/>
          <w:b/>
          <w:bCs/>
          <w:color w:val="auto"/>
          <w:sz w:val="24"/>
          <w:szCs w:val="24"/>
          <w:highlight w:val="none"/>
        </w:rPr>
        <w:t>2.14 税费</w:t>
      </w:r>
      <w:bookmarkEnd w:id="184"/>
      <w:bookmarkEnd w:id="185"/>
      <w:bookmarkEnd w:id="186"/>
      <w:bookmarkEnd w:id="187"/>
      <w:bookmarkEnd w:id="188"/>
      <w:bookmarkEnd w:id="189"/>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90" w:name="_Toc16959"/>
      <w:bookmarkStart w:id="191" w:name="_Toc487900368"/>
      <w:bookmarkStart w:id="192" w:name="_Toc7102"/>
      <w:bookmarkStart w:id="193" w:name="_Toc259093687"/>
      <w:bookmarkStart w:id="194" w:name="_Toc279701258"/>
      <w:bookmarkStart w:id="195" w:name="_Toc8298"/>
      <w:r>
        <w:rPr>
          <w:rFonts w:hint="eastAsia" w:ascii="宋体" w:hAnsi="宋体" w:eastAsia="宋体" w:cs="宋体"/>
          <w:b/>
          <w:bCs/>
          <w:color w:val="auto"/>
          <w:sz w:val="24"/>
          <w:szCs w:val="24"/>
          <w:highlight w:val="none"/>
        </w:rPr>
        <w:t>2.15 乙方破产</w:t>
      </w:r>
      <w:bookmarkEnd w:id="190"/>
      <w:bookmarkEnd w:id="191"/>
      <w:bookmarkEnd w:id="192"/>
      <w:bookmarkEnd w:id="193"/>
      <w:bookmarkEnd w:id="194"/>
      <w:bookmarkEnd w:id="195"/>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96" w:name="_Toc29333"/>
      <w:bookmarkStart w:id="197" w:name="_Toc15387"/>
      <w:bookmarkStart w:id="198" w:name="_Toc6134"/>
      <w:r>
        <w:rPr>
          <w:rFonts w:hint="eastAsia" w:ascii="宋体" w:hAnsi="宋体" w:eastAsia="宋体" w:cs="宋体"/>
          <w:b/>
          <w:bCs/>
          <w:color w:val="auto"/>
          <w:sz w:val="24"/>
          <w:szCs w:val="24"/>
          <w:highlight w:val="none"/>
        </w:rPr>
        <w:t>2.16 合同中止、终止</w:t>
      </w:r>
      <w:bookmarkEnd w:id="196"/>
      <w:bookmarkEnd w:id="197"/>
      <w:bookmarkEnd w:id="198"/>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199" w:name="_Toc1125"/>
      <w:bookmarkStart w:id="200" w:name="_Toc14563"/>
      <w:bookmarkStart w:id="201" w:name="_Toc6596"/>
      <w:r>
        <w:rPr>
          <w:rFonts w:hint="eastAsia" w:ascii="宋体" w:hAnsi="宋体" w:eastAsia="宋体" w:cs="宋体"/>
          <w:b/>
          <w:bCs/>
          <w:color w:val="auto"/>
          <w:sz w:val="24"/>
          <w:szCs w:val="24"/>
          <w:highlight w:val="none"/>
        </w:rPr>
        <w:t>2.17 检验和验收</w:t>
      </w:r>
      <w:bookmarkEnd w:id="199"/>
      <w:bookmarkEnd w:id="200"/>
      <w:bookmarkEnd w:id="201"/>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71"/>
    <w:bookmarkEnd w:id="172"/>
    <w:bookmarkEnd w:id="173"/>
    <w:bookmarkEnd w:id="174"/>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202" w:name="_Toc259093690"/>
      <w:bookmarkStart w:id="203" w:name="_Toc279701261"/>
      <w:bookmarkStart w:id="204" w:name="_Toc487900371"/>
      <w:bookmarkStart w:id="205" w:name="_Toc19604"/>
      <w:bookmarkStart w:id="206" w:name="_Toc25182"/>
      <w:bookmarkStart w:id="207" w:name="_Toc11284"/>
      <w:r>
        <w:rPr>
          <w:rFonts w:hint="eastAsia" w:ascii="宋体" w:hAnsi="宋体" w:eastAsia="宋体" w:cs="宋体"/>
          <w:b/>
          <w:bCs/>
          <w:color w:val="auto"/>
          <w:sz w:val="24"/>
          <w:szCs w:val="24"/>
          <w:highlight w:val="none"/>
        </w:rPr>
        <w:t>2.18 通知</w:t>
      </w:r>
      <w:bookmarkEnd w:id="202"/>
      <w:bookmarkEnd w:id="203"/>
      <w:bookmarkEnd w:id="204"/>
      <w:r>
        <w:rPr>
          <w:rFonts w:hint="eastAsia" w:ascii="宋体" w:hAnsi="宋体" w:eastAsia="宋体" w:cs="宋体"/>
          <w:b/>
          <w:bCs/>
          <w:color w:val="auto"/>
          <w:sz w:val="24"/>
          <w:szCs w:val="24"/>
          <w:highlight w:val="none"/>
        </w:rPr>
        <w:t>和送达</w:t>
      </w:r>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208" w:name="_Toc3135"/>
      <w:bookmarkStart w:id="209" w:name="_Toc6698"/>
      <w:bookmarkStart w:id="210" w:name="_Toc487900372"/>
      <w:bookmarkStart w:id="211" w:name="_Toc259093691"/>
      <w:bookmarkStart w:id="212" w:name="_Toc279701262"/>
      <w:r>
        <w:rPr>
          <w:rFonts w:hint="eastAsia" w:ascii="宋体" w:hAnsi="宋体" w:eastAsia="宋体" w:cs="宋体"/>
          <w:color w:val="auto"/>
          <w:sz w:val="24"/>
          <w:highlight w:val="none"/>
        </w:rPr>
        <w:t>2.18.1 任何一方因履行合同而以合同第一部分尾部所列明的发出的所有通知、文件、材料，均视为已向对方当事人送达；任何一方变更上述送达方式或者地址的，应于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208"/>
      <w:bookmarkEnd w:id="209"/>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213" w:name="_Toc23294"/>
      <w:bookmarkStart w:id="214"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3"/>
      <w:bookmarkEnd w:id="214"/>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215" w:name="_Toc30599"/>
      <w:bookmarkStart w:id="216" w:name="_Toc4355"/>
      <w:bookmarkStart w:id="217" w:name="_Toc18540"/>
      <w:r>
        <w:rPr>
          <w:rFonts w:hint="eastAsia" w:ascii="宋体" w:hAnsi="宋体" w:eastAsia="宋体" w:cs="宋体"/>
          <w:b/>
          <w:bCs/>
          <w:color w:val="auto"/>
          <w:sz w:val="24"/>
          <w:szCs w:val="24"/>
          <w:highlight w:val="none"/>
        </w:rPr>
        <w:t>2.19 计量单位</w:t>
      </w:r>
      <w:bookmarkEnd w:id="210"/>
      <w:bookmarkEnd w:id="211"/>
      <w:bookmarkEnd w:id="212"/>
      <w:bookmarkEnd w:id="215"/>
      <w:bookmarkEnd w:id="216"/>
      <w:bookmarkEnd w:id="217"/>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218" w:name="_Toc12773"/>
      <w:bookmarkStart w:id="219" w:name="_Toc18567"/>
      <w:bookmarkStart w:id="220" w:name="_Toc487900373"/>
      <w:bookmarkStart w:id="221" w:name="_Toc279701263"/>
      <w:bookmarkStart w:id="222" w:name="_Toc10330"/>
      <w:bookmarkStart w:id="223" w:name="_Toc259093692"/>
      <w:r>
        <w:rPr>
          <w:rFonts w:hint="eastAsia" w:ascii="宋体" w:hAnsi="宋体" w:eastAsia="宋体" w:cs="宋体"/>
          <w:b/>
          <w:bCs/>
          <w:color w:val="auto"/>
          <w:sz w:val="24"/>
          <w:szCs w:val="24"/>
          <w:highlight w:val="none"/>
        </w:rPr>
        <w:t>2.20 合同使用的文字和适用的法律</w:t>
      </w:r>
      <w:bookmarkEnd w:id="218"/>
      <w:bookmarkEnd w:id="219"/>
      <w:bookmarkEnd w:id="220"/>
      <w:bookmarkEnd w:id="221"/>
      <w:bookmarkEnd w:id="222"/>
      <w:bookmarkEnd w:id="22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224" w:name="_Toc16673"/>
      <w:bookmarkStart w:id="225" w:name="_Toc259093693"/>
      <w:bookmarkStart w:id="226" w:name="_Toc12004"/>
      <w:bookmarkStart w:id="227" w:name="_Toc279701264"/>
      <w:bookmarkStart w:id="228" w:name="_Toc3148"/>
      <w:bookmarkStart w:id="229" w:name="_Toc487900374"/>
      <w:r>
        <w:rPr>
          <w:rFonts w:hint="eastAsia" w:ascii="宋体" w:hAnsi="宋体" w:eastAsia="宋体" w:cs="宋体"/>
          <w:b/>
          <w:bCs/>
          <w:color w:val="auto"/>
          <w:sz w:val="24"/>
          <w:szCs w:val="24"/>
          <w:highlight w:val="none"/>
        </w:rPr>
        <w:t>2.21 履约保证金</w:t>
      </w:r>
      <w:bookmarkEnd w:id="224"/>
      <w:bookmarkEnd w:id="225"/>
      <w:bookmarkEnd w:id="226"/>
      <w:bookmarkEnd w:id="227"/>
      <w:bookmarkEnd w:id="228"/>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9"/>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230" w:name="_Toc6885"/>
      <w:bookmarkStart w:id="231" w:name="_Toc19890"/>
      <w:r>
        <w:rPr>
          <w:rFonts w:hint="eastAsia" w:ascii="宋体" w:hAnsi="宋体" w:eastAsia="宋体" w:cs="宋体"/>
          <w:b/>
          <w:bCs/>
          <w:color w:val="auto"/>
          <w:sz w:val="24"/>
          <w:szCs w:val="24"/>
          <w:highlight w:val="none"/>
        </w:rPr>
        <w:t>2.22 合同份数</w:t>
      </w:r>
      <w:bookmarkEnd w:id="230"/>
      <w:bookmarkEnd w:id="231"/>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楷体" w:hAnsi="楷体" w:eastAsia="楷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pPr>
        <w:pageBreakBefore w:val="0"/>
        <w:widowControl w:val="0"/>
        <w:numPr>
          <w:ilvl w:val="0"/>
          <w:numId w:val="2"/>
        </w:numPr>
        <w:kinsoku/>
        <w:wordWrap/>
        <w:overflowPunct/>
        <w:topLinePunct w:val="0"/>
        <w:autoSpaceDE/>
        <w:autoSpaceDN/>
        <w:bidi w:val="0"/>
        <w:snapToGrid/>
        <w:spacing w:line="400" w:lineRule="exact"/>
        <w:jc w:val="center"/>
        <w:outlineLvl w:val="1"/>
        <w:rPr>
          <w:rFonts w:hint="eastAsia" w:ascii="宋体" w:hAnsi="宋体" w:eastAsia="宋体" w:cs="宋体"/>
          <w:b/>
          <w:color w:val="auto"/>
          <w:sz w:val="28"/>
          <w:szCs w:val="28"/>
          <w:highlight w:val="none"/>
          <w:lang w:val="zh-CN" w:eastAsia="zh-CN"/>
        </w:rPr>
      </w:pPr>
      <w:r>
        <w:rPr>
          <w:rFonts w:ascii="楷体" w:hAnsi="楷体" w:eastAsia="楷体"/>
          <w:color w:val="auto"/>
          <w:szCs w:val="24"/>
          <w:highlight w:val="none"/>
        </w:rPr>
        <w:br w:type="page"/>
      </w:r>
      <w:bookmarkStart w:id="232" w:name="_Toc8472"/>
      <w:bookmarkStart w:id="233" w:name="_Toc30216"/>
      <w:bookmarkStart w:id="234" w:name="_Toc15470"/>
      <w:bookmarkStart w:id="235" w:name="_Toc331685784"/>
      <w:r>
        <w:rPr>
          <w:rFonts w:hint="eastAsia" w:ascii="宋体" w:hAnsi="宋体" w:eastAsia="宋体" w:cs="宋体"/>
          <w:b/>
          <w:color w:val="auto"/>
          <w:sz w:val="28"/>
          <w:szCs w:val="28"/>
          <w:highlight w:val="none"/>
          <w:lang w:val="zh-CN" w:eastAsia="zh-CN"/>
        </w:rPr>
        <w:t>专用合同条款</w:t>
      </w:r>
      <w:bookmarkEnd w:id="232"/>
      <w:bookmarkEnd w:id="233"/>
      <w:bookmarkEnd w:id="234"/>
    </w:p>
    <w:p>
      <w:pPr>
        <w:rPr>
          <w:rFonts w:ascii="楷体" w:hAnsi="楷体" w:eastAsia="楷体"/>
          <w:color w:val="auto"/>
          <w:szCs w:val="24"/>
          <w:highlight w:val="none"/>
        </w:rPr>
      </w:pPr>
    </w:p>
    <w:bookmarkEnd w:id="235"/>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pPr>
        <w:pStyle w:val="32"/>
        <w:rPr>
          <w:rFonts w:hint="eastAsia"/>
          <w:color w:val="auto"/>
          <w:highlight w:val="none"/>
        </w:rPr>
      </w:pPr>
    </w:p>
    <w:p>
      <w:pPr>
        <w:jc w:val="left"/>
        <w:rPr>
          <w:rFonts w:asciiTheme="majorEastAsia" w:hAnsiTheme="majorEastAsia" w:eastAsiaTheme="majorEastAsia"/>
          <w:bCs/>
          <w:color w:val="auto"/>
          <w:sz w:val="28"/>
          <w:szCs w:val="28"/>
          <w:highlight w:val="none"/>
          <w:shd w:val="clear" w:color="auto" w:fill="92D050"/>
        </w:rPr>
      </w:pPr>
    </w:p>
    <w:p>
      <w:pPr>
        <w:widowControl/>
        <w:jc w:val="left"/>
        <w:rPr>
          <w:rFonts w:asciiTheme="majorEastAsia" w:hAnsiTheme="majorEastAsia" w:eastAsiaTheme="majorEastAsia"/>
          <w:bCs/>
          <w:color w:val="auto"/>
          <w:sz w:val="28"/>
          <w:szCs w:val="28"/>
          <w:highlight w:val="none"/>
          <w:shd w:val="clear" w:color="auto" w:fill="00B050"/>
        </w:rPr>
      </w:pPr>
    </w:p>
    <w:p>
      <w:pPr>
        <w:widowControl/>
        <w:jc w:val="left"/>
        <w:rPr>
          <w:rFonts w:asciiTheme="majorEastAsia" w:hAnsiTheme="majorEastAsia" w:eastAsiaTheme="majorEastAsia"/>
          <w:bCs/>
          <w:color w:val="auto"/>
          <w:sz w:val="28"/>
          <w:szCs w:val="28"/>
          <w:highlight w:val="none"/>
        </w:rPr>
      </w:pPr>
    </w:p>
    <w:p>
      <w:pPr>
        <w:widowControl/>
        <w:jc w:val="left"/>
        <w:rPr>
          <w:rFonts w:asciiTheme="majorEastAsia" w:hAnsiTheme="majorEastAsia" w:eastAsiaTheme="majorEastAsia"/>
          <w:bCs/>
          <w:color w:val="auto"/>
          <w:sz w:val="28"/>
          <w:szCs w:val="28"/>
          <w:highlight w:val="none"/>
        </w:rPr>
      </w:pPr>
      <w:r>
        <w:rPr>
          <w:rFonts w:asciiTheme="majorEastAsia" w:hAnsiTheme="majorEastAsia" w:eastAsiaTheme="majorEastAsia"/>
          <w:bCs/>
          <w:color w:val="auto"/>
          <w:sz w:val="28"/>
          <w:szCs w:val="28"/>
          <w:highlight w:val="none"/>
        </w:rPr>
        <w:br w:type="page"/>
      </w:r>
    </w:p>
    <w:p>
      <w:pPr>
        <w:widowControl/>
        <w:jc w:val="left"/>
        <w:rPr>
          <w:rFonts w:asciiTheme="majorEastAsia" w:hAnsiTheme="majorEastAsia" w:eastAsiaTheme="majorEastAsia"/>
          <w:bCs/>
          <w:color w:val="auto"/>
          <w:sz w:val="28"/>
          <w:szCs w:val="28"/>
          <w:highlight w:val="none"/>
        </w:rPr>
      </w:pPr>
    </w:p>
    <w:p>
      <w:pPr>
        <w:pStyle w:val="3"/>
        <w:numPr>
          <w:ilvl w:val="0"/>
          <w:numId w:val="1"/>
        </w:numPr>
        <w:spacing w:before="0" w:after="0" w:line="240" w:lineRule="auto"/>
        <w:ind w:left="0" w:leftChars="0"/>
        <w:rPr>
          <w:rFonts w:hint="eastAsia"/>
          <w:color w:val="auto"/>
          <w:highlight w:val="none"/>
        </w:rPr>
      </w:pPr>
      <w:bookmarkStart w:id="236" w:name="_Toc18901"/>
      <w:bookmarkStart w:id="237" w:name="_Toc7411"/>
      <w:bookmarkStart w:id="238" w:name="_Toc257633148"/>
      <w:r>
        <w:rPr>
          <w:rFonts w:hint="eastAsia"/>
          <w:color w:val="auto"/>
          <w:highlight w:val="none"/>
          <w:lang w:val="en-US" w:eastAsia="zh-CN"/>
        </w:rPr>
        <w:t xml:space="preserve"> </w:t>
      </w:r>
      <w:bookmarkStart w:id="239" w:name="_Toc16000"/>
      <w:bookmarkStart w:id="240" w:name="_Toc5766"/>
      <w:r>
        <w:rPr>
          <w:rFonts w:hint="eastAsia"/>
          <w:color w:val="auto"/>
          <w:highlight w:val="none"/>
        </w:rPr>
        <w:t>响应文件格式</w:t>
      </w:r>
      <w:bookmarkEnd w:id="236"/>
      <w:bookmarkEnd w:id="237"/>
      <w:bookmarkEnd w:id="239"/>
      <w:bookmarkEnd w:id="240"/>
    </w:p>
    <w:p>
      <w:pPr>
        <w:rPr>
          <w:rFonts w:hint="eastAsia"/>
          <w:color w:val="auto"/>
          <w:sz w:val="24"/>
          <w:highlight w:val="none"/>
        </w:rPr>
      </w:pPr>
    </w:p>
    <w:p>
      <w:pPr>
        <w:spacing w:line="360" w:lineRule="auto"/>
        <w:jc w:val="center"/>
        <w:rPr>
          <w:rFonts w:hint="eastAsia" w:ascii="宋体" w:hAnsi="宋体"/>
          <w:b/>
          <w:color w:val="auto"/>
          <w:sz w:val="28"/>
          <w:highlight w:val="none"/>
        </w:rPr>
      </w:pPr>
      <w:r>
        <w:rPr>
          <w:rFonts w:hint="eastAsia" w:ascii="宋体" w:hAnsi="宋体"/>
          <w:b/>
          <w:color w:val="auto"/>
          <w:sz w:val="28"/>
          <w:highlight w:val="none"/>
          <w:lang w:eastAsia="zh-CN"/>
        </w:rPr>
        <w:t>响应</w:t>
      </w:r>
      <w:r>
        <w:rPr>
          <w:rFonts w:hint="eastAsia" w:ascii="宋体" w:hAnsi="宋体"/>
          <w:b/>
          <w:color w:val="auto"/>
          <w:sz w:val="28"/>
          <w:highlight w:val="none"/>
        </w:rPr>
        <w:t>文件封面</w:t>
      </w:r>
    </w:p>
    <w:p>
      <w:pPr>
        <w:spacing w:line="360" w:lineRule="auto"/>
        <w:rPr>
          <w:rFonts w:hint="eastAsia" w:ascii="宋体" w:hAnsi="宋体"/>
          <w:b/>
          <w:color w:val="auto"/>
          <w:sz w:val="28"/>
          <w:highlight w:val="none"/>
        </w:rPr>
      </w:pPr>
    </w:p>
    <w:p>
      <w:pPr>
        <w:spacing w:line="360" w:lineRule="auto"/>
        <w:jc w:val="center"/>
        <w:rPr>
          <w:rFonts w:hint="eastAsia" w:ascii="宋体" w:hAnsi="宋体"/>
          <w:color w:val="auto"/>
          <w:sz w:val="28"/>
          <w:highlight w:val="none"/>
        </w:rPr>
      </w:pP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（项目编号）</w:t>
      </w:r>
    </w:p>
    <w:p>
      <w:pPr>
        <w:spacing w:line="360" w:lineRule="auto"/>
        <w:jc w:val="center"/>
        <w:rPr>
          <w:rFonts w:hint="eastAsia" w:ascii="宋体" w:hAnsi="宋体"/>
          <w:color w:val="auto"/>
          <w:sz w:val="28"/>
          <w:szCs w:val="28"/>
          <w:highlight w:val="none"/>
        </w:rPr>
      </w:pP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spacing w:line="360" w:lineRule="auto"/>
        <w:jc w:val="center"/>
        <w:rPr>
          <w:rFonts w:hint="eastAsia" w:ascii="宋体" w:hAnsi="宋体"/>
          <w:color w:val="auto"/>
          <w:sz w:val="28"/>
          <w:highlight w:val="none"/>
        </w:rPr>
      </w:pPr>
    </w:p>
    <w:p>
      <w:pPr>
        <w:spacing w:line="360" w:lineRule="auto"/>
        <w:jc w:val="center"/>
        <w:rPr>
          <w:rFonts w:hint="eastAsia" w:ascii="宋体" w:hAnsi="宋体"/>
          <w:color w:val="auto"/>
          <w:sz w:val="28"/>
          <w:highlight w:val="none"/>
        </w:rPr>
      </w:pPr>
    </w:p>
    <w:p>
      <w:pPr>
        <w:spacing w:line="360" w:lineRule="auto"/>
        <w:jc w:val="center"/>
        <w:rPr>
          <w:rFonts w:hint="eastAsia" w:eastAsia="黑体"/>
          <w:b/>
          <w:color w:val="auto"/>
          <w:sz w:val="72"/>
          <w:szCs w:val="72"/>
          <w:highlight w:val="none"/>
        </w:rPr>
      </w:pPr>
      <w:r>
        <w:rPr>
          <w:rFonts w:hint="eastAsia" w:eastAsia="黑体"/>
          <w:b/>
          <w:color w:val="auto"/>
          <w:sz w:val="72"/>
          <w:szCs w:val="72"/>
          <w:highlight w:val="none"/>
          <w:lang w:val="en-US" w:eastAsia="zh-CN"/>
        </w:rPr>
        <w:t>响应</w:t>
      </w:r>
      <w:r>
        <w:rPr>
          <w:rFonts w:hint="eastAsia" w:eastAsia="黑体"/>
          <w:b/>
          <w:color w:val="auto"/>
          <w:sz w:val="72"/>
          <w:szCs w:val="72"/>
          <w:highlight w:val="none"/>
        </w:rPr>
        <w:t>文件</w:t>
      </w:r>
    </w:p>
    <w:p>
      <w:pPr>
        <w:spacing w:line="360" w:lineRule="auto"/>
        <w:jc w:val="center"/>
        <w:rPr>
          <w:rFonts w:hint="eastAsia" w:ascii="宋体" w:hAnsi="宋体"/>
          <w:color w:val="auto"/>
          <w:sz w:val="28"/>
          <w:highlight w:val="none"/>
        </w:rPr>
      </w:pPr>
    </w:p>
    <w:p>
      <w:pPr>
        <w:spacing w:line="360" w:lineRule="auto"/>
        <w:jc w:val="both"/>
        <w:rPr>
          <w:rFonts w:hint="eastAsia" w:ascii="宋体" w:hAnsi="宋体"/>
          <w:b/>
          <w:color w:val="auto"/>
          <w:sz w:val="28"/>
          <w:highlight w:val="none"/>
        </w:rPr>
      </w:pPr>
    </w:p>
    <w:p>
      <w:pPr>
        <w:spacing w:line="360" w:lineRule="auto"/>
        <w:jc w:val="center"/>
        <w:rPr>
          <w:rFonts w:hint="eastAsia" w:ascii="宋体" w:hAnsi="宋体"/>
          <w:b/>
          <w:color w:val="auto"/>
          <w:sz w:val="28"/>
          <w:highlight w:val="none"/>
        </w:rPr>
      </w:pPr>
    </w:p>
    <w:p>
      <w:pPr>
        <w:spacing w:line="360" w:lineRule="auto"/>
        <w:jc w:val="center"/>
        <w:rPr>
          <w:rFonts w:hint="eastAsia" w:ascii="宋体" w:hAnsi="宋体"/>
          <w:b/>
          <w:color w:val="auto"/>
          <w:sz w:val="28"/>
          <w:highlight w:val="none"/>
        </w:rPr>
      </w:pPr>
    </w:p>
    <w:p>
      <w:pPr>
        <w:spacing w:line="360" w:lineRule="auto"/>
        <w:jc w:val="center"/>
        <w:rPr>
          <w:rFonts w:hint="eastAsia" w:ascii="宋体" w:hAnsi="宋体"/>
          <w:color w:val="auto"/>
          <w:sz w:val="28"/>
          <w:szCs w:val="28"/>
          <w:highlight w:val="none"/>
          <w:u w:val="singl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hint="eastAsia" w:ascii="宋体" w:hAnsi="宋体"/>
          <w:color w:val="auto"/>
          <w:sz w:val="28"/>
          <w:szCs w:val="28"/>
          <w:highlight w:val="none"/>
          <w:lang w:eastAsia="zh-CN"/>
        </w:rPr>
        <w:t>公</w:t>
      </w:r>
      <w:r>
        <w:rPr>
          <w:rFonts w:hint="eastAsia" w:ascii="宋体" w:hAnsi="宋体"/>
          <w:color w:val="auto"/>
          <w:sz w:val="28"/>
          <w:szCs w:val="28"/>
          <w:highlight w:val="none"/>
        </w:rPr>
        <w:t>章）</w:t>
      </w:r>
    </w:p>
    <w:p>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auto"/>
          <w:sz w:val="28"/>
          <w:szCs w:val="28"/>
          <w:highlight w:val="none"/>
          <w:lang w:eastAsia="zh-CN"/>
        </w:rPr>
        <w:t>或授权委托人</w:t>
      </w:r>
      <w:r>
        <w:rPr>
          <w:rFonts w:hint="eastAsia" w:ascii="宋体" w:hAnsi="宋体" w:cs="宋体"/>
          <w:color w:val="auto"/>
          <w:sz w:val="28"/>
          <w:szCs w:val="28"/>
          <w:highlight w:val="none"/>
          <w:lang w:eastAsia="zh-CN"/>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hint="eastAsia" w:ascii="宋体" w:hAnsi="宋体"/>
          <w:color w:val="auto"/>
          <w:sz w:val="28"/>
          <w:szCs w:val="28"/>
          <w:highlight w:val="none"/>
          <w:lang w:eastAsia="zh-CN"/>
        </w:rPr>
        <w:t>签字或盖章</w:t>
      </w:r>
      <w:r>
        <w:rPr>
          <w:rFonts w:hint="eastAsia" w:ascii="宋体" w:hAnsi="宋体"/>
          <w:color w:val="auto"/>
          <w:sz w:val="28"/>
          <w:szCs w:val="28"/>
          <w:highlight w:val="none"/>
        </w:rPr>
        <w:t>）</w:t>
      </w:r>
    </w:p>
    <w:p>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lang w:eastAsia="zh-CN"/>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（年/月/日）</w:t>
      </w:r>
    </w:p>
    <w:p>
      <w:pPr>
        <w:spacing w:line="360" w:lineRule="auto"/>
        <w:jc w:val="both"/>
        <w:rPr>
          <w:rFonts w:hint="eastAsia" w:ascii="宋体" w:hAnsi="宋体"/>
          <w:color w:val="auto"/>
          <w:sz w:val="28"/>
          <w:szCs w:val="28"/>
          <w:highlight w:val="none"/>
        </w:rPr>
      </w:pPr>
    </w:p>
    <w:p>
      <w:pPr>
        <w:spacing w:line="360" w:lineRule="auto"/>
        <w:jc w:val="both"/>
        <w:rPr>
          <w:rFonts w:hint="eastAsia" w:ascii="宋体" w:hAnsi="宋体"/>
          <w:color w:val="auto"/>
          <w:sz w:val="28"/>
          <w:szCs w:val="28"/>
          <w:highlight w:val="none"/>
        </w:rPr>
      </w:pPr>
    </w:p>
    <w:p>
      <w:pPr>
        <w:spacing w:line="360" w:lineRule="auto"/>
        <w:jc w:val="both"/>
        <w:rPr>
          <w:rFonts w:hint="eastAsia" w:ascii="宋体" w:hAnsi="宋体"/>
          <w:color w:val="auto"/>
          <w:sz w:val="28"/>
          <w:szCs w:val="28"/>
          <w:highlight w:val="none"/>
        </w:rPr>
      </w:pPr>
    </w:p>
    <w:p>
      <w:pPr>
        <w:pStyle w:val="32"/>
        <w:rPr>
          <w:rFonts w:hint="eastAsia"/>
          <w:color w:val="auto"/>
          <w:highlight w:val="none"/>
        </w:rPr>
      </w:pPr>
    </w:p>
    <w:p>
      <w:pPr>
        <w:pStyle w:val="32"/>
        <w:rPr>
          <w:rFonts w:hint="eastAsia"/>
          <w:color w:val="auto"/>
          <w:highlight w:val="none"/>
        </w:rPr>
      </w:pPr>
    </w:p>
    <w:p>
      <w:pPr>
        <w:pStyle w:val="5"/>
        <w:numPr>
          <w:ilvl w:val="2"/>
          <w:numId w:val="0"/>
        </w:numPr>
        <w:spacing w:before="145" w:beforeLines="50" w:after="145" w:afterLines="50" w:line="300" w:lineRule="auto"/>
        <w:ind w:leftChars="0"/>
        <w:jc w:val="center"/>
        <w:rPr>
          <w:rFonts w:hint="eastAsia" w:eastAsia="宋体"/>
          <w:color w:val="auto"/>
          <w:highlight w:val="none"/>
          <w:lang w:eastAsia="zh-CN"/>
        </w:rPr>
      </w:pPr>
      <w:r>
        <w:rPr>
          <w:rFonts w:hint="eastAsia" w:ascii="宋体" w:eastAsia="宋体" w:cs="宋体"/>
          <w:b w:val="0"/>
          <w:bCs w:val="0"/>
          <w:color w:val="auto"/>
          <w:sz w:val="30"/>
          <w:szCs w:val="30"/>
          <w:highlight w:val="none"/>
          <w:lang w:eastAsia="zh-CN"/>
        </w:rPr>
        <w:t>目录</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32"/>
          <w:szCs w:val="28"/>
          <w:highlight w:val="none"/>
          <w:u w:val="none"/>
          <w:lang w:val="en-US" w:eastAsia="zh-CN" w:bidi="ar-SA"/>
        </w:rPr>
      </w:pPr>
      <w:r>
        <w:rPr>
          <w:rFonts w:hint="eastAsia" w:ascii="宋体" w:hAnsi="宋体" w:eastAsia="宋体" w:cs="宋体"/>
          <w:b/>
          <w:bCs/>
          <w:color w:val="auto"/>
          <w:kern w:val="2"/>
          <w:sz w:val="32"/>
          <w:szCs w:val="28"/>
          <w:highlight w:val="none"/>
          <w:u w:val="none"/>
          <w:lang w:val="en-US" w:eastAsia="zh-CN" w:bidi="ar-SA"/>
        </w:rPr>
        <w:t>一、资格证明文件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kern w:val="2"/>
          <w:sz w:val="24"/>
          <w:szCs w:val="22"/>
          <w:highlight w:val="none"/>
          <w:u w:val="none"/>
          <w:lang w:val="en-US" w:eastAsia="zh-CN" w:bidi="ar-SA"/>
        </w:rPr>
        <w:t>符合《中华人民共和国政府采购法》第二十二条第一款规定的条件，提供下列材料：</w:t>
      </w:r>
    </w:p>
    <w:p>
      <w:pPr>
        <w:pStyle w:val="32"/>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具有独立承担民事责任的能力</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具备有效经年检的五证一码或三证合一的营业执照、开户许可证（或开户信息）；</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Ansi="宋体" w:eastAsia="宋体"/>
          <w:sz w:val="24"/>
          <w:szCs w:val="24"/>
        </w:rPr>
        <w:t>法定代表人身份证明、授权委托人须提供法人授权委托书</w:t>
      </w:r>
      <w:r>
        <w:rPr>
          <w:rFonts w:hint="eastAsia" w:hAnsi="宋体" w:eastAsia="宋体"/>
          <w:sz w:val="24"/>
          <w:szCs w:val="24"/>
          <w:lang w:eastAsia="zh-CN"/>
        </w:rPr>
        <w:t>；</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注：提供材料为原件复印件并加盖公章，自然人身份证正反面复印件</w:t>
      </w:r>
    </w:p>
    <w:p>
      <w:pPr>
        <w:pStyle w:val="32"/>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具有良好的商业信誉和健全的财务会计制度</w:t>
      </w:r>
    </w:p>
    <w:p>
      <w:pPr>
        <w:pStyle w:val="12"/>
        <w:ind w:firstLine="480" w:firstLineChars="200"/>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（1）近三年财务审计报告（2018年-2020年）或财务报表（企业成立不足1年的，需提供企业成立以来的财务报表）</w:t>
      </w:r>
      <w:r>
        <w:rPr>
          <w:rFonts w:hint="eastAsia" w:ascii="宋体" w:hAnsi="宋体" w:cs="宋体"/>
          <w:color w:val="auto"/>
          <w:kern w:val="2"/>
          <w:sz w:val="24"/>
          <w:szCs w:val="22"/>
          <w:highlight w:val="none"/>
          <w:u w:val="none"/>
          <w:lang w:val="en-US" w:eastAsia="zh-CN" w:bidi="ar-SA"/>
        </w:rPr>
        <w:t>；</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注：提供的上述材料的复印件须内容清晰并加盖公章。</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3、有依法缴纳税收和社会保障资金的良好记录</w:t>
      </w:r>
    </w:p>
    <w:p>
      <w:pPr>
        <w:pStyle w:val="12"/>
        <w:ind w:firstLine="480" w:firstLineChars="200"/>
        <w:rPr>
          <w:rFonts w:hint="eastAsia" w:ascii="宋体" w:hAnsi="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（1）社会保障资金的良好记录</w:t>
      </w:r>
      <w:r>
        <w:rPr>
          <w:rFonts w:hint="eastAsia" w:ascii="宋体" w:hAnsi="宋体" w:cs="宋体"/>
          <w:color w:val="auto"/>
          <w:kern w:val="2"/>
          <w:sz w:val="24"/>
          <w:szCs w:val="22"/>
          <w:highlight w:val="none"/>
          <w:u w:val="none"/>
          <w:lang w:val="en-US" w:eastAsia="zh-CN" w:bidi="ar-SA"/>
        </w:rPr>
        <w:t>（</w:t>
      </w:r>
      <w:r>
        <w:rPr>
          <w:rFonts w:hint="eastAsia" w:hAnsi="宋体" w:eastAsia="宋体"/>
          <w:sz w:val="24"/>
          <w:szCs w:val="24"/>
        </w:rPr>
        <w:t>近</w:t>
      </w:r>
      <w:r>
        <w:rPr>
          <w:rFonts w:hint="eastAsia" w:hAnsi="宋体" w:eastAsia="宋体"/>
          <w:sz w:val="24"/>
          <w:szCs w:val="24"/>
          <w:lang w:eastAsia="zh-CN"/>
        </w:rPr>
        <w:t>六个月</w:t>
      </w:r>
      <w:r>
        <w:rPr>
          <w:rFonts w:hint="eastAsia" w:hAnsi="宋体" w:eastAsia="宋体"/>
          <w:sz w:val="24"/>
          <w:szCs w:val="24"/>
        </w:rPr>
        <w:t>社会保障资金记录,</w:t>
      </w:r>
      <w:r>
        <w:rPr>
          <w:rFonts w:hint="eastAsia" w:hAnsi="宋体" w:eastAsia="宋体"/>
          <w:sz w:val="24"/>
          <w:szCs w:val="24"/>
          <w:lang w:eastAsia="zh-CN"/>
        </w:rPr>
        <w:t>应包含法定代表人、</w:t>
      </w:r>
      <w:r>
        <w:rPr>
          <w:rFonts w:hint="eastAsia" w:hAnsi="宋体" w:eastAsia="宋体"/>
          <w:sz w:val="24"/>
          <w:szCs w:val="24"/>
        </w:rPr>
        <w:t>授权委托人在内，若是退休人员需提供退休证明</w:t>
      </w:r>
      <w:r>
        <w:rPr>
          <w:rFonts w:hint="eastAsia" w:ascii="宋体" w:hAnsi="宋体" w:cs="宋体"/>
          <w:color w:val="auto"/>
          <w:kern w:val="2"/>
          <w:sz w:val="24"/>
          <w:szCs w:val="22"/>
          <w:highlight w:val="none"/>
          <w:u w:val="none"/>
          <w:lang w:val="en-US" w:eastAsia="zh-CN" w:bidi="ar-SA"/>
        </w:rPr>
        <w:t>）；</w:t>
      </w:r>
    </w:p>
    <w:p>
      <w:pPr>
        <w:pStyle w:val="12"/>
        <w:ind w:firstLine="480" w:firstLineChars="200"/>
        <w:rPr>
          <w:rFonts w:hint="eastAsia" w:ascii="宋体" w:hAnsi="宋体" w:cs="宋体"/>
          <w:color w:val="auto"/>
          <w:kern w:val="2"/>
          <w:sz w:val="24"/>
          <w:szCs w:val="22"/>
          <w:highlight w:val="none"/>
          <w:u w:val="none"/>
          <w:lang w:val="en-US" w:eastAsia="zh-CN" w:bidi="ar-SA"/>
        </w:rPr>
      </w:pPr>
      <w:r>
        <w:rPr>
          <w:rFonts w:hint="eastAsia" w:ascii="宋体" w:hAnsi="宋体" w:cs="宋体"/>
          <w:color w:val="auto"/>
          <w:kern w:val="2"/>
          <w:sz w:val="24"/>
          <w:szCs w:val="22"/>
          <w:highlight w:val="none"/>
          <w:u w:val="none"/>
          <w:lang w:val="en-US" w:eastAsia="zh-CN" w:bidi="ar-SA"/>
        </w:rPr>
        <w:t>（2）</w:t>
      </w:r>
      <w:r>
        <w:rPr>
          <w:rFonts w:hint="eastAsia" w:hAnsi="宋体" w:eastAsia="宋体"/>
          <w:sz w:val="24"/>
          <w:szCs w:val="24"/>
        </w:rPr>
        <w:t>依法缴纳税收的记录证明（近期完税证明，如未缴税需提供其相关税务部门开具的资料证明）</w:t>
      </w:r>
    </w:p>
    <w:p>
      <w:pPr>
        <w:pStyle w:val="12"/>
        <w:ind w:firstLine="480" w:firstLineChars="200"/>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注：提供的上述材料的复印件须内容清晰并加盖公章。</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4、具备履行合同所必需专业能力的书面声明（格式见附件一）</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5、参加政府采购活动前 3 年内在经营活动中没有重大违法记录的书面声明（格式见附件二）</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6、法律、行政法规规定的其他条件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7、其它材料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7.1</w:t>
      </w:r>
      <w:r>
        <w:rPr>
          <w:rFonts w:hint="eastAsia" w:ascii="宋体" w:hAnsi="宋体" w:eastAsia="宋体" w:cs="宋体"/>
          <w:color w:val="auto"/>
          <w:kern w:val="2"/>
          <w:sz w:val="24"/>
          <w:szCs w:val="22"/>
          <w:highlight w:val="none"/>
          <w:u w:val="none"/>
          <w:lang w:val="en-US" w:eastAsia="zh-CN" w:bidi="ar-SA"/>
        </w:rPr>
        <w:t>书面声明：说明自己与其他参与同一合同项下的供应商，不存在《政府采购法实施条例》第十八条规定的关联关系；</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7.2提供“信用中国”网站和“中国政府采购网”网站企业信用信息查询记录（复印件加盖公章）</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7.3供应商认为需要提供的其他材料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32"/>
          <w:szCs w:val="28"/>
          <w:highlight w:val="none"/>
          <w:u w:val="none"/>
          <w:lang w:val="en-US" w:eastAsia="zh-CN" w:bidi="ar-SA"/>
        </w:rPr>
      </w:pPr>
      <w:r>
        <w:rPr>
          <w:rFonts w:hint="eastAsia" w:ascii="宋体" w:hAnsi="宋体" w:eastAsia="宋体" w:cs="宋体"/>
          <w:b/>
          <w:bCs/>
          <w:color w:val="auto"/>
          <w:kern w:val="2"/>
          <w:sz w:val="32"/>
          <w:szCs w:val="28"/>
          <w:highlight w:val="none"/>
          <w:u w:val="none"/>
          <w:lang w:val="en-US" w:eastAsia="zh-CN" w:bidi="ar-SA"/>
        </w:rPr>
        <w:t>二、商务技术文件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（1）法定代表人（单位负责人）身份证明、授权委托书（格式见附件三）</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（2）提供响应保证金缴纳凭证（格式见附件四）</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（3）响应函（格式见附件五）；</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（4）报价一览表（格式见附件六）；</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（5）报价明细表（格式见附件七）；</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（6）商务条款偏离表（格式见附件八）；</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（7）技术条款偏离表（格式见附件九）；</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8）证明提供货物符合磋商文件要求的技术文件，可以是手册、图纸、文字资料和数据，它包括但不限于：货物主要技术指标和性能的详细说明；货物从买方开始使用至磋商文件规定的保质期内正常、连续地使用所必须的备件和专用工具清单，包括备件和专用工具的货源及现行价格；对照磋商文件技术规格，逐条说明所提供货物及伴随的工程和服务已对磋商文件的技术规格做出了实质性的响应，或申明与技术规格条文的偏差和例外。</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（9）响应方案，包括但不限于：投标设备技术性能指标的详细描述、技术支持资料、相关服务计划</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(10)售后服务方案；</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（11）其他需要提供的商务和技术文件；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32"/>
          <w:szCs w:val="28"/>
          <w:highlight w:val="none"/>
          <w:u w:val="none"/>
          <w:lang w:val="en-US" w:eastAsia="zh-CN" w:bidi="ar-SA"/>
        </w:rPr>
      </w:pPr>
      <w:r>
        <w:rPr>
          <w:rFonts w:hint="eastAsia" w:ascii="宋体" w:hAnsi="宋体" w:eastAsia="宋体" w:cs="宋体"/>
          <w:b/>
          <w:bCs/>
          <w:color w:val="auto"/>
          <w:kern w:val="2"/>
          <w:sz w:val="32"/>
          <w:szCs w:val="28"/>
          <w:highlight w:val="none"/>
          <w:u w:val="none"/>
          <w:lang w:val="en-US" w:eastAsia="zh-CN" w:bidi="ar-SA"/>
        </w:rPr>
        <w:t>三、其他文件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（1）中小企业声明函（格式见附件十）；</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（2）残疾人福利性单位声明函（格式见附件十一）；</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（3）供应商认为需要提供的其他材料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color w:val="auto"/>
          <w:sz w:val="28"/>
          <w:szCs w:val="28"/>
          <w:highlight w:val="none"/>
        </w:rPr>
      </w:pPr>
      <w:r>
        <w:rPr>
          <w:rFonts w:hint="eastAsia" w:ascii="宋体" w:hAnsi="宋体"/>
          <w:color w:val="auto"/>
          <w:sz w:val="28"/>
          <w:szCs w:val="28"/>
          <w:highlight w:val="none"/>
        </w:rPr>
        <w:br w:type="page"/>
      </w:r>
    </w:p>
    <w:bookmarkEnd w:id="238"/>
    <w:p>
      <w:pPr>
        <w:pStyle w:val="5"/>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highlight w:val="none"/>
          <w:lang w:eastAsia="zh-CN"/>
        </w:rPr>
      </w:pPr>
      <w:bookmarkStart w:id="241" w:name="_Toc534816643"/>
      <w:bookmarkStart w:id="242" w:name="_Toc534725614"/>
      <w:bookmarkStart w:id="243" w:name="_Toc519111281"/>
    </w:p>
    <w:p>
      <w:pPr>
        <w:pStyle w:val="5"/>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highlight w:val="none"/>
          <w:lang w:eastAsia="zh-CN"/>
        </w:rPr>
      </w:pPr>
    </w:p>
    <w:p>
      <w:pPr>
        <w:pStyle w:val="5"/>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附件一：</w:t>
      </w:r>
      <w:r>
        <w:rPr>
          <w:rFonts w:hint="eastAsia" w:ascii="宋体" w:hAnsi="宋体" w:eastAsia="宋体" w:cs="宋体"/>
          <w:b w:val="0"/>
          <w:bCs w:val="0"/>
          <w:color w:val="auto"/>
          <w:sz w:val="30"/>
          <w:szCs w:val="30"/>
          <w:highlight w:val="none"/>
        </w:rPr>
        <w:t>具备履行合同所必需的设备和专业技术能力的书面声明</w:t>
      </w:r>
      <w:bookmarkEnd w:id="241"/>
      <w:bookmarkEnd w:id="242"/>
    </w:p>
    <w:p>
      <w:pPr>
        <w:spacing w:before="145" w:beforeLines="50" w:after="145"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主要设备有：</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pPr>
        <w:spacing w:before="145" w:beforeLines="50" w:after="145"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主要专业技术能力有：</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pPr>
        <w:pStyle w:val="80"/>
        <w:rPr>
          <w:rFonts w:hint="eastAsia" w:ascii="宋体" w:hAnsi="宋体" w:eastAsia="宋体" w:cs="宋体"/>
          <w:color w:val="auto"/>
          <w:highlight w:val="none"/>
        </w:rPr>
      </w:pPr>
    </w:p>
    <w:p>
      <w:pPr>
        <w:pStyle w:val="82"/>
        <w:tabs>
          <w:tab w:val="left" w:pos="750"/>
        </w:tabs>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bCs/>
          <w:color w:val="auto"/>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 xml:space="preserve">           </w:t>
      </w:r>
    </w:p>
    <w:p>
      <w:pPr>
        <w:pStyle w:val="82"/>
        <w:tabs>
          <w:tab w:val="left" w:pos="750"/>
        </w:tabs>
        <w:adjustRightInd w:val="0"/>
        <w:snapToGrid w:val="0"/>
        <w:spacing w:line="500" w:lineRule="exact"/>
        <w:rPr>
          <w:rFonts w:hint="eastAsia" w:ascii="宋体" w:hAnsi="宋体" w:eastAsia="宋体" w:cs="宋体"/>
          <w:color w:val="auto"/>
          <w:sz w:val="24"/>
          <w:szCs w:val="24"/>
          <w:highlight w:val="none"/>
        </w:rPr>
      </w:pPr>
    </w:p>
    <w:p>
      <w:pPr>
        <w:pStyle w:val="82"/>
        <w:tabs>
          <w:tab w:val="left" w:pos="750"/>
        </w:tabs>
        <w:adjustRightInd w:val="0"/>
        <w:snapToGrid w:val="0"/>
        <w:spacing w:line="500" w:lineRule="exact"/>
        <w:ind w:firstLine="720" w:firstLineChars="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80"/>
        <w:rPr>
          <w:rFonts w:hint="eastAsia" w:ascii="宋体" w:hAnsi="宋体" w:eastAsia="宋体" w:cs="宋体"/>
          <w:color w:val="auto"/>
          <w:highlight w:val="none"/>
        </w:rPr>
      </w:pPr>
    </w:p>
    <w:p>
      <w:pPr>
        <w:pStyle w:val="5"/>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highlight w:val="none"/>
          <w:lang w:eastAsia="zh-CN"/>
        </w:rPr>
      </w:pPr>
      <w:bookmarkStart w:id="244" w:name="_Toc534725615"/>
      <w:bookmarkStart w:id="245" w:name="_Toc534816644"/>
      <w:r>
        <w:rPr>
          <w:rFonts w:hint="eastAsia" w:ascii="宋体" w:hAnsi="宋体" w:eastAsia="宋体" w:cs="宋体"/>
          <w:b w:val="0"/>
          <w:bCs w:val="0"/>
          <w:color w:val="auto"/>
          <w:sz w:val="30"/>
          <w:szCs w:val="30"/>
          <w:highlight w:val="none"/>
          <w:lang w:eastAsia="zh-CN"/>
        </w:rPr>
        <w:t>附件二：参加政府采购活动前 3 年内在经营活动中没有重大违法记录的书面声明</w:t>
      </w:r>
      <w:bookmarkEnd w:id="244"/>
      <w:bookmarkEnd w:id="245"/>
    </w:p>
    <w:p>
      <w:pPr>
        <w:spacing w:before="145" w:beforeLines="50" w:after="145" w:afterLines="50" w:line="300" w:lineRule="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声  明</w:t>
      </w:r>
    </w:p>
    <w:p>
      <w:pPr>
        <w:spacing w:before="145" w:beforeLines="50" w:after="145" w:afterLines="50" w:line="30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color w:val="auto"/>
          <w:sz w:val="24"/>
          <w:highlight w:val="none"/>
        </w:rPr>
      </w:pPr>
    </w:p>
    <w:p>
      <w:pPr>
        <w:pStyle w:val="82"/>
        <w:tabs>
          <w:tab w:val="left" w:pos="750"/>
        </w:tabs>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82"/>
        <w:tabs>
          <w:tab w:val="left" w:pos="750"/>
        </w:tabs>
        <w:adjustRightInd w:val="0"/>
        <w:snapToGrid w:val="0"/>
        <w:spacing w:line="500" w:lineRule="exact"/>
        <w:ind w:firstLine="720" w:firstLineChars="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80"/>
        <w:rPr>
          <w:rFonts w:hint="eastAsia" w:ascii="宋体" w:hAnsi="宋体" w:eastAsia="宋体" w:cs="宋体"/>
          <w:color w:val="auto"/>
          <w:highlight w:val="none"/>
          <w:lang w:eastAsia="zh-CN"/>
        </w:rPr>
      </w:pPr>
    </w:p>
    <w:p>
      <w:pPr>
        <w:pStyle w:val="5"/>
        <w:numPr>
          <w:ilvl w:val="0"/>
          <w:numId w:val="0"/>
        </w:numPr>
        <w:spacing w:before="145" w:beforeLines="50" w:after="145" w:afterLines="50" w:line="300" w:lineRule="auto"/>
        <w:ind w:leftChars="0"/>
        <w:jc w:val="both"/>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附件三：</w:t>
      </w:r>
      <w:r>
        <w:rPr>
          <w:rFonts w:hint="eastAsia" w:ascii="宋体" w:hAnsi="宋体" w:eastAsia="宋体" w:cs="宋体"/>
          <w:b w:val="0"/>
          <w:bCs w:val="0"/>
          <w:color w:val="auto"/>
          <w:sz w:val="30"/>
          <w:szCs w:val="30"/>
          <w:highlight w:val="none"/>
        </w:rPr>
        <w:t>法定代表人（单位负责人）身份证明及授权委托书</w:t>
      </w:r>
      <w:bookmarkEnd w:id="243"/>
    </w:p>
    <w:p>
      <w:pPr>
        <w:rPr>
          <w:rFonts w:hint="eastAsia" w:ascii="宋体" w:hAnsi="宋体" w:eastAsia="宋体" w:cs="宋体"/>
          <w:color w:val="auto"/>
          <w:highlight w:val="none"/>
        </w:rPr>
      </w:pPr>
    </w:p>
    <w:p>
      <w:pPr>
        <w:pStyle w:val="83"/>
        <w:jc w:val="center"/>
        <w:outlineLvl w:val="9"/>
        <w:rPr>
          <w:rFonts w:hint="eastAsia" w:ascii="宋体" w:hAnsi="宋体" w:eastAsia="宋体" w:cs="宋体"/>
          <w:b w:val="0"/>
          <w:color w:val="auto"/>
          <w:sz w:val="24"/>
          <w:szCs w:val="24"/>
          <w:highlight w:val="none"/>
          <w:lang w:eastAsia="zh-CN"/>
        </w:rPr>
      </w:pPr>
      <w:bookmarkStart w:id="246" w:name="_Toc480371721"/>
      <w:bookmarkStart w:id="247" w:name="_Toc519111282"/>
      <w:bookmarkStart w:id="248" w:name="_Toc480368653"/>
      <w:bookmarkStart w:id="249" w:name="_Toc480368424"/>
      <w:bookmarkStart w:id="250" w:name="_Toc480368595"/>
      <w:bookmarkStart w:id="251" w:name="_Toc468535482"/>
      <w:r>
        <w:rPr>
          <w:rFonts w:hint="eastAsia" w:ascii="宋体" w:hAnsi="宋体" w:eastAsia="宋体" w:cs="宋体"/>
          <w:b w:val="0"/>
          <w:color w:val="auto"/>
          <w:sz w:val="24"/>
          <w:szCs w:val="24"/>
          <w:highlight w:val="none"/>
        </w:rPr>
        <w:t>法定代表人（单位负责人）资格证明文件</w:t>
      </w:r>
      <w:bookmarkEnd w:id="246"/>
      <w:bookmarkEnd w:id="247"/>
      <w:bookmarkEnd w:id="248"/>
      <w:bookmarkEnd w:id="249"/>
      <w:bookmarkEnd w:id="250"/>
      <w:bookmarkEnd w:id="251"/>
    </w:p>
    <w:p>
      <w:pPr>
        <w:pStyle w:val="82"/>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82"/>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公司法定代表人（单位负责人），代表我公司办理一切社会公务事宜，具有法律效力。 </w:t>
      </w:r>
    </w:p>
    <w:p>
      <w:pPr>
        <w:pStyle w:val="82"/>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附法定代表人（单位负责人）基本情况： </w:t>
      </w:r>
    </w:p>
    <w:p>
      <w:pPr>
        <w:pStyle w:val="82"/>
        <w:adjustRightInd w:val="0"/>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pStyle w:val="82"/>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pStyle w:val="82"/>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rPr>
        <w:t xml:space="preserve">                       </w:t>
      </w:r>
    </w:p>
    <w:p>
      <w:pPr>
        <w:pStyle w:val="82"/>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pPr>
        <w:pStyle w:val="82"/>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3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2"/>
              <w:adjustRightInd w:val="0"/>
              <w:snapToGrid w:val="0"/>
              <w:spacing w:line="500" w:lineRule="exact"/>
              <w:jc w:val="center"/>
              <w:rPr>
                <w:rFonts w:hint="eastAsia" w:ascii="宋体" w:hAnsi="宋体" w:eastAsia="宋体" w:cs="宋体"/>
                <w:color w:val="auto"/>
                <w:sz w:val="24"/>
                <w:szCs w:val="24"/>
                <w:highlight w:val="none"/>
              </w:rPr>
            </w:pPr>
          </w:p>
          <w:p>
            <w:pPr>
              <w:pStyle w:val="82"/>
              <w:adjustRightInd w:val="0"/>
              <w:snapToGrid w:val="0"/>
              <w:spacing w:line="500" w:lineRule="exact"/>
              <w:jc w:val="center"/>
              <w:rPr>
                <w:rFonts w:hint="eastAsia" w:ascii="宋体" w:hAnsi="宋体" w:eastAsia="宋体" w:cs="宋体"/>
                <w:color w:val="auto"/>
                <w:sz w:val="24"/>
                <w:szCs w:val="24"/>
                <w:highlight w:val="none"/>
              </w:rPr>
            </w:pPr>
          </w:p>
          <w:p>
            <w:pPr>
              <w:pStyle w:val="82"/>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法定代表人（单位负责人）《居民身份证》扫描件</w:t>
            </w:r>
          </w:p>
        </w:tc>
      </w:tr>
    </w:tbl>
    <w:p>
      <w:pPr>
        <w:pStyle w:val="82"/>
        <w:adjustRightInd w:val="0"/>
        <w:snapToGrid w:val="0"/>
        <w:spacing w:line="500" w:lineRule="exact"/>
        <w:rPr>
          <w:rFonts w:hint="eastAsia" w:ascii="宋体" w:hAnsi="宋体" w:eastAsia="宋体" w:cs="宋体"/>
          <w:color w:val="auto"/>
          <w:sz w:val="24"/>
          <w:szCs w:val="24"/>
          <w:highlight w:val="none"/>
        </w:rPr>
      </w:pPr>
    </w:p>
    <w:p>
      <w:pPr>
        <w:pStyle w:val="82"/>
        <w:tabs>
          <w:tab w:val="left" w:pos="750"/>
        </w:tabs>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 xml:space="preserve">           </w:t>
      </w:r>
    </w:p>
    <w:p>
      <w:pPr>
        <w:pStyle w:val="82"/>
        <w:tabs>
          <w:tab w:val="left" w:pos="750"/>
        </w:tabs>
        <w:adjustRightInd w:val="0"/>
        <w:snapToGrid w:val="0"/>
        <w:spacing w:line="500" w:lineRule="exact"/>
        <w:rPr>
          <w:rFonts w:hint="eastAsia" w:ascii="宋体" w:hAnsi="宋体" w:eastAsia="宋体" w:cs="宋体"/>
          <w:color w:val="auto"/>
          <w:sz w:val="24"/>
          <w:szCs w:val="24"/>
          <w:highlight w:val="none"/>
        </w:rPr>
      </w:pPr>
    </w:p>
    <w:p>
      <w:pPr>
        <w:pStyle w:val="82"/>
        <w:tabs>
          <w:tab w:val="left" w:pos="750"/>
        </w:tabs>
        <w:adjustRightInd w:val="0"/>
        <w:snapToGrid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rPr>
        <w:t xml:space="preserve">           </w:t>
      </w:r>
    </w:p>
    <w:p>
      <w:pPr>
        <w:pStyle w:val="82"/>
        <w:tabs>
          <w:tab w:val="left" w:pos="750"/>
        </w:tabs>
        <w:adjustRightInd w:val="0"/>
        <w:snapToGrid w:val="0"/>
        <w:spacing w:line="500" w:lineRule="exact"/>
        <w:rPr>
          <w:rFonts w:hint="eastAsia" w:ascii="宋体" w:hAnsi="宋体" w:eastAsia="宋体" w:cs="宋体"/>
          <w:color w:val="auto"/>
          <w:sz w:val="24"/>
          <w:szCs w:val="24"/>
          <w:highlight w:val="none"/>
        </w:rPr>
      </w:pPr>
    </w:p>
    <w:p>
      <w:pPr>
        <w:pStyle w:val="82"/>
        <w:tabs>
          <w:tab w:val="left" w:pos="750"/>
        </w:tabs>
        <w:adjustRightInd w:val="0"/>
        <w:snapToGrid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color w:val="auto"/>
          <w:highlight w:val="none"/>
        </w:rPr>
      </w:pPr>
    </w:p>
    <w:p>
      <w:pPr>
        <w:rPr>
          <w:rFonts w:hint="eastAsia"/>
          <w:color w:val="auto"/>
          <w:highlight w:val="none"/>
          <w:lang w:eastAsia="zh-CN"/>
        </w:rPr>
      </w:pPr>
      <w:r>
        <w:rPr>
          <w:rFonts w:hint="eastAsia"/>
          <w:color w:val="auto"/>
          <w:highlight w:val="none"/>
        </w:rPr>
        <w:t xml:space="preserve"> </w:t>
      </w:r>
      <w:bookmarkStart w:id="252" w:name="_Toc468535483"/>
    </w:p>
    <w:p>
      <w:pPr>
        <w:pStyle w:val="82"/>
        <w:rPr>
          <w:rFonts w:hint="eastAsia" w:ascii="宋体" w:hAnsi="宋体" w:eastAsia="宋体" w:cs="宋体"/>
          <w:color w:val="auto"/>
          <w:highlight w:val="none"/>
          <w:lang w:eastAsia="zh-CN"/>
        </w:rPr>
      </w:pPr>
    </w:p>
    <w:p>
      <w:pPr>
        <w:pStyle w:val="83"/>
        <w:outlineLvl w:val="9"/>
        <w:rPr>
          <w:rFonts w:hint="eastAsia" w:ascii="宋体" w:hAnsi="宋体" w:eastAsia="宋体" w:cs="宋体"/>
          <w:b w:val="0"/>
          <w:color w:val="auto"/>
          <w:highlight w:val="none"/>
        </w:rPr>
      </w:pPr>
    </w:p>
    <w:p>
      <w:pPr>
        <w:pStyle w:val="83"/>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highlight w:val="none"/>
        </w:rPr>
        <w:t xml:space="preserve"> </w:t>
      </w:r>
      <w:bookmarkStart w:id="253" w:name="_Toc519111283"/>
      <w:bookmarkStart w:id="254" w:name="_Toc480368654"/>
      <w:bookmarkStart w:id="255" w:name="_Toc480371722"/>
      <w:bookmarkStart w:id="256" w:name="_Toc480368425"/>
      <w:bookmarkStart w:id="257" w:name="_Toc480368596"/>
      <w:r>
        <w:rPr>
          <w:rFonts w:hint="eastAsia" w:ascii="宋体" w:hAnsi="宋体" w:eastAsia="宋体" w:cs="宋体"/>
          <w:b w:val="0"/>
          <w:color w:val="auto"/>
          <w:sz w:val="24"/>
          <w:szCs w:val="24"/>
          <w:highlight w:val="none"/>
        </w:rPr>
        <w:t>法定代表人（单位负责人）授权书</w:t>
      </w:r>
      <w:bookmarkEnd w:id="252"/>
      <w:bookmarkEnd w:id="253"/>
      <w:bookmarkEnd w:id="254"/>
      <w:bookmarkEnd w:id="255"/>
      <w:bookmarkEnd w:id="256"/>
      <w:bookmarkEnd w:id="257"/>
    </w:p>
    <w:p>
      <w:pPr>
        <w:pStyle w:val="82"/>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82"/>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同志为我公司参加贵单位组织的编号为</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 目 名 称）</w:t>
      </w:r>
      <w:r>
        <w:rPr>
          <w:rFonts w:hint="eastAsia" w:ascii="宋体" w:hAnsi="宋体" w:eastAsia="宋体" w:cs="宋体"/>
          <w:color w:val="auto"/>
          <w:sz w:val="24"/>
          <w:szCs w:val="24"/>
          <w:highlight w:val="none"/>
        </w:rPr>
        <w:t>采购活动的投标代表人，全权代表我公司处理在该项目采购活动中的一切事宜。代理期限从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日止。 </w:t>
      </w:r>
    </w:p>
    <w:p>
      <w:pPr>
        <w:pStyle w:val="82"/>
        <w:spacing w:line="500" w:lineRule="exact"/>
        <w:rPr>
          <w:rFonts w:hint="eastAsia" w:ascii="宋体" w:hAnsi="宋体" w:eastAsia="宋体" w:cs="宋体"/>
          <w:color w:val="auto"/>
          <w:sz w:val="24"/>
          <w:szCs w:val="24"/>
          <w:highlight w:val="none"/>
        </w:rPr>
      </w:pP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 xml:space="preserve">               </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代理人工作单位：</w:t>
      </w:r>
      <w:r>
        <w:rPr>
          <w:rFonts w:hint="eastAsia" w:ascii="宋体" w:hAnsi="宋体" w:eastAsia="宋体" w:cs="宋体"/>
          <w:color w:val="auto"/>
          <w:sz w:val="24"/>
          <w:szCs w:val="24"/>
          <w:highlight w:val="none"/>
          <w:u w:val="single"/>
        </w:rPr>
        <w:t xml:space="preserve">                          </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p>
    <w:p>
      <w:pPr>
        <w:pStyle w:val="8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pStyle w:val="82"/>
        <w:adjustRightInd w:val="0"/>
        <w:snapToGrid w:val="0"/>
        <w:spacing w:line="500" w:lineRule="exact"/>
        <w:ind w:left="-88" w:leftChars="-42" w:firstLine="600" w:firstLineChars="250"/>
        <w:rPr>
          <w:rFonts w:hint="eastAsia" w:ascii="宋体" w:hAnsi="宋体" w:eastAsia="宋体" w:cs="宋体"/>
          <w:color w:val="auto"/>
          <w:sz w:val="24"/>
          <w:szCs w:val="24"/>
          <w:highlight w:val="none"/>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82"/>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粘贴被授权人身份证（扫描件）</w:t>
            </w:r>
          </w:p>
        </w:tc>
      </w:tr>
    </w:tbl>
    <w:p>
      <w:pPr>
        <w:autoSpaceDE w:val="0"/>
        <w:autoSpaceDN w:val="0"/>
        <w:adjustRightInd w:val="0"/>
        <w:spacing w:line="500" w:lineRule="exact"/>
        <w:ind w:firstLine="141" w:firstLineChars="50"/>
        <w:jc w:val="left"/>
        <w:rPr>
          <w:rFonts w:asciiTheme="majorEastAsia" w:hAnsiTheme="majorEastAsia" w:eastAsiaTheme="majorEastAsia"/>
          <w:b/>
          <w:color w:val="auto"/>
          <w:kern w:val="0"/>
          <w:sz w:val="28"/>
          <w:szCs w:val="28"/>
          <w:highlight w:val="none"/>
        </w:rPr>
      </w:pPr>
    </w:p>
    <w:p>
      <w:pPr>
        <w:autoSpaceDE w:val="0"/>
        <w:autoSpaceDN w:val="0"/>
        <w:adjustRightInd w:val="0"/>
        <w:spacing w:line="500" w:lineRule="exact"/>
        <w:ind w:firstLine="141" w:firstLineChars="50"/>
        <w:jc w:val="left"/>
        <w:rPr>
          <w:rFonts w:asciiTheme="majorEastAsia" w:hAnsiTheme="majorEastAsia" w:eastAsiaTheme="majorEastAsia"/>
          <w:b/>
          <w:color w:val="auto"/>
          <w:kern w:val="0"/>
          <w:sz w:val="28"/>
          <w:szCs w:val="28"/>
          <w:highlight w:val="none"/>
        </w:rPr>
      </w:pPr>
    </w:p>
    <w:p>
      <w:pPr>
        <w:pStyle w:val="90"/>
        <w:tabs>
          <w:tab w:val="left" w:pos="8786"/>
        </w:tabs>
        <w:spacing w:after="0" w:line="360" w:lineRule="auto"/>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Theme="majorEastAsia" w:hAnsiTheme="majorEastAsia" w:eastAsiaTheme="majorEastAsia"/>
          <w:b/>
          <w:color w:val="auto"/>
          <w:kern w:val="0"/>
          <w:sz w:val="28"/>
          <w:szCs w:val="28"/>
          <w:highlight w:val="none"/>
        </w:rPr>
      </w:pPr>
    </w:p>
    <w:p>
      <w:pPr>
        <w:autoSpaceDE w:val="0"/>
        <w:autoSpaceDN w:val="0"/>
        <w:adjustRightInd w:val="0"/>
        <w:spacing w:line="500" w:lineRule="exact"/>
        <w:ind w:firstLine="141" w:firstLineChars="50"/>
        <w:jc w:val="left"/>
        <w:rPr>
          <w:rFonts w:asciiTheme="majorEastAsia" w:hAnsiTheme="majorEastAsia" w:eastAsiaTheme="majorEastAsia"/>
          <w:b/>
          <w:color w:val="auto"/>
          <w:kern w:val="0"/>
          <w:sz w:val="28"/>
          <w:szCs w:val="28"/>
          <w:highlight w:val="none"/>
        </w:rPr>
      </w:pPr>
    </w:p>
    <w:p>
      <w:pPr>
        <w:pStyle w:val="5"/>
        <w:numPr>
          <w:ilvl w:val="0"/>
          <w:numId w:val="0"/>
        </w:numPr>
        <w:spacing w:before="145" w:beforeLines="50" w:after="145" w:afterLines="50" w:line="300" w:lineRule="auto"/>
        <w:ind w:leftChars="0"/>
        <w:jc w:val="both"/>
        <w:rPr>
          <w:rFonts w:hint="eastAsia" w:ascii="宋体" w:hAnsi="宋体" w:eastAsia="宋体" w:cs="宋体"/>
          <w:b w:val="0"/>
          <w:bCs w:val="0"/>
          <w:color w:val="auto"/>
          <w:sz w:val="30"/>
          <w:szCs w:val="30"/>
          <w:highlight w:val="none"/>
          <w:lang w:eastAsia="zh-CN"/>
        </w:rPr>
      </w:pPr>
      <w:r>
        <w:rPr>
          <w:rFonts w:hint="eastAsia" w:ascii="宋体" w:hAnsi="宋体" w:eastAsia="宋体" w:cs="宋体"/>
          <w:b w:val="0"/>
          <w:bCs w:val="0"/>
          <w:color w:val="auto"/>
          <w:sz w:val="30"/>
          <w:szCs w:val="30"/>
          <w:highlight w:val="none"/>
          <w:lang w:eastAsia="zh-CN"/>
        </w:rPr>
        <w:t>附件四：</w:t>
      </w:r>
      <w:r>
        <w:rPr>
          <w:rFonts w:hint="eastAsia" w:eastAsia="宋体" w:cs="宋体"/>
          <w:b w:val="0"/>
          <w:bCs w:val="0"/>
          <w:color w:val="auto"/>
          <w:sz w:val="30"/>
          <w:szCs w:val="30"/>
          <w:highlight w:val="none"/>
          <w:lang w:eastAsia="zh-CN"/>
        </w:rPr>
        <w:t>响应保证金</w:t>
      </w:r>
      <w:r>
        <w:rPr>
          <w:rFonts w:hint="eastAsia" w:ascii="宋体" w:hAnsi="宋体" w:eastAsia="宋体" w:cs="宋体"/>
          <w:b w:val="0"/>
          <w:bCs w:val="0"/>
          <w:color w:val="auto"/>
          <w:sz w:val="30"/>
          <w:szCs w:val="30"/>
          <w:highlight w:val="none"/>
        </w:rPr>
        <w:t>缴纳凭证或投标担保函</w:t>
      </w:r>
      <w:r>
        <w:rPr>
          <w:rFonts w:hint="eastAsia" w:ascii="宋体" w:eastAsia="宋体" w:cs="宋体"/>
          <w:b w:val="0"/>
          <w:bCs w:val="0"/>
          <w:color w:val="auto"/>
          <w:sz w:val="30"/>
          <w:szCs w:val="30"/>
          <w:highlight w:val="none"/>
          <w:lang w:eastAsia="zh-CN"/>
        </w:rPr>
        <w:t>（本项目不适用）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w:t>
      </w:r>
      <w:r>
        <w:rPr>
          <w:rFonts w:hint="eastAsia" w:ascii="宋体" w:hAnsi="宋体" w:eastAsia="宋体" w:cs="宋体"/>
          <w:color w:val="auto"/>
          <w:sz w:val="24"/>
          <w:szCs w:val="24"/>
          <w:highlight w:val="none"/>
          <w:lang w:eastAsia="zh-CN"/>
        </w:rPr>
        <w:t>提供</w:t>
      </w:r>
      <w:r>
        <w:rPr>
          <w:rFonts w:hint="eastAsia" w:ascii="宋体" w:hAnsi="宋体" w:cs="宋体"/>
          <w:color w:val="auto"/>
          <w:sz w:val="24"/>
          <w:szCs w:val="24"/>
          <w:highlight w:val="none"/>
          <w:lang w:eastAsia="zh-CN"/>
        </w:rPr>
        <w:t>响应保证金</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的支票、汇票</w:t>
      </w:r>
      <w:r>
        <w:rPr>
          <w:rFonts w:hint="eastAsia" w:ascii="宋体" w:hAnsi="宋体" w:eastAsia="宋体" w:cs="宋体"/>
          <w:color w:val="auto"/>
          <w:sz w:val="24"/>
          <w:szCs w:val="24"/>
          <w:highlight w:val="none"/>
          <w:lang w:eastAsia="zh-CN"/>
        </w:rPr>
        <w:t>、本票</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支付的</w:t>
      </w:r>
      <w:r>
        <w:rPr>
          <w:rFonts w:hint="eastAsia" w:ascii="宋体" w:hAnsi="宋体" w:eastAsia="宋体" w:cs="宋体"/>
          <w:color w:val="auto"/>
          <w:sz w:val="24"/>
          <w:szCs w:val="24"/>
          <w:highlight w:val="none"/>
        </w:rPr>
        <w:t>汇款凭证的复印件作为缴纳凭证，复印件上应加盖单位章；使用银行保函等其他投标担保函的，应</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担保函正本，装订在正本中；如采用信用担保形式的，应使用投标担保函（格式</w:t>
      </w:r>
      <w:r>
        <w:rPr>
          <w:rFonts w:hint="eastAsia" w:ascii="宋体" w:hAnsi="宋体" w:eastAsia="宋体" w:cs="宋体"/>
          <w:color w:val="auto"/>
          <w:sz w:val="24"/>
          <w:szCs w:val="24"/>
          <w:highlight w:val="none"/>
          <w:lang w:eastAsia="zh-CN"/>
        </w:rPr>
        <w:t>如下</w:t>
      </w:r>
      <w:r>
        <w:rPr>
          <w:rFonts w:hint="eastAsia" w:ascii="宋体" w:hAnsi="宋体" w:eastAsia="宋体" w:cs="宋体"/>
          <w:color w:val="auto"/>
          <w:sz w:val="24"/>
          <w:szCs w:val="24"/>
          <w:highlight w:val="none"/>
        </w:rPr>
        <w:t>）,将原件装订在正本中。</w:t>
      </w:r>
    </w:p>
    <w:p>
      <w:pPr>
        <w:pStyle w:val="32"/>
        <w:rPr>
          <w:rFonts w:hint="eastAsia" w:ascii="宋体" w:hAnsi="宋体" w:eastAsia="宋体" w:cs="宋体"/>
          <w:color w:val="auto"/>
          <w:sz w:val="24"/>
          <w:szCs w:val="24"/>
          <w:highlight w:val="none"/>
        </w:rPr>
      </w:pPr>
    </w:p>
    <w:p>
      <w:pPr>
        <w:pStyle w:val="32"/>
        <w:ind w:left="0" w:leftChars="0" w:firstLine="0" w:firstLineChars="0"/>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pStyle w:val="32"/>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投标担保函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（采购人或采购代理机构）：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（以下简称“投标人”）拟参加编号为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项目（以下简称“本项目”）投标，根据本项目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，供应商参加投标时应向你方交纳</w:t>
      </w:r>
      <w:r>
        <w:rPr>
          <w:rFonts w:hint="eastAsia" w:ascii="宋体" w:hAnsi="宋体" w:cs="宋体"/>
          <w:color w:val="auto"/>
          <w:sz w:val="24"/>
          <w:szCs w:val="24"/>
          <w:highlight w:val="none"/>
          <w:lang w:eastAsia="zh-CN"/>
        </w:rPr>
        <w:t>响应保证金</w:t>
      </w:r>
      <w:r>
        <w:rPr>
          <w:rFonts w:hint="eastAsia" w:ascii="宋体" w:hAnsi="宋体" w:eastAsia="宋体" w:cs="宋体"/>
          <w:color w:val="auto"/>
          <w:sz w:val="24"/>
          <w:szCs w:val="24"/>
          <w:highlight w:val="none"/>
        </w:rPr>
        <w:t>，且可以投标担保函的形式交纳</w:t>
      </w:r>
      <w:r>
        <w:rPr>
          <w:rFonts w:hint="eastAsia" w:ascii="宋体" w:hAnsi="宋体" w:cs="宋体"/>
          <w:color w:val="auto"/>
          <w:sz w:val="24"/>
          <w:szCs w:val="24"/>
          <w:highlight w:val="none"/>
          <w:lang w:eastAsia="zh-CN"/>
        </w:rPr>
        <w:t>响应保证金</w:t>
      </w:r>
      <w:r>
        <w:rPr>
          <w:rFonts w:hint="eastAsia" w:ascii="宋体" w:hAnsi="宋体" w:eastAsia="宋体" w:cs="宋体"/>
          <w:color w:val="auto"/>
          <w:sz w:val="24"/>
          <w:szCs w:val="24"/>
          <w:highlight w:val="none"/>
        </w:rPr>
        <w:t>。应供应商的申请，我方以保证的方式向你方提供如下</w:t>
      </w:r>
      <w:r>
        <w:rPr>
          <w:rFonts w:hint="eastAsia" w:ascii="宋体" w:hAnsi="宋体" w:cs="宋体"/>
          <w:color w:val="auto"/>
          <w:sz w:val="24"/>
          <w:szCs w:val="24"/>
          <w:highlight w:val="none"/>
          <w:lang w:eastAsia="zh-CN"/>
        </w:rPr>
        <w:t>响应保证金</w:t>
      </w:r>
      <w:r>
        <w:rPr>
          <w:rFonts w:hint="eastAsia" w:ascii="宋体" w:hAnsi="宋体" w:eastAsia="宋体" w:cs="宋体"/>
          <w:color w:val="auto"/>
          <w:sz w:val="24"/>
          <w:szCs w:val="24"/>
          <w:highlight w:val="none"/>
        </w:rPr>
        <w:t>担保：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一、保证责任的情形及保证金额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（一）在投标人出现下列情形之一时，我方承担保证责任：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1．中标后投标人无正当理由不与采购人签订《政府采购合同》；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规定的投标人应当缴纳保证金的其他情形。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（二）我方承担保证责任的最高金额为人民币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），即本项目的</w:t>
      </w:r>
      <w:r>
        <w:rPr>
          <w:rFonts w:hint="eastAsia" w:ascii="宋体" w:hAnsi="宋体" w:cs="宋体"/>
          <w:color w:val="auto"/>
          <w:sz w:val="24"/>
          <w:szCs w:val="24"/>
          <w:highlight w:val="none"/>
          <w:lang w:eastAsia="zh-CN"/>
        </w:rPr>
        <w:t>响应保证金</w:t>
      </w:r>
      <w:r>
        <w:rPr>
          <w:rFonts w:hint="eastAsia" w:ascii="宋体" w:hAnsi="宋体" w:eastAsia="宋体" w:cs="宋体"/>
          <w:color w:val="auto"/>
          <w:sz w:val="24"/>
          <w:szCs w:val="24"/>
          <w:highlight w:val="none"/>
        </w:rPr>
        <w:t>金额。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二、保证的方式及保证期间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我方保证的方式为：连带责任保证。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我方的保证期间为：自本保函生效之日起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三、承担保证责任的程序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2．我方在收到索赔通知及相关证明材料后，在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个工作日内进行审查，符合应承担保证责任情形的，我方应按照你方的要求代投标人向你方支付</w:t>
      </w:r>
      <w:r>
        <w:rPr>
          <w:rFonts w:hint="eastAsia" w:ascii="宋体" w:hAnsi="宋体" w:cs="宋体"/>
          <w:color w:val="auto"/>
          <w:sz w:val="24"/>
          <w:szCs w:val="24"/>
          <w:highlight w:val="none"/>
          <w:lang w:eastAsia="zh-CN"/>
        </w:rPr>
        <w:t>响应保证金</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四、保证责任的终止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1．保证期间届满你方未向我方书面主张保证责任的，自保证期间届满次日起，我方保证责任自动终止。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2．我方按照本保函向你贵方履行了保证责任后，自我方向你贵方支付款项（支付款项从我方账户划出）之日起，保证责任终止。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3．按照法律法规的规定或出现我方保证责任终止的其它情形的，我方在本保函项下的保证责任亦终止。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五、免责条款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1．依照法律规定或你方与投标人的另行约定，全部或者部分免除投标人</w:t>
      </w:r>
      <w:r>
        <w:rPr>
          <w:rFonts w:hint="eastAsia" w:ascii="宋体" w:hAnsi="宋体" w:cs="宋体"/>
          <w:color w:val="auto"/>
          <w:sz w:val="24"/>
          <w:szCs w:val="24"/>
          <w:highlight w:val="none"/>
          <w:lang w:eastAsia="zh-CN"/>
        </w:rPr>
        <w:t>响应保证金</w:t>
      </w:r>
      <w:r>
        <w:rPr>
          <w:rFonts w:hint="eastAsia" w:ascii="宋体" w:hAnsi="宋体" w:eastAsia="宋体" w:cs="宋体"/>
          <w:color w:val="auto"/>
          <w:sz w:val="24"/>
          <w:szCs w:val="24"/>
          <w:highlight w:val="none"/>
        </w:rPr>
        <w:t>义务时，我方亦免除相应的保证责任。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2．因你方原因致使投标人发生本保函第一条第（一）款约定情形的，我方不承担保证责任。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3．因不可抗力造成投标人发生本保函第一条约定情形的，我方不承担保证责任。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4．你方或其他有权机关对</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进行任何澄清或修改，加重我方保证责任的，我方对加重部分不承担保证责任，但该澄清或修改经我方事先书面同意的除外。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六、争议的解决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因本保函发生的纠纷，由你我双方协商解决，协商不成的，通过诉讼程序解决，诉讼管辖地法院为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七、保函的生效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本保函自我方加盖公章之日起生效。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保证人：（公章）</w:t>
      </w:r>
    </w:p>
    <w:p>
      <w:pPr>
        <w:pStyle w:val="90"/>
        <w:tabs>
          <w:tab w:val="left" w:pos="8786"/>
        </w:tabs>
        <w:spacing w:after="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32"/>
        <w:ind w:left="0" w:leftChars="0" w:firstLine="0" w:firstLineChars="0"/>
        <w:rPr>
          <w:color w:val="auto"/>
          <w:highlight w:val="none"/>
        </w:rPr>
      </w:pPr>
    </w:p>
    <w:p>
      <w:pPr>
        <w:pStyle w:val="5"/>
        <w:numPr>
          <w:ilvl w:val="0"/>
          <w:numId w:val="0"/>
        </w:numPr>
        <w:spacing w:before="145" w:beforeLines="50" w:after="145" w:afterLines="50" w:line="300" w:lineRule="auto"/>
        <w:ind w:leftChars="0"/>
        <w:jc w:val="both"/>
        <w:rPr>
          <w:rFonts w:asciiTheme="majorEastAsia" w:hAnsiTheme="majorEastAsia" w:eastAsiaTheme="majorEastAsia"/>
          <w:b/>
          <w:color w:val="auto"/>
          <w:kern w:val="0"/>
          <w:sz w:val="28"/>
          <w:szCs w:val="28"/>
          <w:highlight w:val="none"/>
        </w:rPr>
      </w:pPr>
      <w:r>
        <w:rPr>
          <w:rFonts w:hint="eastAsia" w:ascii="宋体" w:hAnsi="宋体" w:eastAsia="宋体" w:cs="宋体"/>
          <w:b w:val="0"/>
          <w:bCs w:val="0"/>
          <w:color w:val="auto"/>
          <w:sz w:val="30"/>
          <w:szCs w:val="30"/>
          <w:highlight w:val="none"/>
          <w:lang w:eastAsia="zh-CN"/>
        </w:rPr>
        <w:t>附件</w:t>
      </w:r>
      <w:r>
        <w:rPr>
          <w:rFonts w:hint="eastAsia" w:ascii="宋体" w:eastAsia="宋体" w:cs="宋体"/>
          <w:b w:val="0"/>
          <w:bCs w:val="0"/>
          <w:color w:val="auto"/>
          <w:sz w:val="30"/>
          <w:szCs w:val="30"/>
          <w:highlight w:val="none"/>
          <w:lang w:eastAsia="zh-CN"/>
        </w:rPr>
        <w:t>五</w:t>
      </w:r>
      <w:r>
        <w:rPr>
          <w:rFonts w:hint="eastAsia" w:ascii="宋体" w:hAnsi="宋体" w:eastAsia="宋体" w:cs="宋体"/>
          <w:b w:val="0"/>
          <w:bCs w:val="0"/>
          <w:color w:val="auto"/>
          <w:sz w:val="30"/>
          <w:szCs w:val="30"/>
          <w:highlight w:val="none"/>
          <w:lang w:eastAsia="zh-CN"/>
        </w:rPr>
        <w:t>：</w:t>
      </w:r>
      <w:r>
        <w:rPr>
          <w:rFonts w:hint="eastAsia" w:ascii="宋体" w:eastAsia="宋体" w:cs="宋体"/>
          <w:b w:val="0"/>
          <w:bCs w:val="0"/>
          <w:color w:val="auto"/>
          <w:sz w:val="30"/>
          <w:szCs w:val="30"/>
          <w:highlight w:val="none"/>
          <w:lang w:eastAsia="zh-CN"/>
        </w:rPr>
        <w:t>响应函</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响应函</w:t>
      </w:r>
    </w:p>
    <w:p>
      <w:pPr>
        <w:keepNext w:val="0"/>
        <w:keepLines w:val="0"/>
        <w:pageBreakBefore w:val="0"/>
        <w:widowControl w:val="0"/>
        <w:kinsoku/>
        <w:wordWrap/>
        <w:overflowPunct/>
        <w:topLinePunct w:val="0"/>
        <w:bidi w:val="0"/>
        <w:snapToGrid/>
        <w:spacing w:before="145" w:beforeLines="50" w:after="145" w:afterLines="50" w:line="40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（代理机构名称）</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bidi w:val="0"/>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依据贵方</w:t>
      </w:r>
      <w:r>
        <w:rPr>
          <w:rFonts w:hint="eastAsia" w:ascii="宋体" w:hAnsi="宋体" w:eastAsia="宋体" w:cs="宋体"/>
          <w:bCs/>
          <w:color w:val="auto"/>
          <w:sz w:val="24"/>
          <w:highlight w:val="none"/>
          <w:u w:val="single"/>
        </w:rPr>
        <w:t xml:space="preserve"> (采购项目名称/采购项目编号)</w:t>
      </w: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的磋商邀请，我方代表</w:t>
      </w:r>
      <w:r>
        <w:rPr>
          <w:rFonts w:hint="eastAsia" w:ascii="宋体" w:hAnsi="宋体" w:eastAsia="宋体" w:cs="宋体"/>
          <w:bCs/>
          <w:color w:val="auto"/>
          <w:sz w:val="24"/>
          <w:highlight w:val="none"/>
          <w:u w:val="single"/>
        </w:rPr>
        <w:t>（姓名、职务）</w:t>
      </w:r>
      <w:r>
        <w:rPr>
          <w:rFonts w:hint="eastAsia" w:ascii="宋体" w:hAnsi="宋体" w:eastAsia="宋体" w:cs="宋体"/>
          <w:bCs/>
          <w:color w:val="auto"/>
          <w:sz w:val="24"/>
          <w:highlight w:val="none"/>
        </w:rPr>
        <w:t>经正式授权并代表供应商</w:t>
      </w:r>
      <w:r>
        <w:rPr>
          <w:rFonts w:hint="eastAsia" w:ascii="宋体" w:hAnsi="宋体" w:eastAsia="宋体" w:cs="宋体"/>
          <w:bCs/>
          <w:color w:val="auto"/>
          <w:sz w:val="24"/>
          <w:highlight w:val="none"/>
          <w:u w:val="single"/>
        </w:rPr>
        <w:t>（供应商名称、地址）</w:t>
      </w:r>
      <w:r>
        <w:rPr>
          <w:rFonts w:hint="eastAsia" w:ascii="宋体" w:hAnsi="宋体" w:eastAsia="宋体" w:cs="宋体"/>
          <w:bCs/>
          <w:color w:val="auto"/>
          <w:sz w:val="24"/>
          <w:highlight w:val="none"/>
        </w:rPr>
        <w:t>提交下述响应文件。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cs="宋体"/>
          <w:bCs/>
          <w:color w:val="auto"/>
          <w:sz w:val="24"/>
          <w:highlight w:val="none"/>
          <w:lang w:eastAsia="zh-CN"/>
        </w:rPr>
        <w:t>报价一览表</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投标报价</w:t>
      </w:r>
      <w:r>
        <w:rPr>
          <w:rFonts w:hint="eastAsia" w:ascii="宋体" w:hAnsi="宋体" w:eastAsia="宋体" w:cs="宋体"/>
          <w:bCs/>
          <w:color w:val="auto"/>
          <w:sz w:val="24"/>
          <w:highlight w:val="none"/>
        </w:rPr>
        <w:t>明细表；</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．按磋商文件供应商须知和技术规格要求提供的有关文件；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．资格证明文件；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．按磋商文件的规定递交的</w:t>
      </w:r>
      <w:r>
        <w:rPr>
          <w:rFonts w:hint="eastAsia" w:ascii="宋体" w:hAnsi="宋体" w:cs="宋体"/>
          <w:bCs/>
          <w:color w:val="auto"/>
          <w:sz w:val="24"/>
          <w:highlight w:val="none"/>
          <w:lang w:eastAsia="zh-CN"/>
        </w:rPr>
        <w:t>响应保证金</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在此，我方宣布同意如下：</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1．所附《</w:t>
      </w:r>
      <w:r>
        <w:rPr>
          <w:rFonts w:hint="eastAsia" w:ascii="宋体" w:hAnsi="宋体" w:cs="宋体"/>
          <w:bCs/>
          <w:color w:val="auto"/>
          <w:sz w:val="24"/>
          <w:highlight w:val="none"/>
          <w:lang w:eastAsia="zh-CN"/>
        </w:rPr>
        <w:t>报价一览表</w:t>
      </w:r>
      <w:r>
        <w:rPr>
          <w:rFonts w:hint="eastAsia" w:ascii="宋体" w:hAnsi="宋体" w:eastAsia="宋体" w:cs="宋体"/>
          <w:bCs/>
          <w:color w:val="auto"/>
          <w:sz w:val="24"/>
          <w:highlight w:val="none"/>
        </w:rPr>
        <w:t>》中规定的应提交和交付的</w:t>
      </w:r>
      <w:r>
        <w:rPr>
          <w:rFonts w:hint="eastAsia" w:ascii="宋体" w:hAnsi="宋体" w:eastAsia="宋体" w:cs="宋体"/>
          <w:bCs/>
          <w:color w:val="auto"/>
          <w:sz w:val="24"/>
          <w:highlight w:val="none"/>
          <w:u w:val="single"/>
        </w:rPr>
        <w:t xml:space="preserve">  （包号） </w:t>
      </w:r>
      <w:r>
        <w:rPr>
          <w:rFonts w:hint="eastAsia" w:ascii="宋体" w:hAnsi="宋体" w:eastAsia="宋体" w:cs="宋体"/>
          <w:bCs/>
          <w:color w:val="auto"/>
          <w:sz w:val="24"/>
          <w:highlight w:val="none"/>
        </w:rPr>
        <w:t>货物投标总价为</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（注明币种，并用文字和数字表示的投标总价）。</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2．将按磋商文件的约定履行合同责任和义务。</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3．已详细审查全部磋商文件，包括（修正或补充文件）（如有），对此无异议。</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4．本投标有效期为自开标日起，共</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个日历日。</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5．接受磋商文件关于没收</w:t>
      </w:r>
      <w:r>
        <w:rPr>
          <w:rFonts w:hint="eastAsia" w:ascii="宋体" w:hAnsi="宋体" w:cs="宋体"/>
          <w:bCs/>
          <w:color w:val="auto"/>
          <w:sz w:val="24"/>
          <w:highlight w:val="none"/>
          <w:lang w:eastAsia="zh-CN"/>
        </w:rPr>
        <w:t>响应保证金</w:t>
      </w:r>
      <w:r>
        <w:rPr>
          <w:rFonts w:hint="eastAsia" w:ascii="宋体" w:hAnsi="宋体" w:eastAsia="宋体" w:cs="宋体"/>
          <w:bCs/>
          <w:color w:val="auto"/>
          <w:sz w:val="24"/>
          <w:highlight w:val="none"/>
        </w:rPr>
        <w:t>的约定。</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6．同意提供按照贵方可能要求的与其投标有关的一切数据或资料。</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.其他：</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供应商名称(公章)： </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w:t>
      </w:r>
      <w:r>
        <w:rPr>
          <w:rFonts w:hint="eastAsia" w:ascii="宋体" w:hAnsi="宋体" w:eastAsia="宋体" w:cs="宋体"/>
          <w:color w:val="auto"/>
          <w:kern w:val="2"/>
          <w:sz w:val="24"/>
          <w:szCs w:val="22"/>
          <w:highlight w:val="none"/>
          <w:u w:val="none"/>
          <w:lang w:val="en-US" w:eastAsia="zh-CN" w:bidi="ar-SA"/>
        </w:rPr>
        <w:t>（单位负责人）</w:t>
      </w:r>
      <w:r>
        <w:rPr>
          <w:rFonts w:hint="eastAsia" w:ascii="宋体" w:hAnsi="宋体" w:cs="宋体"/>
          <w:bCs/>
          <w:color w:val="auto"/>
          <w:sz w:val="24"/>
          <w:highlight w:val="none"/>
          <w:lang w:eastAsia="zh-CN"/>
        </w:rPr>
        <w:t>（签字或盖章）</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    址：</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电    话：</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500" w:lineRule="exact"/>
        <w:rPr>
          <w:rFonts w:asciiTheme="minorEastAsia" w:hAnsiTheme="minorEastAsia" w:eastAsiaTheme="minorEastAsia"/>
          <w:b/>
          <w:color w:val="auto"/>
          <w:sz w:val="28"/>
          <w:szCs w:val="28"/>
          <w:highlight w:val="none"/>
        </w:rPr>
      </w:pPr>
    </w:p>
    <w:p>
      <w:pPr>
        <w:adjustRightInd w:val="0"/>
        <w:snapToGrid w:val="0"/>
        <w:spacing w:line="500" w:lineRule="exact"/>
        <w:rPr>
          <w:rFonts w:asciiTheme="minorEastAsia" w:hAnsiTheme="minorEastAsia" w:eastAsiaTheme="minorEastAsia"/>
          <w:b/>
          <w:color w:val="auto"/>
          <w:sz w:val="28"/>
          <w:szCs w:val="28"/>
          <w:highlight w:val="none"/>
        </w:rPr>
      </w:pPr>
    </w:p>
    <w:p>
      <w:pPr>
        <w:pStyle w:val="32"/>
        <w:rPr>
          <w:color w:val="auto"/>
          <w:highlight w:val="none"/>
        </w:rPr>
      </w:pPr>
    </w:p>
    <w:p>
      <w:pPr>
        <w:pStyle w:val="5"/>
        <w:numPr>
          <w:ilvl w:val="0"/>
          <w:numId w:val="0"/>
        </w:numPr>
        <w:spacing w:before="145" w:beforeLines="50" w:after="145" w:afterLines="50" w:line="300" w:lineRule="auto"/>
        <w:ind w:leftChars="0"/>
        <w:jc w:val="both"/>
        <w:rPr>
          <w:rFonts w:asciiTheme="minorEastAsia" w:hAnsiTheme="minorEastAsia" w:eastAsiaTheme="minorEastAsia"/>
          <w:b/>
          <w:color w:val="auto"/>
          <w:sz w:val="28"/>
          <w:szCs w:val="28"/>
          <w:highlight w:val="none"/>
        </w:rPr>
      </w:pPr>
      <w:r>
        <w:rPr>
          <w:rFonts w:hint="eastAsia" w:ascii="宋体" w:hAnsi="宋体" w:eastAsia="宋体" w:cs="宋体"/>
          <w:b w:val="0"/>
          <w:bCs w:val="0"/>
          <w:color w:val="auto"/>
          <w:sz w:val="30"/>
          <w:szCs w:val="30"/>
          <w:highlight w:val="none"/>
          <w:lang w:eastAsia="zh-CN"/>
        </w:rPr>
        <w:t>附件</w:t>
      </w:r>
      <w:r>
        <w:rPr>
          <w:rFonts w:hint="eastAsia" w:ascii="宋体" w:eastAsia="宋体" w:cs="宋体"/>
          <w:b w:val="0"/>
          <w:bCs w:val="0"/>
          <w:color w:val="auto"/>
          <w:sz w:val="30"/>
          <w:szCs w:val="30"/>
          <w:highlight w:val="none"/>
          <w:lang w:eastAsia="zh-CN"/>
        </w:rPr>
        <w:t>六</w:t>
      </w:r>
      <w:r>
        <w:rPr>
          <w:rFonts w:hint="eastAsia" w:ascii="宋体" w:hAnsi="宋体" w:eastAsia="宋体" w:cs="宋体"/>
          <w:b w:val="0"/>
          <w:bCs w:val="0"/>
          <w:color w:val="auto"/>
          <w:sz w:val="30"/>
          <w:szCs w:val="30"/>
          <w:highlight w:val="none"/>
          <w:lang w:eastAsia="zh-CN"/>
        </w:rPr>
        <w:t>：</w:t>
      </w:r>
      <w:r>
        <w:rPr>
          <w:rFonts w:hint="eastAsia" w:ascii="宋体" w:eastAsia="宋体" w:cs="宋体"/>
          <w:b w:val="0"/>
          <w:bCs w:val="0"/>
          <w:color w:val="auto"/>
          <w:sz w:val="30"/>
          <w:szCs w:val="30"/>
          <w:highlight w:val="none"/>
          <w:lang w:eastAsia="zh-CN"/>
        </w:rPr>
        <w:t>报价一览表</w:t>
      </w:r>
    </w:p>
    <w:p>
      <w:pPr>
        <w:adjustRightInd w:val="0"/>
        <w:snapToGrid w:val="0"/>
        <w:spacing w:line="500" w:lineRule="exact"/>
        <w:jc w:val="center"/>
        <w:rPr>
          <w:rFonts w:hint="eastAsia"/>
          <w:color w:val="auto"/>
          <w:sz w:val="28"/>
          <w:szCs w:val="32"/>
          <w:highlight w:val="none"/>
        </w:rPr>
      </w:pPr>
      <w:r>
        <w:rPr>
          <w:rFonts w:hint="eastAsia"/>
          <w:color w:val="auto"/>
          <w:sz w:val="28"/>
          <w:szCs w:val="32"/>
          <w:highlight w:val="none"/>
          <w:lang w:val="en-US" w:eastAsia="zh-CN"/>
        </w:rPr>
        <w:t>报价一览表</w:t>
      </w:r>
    </w:p>
    <w:p>
      <w:pPr>
        <w:pStyle w:val="32"/>
        <w:rPr>
          <w:color w:val="auto"/>
          <w:highlight w:val="none"/>
        </w:rPr>
      </w:pPr>
    </w:p>
    <w:p>
      <w:pPr>
        <w:pStyle w:val="85"/>
        <w:spacing w:line="360" w:lineRule="auto"/>
        <w:ind w:left="0" w:leftChars="0" w:firstLine="0" w:firstLineChars="0"/>
        <w:jc w:val="right"/>
        <w:rPr>
          <w:rFonts w:hint="eastAsia" w:ascii="宋体" w:hAnsi="宋体" w:eastAsia="宋体" w:cs="宋体"/>
          <w:color w:val="auto"/>
          <w:highlight w:val="none"/>
        </w:rPr>
      </w:pPr>
      <w:bookmarkStart w:id="258" w:name="_Toc485895993"/>
      <w:r>
        <w:rPr>
          <w:rFonts w:hint="eastAsia" w:ascii="宋体" w:hAnsi="宋体" w:eastAsia="宋体" w:cs="宋体"/>
          <w:color w:val="auto"/>
          <w:highlight w:val="none"/>
        </w:rPr>
        <w:t>价格单位：元</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noWrap w:val="0"/>
            <w:vAlign w:val="center"/>
          </w:tcPr>
          <w:p>
            <w:pPr>
              <w:pStyle w:val="86"/>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lang w:eastAsia="zh-CN"/>
              </w:rPr>
              <w:t>项目</w:t>
            </w:r>
            <w:r>
              <w:rPr>
                <w:rFonts w:hint="eastAsia" w:ascii="宋体" w:hAnsi="宋体" w:eastAsia="宋体" w:cs="宋体"/>
                <w:bCs/>
                <w:color w:val="auto"/>
                <w:sz w:val="24"/>
                <w:highlight w:val="none"/>
              </w:rPr>
              <w:t>名称</w:t>
            </w:r>
          </w:p>
        </w:tc>
        <w:tc>
          <w:tcPr>
            <w:tcW w:w="3687" w:type="pct"/>
            <w:tcBorders>
              <w:bottom w:val="single" w:color="auto" w:sz="4" w:space="0"/>
            </w:tcBorders>
            <w:noWrap w:val="0"/>
            <w:vAlign w:val="center"/>
          </w:tcPr>
          <w:p>
            <w:pPr>
              <w:pStyle w:val="86"/>
              <w:tabs>
                <w:tab w:val="left" w:pos="1337"/>
              </w:tabs>
              <w:spacing w:line="360" w:lineRule="auto"/>
              <w:rPr>
                <w:rFonts w:hint="eastAsia" w:ascii="宋体" w:hAnsi="宋体" w:eastAsia="宋体" w:cs="宋体"/>
                <w:bCs/>
                <w:color w:val="auto"/>
                <w:sz w:val="24"/>
                <w:highlight w:val="none"/>
              </w:rPr>
            </w:pPr>
            <w:r>
              <w:rPr>
                <w:rFonts w:hint="eastAsia" w:ascii="宋体" w:hAnsi="宋体" w:eastAsia="宋体" w:cs="宋体"/>
                <w:color w:val="auto"/>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noWrap w:val="0"/>
            <w:vAlign w:val="center"/>
          </w:tcPr>
          <w:p>
            <w:pPr>
              <w:pStyle w:val="86"/>
              <w:tabs>
                <w:tab w:val="left" w:pos="1337"/>
              </w:tabs>
              <w:spacing w:line="360" w:lineRule="auto"/>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项目编号</w:t>
            </w:r>
          </w:p>
        </w:tc>
        <w:tc>
          <w:tcPr>
            <w:tcW w:w="3687" w:type="pct"/>
            <w:tcBorders>
              <w:bottom w:val="single" w:color="auto" w:sz="4" w:space="0"/>
            </w:tcBorders>
            <w:noWrap w:val="0"/>
            <w:vAlign w:val="center"/>
          </w:tcPr>
          <w:p>
            <w:pPr>
              <w:pStyle w:val="86"/>
              <w:tabs>
                <w:tab w:val="left" w:pos="1337"/>
              </w:tabs>
              <w:spacing w:line="360" w:lineRule="auto"/>
              <w:rPr>
                <w:rFonts w:hint="eastAsia" w:ascii="宋体" w:hAnsi="宋体" w:eastAsia="宋体" w:cs="宋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312" w:type="pct"/>
            <w:noWrap w:val="0"/>
            <w:vAlign w:val="center"/>
          </w:tcPr>
          <w:p>
            <w:pPr>
              <w:pStyle w:val="86"/>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投 标 总 价</w:t>
            </w:r>
          </w:p>
        </w:tc>
        <w:tc>
          <w:tcPr>
            <w:tcW w:w="3687" w:type="pct"/>
            <w:noWrap w:val="0"/>
            <w:vAlign w:val="top"/>
          </w:tcPr>
          <w:p>
            <w:pPr>
              <w:pStyle w:val="86"/>
              <w:tabs>
                <w:tab w:val="left" w:pos="1337"/>
              </w:tabs>
              <w:spacing w:line="360" w:lineRule="auto"/>
              <w:rPr>
                <w:rFonts w:hint="eastAsia" w:ascii="宋体" w:hAnsi="宋体" w:eastAsia="宋体" w:cs="宋体"/>
                <w:bCs/>
                <w:color w:val="auto"/>
                <w:sz w:val="24"/>
                <w:highlight w:val="none"/>
              </w:rPr>
            </w:pPr>
          </w:p>
          <w:p>
            <w:pPr>
              <w:pStyle w:val="86"/>
              <w:tabs>
                <w:tab w:val="left" w:pos="1337"/>
              </w:tabs>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小写：</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元</w:t>
            </w:r>
          </w:p>
          <w:p>
            <w:pPr>
              <w:pStyle w:val="86"/>
              <w:tabs>
                <w:tab w:val="left" w:pos="1337"/>
              </w:tabs>
              <w:spacing w:line="360" w:lineRule="auto"/>
              <w:rPr>
                <w:rFonts w:hint="eastAsia" w:ascii="宋体" w:hAnsi="宋体" w:eastAsia="宋体" w:cs="宋体"/>
                <w:bCs/>
                <w:color w:val="auto"/>
                <w:sz w:val="24"/>
                <w:highlight w:val="none"/>
              </w:rPr>
            </w:pPr>
          </w:p>
          <w:p>
            <w:pPr>
              <w:pStyle w:val="86"/>
              <w:tabs>
                <w:tab w:val="left" w:pos="1337"/>
              </w:tabs>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大写：</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元</w:t>
            </w:r>
          </w:p>
          <w:p>
            <w:pPr>
              <w:pStyle w:val="86"/>
              <w:tabs>
                <w:tab w:val="left" w:pos="1337"/>
              </w:tabs>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noWrap w:val="0"/>
            <w:vAlign w:val="top"/>
          </w:tcPr>
          <w:p>
            <w:pPr>
              <w:pStyle w:val="86"/>
              <w:tabs>
                <w:tab w:val="left" w:pos="1337"/>
              </w:tabs>
              <w:spacing w:line="360" w:lineRule="auto"/>
              <w:jc w:val="center"/>
              <w:rPr>
                <w:rFonts w:hint="eastAsia" w:ascii="宋体" w:hAnsi="宋体" w:eastAsia="宋体" w:cs="宋体"/>
                <w:color w:val="auto"/>
                <w:sz w:val="24"/>
                <w:highlight w:val="none"/>
                <w:lang w:eastAsia="zh-CN"/>
              </w:rPr>
            </w:pPr>
            <w:r>
              <w:rPr>
                <w:rFonts w:hint="eastAsia" w:ascii="宋体" w:hAnsi="宋体" w:cs="宋体"/>
                <w:bCs/>
                <w:color w:val="auto"/>
                <w:sz w:val="24"/>
                <w:highlight w:val="none"/>
                <w:lang w:eastAsia="zh-CN"/>
              </w:rPr>
              <w:t>交货期</w:t>
            </w:r>
          </w:p>
        </w:tc>
        <w:tc>
          <w:tcPr>
            <w:tcW w:w="3687" w:type="pct"/>
            <w:noWrap w:val="0"/>
            <w:vAlign w:val="top"/>
          </w:tcPr>
          <w:p>
            <w:pPr>
              <w:pStyle w:val="86"/>
              <w:tabs>
                <w:tab w:val="left" w:pos="1337"/>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pPr>
              <w:pStyle w:val="86"/>
              <w:tabs>
                <w:tab w:val="left" w:pos="1337"/>
              </w:tabs>
              <w:spacing w:line="360"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备注：</w:t>
            </w:r>
            <w:r>
              <w:rPr>
                <w:rFonts w:hint="eastAsia" w:ascii="宋体" w:hAnsi="宋体" w:eastAsia="宋体" w:cs="宋体"/>
                <w:color w:val="auto"/>
                <w:highlight w:val="none"/>
              </w:rPr>
              <w:t xml:space="preserve"> </w:t>
            </w:r>
          </w:p>
        </w:tc>
      </w:tr>
    </w:tbl>
    <w:p>
      <w:pPr>
        <w:spacing w:line="360" w:lineRule="auto"/>
        <w:rPr>
          <w:rFonts w:hint="eastAsia" w:ascii="宋体" w:hAnsi="宋体"/>
          <w:color w:val="auto"/>
          <w:sz w:val="28"/>
          <w:highlight w:val="none"/>
        </w:rPr>
      </w:pPr>
    </w:p>
    <w:p>
      <w:pPr>
        <w:spacing w:line="360" w:lineRule="auto"/>
        <w:rPr>
          <w:rFonts w:hint="eastAsia" w:ascii="宋体" w:hAnsi="宋体"/>
          <w:color w:val="auto"/>
          <w:sz w:val="22"/>
          <w:szCs w:val="20"/>
          <w:highlight w:val="none"/>
        </w:rPr>
      </w:pPr>
      <w:r>
        <w:rPr>
          <w:rFonts w:hint="eastAsia" w:ascii="宋体" w:hAnsi="宋体"/>
          <w:color w:val="auto"/>
          <w:sz w:val="22"/>
          <w:szCs w:val="20"/>
          <w:highlight w:val="none"/>
        </w:rPr>
        <w:t>说明：1、投标人严格按照规定的格式填写。</w:t>
      </w:r>
    </w:p>
    <w:p>
      <w:pPr>
        <w:spacing w:line="360" w:lineRule="auto"/>
        <w:rPr>
          <w:rFonts w:hint="eastAsia" w:ascii="宋体" w:hAnsi="宋体"/>
          <w:color w:val="auto"/>
          <w:sz w:val="22"/>
          <w:szCs w:val="20"/>
          <w:highlight w:val="none"/>
        </w:rPr>
      </w:pPr>
      <w:r>
        <w:rPr>
          <w:rFonts w:hint="eastAsia" w:ascii="宋体" w:hAnsi="宋体"/>
          <w:color w:val="auto"/>
          <w:sz w:val="22"/>
          <w:szCs w:val="20"/>
          <w:highlight w:val="none"/>
        </w:rPr>
        <w:t xml:space="preserve"> 2、任何有选择或有条件的投标报价或表中某一包填写多个报价，均将导致投标被拒绝。</w:t>
      </w:r>
    </w:p>
    <w:p>
      <w:pPr>
        <w:spacing w:line="360" w:lineRule="auto"/>
        <w:ind w:firstLine="560" w:firstLineChars="200"/>
        <w:rPr>
          <w:rFonts w:hint="eastAsia" w:ascii="宋体" w:hAnsi="宋体"/>
          <w:color w:val="auto"/>
          <w:sz w:val="28"/>
          <w:highlight w:val="none"/>
        </w:rPr>
      </w:pPr>
    </w:p>
    <w:p>
      <w:pPr>
        <w:spacing w:line="360" w:lineRule="auto"/>
        <w:ind w:firstLine="560" w:firstLineChars="200"/>
        <w:rPr>
          <w:rFonts w:hint="eastAsia"/>
          <w:color w:val="auto"/>
          <w:sz w:val="28"/>
          <w:highlight w:val="none"/>
          <w:u w:val="single"/>
        </w:rPr>
      </w:pPr>
    </w:p>
    <w:p>
      <w:pPr>
        <w:pStyle w:val="82"/>
        <w:tabs>
          <w:tab w:val="left" w:pos="750"/>
        </w:tabs>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82"/>
        <w:tabs>
          <w:tab w:val="left" w:pos="750"/>
        </w:tabs>
        <w:adjustRightInd w:val="0"/>
        <w:snapToGrid w:val="0"/>
        <w:spacing w:line="500" w:lineRule="exact"/>
        <w:ind w:firstLine="720" w:firstLineChars="3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2"/>
          <w:sz w:val="24"/>
          <w:szCs w:val="22"/>
          <w:highlight w:val="none"/>
          <w:u w:val="none"/>
          <w:lang w:val="en-US" w:eastAsia="zh-CN" w:bidi="ar-SA"/>
        </w:rPr>
        <w:t>（单位负责人）</w:t>
      </w:r>
      <w:r>
        <w:rPr>
          <w:rFonts w:hint="eastAsia" w:ascii="宋体" w:hAnsi="宋体" w:eastAsia="宋体" w:cs="宋体"/>
          <w:color w:val="auto"/>
          <w:sz w:val="24"/>
          <w:szCs w:val="24"/>
          <w:highlight w:val="none"/>
          <w:lang w:eastAsia="zh-CN"/>
        </w:rPr>
        <w:t>或其授权委托人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line="500" w:lineRule="exact"/>
        <w:ind w:left="-88" w:leftChars="-42"/>
        <w:jc w:val="right"/>
        <w:rPr>
          <w:rFonts w:hint="eastAsia" w:asciiTheme="minorEastAsia" w:hAnsiTheme="minorEastAsia" w:eastAsiaTheme="minorEastAsia"/>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rPr>
          <w:color w:val="auto"/>
          <w:sz w:val="28"/>
          <w:highlight w:val="none"/>
        </w:rPr>
      </w:pPr>
    </w:p>
    <w:p>
      <w:pPr>
        <w:pStyle w:val="32"/>
        <w:rPr>
          <w:color w:val="auto"/>
          <w:sz w:val="28"/>
          <w:highlight w:val="none"/>
        </w:rPr>
      </w:pPr>
    </w:p>
    <w:p>
      <w:pPr>
        <w:pStyle w:val="32"/>
        <w:ind w:left="0" w:leftChars="0" w:firstLine="0" w:firstLineChars="0"/>
        <w:rPr>
          <w:color w:val="auto"/>
          <w:sz w:val="28"/>
          <w:highlight w:val="none"/>
        </w:rPr>
      </w:pPr>
    </w:p>
    <w:p>
      <w:pPr>
        <w:pStyle w:val="32"/>
        <w:ind w:left="0" w:leftChars="0" w:firstLine="0" w:firstLineChars="0"/>
        <w:rPr>
          <w:color w:val="auto"/>
          <w:sz w:val="28"/>
          <w:highlight w:val="none"/>
        </w:rPr>
      </w:pPr>
    </w:p>
    <w:p>
      <w:pPr>
        <w:pStyle w:val="32"/>
        <w:ind w:left="0" w:leftChars="0" w:firstLine="0" w:firstLineChars="0"/>
        <w:rPr>
          <w:color w:val="auto"/>
          <w:sz w:val="28"/>
          <w:highlight w:val="none"/>
        </w:rPr>
      </w:pPr>
    </w:p>
    <w:p>
      <w:pPr>
        <w:pStyle w:val="32"/>
        <w:ind w:left="0" w:leftChars="0" w:firstLine="0" w:firstLineChars="0"/>
        <w:rPr>
          <w:color w:val="auto"/>
          <w:sz w:val="28"/>
          <w:highlight w:val="none"/>
        </w:rPr>
      </w:pPr>
    </w:p>
    <w:p>
      <w:pPr>
        <w:pStyle w:val="32"/>
        <w:ind w:left="0" w:leftChars="0" w:firstLine="0" w:firstLineChars="0"/>
        <w:rPr>
          <w:color w:val="auto"/>
          <w:sz w:val="28"/>
          <w:highlight w:val="none"/>
        </w:rPr>
      </w:pPr>
    </w:p>
    <w:p>
      <w:pPr>
        <w:pStyle w:val="5"/>
        <w:numPr>
          <w:ilvl w:val="0"/>
          <w:numId w:val="0"/>
        </w:numPr>
        <w:spacing w:before="145" w:beforeLines="50" w:after="145" w:afterLines="50" w:line="300" w:lineRule="auto"/>
        <w:ind w:leftChars="0"/>
        <w:jc w:val="both"/>
        <w:rPr>
          <w:rFonts w:asciiTheme="minorEastAsia" w:hAnsiTheme="minorEastAsia" w:eastAsiaTheme="minorEastAsia"/>
          <w:b/>
          <w:color w:val="auto"/>
          <w:sz w:val="28"/>
          <w:szCs w:val="28"/>
          <w:highlight w:val="none"/>
        </w:rPr>
      </w:pPr>
      <w:r>
        <w:rPr>
          <w:rFonts w:hint="eastAsia" w:ascii="宋体" w:hAnsi="宋体" w:eastAsia="宋体" w:cs="宋体"/>
          <w:b w:val="0"/>
          <w:bCs w:val="0"/>
          <w:color w:val="auto"/>
          <w:sz w:val="30"/>
          <w:szCs w:val="30"/>
          <w:highlight w:val="none"/>
          <w:lang w:eastAsia="zh-CN"/>
        </w:rPr>
        <w:t>附件</w:t>
      </w:r>
      <w:r>
        <w:rPr>
          <w:rFonts w:hint="eastAsia" w:ascii="宋体" w:eastAsia="宋体" w:cs="宋体"/>
          <w:b w:val="0"/>
          <w:bCs w:val="0"/>
          <w:color w:val="auto"/>
          <w:sz w:val="30"/>
          <w:szCs w:val="30"/>
          <w:highlight w:val="none"/>
          <w:lang w:eastAsia="zh-CN"/>
        </w:rPr>
        <w:t>七</w:t>
      </w:r>
      <w:r>
        <w:rPr>
          <w:rFonts w:hint="eastAsia" w:ascii="宋体" w:hAnsi="宋体" w:eastAsia="宋体" w:cs="宋体"/>
          <w:b w:val="0"/>
          <w:bCs w:val="0"/>
          <w:color w:val="auto"/>
          <w:sz w:val="30"/>
          <w:szCs w:val="30"/>
          <w:highlight w:val="none"/>
          <w:lang w:eastAsia="zh-CN"/>
        </w:rPr>
        <w:t>：</w:t>
      </w:r>
      <w:r>
        <w:rPr>
          <w:rFonts w:hint="eastAsia" w:ascii="宋体" w:eastAsia="宋体" w:cs="宋体"/>
          <w:b w:val="0"/>
          <w:bCs w:val="0"/>
          <w:color w:val="auto"/>
          <w:sz w:val="30"/>
          <w:szCs w:val="30"/>
          <w:highlight w:val="none"/>
          <w:lang w:eastAsia="zh-CN"/>
        </w:rPr>
        <w:t>报价明细表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sz w:val="28"/>
          <w:szCs w:val="32"/>
          <w:highlight w:val="none"/>
          <w:lang w:eastAsia="zh-CN"/>
        </w:rPr>
      </w:pPr>
      <w:r>
        <w:rPr>
          <w:rFonts w:hint="eastAsia"/>
          <w:color w:val="auto"/>
          <w:sz w:val="28"/>
          <w:szCs w:val="32"/>
          <w:highlight w:val="none"/>
          <w:lang w:eastAsia="zh-CN"/>
        </w:rPr>
        <w:t>报价明细表</w:t>
      </w:r>
    </w:p>
    <w:bookmarkEnd w:id="258"/>
    <w:p>
      <w:pPr>
        <w:pStyle w:val="8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eastAsia="zh-CN"/>
        </w:rPr>
        <w:t>项目名称：</w:t>
      </w:r>
      <w:r>
        <w:rPr>
          <w:rFonts w:hint="eastAsia" w:ascii="宋体" w:hAnsi="宋体" w:eastAsia="宋体" w:cs="宋体"/>
          <w:color w:val="auto"/>
          <w:highlight w:val="none"/>
          <w:u w:val="single"/>
          <w:lang w:val="en-US" w:eastAsia="zh-CN"/>
        </w:rPr>
        <w:t xml:space="preserve">                     </w:t>
      </w:r>
    </w:p>
    <w:p>
      <w:pPr>
        <w:pStyle w:val="8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价格单位：元</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ind w:left="-42"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w:t>
            </w:r>
          </w:p>
        </w:tc>
        <w:tc>
          <w:tcPr>
            <w:tcW w:w="2441" w:type="dxa"/>
            <w:noWrap w:val="0"/>
            <w:vAlign w:val="center"/>
          </w:tcPr>
          <w:p>
            <w:pPr>
              <w:pStyle w:val="88"/>
              <w:tabs>
                <w:tab w:val="left" w:pos="1337"/>
              </w:tabs>
              <w:spacing w:line="360" w:lineRule="auto"/>
              <w:ind w:left="-42"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418" w:type="dxa"/>
            <w:noWrap w:val="0"/>
            <w:vAlign w:val="center"/>
          </w:tcPr>
          <w:p>
            <w:pPr>
              <w:pStyle w:val="88"/>
              <w:tabs>
                <w:tab w:val="left" w:pos="1337"/>
              </w:tabs>
              <w:spacing w:line="360" w:lineRule="auto"/>
              <w:ind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56" w:type="dxa"/>
            <w:gridSpan w:val="3"/>
            <w:noWrap w:val="0"/>
            <w:vAlign w:val="center"/>
          </w:tcPr>
          <w:p>
            <w:pPr>
              <w:pStyle w:val="88"/>
              <w:tabs>
                <w:tab w:val="left" w:pos="1337"/>
              </w:tabs>
              <w:spacing w:line="360" w:lineRule="auto"/>
              <w:ind w:left="-42"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restart"/>
            <w:noWrap w:val="0"/>
            <w:vAlign w:val="center"/>
          </w:tcPr>
          <w:p>
            <w:pPr>
              <w:pStyle w:val="88"/>
              <w:tabs>
                <w:tab w:val="left" w:pos="1337"/>
              </w:tabs>
              <w:spacing w:line="360" w:lineRule="auto"/>
              <w:ind w:left="-42"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w:t>
            </w:r>
          </w:p>
          <w:p>
            <w:pPr>
              <w:pStyle w:val="88"/>
              <w:tabs>
                <w:tab w:val="left" w:pos="1337"/>
              </w:tabs>
              <w:spacing w:line="360" w:lineRule="auto"/>
              <w:ind w:left="-42"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号</w:t>
            </w:r>
          </w:p>
        </w:tc>
        <w:tc>
          <w:tcPr>
            <w:tcW w:w="2441" w:type="dxa"/>
            <w:vMerge w:val="restart"/>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产品名称</w:t>
            </w:r>
          </w:p>
        </w:tc>
        <w:tc>
          <w:tcPr>
            <w:tcW w:w="3418" w:type="dxa"/>
            <w:vMerge w:val="restart"/>
            <w:noWrap w:val="0"/>
            <w:vAlign w:val="center"/>
          </w:tcPr>
          <w:p>
            <w:pPr>
              <w:pStyle w:val="88"/>
              <w:tabs>
                <w:tab w:val="left" w:pos="1337"/>
              </w:tabs>
              <w:spacing w:line="360" w:lineRule="auto"/>
              <w:ind w:left="-42"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品牌、型号</w:t>
            </w:r>
          </w:p>
        </w:tc>
        <w:tc>
          <w:tcPr>
            <w:tcW w:w="3056" w:type="dxa"/>
            <w:gridSpan w:val="3"/>
            <w:noWrap w:val="0"/>
            <w:vAlign w:val="center"/>
          </w:tcPr>
          <w:p>
            <w:pPr>
              <w:pStyle w:val="88"/>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continue"/>
            <w:noWrap w:val="0"/>
            <w:vAlign w:val="center"/>
          </w:tcPr>
          <w:p>
            <w:pPr>
              <w:pStyle w:val="88"/>
              <w:tabs>
                <w:tab w:val="left" w:pos="1337"/>
              </w:tabs>
              <w:spacing w:line="360" w:lineRule="auto"/>
              <w:ind w:left="-42" w:right="-42"/>
              <w:jc w:val="center"/>
              <w:rPr>
                <w:rFonts w:hint="eastAsia" w:ascii="宋体" w:hAnsi="宋体" w:eastAsia="宋体" w:cs="宋体"/>
                <w:color w:val="auto"/>
                <w:sz w:val="24"/>
                <w:highlight w:val="none"/>
              </w:rPr>
            </w:pPr>
          </w:p>
        </w:tc>
        <w:tc>
          <w:tcPr>
            <w:tcW w:w="2441" w:type="dxa"/>
            <w:vMerge w:val="continue"/>
            <w:noWrap w:val="0"/>
            <w:vAlign w:val="center"/>
          </w:tcPr>
          <w:p>
            <w:pPr>
              <w:pStyle w:val="88"/>
              <w:tabs>
                <w:tab w:val="left" w:pos="1337"/>
              </w:tabs>
              <w:spacing w:line="360" w:lineRule="auto"/>
              <w:ind w:left="-42" w:right="-42"/>
              <w:jc w:val="center"/>
              <w:rPr>
                <w:rFonts w:hint="eastAsia" w:ascii="宋体" w:hAnsi="宋体" w:eastAsia="宋体" w:cs="宋体"/>
                <w:color w:val="auto"/>
                <w:sz w:val="24"/>
                <w:highlight w:val="none"/>
              </w:rPr>
            </w:pPr>
          </w:p>
        </w:tc>
        <w:tc>
          <w:tcPr>
            <w:tcW w:w="3418" w:type="dxa"/>
            <w:vMerge w:val="continue"/>
            <w:noWrap w:val="0"/>
            <w:vAlign w:val="center"/>
          </w:tcPr>
          <w:p>
            <w:pPr>
              <w:pStyle w:val="88"/>
              <w:tabs>
                <w:tab w:val="left" w:pos="1337"/>
              </w:tabs>
              <w:spacing w:line="360" w:lineRule="auto"/>
              <w:ind w:left="-42" w:right="-42"/>
              <w:jc w:val="center"/>
              <w:rPr>
                <w:rFonts w:hint="eastAsia" w:ascii="宋体" w:hAnsi="宋体" w:eastAsia="宋体" w:cs="宋体"/>
                <w:color w:val="auto"/>
                <w:sz w:val="24"/>
                <w:highlight w:val="none"/>
              </w:rPr>
            </w:pPr>
          </w:p>
        </w:tc>
        <w:tc>
          <w:tcPr>
            <w:tcW w:w="955"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955" w:type="dxa"/>
            <w:noWrap w:val="0"/>
            <w:vAlign w:val="center"/>
          </w:tcPr>
          <w:p>
            <w:pPr>
              <w:pStyle w:val="88"/>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46" w:type="dxa"/>
            <w:noWrap w:val="0"/>
            <w:vAlign w:val="center"/>
          </w:tcPr>
          <w:p>
            <w:pPr>
              <w:pStyle w:val="88"/>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3418"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3418"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3418"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3418"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418"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货物费用小计</w:t>
            </w:r>
          </w:p>
        </w:tc>
        <w:tc>
          <w:tcPr>
            <w:tcW w:w="3418"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安装调试费用</w:t>
            </w:r>
          </w:p>
        </w:tc>
        <w:tc>
          <w:tcPr>
            <w:tcW w:w="3418"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维护与技术支持费用</w:t>
            </w:r>
          </w:p>
        </w:tc>
        <w:tc>
          <w:tcPr>
            <w:tcW w:w="3418"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培训费用</w:t>
            </w:r>
          </w:p>
        </w:tc>
        <w:tc>
          <w:tcPr>
            <w:tcW w:w="3418"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备品备件费用</w:t>
            </w:r>
          </w:p>
        </w:tc>
        <w:tc>
          <w:tcPr>
            <w:tcW w:w="3418"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运输与保险费用</w:t>
            </w:r>
          </w:p>
        </w:tc>
        <w:tc>
          <w:tcPr>
            <w:tcW w:w="3418"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3418"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2441"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3418"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88"/>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c>
          <w:tcPr>
            <w:tcW w:w="1146" w:type="dxa"/>
            <w:noWrap w:val="0"/>
            <w:vAlign w:val="center"/>
          </w:tcPr>
          <w:p>
            <w:pPr>
              <w:pStyle w:val="88"/>
              <w:tabs>
                <w:tab w:val="left" w:pos="1337"/>
              </w:tabs>
              <w:spacing w:line="360" w:lineRule="auto"/>
              <w:jc w:val="center"/>
              <w:rPr>
                <w:rFonts w:hint="eastAsia" w:ascii="宋体" w:hAnsi="宋体" w:eastAsia="宋体" w:cs="宋体"/>
                <w:color w:val="auto"/>
                <w:sz w:val="24"/>
                <w:highlight w:val="none"/>
              </w:rPr>
            </w:pPr>
          </w:p>
        </w:tc>
      </w:tr>
    </w:tbl>
    <w:p>
      <w:pPr>
        <w:pStyle w:val="8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说明：</w:t>
      </w:r>
      <w:r>
        <w:rPr>
          <w:rFonts w:hint="eastAsia" w:ascii="宋体" w:hAnsi="宋体" w:eastAsia="宋体" w:cs="宋体"/>
          <w:bCs/>
          <w:color w:val="auto"/>
          <w:sz w:val="24"/>
          <w:highlight w:val="none"/>
        </w:rPr>
        <w:t>报价明细表</w:t>
      </w:r>
      <w:r>
        <w:rPr>
          <w:rFonts w:hint="eastAsia" w:ascii="宋体" w:hAnsi="宋体" w:cs="宋体"/>
          <w:bCs/>
          <w:color w:val="auto"/>
          <w:sz w:val="24"/>
          <w:highlight w:val="none"/>
          <w:lang w:eastAsia="zh-CN"/>
        </w:rPr>
        <w:t>合</w:t>
      </w:r>
      <w:r>
        <w:rPr>
          <w:rFonts w:hint="eastAsia" w:ascii="宋体" w:hAnsi="宋体" w:eastAsia="宋体" w:cs="宋体"/>
          <w:bCs/>
          <w:color w:val="auto"/>
          <w:sz w:val="24"/>
          <w:highlight w:val="none"/>
        </w:rPr>
        <w:t>计价格必须与《</w:t>
      </w:r>
      <w:r>
        <w:rPr>
          <w:rFonts w:hint="eastAsia" w:ascii="宋体" w:hAnsi="宋体" w:cs="宋体"/>
          <w:bCs/>
          <w:color w:val="auto"/>
          <w:sz w:val="24"/>
          <w:highlight w:val="none"/>
          <w:lang w:eastAsia="zh-CN"/>
        </w:rPr>
        <w:t>报价一览表</w:t>
      </w:r>
      <w:r>
        <w:rPr>
          <w:rFonts w:hint="eastAsia" w:ascii="宋体" w:hAnsi="宋体" w:eastAsia="宋体" w:cs="宋体"/>
          <w:bCs/>
          <w:color w:val="auto"/>
          <w:sz w:val="24"/>
          <w:highlight w:val="none"/>
        </w:rPr>
        <w:t>》报价一致</w:t>
      </w:r>
      <w:r>
        <w:rPr>
          <w:rFonts w:hint="eastAsia" w:ascii="宋体" w:hAnsi="宋体" w:cs="宋体"/>
          <w:bCs/>
          <w:color w:val="auto"/>
          <w:sz w:val="24"/>
          <w:highlight w:val="none"/>
          <w:lang w:eastAsia="zh-CN"/>
        </w:rPr>
        <w:t>，如果不提供将被视为没有实质性响应磋商文件。</w:t>
      </w:r>
    </w:p>
    <w:p>
      <w:pPr>
        <w:pStyle w:val="82"/>
        <w:tabs>
          <w:tab w:val="left" w:pos="750"/>
        </w:tabs>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82"/>
        <w:tabs>
          <w:tab w:val="left" w:pos="750"/>
        </w:tabs>
        <w:adjustRightInd w:val="0"/>
        <w:snapToGrid w:val="0"/>
        <w:spacing w:line="500" w:lineRule="exact"/>
        <w:ind w:firstLine="720" w:firstLineChars="3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2"/>
          <w:sz w:val="24"/>
          <w:szCs w:val="22"/>
          <w:highlight w:val="none"/>
          <w:u w:val="none"/>
          <w:lang w:val="en-US" w:eastAsia="zh-CN" w:bidi="ar-SA"/>
        </w:rPr>
        <w:t>（单位负责人）</w:t>
      </w:r>
      <w:r>
        <w:rPr>
          <w:rFonts w:hint="eastAsia" w:ascii="宋体" w:hAnsi="宋体" w:eastAsia="宋体" w:cs="宋体"/>
          <w:color w:val="auto"/>
          <w:sz w:val="24"/>
          <w:szCs w:val="24"/>
          <w:highlight w:val="none"/>
          <w:lang w:eastAsia="zh-CN"/>
        </w:rPr>
        <w:t>或其授权委托人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line="500" w:lineRule="exact"/>
        <w:ind w:left="-88" w:leftChars="-4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2"/>
        <w:ind w:left="0" w:leftChars="0" w:firstLine="0" w:firstLineChars="0"/>
        <w:rPr>
          <w:rFonts w:hint="eastAsia" w:ascii="宋体" w:hAnsi="宋体" w:eastAsia="宋体" w:cs="宋体"/>
          <w:color w:val="auto"/>
          <w:sz w:val="24"/>
          <w:szCs w:val="24"/>
          <w:highlight w:val="none"/>
        </w:rPr>
      </w:pPr>
    </w:p>
    <w:p>
      <w:pPr>
        <w:pStyle w:val="32"/>
        <w:ind w:left="0" w:leftChars="0" w:firstLine="0" w:firstLineChars="0"/>
        <w:rPr>
          <w:rFonts w:hint="eastAsia" w:ascii="宋体" w:hAnsi="宋体" w:eastAsia="宋体" w:cs="宋体"/>
          <w:color w:val="auto"/>
          <w:sz w:val="24"/>
          <w:szCs w:val="24"/>
          <w:highlight w:val="none"/>
        </w:rPr>
      </w:pPr>
    </w:p>
    <w:p>
      <w:pPr>
        <w:pStyle w:val="32"/>
        <w:ind w:left="0" w:leftChars="0" w:firstLine="0" w:firstLineChars="0"/>
        <w:rPr>
          <w:rFonts w:hint="eastAsia" w:ascii="宋体" w:hAnsi="宋体" w:eastAsia="宋体" w:cs="宋体"/>
          <w:color w:val="auto"/>
          <w:sz w:val="24"/>
          <w:szCs w:val="24"/>
          <w:highlight w:val="none"/>
        </w:rPr>
      </w:pPr>
    </w:p>
    <w:p>
      <w:pPr>
        <w:pStyle w:val="32"/>
        <w:ind w:left="0" w:leftChars="0" w:firstLine="0" w:firstLineChars="0"/>
        <w:rPr>
          <w:rFonts w:hint="eastAsia" w:ascii="宋体" w:hAnsi="宋体" w:eastAsia="宋体" w:cs="宋体"/>
          <w:color w:val="auto"/>
          <w:sz w:val="24"/>
          <w:szCs w:val="24"/>
          <w:highlight w:val="none"/>
        </w:rPr>
      </w:pPr>
    </w:p>
    <w:p>
      <w:pPr>
        <w:pStyle w:val="32"/>
        <w:ind w:left="0" w:leftChars="0" w:firstLine="0" w:firstLineChars="0"/>
        <w:rPr>
          <w:rFonts w:hint="eastAsia" w:ascii="宋体" w:hAnsi="宋体" w:eastAsia="宋体" w:cs="宋体"/>
          <w:color w:val="auto"/>
          <w:sz w:val="24"/>
          <w:szCs w:val="24"/>
          <w:highlight w:val="none"/>
        </w:rPr>
      </w:pPr>
    </w:p>
    <w:p>
      <w:pPr>
        <w:pStyle w:val="32"/>
        <w:ind w:left="0" w:leftChars="0" w:firstLine="0" w:firstLineChars="0"/>
        <w:rPr>
          <w:rFonts w:hint="eastAsia" w:ascii="宋体" w:hAnsi="宋体" w:eastAsia="宋体" w:cs="宋体"/>
          <w:color w:val="auto"/>
          <w:sz w:val="24"/>
          <w:szCs w:val="24"/>
          <w:highlight w:val="none"/>
        </w:rPr>
      </w:pPr>
    </w:p>
    <w:p>
      <w:pPr>
        <w:pStyle w:val="89"/>
        <w:outlineLvl w:val="2"/>
        <w:rPr>
          <w:rFonts w:hint="eastAsia" w:ascii="宋体" w:hAnsi="宋体" w:eastAsia="宋体" w:cs="宋体"/>
          <w:b w:val="0"/>
          <w:bCs/>
          <w:color w:val="auto"/>
          <w:highlight w:val="none"/>
          <w:lang w:val="en-US" w:eastAsia="zh-CN"/>
        </w:rPr>
      </w:pPr>
      <w:bookmarkStart w:id="259" w:name="_Toc13251"/>
      <w:bookmarkStart w:id="260" w:name="_Toc501460791"/>
      <w:r>
        <w:rPr>
          <w:rFonts w:hint="eastAsia" w:ascii="宋体" w:hAnsi="宋体" w:eastAsia="宋体" w:cs="宋体"/>
          <w:b w:val="0"/>
          <w:bCs/>
          <w:color w:val="auto"/>
          <w:highlight w:val="none"/>
          <w:lang w:val="en-US" w:eastAsia="zh-CN"/>
        </w:rPr>
        <w:t>附件八：商务条款偏差表</w:t>
      </w:r>
      <w:bookmarkEnd w:id="259"/>
      <w:bookmarkEnd w:id="260"/>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序号</w:t>
            </w:r>
          </w:p>
        </w:tc>
        <w:tc>
          <w:tcPr>
            <w:tcW w:w="1638"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eastAsia="zh-CN"/>
              </w:rPr>
              <w:t>磋商</w:t>
            </w:r>
            <w:r>
              <w:rPr>
                <w:rFonts w:hint="eastAsia" w:ascii="宋体" w:hAnsi="宋体" w:eastAsia="宋体" w:cs="宋体"/>
                <w:b w:val="0"/>
                <w:bCs/>
                <w:color w:val="auto"/>
                <w:kern w:val="0"/>
                <w:szCs w:val="21"/>
                <w:highlight w:val="none"/>
              </w:rPr>
              <w:t>文件章节及条款号</w:t>
            </w:r>
          </w:p>
        </w:tc>
        <w:tc>
          <w:tcPr>
            <w:tcW w:w="1811"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eastAsia="zh-CN"/>
              </w:rPr>
              <w:t>响应</w:t>
            </w:r>
            <w:r>
              <w:rPr>
                <w:rFonts w:hint="eastAsia" w:ascii="宋体" w:hAnsi="宋体" w:eastAsia="宋体" w:cs="宋体"/>
                <w:b w:val="0"/>
                <w:bCs/>
                <w:color w:val="auto"/>
                <w:kern w:val="0"/>
                <w:szCs w:val="21"/>
                <w:highlight w:val="none"/>
              </w:rPr>
              <w:t>文件章节及条款号</w:t>
            </w:r>
          </w:p>
        </w:tc>
        <w:tc>
          <w:tcPr>
            <w:tcW w:w="987"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1</w:t>
            </w:r>
          </w:p>
        </w:tc>
        <w:tc>
          <w:tcPr>
            <w:tcW w:w="1638"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1811"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87" w:type="pct"/>
            <w:noWrap w:val="0"/>
            <w:vAlign w:val="bottom"/>
          </w:tcPr>
          <w:p>
            <w:pPr>
              <w:widowControl/>
              <w:snapToGrid w:val="0"/>
              <w:jc w:val="center"/>
              <w:rPr>
                <w:rFonts w:hint="eastAsia" w:ascii="宋体" w:hAnsi="宋体" w:eastAsia="宋体" w:cs="宋体"/>
                <w:b w:val="0"/>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2</w:t>
            </w:r>
          </w:p>
        </w:tc>
        <w:tc>
          <w:tcPr>
            <w:tcW w:w="1638"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1811"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87" w:type="pct"/>
            <w:noWrap w:val="0"/>
            <w:vAlign w:val="bottom"/>
          </w:tcPr>
          <w:p>
            <w:pPr>
              <w:widowControl/>
              <w:snapToGrid w:val="0"/>
              <w:jc w:val="center"/>
              <w:rPr>
                <w:rFonts w:hint="eastAsia" w:ascii="宋体" w:hAnsi="宋体" w:eastAsia="宋体" w:cs="宋体"/>
                <w:b w:val="0"/>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3</w:t>
            </w:r>
          </w:p>
        </w:tc>
        <w:tc>
          <w:tcPr>
            <w:tcW w:w="1638"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1811"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87" w:type="pct"/>
            <w:noWrap w:val="0"/>
            <w:vAlign w:val="bottom"/>
          </w:tcPr>
          <w:p>
            <w:pPr>
              <w:widowControl/>
              <w:snapToGrid w:val="0"/>
              <w:jc w:val="center"/>
              <w:rPr>
                <w:rFonts w:hint="eastAsia" w:ascii="宋体" w:hAnsi="宋体" w:eastAsia="宋体" w:cs="宋体"/>
                <w:b w:val="0"/>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4</w:t>
            </w:r>
          </w:p>
        </w:tc>
        <w:tc>
          <w:tcPr>
            <w:tcW w:w="1638"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1811"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87" w:type="pct"/>
            <w:noWrap w:val="0"/>
            <w:vAlign w:val="bottom"/>
          </w:tcPr>
          <w:p>
            <w:pPr>
              <w:widowControl/>
              <w:snapToGrid w:val="0"/>
              <w:jc w:val="center"/>
              <w:rPr>
                <w:rFonts w:hint="eastAsia" w:ascii="宋体" w:hAnsi="宋体" w:eastAsia="宋体" w:cs="宋体"/>
                <w:b w:val="0"/>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5</w:t>
            </w:r>
          </w:p>
        </w:tc>
        <w:tc>
          <w:tcPr>
            <w:tcW w:w="1638"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1811"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87" w:type="pct"/>
            <w:noWrap w:val="0"/>
            <w:vAlign w:val="bottom"/>
          </w:tcPr>
          <w:p>
            <w:pPr>
              <w:widowControl/>
              <w:snapToGrid w:val="0"/>
              <w:jc w:val="center"/>
              <w:rPr>
                <w:rFonts w:hint="eastAsia" w:ascii="宋体" w:hAnsi="宋体" w:eastAsia="宋体" w:cs="宋体"/>
                <w:b w:val="0"/>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w:t>
            </w:r>
          </w:p>
        </w:tc>
        <w:tc>
          <w:tcPr>
            <w:tcW w:w="1638"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1811"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87" w:type="pct"/>
            <w:noWrap w:val="0"/>
            <w:vAlign w:val="bottom"/>
          </w:tcPr>
          <w:p>
            <w:pPr>
              <w:widowControl/>
              <w:snapToGrid w:val="0"/>
              <w:jc w:val="center"/>
              <w:rPr>
                <w:rFonts w:hint="eastAsia" w:ascii="宋体" w:hAnsi="宋体" w:eastAsia="宋体" w:cs="宋体"/>
                <w:b w:val="0"/>
                <w:bCs/>
                <w:color w:val="auto"/>
                <w:kern w:val="0"/>
                <w:szCs w:val="21"/>
                <w:highlight w:val="none"/>
              </w:rPr>
            </w:pPr>
          </w:p>
        </w:tc>
      </w:tr>
    </w:tbl>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投标人保证：除</w:t>
      </w:r>
      <w:r>
        <w:rPr>
          <w:rFonts w:hint="eastAsia" w:ascii="宋体" w:hAnsi="宋体" w:eastAsia="宋体" w:cs="宋体"/>
          <w:color w:val="auto"/>
          <w:szCs w:val="21"/>
          <w:highlight w:val="none"/>
          <w:lang w:eastAsia="zh-CN"/>
        </w:rPr>
        <w:t>上</w:t>
      </w:r>
      <w:r>
        <w:rPr>
          <w:rFonts w:hint="eastAsia" w:ascii="宋体" w:hAnsi="宋体" w:eastAsia="宋体" w:cs="宋体"/>
          <w:color w:val="auto"/>
          <w:szCs w:val="21"/>
          <w:highlight w:val="none"/>
        </w:rPr>
        <w:t>表列出的偏差外，投标人响应</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文件的全部要求。</w:t>
      </w:r>
    </w:p>
    <w:p>
      <w:pPr>
        <w:pStyle w:val="88"/>
        <w:spacing w:line="360" w:lineRule="auto"/>
        <w:ind w:right="480"/>
        <w:rPr>
          <w:rFonts w:hint="eastAsia" w:ascii="宋体" w:hAnsi="宋体" w:eastAsia="宋体" w:cs="宋体"/>
          <w:color w:val="auto"/>
          <w:sz w:val="24"/>
          <w:highlight w:val="none"/>
        </w:rPr>
      </w:pPr>
    </w:p>
    <w:p>
      <w:pPr>
        <w:spacing w:before="145" w:beforeLines="50" w:after="145" w:afterLines="50" w:line="300" w:lineRule="auto"/>
        <w:ind w:firstLine="360" w:firstLineChars="1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pPr>
        <w:spacing w:before="145" w:beforeLines="50" w:after="145" w:afterLines="50" w:line="300" w:lineRule="auto"/>
        <w:ind w:right="480" w:firstLine="6960" w:firstLineChars="29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9"/>
        <w:outlineLvl w:val="2"/>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附件九：技术条款偏差表</w:t>
      </w:r>
    </w:p>
    <w:tbl>
      <w:tblPr>
        <w:tblStyle w:val="33"/>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496"/>
        <w:gridCol w:w="2705"/>
        <w:gridCol w:w="1985"/>
        <w:gridCol w:w="1959"/>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19"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序号</w:t>
            </w:r>
          </w:p>
        </w:tc>
        <w:tc>
          <w:tcPr>
            <w:tcW w:w="752" w:type="pct"/>
            <w:noWrap w:val="0"/>
            <w:vAlign w:val="bottom"/>
          </w:tcPr>
          <w:p>
            <w:pPr>
              <w:widowControl/>
              <w:snapToGrid w:val="0"/>
              <w:jc w:val="center"/>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lang w:eastAsia="zh-CN"/>
              </w:rPr>
              <w:t>货物名称</w:t>
            </w:r>
          </w:p>
        </w:tc>
        <w:tc>
          <w:tcPr>
            <w:tcW w:w="1359" w:type="pct"/>
            <w:noWrap w:val="0"/>
            <w:vAlign w:val="bottom"/>
          </w:tcPr>
          <w:p>
            <w:pPr>
              <w:widowControl/>
              <w:snapToGrid w:val="0"/>
              <w:jc w:val="center"/>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lang w:eastAsia="zh-CN"/>
              </w:rPr>
              <w:t>磋商文件章节及条款号</w:t>
            </w:r>
          </w:p>
        </w:tc>
        <w:tc>
          <w:tcPr>
            <w:tcW w:w="997" w:type="pct"/>
            <w:noWrap w:val="0"/>
            <w:vAlign w:val="bottom"/>
          </w:tcPr>
          <w:p>
            <w:pPr>
              <w:widowControl/>
              <w:snapToGrid w:val="0"/>
              <w:jc w:val="center"/>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lang w:eastAsia="zh-CN"/>
              </w:rPr>
              <w:t>招标规格</w:t>
            </w:r>
          </w:p>
        </w:tc>
        <w:tc>
          <w:tcPr>
            <w:tcW w:w="984" w:type="pct"/>
            <w:noWrap w:val="0"/>
            <w:vAlign w:val="bottom"/>
          </w:tcPr>
          <w:p>
            <w:pPr>
              <w:widowControl/>
              <w:snapToGrid w:val="0"/>
              <w:jc w:val="center"/>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lang w:eastAsia="zh-CN"/>
              </w:rPr>
              <w:t>投标规格</w:t>
            </w:r>
          </w:p>
        </w:tc>
        <w:tc>
          <w:tcPr>
            <w:tcW w:w="585" w:type="pct"/>
            <w:noWrap w:val="0"/>
            <w:vAlign w:val="bottom"/>
          </w:tcPr>
          <w:p>
            <w:pPr>
              <w:widowControl/>
              <w:snapToGrid w:val="0"/>
              <w:jc w:val="center"/>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9"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1</w:t>
            </w:r>
          </w:p>
        </w:tc>
        <w:tc>
          <w:tcPr>
            <w:tcW w:w="752"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1359"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97"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84"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585" w:type="pct"/>
            <w:noWrap w:val="0"/>
            <w:vAlign w:val="bottom"/>
          </w:tcPr>
          <w:p>
            <w:pPr>
              <w:widowControl/>
              <w:snapToGrid w:val="0"/>
              <w:jc w:val="center"/>
              <w:rPr>
                <w:rFonts w:hint="eastAsia" w:ascii="宋体" w:hAnsi="宋体" w:eastAsia="宋体" w:cs="宋体"/>
                <w:b w:val="0"/>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9"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2</w:t>
            </w:r>
          </w:p>
        </w:tc>
        <w:tc>
          <w:tcPr>
            <w:tcW w:w="752"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1359"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97"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84"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585" w:type="pct"/>
            <w:noWrap w:val="0"/>
            <w:vAlign w:val="bottom"/>
          </w:tcPr>
          <w:p>
            <w:pPr>
              <w:widowControl/>
              <w:snapToGrid w:val="0"/>
              <w:jc w:val="center"/>
              <w:rPr>
                <w:rFonts w:hint="eastAsia" w:ascii="宋体" w:hAnsi="宋体" w:eastAsia="宋体" w:cs="宋体"/>
                <w:b w:val="0"/>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9"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3</w:t>
            </w:r>
          </w:p>
        </w:tc>
        <w:tc>
          <w:tcPr>
            <w:tcW w:w="752"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1359"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97"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84"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585" w:type="pct"/>
            <w:noWrap w:val="0"/>
            <w:vAlign w:val="bottom"/>
          </w:tcPr>
          <w:p>
            <w:pPr>
              <w:widowControl/>
              <w:snapToGrid w:val="0"/>
              <w:jc w:val="center"/>
              <w:rPr>
                <w:rFonts w:hint="eastAsia" w:ascii="宋体" w:hAnsi="宋体" w:eastAsia="宋体" w:cs="宋体"/>
                <w:b w:val="0"/>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9"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4</w:t>
            </w:r>
          </w:p>
        </w:tc>
        <w:tc>
          <w:tcPr>
            <w:tcW w:w="752"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1359"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97"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84"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585" w:type="pct"/>
            <w:noWrap w:val="0"/>
            <w:vAlign w:val="bottom"/>
          </w:tcPr>
          <w:p>
            <w:pPr>
              <w:widowControl/>
              <w:snapToGrid w:val="0"/>
              <w:jc w:val="center"/>
              <w:rPr>
                <w:rFonts w:hint="eastAsia" w:ascii="宋体" w:hAnsi="宋体" w:eastAsia="宋体" w:cs="宋体"/>
                <w:b w:val="0"/>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9"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5</w:t>
            </w:r>
          </w:p>
        </w:tc>
        <w:tc>
          <w:tcPr>
            <w:tcW w:w="752"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1359"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97"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84"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585" w:type="pct"/>
            <w:noWrap w:val="0"/>
            <w:vAlign w:val="bottom"/>
          </w:tcPr>
          <w:p>
            <w:pPr>
              <w:widowControl/>
              <w:snapToGrid w:val="0"/>
              <w:jc w:val="center"/>
              <w:rPr>
                <w:rFonts w:hint="eastAsia" w:ascii="宋体" w:hAnsi="宋体" w:eastAsia="宋体" w:cs="宋体"/>
                <w:b w:val="0"/>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9" w:type="pct"/>
            <w:noWrap w:val="0"/>
            <w:vAlign w:val="bottom"/>
          </w:tcPr>
          <w:p>
            <w:pPr>
              <w:widowControl/>
              <w:snapToGrid w:val="0"/>
              <w:jc w:val="center"/>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w:t>
            </w:r>
          </w:p>
        </w:tc>
        <w:tc>
          <w:tcPr>
            <w:tcW w:w="752"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1359"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97"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984" w:type="pct"/>
            <w:noWrap w:val="0"/>
            <w:vAlign w:val="bottom"/>
          </w:tcPr>
          <w:p>
            <w:pPr>
              <w:widowControl/>
              <w:snapToGrid w:val="0"/>
              <w:jc w:val="center"/>
              <w:rPr>
                <w:rFonts w:hint="eastAsia" w:ascii="宋体" w:hAnsi="宋体" w:eastAsia="宋体" w:cs="宋体"/>
                <w:b w:val="0"/>
                <w:bCs/>
                <w:color w:val="auto"/>
                <w:kern w:val="0"/>
                <w:szCs w:val="21"/>
                <w:highlight w:val="none"/>
              </w:rPr>
            </w:pPr>
          </w:p>
        </w:tc>
        <w:tc>
          <w:tcPr>
            <w:tcW w:w="585" w:type="pct"/>
            <w:noWrap w:val="0"/>
            <w:vAlign w:val="bottom"/>
          </w:tcPr>
          <w:p>
            <w:pPr>
              <w:widowControl/>
              <w:snapToGrid w:val="0"/>
              <w:jc w:val="center"/>
              <w:rPr>
                <w:rFonts w:hint="eastAsia" w:ascii="宋体" w:hAnsi="宋体" w:eastAsia="宋体" w:cs="宋体"/>
                <w:b w:val="0"/>
                <w:bCs/>
                <w:color w:val="auto"/>
                <w:kern w:val="0"/>
                <w:szCs w:val="21"/>
                <w:highlight w:val="none"/>
              </w:rPr>
            </w:pPr>
          </w:p>
        </w:tc>
      </w:tr>
    </w:tbl>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投标人保证：除</w:t>
      </w:r>
      <w:r>
        <w:rPr>
          <w:rFonts w:hint="eastAsia" w:ascii="宋体" w:hAnsi="宋体" w:eastAsia="宋体" w:cs="宋体"/>
          <w:color w:val="auto"/>
          <w:szCs w:val="21"/>
          <w:highlight w:val="none"/>
          <w:lang w:eastAsia="zh-CN"/>
        </w:rPr>
        <w:t>上</w:t>
      </w:r>
      <w:r>
        <w:rPr>
          <w:rFonts w:hint="eastAsia" w:ascii="宋体" w:hAnsi="宋体" w:eastAsia="宋体" w:cs="宋体"/>
          <w:color w:val="auto"/>
          <w:szCs w:val="21"/>
          <w:highlight w:val="none"/>
        </w:rPr>
        <w:t>表列出的偏差外，投标人响应</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文件的全部要求。</w:t>
      </w:r>
    </w:p>
    <w:p>
      <w:pPr>
        <w:pStyle w:val="88"/>
        <w:spacing w:line="360" w:lineRule="auto"/>
        <w:ind w:right="480"/>
        <w:rPr>
          <w:rFonts w:hint="eastAsia" w:ascii="宋体" w:hAnsi="宋体" w:eastAsia="宋体" w:cs="宋体"/>
          <w:color w:val="auto"/>
          <w:sz w:val="24"/>
          <w:highlight w:val="none"/>
        </w:rPr>
      </w:pPr>
    </w:p>
    <w:p>
      <w:pPr>
        <w:spacing w:before="145" w:beforeLines="50" w:after="145" w:afterLines="50" w:line="300" w:lineRule="auto"/>
        <w:ind w:firstLine="360" w:firstLineChars="1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pPr>
        <w:spacing w:before="145" w:beforeLines="50" w:after="145" w:afterLines="50" w:line="300" w:lineRule="auto"/>
        <w:ind w:right="480" w:firstLine="6960" w:firstLineChars="29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8"/>
        <w:spacing w:line="360" w:lineRule="auto"/>
        <w:ind w:right="480"/>
        <w:rPr>
          <w:rFonts w:hint="eastAsia" w:ascii="宋体" w:hAnsi="宋体" w:eastAsia="宋体" w:cs="宋体"/>
          <w:color w:val="auto"/>
          <w:sz w:val="24"/>
          <w:highlight w:val="none"/>
        </w:rPr>
      </w:pPr>
    </w:p>
    <w:p>
      <w:pPr>
        <w:pStyle w:val="89"/>
        <w:outlineLvl w:val="2"/>
        <w:rPr>
          <w:rFonts w:hint="eastAsia" w:ascii="宋体" w:hAnsi="宋体" w:eastAsia="宋体" w:cs="宋体"/>
          <w:b w:val="0"/>
          <w:bCs/>
          <w:color w:val="auto"/>
          <w:highlight w:val="none"/>
          <w:lang w:val="en-US" w:eastAsia="zh-CN"/>
        </w:rPr>
      </w:pPr>
      <w:bookmarkStart w:id="261" w:name="_Toc18115"/>
      <w:r>
        <w:rPr>
          <w:rFonts w:hint="eastAsia" w:ascii="宋体" w:hAnsi="宋体" w:eastAsia="宋体" w:cs="宋体"/>
          <w:b w:val="0"/>
          <w:bCs/>
          <w:color w:val="auto"/>
          <w:highlight w:val="none"/>
          <w:lang w:val="en-US" w:eastAsia="zh-CN"/>
        </w:rPr>
        <w:t>附件十：中小企业声明函</w:t>
      </w:r>
      <w:bookmarkEnd w:id="261"/>
      <w:r>
        <w:rPr>
          <w:rFonts w:hint="eastAsia" w:ascii="宋体" w:hAnsi="宋体" w:eastAsia="宋体" w:cs="宋体"/>
          <w:b w:val="0"/>
          <w:bCs/>
          <w:color w:val="auto"/>
          <w:highlight w:val="none"/>
          <w:lang w:val="en-US" w:eastAsia="zh-CN"/>
        </w:rPr>
        <w:t>（货物）</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600" w:firstLineChars="2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w:t>
      </w:r>
      <w:r>
        <w:rPr>
          <w:rFonts w:hint="eastAsia" w:ascii="宋体" w:hAnsi="宋体" w:eastAsia="宋体" w:cs="宋体"/>
          <w:color w:val="auto"/>
          <w:sz w:val="24"/>
          <w:highlight w:val="none"/>
          <w:lang w:eastAsia="zh-CN"/>
        </w:rPr>
        <w:t>（联合体）</w:t>
      </w:r>
      <w:r>
        <w:rPr>
          <w:rFonts w:hint="eastAsia" w:ascii="宋体" w:hAnsi="宋体" w:eastAsia="宋体" w:cs="宋体"/>
          <w:color w:val="auto"/>
          <w:sz w:val="24"/>
          <w:highlight w:val="none"/>
        </w:rPr>
        <w:t>郑重声明，根据《政府采购促进中小企业发展</w:t>
      </w:r>
      <w:r>
        <w:rPr>
          <w:rFonts w:hint="eastAsia" w:ascii="宋体" w:hAnsi="宋体" w:eastAsia="宋体" w:cs="宋体"/>
          <w:color w:val="auto"/>
          <w:sz w:val="24"/>
          <w:highlight w:val="none"/>
          <w:lang w:eastAsia="zh-CN"/>
        </w:rPr>
        <w:t>管理</w:t>
      </w:r>
      <w:r>
        <w:rPr>
          <w:rFonts w:hint="eastAsia" w:ascii="宋体" w:hAnsi="宋体" w:eastAsia="宋体" w:cs="宋体"/>
          <w:color w:val="auto"/>
          <w:sz w:val="24"/>
          <w:highlight w:val="none"/>
        </w:rPr>
        <w:t>办法》(财库[</w:t>
      </w:r>
      <w:r>
        <w:rPr>
          <w:rFonts w:hint="eastAsia" w:ascii="宋体" w:hAnsi="宋体" w:eastAsia="宋体" w:cs="宋体"/>
          <w:color w:val="auto"/>
          <w:sz w:val="24"/>
          <w:highlight w:val="none"/>
          <w:lang w:eastAsia="zh-CN"/>
        </w:rPr>
        <w:t>2021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46</w:t>
      </w:r>
      <w:r>
        <w:rPr>
          <w:rFonts w:hint="eastAsia" w:ascii="宋体" w:hAnsi="宋体" w:eastAsia="宋体" w:cs="宋体"/>
          <w:color w:val="auto"/>
          <w:sz w:val="24"/>
          <w:highlight w:val="none"/>
        </w:rPr>
        <w:t>号)的规定，本公司</w:t>
      </w:r>
      <w:r>
        <w:rPr>
          <w:rFonts w:hint="eastAsia" w:ascii="宋体" w:hAnsi="宋体" w:eastAsia="宋体" w:cs="宋体"/>
          <w:color w:val="auto"/>
          <w:sz w:val="24"/>
          <w:highlight w:val="none"/>
          <w:lang w:eastAsia="zh-CN"/>
        </w:rPr>
        <w:t>（联合体）参加</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（单位名称）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eastAsia="zh-CN"/>
        </w:rPr>
        <w:t>（项目名称）</w:t>
      </w:r>
      <w:r>
        <w:rPr>
          <w:rFonts w:hint="eastAsia" w:ascii="宋体" w:hAnsi="宋体" w:eastAsia="宋体" w:cs="宋体"/>
          <w:color w:val="auto"/>
          <w:sz w:val="24"/>
          <w:highlight w:val="none"/>
          <w:u w:val="none"/>
          <w:lang w:val="en-US" w:eastAsia="zh-CN"/>
        </w:rPr>
        <w:t xml:space="preserve"> 采购活动，提供的货物全部由符合政策要求的中小企业制造。相关企业（含联合体中的中小企业、签订分包意向协议的中小企业）</w:t>
      </w:r>
      <w:r>
        <w:rPr>
          <w:rFonts w:hint="eastAsia" w:ascii="宋体" w:hAnsi="宋体" w:eastAsia="宋体" w:cs="宋体"/>
          <w:color w:val="auto"/>
          <w:sz w:val="24"/>
          <w:highlight w:val="none"/>
          <w:lang w:eastAsia="zh-CN"/>
        </w:rPr>
        <w:t>具体情况如下</w:t>
      </w:r>
      <w:r>
        <w:rPr>
          <w:rFonts w:hint="eastAsia" w:ascii="宋体" w:hAnsi="宋体" w:eastAsia="宋体" w:cs="宋体"/>
          <w:color w:val="auto"/>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1.</w:t>
      </w:r>
      <w:r>
        <w:rPr>
          <w:rFonts w:hint="eastAsia" w:ascii="宋体" w:hAnsi="宋体" w:eastAsia="宋体" w:cs="宋体"/>
          <w:color w:val="auto"/>
          <w:sz w:val="24"/>
          <w:highlight w:val="none"/>
          <w:u w:val="single"/>
          <w:lang w:val="en-US" w:eastAsia="zh-CN"/>
        </w:rPr>
        <w:t xml:space="preserve">  （标的名称）  </w:t>
      </w:r>
      <w:r>
        <w:rPr>
          <w:rFonts w:hint="eastAsia" w:ascii="宋体" w:hAnsi="宋体" w:eastAsia="宋体" w:cs="宋体"/>
          <w:color w:val="auto"/>
          <w:sz w:val="24"/>
          <w:highlight w:val="none"/>
          <w:u w:val="none"/>
          <w:lang w:val="en-US" w:eastAsia="zh-CN"/>
        </w:rPr>
        <w:t xml:space="preserve">，属于 </w:t>
      </w:r>
      <w:r>
        <w:rPr>
          <w:rFonts w:hint="eastAsia" w:ascii="宋体" w:hAnsi="宋体" w:eastAsia="宋体" w:cs="宋体"/>
          <w:color w:val="auto"/>
          <w:sz w:val="24"/>
          <w:highlight w:val="none"/>
          <w:u w:val="single"/>
          <w:lang w:val="en-US" w:eastAsia="zh-CN"/>
        </w:rPr>
        <w:t>（采购文件中明确的所属行业）</w:t>
      </w:r>
      <w:r>
        <w:rPr>
          <w:rFonts w:hint="eastAsia" w:ascii="宋体" w:hAnsi="宋体" w:eastAsia="宋体" w:cs="宋体"/>
          <w:color w:val="auto"/>
          <w:sz w:val="24"/>
          <w:highlight w:val="none"/>
          <w:u w:val="none"/>
          <w:lang w:val="en-US" w:eastAsia="zh-CN"/>
        </w:rPr>
        <w:t xml:space="preserve"> 行业；制造商为</w:t>
      </w:r>
      <w:r>
        <w:rPr>
          <w:rFonts w:hint="eastAsia" w:ascii="宋体" w:hAnsi="宋体" w:eastAsia="宋体" w:cs="宋体"/>
          <w:color w:val="auto"/>
          <w:sz w:val="24"/>
          <w:highlight w:val="none"/>
          <w:u w:val="single"/>
          <w:lang w:val="en-US" w:eastAsia="zh-CN"/>
        </w:rPr>
        <w:t>（企业名称）</w:t>
      </w:r>
      <w:r>
        <w:rPr>
          <w:rFonts w:hint="eastAsia" w:ascii="宋体" w:hAnsi="宋体" w:eastAsia="宋体" w:cs="宋体"/>
          <w:color w:val="auto"/>
          <w:sz w:val="24"/>
          <w:highlight w:val="none"/>
          <w:u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人，营业收入为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万元</w:t>
      </w:r>
      <w:r>
        <w:rPr>
          <w:rFonts w:hint="eastAsia" w:ascii="宋体" w:hAnsi="宋体" w:eastAsia="宋体" w:cs="宋体"/>
          <w:color w:val="auto"/>
          <w:sz w:val="24"/>
          <w:highlight w:val="none"/>
          <w:u w:val="none"/>
          <w:vertAlign w:val="superscript"/>
          <w:lang w:val="en-US" w:eastAsia="zh-CN"/>
        </w:rPr>
        <w:t>1</w:t>
      </w:r>
      <w:r>
        <w:rPr>
          <w:rFonts w:hint="eastAsia" w:ascii="宋体" w:hAnsi="宋体" w:eastAsia="宋体" w:cs="宋体"/>
          <w:color w:val="auto"/>
          <w:sz w:val="24"/>
          <w:highlight w:val="none"/>
          <w:u w:val="none"/>
          <w:lang w:val="en-US" w:eastAsia="zh-CN"/>
        </w:rPr>
        <w:t>，属于</w:t>
      </w:r>
      <w:r>
        <w:rPr>
          <w:rFonts w:hint="eastAsia" w:ascii="宋体" w:hAnsi="宋体" w:eastAsia="宋体" w:cs="宋体"/>
          <w:color w:val="auto"/>
          <w:sz w:val="24"/>
          <w:highlight w:val="none"/>
          <w:u w:val="single"/>
          <w:lang w:val="en-US" w:eastAsia="zh-CN"/>
        </w:rPr>
        <w:t xml:space="preserve">   （中型企业、小型企业、微型企业）；</w:t>
      </w:r>
    </w:p>
    <w:p>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single"/>
          <w:lang w:val="en-US" w:eastAsia="zh-CN"/>
        </w:rPr>
        <w:t xml:space="preserve">  （标的名称）  </w:t>
      </w:r>
      <w:r>
        <w:rPr>
          <w:rFonts w:hint="eastAsia" w:ascii="宋体" w:hAnsi="宋体" w:eastAsia="宋体" w:cs="宋体"/>
          <w:color w:val="auto"/>
          <w:sz w:val="24"/>
          <w:highlight w:val="none"/>
          <w:u w:val="none"/>
          <w:lang w:val="en-US" w:eastAsia="zh-CN"/>
        </w:rPr>
        <w:t xml:space="preserve">，属于 </w:t>
      </w:r>
      <w:r>
        <w:rPr>
          <w:rFonts w:hint="eastAsia" w:ascii="宋体" w:hAnsi="宋体" w:eastAsia="宋体" w:cs="宋体"/>
          <w:color w:val="auto"/>
          <w:sz w:val="24"/>
          <w:highlight w:val="none"/>
          <w:u w:val="single"/>
          <w:lang w:val="en-US" w:eastAsia="zh-CN"/>
        </w:rPr>
        <w:t>（采购文件中明确的所属行业）</w:t>
      </w:r>
      <w:r>
        <w:rPr>
          <w:rFonts w:hint="eastAsia" w:ascii="宋体" w:hAnsi="宋体" w:eastAsia="宋体" w:cs="宋体"/>
          <w:color w:val="auto"/>
          <w:sz w:val="24"/>
          <w:highlight w:val="none"/>
          <w:u w:val="none"/>
          <w:lang w:val="en-US" w:eastAsia="zh-CN"/>
        </w:rPr>
        <w:t xml:space="preserve"> 行业；制造商为</w:t>
      </w:r>
      <w:r>
        <w:rPr>
          <w:rFonts w:hint="eastAsia" w:ascii="宋体" w:hAnsi="宋体" w:eastAsia="宋体" w:cs="宋体"/>
          <w:color w:val="auto"/>
          <w:sz w:val="24"/>
          <w:highlight w:val="none"/>
          <w:u w:val="single"/>
          <w:lang w:val="en-US" w:eastAsia="zh-CN"/>
        </w:rPr>
        <w:t>（企业名称）</w:t>
      </w:r>
      <w:r>
        <w:rPr>
          <w:rFonts w:hint="eastAsia" w:ascii="宋体" w:hAnsi="宋体" w:eastAsia="宋体" w:cs="宋体"/>
          <w:color w:val="auto"/>
          <w:sz w:val="24"/>
          <w:highlight w:val="none"/>
          <w:u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人，营业收入为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万元</w:t>
      </w:r>
      <w:r>
        <w:rPr>
          <w:rFonts w:hint="eastAsia" w:ascii="宋体" w:hAnsi="宋体" w:eastAsia="宋体" w:cs="宋体"/>
          <w:color w:val="auto"/>
          <w:sz w:val="24"/>
          <w:highlight w:val="none"/>
          <w:u w:val="none"/>
          <w:vertAlign w:val="superscript"/>
          <w:lang w:val="en-US" w:eastAsia="zh-CN"/>
        </w:rPr>
        <w:t>1</w:t>
      </w:r>
      <w:r>
        <w:rPr>
          <w:rFonts w:hint="eastAsia" w:ascii="宋体" w:hAnsi="宋体" w:eastAsia="宋体" w:cs="宋体"/>
          <w:color w:val="auto"/>
          <w:sz w:val="24"/>
          <w:highlight w:val="none"/>
          <w:u w:val="none"/>
          <w:lang w:val="en-US" w:eastAsia="zh-CN"/>
        </w:rPr>
        <w:t>，属于</w:t>
      </w:r>
      <w:r>
        <w:rPr>
          <w:rFonts w:hint="eastAsia" w:ascii="宋体" w:hAnsi="宋体" w:eastAsia="宋体" w:cs="宋体"/>
          <w:color w:val="auto"/>
          <w:sz w:val="24"/>
          <w:highlight w:val="none"/>
          <w:u w:val="single"/>
          <w:lang w:val="en-US" w:eastAsia="zh-CN"/>
        </w:rPr>
        <w:t xml:space="preserve">   （中型企业、小型企业、微型企业）；</w:t>
      </w:r>
    </w:p>
    <w:p>
      <w:pPr>
        <w:pStyle w:val="3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u w:val="none"/>
          <w:lang w:val="en-US"/>
        </w:rPr>
      </w:pPr>
      <w:r>
        <w:rPr>
          <w:rFonts w:hint="eastAsia" w:ascii="宋体" w:hAnsi="宋体" w:eastAsia="宋体" w:cs="宋体"/>
          <w:color w:val="auto"/>
          <w:sz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以上企业，不属于大企业的分支机构，不存在控股股东为大型企业的情形，也不存在与大企业的负责人为同一人的情形。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本企业对上述声明内容的真实性负责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如有虚假，将依法承担相应责任。</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360" w:firstLineChars="15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企业名称（</w:t>
      </w:r>
      <w:r>
        <w:rPr>
          <w:rFonts w:hint="eastAsia" w:ascii="宋体" w:hAnsi="宋体" w:eastAsia="宋体" w:cs="宋体"/>
          <w:color w:val="auto"/>
          <w:sz w:val="24"/>
          <w:highlight w:val="none"/>
          <w:lang w:eastAsia="zh-CN"/>
        </w:rPr>
        <w:t>盖章</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360" w:firstLineChars="15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日期：</w:t>
      </w:r>
    </w:p>
    <w:p>
      <w:pPr>
        <w:spacing w:before="145" w:beforeLines="50" w:after="145" w:afterLines="50" w:line="300" w:lineRule="auto"/>
        <w:ind w:firstLine="240" w:firstLineChars="100"/>
        <w:rPr>
          <w:rFonts w:hint="eastAsia" w:ascii="宋体" w:hAnsi="宋体" w:eastAsia="宋体" w:cs="宋体"/>
          <w:color w:val="auto"/>
          <w:sz w:val="24"/>
          <w:highlight w:val="none"/>
        </w:rPr>
      </w:pPr>
    </w:p>
    <w:p>
      <w:pPr>
        <w:spacing w:before="145" w:beforeLines="50" w:after="145" w:afterLines="50" w:line="300" w:lineRule="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lang w:eastAsia="zh-CN"/>
        </w:rPr>
        <w:t>从业人员、营业收入、资产总额填报上一年度数据，无上一年度数据的新成立企业可不填报。</w:t>
      </w:r>
    </w:p>
    <w:p>
      <w:pPr>
        <w:spacing w:before="145" w:beforeLines="50" w:after="145" w:afterLines="50" w:line="300" w:lineRule="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注：符合中小企业划型标准的企业请提供本函，不符合的不提供本函。</w:t>
      </w:r>
    </w:p>
    <w:p>
      <w:pPr>
        <w:spacing w:before="145" w:beforeLines="50" w:after="145" w:afterLines="50" w:line="300" w:lineRule="auto"/>
        <w:rPr>
          <w:rFonts w:hint="eastAsia" w:ascii="宋体" w:hAnsi="宋体" w:eastAsia="宋体" w:cs="宋体"/>
          <w:bCs/>
          <w:color w:val="auto"/>
          <w:sz w:val="24"/>
          <w:highlight w:val="none"/>
        </w:rPr>
      </w:pPr>
    </w:p>
    <w:p>
      <w:pPr>
        <w:spacing w:before="145" w:beforeLines="50" w:after="145" w:afterLines="50" w:line="300" w:lineRule="auto"/>
        <w:rPr>
          <w:rFonts w:hint="eastAsia" w:ascii="宋体" w:hAnsi="宋体" w:eastAsia="宋体" w:cs="宋体"/>
          <w:bCs/>
          <w:color w:val="auto"/>
          <w:sz w:val="24"/>
          <w:highlight w:val="none"/>
        </w:rPr>
      </w:pPr>
    </w:p>
    <w:p>
      <w:pPr>
        <w:pStyle w:val="80"/>
        <w:rPr>
          <w:rFonts w:hint="eastAsia" w:ascii="宋体" w:hAnsi="宋体" w:eastAsia="宋体" w:cs="宋体"/>
          <w:bCs/>
          <w:color w:val="auto"/>
          <w:sz w:val="24"/>
          <w:highlight w:val="none"/>
        </w:rPr>
      </w:pPr>
    </w:p>
    <w:p>
      <w:pPr>
        <w:pStyle w:val="80"/>
        <w:rPr>
          <w:rFonts w:hint="eastAsia" w:ascii="宋体" w:hAnsi="宋体" w:eastAsia="宋体" w:cs="宋体"/>
          <w:bCs/>
          <w:color w:val="auto"/>
          <w:sz w:val="24"/>
          <w:highlight w:val="none"/>
        </w:rPr>
      </w:pPr>
    </w:p>
    <w:p>
      <w:pPr>
        <w:pStyle w:val="80"/>
        <w:rPr>
          <w:rFonts w:hint="eastAsia" w:ascii="宋体" w:hAnsi="宋体" w:eastAsia="宋体" w:cs="宋体"/>
          <w:bCs/>
          <w:color w:val="auto"/>
          <w:sz w:val="24"/>
          <w:highlight w:val="none"/>
        </w:rPr>
      </w:pPr>
    </w:p>
    <w:p>
      <w:pPr>
        <w:pStyle w:val="80"/>
        <w:rPr>
          <w:rFonts w:hint="eastAsia" w:ascii="宋体" w:hAnsi="宋体" w:eastAsia="宋体" w:cs="宋体"/>
          <w:bCs/>
          <w:color w:val="auto"/>
          <w:sz w:val="24"/>
          <w:highlight w:val="none"/>
        </w:rPr>
      </w:pPr>
    </w:p>
    <w:p>
      <w:pPr>
        <w:pStyle w:val="80"/>
        <w:rPr>
          <w:rFonts w:hint="eastAsia" w:ascii="宋体" w:hAnsi="宋体" w:eastAsia="宋体" w:cs="宋体"/>
          <w:bCs/>
          <w:color w:val="auto"/>
          <w:sz w:val="24"/>
          <w:highlight w:val="none"/>
        </w:rPr>
      </w:pPr>
    </w:p>
    <w:p>
      <w:pPr>
        <w:pStyle w:val="80"/>
        <w:rPr>
          <w:rFonts w:hint="eastAsia" w:ascii="宋体" w:hAnsi="宋体" w:eastAsia="宋体" w:cs="宋体"/>
          <w:bCs/>
          <w:color w:val="auto"/>
          <w:sz w:val="24"/>
          <w:highlight w:val="none"/>
        </w:rPr>
      </w:pPr>
    </w:p>
    <w:p>
      <w:pPr>
        <w:pStyle w:val="80"/>
        <w:rPr>
          <w:rFonts w:hint="eastAsia" w:ascii="宋体" w:hAnsi="宋体" w:eastAsia="宋体" w:cs="宋体"/>
          <w:bCs/>
          <w:color w:val="auto"/>
          <w:sz w:val="24"/>
          <w:highlight w:val="none"/>
        </w:rPr>
      </w:pPr>
    </w:p>
    <w:p>
      <w:pPr>
        <w:pStyle w:val="80"/>
        <w:rPr>
          <w:rFonts w:hint="eastAsia" w:ascii="宋体" w:hAnsi="宋体" w:eastAsia="宋体" w:cs="宋体"/>
          <w:bCs/>
          <w:color w:val="auto"/>
          <w:sz w:val="24"/>
          <w:highlight w:val="none"/>
        </w:rPr>
      </w:pPr>
    </w:p>
    <w:p>
      <w:pPr>
        <w:pStyle w:val="80"/>
        <w:rPr>
          <w:rFonts w:hint="eastAsia" w:ascii="宋体" w:hAnsi="宋体" w:eastAsia="宋体" w:cs="宋体"/>
          <w:bCs/>
          <w:color w:val="auto"/>
          <w:sz w:val="24"/>
          <w:highlight w:val="none"/>
        </w:rPr>
      </w:pPr>
    </w:p>
    <w:p>
      <w:pPr>
        <w:pStyle w:val="80"/>
        <w:rPr>
          <w:rFonts w:hint="eastAsia" w:ascii="宋体" w:hAnsi="宋体" w:eastAsia="宋体" w:cs="宋体"/>
          <w:bCs/>
          <w:color w:val="auto"/>
          <w:sz w:val="24"/>
          <w:highlight w:val="none"/>
        </w:rPr>
      </w:pPr>
    </w:p>
    <w:p>
      <w:pPr>
        <w:pStyle w:val="80"/>
        <w:rPr>
          <w:rFonts w:hint="eastAsia" w:ascii="宋体" w:hAnsi="宋体" w:eastAsia="宋体" w:cs="宋体"/>
          <w:bCs/>
          <w:color w:val="auto"/>
          <w:sz w:val="24"/>
          <w:highlight w:val="none"/>
        </w:rPr>
      </w:pPr>
    </w:p>
    <w:p>
      <w:pPr>
        <w:pStyle w:val="89"/>
        <w:outlineLvl w:val="2"/>
        <w:rPr>
          <w:rFonts w:hint="eastAsia" w:ascii="宋体" w:hAnsi="宋体" w:eastAsia="宋体" w:cs="宋体"/>
          <w:b w:val="0"/>
          <w:bCs/>
          <w:color w:val="auto"/>
          <w:highlight w:val="none"/>
          <w:lang w:val="en-US" w:eastAsia="zh-CN"/>
        </w:rPr>
      </w:pPr>
      <w:bookmarkStart w:id="262" w:name="_Toc26894"/>
      <w:r>
        <w:rPr>
          <w:rFonts w:hint="eastAsia" w:ascii="宋体" w:hAnsi="宋体" w:eastAsia="宋体" w:cs="宋体"/>
          <w:b w:val="0"/>
          <w:bCs/>
          <w:color w:val="auto"/>
          <w:highlight w:val="none"/>
          <w:lang w:val="en-US" w:eastAsia="zh-CN"/>
        </w:rPr>
        <w:t>附件十一：残疾人福利性单位声明函</w:t>
      </w:r>
      <w:bookmarkEnd w:id="262"/>
      <w:r>
        <w:rPr>
          <w:rFonts w:hint="eastAsia" w:ascii="宋体" w:hAnsi="宋体" w:eastAsia="宋体" w:cs="宋体"/>
          <w:b w:val="0"/>
          <w:bCs/>
          <w:color w:val="auto"/>
          <w:highlight w:val="none"/>
          <w:lang w:val="en-US" w:eastAsia="zh-CN"/>
        </w:rPr>
        <w:t>（若有）</w:t>
      </w:r>
    </w:p>
    <w:p>
      <w:pPr>
        <w:spacing w:before="145" w:beforeLines="50" w:after="145" w:afterLines="50" w:line="300" w:lineRule="auto"/>
        <w:ind w:firstLine="624" w:firstLineChars="200"/>
        <w:rPr>
          <w:rFonts w:hint="eastAsia" w:ascii="宋体" w:hAnsi="宋体" w:eastAsia="宋体" w:cs="宋体"/>
          <w:color w:val="auto"/>
          <w:spacing w:val="6"/>
          <w:sz w:val="30"/>
          <w:szCs w:val="30"/>
          <w:highlight w:val="none"/>
        </w:rPr>
      </w:pPr>
    </w:p>
    <w:p>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本单位在本次政府采购活动中提供的残疾人福利单位产品报价合计为人民币（大写）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圆整（￥：     ）。</w:t>
      </w:r>
    </w:p>
    <w:p>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color w:val="auto"/>
          <w:sz w:val="24"/>
          <w:highlight w:val="none"/>
        </w:rPr>
      </w:pPr>
    </w:p>
    <w:p>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（备注：1、供应商如不提供此声明函，价格将不做相应扣除。2、中标供应商为残疾人福利单位的，此声明函将随中标结果同时公告，接受社会监督）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color w:val="auto"/>
          <w:spacing w:val="6"/>
          <w:sz w:val="30"/>
          <w:szCs w:val="30"/>
          <w:highlight w:val="none"/>
        </w:rPr>
      </w:pPr>
    </w:p>
    <w:p>
      <w:pPr>
        <w:spacing w:before="145" w:beforeLines="50" w:after="145" w:afterLines="50" w:line="300" w:lineRule="auto"/>
        <w:ind w:firstLine="468" w:firstLineChars="150"/>
        <w:jc w:val="right"/>
        <w:rPr>
          <w:rFonts w:hint="eastAsia" w:ascii="宋体" w:hAnsi="宋体" w:eastAsia="宋体" w:cs="宋体"/>
          <w:color w:val="auto"/>
          <w:sz w:val="24"/>
          <w:highlight w:val="none"/>
        </w:rPr>
      </w:pPr>
      <w:r>
        <w:rPr>
          <w:rFonts w:hint="eastAsia" w:ascii="宋体" w:hAnsi="宋体" w:eastAsia="宋体" w:cs="宋体"/>
          <w:color w:val="auto"/>
          <w:spacing w:val="6"/>
          <w:sz w:val="30"/>
          <w:szCs w:val="30"/>
          <w:highlight w:val="none"/>
        </w:rPr>
        <w:t xml:space="preserve">             </w:t>
      </w:r>
      <w:r>
        <w:rPr>
          <w:rFonts w:hint="eastAsia" w:ascii="宋体" w:hAnsi="宋体" w:eastAsia="宋体" w:cs="宋体"/>
          <w:color w:val="auto"/>
          <w:sz w:val="24"/>
          <w:highlight w:val="none"/>
        </w:rPr>
        <w:t xml:space="preserve">                  企业名称（</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pPr>
        <w:spacing w:before="145" w:beforeLines="50" w:after="145" w:afterLines="50" w:line="300" w:lineRule="auto"/>
        <w:ind w:right="480" w:firstLine="6960" w:firstLineChars="29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spacing w:before="145" w:beforeLines="50" w:after="145" w:afterLines="50" w:line="300" w:lineRule="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注：符合条件的残疾人福利性单位请提供本函，不符合的不提供本函。</w:t>
      </w:r>
    </w:p>
    <w:p>
      <w:pPr>
        <w:rPr>
          <w:color w:val="auto"/>
          <w:highlight w:val="none"/>
        </w:rPr>
      </w:pPr>
    </w:p>
    <w:p/>
    <w:sectPr>
      <w:headerReference r:id="rId7"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p>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6C278"/>
    <w:multiLevelType w:val="singleLevel"/>
    <w:tmpl w:val="97F6C278"/>
    <w:lvl w:ilvl="0" w:tentative="0">
      <w:start w:val="1"/>
      <w:numFmt w:val="chineseCounting"/>
      <w:suff w:val="space"/>
      <w:lvlText w:val="第%1部分"/>
      <w:lvlJc w:val="left"/>
      <w:rPr>
        <w:rFonts w:hint="eastAsia"/>
      </w:rPr>
    </w:lvl>
  </w:abstractNum>
  <w:abstractNum w:abstractNumId="1">
    <w:nsid w:val="B321F74E"/>
    <w:multiLevelType w:val="singleLevel"/>
    <w:tmpl w:val="B321F74E"/>
    <w:lvl w:ilvl="0" w:tentative="0">
      <w:start w:val="1"/>
      <w:numFmt w:val="chineseCounting"/>
      <w:suff w:val="space"/>
      <w:lvlText w:val="第%1章"/>
      <w:lvlJc w:val="left"/>
      <w:rPr>
        <w:rFonts w:hint="eastAsia"/>
      </w:rPr>
    </w:lvl>
  </w:abstractNum>
  <w:abstractNum w:abstractNumId="2">
    <w:nsid w:val="0B6779C6"/>
    <w:multiLevelType w:val="singleLevel"/>
    <w:tmpl w:val="0B6779C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178"/>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182"/>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548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01"/>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213882"/>
    <w:rsid w:val="014925F1"/>
    <w:rsid w:val="014E0491"/>
    <w:rsid w:val="01867481"/>
    <w:rsid w:val="01A4698D"/>
    <w:rsid w:val="01B64983"/>
    <w:rsid w:val="020534CF"/>
    <w:rsid w:val="022253DA"/>
    <w:rsid w:val="0288005D"/>
    <w:rsid w:val="03064AB8"/>
    <w:rsid w:val="038B1487"/>
    <w:rsid w:val="038C76D9"/>
    <w:rsid w:val="03C52BEB"/>
    <w:rsid w:val="03EE2141"/>
    <w:rsid w:val="03F93A73"/>
    <w:rsid w:val="042046F5"/>
    <w:rsid w:val="04C16888"/>
    <w:rsid w:val="04E92909"/>
    <w:rsid w:val="051E25B2"/>
    <w:rsid w:val="05557F9E"/>
    <w:rsid w:val="05B270BA"/>
    <w:rsid w:val="05FF746E"/>
    <w:rsid w:val="06087B94"/>
    <w:rsid w:val="06253E14"/>
    <w:rsid w:val="068679BC"/>
    <w:rsid w:val="06976AC0"/>
    <w:rsid w:val="0698114A"/>
    <w:rsid w:val="06A411DD"/>
    <w:rsid w:val="06B13C8B"/>
    <w:rsid w:val="06F85D90"/>
    <w:rsid w:val="075A2231"/>
    <w:rsid w:val="07C72112"/>
    <w:rsid w:val="07E147B8"/>
    <w:rsid w:val="08066F25"/>
    <w:rsid w:val="08597DA5"/>
    <w:rsid w:val="0865674A"/>
    <w:rsid w:val="08712537"/>
    <w:rsid w:val="08F55D20"/>
    <w:rsid w:val="09045D6D"/>
    <w:rsid w:val="09243483"/>
    <w:rsid w:val="09480C98"/>
    <w:rsid w:val="096C7AFB"/>
    <w:rsid w:val="09A84B40"/>
    <w:rsid w:val="09BC0828"/>
    <w:rsid w:val="09D25006"/>
    <w:rsid w:val="09F340E8"/>
    <w:rsid w:val="0A0F2EF6"/>
    <w:rsid w:val="0A192532"/>
    <w:rsid w:val="0A4E393A"/>
    <w:rsid w:val="0A732D15"/>
    <w:rsid w:val="0A757553"/>
    <w:rsid w:val="0B3D39AE"/>
    <w:rsid w:val="0B8769D7"/>
    <w:rsid w:val="0B8F7DE7"/>
    <w:rsid w:val="0B9E6FCA"/>
    <w:rsid w:val="0C4C65F8"/>
    <w:rsid w:val="0C564236"/>
    <w:rsid w:val="0C6057CE"/>
    <w:rsid w:val="0CBD4DA7"/>
    <w:rsid w:val="0CD43E9E"/>
    <w:rsid w:val="0D1C451A"/>
    <w:rsid w:val="0D817CDD"/>
    <w:rsid w:val="0D952E82"/>
    <w:rsid w:val="0DCB2EC9"/>
    <w:rsid w:val="0DD36CB2"/>
    <w:rsid w:val="0DDB5519"/>
    <w:rsid w:val="0E943199"/>
    <w:rsid w:val="0EAD0922"/>
    <w:rsid w:val="0EB75826"/>
    <w:rsid w:val="0EE37416"/>
    <w:rsid w:val="0EE6229D"/>
    <w:rsid w:val="0F1D1B2D"/>
    <w:rsid w:val="0FE443F8"/>
    <w:rsid w:val="107B4D5D"/>
    <w:rsid w:val="10CD3604"/>
    <w:rsid w:val="10EB474A"/>
    <w:rsid w:val="10F16C99"/>
    <w:rsid w:val="110342FF"/>
    <w:rsid w:val="11586E4C"/>
    <w:rsid w:val="115D26B4"/>
    <w:rsid w:val="11A71B81"/>
    <w:rsid w:val="121D6EB6"/>
    <w:rsid w:val="123E541D"/>
    <w:rsid w:val="125515DD"/>
    <w:rsid w:val="127D2F5A"/>
    <w:rsid w:val="128275E7"/>
    <w:rsid w:val="12843C37"/>
    <w:rsid w:val="12DE5A77"/>
    <w:rsid w:val="13336E3E"/>
    <w:rsid w:val="13B90CB9"/>
    <w:rsid w:val="13BA3963"/>
    <w:rsid w:val="13E75FD4"/>
    <w:rsid w:val="13F866C4"/>
    <w:rsid w:val="146D38FB"/>
    <w:rsid w:val="146D70B2"/>
    <w:rsid w:val="14932DB9"/>
    <w:rsid w:val="14CA62B3"/>
    <w:rsid w:val="14EF3F6B"/>
    <w:rsid w:val="163065E9"/>
    <w:rsid w:val="165A171A"/>
    <w:rsid w:val="165C6DCA"/>
    <w:rsid w:val="1719707D"/>
    <w:rsid w:val="172D46D4"/>
    <w:rsid w:val="17362443"/>
    <w:rsid w:val="17622181"/>
    <w:rsid w:val="177E44BC"/>
    <w:rsid w:val="181F06C4"/>
    <w:rsid w:val="18825528"/>
    <w:rsid w:val="191E3F2F"/>
    <w:rsid w:val="19CC3B1C"/>
    <w:rsid w:val="19CD7761"/>
    <w:rsid w:val="19D912EE"/>
    <w:rsid w:val="19F66993"/>
    <w:rsid w:val="1A0933D9"/>
    <w:rsid w:val="1A1A15A8"/>
    <w:rsid w:val="1A2E2E40"/>
    <w:rsid w:val="1B151E12"/>
    <w:rsid w:val="1B1C713C"/>
    <w:rsid w:val="1B2B711A"/>
    <w:rsid w:val="1B352404"/>
    <w:rsid w:val="1B4A6D8C"/>
    <w:rsid w:val="1B583A4F"/>
    <w:rsid w:val="1BB4734D"/>
    <w:rsid w:val="1C5E26D8"/>
    <w:rsid w:val="1CBF7BEB"/>
    <w:rsid w:val="1CFF6D7B"/>
    <w:rsid w:val="1D0D3CA0"/>
    <w:rsid w:val="1D3C38E1"/>
    <w:rsid w:val="1D4A5240"/>
    <w:rsid w:val="1E9E7BAF"/>
    <w:rsid w:val="1ED61CF8"/>
    <w:rsid w:val="1F0100D1"/>
    <w:rsid w:val="1F3A4035"/>
    <w:rsid w:val="1F3F164B"/>
    <w:rsid w:val="1F43262E"/>
    <w:rsid w:val="1F5124A3"/>
    <w:rsid w:val="1F586FE5"/>
    <w:rsid w:val="1F80495E"/>
    <w:rsid w:val="1FCE5634"/>
    <w:rsid w:val="1FD91AA0"/>
    <w:rsid w:val="203931EC"/>
    <w:rsid w:val="20450EE3"/>
    <w:rsid w:val="20652803"/>
    <w:rsid w:val="207D242B"/>
    <w:rsid w:val="208539D6"/>
    <w:rsid w:val="20B117BA"/>
    <w:rsid w:val="210F67FD"/>
    <w:rsid w:val="211238C5"/>
    <w:rsid w:val="21817CF9"/>
    <w:rsid w:val="2197751D"/>
    <w:rsid w:val="21B8372A"/>
    <w:rsid w:val="21E62252"/>
    <w:rsid w:val="21FA7BC8"/>
    <w:rsid w:val="220F79FB"/>
    <w:rsid w:val="224F4AB9"/>
    <w:rsid w:val="226C044A"/>
    <w:rsid w:val="22BC3C5C"/>
    <w:rsid w:val="22E12559"/>
    <w:rsid w:val="22F664C5"/>
    <w:rsid w:val="22FD7853"/>
    <w:rsid w:val="231F1167"/>
    <w:rsid w:val="234B4A63"/>
    <w:rsid w:val="235C2BD4"/>
    <w:rsid w:val="23627251"/>
    <w:rsid w:val="23FF4341"/>
    <w:rsid w:val="24F353B2"/>
    <w:rsid w:val="252223C6"/>
    <w:rsid w:val="253446AE"/>
    <w:rsid w:val="2581038F"/>
    <w:rsid w:val="25B11518"/>
    <w:rsid w:val="25B86563"/>
    <w:rsid w:val="25E42F4C"/>
    <w:rsid w:val="2604714B"/>
    <w:rsid w:val="26DE174A"/>
    <w:rsid w:val="26EB012B"/>
    <w:rsid w:val="272F6449"/>
    <w:rsid w:val="27910BBC"/>
    <w:rsid w:val="27B5694E"/>
    <w:rsid w:val="28197C97"/>
    <w:rsid w:val="28AF7842"/>
    <w:rsid w:val="28E13773"/>
    <w:rsid w:val="28F03549"/>
    <w:rsid w:val="29345F99"/>
    <w:rsid w:val="2938027B"/>
    <w:rsid w:val="299C7BC6"/>
    <w:rsid w:val="29D07A70"/>
    <w:rsid w:val="29F10FDB"/>
    <w:rsid w:val="29FD282F"/>
    <w:rsid w:val="2A495030"/>
    <w:rsid w:val="2A676E5E"/>
    <w:rsid w:val="2B004385"/>
    <w:rsid w:val="2B1971F4"/>
    <w:rsid w:val="2B365FF8"/>
    <w:rsid w:val="2B3B0C8E"/>
    <w:rsid w:val="2B5B3B37"/>
    <w:rsid w:val="2B997798"/>
    <w:rsid w:val="2BF13CCD"/>
    <w:rsid w:val="2C0C17E0"/>
    <w:rsid w:val="2C155C0E"/>
    <w:rsid w:val="2C7768C8"/>
    <w:rsid w:val="2CA31F00"/>
    <w:rsid w:val="2CAD34D9"/>
    <w:rsid w:val="2CC20FAE"/>
    <w:rsid w:val="2CDF7073"/>
    <w:rsid w:val="2CF47464"/>
    <w:rsid w:val="2D7E3C87"/>
    <w:rsid w:val="2DCA2DA2"/>
    <w:rsid w:val="2E053A60"/>
    <w:rsid w:val="2EAA3A90"/>
    <w:rsid w:val="2F0D52C2"/>
    <w:rsid w:val="2F107F16"/>
    <w:rsid w:val="2F264155"/>
    <w:rsid w:val="2F3621B9"/>
    <w:rsid w:val="2FB96057"/>
    <w:rsid w:val="2FBB4416"/>
    <w:rsid w:val="2FDB37C9"/>
    <w:rsid w:val="2FFF7E37"/>
    <w:rsid w:val="305667F5"/>
    <w:rsid w:val="30A0459F"/>
    <w:rsid w:val="30AC28B9"/>
    <w:rsid w:val="30BE3DCE"/>
    <w:rsid w:val="30C44045"/>
    <w:rsid w:val="30CA4AA4"/>
    <w:rsid w:val="30DD4F61"/>
    <w:rsid w:val="30FA7AC8"/>
    <w:rsid w:val="31822DF7"/>
    <w:rsid w:val="31A072B4"/>
    <w:rsid w:val="32067091"/>
    <w:rsid w:val="326A6587"/>
    <w:rsid w:val="32FB322A"/>
    <w:rsid w:val="33456856"/>
    <w:rsid w:val="34295741"/>
    <w:rsid w:val="344B01BC"/>
    <w:rsid w:val="34580F33"/>
    <w:rsid w:val="34586FDF"/>
    <w:rsid w:val="348F06D4"/>
    <w:rsid w:val="34AE59B7"/>
    <w:rsid w:val="34B166F0"/>
    <w:rsid w:val="34E0770B"/>
    <w:rsid w:val="350D1D4E"/>
    <w:rsid w:val="3530056A"/>
    <w:rsid w:val="35315E89"/>
    <w:rsid w:val="353A77E0"/>
    <w:rsid w:val="35842515"/>
    <w:rsid w:val="361C228F"/>
    <w:rsid w:val="362F5B1E"/>
    <w:rsid w:val="36345EE6"/>
    <w:rsid w:val="3651018A"/>
    <w:rsid w:val="36681030"/>
    <w:rsid w:val="3687595A"/>
    <w:rsid w:val="369B1D40"/>
    <w:rsid w:val="369E2CA4"/>
    <w:rsid w:val="36E91C86"/>
    <w:rsid w:val="37555A58"/>
    <w:rsid w:val="37586120"/>
    <w:rsid w:val="37BC2078"/>
    <w:rsid w:val="37BF7375"/>
    <w:rsid w:val="37E56DDC"/>
    <w:rsid w:val="37F877B5"/>
    <w:rsid w:val="380E07EA"/>
    <w:rsid w:val="386C58FB"/>
    <w:rsid w:val="386D15ED"/>
    <w:rsid w:val="386E74A0"/>
    <w:rsid w:val="389F7463"/>
    <w:rsid w:val="38F83A90"/>
    <w:rsid w:val="39176F90"/>
    <w:rsid w:val="393618B9"/>
    <w:rsid w:val="398B3205"/>
    <w:rsid w:val="3A2B2AA0"/>
    <w:rsid w:val="3A5913BB"/>
    <w:rsid w:val="3A7A6CD8"/>
    <w:rsid w:val="3AB26D1E"/>
    <w:rsid w:val="3AE96BE3"/>
    <w:rsid w:val="3AF17846"/>
    <w:rsid w:val="3B6650C4"/>
    <w:rsid w:val="3BCA26A0"/>
    <w:rsid w:val="3BD66CA2"/>
    <w:rsid w:val="3C12216A"/>
    <w:rsid w:val="3C1732DC"/>
    <w:rsid w:val="3C247E8C"/>
    <w:rsid w:val="3C3A3723"/>
    <w:rsid w:val="3C942D25"/>
    <w:rsid w:val="3D5642D8"/>
    <w:rsid w:val="3D6C58AA"/>
    <w:rsid w:val="3D811C0D"/>
    <w:rsid w:val="3DB8289D"/>
    <w:rsid w:val="3E0E6961"/>
    <w:rsid w:val="3E171CB9"/>
    <w:rsid w:val="3E3B45D3"/>
    <w:rsid w:val="3E492681"/>
    <w:rsid w:val="3E6F5651"/>
    <w:rsid w:val="3EE071AB"/>
    <w:rsid w:val="3EFC193A"/>
    <w:rsid w:val="3EFF2568"/>
    <w:rsid w:val="3F19451A"/>
    <w:rsid w:val="3F60143E"/>
    <w:rsid w:val="3F631D44"/>
    <w:rsid w:val="3F747261"/>
    <w:rsid w:val="3F82769A"/>
    <w:rsid w:val="3FCC5A47"/>
    <w:rsid w:val="3FF66F6D"/>
    <w:rsid w:val="40C304AF"/>
    <w:rsid w:val="42611755"/>
    <w:rsid w:val="427C033D"/>
    <w:rsid w:val="42BF647C"/>
    <w:rsid w:val="43317379"/>
    <w:rsid w:val="433C5D1E"/>
    <w:rsid w:val="434754A7"/>
    <w:rsid w:val="43B4205F"/>
    <w:rsid w:val="43B43B06"/>
    <w:rsid w:val="43B963A7"/>
    <w:rsid w:val="43C875B2"/>
    <w:rsid w:val="44330ECF"/>
    <w:rsid w:val="44456F7B"/>
    <w:rsid w:val="44BC3620"/>
    <w:rsid w:val="453A628D"/>
    <w:rsid w:val="453E2BF0"/>
    <w:rsid w:val="45C41F63"/>
    <w:rsid w:val="45C76627"/>
    <w:rsid w:val="45E306D3"/>
    <w:rsid w:val="46526FBB"/>
    <w:rsid w:val="465D7845"/>
    <w:rsid w:val="467F70E2"/>
    <w:rsid w:val="468D2996"/>
    <w:rsid w:val="46A55988"/>
    <w:rsid w:val="46C13CE6"/>
    <w:rsid w:val="47E06B8E"/>
    <w:rsid w:val="47F765F5"/>
    <w:rsid w:val="48284861"/>
    <w:rsid w:val="49F84FFA"/>
    <w:rsid w:val="4A001853"/>
    <w:rsid w:val="4A012E2B"/>
    <w:rsid w:val="4A340100"/>
    <w:rsid w:val="4A4C6847"/>
    <w:rsid w:val="4A915202"/>
    <w:rsid w:val="4AA4587C"/>
    <w:rsid w:val="4AD77089"/>
    <w:rsid w:val="4AE83AC0"/>
    <w:rsid w:val="4B0435C5"/>
    <w:rsid w:val="4B271062"/>
    <w:rsid w:val="4B307F16"/>
    <w:rsid w:val="4B68369B"/>
    <w:rsid w:val="4BB3139E"/>
    <w:rsid w:val="4BEA27BB"/>
    <w:rsid w:val="4C402548"/>
    <w:rsid w:val="4C592CB8"/>
    <w:rsid w:val="4C5E3D85"/>
    <w:rsid w:val="4C9E5354"/>
    <w:rsid w:val="4D963478"/>
    <w:rsid w:val="4DA8648A"/>
    <w:rsid w:val="4DD16FEA"/>
    <w:rsid w:val="4DEC6CD7"/>
    <w:rsid w:val="4E233D83"/>
    <w:rsid w:val="4E89214C"/>
    <w:rsid w:val="4EB57A1E"/>
    <w:rsid w:val="4F974A08"/>
    <w:rsid w:val="4FDD44A2"/>
    <w:rsid w:val="4FF22893"/>
    <w:rsid w:val="50096F88"/>
    <w:rsid w:val="50BB6EA5"/>
    <w:rsid w:val="51082263"/>
    <w:rsid w:val="5198572E"/>
    <w:rsid w:val="5311687F"/>
    <w:rsid w:val="53170AF6"/>
    <w:rsid w:val="53574187"/>
    <w:rsid w:val="53A662DF"/>
    <w:rsid w:val="54183C3E"/>
    <w:rsid w:val="544E0F5E"/>
    <w:rsid w:val="54624EB9"/>
    <w:rsid w:val="54651927"/>
    <w:rsid w:val="54AF3253"/>
    <w:rsid w:val="55307659"/>
    <w:rsid w:val="55383F64"/>
    <w:rsid w:val="554876B4"/>
    <w:rsid w:val="5563094A"/>
    <w:rsid w:val="557A4E2A"/>
    <w:rsid w:val="55872833"/>
    <w:rsid w:val="55BC6160"/>
    <w:rsid w:val="55CC2976"/>
    <w:rsid w:val="55E0339D"/>
    <w:rsid w:val="564E6ADC"/>
    <w:rsid w:val="56701600"/>
    <w:rsid w:val="5688184B"/>
    <w:rsid w:val="56B3189A"/>
    <w:rsid w:val="56C67981"/>
    <w:rsid w:val="572405D5"/>
    <w:rsid w:val="572F455A"/>
    <w:rsid w:val="57812F2D"/>
    <w:rsid w:val="57917F8F"/>
    <w:rsid w:val="57FE7938"/>
    <w:rsid w:val="58424AB5"/>
    <w:rsid w:val="584274DB"/>
    <w:rsid w:val="58B24661"/>
    <w:rsid w:val="58D05A14"/>
    <w:rsid w:val="59044790"/>
    <w:rsid w:val="593E5EF4"/>
    <w:rsid w:val="595455B5"/>
    <w:rsid w:val="598558D1"/>
    <w:rsid w:val="598B7205"/>
    <w:rsid w:val="59BA0B35"/>
    <w:rsid w:val="59F22154"/>
    <w:rsid w:val="5A074490"/>
    <w:rsid w:val="5A4532B2"/>
    <w:rsid w:val="5A502380"/>
    <w:rsid w:val="5A7476F4"/>
    <w:rsid w:val="5A9F4FCA"/>
    <w:rsid w:val="5B0E4FB1"/>
    <w:rsid w:val="5B242B3C"/>
    <w:rsid w:val="5B5E7E0F"/>
    <w:rsid w:val="5B7756EE"/>
    <w:rsid w:val="5BC02519"/>
    <w:rsid w:val="5BC416A9"/>
    <w:rsid w:val="5BD963A8"/>
    <w:rsid w:val="5C125416"/>
    <w:rsid w:val="5C8A56BD"/>
    <w:rsid w:val="5CBA05C5"/>
    <w:rsid w:val="5CC0147B"/>
    <w:rsid w:val="5CF10E39"/>
    <w:rsid w:val="5D032A52"/>
    <w:rsid w:val="5D11008D"/>
    <w:rsid w:val="5D585499"/>
    <w:rsid w:val="5D951C9B"/>
    <w:rsid w:val="5DE15411"/>
    <w:rsid w:val="5DF14806"/>
    <w:rsid w:val="5E834211"/>
    <w:rsid w:val="5EC4727E"/>
    <w:rsid w:val="5ED30E8D"/>
    <w:rsid w:val="5EFB35C8"/>
    <w:rsid w:val="5F1E2487"/>
    <w:rsid w:val="5F2A7A3E"/>
    <w:rsid w:val="5F3E0E69"/>
    <w:rsid w:val="5F9F32CB"/>
    <w:rsid w:val="606A7EF1"/>
    <w:rsid w:val="61477D3C"/>
    <w:rsid w:val="621974FF"/>
    <w:rsid w:val="62435918"/>
    <w:rsid w:val="626D15F8"/>
    <w:rsid w:val="639F3A33"/>
    <w:rsid w:val="63A43996"/>
    <w:rsid w:val="63D70AD7"/>
    <w:rsid w:val="64080A04"/>
    <w:rsid w:val="64104931"/>
    <w:rsid w:val="646265C8"/>
    <w:rsid w:val="64713622"/>
    <w:rsid w:val="647D4DF6"/>
    <w:rsid w:val="64CE04C8"/>
    <w:rsid w:val="64E5191A"/>
    <w:rsid w:val="64E57C14"/>
    <w:rsid w:val="65053D6A"/>
    <w:rsid w:val="653E0CAA"/>
    <w:rsid w:val="657024F8"/>
    <w:rsid w:val="65962C14"/>
    <w:rsid w:val="659770B8"/>
    <w:rsid w:val="663A25AC"/>
    <w:rsid w:val="663A71E2"/>
    <w:rsid w:val="66556900"/>
    <w:rsid w:val="666B22F3"/>
    <w:rsid w:val="67161287"/>
    <w:rsid w:val="6736645D"/>
    <w:rsid w:val="674E383D"/>
    <w:rsid w:val="677F5DB7"/>
    <w:rsid w:val="67875590"/>
    <w:rsid w:val="67C036F4"/>
    <w:rsid w:val="67ED7463"/>
    <w:rsid w:val="691C67FD"/>
    <w:rsid w:val="697A3027"/>
    <w:rsid w:val="69B30239"/>
    <w:rsid w:val="6A2151A2"/>
    <w:rsid w:val="6A5C18FD"/>
    <w:rsid w:val="6A6B167A"/>
    <w:rsid w:val="6A800F11"/>
    <w:rsid w:val="6A9F7173"/>
    <w:rsid w:val="6AB75B07"/>
    <w:rsid w:val="6AD90BFC"/>
    <w:rsid w:val="6AFE7291"/>
    <w:rsid w:val="6B31686E"/>
    <w:rsid w:val="6BA936A1"/>
    <w:rsid w:val="6C203634"/>
    <w:rsid w:val="6D2E6A4B"/>
    <w:rsid w:val="6D8E7684"/>
    <w:rsid w:val="6D98038C"/>
    <w:rsid w:val="6D997745"/>
    <w:rsid w:val="6DD13669"/>
    <w:rsid w:val="6DE04C70"/>
    <w:rsid w:val="6DFE4D2A"/>
    <w:rsid w:val="6E4605F7"/>
    <w:rsid w:val="6E8C1058"/>
    <w:rsid w:val="6EAA1E8B"/>
    <w:rsid w:val="6F3829E8"/>
    <w:rsid w:val="6F593630"/>
    <w:rsid w:val="6F6D088E"/>
    <w:rsid w:val="6FDF4BE9"/>
    <w:rsid w:val="707539AD"/>
    <w:rsid w:val="708F3534"/>
    <w:rsid w:val="70CA705F"/>
    <w:rsid w:val="70D7566B"/>
    <w:rsid w:val="71325EE7"/>
    <w:rsid w:val="71474BD0"/>
    <w:rsid w:val="722241AD"/>
    <w:rsid w:val="722F7768"/>
    <w:rsid w:val="7235211D"/>
    <w:rsid w:val="72AE099A"/>
    <w:rsid w:val="72C96A62"/>
    <w:rsid w:val="72D75763"/>
    <w:rsid w:val="72F21DD2"/>
    <w:rsid w:val="73373EE4"/>
    <w:rsid w:val="73516082"/>
    <w:rsid w:val="735C324C"/>
    <w:rsid w:val="739540E3"/>
    <w:rsid w:val="742B1FE0"/>
    <w:rsid w:val="74B51309"/>
    <w:rsid w:val="750744E5"/>
    <w:rsid w:val="750E27C7"/>
    <w:rsid w:val="75164810"/>
    <w:rsid w:val="75175B20"/>
    <w:rsid w:val="753161AE"/>
    <w:rsid w:val="75A650F5"/>
    <w:rsid w:val="75DF5F11"/>
    <w:rsid w:val="75FF6AF8"/>
    <w:rsid w:val="7611755B"/>
    <w:rsid w:val="76217F91"/>
    <w:rsid w:val="763C5D0A"/>
    <w:rsid w:val="76CF6918"/>
    <w:rsid w:val="76D66D89"/>
    <w:rsid w:val="76D80CE3"/>
    <w:rsid w:val="76DD75FA"/>
    <w:rsid w:val="77027A18"/>
    <w:rsid w:val="773D0465"/>
    <w:rsid w:val="77A25D4E"/>
    <w:rsid w:val="77B27D81"/>
    <w:rsid w:val="780954C8"/>
    <w:rsid w:val="786B2585"/>
    <w:rsid w:val="78AC2A23"/>
    <w:rsid w:val="78F2573D"/>
    <w:rsid w:val="791118EB"/>
    <w:rsid w:val="79497822"/>
    <w:rsid w:val="795C76D3"/>
    <w:rsid w:val="79671759"/>
    <w:rsid w:val="797075DA"/>
    <w:rsid w:val="7A1B3C8B"/>
    <w:rsid w:val="7A232871"/>
    <w:rsid w:val="7A2B3F13"/>
    <w:rsid w:val="7A353011"/>
    <w:rsid w:val="7AA339B1"/>
    <w:rsid w:val="7AF22CF4"/>
    <w:rsid w:val="7B730265"/>
    <w:rsid w:val="7B777075"/>
    <w:rsid w:val="7B7D2454"/>
    <w:rsid w:val="7BB41C3D"/>
    <w:rsid w:val="7BDC50A2"/>
    <w:rsid w:val="7C006DBE"/>
    <w:rsid w:val="7C574A54"/>
    <w:rsid w:val="7C817420"/>
    <w:rsid w:val="7D050953"/>
    <w:rsid w:val="7D0B0461"/>
    <w:rsid w:val="7D282903"/>
    <w:rsid w:val="7D2D1D25"/>
    <w:rsid w:val="7D401A7F"/>
    <w:rsid w:val="7DE60785"/>
    <w:rsid w:val="7E015867"/>
    <w:rsid w:val="7E046E5D"/>
    <w:rsid w:val="7E753116"/>
    <w:rsid w:val="7ED22AB7"/>
    <w:rsid w:val="7F565496"/>
    <w:rsid w:val="7F827326"/>
    <w:rsid w:val="7F8E48CA"/>
    <w:rsid w:val="7FAB1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5"/>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48"/>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5">
    <w:name w:val="heading 3"/>
    <w:basedOn w:val="1"/>
    <w:next w:val="1"/>
    <w:link w:val="46"/>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6">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7"/>
    <w:qFormat/>
    <w:uiPriority w:val="0"/>
    <w:pPr>
      <w:keepNext/>
      <w:keepLines/>
      <w:spacing w:before="280" w:after="290" w:line="376" w:lineRule="auto"/>
      <w:outlineLvl w:val="4"/>
    </w:pPr>
    <w:rPr>
      <w:b/>
      <w:bCs/>
      <w:sz w:val="28"/>
      <w:szCs w:val="28"/>
    </w:rPr>
  </w:style>
  <w:style w:type="paragraph" w:styleId="8">
    <w:name w:val="heading 6"/>
    <w:basedOn w:val="7"/>
    <w:next w:val="1"/>
    <w:link w:val="5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51"/>
    <w:qFormat/>
    <w:uiPriority w:val="0"/>
    <w:pPr>
      <w:tabs>
        <w:tab w:val="left" w:pos="1800"/>
        <w:tab w:val="clear" w:pos="1440"/>
      </w:tabs>
      <w:ind w:left="1276" w:hanging="1276"/>
      <w:outlineLvl w:val="6"/>
    </w:pPr>
  </w:style>
  <w:style w:type="paragraph" w:styleId="10">
    <w:name w:val="heading 8"/>
    <w:basedOn w:val="9"/>
    <w:next w:val="1"/>
    <w:link w:val="52"/>
    <w:qFormat/>
    <w:uiPriority w:val="0"/>
    <w:pPr>
      <w:ind w:left="1418" w:hanging="1418"/>
      <w:outlineLvl w:val="7"/>
    </w:pPr>
  </w:style>
  <w:style w:type="paragraph" w:styleId="11">
    <w:name w:val="heading 9"/>
    <w:basedOn w:val="10"/>
    <w:next w:val="1"/>
    <w:link w:val="53"/>
    <w:qFormat/>
    <w:uiPriority w:val="0"/>
    <w:pPr>
      <w:tabs>
        <w:tab w:val="left" w:pos="2160"/>
        <w:tab w:val="clear" w:pos="1800"/>
      </w:tabs>
      <w:ind w:left="1559" w:hanging="1559"/>
      <w:outlineLvl w:val="8"/>
    </w:pPr>
  </w:style>
  <w:style w:type="character" w:default="1" w:styleId="35">
    <w:name w:val="Default Paragraph Font"/>
    <w:link w:val="36"/>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0"/>
    <w:pPr>
      <w:spacing w:after="120"/>
    </w:pPr>
  </w:style>
  <w:style w:type="paragraph" w:styleId="12">
    <w:name w:val="Normal Indent"/>
    <w:basedOn w:val="1"/>
    <w:link w:val="60"/>
    <w:unhideWhenUsed/>
    <w:qFormat/>
    <w:uiPriority w:val="0"/>
    <w:pPr>
      <w:ind w:firstLine="420" w:firstLineChars="200"/>
    </w:pPr>
  </w:style>
  <w:style w:type="paragraph" w:styleId="13">
    <w:name w:val="index 5"/>
    <w:basedOn w:val="1"/>
    <w:next w:val="1"/>
    <w:qFormat/>
    <w:uiPriority w:val="0"/>
    <w:pPr>
      <w:ind w:left="800" w:leftChars="800"/>
    </w:pPr>
  </w:style>
  <w:style w:type="paragraph" w:styleId="14">
    <w:name w:val="Document Map"/>
    <w:basedOn w:val="1"/>
    <w:link w:val="65"/>
    <w:qFormat/>
    <w:uiPriority w:val="0"/>
    <w:rPr>
      <w:rFonts w:ascii="宋体"/>
      <w:sz w:val="18"/>
      <w:szCs w:val="18"/>
    </w:rPr>
  </w:style>
  <w:style w:type="paragraph" w:styleId="15">
    <w:name w:val="annotation text"/>
    <w:basedOn w:val="1"/>
    <w:link w:val="63"/>
    <w:qFormat/>
    <w:uiPriority w:val="0"/>
    <w:pPr>
      <w:jc w:val="left"/>
    </w:pPr>
  </w:style>
  <w:style w:type="paragraph" w:styleId="16">
    <w:name w:val="Body Text Indent"/>
    <w:basedOn w:val="1"/>
    <w:qFormat/>
    <w:uiPriority w:val="0"/>
    <w:pPr>
      <w:ind w:firstLine="830" w:firstLineChars="352"/>
    </w:pPr>
    <w:rPr>
      <w:rFonts w:ascii="仿宋_GB2312" w:eastAsia="仿宋_GB2312"/>
      <w:sz w:val="32"/>
      <w:szCs w:val="20"/>
    </w:rPr>
  </w:style>
  <w:style w:type="paragraph" w:styleId="17">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8">
    <w:name w:val="toc 3"/>
    <w:basedOn w:val="1"/>
    <w:next w:val="1"/>
    <w:unhideWhenUsed/>
    <w:qFormat/>
    <w:uiPriority w:val="39"/>
    <w:pPr>
      <w:ind w:left="840" w:leftChars="400"/>
    </w:pPr>
  </w:style>
  <w:style w:type="paragraph" w:styleId="19">
    <w:name w:val="Plain Text"/>
    <w:basedOn w:val="1"/>
    <w:link w:val="57"/>
    <w:qFormat/>
    <w:uiPriority w:val="0"/>
    <w:rPr>
      <w:rFonts w:ascii="宋体" w:hAnsi="Courier New"/>
      <w:szCs w:val="21"/>
    </w:rPr>
  </w:style>
  <w:style w:type="paragraph" w:styleId="20">
    <w:name w:val="Date"/>
    <w:basedOn w:val="1"/>
    <w:next w:val="1"/>
    <w:qFormat/>
    <w:uiPriority w:val="0"/>
    <w:pPr>
      <w:ind w:left="100" w:leftChars="2500"/>
    </w:pPr>
    <w:rPr>
      <w:rFonts w:ascii="宋体" w:hAnsi="Courier New" w:cs="Courier New"/>
      <w:szCs w:val="21"/>
    </w:r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22"/>
      </w:tabs>
      <w:spacing w:line="440" w:lineRule="exact"/>
      <w:ind w:right="231" w:rightChars="110"/>
    </w:pPr>
    <w:rPr>
      <w:sz w:val="28"/>
    </w:rPr>
  </w:style>
  <w:style w:type="paragraph" w:styleId="25">
    <w:name w:val="footnote text"/>
    <w:basedOn w:val="1"/>
    <w:next w:val="13"/>
    <w:qFormat/>
    <w:uiPriority w:val="0"/>
    <w:pPr>
      <w:snapToGrid w:val="0"/>
      <w:jc w:val="left"/>
    </w:pPr>
    <w:rPr>
      <w:sz w:val="18"/>
    </w:rPr>
  </w:style>
  <w:style w:type="paragraph" w:styleId="26">
    <w:name w:val="Body Text Indent 3"/>
    <w:basedOn w:val="1"/>
    <w:link w:val="73"/>
    <w:semiHidden/>
    <w:unhideWhenUsed/>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next w:val="23"/>
    <w:qFormat/>
    <w:uiPriority w:val="0"/>
    <w:pPr>
      <w:widowControl/>
      <w:spacing w:before="100" w:beforeAutospacing="1" w:after="100" w:afterAutospacing="1"/>
      <w:jc w:val="left"/>
    </w:pPr>
    <w:rPr>
      <w:rFonts w:ascii="宋体" w:hAnsi="宋体"/>
      <w:kern w:val="0"/>
      <w:sz w:val="24"/>
    </w:rPr>
  </w:style>
  <w:style w:type="paragraph" w:styleId="29">
    <w:name w:val="Title"/>
    <w:basedOn w:val="4"/>
    <w:next w:val="1"/>
    <w:link w:val="44"/>
    <w:qFormat/>
    <w:uiPriority w:val="0"/>
    <w:pPr>
      <w:jc w:val="both"/>
    </w:pPr>
    <w:rPr>
      <w:rFonts w:ascii="宋体"/>
      <w:sz w:val="44"/>
    </w:rPr>
  </w:style>
  <w:style w:type="paragraph" w:styleId="30">
    <w:name w:val="annotation subject"/>
    <w:basedOn w:val="15"/>
    <w:next w:val="15"/>
    <w:link w:val="62"/>
    <w:qFormat/>
    <w:uiPriority w:val="99"/>
    <w:rPr>
      <w:rFonts w:ascii="Times New Roman" w:hAnsi="Times New Roman"/>
      <w:b/>
      <w:sz w:val="28"/>
      <w:szCs w:val="20"/>
    </w:rPr>
  </w:style>
  <w:style w:type="paragraph" w:styleId="31">
    <w:name w:val="Body Text First Indent"/>
    <w:basedOn w:val="2"/>
    <w:qFormat/>
    <w:uiPriority w:val="0"/>
    <w:pPr>
      <w:spacing w:line="360" w:lineRule="auto"/>
      <w:ind w:firstLine="200" w:firstLineChars="200"/>
    </w:pPr>
    <w:rPr>
      <w:rFonts w:ascii="仿宋_GB2312" w:eastAsia="仿宋_GB2312"/>
      <w:sz w:val="30"/>
      <w:szCs w:val="30"/>
    </w:rPr>
  </w:style>
  <w:style w:type="paragraph" w:styleId="32">
    <w:name w:val="Body Text First Indent 2"/>
    <w:basedOn w:val="16"/>
    <w:qFormat/>
    <w:uiPriority w:val="0"/>
    <w:pPr>
      <w:ind w:left="0" w:leftChars="0" w:firstLine="210"/>
    </w:pPr>
    <w:rPr>
      <w:szCs w:val="20"/>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 Char"/>
    <w:basedOn w:val="1"/>
    <w:link w:val="35"/>
    <w:qFormat/>
    <w:uiPriority w:val="0"/>
    <w:pPr>
      <w:tabs>
        <w:tab w:val="left" w:pos="432"/>
      </w:tabs>
      <w:spacing w:before="156" w:beforeLines="50" w:after="156" w:afterLines="50"/>
      <w:ind w:left="432" w:hanging="432"/>
    </w:pPr>
  </w:style>
  <w:style w:type="character" w:styleId="37">
    <w:name w:val="Strong"/>
    <w:basedOn w:val="35"/>
    <w:qFormat/>
    <w:uiPriority w:val="0"/>
    <w:rPr>
      <w:b/>
      <w:bCs/>
    </w:rPr>
  </w:style>
  <w:style w:type="character" w:styleId="38">
    <w:name w:val="page number"/>
    <w:basedOn w:val="35"/>
    <w:qFormat/>
    <w:uiPriority w:val="0"/>
  </w:style>
  <w:style w:type="character" w:styleId="39">
    <w:name w:val="Hyperlink"/>
    <w:qFormat/>
    <w:uiPriority w:val="99"/>
    <w:rPr>
      <w:color w:val="0000FF"/>
      <w:u w:val="single"/>
    </w:rPr>
  </w:style>
  <w:style w:type="character" w:styleId="40">
    <w:name w:val="annotation reference"/>
    <w:basedOn w:val="35"/>
    <w:unhideWhenUsed/>
    <w:qFormat/>
    <w:uiPriority w:val="0"/>
    <w:rPr>
      <w:sz w:val="21"/>
      <w:szCs w:val="21"/>
    </w:rPr>
  </w:style>
  <w:style w:type="character" w:styleId="41">
    <w:name w:val="HTML Sample"/>
    <w:basedOn w:val="35"/>
    <w:qFormat/>
    <w:uiPriority w:val="0"/>
    <w:rPr>
      <w:rFonts w:ascii="Courier New" w:hAnsi="Courier New"/>
    </w:rPr>
  </w:style>
  <w:style w:type="paragraph" w:customStyle="1" w:styleId="42">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3">
    <w:name w:val="case31"/>
    <w:qFormat/>
    <w:uiPriority w:val="0"/>
    <w:rPr>
      <w:rFonts w:hint="default"/>
      <w:spacing w:val="390"/>
      <w:sz w:val="21"/>
      <w:szCs w:val="21"/>
    </w:rPr>
  </w:style>
  <w:style w:type="character" w:customStyle="1" w:styleId="44">
    <w:name w:val="标题 Char"/>
    <w:link w:val="29"/>
    <w:qFormat/>
    <w:uiPriority w:val="0"/>
    <w:rPr>
      <w:rFonts w:ascii="宋体" w:hAnsiTheme="majorEastAsia" w:eastAsiaTheme="majorEastAsia"/>
      <w:b/>
      <w:kern w:val="2"/>
      <w:sz w:val="44"/>
      <w:szCs w:val="28"/>
    </w:rPr>
  </w:style>
  <w:style w:type="character" w:customStyle="1" w:styleId="45">
    <w:name w:val="标题 1 Char"/>
    <w:link w:val="3"/>
    <w:qFormat/>
    <w:uiPriority w:val="9"/>
    <w:rPr>
      <w:rFonts w:ascii="Calibri" w:hAnsi="Calibri"/>
      <w:b/>
      <w:bCs/>
      <w:kern w:val="44"/>
      <w:sz w:val="44"/>
      <w:szCs w:val="44"/>
    </w:rPr>
  </w:style>
  <w:style w:type="character" w:customStyle="1" w:styleId="46">
    <w:name w:val="标题 3 Char"/>
    <w:link w:val="5"/>
    <w:qFormat/>
    <w:uiPriority w:val="0"/>
    <w:rPr>
      <w:rFonts w:ascii="仿宋_GB2312" w:hAnsi="宋体" w:eastAsiaTheme="minorEastAsia"/>
      <w:b/>
      <w:kern w:val="2"/>
      <w:sz w:val="32"/>
      <w:szCs w:val="32"/>
    </w:rPr>
  </w:style>
  <w:style w:type="character" w:customStyle="1" w:styleId="47">
    <w:name w:val="标题 5 Char"/>
    <w:link w:val="7"/>
    <w:qFormat/>
    <w:uiPriority w:val="0"/>
    <w:rPr>
      <w:rFonts w:ascii="Calibri" w:hAnsi="Calibri"/>
      <w:b/>
      <w:bCs/>
      <w:kern w:val="2"/>
      <w:sz w:val="28"/>
      <w:szCs w:val="28"/>
    </w:rPr>
  </w:style>
  <w:style w:type="character" w:customStyle="1" w:styleId="48">
    <w:name w:val="标题 2 Char"/>
    <w:link w:val="4"/>
    <w:qFormat/>
    <w:uiPriority w:val="0"/>
    <w:rPr>
      <w:rFonts w:asciiTheme="majorEastAsia" w:hAnsiTheme="majorEastAsia" w:eastAsiaTheme="majorEastAsia"/>
      <w:b/>
      <w:kern w:val="2"/>
      <w:sz w:val="32"/>
      <w:szCs w:val="28"/>
    </w:rPr>
  </w:style>
  <w:style w:type="character" w:customStyle="1" w:styleId="49">
    <w:name w:val="标题 4 Char"/>
    <w:link w:val="6"/>
    <w:qFormat/>
    <w:uiPriority w:val="0"/>
    <w:rPr>
      <w:rFonts w:ascii="Arial" w:hAnsi="Arial" w:eastAsia="黑体"/>
      <w:b/>
      <w:bCs/>
      <w:kern w:val="2"/>
      <w:sz w:val="28"/>
      <w:szCs w:val="28"/>
    </w:rPr>
  </w:style>
  <w:style w:type="character" w:customStyle="1" w:styleId="50">
    <w:name w:val="标题 6 Char"/>
    <w:link w:val="8"/>
    <w:qFormat/>
    <w:uiPriority w:val="0"/>
    <w:rPr>
      <w:b/>
      <w:bCs/>
      <w:kern w:val="2"/>
      <w:sz w:val="30"/>
      <w:szCs w:val="18"/>
    </w:rPr>
  </w:style>
  <w:style w:type="character" w:customStyle="1" w:styleId="51">
    <w:name w:val="标题 7 Char"/>
    <w:link w:val="9"/>
    <w:qFormat/>
    <w:uiPriority w:val="0"/>
    <w:rPr>
      <w:b/>
      <w:bCs/>
      <w:kern w:val="2"/>
      <w:sz w:val="30"/>
      <w:szCs w:val="18"/>
    </w:rPr>
  </w:style>
  <w:style w:type="character" w:customStyle="1" w:styleId="52">
    <w:name w:val="标题 8 Char"/>
    <w:link w:val="10"/>
    <w:qFormat/>
    <w:uiPriority w:val="0"/>
    <w:rPr>
      <w:b/>
      <w:bCs/>
      <w:kern w:val="2"/>
      <w:sz w:val="30"/>
      <w:szCs w:val="18"/>
    </w:rPr>
  </w:style>
  <w:style w:type="character" w:customStyle="1" w:styleId="53">
    <w:name w:val="标题 9 Char"/>
    <w:link w:val="11"/>
    <w:qFormat/>
    <w:uiPriority w:val="0"/>
    <w:rPr>
      <w:b/>
      <w:bCs/>
      <w:kern w:val="2"/>
      <w:sz w:val="30"/>
      <w:szCs w:val="18"/>
    </w:rPr>
  </w:style>
  <w:style w:type="paragraph" w:customStyle="1" w:styleId="54">
    <w:name w:val="列出段落1"/>
    <w:basedOn w:val="1"/>
    <w:qFormat/>
    <w:uiPriority w:val="34"/>
    <w:pPr>
      <w:ind w:firstLine="420" w:firstLineChars="200"/>
    </w:pPr>
  </w:style>
  <w:style w:type="paragraph" w:customStyle="1" w:styleId="55">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6">
    <w:name w:val="页眉 Char"/>
    <w:link w:val="23"/>
    <w:qFormat/>
    <w:uiPriority w:val="99"/>
    <w:rPr>
      <w:rFonts w:ascii="Calibri" w:hAnsi="Calibri" w:eastAsia="宋体" w:cs="Times New Roman"/>
      <w:kern w:val="2"/>
      <w:sz w:val="18"/>
      <w:szCs w:val="18"/>
    </w:rPr>
  </w:style>
  <w:style w:type="character" w:customStyle="1" w:styleId="57">
    <w:name w:val="纯文本 Char"/>
    <w:link w:val="19"/>
    <w:qFormat/>
    <w:locked/>
    <w:uiPriority w:val="0"/>
    <w:rPr>
      <w:rFonts w:ascii="宋体" w:hAnsi="Courier New" w:eastAsia="宋体" w:cs="Courier New"/>
      <w:kern w:val="2"/>
      <w:sz w:val="21"/>
      <w:szCs w:val="21"/>
    </w:rPr>
  </w:style>
  <w:style w:type="paragraph" w:customStyle="1" w:styleId="58">
    <w:name w:val="需求样式"/>
    <w:basedOn w:val="3"/>
    <w:link w:val="59"/>
    <w:qFormat/>
    <w:uiPriority w:val="0"/>
    <w:pPr>
      <w:spacing w:before="120" w:after="120" w:line="360" w:lineRule="auto"/>
      <w:ind w:left="425" w:hanging="425"/>
    </w:pPr>
    <w:rPr>
      <w:rFonts w:ascii="Times New Roman" w:hAnsi="Times New Roman"/>
      <w:sz w:val="32"/>
      <w:szCs w:val="28"/>
    </w:rPr>
  </w:style>
  <w:style w:type="character" w:customStyle="1" w:styleId="59">
    <w:name w:val="需求样式 Char"/>
    <w:link w:val="58"/>
    <w:qFormat/>
    <w:uiPriority w:val="0"/>
    <w:rPr>
      <w:b/>
      <w:bCs/>
      <w:kern w:val="44"/>
      <w:sz w:val="32"/>
      <w:szCs w:val="28"/>
    </w:rPr>
  </w:style>
  <w:style w:type="character" w:customStyle="1" w:styleId="60">
    <w:name w:val="正文缩进 Char"/>
    <w:link w:val="12"/>
    <w:qFormat/>
    <w:uiPriority w:val="0"/>
    <w:rPr>
      <w:rFonts w:ascii="Calibri" w:hAnsi="Calibri" w:eastAsia="宋体"/>
      <w:kern w:val="2"/>
      <w:sz w:val="21"/>
      <w:szCs w:val="22"/>
      <w:lang w:val="en-US" w:eastAsia="zh-CN" w:bidi="ar-SA"/>
    </w:rPr>
  </w:style>
  <w:style w:type="character" w:customStyle="1" w:styleId="61">
    <w:name w:val="普通文字 Char Char2"/>
    <w:qFormat/>
    <w:uiPriority w:val="0"/>
    <w:rPr>
      <w:rFonts w:ascii="宋体" w:hAnsi="Courier New" w:cs="Courier New"/>
      <w:kern w:val="2"/>
      <w:sz w:val="21"/>
      <w:szCs w:val="21"/>
    </w:rPr>
  </w:style>
  <w:style w:type="character" w:customStyle="1" w:styleId="62">
    <w:name w:val="批注主题 Char"/>
    <w:link w:val="30"/>
    <w:qFormat/>
    <w:uiPriority w:val="99"/>
    <w:rPr>
      <w:b/>
      <w:kern w:val="2"/>
      <w:sz w:val="28"/>
    </w:rPr>
  </w:style>
  <w:style w:type="character" w:customStyle="1" w:styleId="63">
    <w:name w:val="批注文字 Char"/>
    <w:basedOn w:val="35"/>
    <w:link w:val="15"/>
    <w:qFormat/>
    <w:uiPriority w:val="0"/>
    <w:rPr>
      <w:rFonts w:ascii="Calibri" w:hAnsi="Calibri"/>
      <w:kern w:val="2"/>
      <w:sz w:val="21"/>
      <w:szCs w:val="22"/>
    </w:rPr>
  </w:style>
  <w:style w:type="character" w:customStyle="1" w:styleId="64">
    <w:name w:val="批注主题 Char1"/>
    <w:basedOn w:val="63"/>
    <w:qFormat/>
    <w:uiPriority w:val="0"/>
    <w:rPr>
      <w:rFonts w:ascii="Calibri" w:hAnsi="Calibri"/>
      <w:b/>
      <w:bCs/>
      <w:kern w:val="2"/>
      <w:sz w:val="21"/>
      <w:szCs w:val="22"/>
    </w:rPr>
  </w:style>
  <w:style w:type="character" w:customStyle="1" w:styleId="65">
    <w:name w:val="文档结构图 Char"/>
    <w:basedOn w:val="35"/>
    <w:link w:val="14"/>
    <w:qFormat/>
    <w:uiPriority w:val="0"/>
    <w:rPr>
      <w:rFonts w:ascii="宋体" w:hAnsi="Calibri"/>
      <w:kern w:val="2"/>
      <w:sz w:val="18"/>
      <w:szCs w:val="18"/>
    </w:rPr>
  </w:style>
  <w:style w:type="paragraph" w:customStyle="1" w:styleId="66">
    <w:name w:val="修订1"/>
    <w:hidden/>
    <w:semiHidden/>
    <w:qFormat/>
    <w:uiPriority w:val="99"/>
    <w:rPr>
      <w:rFonts w:ascii="Calibri" w:hAnsi="Calibri" w:eastAsia="宋体" w:cs="Times New Roman"/>
      <w:kern w:val="2"/>
      <w:sz w:val="21"/>
      <w:szCs w:val="22"/>
      <w:lang w:val="en-US" w:eastAsia="zh-CN" w:bidi="ar-SA"/>
    </w:rPr>
  </w:style>
  <w:style w:type="paragraph" w:customStyle="1" w:styleId="6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paragraph" w:customStyle="1" w:styleId="7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1">
    <w:name w:val="List Paragraph"/>
    <w:basedOn w:val="1"/>
    <w:unhideWhenUsed/>
    <w:qFormat/>
    <w:uiPriority w:val="99"/>
    <w:pPr>
      <w:ind w:firstLine="420" w:firstLineChars="200"/>
    </w:pPr>
  </w:style>
  <w:style w:type="paragraph" w:customStyle="1" w:styleId="72">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3">
    <w:name w:val="正文文本缩进 3 Char"/>
    <w:basedOn w:val="35"/>
    <w:link w:val="26"/>
    <w:semiHidden/>
    <w:qFormat/>
    <w:uiPriority w:val="0"/>
    <w:rPr>
      <w:rFonts w:ascii="Calibri" w:hAnsi="Calibri"/>
      <w:kern w:val="2"/>
      <w:sz w:val="16"/>
      <w:szCs w:val="16"/>
    </w:rPr>
  </w:style>
  <w:style w:type="paragraph" w:customStyle="1" w:styleId="7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6">
    <w:name w:val="font21"/>
    <w:qFormat/>
    <w:uiPriority w:val="0"/>
    <w:rPr>
      <w:rFonts w:ascii="Arial" w:hAnsi="Arial" w:cs="Arial"/>
      <w:color w:val="FF0000"/>
      <w:sz w:val="20"/>
      <w:szCs w:val="20"/>
      <w:u w:val="none"/>
    </w:rPr>
  </w:style>
  <w:style w:type="character" w:customStyle="1" w:styleId="77">
    <w:name w:val="font31"/>
    <w:qFormat/>
    <w:uiPriority w:val="0"/>
    <w:rPr>
      <w:rFonts w:hint="eastAsia" w:ascii="宋体" w:hAnsi="宋体" w:eastAsia="宋体" w:cs="宋体"/>
      <w:color w:val="FF0000"/>
      <w:sz w:val="20"/>
      <w:szCs w:val="20"/>
      <w:u w:val="none"/>
    </w:rPr>
  </w:style>
  <w:style w:type="character" w:customStyle="1" w:styleId="78">
    <w:name w:val="font01"/>
    <w:qFormat/>
    <w:uiPriority w:val="0"/>
    <w:rPr>
      <w:rFonts w:hint="eastAsia" w:ascii="宋体" w:hAnsi="宋体" w:eastAsia="宋体" w:cs="宋体"/>
      <w:color w:val="FF0000"/>
      <w:sz w:val="20"/>
      <w:szCs w:val="20"/>
      <w:u w:val="single"/>
    </w:rPr>
  </w:style>
  <w:style w:type="character" w:customStyle="1" w:styleId="79">
    <w:name w:val="font11"/>
    <w:qFormat/>
    <w:uiPriority w:val="0"/>
    <w:rPr>
      <w:rFonts w:hint="default" w:ascii="Arial" w:hAnsi="Arial" w:cs="Arial"/>
      <w:color w:val="FF0000"/>
      <w:sz w:val="20"/>
      <w:szCs w:val="20"/>
      <w:u w:val="single"/>
    </w:rPr>
  </w:style>
  <w:style w:type="paragraph" w:styleId="80">
    <w:name w:val="No Spacing"/>
    <w:basedOn w:val="1"/>
    <w:qFormat/>
    <w:uiPriority w:val="1"/>
    <w:pPr>
      <w:widowControl w:val="0"/>
      <w:jc w:val="both"/>
    </w:pPr>
    <w:rPr>
      <w:kern w:val="2"/>
      <w:sz w:val="21"/>
      <w:szCs w:val="24"/>
      <w:lang w:val="en-US" w:eastAsia="zh-CN" w:bidi="ar-SA"/>
    </w:rPr>
  </w:style>
  <w:style w:type="paragraph" w:customStyle="1" w:styleId="81">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2">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3">
    <w:name w:val="标题 3_0_0"/>
    <w:basedOn w:val="84"/>
    <w:next w:val="8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4">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5">
    <w:name w:val="正文文本缩进_1"/>
    <w:basedOn w:val="86"/>
    <w:qFormat/>
    <w:uiPriority w:val="0"/>
    <w:pPr>
      <w:spacing w:line="500" w:lineRule="exact"/>
      <w:ind w:left="1588" w:leftChars="832" w:firstLine="433" w:firstLineChars="196"/>
    </w:pPr>
    <w:rPr>
      <w:kern w:val="0"/>
      <w:sz w:val="24"/>
    </w:rPr>
  </w:style>
  <w:style w:type="paragraph" w:customStyle="1" w:styleId="86">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正文文本缩进_2"/>
    <w:basedOn w:val="88"/>
    <w:qFormat/>
    <w:uiPriority w:val="0"/>
    <w:pPr>
      <w:spacing w:line="500" w:lineRule="exact"/>
      <w:ind w:left="1588" w:leftChars="832" w:firstLine="433" w:firstLineChars="196"/>
    </w:pPr>
    <w:rPr>
      <w:kern w:val="0"/>
      <w:sz w:val="24"/>
    </w:rPr>
  </w:style>
  <w:style w:type="paragraph" w:customStyle="1" w:styleId="88">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Normal_11"/>
    <w:qFormat/>
    <w:uiPriority w:val="0"/>
    <w:rPr>
      <w:rFonts w:ascii="黑体" w:hAnsi="黑体" w:eastAsia="黑体" w:cs="Times New Roman"/>
      <w:b/>
      <w:sz w:val="32"/>
      <w:szCs w:val="24"/>
      <w:lang w:bidi="ar-SA"/>
    </w:rPr>
  </w:style>
  <w:style w:type="paragraph" w:customStyle="1" w:styleId="90">
    <w:name w:val="正文文本_1"/>
    <w:basedOn w:val="91"/>
    <w:qFormat/>
    <w:uiPriority w:val="0"/>
    <w:pPr>
      <w:spacing w:after="120"/>
    </w:pPr>
    <w:rPr>
      <w:kern w:val="0"/>
      <w:sz w:val="20"/>
    </w:rPr>
  </w:style>
  <w:style w:type="paragraph" w:customStyle="1" w:styleId="91">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纯文本1"/>
    <w:basedOn w:val="1"/>
    <w:qFormat/>
    <w:uiPriority w:val="0"/>
    <w:rPr>
      <w:rFonts w:ascii="宋体" w:hAnsi="Courier New" w:eastAsia="宋体" w:cs="Times New Roman"/>
      <w:szCs w:val="22"/>
    </w:rPr>
  </w:style>
  <w:style w:type="character" w:customStyle="1" w:styleId="93">
    <w:name w:val="font61"/>
    <w:basedOn w:val="35"/>
    <w:qFormat/>
    <w:uiPriority w:val="0"/>
    <w:rPr>
      <w:rFonts w:hint="eastAsia" w:ascii="仿宋" w:hAnsi="仿宋" w:eastAsia="仿宋" w:cs="仿宋"/>
      <w:color w:val="000000"/>
      <w:sz w:val="16"/>
      <w:szCs w:val="16"/>
      <w:u w:val="none"/>
    </w:rPr>
  </w:style>
  <w:style w:type="paragraph" w:customStyle="1" w:styleId="94">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95">
    <w:name w:val="font51"/>
    <w:basedOn w:val="35"/>
    <w:qFormat/>
    <w:uiPriority w:val="0"/>
    <w:rPr>
      <w:rFonts w:hint="eastAsia" w:ascii="微软雅黑" w:hAnsi="微软雅黑" w:eastAsia="微软雅黑" w:cs="微软雅黑"/>
      <w:color w:val="auto"/>
      <w:sz w:val="16"/>
      <w:szCs w:val="16"/>
      <w:u w:val="none"/>
    </w:rPr>
  </w:style>
  <w:style w:type="character" w:customStyle="1" w:styleId="9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3999</Words>
  <Characters>22796</Characters>
  <Lines>189</Lines>
  <Paragraphs>53</Paragraphs>
  <TotalTime>2</TotalTime>
  <ScaleCrop>false</ScaleCrop>
  <LinksUpToDate>false</LinksUpToDate>
  <CharactersWithSpaces>26742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biu</cp:lastModifiedBy>
  <cp:lastPrinted>2018-11-20T03:43:00Z</cp:lastPrinted>
  <dcterms:modified xsi:type="dcterms:W3CDTF">2021-12-08T12:04:55Z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0AC2AB20E19D4E639FB60F1A2B142910</vt:lpwstr>
  </property>
</Properties>
</file>