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400" w:lineRule="atLeast"/>
        <w:jc w:val="center"/>
        <w:rPr>
          <w:rFonts w:hint="eastAsia" w:asciiTheme="minorEastAsia" w:hAnsiTheme="minorEastAsia" w:eastAsiaTheme="minorEastAsia" w:cstheme="minorEastAsia"/>
          <w:b w:val="0"/>
          <w:bCs/>
          <w:color w:val="auto"/>
          <w:sz w:val="44"/>
          <w:szCs w:val="44"/>
          <w:highlight w:val="none"/>
          <w:lang w:val="en-US" w:eastAsia="zh-CN"/>
        </w:rPr>
      </w:pPr>
    </w:p>
    <w:p>
      <w:pPr>
        <w:pStyle w:val="15"/>
        <w:spacing w:line="400" w:lineRule="atLeast"/>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val="0"/>
          <w:bCs/>
          <w:color w:val="auto"/>
          <w:sz w:val="48"/>
          <w:szCs w:val="48"/>
          <w:highlight w:val="none"/>
          <w:lang w:val="en-US" w:eastAsia="zh-CN"/>
        </w:rPr>
        <w:t>伊犁哈萨克自治州卫生健康委员会应急值守综合楼项目一标段</w:t>
      </w:r>
    </w:p>
    <w:p>
      <w:pPr>
        <w:pStyle w:val="15"/>
        <w:spacing w:line="400" w:lineRule="atLeast"/>
        <w:jc w:val="center"/>
        <w:rPr>
          <w:rFonts w:hint="eastAsia" w:asciiTheme="minorEastAsia" w:hAnsiTheme="minorEastAsia" w:eastAsiaTheme="minorEastAsia" w:cstheme="minorEastAsia"/>
          <w:b/>
          <w:color w:val="auto"/>
          <w:sz w:val="24"/>
          <w:szCs w:val="24"/>
          <w:highlight w:val="none"/>
        </w:rPr>
      </w:pPr>
    </w:p>
    <w:p>
      <w:pPr>
        <w:pStyle w:val="15"/>
        <w:spacing w:line="400" w:lineRule="atLeast"/>
        <w:jc w:val="center"/>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磋  商  文  件</w:t>
      </w:r>
    </w:p>
    <w:p>
      <w:pPr>
        <w:pStyle w:val="15"/>
        <w:spacing w:line="400" w:lineRule="atLeast"/>
        <w:jc w:val="both"/>
        <w:rPr>
          <w:rFonts w:hint="eastAsia" w:asciiTheme="minorEastAsia" w:hAnsiTheme="minorEastAsia" w:eastAsiaTheme="minorEastAsia" w:cstheme="minorEastAsia"/>
          <w:b/>
          <w:color w:val="auto"/>
          <w:sz w:val="24"/>
          <w:szCs w:val="24"/>
          <w:highlight w:val="none"/>
        </w:rPr>
      </w:pPr>
    </w:p>
    <w:p>
      <w:pPr>
        <w:pStyle w:val="15"/>
        <w:spacing w:line="400" w:lineRule="atLeast"/>
        <w:jc w:val="center"/>
        <w:rPr>
          <w:rFonts w:hint="default" w:ascii="黑体" w:hAnsi="黑体" w:eastAsia="黑体" w:cs="黑体"/>
          <w:b/>
          <w:color w:val="auto"/>
          <w:sz w:val="32"/>
          <w:szCs w:val="32"/>
          <w:highlight w:val="none"/>
          <w:lang w:val="en-US" w:eastAsia="zh-CN"/>
        </w:rPr>
      </w:pPr>
      <w:r>
        <w:rPr>
          <w:rFonts w:hint="eastAsia" w:ascii="黑体" w:hAnsi="黑体" w:eastAsia="黑体" w:cs="黑体"/>
          <w:b/>
          <w:color w:val="auto"/>
          <w:sz w:val="32"/>
          <w:szCs w:val="32"/>
          <w:highlight w:val="none"/>
        </w:rPr>
        <w:t>项目编号：</w:t>
      </w:r>
      <w:r>
        <w:rPr>
          <w:rFonts w:hint="eastAsia" w:ascii="黑体" w:hAnsi="黑体" w:eastAsia="黑体" w:cs="黑体"/>
          <w:b/>
          <w:color w:val="auto"/>
          <w:sz w:val="32"/>
          <w:szCs w:val="32"/>
          <w:highlight w:val="none"/>
          <w:lang w:val="en-US" w:eastAsia="zh-CN"/>
        </w:rPr>
        <w:t>XJJB-2021-116</w:t>
      </w:r>
    </w:p>
    <w:p>
      <w:pPr>
        <w:pStyle w:val="15"/>
        <w:spacing w:line="400" w:lineRule="atLeast"/>
        <w:rPr>
          <w:rFonts w:hint="eastAsia" w:asciiTheme="minorEastAsia" w:hAnsiTheme="minorEastAsia" w:eastAsiaTheme="minorEastAsia" w:cstheme="minorEastAsia"/>
          <w:b/>
          <w:color w:val="auto"/>
          <w:sz w:val="52"/>
          <w:highlight w:val="none"/>
        </w:rPr>
      </w:pPr>
    </w:p>
    <w:p>
      <w:pPr>
        <w:pStyle w:val="15"/>
        <w:spacing w:line="400" w:lineRule="atLeast"/>
        <w:rPr>
          <w:rFonts w:hint="eastAsia" w:asciiTheme="minorEastAsia" w:hAnsiTheme="minorEastAsia" w:eastAsiaTheme="minorEastAsia" w:cstheme="minorEastAsia"/>
          <w:b/>
          <w:color w:val="auto"/>
          <w:sz w:val="52"/>
          <w:highlight w:val="none"/>
        </w:rPr>
      </w:pPr>
    </w:p>
    <w:p>
      <w:pPr>
        <w:pStyle w:val="15"/>
        <w:spacing w:line="400" w:lineRule="atLeast"/>
        <w:rPr>
          <w:rFonts w:hint="eastAsia" w:asciiTheme="minorEastAsia" w:hAnsiTheme="minorEastAsia" w:eastAsiaTheme="minorEastAsia" w:cstheme="minorEastAsia"/>
          <w:b/>
          <w:color w:val="auto"/>
          <w:sz w:val="52"/>
          <w:highlight w:val="none"/>
        </w:rPr>
      </w:pPr>
    </w:p>
    <w:p>
      <w:pPr>
        <w:autoSpaceDE w:val="0"/>
        <w:autoSpaceDN w:val="0"/>
        <w:adjustRightInd w:val="0"/>
        <w:spacing w:line="480" w:lineRule="auto"/>
        <w:ind w:firstLine="602" w:firstLineChars="200"/>
        <w:rPr>
          <w:rFonts w:hint="eastAsia" w:asciiTheme="minorEastAsia" w:hAnsiTheme="minorEastAsia" w:eastAsiaTheme="minorEastAsia" w:cstheme="minorEastAsia"/>
          <w:b/>
          <w:bCs/>
          <w:color w:val="auto"/>
          <w:sz w:val="30"/>
          <w:szCs w:val="30"/>
          <w:highlight w:val="none"/>
          <w:lang w:val="en-US" w:eastAsia="zh-CN"/>
        </w:rPr>
      </w:pPr>
      <w:r>
        <w:rPr>
          <w:rFonts w:hint="eastAsia" w:ascii="宋体" w:hAnsi="宋体"/>
          <w:b/>
          <w:kern w:val="0"/>
          <w:sz w:val="30"/>
          <w:szCs w:val="30"/>
        </w:rPr>
        <w:t>招标人</w:t>
      </w:r>
      <w:r>
        <w:rPr>
          <w:rFonts w:hint="eastAsia" w:ascii="宋体" w:hAnsi="宋体"/>
          <w:b/>
          <w:kern w:val="0"/>
          <w:sz w:val="30"/>
          <w:szCs w:val="30"/>
          <w:lang w:eastAsia="zh-CN"/>
        </w:rPr>
        <w:t>（盖章）</w:t>
      </w:r>
      <w:r>
        <w:rPr>
          <w:rFonts w:hint="eastAsia" w:ascii="宋体" w:hAnsi="宋体"/>
          <w:b/>
          <w:kern w:val="0"/>
          <w:sz w:val="30"/>
          <w:szCs w:val="30"/>
        </w:rPr>
        <w:t>：</w:t>
      </w:r>
      <w:r>
        <w:rPr>
          <w:rFonts w:hint="eastAsia" w:asciiTheme="minorEastAsia" w:hAnsiTheme="minorEastAsia" w:eastAsiaTheme="minorEastAsia" w:cstheme="minorEastAsia"/>
          <w:b/>
          <w:bCs/>
          <w:color w:val="auto"/>
          <w:sz w:val="30"/>
          <w:szCs w:val="30"/>
          <w:highlight w:val="none"/>
          <w:lang w:val="en-US" w:eastAsia="zh-CN"/>
        </w:rPr>
        <w:t>伊犁哈萨克自治州卫生健康委员会</w:t>
      </w:r>
    </w:p>
    <w:p>
      <w:pPr>
        <w:autoSpaceDE w:val="0"/>
        <w:autoSpaceDN w:val="0"/>
        <w:adjustRightInd w:val="0"/>
        <w:spacing w:line="480" w:lineRule="auto"/>
        <w:ind w:firstLine="602" w:firstLineChars="20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 xml:space="preserve">联系人：张雪梅  </w:t>
      </w:r>
    </w:p>
    <w:p>
      <w:pPr>
        <w:autoSpaceDE w:val="0"/>
        <w:autoSpaceDN w:val="0"/>
        <w:adjustRightInd w:val="0"/>
        <w:spacing w:line="480" w:lineRule="auto"/>
        <w:ind w:firstLine="602" w:firstLineChars="20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联系电话：0999-8221970</w:t>
      </w:r>
    </w:p>
    <w:p>
      <w:pPr>
        <w:tabs>
          <w:tab w:val="left" w:pos="786"/>
        </w:tabs>
        <w:autoSpaceDE w:val="0"/>
        <w:autoSpaceDN w:val="0"/>
        <w:adjustRightInd w:val="0"/>
        <w:spacing w:line="480" w:lineRule="auto"/>
        <w:ind w:left="596" w:leftChars="284" w:firstLine="0" w:firstLineChars="0"/>
        <w:jc w:val="left"/>
        <w:rPr>
          <w:rFonts w:hint="eastAsia" w:ascii="宋体" w:hAnsi="宋体" w:eastAsia="宋体"/>
          <w:b/>
          <w:kern w:val="0"/>
          <w:sz w:val="30"/>
          <w:szCs w:val="30"/>
          <w:u w:val="single" w:color="auto"/>
          <w:lang w:val="en-US" w:eastAsia="zh-CN"/>
        </w:rPr>
      </w:pPr>
      <w:r>
        <w:rPr>
          <w:rFonts w:hint="eastAsia" w:ascii="宋体" w:hAnsi="宋体"/>
          <w:b/>
          <w:kern w:val="0"/>
          <w:sz w:val="30"/>
          <w:szCs w:val="30"/>
          <w:u w:val="single" w:color="auto"/>
          <w:lang w:val="en-US" w:eastAsia="zh-CN"/>
        </w:rPr>
        <w:t xml:space="preserve">                                                 </w:t>
      </w:r>
      <w:r>
        <w:rPr>
          <w:rFonts w:hint="eastAsia" w:ascii="宋体" w:hAnsi="宋体" w:cs="Times New Roman"/>
          <w:b/>
          <w:bCs/>
          <w:kern w:val="0"/>
          <w:sz w:val="30"/>
          <w:szCs w:val="30"/>
          <w:lang w:val="en-US" w:eastAsia="zh-CN"/>
        </w:rPr>
        <w:t>              </w:t>
      </w:r>
    </w:p>
    <w:p>
      <w:pPr>
        <w:autoSpaceDE w:val="0"/>
        <w:autoSpaceDN w:val="0"/>
        <w:adjustRightInd w:val="0"/>
        <w:spacing w:line="480" w:lineRule="auto"/>
        <w:ind w:firstLine="602" w:firstLineChars="200"/>
        <w:rPr>
          <w:rFonts w:hint="eastAsia" w:ascii="宋体" w:hAnsi="宋体" w:eastAsia="宋体" w:cs="宋体"/>
          <w:i w:val="0"/>
          <w:caps w:val="0"/>
          <w:color w:val="000000"/>
          <w:spacing w:val="0"/>
          <w:sz w:val="21"/>
          <w:szCs w:val="21"/>
          <w:lang w:eastAsia="zh-CN"/>
        </w:rPr>
      </w:pPr>
      <w:r>
        <w:rPr>
          <w:rFonts w:hint="eastAsia" w:ascii="宋体" w:hAnsi="宋体"/>
          <w:b/>
          <w:kern w:val="0"/>
          <w:sz w:val="30"/>
          <w:szCs w:val="30"/>
          <w:lang w:eastAsia="zh-CN"/>
        </w:rPr>
        <w:t>招标</w:t>
      </w:r>
      <w:r>
        <w:rPr>
          <w:rFonts w:hint="eastAsia" w:ascii="宋体" w:hAnsi="宋体"/>
          <w:b/>
          <w:kern w:val="0"/>
          <w:sz w:val="30"/>
          <w:szCs w:val="30"/>
        </w:rPr>
        <w:t>代理机构（盖章）：</w:t>
      </w:r>
      <w:r>
        <w:rPr>
          <w:rFonts w:hint="eastAsia" w:ascii="宋体" w:hAnsi="宋体"/>
          <w:b/>
          <w:kern w:val="0"/>
          <w:sz w:val="30"/>
          <w:szCs w:val="30"/>
          <w:lang w:eastAsia="zh-CN"/>
        </w:rPr>
        <w:t>新疆金斌工程项目管理有限公司</w:t>
      </w:r>
    </w:p>
    <w:p>
      <w:pPr>
        <w:autoSpaceDE w:val="0"/>
        <w:autoSpaceDN w:val="0"/>
        <w:adjustRightInd w:val="0"/>
        <w:spacing w:line="480" w:lineRule="auto"/>
        <w:ind w:firstLine="602" w:firstLineChars="200"/>
        <w:rPr>
          <w:rFonts w:hint="eastAsia" w:ascii="宋体" w:hAnsi="宋体" w:eastAsiaTheme="minorEastAsia"/>
          <w:b/>
          <w:bCs/>
          <w:kern w:val="0"/>
          <w:sz w:val="30"/>
          <w:szCs w:val="30"/>
          <w:lang w:val="en-US" w:eastAsia="zh-CN"/>
        </w:rPr>
      </w:pPr>
      <w:r>
        <w:rPr>
          <w:rFonts w:hint="eastAsia" w:ascii="宋体" w:hAnsi="宋体"/>
          <w:b/>
          <w:bCs/>
          <w:kern w:val="0"/>
          <w:sz w:val="30"/>
          <w:szCs w:val="30"/>
        </w:rPr>
        <w:t>联系人：</w:t>
      </w:r>
      <w:r>
        <w:rPr>
          <w:rFonts w:hint="eastAsia" w:ascii="宋体" w:hAnsi="宋体"/>
          <w:b/>
          <w:bCs/>
          <w:kern w:val="0"/>
          <w:sz w:val="30"/>
          <w:szCs w:val="30"/>
          <w:lang w:eastAsia="zh-CN"/>
        </w:rPr>
        <w:t>王琳</w:t>
      </w:r>
    </w:p>
    <w:p>
      <w:pPr>
        <w:autoSpaceDE w:val="0"/>
        <w:autoSpaceDN w:val="0"/>
        <w:adjustRightInd w:val="0"/>
        <w:spacing w:line="480" w:lineRule="auto"/>
        <w:ind w:firstLine="602" w:firstLineChars="200"/>
        <w:rPr>
          <w:lang w:val="en-US" w:eastAsia="zh-CN"/>
        </w:rPr>
      </w:pPr>
      <w:r>
        <w:rPr>
          <w:rFonts w:hint="eastAsia" w:ascii="宋体" w:hAnsi="宋体"/>
          <w:b/>
          <w:kern w:val="0"/>
          <w:sz w:val="30"/>
          <w:szCs w:val="30"/>
        </w:rPr>
        <w:t>联系电话</w:t>
      </w:r>
      <w:r>
        <w:rPr>
          <w:rFonts w:hint="eastAsia" w:ascii="宋体" w:hAnsi="宋体"/>
          <w:b/>
          <w:bCs/>
          <w:kern w:val="0"/>
          <w:sz w:val="30"/>
          <w:szCs w:val="30"/>
        </w:rPr>
        <w:t>：</w:t>
      </w:r>
      <w:r>
        <w:rPr>
          <w:rFonts w:hint="eastAsia" w:ascii="宋体" w:hAnsi="宋体"/>
          <w:b/>
          <w:bCs/>
          <w:kern w:val="0"/>
          <w:sz w:val="30"/>
          <w:szCs w:val="30"/>
          <w:lang w:val="en-US" w:eastAsia="zh-CN"/>
        </w:rPr>
        <w:t>18699935081</w:t>
      </w:r>
    </w:p>
    <w:p>
      <w:pPr>
        <w:bidi w:val="0"/>
        <w:rPr>
          <w:lang w:val="en-US" w:eastAsia="zh-CN"/>
        </w:rPr>
      </w:pPr>
    </w:p>
    <w:p>
      <w:pPr>
        <w:pStyle w:val="15"/>
        <w:spacing w:line="400" w:lineRule="atLeast"/>
        <w:jc w:val="center"/>
        <w:rPr>
          <w:rFonts w:hint="eastAsia"/>
          <w:lang w:val="en-US" w:eastAsia="zh-CN"/>
        </w:rPr>
      </w:pPr>
      <w:r>
        <w:rPr>
          <w:rFonts w:hint="eastAsia"/>
          <w:lang w:val="en-US" w:eastAsia="zh-CN"/>
        </w:rPr>
        <w:tab/>
      </w:r>
      <w:r>
        <w:rPr>
          <w:rFonts w:hint="eastAsia"/>
          <w:lang w:val="en-US" w:eastAsia="zh-CN"/>
        </w:rPr>
        <w:t xml:space="preserve"> </w:t>
      </w:r>
    </w:p>
    <w:p>
      <w:pPr>
        <w:pStyle w:val="15"/>
        <w:spacing w:line="400" w:lineRule="atLeast"/>
        <w:jc w:val="center"/>
        <w:rPr>
          <w:rFonts w:hint="eastAsia" w:asciiTheme="minorEastAsia" w:hAnsiTheme="minorEastAsia" w:eastAsiaTheme="minorEastAsia" w:cstheme="minorEastAsia"/>
          <w:b/>
          <w:color w:val="auto"/>
          <w:sz w:val="36"/>
          <w:highlight w:val="none"/>
          <w:lang w:eastAsia="zh-CN"/>
        </w:rPr>
      </w:pPr>
      <w:r>
        <w:rPr>
          <w:rFonts w:hint="eastAsia" w:eastAsiaTheme="minorEastAsia"/>
          <w:b/>
          <w:bCs/>
          <w:sz w:val="28"/>
          <w:szCs w:val="21"/>
          <w:lang w:eastAsia="zh-CN"/>
        </w:rPr>
        <w:t>2021年</w:t>
      </w:r>
      <w:r>
        <w:rPr>
          <w:rFonts w:hint="eastAsia" w:eastAsiaTheme="minorEastAsia"/>
          <w:b/>
          <w:bCs/>
          <w:sz w:val="28"/>
          <w:szCs w:val="21"/>
          <w:lang w:val="en-US" w:eastAsia="zh-CN"/>
        </w:rPr>
        <w:t>12</w:t>
      </w:r>
      <w:r>
        <w:rPr>
          <w:rFonts w:hint="eastAsia" w:eastAsiaTheme="minorEastAsia"/>
          <w:b/>
          <w:bCs/>
          <w:sz w:val="28"/>
          <w:szCs w:val="21"/>
          <w:lang w:eastAsia="zh-CN"/>
        </w:rPr>
        <w:t>月</w:t>
      </w:r>
    </w:p>
    <w:sdt>
      <w:sdtPr>
        <w:rPr>
          <w:rFonts w:ascii="宋体" w:hAnsi="宋体" w:eastAsia="宋体" w:cs="Times New Roman"/>
          <w:kern w:val="2"/>
          <w:sz w:val="44"/>
          <w:szCs w:val="40"/>
          <w:lang w:val="en-US" w:eastAsia="zh-CN" w:bidi="ar-SA"/>
        </w:rPr>
        <w:id w:val="147461076"/>
        <w15:color w:val="DBDBDB"/>
        <w:docPartObj>
          <w:docPartGallery w:val="Table of Contents"/>
          <w:docPartUnique/>
        </w:docPartObj>
      </w:sdtPr>
      <w:sdtEndPr>
        <w:rPr>
          <w:rFonts w:ascii="宋体" w:hAnsi="宋体" w:eastAsia="宋体" w:cs="Times New Roman"/>
          <w:kern w:val="2"/>
          <w:sz w:val="44"/>
          <w:szCs w:val="40"/>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44"/>
              <w:szCs w:val="40"/>
              <w:lang w:val="en-US" w:eastAsia="zh-CN" w:bidi="ar-SA"/>
            </w:rPr>
          </w:pPr>
        </w:p>
        <w:p>
          <w:pPr>
            <w:spacing w:before="0" w:beforeLines="0" w:after="0" w:afterLines="0" w:line="240" w:lineRule="auto"/>
            <w:ind w:left="0" w:leftChars="0" w:right="0" w:rightChars="0" w:firstLine="0" w:firstLineChars="0"/>
            <w:jc w:val="center"/>
            <w:rPr>
              <w:sz w:val="44"/>
              <w:szCs w:val="40"/>
            </w:rPr>
          </w:pPr>
          <w:r>
            <w:rPr>
              <w:rFonts w:ascii="宋体" w:hAnsi="宋体" w:eastAsia="宋体"/>
              <w:sz w:val="44"/>
              <w:szCs w:val="40"/>
            </w:rPr>
            <w:t>目</w:t>
          </w:r>
          <w:r>
            <w:rPr>
              <w:rFonts w:hint="eastAsia" w:ascii="宋体" w:hAnsi="宋体" w:eastAsia="宋体"/>
              <w:sz w:val="44"/>
              <w:szCs w:val="40"/>
              <w:lang w:val="en-US" w:eastAsia="zh-CN"/>
            </w:rPr>
            <w:t xml:space="preserve"> </w:t>
          </w:r>
          <w:r>
            <w:rPr>
              <w:rFonts w:ascii="宋体" w:hAnsi="宋体" w:eastAsia="宋体"/>
              <w:sz w:val="44"/>
              <w:szCs w:val="40"/>
            </w:rPr>
            <w:t>录</w:t>
          </w:r>
        </w:p>
        <w:p>
          <w:pPr>
            <w:pStyle w:val="44"/>
            <w:tabs>
              <w:tab w:val="right" w:leader="dot" w:pos="8312"/>
            </w:tabs>
            <w:spacing w:line="720" w:lineRule="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_Toc32378 </w:instrText>
          </w:r>
          <w:r>
            <w:rPr>
              <w:sz w:val="28"/>
              <w:szCs w:val="28"/>
            </w:rPr>
            <w:fldChar w:fldCharType="separate"/>
          </w:r>
          <w:r>
            <w:rPr>
              <w:rFonts w:hint="eastAsia" w:asciiTheme="minorEastAsia" w:hAnsiTheme="minorEastAsia" w:eastAsiaTheme="minorEastAsia" w:cstheme="minorEastAsia"/>
              <w:sz w:val="28"/>
              <w:szCs w:val="48"/>
              <w:lang w:eastAsia="zh-CN"/>
            </w:rPr>
            <w:t xml:space="preserve">第一部分 </w:t>
          </w:r>
          <w:r>
            <w:rPr>
              <w:rFonts w:hint="eastAsia" w:asciiTheme="minorEastAsia" w:hAnsiTheme="minorEastAsia" w:eastAsiaTheme="minorEastAsia" w:cstheme="minorEastAsia"/>
              <w:sz w:val="28"/>
              <w:szCs w:val="48"/>
              <w:highlight w:val="none"/>
              <w:lang w:eastAsia="zh-CN"/>
            </w:rPr>
            <w:t>竞争性磋商公告</w:t>
          </w:r>
          <w:r>
            <w:rPr>
              <w:sz w:val="28"/>
              <w:szCs w:val="28"/>
            </w:rPr>
            <w:tab/>
          </w:r>
          <w:r>
            <w:rPr>
              <w:sz w:val="28"/>
              <w:szCs w:val="28"/>
            </w:rPr>
            <w:fldChar w:fldCharType="begin"/>
          </w:r>
          <w:r>
            <w:rPr>
              <w:sz w:val="28"/>
              <w:szCs w:val="28"/>
            </w:rPr>
            <w:instrText xml:space="preserve"> PAGEREF _Toc32378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44"/>
            <w:tabs>
              <w:tab w:val="right" w:leader="dot" w:pos="8312"/>
            </w:tabs>
            <w:spacing w:line="720" w:lineRule="auto"/>
            <w:rPr>
              <w:sz w:val="28"/>
              <w:szCs w:val="28"/>
            </w:rPr>
          </w:pPr>
          <w:r>
            <w:rPr>
              <w:sz w:val="28"/>
              <w:szCs w:val="28"/>
            </w:rPr>
            <w:fldChar w:fldCharType="begin"/>
          </w:r>
          <w:r>
            <w:rPr>
              <w:sz w:val="28"/>
              <w:szCs w:val="28"/>
            </w:rPr>
            <w:instrText xml:space="preserve"> HYPERLINK \l _Toc26947 </w:instrText>
          </w:r>
          <w:r>
            <w:rPr>
              <w:sz w:val="28"/>
              <w:szCs w:val="28"/>
            </w:rPr>
            <w:fldChar w:fldCharType="separate"/>
          </w:r>
          <w:r>
            <w:rPr>
              <w:rFonts w:hint="eastAsia" w:asciiTheme="minorEastAsia" w:hAnsiTheme="minorEastAsia" w:eastAsiaTheme="minorEastAsia" w:cstheme="minorEastAsia"/>
              <w:sz w:val="28"/>
              <w:szCs w:val="48"/>
              <w:highlight w:val="none"/>
            </w:rPr>
            <w:t>第二部分  供应商须知</w:t>
          </w:r>
          <w:r>
            <w:rPr>
              <w:sz w:val="28"/>
              <w:szCs w:val="28"/>
            </w:rPr>
            <w:tab/>
          </w:r>
          <w:r>
            <w:rPr>
              <w:sz w:val="28"/>
              <w:szCs w:val="28"/>
            </w:rPr>
            <w:fldChar w:fldCharType="begin"/>
          </w:r>
          <w:r>
            <w:rPr>
              <w:sz w:val="28"/>
              <w:szCs w:val="28"/>
            </w:rPr>
            <w:instrText xml:space="preserve"> PAGEREF _Toc26947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44"/>
            <w:tabs>
              <w:tab w:val="right" w:leader="dot" w:pos="8312"/>
            </w:tabs>
            <w:spacing w:line="720" w:lineRule="auto"/>
            <w:rPr>
              <w:sz w:val="28"/>
              <w:szCs w:val="28"/>
            </w:rPr>
          </w:pPr>
          <w:r>
            <w:rPr>
              <w:sz w:val="28"/>
              <w:szCs w:val="28"/>
            </w:rPr>
            <w:fldChar w:fldCharType="begin"/>
          </w:r>
          <w:r>
            <w:rPr>
              <w:sz w:val="28"/>
              <w:szCs w:val="28"/>
            </w:rPr>
            <w:instrText xml:space="preserve"> HYPERLINK \l _Toc27930 </w:instrText>
          </w:r>
          <w:r>
            <w:rPr>
              <w:sz w:val="28"/>
              <w:szCs w:val="28"/>
            </w:rPr>
            <w:fldChar w:fldCharType="separate"/>
          </w:r>
          <w:r>
            <w:rPr>
              <w:rFonts w:hint="eastAsia" w:asciiTheme="minorEastAsia" w:hAnsiTheme="minorEastAsia" w:eastAsiaTheme="minorEastAsia" w:cstheme="minorEastAsia"/>
              <w:sz w:val="28"/>
              <w:szCs w:val="48"/>
              <w:highlight w:val="none"/>
            </w:rPr>
            <w:t>第三部分  技术要求</w:t>
          </w:r>
          <w:r>
            <w:rPr>
              <w:sz w:val="28"/>
              <w:szCs w:val="28"/>
            </w:rPr>
            <w:tab/>
          </w:r>
          <w:r>
            <w:rPr>
              <w:sz w:val="28"/>
              <w:szCs w:val="28"/>
            </w:rPr>
            <w:fldChar w:fldCharType="begin"/>
          </w:r>
          <w:r>
            <w:rPr>
              <w:sz w:val="28"/>
              <w:szCs w:val="28"/>
            </w:rPr>
            <w:instrText xml:space="preserve"> PAGEREF _Toc27930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44"/>
            <w:tabs>
              <w:tab w:val="right" w:leader="dot" w:pos="8312"/>
            </w:tabs>
            <w:spacing w:line="720" w:lineRule="auto"/>
            <w:rPr>
              <w:sz w:val="28"/>
              <w:szCs w:val="28"/>
            </w:rPr>
          </w:pPr>
          <w:r>
            <w:rPr>
              <w:sz w:val="28"/>
              <w:szCs w:val="28"/>
            </w:rPr>
            <w:fldChar w:fldCharType="begin"/>
          </w:r>
          <w:r>
            <w:rPr>
              <w:sz w:val="28"/>
              <w:szCs w:val="28"/>
            </w:rPr>
            <w:instrText xml:space="preserve"> HYPERLINK \l _Toc10298 </w:instrText>
          </w:r>
          <w:r>
            <w:rPr>
              <w:sz w:val="28"/>
              <w:szCs w:val="28"/>
            </w:rPr>
            <w:fldChar w:fldCharType="separate"/>
          </w:r>
          <w:r>
            <w:rPr>
              <w:rFonts w:hint="eastAsia" w:asciiTheme="minorEastAsia" w:hAnsiTheme="minorEastAsia" w:eastAsiaTheme="minorEastAsia" w:cstheme="minorEastAsia"/>
              <w:sz w:val="28"/>
              <w:szCs w:val="48"/>
              <w:highlight w:val="none"/>
            </w:rPr>
            <w:t xml:space="preserve">第四部分  </w:t>
          </w:r>
          <w:r>
            <w:rPr>
              <w:rFonts w:hint="eastAsia" w:asciiTheme="minorEastAsia" w:hAnsiTheme="minorEastAsia" w:eastAsiaTheme="minorEastAsia" w:cstheme="minorEastAsia"/>
              <w:bCs/>
              <w:sz w:val="28"/>
              <w:szCs w:val="48"/>
              <w:highlight w:val="none"/>
            </w:rPr>
            <w:t>合同条款及格式</w:t>
          </w:r>
          <w:r>
            <w:rPr>
              <w:sz w:val="28"/>
              <w:szCs w:val="28"/>
            </w:rPr>
            <w:tab/>
          </w:r>
          <w:r>
            <w:rPr>
              <w:sz w:val="28"/>
              <w:szCs w:val="28"/>
            </w:rPr>
            <w:fldChar w:fldCharType="begin"/>
          </w:r>
          <w:r>
            <w:rPr>
              <w:sz w:val="28"/>
              <w:szCs w:val="28"/>
            </w:rPr>
            <w:instrText xml:space="preserve"> PAGEREF _Toc10298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44"/>
            <w:tabs>
              <w:tab w:val="right" w:leader="dot" w:pos="8312"/>
            </w:tabs>
            <w:spacing w:line="720" w:lineRule="auto"/>
            <w:rPr>
              <w:sz w:val="28"/>
              <w:szCs w:val="28"/>
            </w:rPr>
          </w:pPr>
          <w:r>
            <w:rPr>
              <w:sz w:val="28"/>
              <w:szCs w:val="28"/>
            </w:rPr>
            <w:fldChar w:fldCharType="begin"/>
          </w:r>
          <w:r>
            <w:rPr>
              <w:sz w:val="28"/>
              <w:szCs w:val="28"/>
            </w:rPr>
            <w:instrText xml:space="preserve"> HYPERLINK \l _Toc10698 </w:instrText>
          </w:r>
          <w:r>
            <w:rPr>
              <w:sz w:val="28"/>
              <w:szCs w:val="28"/>
            </w:rPr>
            <w:fldChar w:fldCharType="separate"/>
          </w:r>
          <w:r>
            <w:rPr>
              <w:rFonts w:hint="eastAsia" w:asciiTheme="minorEastAsia" w:hAnsiTheme="minorEastAsia" w:eastAsiaTheme="minorEastAsia" w:cstheme="minorEastAsia"/>
              <w:sz w:val="28"/>
              <w:szCs w:val="48"/>
              <w:highlight w:val="none"/>
            </w:rPr>
            <w:t>第五部分　</w:t>
          </w:r>
          <w:r>
            <w:rPr>
              <w:rFonts w:hint="eastAsia" w:asciiTheme="minorEastAsia" w:hAnsiTheme="minorEastAsia" w:eastAsiaTheme="minorEastAsia" w:cstheme="minorEastAsia"/>
              <w:sz w:val="28"/>
              <w:szCs w:val="48"/>
              <w:highlight w:val="none"/>
              <w:lang w:val="zh-CN"/>
            </w:rPr>
            <w:t>响应文件格式</w:t>
          </w:r>
          <w:r>
            <w:rPr>
              <w:sz w:val="28"/>
              <w:szCs w:val="28"/>
            </w:rPr>
            <w:tab/>
          </w:r>
          <w:r>
            <w:rPr>
              <w:sz w:val="28"/>
              <w:szCs w:val="28"/>
            </w:rPr>
            <w:fldChar w:fldCharType="begin"/>
          </w:r>
          <w:r>
            <w:rPr>
              <w:sz w:val="28"/>
              <w:szCs w:val="28"/>
            </w:rPr>
            <w:instrText xml:space="preserve"> PAGEREF _Toc10698 </w:instrText>
          </w:r>
          <w:r>
            <w:rPr>
              <w:sz w:val="28"/>
              <w:szCs w:val="28"/>
            </w:rPr>
            <w:fldChar w:fldCharType="separate"/>
          </w:r>
          <w:r>
            <w:rPr>
              <w:sz w:val="28"/>
              <w:szCs w:val="28"/>
            </w:rPr>
            <w:t>133</w:t>
          </w:r>
          <w:r>
            <w:rPr>
              <w:sz w:val="28"/>
              <w:szCs w:val="28"/>
            </w:rPr>
            <w:fldChar w:fldCharType="end"/>
          </w:r>
          <w:r>
            <w:rPr>
              <w:sz w:val="28"/>
              <w:szCs w:val="28"/>
            </w:rPr>
            <w:fldChar w:fldCharType="end"/>
          </w:r>
        </w:p>
        <w:p>
          <w:pPr>
            <w:pStyle w:val="44"/>
            <w:tabs>
              <w:tab w:val="right" w:leader="dot" w:pos="8312"/>
            </w:tabs>
            <w:spacing w:line="720" w:lineRule="auto"/>
          </w:pPr>
          <w:r>
            <w:rPr>
              <w:sz w:val="28"/>
              <w:szCs w:val="28"/>
            </w:rPr>
            <w:fldChar w:fldCharType="begin"/>
          </w:r>
          <w:r>
            <w:rPr>
              <w:sz w:val="28"/>
              <w:szCs w:val="28"/>
            </w:rPr>
            <w:instrText xml:space="preserve"> HYPERLINK \l _Toc18867 </w:instrText>
          </w:r>
          <w:r>
            <w:rPr>
              <w:sz w:val="28"/>
              <w:szCs w:val="28"/>
            </w:rPr>
            <w:fldChar w:fldCharType="separate"/>
          </w:r>
          <w:r>
            <w:rPr>
              <w:rFonts w:hint="eastAsia" w:asciiTheme="minorEastAsia" w:hAnsiTheme="minorEastAsia" w:eastAsiaTheme="minorEastAsia" w:cstheme="minorEastAsia"/>
              <w:bCs/>
              <w:sz w:val="28"/>
              <w:szCs w:val="48"/>
              <w:highlight w:val="none"/>
            </w:rPr>
            <w:t>第六</w:t>
          </w:r>
          <w:r>
            <w:rPr>
              <w:rFonts w:hint="eastAsia" w:asciiTheme="minorEastAsia" w:hAnsiTheme="minorEastAsia" w:eastAsiaTheme="minorEastAsia" w:cstheme="minorEastAsia"/>
              <w:bCs/>
              <w:sz w:val="28"/>
              <w:szCs w:val="48"/>
              <w:highlight w:val="none"/>
              <w:lang w:val="en-US" w:eastAsia="zh-CN"/>
            </w:rPr>
            <w:t>部分</w:t>
          </w:r>
          <w:r>
            <w:rPr>
              <w:rFonts w:hint="eastAsia" w:asciiTheme="minorEastAsia" w:hAnsiTheme="minorEastAsia" w:eastAsiaTheme="minorEastAsia" w:cstheme="minorEastAsia"/>
              <w:bCs/>
              <w:sz w:val="28"/>
              <w:szCs w:val="48"/>
              <w:highlight w:val="none"/>
            </w:rPr>
            <w:t xml:space="preserve">  补充条款</w:t>
          </w:r>
          <w:r>
            <w:rPr>
              <w:sz w:val="28"/>
              <w:szCs w:val="28"/>
            </w:rPr>
            <w:tab/>
          </w:r>
          <w:r>
            <w:rPr>
              <w:sz w:val="28"/>
              <w:szCs w:val="28"/>
            </w:rPr>
            <w:fldChar w:fldCharType="begin"/>
          </w:r>
          <w:r>
            <w:rPr>
              <w:sz w:val="28"/>
              <w:szCs w:val="28"/>
            </w:rPr>
            <w:instrText xml:space="preserve"> PAGEREF _Toc18867 </w:instrText>
          </w:r>
          <w:r>
            <w:rPr>
              <w:sz w:val="28"/>
              <w:szCs w:val="28"/>
            </w:rPr>
            <w:fldChar w:fldCharType="separate"/>
          </w:r>
          <w:r>
            <w:rPr>
              <w:sz w:val="28"/>
              <w:szCs w:val="28"/>
            </w:rPr>
            <w:t>155</w:t>
          </w:r>
          <w:r>
            <w:rPr>
              <w:sz w:val="28"/>
              <w:szCs w:val="28"/>
            </w:rPr>
            <w:fldChar w:fldCharType="end"/>
          </w:r>
          <w:r>
            <w:rPr>
              <w:sz w:val="28"/>
              <w:szCs w:val="28"/>
            </w:rPr>
            <w:fldChar w:fldCharType="end"/>
          </w:r>
        </w:p>
        <w:p>
          <w:pPr>
            <w:pStyle w:val="44"/>
            <w:tabs>
              <w:tab w:val="right" w:leader="dot" w:pos="8312"/>
            </w:tabs>
            <w:spacing w:line="720" w:lineRule="auto"/>
            <w:rPr>
              <w:rFonts w:hint="eastAsia" w:asciiTheme="minorEastAsia" w:hAnsiTheme="minorEastAsia" w:eastAsiaTheme="minorEastAsia" w:cstheme="minorEastAsia"/>
              <w:bCs/>
              <w:sz w:val="28"/>
              <w:szCs w:val="48"/>
              <w:highlight w:val="none"/>
            </w:rPr>
          </w:pPr>
          <w:r>
            <w:rPr>
              <w:rFonts w:hint="eastAsia" w:asciiTheme="minorEastAsia" w:hAnsiTheme="minorEastAsia" w:eastAsiaTheme="minorEastAsia" w:cstheme="minorEastAsia"/>
              <w:bCs/>
              <w:sz w:val="28"/>
              <w:szCs w:val="48"/>
              <w:highlight w:val="none"/>
            </w:rPr>
            <w:fldChar w:fldCharType="begin"/>
          </w:r>
          <w:r>
            <w:rPr>
              <w:rFonts w:hint="eastAsia" w:asciiTheme="minorEastAsia" w:hAnsiTheme="minorEastAsia" w:eastAsiaTheme="minorEastAsia" w:cstheme="minorEastAsia"/>
              <w:bCs/>
              <w:sz w:val="28"/>
              <w:szCs w:val="48"/>
              <w:highlight w:val="none"/>
            </w:rPr>
            <w:instrText xml:space="preserve"> HYPERLINK \l _Toc2744 </w:instrText>
          </w:r>
          <w:r>
            <w:rPr>
              <w:rFonts w:hint="eastAsia" w:asciiTheme="minorEastAsia" w:hAnsiTheme="minorEastAsia" w:eastAsiaTheme="minorEastAsia" w:cstheme="minorEastAsia"/>
              <w:bCs/>
              <w:sz w:val="28"/>
              <w:szCs w:val="48"/>
              <w:highlight w:val="none"/>
            </w:rPr>
            <w:fldChar w:fldCharType="separate"/>
          </w:r>
          <w:r>
            <w:rPr>
              <w:rFonts w:hint="eastAsia" w:asciiTheme="minorEastAsia" w:hAnsiTheme="minorEastAsia" w:eastAsiaTheme="minorEastAsia" w:cstheme="minorEastAsia"/>
              <w:bCs/>
              <w:sz w:val="28"/>
              <w:szCs w:val="48"/>
              <w:highlight w:val="none"/>
            </w:rPr>
            <w:t>附件1：</w:t>
          </w:r>
          <w:r>
            <w:rPr>
              <w:rFonts w:hint="eastAsia" w:asciiTheme="minorEastAsia" w:hAnsiTheme="minorEastAsia" w:eastAsiaTheme="minorEastAsia" w:cstheme="minorEastAsia"/>
              <w:bCs/>
              <w:sz w:val="28"/>
              <w:szCs w:val="48"/>
              <w:highlight w:val="none"/>
            </w:rPr>
            <w:tab/>
          </w:r>
          <w:r>
            <w:rPr>
              <w:rFonts w:hint="eastAsia" w:asciiTheme="minorEastAsia" w:hAnsiTheme="minorEastAsia" w:eastAsiaTheme="minorEastAsia" w:cstheme="minorEastAsia"/>
              <w:bCs/>
              <w:sz w:val="28"/>
              <w:szCs w:val="48"/>
              <w:highlight w:val="none"/>
            </w:rPr>
            <w:fldChar w:fldCharType="begin"/>
          </w:r>
          <w:r>
            <w:rPr>
              <w:rFonts w:hint="eastAsia" w:asciiTheme="minorEastAsia" w:hAnsiTheme="minorEastAsia" w:eastAsiaTheme="minorEastAsia" w:cstheme="minorEastAsia"/>
              <w:bCs/>
              <w:sz w:val="28"/>
              <w:szCs w:val="48"/>
              <w:highlight w:val="none"/>
            </w:rPr>
            <w:instrText xml:space="preserve"> PAGEREF _Toc2744 </w:instrText>
          </w:r>
          <w:r>
            <w:rPr>
              <w:rFonts w:hint="eastAsia" w:asciiTheme="minorEastAsia" w:hAnsiTheme="minorEastAsia" w:eastAsiaTheme="minorEastAsia" w:cstheme="minorEastAsia"/>
              <w:bCs/>
              <w:sz w:val="28"/>
              <w:szCs w:val="48"/>
              <w:highlight w:val="none"/>
            </w:rPr>
            <w:fldChar w:fldCharType="separate"/>
          </w:r>
          <w:r>
            <w:rPr>
              <w:rFonts w:hint="eastAsia" w:asciiTheme="minorEastAsia" w:hAnsiTheme="minorEastAsia" w:eastAsiaTheme="minorEastAsia" w:cstheme="minorEastAsia"/>
              <w:bCs/>
              <w:sz w:val="28"/>
              <w:szCs w:val="48"/>
              <w:highlight w:val="none"/>
            </w:rPr>
            <w:t>155</w:t>
          </w:r>
          <w:r>
            <w:rPr>
              <w:rFonts w:hint="eastAsia" w:asciiTheme="minorEastAsia" w:hAnsiTheme="minorEastAsia" w:eastAsiaTheme="minorEastAsia" w:cstheme="minorEastAsia"/>
              <w:bCs/>
              <w:sz w:val="28"/>
              <w:szCs w:val="48"/>
              <w:highlight w:val="none"/>
            </w:rPr>
            <w:fldChar w:fldCharType="end"/>
          </w:r>
          <w:r>
            <w:rPr>
              <w:rFonts w:hint="eastAsia" w:asciiTheme="minorEastAsia" w:hAnsiTheme="minorEastAsia" w:eastAsiaTheme="minorEastAsia" w:cstheme="minorEastAsia"/>
              <w:bCs/>
              <w:sz w:val="28"/>
              <w:szCs w:val="48"/>
              <w:highlight w:val="none"/>
            </w:rPr>
            <w:fldChar w:fldCharType="end"/>
          </w:r>
        </w:p>
        <w:p>
          <w:pPr>
            <w:pStyle w:val="44"/>
            <w:tabs>
              <w:tab w:val="right" w:leader="dot" w:pos="8312"/>
            </w:tabs>
            <w:spacing w:line="720" w:lineRule="auto"/>
            <w:rPr>
              <w:rFonts w:hint="eastAsia" w:asciiTheme="minorEastAsia" w:hAnsiTheme="minorEastAsia" w:eastAsiaTheme="minorEastAsia" w:cstheme="minorEastAsia"/>
              <w:bCs/>
              <w:sz w:val="28"/>
              <w:szCs w:val="48"/>
              <w:highlight w:val="none"/>
            </w:rPr>
          </w:pPr>
          <w:r>
            <w:rPr>
              <w:rFonts w:hint="eastAsia" w:asciiTheme="minorEastAsia" w:hAnsiTheme="minorEastAsia" w:eastAsiaTheme="minorEastAsia" w:cstheme="minorEastAsia"/>
              <w:bCs/>
              <w:sz w:val="28"/>
              <w:szCs w:val="48"/>
              <w:highlight w:val="none"/>
            </w:rPr>
            <w:fldChar w:fldCharType="begin"/>
          </w:r>
          <w:r>
            <w:rPr>
              <w:rFonts w:hint="eastAsia" w:asciiTheme="minorEastAsia" w:hAnsiTheme="minorEastAsia" w:eastAsiaTheme="minorEastAsia" w:cstheme="minorEastAsia"/>
              <w:bCs/>
              <w:sz w:val="28"/>
              <w:szCs w:val="48"/>
              <w:highlight w:val="none"/>
            </w:rPr>
            <w:instrText xml:space="preserve"> HYPERLINK \l _Toc31890 </w:instrText>
          </w:r>
          <w:r>
            <w:rPr>
              <w:rFonts w:hint="eastAsia" w:asciiTheme="minorEastAsia" w:hAnsiTheme="minorEastAsia" w:eastAsiaTheme="minorEastAsia" w:cstheme="minorEastAsia"/>
              <w:bCs/>
              <w:sz w:val="28"/>
              <w:szCs w:val="48"/>
              <w:highlight w:val="none"/>
            </w:rPr>
            <w:fldChar w:fldCharType="separate"/>
          </w:r>
          <w:r>
            <w:rPr>
              <w:rFonts w:hint="eastAsia" w:asciiTheme="minorEastAsia" w:hAnsiTheme="minorEastAsia" w:eastAsiaTheme="minorEastAsia" w:cstheme="minorEastAsia"/>
              <w:bCs/>
              <w:sz w:val="28"/>
              <w:szCs w:val="48"/>
              <w:highlight w:val="none"/>
            </w:rPr>
            <w:t>二次报价单</w:t>
          </w:r>
          <w:r>
            <w:rPr>
              <w:rFonts w:hint="eastAsia" w:asciiTheme="minorEastAsia" w:hAnsiTheme="minorEastAsia" w:eastAsiaTheme="minorEastAsia" w:cstheme="minorEastAsia"/>
              <w:bCs/>
              <w:sz w:val="28"/>
              <w:szCs w:val="48"/>
              <w:highlight w:val="none"/>
            </w:rPr>
            <w:tab/>
          </w:r>
          <w:r>
            <w:rPr>
              <w:rFonts w:hint="eastAsia" w:asciiTheme="minorEastAsia" w:hAnsiTheme="minorEastAsia" w:eastAsiaTheme="minorEastAsia" w:cstheme="minorEastAsia"/>
              <w:bCs/>
              <w:sz w:val="28"/>
              <w:szCs w:val="48"/>
              <w:highlight w:val="none"/>
            </w:rPr>
            <w:fldChar w:fldCharType="begin"/>
          </w:r>
          <w:r>
            <w:rPr>
              <w:rFonts w:hint="eastAsia" w:asciiTheme="minorEastAsia" w:hAnsiTheme="minorEastAsia" w:eastAsiaTheme="minorEastAsia" w:cstheme="minorEastAsia"/>
              <w:bCs/>
              <w:sz w:val="28"/>
              <w:szCs w:val="48"/>
              <w:highlight w:val="none"/>
            </w:rPr>
            <w:instrText xml:space="preserve"> PAGEREF _Toc31890 </w:instrText>
          </w:r>
          <w:r>
            <w:rPr>
              <w:rFonts w:hint="eastAsia" w:asciiTheme="minorEastAsia" w:hAnsiTheme="minorEastAsia" w:eastAsiaTheme="minorEastAsia" w:cstheme="minorEastAsia"/>
              <w:bCs/>
              <w:sz w:val="28"/>
              <w:szCs w:val="48"/>
              <w:highlight w:val="none"/>
            </w:rPr>
            <w:fldChar w:fldCharType="separate"/>
          </w:r>
          <w:r>
            <w:rPr>
              <w:rFonts w:hint="eastAsia" w:asciiTheme="minorEastAsia" w:hAnsiTheme="minorEastAsia" w:eastAsiaTheme="minorEastAsia" w:cstheme="minorEastAsia"/>
              <w:bCs/>
              <w:sz w:val="28"/>
              <w:szCs w:val="48"/>
              <w:highlight w:val="none"/>
            </w:rPr>
            <w:t>155</w:t>
          </w:r>
          <w:r>
            <w:rPr>
              <w:rFonts w:hint="eastAsia" w:asciiTheme="minorEastAsia" w:hAnsiTheme="minorEastAsia" w:eastAsiaTheme="minorEastAsia" w:cstheme="minorEastAsia"/>
              <w:bCs/>
              <w:sz w:val="28"/>
              <w:szCs w:val="48"/>
              <w:highlight w:val="none"/>
            </w:rPr>
            <w:fldChar w:fldCharType="end"/>
          </w:r>
          <w:r>
            <w:rPr>
              <w:rFonts w:hint="eastAsia" w:asciiTheme="minorEastAsia" w:hAnsiTheme="minorEastAsia" w:eastAsiaTheme="minorEastAsia" w:cstheme="minorEastAsia"/>
              <w:bCs/>
              <w:sz w:val="28"/>
              <w:szCs w:val="48"/>
              <w:highlight w:val="none"/>
            </w:rPr>
            <w:fldChar w:fldCharType="end"/>
          </w:r>
        </w:p>
        <w:p>
          <w:pPr>
            <w:spacing w:line="720" w:lineRule="auto"/>
          </w:pPr>
          <w:r>
            <w:fldChar w:fldCharType="end"/>
          </w:r>
        </w:p>
      </w:sdtContent>
    </w:sdt>
    <w:p>
      <w:pPr>
        <w:pStyle w:val="3"/>
        <w:numPr>
          <w:ilvl w:val="0"/>
          <w:numId w:val="2"/>
        </w:numPr>
        <w:spacing w:line="400" w:lineRule="atLeast"/>
        <w:jc w:val="center"/>
        <w:rPr>
          <w:rFonts w:ascii="宋体" w:hAnsi="宋体"/>
          <w:b/>
          <w:bCs/>
          <w:sz w:val="28"/>
          <w:szCs w:val="28"/>
        </w:rPr>
      </w:pPr>
      <w:r>
        <w:rPr>
          <w:rFonts w:hint="eastAsia" w:asciiTheme="minorEastAsia" w:hAnsiTheme="minorEastAsia" w:eastAsiaTheme="minorEastAsia" w:cstheme="minorEastAsia"/>
          <w:color w:val="auto"/>
          <w:sz w:val="32"/>
          <w:szCs w:val="32"/>
          <w:highlight w:val="none"/>
        </w:rPr>
        <w:br w:type="page"/>
      </w:r>
      <w:r>
        <w:rPr>
          <w:rFonts w:hint="eastAsia" w:asciiTheme="minorEastAsia" w:hAnsiTheme="minorEastAsia" w:eastAsiaTheme="minorEastAsia" w:cstheme="minorEastAsia"/>
          <w:color w:val="auto"/>
          <w:sz w:val="32"/>
          <w:szCs w:val="32"/>
          <w:highlight w:val="none"/>
          <w:lang w:val="en-US" w:eastAsia="zh-CN"/>
        </w:rPr>
        <w:t xml:space="preserve"> </w:t>
      </w:r>
      <w:bookmarkStart w:id="0" w:name="_Toc32378"/>
      <w:bookmarkStart w:id="1" w:name="_Toc23318"/>
      <w:r>
        <w:rPr>
          <w:rFonts w:hint="eastAsia" w:asciiTheme="minorEastAsia" w:hAnsiTheme="minorEastAsia" w:eastAsiaTheme="minorEastAsia" w:cstheme="minorEastAsia"/>
          <w:color w:val="auto"/>
          <w:sz w:val="32"/>
          <w:szCs w:val="32"/>
          <w:highlight w:val="none"/>
          <w:lang w:eastAsia="zh-CN"/>
        </w:rPr>
        <w:t>竞争性磋商公告</w:t>
      </w:r>
      <w:bookmarkEnd w:id="0"/>
      <w:bookmarkEnd w:id="1"/>
      <w:bookmarkStart w:id="2" w:name="_Toc349637918"/>
      <w:bookmarkStart w:id="3" w:name="_Toc349573119"/>
      <w:bookmarkStart w:id="4" w:name="_Toc298240403"/>
      <w:bookmarkStart w:id="5" w:name="_Toc267301280"/>
    </w:p>
    <w:p>
      <w:pPr>
        <w:pStyle w:val="3"/>
        <w:numPr>
          <w:ilvl w:val="0"/>
          <w:numId w:val="0"/>
        </w:numPr>
        <w:tabs>
          <w:tab w:val="left" w:pos="0"/>
          <w:tab w:val="left" w:pos="3165"/>
          <w:tab w:val="center" w:pos="4153"/>
          <w:tab w:val="clear" w:pos="360"/>
        </w:tabs>
        <w:autoSpaceDE w:val="0"/>
        <w:autoSpaceDN w:val="0"/>
        <w:adjustRightInd w:val="0"/>
        <w:spacing w:before="0" w:after="0" w:line="360" w:lineRule="auto"/>
        <w:ind w:leftChars="0"/>
        <w:jc w:val="left"/>
        <w:rPr>
          <w:rFonts w:ascii="宋体" w:hAnsi="宋体"/>
        </w:rPr>
      </w:pP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8"/>
          <w:szCs w:val="28"/>
        </w:rPr>
      </w:pPr>
      <w:bookmarkStart w:id="6" w:name="_Toc28359002"/>
      <w:bookmarkStart w:id="7" w:name="_Toc35393790"/>
      <w:bookmarkStart w:id="8" w:name="_Toc35393621"/>
      <w:bookmarkStart w:id="9" w:name="_Toc28359079"/>
      <w:bookmarkStart w:id="10" w:name="_Hlk24379207"/>
      <w:r>
        <w:rPr>
          <w:rFonts w:hint="eastAsia" w:ascii="宋体" w:hAnsi="宋体" w:eastAsia="宋体" w:cs="Times New Roman"/>
          <w:sz w:val="24"/>
          <w:szCs w:val="24"/>
          <w:u w:val="single"/>
          <w:lang w:val="en-US" w:eastAsia="zh-CN"/>
        </w:rPr>
        <w:t>新疆金斌工程项目管理有限公司</w:t>
      </w:r>
      <w:r>
        <w:rPr>
          <w:rFonts w:hint="eastAsia" w:ascii="宋体" w:hAnsi="宋体" w:eastAsia="宋体" w:cs="Times New Roman"/>
          <w:sz w:val="24"/>
          <w:szCs w:val="24"/>
          <w:u w:val="none"/>
          <w:lang w:val="en-US" w:eastAsia="zh-CN"/>
        </w:rPr>
        <w:t>关于</w:t>
      </w:r>
      <w:r>
        <w:rPr>
          <w:rFonts w:hint="eastAsia" w:ascii="宋体" w:hAnsi="宋体" w:cs="Times New Roman"/>
          <w:sz w:val="24"/>
          <w:szCs w:val="24"/>
          <w:u w:val="single"/>
          <w:lang w:val="en-US" w:eastAsia="zh-CN"/>
        </w:rPr>
        <w:t>伊犁哈萨克自治州卫生健康委员会应急值守综合楼项目</w:t>
      </w:r>
      <w:r>
        <w:rPr>
          <w:rFonts w:hint="eastAsia" w:ascii="宋体" w:hAnsi="宋体"/>
          <w:sz w:val="24"/>
          <w:szCs w:val="24"/>
          <w:u w:val="single"/>
        </w:rPr>
        <w:t xml:space="preserve"> </w:t>
      </w:r>
      <w:r>
        <w:rPr>
          <w:rFonts w:hint="eastAsia" w:ascii="宋体" w:hAnsi="宋体"/>
          <w:sz w:val="24"/>
          <w:szCs w:val="24"/>
        </w:rPr>
        <w:t>采购项目的潜在</w:t>
      </w:r>
      <w:r>
        <w:rPr>
          <w:rFonts w:hint="eastAsia" w:ascii="宋体" w:hAnsi="宋体"/>
          <w:sz w:val="24"/>
          <w:szCs w:val="24"/>
          <w:lang w:eastAsia="zh-CN"/>
        </w:rPr>
        <w:t>投标人</w:t>
      </w:r>
      <w:r>
        <w:rPr>
          <w:rFonts w:hint="eastAsia" w:ascii="宋体" w:hAnsi="宋体" w:eastAsia="宋体" w:cs="Times New Roman"/>
          <w:sz w:val="24"/>
          <w:szCs w:val="24"/>
          <w:u w:val="single"/>
          <w:lang w:val="en-US" w:eastAsia="zh-CN"/>
        </w:rPr>
        <w:t>伊宁市开发区河北路福安国际1号商业楼413业务室获取（下载）</w:t>
      </w:r>
      <w:r>
        <w:rPr>
          <w:rFonts w:hint="eastAsia" w:ascii="宋体" w:hAnsi="宋体" w:eastAsia="宋体"/>
          <w:sz w:val="24"/>
          <w:szCs w:val="24"/>
          <w:lang w:eastAsia="zh-CN"/>
        </w:rPr>
        <w:t>招标</w:t>
      </w:r>
      <w:r>
        <w:rPr>
          <w:rFonts w:hint="eastAsia" w:ascii="宋体" w:hAnsi="宋体"/>
          <w:sz w:val="24"/>
          <w:szCs w:val="24"/>
        </w:rPr>
        <w:t>文件，并于</w:t>
      </w:r>
      <w:r>
        <w:rPr>
          <w:rFonts w:ascii="宋体" w:hAnsi="宋体"/>
          <w:color w:val="auto"/>
          <w:sz w:val="24"/>
          <w:szCs w:val="24"/>
          <w:u w:val="single"/>
        </w:rPr>
        <w:t xml:space="preserve"> </w:t>
      </w:r>
      <w:r>
        <w:rPr>
          <w:rFonts w:hint="eastAsia" w:ascii="宋体" w:hAnsi="宋体"/>
          <w:color w:val="auto"/>
          <w:sz w:val="24"/>
          <w:szCs w:val="24"/>
          <w:u w:val="single"/>
          <w:lang w:eastAsia="zh-CN"/>
        </w:rPr>
        <w:t>2021年</w:t>
      </w:r>
      <w:r>
        <w:rPr>
          <w:rFonts w:hint="eastAsia" w:ascii="宋体" w:hAnsi="宋体"/>
          <w:color w:val="auto"/>
          <w:sz w:val="24"/>
          <w:szCs w:val="24"/>
          <w:u w:val="single"/>
          <w:lang w:val="en-US" w:eastAsia="zh-CN"/>
        </w:rPr>
        <w:t>12</w:t>
      </w:r>
      <w:r>
        <w:rPr>
          <w:rFonts w:hint="eastAsia" w:ascii="宋体" w:hAnsi="宋体"/>
          <w:color w:val="auto"/>
          <w:sz w:val="24"/>
          <w:szCs w:val="24"/>
          <w:u w:val="single"/>
          <w:lang w:eastAsia="zh-CN"/>
        </w:rPr>
        <w:t>月</w:t>
      </w:r>
      <w:r>
        <w:rPr>
          <w:rFonts w:hint="eastAsia" w:ascii="宋体" w:hAnsi="宋体"/>
          <w:color w:val="auto"/>
          <w:sz w:val="24"/>
          <w:szCs w:val="24"/>
          <w:u w:val="single"/>
          <w:lang w:val="en-US" w:eastAsia="zh-CN"/>
        </w:rPr>
        <w:t>16</w:t>
      </w:r>
      <w:r>
        <w:rPr>
          <w:rFonts w:hint="eastAsia" w:ascii="宋体" w:hAnsi="宋体"/>
          <w:color w:val="auto"/>
          <w:sz w:val="24"/>
          <w:szCs w:val="24"/>
          <w:u w:val="single"/>
          <w:lang w:eastAsia="zh-CN"/>
        </w:rPr>
        <w:t>日</w:t>
      </w:r>
      <w:r>
        <w:rPr>
          <w:rFonts w:hint="eastAsia" w:ascii="宋体" w:hAnsi="宋体"/>
          <w:bCs/>
          <w:color w:val="auto"/>
          <w:sz w:val="24"/>
          <w:szCs w:val="24"/>
          <w:u w:val="single"/>
          <w:lang w:val="en-US" w:eastAsia="zh-CN"/>
        </w:rPr>
        <w:t>11</w:t>
      </w:r>
      <w:r>
        <w:rPr>
          <w:rFonts w:hint="eastAsia" w:ascii="宋体" w:hAnsi="宋体"/>
          <w:bCs/>
          <w:color w:val="auto"/>
          <w:sz w:val="24"/>
          <w:szCs w:val="24"/>
          <w:u w:val="single"/>
        </w:rPr>
        <w:t>点</w:t>
      </w:r>
      <w:r>
        <w:rPr>
          <w:rFonts w:hint="eastAsia" w:ascii="宋体" w:hAnsi="宋体"/>
          <w:bCs/>
          <w:color w:val="auto"/>
          <w:sz w:val="24"/>
          <w:szCs w:val="24"/>
          <w:u w:val="single"/>
          <w:lang w:val="en-US" w:eastAsia="zh-CN"/>
        </w:rPr>
        <w:t>00</w:t>
      </w:r>
      <w:r>
        <w:rPr>
          <w:rFonts w:hint="eastAsia" w:ascii="宋体" w:hAnsi="宋体"/>
          <w:bCs/>
          <w:color w:val="auto"/>
          <w:sz w:val="24"/>
          <w:szCs w:val="24"/>
          <w:u w:val="single"/>
        </w:rPr>
        <w:t>分</w:t>
      </w:r>
      <w:r>
        <w:rPr>
          <w:rFonts w:hint="eastAsia" w:ascii="宋体" w:hAnsi="宋体"/>
          <w:bCs/>
          <w:sz w:val="24"/>
          <w:szCs w:val="24"/>
          <w:u w:val="single"/>
        </w:rPr>
        <w:t>（</w:t>
      </w:r>
      <w:r>
        <w:rPr>
          <w:rFonts w:hint="eastAsia" w:ascii="宋体" w:hAnsi="宋体"/>
          <w:bCs/>
          <w:sz w:val="24"/>
          <w:szCs w:val="24"/>
        </w:rPr>
        <w:t>北京时间）前</w:t>
      </w:r>
      <w:r>
        <w:rPr>
          <w:rFonts w:hint="eastAsia" w:ascii="宋体" w:hAnsi="宋体"/>
          <w:sz w:val="24"/>
          <w:szCs w:val="24"/>
        </w:rPr>
        <w:t>递交投</w:t>
      </w:r>
      <w:r>
        <w:rPr>
          <w:rFonts w:hint="eastAsia" w:ascii="宋体" w:hAnsi="宋体"/>
          <w:bCs/>
          <w:sz w:val="24"/>
          <w:szCs w:val="24"/>
        </w:rPr>
        <w:t>标</w:t>
      </w:r>
      <w:r>
        <w:rPr>
          <w:rFonts w:ascii="宋体" w:hAnsi="宋体"/>
          <w:bCs/>
          <w:sz w:val="24"/>
          <w:szCs w:val="24"/>
        </w:rPr>
        <w:t>文件</w:t>
      </w:r>
      <w:r>
        <w:rPr>
          <w:rFonts w:hint="eastAsia" w:ascii="宋体" w:hAnsi="宋体"/>
          <w:sz w:val="24"/>
          <w:szCs w:val="24"/>
        </w:rPr>
        <w:t>。</w:t>
      </w:r>
    </w:p>
    <w:p>
      <w:pPr>
        <w:pStyle w:val="4"/>
        <w:spacing w:line="400" w:lineRule="exact"/>
        <w:rPr>
          <w:rFonts w:ascii="宋体" w:hAnsi="宋体" w:eastAsia="宋体" w:cs="宋体"/>
          <w:b w:val="0"/>
          <w:sz w:val="28"/>
          <w:szCs w:val="28"/>
        </w:rPr>
      </w:pPr>
      <w:r>
        <w:rPr>
          <w:rFonts w:hint="eastAsia" w:ascii="宋体" w:hAnsi="宋体" w:eastAsia="宋体" w:cs="宋体"/>
          <w:b w:val="0"/>
          <w:sz w:val="28"/>
          <w:szCs w:val="28"/>
        </w:rPr>
        <w:t>一、项目基本情况</w:t>
      </w:r>
      <w:bookmarkEnd w:id="6"/>
      <w:bookmarkEnd w:id="7"/>
      <w:bookmarkEnd w:id="8"/>
      <w:bookmarkEnd w:id="9"/>
      <w:r>
        <w:rPr>
          <w:rFonts w:hint="eastAsia" w:ascii="宋体" w:hAnsi="宋体" w:eastAsia="宋体" w:cs="宋体"/>
          <w:b w:val="0"/>
          <w:sz w:val="28"/>
          <w:szCs w:val="28"/>
        </w:rPr>
        <w:t xml:space="preserve"> </w:t>
      </w:r>
    </w:p>
    <w:p>
      <w:pPr>
        <w:spacing w:line="400" w:lineRule="exact"/>
        <w:ind w:firstLine="480" w:firstLineChars="200"/>
        <w:rPr>
          <w:rFonts w:hint="default" w:ascii="宋体" w:hAnsi="宋体" w:eastAsia="宋体"/>
          <w:color w:val="FF0000"/>
          <w:sz w:val="24"/>
          <w:szCs w:val="24"/>
          <w:lang w:val="en-US" w:eastAsia="zh-CN"/>
        </w:rPr>
      </w:pPr>
      <w:r>
        <w:rPr>
          <w:rFonts w:hint="eastAsia" w:ascii="宋体" w:hAnsi="宋体"/>
          <w:sz w:val="24"/>
          <w:szCs w:val="24"/>
        </w:rPr>
        <w:t>项目编号：</w:t>
      </w:r>
      <w:r>
        <w:rPr>
          <w:rFonts w:hint="eastAsia" w:ascii="宋体" w:hAnsi="宋体"/>
          <w:sz w:val="24"/>
          <w:szCs w:val="24"/>
          <w:lang w:eastAsia="zh-CN"/>
        </w:rPr>
        <w:t>XJJB-2021-11</w:t>
      </w:r>
      <w:r>
        <w:rPr>
          <w:rFonts w:hint="eastAsia" w:ascii="宋体" w:hAnsi="宋体"/>
          <w:sz w:val="24"/>
          <w:szCs w:val="24"/>
          <w:lang w:val="en-US" w:eastAsia="zh-CN"/>
        </w:rPr>
        <w:t>6-118</w:t>
      </w:r>
    </w:p>
    <w:p>
      <w:pPr>
        <w:spacing w:line="400" w:lineRule="exact"/>
        <w:ind w:firstLine="480" w:firstLineChars="200"/>
        <w:rPr>
          <w:rFonts w:hint="eastAsia" w:ascii="宋体" w:hAnsi="宋体"/>
          <w:sz w:val="24"/>
          <w:szCs w:val="24"/>
          <w:lang w:eastAsia="zh-CN"/>
        </w:rPr>
      </w:pPr>
      <w:r>
        <w:rPr>
          <w:rFonts w:hint="eastAsia" w:ascii="宋体" w:hAnsi="宋体"/>
          <w:sz w:val="24"/>
          <w:szCs w:val="24"/>
        </w:rPr>
        <w:t>项目名称：</w:t>
      </w:r>
      <w:bookmarkEnd w:id="10"/>
      <w:r>
        <w:rPr>
          <w:rFonts w:hint="eastAsia" w:ascii="宋体" w:hAnsi="宋体"/>
          <w:sz w:val="24"/>
          <w:szCs w:val="24"/>
          <w:lang w:eastAsia="zh-CN"/>
        </w:rPr>
        <w:t>伊犁哈萨克自治州卫生健康委员会应急值守综合楼项目</w:t>
      </w:r>
    </w:p>
    <w:p>
      <w:pPr>
        <w:spacing w:line="400" w:lineRule="exact"/>
        <w:ind w:firstLine="480" w:firstLineChars="200"/>
        <w:rPr>
          <w:rFonts w:hint="eastAsia" w:ascii="宋体" w:hAnsi="宋体"/>
          <w:sz w:val="24"/>
          <w:szCs w:val="24"/>
        </w:rPr>
      </w:pPr>
      <w:r>
        <w:rPr>
          <w:rFonts w:ascii="宋体" w:hAnsi="宋体"/>
          <w:sz w:val="24"/>
          <w:szCs w:val="24"/>
        </w:rPr>
        <w:t>采购方式：竞争性磋商</w:t>
      </w:r>
    </w:p>
    <w:p>
      <w:pPr>
        <w:spacing w:line="400" w:lineRule="exact"/>
        <w:ind w:firstLine="480" w:firstLineChars="200"/>
        <w:rPr>
          <w:rFonts w:hint="default" w:ascii="宋体" w:hAnsi="宋体" w:eastAsia="宋体" w:cs="Times New Roman"/>
          <w:color w:val="auto"/>
          <w:sz w:val="24"/>
          <w:szCs w:val="24"/>
          <w:lang w:val="en-US" w:eastAsia="zh-CN"/>
        </w:rPr>
      </w:pPr>
      <w:r>
        <w:rPr>
          <w:rFonts w:hint="eastAsia" w:ascii="宋体" w:hAnsi="宋体"/>
          <w:color w:val="auto"/>
          <w:sz w:val="24"/>
          <w:szCs w:val="24"/>
        </w:rPr>
        <w:t>预算</w:t>
      </w:r>
      <w:r>
        <w:rPr>
          <w:rFonts w:hint="eastAsia" w:ascii="宋体" w:hAnsi="宋体" w:eastAsia="宋体" w:cs="Times New Roman"/>
          <w:color w:val="auto"/>
          <w:sz w:val="24"/>
          <w:szCs w:val="24"/>
          <w:lang w:eastAsia="zh-CN"/>
        </w:rPr>
        <w:t>金额</w:t>
      </w:r>
      <w:r>
        <w:rPr>
          <w:rFonts w:hint="eastAsia" w:ascii="宋体" w:hAnsi="宋体" w:eastAsia="宋体" w:cs="宋体"/>
          <w:i w:val="0"/>
          <w:caps w:val="0"/>
          <w:color w:val="auto"/>
          <w:spacing w:val="0"/>
          <w:kern w:val="2"/>
          <w:sz w:val="24"/>
          <w:szCs w:val="24"/>
          <w:shd w:val="clear" w:color="auto" w:fill="FFFFFF"/>
          <w:lang w:val="en-US" w:eastAsia="zh-CN" w:bidi="ar-SA"/>
        </w:rPr>
        <w:t>（元）</w:t>
      </w:r>
      <w:r>
        <w:rPr>
          <w:rFonts w:hint="eastAsia" w:ascii="宋体" w:hAnsi="宋体" w:eastAsia="宋体" w:cs="Times New Roman"/>
          <w:color w:val="auto"/>
          <w:sz w:val="24"/>
          <w:szCs w:val="24"/>
          <w:lang w:eastAsia="zh-CN"/>
        </w:rPr>
        <w:t>：</w:t>
      </w:r>
      <w:r>
        <w:rPr>
          <w:rFonts w:hint="eastAsia" w:ascii="宋体" w:hAnsi="宋体" w:cs="Times New Roman"/>
          <w:color w:val="auto"/>
          <w:sz w:val="24"/>
          <w:szCs w:val="24"/>
          <w:lang w:val="en-US" w:eastAsia="zh-CN"/>
        </w:rPr>
        <w:t>3574934.61</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default" w:ascii="宋体" w:hAnsi="宋体" w:eastAsia="宋体" w:cs="宋体"/>
          <w:i w:val="0"/>
          <w:caps w:val="0"/>
          <w:color w:val="auto"/>
          <w:spacing w:val="0"/>
          <w:kern w:val="2"/>
          <w:sz w:val="24"/>
          <w:szCs w:val="24"/>
          <w:shd w:val="clear" w:color="auto" w:fill="FFFFFF"/>
          <w:lang w:val="en-US" w:eastAsia="zh-CN" w:bidi="ar-SA"/>
        </w:rPr>
      </w:pPr>
      <w:r>
        <w:rPr>
          <w:rFonts w:hint="eastAsia" w:ascii="宋体" w:hAnsi="宋体" w:eastAsia="宋体" w:cs="宋体"/>
          <w:i w:val="0"/>
          <w:caps w:val="0"/>
          <w:color w:val="auto"/>
          <w:spacing w:val="0"/>
          <w:kern w:val="2"/>
          <w:sz w:val="24"/>
          <w:szCs w:val="24"/>
          <w:shd w:val="clear" w:color="auto" w:fill="FFFFFF"/>
          <w:lang w:val="en-US" w:eastAsia="zh-CN" w:bidi="ar-SA"/>
        </w:rPr>
        <w:t xml:space="preserve">最高限价（元）: </w:t>
      </w:r>
      <w:r>
        <w:rPr>
          <w:rFonts w:hint="eastAsia" w:ascii="宋体" w:hAnsi="宋体" w:cs="Times New Roman"/>
          <w:color w:val="auto"/>
          <w:sz w:val="24"/>
          <w:szCs w:val="24"/>
          <w:lang w:val="en-US" w:eastAsia="zh-CN"/>
        </w:rPr>
        <w:t>3004621.89 、</w:t>
      </w:r>
      <w:r>
        <w:rPr>
          <w:rFonts w:hint="eastAsia" w:ascii="宋体" w:hAnsi="宋体" w:eastAsia="宋体" w:cs="宋体"/>
          <w:color w:val="auto"/>
          <w:sz w:val="24"/>
          <w:szCs w:val="24"/>
          <w:lang w:val="en-US" w:eastAsia="zh-CN"/>
        </w:rPr>
        <w:t>360312.72 、</w:t>
      </w:r>
      <w:r>
        <w:rPr>
          <w:rFonts w:hint="eastAsia" w:ascii="宋体" w:hAnsi="宋体" w:eastAsia="宋体" w:cs="宋体"/>
          <w:color w:val="auto"/>
          <w:kern w:val="0"/>
          <w:sz w:val="24"/>
          <w:szCs w:val="24"/>
          <w:lang w:val="en-US" w:eastAsia="zh-CN" w:bidi="ar"/>
        </w:rPr>
        <w:t>210000.00</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宋体" w:hAnsi="宋体" w:eastAsia="宋体" w:cs="宋体"/>
          <w:i w:val="0"/>
          <w:caps w:val="0"/>
          <w:color w:val="auto"/>
          <w:spacing w:val="0"/>
          <w:kern w:val="2"/>
          <w:sz w:val="24"/>
          <w:szCs w:val="24"/>
          <w:shd w:val="clear" w:color="auto" w:fill="FFFFFF"/>
          <w:lang w:val="en-US" w:eastAsia="zh-CN" w:bidi="ar-SA"/>
        </w:rPr>
      </w:pPr>
      <w:r>
        <w:rPr>
          <w:rFonts w:hint="eastAsia" w:ascii="宋体" w:hAnsi="宋体" w:eastAsia="宋体" w:cs="宋体"/>
          <w:i w:val="0"/>
          <w:caps w:val="0"/>
          <w:color w:val="auto"/>
          <w:spacing w:val="0"/>
          <w:kern w:val="2"/>
          <w:sz w:val="24"/>
          <w:szCs w:val="24"/>
          <w:shd w:val="clear" w:color="auto" w:fill="FFFFFF"/>
          <w:lang w:val="en-US" w:eastAsia="zh-CN" w:bidi="ar-SA"/>
        </w:rPr>
        <w:t>采购需求：</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宋体" w:hAnsi="宋体" w:eastAsia="宋体" w:cs="宋体"/>
          <w:i w:val="0"/>
          <w:caps w:val="0"/>
          <w:color w:val="auto"/>
          <w:spacing w:val="0"/>
          <w:kern w:val="2"/>
          <w:sz w:val="24"/>
          <w:szCs w:val="24"/>
          <w:shd w:val="clear" w:color="auto" w:fill="FFFFFF"/>
          <w:lang w:val="en-US" w:eastAsia="zh-CN" w:bidi="ar-SA"/>
        </w:rPr>
      </w:pPr>
      <w:r>
        <w:rPr>
          <w:rFonts w:hint="eastAsia" w:ascii="宋体" w:hAnsi="宋体" w:eastAsia="宋体" w:cs="宋体"/>
          <w:i w:val="0"/>
          <w:caps w:val="0"/>
          <w:color w:val="auto"/>
          <w:spacing w:val="0"/>
          <w:kern w:val="2"/>
          <w:sz w:val="24"/>
          <w:szCs w:val="24"/>
          <w:shd w:val="clear" w:color="auto" w:fill="FFFFFF"/>
          <w:lang w:val="en-US" w:eastAsia="zh-CN" w:bidi="ar-SA"/>
        </w:rPr>
        <w:t>标项一：</w:t>
      </w:r>
    </w:p>
    <w:p>
      <w:pPr>
        <w:pStyle w:val="48"/>
        <w:pageBreakBefore w:val="0"/>
        <w:kinsoku/>
        <w:wordWrap/>
        <w:overflowPunct/>
        <w:topLinePunct w:val="0"/>
        <w:autoSpaceDE/>
        <w:autoSpaceDN/>
        <w:bidi w:val="0"/>
        <w:adjustRightInd/>
        <w:snapToGrid/>
        <w:spacing w:line="300" w:lineRule="exact"/>
        <w:ind w:firstLine="600"/>
        <w:jc w:val="left"/>
        <w:textAlignment w:val="auto"/>
        <w:rPr>
          <w:rFonts w:hint="default" w:ascii="宋体" w:hAnsi="宋体" w:eastAsia="宋体" w:cs="宋体"/>
          <w:b w:val="0"/>
          <w:i w:val="0"/>
          <w:caps w:val="0"/>
          <w:color w:val="auto"/>
          <w:spacing w:val="0"/>
          <w:kern w:val="2"/>
          <w:sz w:val="24"/>
          <w:szCs w:val="24"/>
          <w:u w:val="none"/>
          <w:shd w:val="clear" w:color="auto" w:fill="FFFFFF"/>
          <w:lang w:val="en-US" w:eastAsia="zh-CN" w:bidi="ar-SA"/>
        </w:rPr>
      </w:pPr>
      <w:r>
        <w:rPr>
          <w:rFonts w:hint="eastAsia" w:ascii="宋体" w:hAnsi="宋体" w:eastAsia="宋体" w:cs="宋体"/>
          <w:b w:val="0"/>
          <w:i w:val="0"/>
          <w:caps w:val="0"/>
          <w:color w:val="auto"/>
          <w:spacing w:val="0"/>
          <w:kern w:val="2"/>
          <w:sz w:val="24"/>
          <w:szCs w:val="24"/>
          <w:u w:val="none"/>
          <w:shd w:val="clear" w:color="auto" w:fill="FFFFFF"/>
          <w:lang w:val="en-US" w:eastAsia="zh-CN" w:bidi="ar-SA"/>
        </w:rPr>
        <w:t>标项名称:</w:t>
      </w:r>
      <w:r>
        <w:rPr>
          <w:rFonts w:hint="eastAsia" w:ascii="宋体" w:hAnsi="宋体"/>
          <w:sz w:val="24"/>
          <w:szCs w:val="24"/>
          <w:lang w:eastAsia="zh-CN"/>
        </w:rPr>
        <w:t>伊犁哈萨克自治州卫生健康委员会应急值守综合楼项目</w:t>
      </w:r>
      <w:r>
        <w:rPr>
          <w:rFonts w:hint="eastAsia" w:ascii="宋体" w:hAnsi="宋体"/>
          <w:sz w:val="24"/>
          <w:szCs w:val="24"/>
          <w:lang w:val="en-US" w:eastAsia="zh-CN"/>
        </w:rPr>
        <w:t>一标段</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420" w:leftChars="200" w:right="0" w:firstLine="0" w:firstLineChars="0"/>
        <w:textAlignment w:val="auto"/>
        <w:rPr>
          <w:rFonts w:hint="eastAsia"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color w:val="auto"/>
          <w:spacing w:val="0"/>
          <w:kern w:val="2"/>
          <w:sz w:val="24"/>
          <w:szCs w:val="24"/>
          <w:shd w:val="clear" w:color="auto" w:fill="FFFFFF"/>
          <w:lang w:val="en-US" w:eastAsia="zh-CN" w:bidi="ar-SA"/>
        </w:rPr>
        <w:t>数量:1</w:t>
      </w:r>
      <w:r>
        <w:rPr>
          <w:rFonts w:hint="eastAsia" w:ascii="宋体" w:hAnsi="宋体" w:eastAsia="宋体" w:cs="宋体"/>
          <w:i w:val="0"/>
          <w:caps w:val="0"/>
          <w:color w:val="auto"/>
          <w:spacing w:val="0"/>
          <w:kern w:val="2"/>
          <w:sz w:val="24"/>
          <w:szCs w:val="24"/>
          <w:shd w:val="clear" w:color="auto" w:fill="FFFFFF"/>
          <w:lang w:val="en-US" w:eastAsia="zh-CN" w:bidi="ar-SA"/>
        </w:rPr>
        <w:br w:type="textWrapping"/>
      </w:r>
      <w:r>
        <w:rPr>
          <w:rFonts w:hint="eastAsia" w:ascii="宋体" w:hAnsi="宋体" w:eastAsia="宋体" w:cs="宋体"/>
          <w:i w:val="0"/>
          <w:caps w:val="0"/>
          <w:color w:val="auto"/>
          <w:spacing w:val="0"/>
          <w:kern w:val="2"/>
          <w:sz w:val="24"/>
          <w:szCs w:val="24"/>
          <w:shd w:val="clear" w:color="auto" w:fill="FFFFFF"/>
          <w:lang w:val="en-US" w:eastAsia="zh-CN" w:bidi="ar-SA"/>
        </w:rPr>
        <w:t>预算金额（元）:</w:t>
      </w:r>
      <w:r>
        <w:rPr>
          <w:rFonts w:hint="eastAsia" w:ascii="宋体" w:hAnsi="宋体" w:cs="Times New Roman"/>
          <w:color w:val="auto"/>
          <w:sz w:val="24"/>
          <w:szCs w:val="24"/>
          <w:lang w:val="en-US" w:eastAsia="zh-CN"/>
        </w:rPr>
        <w:t>3004621.89</w:t>
      </w:r>
      <w:r>
        <w:rPr>
          <w:rFonts w:hint="eastAsia" w:ascii="宋体" w:hAnsi="宋体" w:eastAsia="宋体" w:cs="宋体"/>
          <w:i w:val="0"/>
          <w:caps w:val="0"/>
          <w:spacing w:val="0"/>
          <w:kern w:val="2"/>
          <w:sz w:val="24"/>
          <w:szCs w:val="24"/>
          <w:shd w:val="clear" w:color="auto" w:fill="FFFFFF"/>
          <w:lang w:val="en-US" w:eastAsia="zh-CN" w:bidi="ar-SA"/>
        </w:rPr>
        <w:br w:type="textWrapping"/>
      </w:r>
      <w:r>
        <w:rPr>
          <w:rFonts w:hint="eastAsia" w:ascii="宋体" w:hAnsi="宋体" w:eastAsia="宋体" w:cs="宋体"/>
          <w:i w:val="0"/>
          <w:caps w:val="0"/>
          <w:spacing w:val="0"/>
          <w:kern w:val="2"/>
          <w:sz w:val="24"/>
          <w:szCs w:val="24"/>
          <w:shd w:val="clear" w:color="auto" w:fill="FFFFFF"/>
          <w:lang w:val="en-US" w:eastAsia="zh-CN" w:bidi="ar-SA"/>
        </w:rPr>
        <w:t>简要规格描述或项目基本概况介绍、用途：伊犁哈萨克自治州卫生健康委员会应急值守综合楼维修改造工程（详细数据以施工图纸及工程量清单为准）。</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420" w:leftChars="200" w:right="0" w:firstLine="0" w:firstLineChars="0"/>
        <w:textAlignment w:val="auto"/>
        <w:rPr>
          <w:rFonts w:hint="eastAsia"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备注：/</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420" w:leftChars="200" w:right="0" w:firstLine="0" w:firstLineChars="0"/>
        <w:textAlignment w:val="auto"/>
        <w:rPr>
          <w:rFonts w:hint="eastAsia" w:ascii="宋体" w:hAnsi="宋体" w:eastAsia="宋体" w:cs="宋体"/>
          <w:i w:val="0"/>
          <w:caps w:val="0"/>
          <w:spacing w:val="0"/>
          <w:kern w:val="2"/>
          <w:sz w:val="24"/>
          <w:szCs w:val="24"/>
          <w:shd w:val="clear" w:color="auto" w:fill="FFFFFF"/>
          <w:lang w:val="en-US" w:eastAsia="zh-CN" w:bidi="ar-SA"/>
        </w:rPr>
      </w:pP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宋体" w:hAnsi="宋体" w:eastAsia="宋体" w:cs="宋体"/>
          <w:i w:val="0"/>
          <w:caps w:val="0"/>
          <w:color w:val="auto"/>
          <w:spacing w:val="0"/>
          <w:kern w:val="2"/>
          <w:sz w:val="24"/>
          <w:szCs w:val="24"/>
          <w:shd w:val="clear" w:color="auto" w:fill="FFFFFF"/>
          <w:lang w:val="en-US" w:eastAsia="zh-CN" w:bidi="ar-SA"/>
        </w:rPr>
      </w:pPr>
      <w:r>
        <w:rPr>
          <w:rFonts w:hint="eastAsia" w:ascii="宋体" w:hAnsi="宋体" w:eastAsia="宋体" w:cs="宋体"/>
          <w:i w:val="0"/>
          <w:caps w:val="0"/>
          <w:color w:val="auto"/>
          <w:spacing w:val="0"/>
          <w:kern w:val="2"/>
          <w:sz w:val="24"/>
          <w:szCs w:val="24"/>
          <w:shd w:val="clear" w:color="auto" w:fill="FFFFFF"/>
          <w:lang w:val="en-US" w:eastAsia="zh-CN" w:bidi="ar-SA"/>
        </w:rPr>
        <w:t>标项二：</w:t>
      </w:r>
    </w:p>
    <w:p>
      <w:pPr>
        <w:pStyle w:val="48"/>
        <w:pageBreakBefore w:val="0"/>
        <w:kinsoku/>
        <w:wordWrap/>
        <w:overflowPunct/>
        <w:topLinePunct w:val="0"/>
        <w:autoSpaceDE/>
        <w:autoSpaceDN/>
        <w:bidi w:val="0"/>
        <w:adjustRightInd/>
        <w:snapToGrid/>
        <w:spacing w:line="300" w:lineRule="exact"/>
        <w:ind w:firstLine="600"/>
        <w:jc w:val="left"/>
        <w:textAlignment w:val="auto"/>
        <w:rPr>
          <w:rFonts w:hint="eastAsia" w:ascii="宋体" w:hAnsi="宋体" w:eastAsia="宋体" w:cs="宋体"/>
          <w:b w:val="0"/>
          <w:i w:val="0"/>
          <w:caps w:val="0"/>
          <w:color w:val="auto"/>
          <w:spacing w:val="0"/>
          <w:kern w:val="2"/>
          <w:sz w:val="24"/>
          <w:szCs w:val="24"/>
          <w:u w:val="none"/>
          <w:shd w:val="clear" w:color="auto" w:fill="FFFFFF"/>
          <w:lang w:val="en-US" w:eastAsia="zh-CN" w:bidi="ar-SA"/>
        </w:rPr>
      </w:pPr>
      <w:r>
        <w:rPr>
          <w:rFonts w:hint="eastAsia" w:ascii="宋体" w:hAnsi="宋体" w:eastAsia="宋体" w:cs="宋体"/>
          <w:b w:val="0"/>
          <w:i w:val="0"/>
          <w:caps w:val="0"/>
          <w:color w:val="auto"/>
          <w:spacing w:val="0"/>
          <w:kern w:val="2"/>
          <w:sz w:val="24"/>
          <w:szCs w:val="24"/>
          <w:u w:val="none"/>
          <w:shd w:val="clear" w:color="auto" w:fill="FFFFFF"/>
          <w:lang w:val="en-US" w:eastAsia="zh-CN" w:bidi="ar-SA"/>
        </w:rPr>
        <w:t>标项名称:</w:t>
      </w:r>
      <w:r>
        <w:rPr>
          <w:rFonts w:hint="eastAsia" w:ascii="宋体" w:hAnsi="宋体"/>
          <w:sz w:val="24"/>
          <w:szCs w:val="24"/>
          <w:lang w:eastAsia="zh-CN"/>
        </w:rPr>
        <w:t>伊犁哈萨克自治州卫生健康委员会应急值守综合楼项目</w:t>
      </w:r>
      <w:r>
        <w:rPr>
          <w:rFonts w:hint="eastAsia" w:ascii="宋体" w:hAnsi="宋体"/>
          <w:sz w:val="24"/>
          <w:szCs w:val="24"/>
          <w:lang w:val="en-US" w:eastAsia="zh-CN"/>
        </w:rPr>
        <w:t>二标段</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420" w:leftChars="200" w:right="0" w:firstLine="0" w:firstLineChars="0"/>
        <w:textAlignment w:val="auto"/>
        <w:rPr>
          <w:rFonts w:hint="eastAsia" w:ascii="宋体" w:hAnsi="宋体" w:eastAsia="宋体" w:cs="宋体"/>
          <w:sz w:val="24"/>
          <w:szCs w:val="24"/>
          <w:lang w:eastAsia="zh-CN"/>
        </w:rPr>
      </w:pPr>
      <w:r>
        <w:rPr>
          <w:rFonts w:hint="eastAsia" w:ascii="宋体" w:hAnsi="宋体" w:eastAsia="宋体" w:cs="宋体"/>
          <w:i w:val="0"/>
          <w:caps w:val="0"/>
          <w:color w:val="auto"/>
          <w:spacing w:val="0"/>
          <w:kern w:val="2"/>
          <w:sz w:val="24"/>
          <w:szCs w:val="24"/>
          <w:shd w:val="clear" w:color="auto" w:fill="FFFFFF"/>
          <w:lang w:val="en-US" w:eastAsia="zh-CN" w:bidi="ar-SA"/>
        </w:rPr>
        <w:t>数量:1</w:t>
      </w:r>
      <w:r>
        <w:rPr>
          <w:rFonts w:hint="eastAsia" w:ascii="宋体" w:hAnsi="宋体" w:eastAsia="宋体" w:cs="宋体"/>
          <w:i w:val="0"/>
          <w:caps w:val="0"/>
          <w:color w:val="auto"/>
          <w:spacing w:val="0"/>
          <w:kern w:val="2"/>
          <w:sz w:val="24"/>
          <w:szCs w:val="24"/>
          <w:shd w:val="clear" w:color="auto" w:fill="FFFFFF"/>
          <w:lang w:val="en-US" w:eastAsia="zh-CN" w:bidi="ar-SA"/>
        </w:rPr>
        <w:br w:type="textWrapping"/>
      </w:r>
      <w:r>
        <w:rPr>
          <w:rFonts w:hint="eastAsia" w:ascii="宋体" w:hAnsi="宋体" w:eastAsia="宋体" w:cs="宋体"/>
          <w:i w:val="0"/>
          <w:caps w:val="0"/>
          <w:color w:val="auto"/>
          <w:spacing w:val="0"/>
          <w:kern w:val="2"/>
          <w:sz w:val="24"/>
          <w:szCs w:val="24"/>
          <w:shd w:val="clear" w:color="auto" w:fill="FFFFFF"/>
          <w:lang w:val="en-US" w:eastAsia="zh-CN" w:bidi="ar-SA"/>
        </w:rPr>
        <w:t>预算金额（元）:</w:t>
      </w:r>
      <w:r>
        <w:rPr>
          <w:rFonts w:hint="eastAsia" w:ascii="宋体" w:hAnsi="宋体" w:eastAsia="宋体" w:cs="宋体"/>
          <w:color w:val="auto"/>
          <w:sz w:val="24"/>
          <w:szCs w:val="24"/>
          <w:lang w:val="en-US" w:eastAsia="zh-CN"/>
        </w:rPr>
        <w:t>360312.72</w:t>
      </w:r>
      <w:r>
        <w:rPr>
          <w:rFonts w:hint="eastAsia" w:ascii="宋体" w:hAnsi="宋体" w:eastAsia="宋体" w:cs="宋体"/>
          <w:i w:val="0"/>
          <w:caps w:val="0"/>
          <w:spacing w:val="0"/>
          <w:kern w:val="2"/>
          <w:sz w:val="24"/>
          <w:szCs w:val="24"/>
          <w:shd w:val="clear" w:color="auto" w:fill="FFFFFF"/>
          <w:lang w:val="en-US" w:eastAsia="zh-CN" w:bidi="ar-SA"/>
        </w:rPr>
        <w:br w:type="textWrapping"/>
      </w:r>
      <w:r>
        <w:rPr>
          <w:rFonts w:hint="eastAsia" w:ascii="宋体" w:hAnsi="宋体" w:eastAsia="宋体" w:cs="宋体"/>
          <w:i w:val="0"/>
          <w:caps w:val="0"/>
          <w:spacing w:val="0"/>
          <w:kern w:val="2"/>
          <w:sz w:val="24"/>
          <w:szCs w:val="24"/>
          <w:shd w:val="clear" w:color="auto" w:fill="FFFFFF"/>
          <w:lang w:val="en-US" w:eastAsia="zh-CN" w:bidi="ar-SA"/>
        </w:rPr>
        <w:t>简要规格描述或项目基本概况介绍、用途：伊犁哈萨克自治州卫生健康委员会</w:t>
      </w:r>
      <w:r>
        <w:rPr>
          <w:rFonts w:hint="eastAsia" w:ascii="宋体" w:hAnsi="宋体" w:eastAsia="宋体" w:cs="宋体"/>
          <w:sz w:val="24"/>
          <w:szCs w:val="24"/>
          <w:lang w:eastAsia="zh-CN"/>
        </w:rPr>
        <w:t>应急值守综合楼维修弱电信息化工程（详细数据以施工图纸及工程量清单为准）。</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420" w:leftChars="200" w:right="0" w:firstLine="0" w:firstLineChars="0"/>
        <w:textAlignment w:val="auto"/>
        <w:rPr>
          <w:rFonts w:hint="eastAsia"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备注：/</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420" w:leftChars="200" w:right="0" w:firstLine="0" w:firstLineChars="0"/>
        <w:textAlignment w:val="auto"/>
        <w:rPr>
          <w:rFonts w:hint="eastAsia" w:ascii="宋体" w:hAnsi="宋体" w:eastAsia="宋体" w:cs="宋体"/>
          <w:i w:val="0"/>
          <w:caps w:val="0"/>
          <w:spacing w:val="0"/>
          <w:kern w:val="2"/>
          <w:sz w:val="24"/>
          <w:szCs w:val="24"/>
          <w:shd w:val="clear" w:color="auto" w:fill="FFFFFF"/>
          <w:lang w:val="en-US" w:eastAsia="zh-CN" w:bidi="ar-SA"/>
        </w:rPr>
      </w:pP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宋体" w:hAnsi="宋体" w:eastAsia="宋体" w:cs="宋体"/>
          <w:i w:val="0"/>
          <w:caps w:val="0"/>
          <w:color w:val="auto"/>
          <w:spacing w:val="0"/>
          <w:kern w:val="2"/>
          <w:sz w:val="24"/>
          <w:szCs w:val="24"/>
          <w:shd w:val="clear" w:color="auto" w:fill="FFFFFF"/>
          <w:lang w:val="en-US" w:eastAsia="zh-CN" w:bidi="ar-SA"/>
        </w:rPr>
      </w:pPr>
      <w:r>
        <w:rPr>
          <w:rFonts w:hint="eastAsia" w:ascii="宋体" w:hAnsi="宋体" w:eastAsia="宋体" w:cs="宋体"/>
          <w:i w:val="0"/>
          <w:caps w:val="0"/>
          <w:color w:val="auto"/>
          <w:spacing w:val="0"/>
          <w:kern w:val="2"/>
          <w:sz w:val="24"/>
          <w:szCs w:val="24"/>
          <w:shd w:val="clear" w:color="auto" w:fill="FFFFFF"/>
          <w:lang w:val="en-US" w:eastAsia="zh-CN" w:bidi="ar-SA"/>
        </w:rPr>
        <w:t>标项三：</w:t>
      </w:r>
    </w:p>
    <w:p>
      <w:pPr>
        <w:pStyle w:val="48"/>
        <w:pageBreakBefore w:val="0"/>
        <w:kinsoku/>
        <w:wordWrap/>
        <w:overflowPunct/>
        <w:topLinePunct w:val="0"/>
        <w:autoSpaceDE/>
        <w:autoSpaceDN/>
        <w:bidi w:val="0"/>
        <w:adjustRightInd/>
        <w:snapToGrid/>
        <w:spacing w:line="300" w:lineRule="exact"/>
        <w:ind w:firstLine="600"/>
        <w:jc w:val="left"/>
        <w:textAlignment w:val="auto"/>
        <w:rPr>
          <w:rFonts w:hint="eastAsia" w:ascii="宋体" w:hAnsi="宋体" w:eastAsia="宋体" w:cs="宋体"/>
          <w:b w:val="0"/>
          <w:i w:val="0"/>
          <w:caps w:val="0"/>
          <w:color w:val="auto"/>
          <w:spacing w:val="0"/>
          <w:kern w:val="2"/>
          <w:sz w:val="24"/>
          <w:szCs w:val="24"/>
          <w:u w:val="none"/>
          <w:shd w:val="clear" w:color="auto" w:fill="FFFFFF"/>
          <w:lang w:val="en-US" w:eastAsia="zh-CN" w:bidi="ar-SA"/>
        </w:rPr>
      </w:pPr>
      <w:r>
        <w:rPr>
          <w:rFonts w:hint="eastAsia" w:ascii="宋体" w:hAnsi="宋体" w:eastAsia="宋体" w:cs="宋体"/>
          <w:b w:val="0"/>
          <w:i w:val="0"/>
          <w:caps w:val="0"/>
          <w:color w:val="auto"/>
          <w:spacing w:val="0"/>
          <w:kern w:val="2"/>
          <w:sz w:val="24"/>
          <w:szCs w:val="24"/>
          <w:u w:val="none"/>
          <w:shd w:val="clear" w:color="auto" w:fill="FFFFFF"/>
          <w:lang w:val="en-US" w:eastAsia="zh-CN" w:bidi="ar-SA"/>
        </w:rPr>
        <w:t>标项名称:</w:t>
      </w:r>
      <w:r>
        <w:rPr>
          <w:rFonts w:hint="eastAsia" w:ascii="宋体" w:hAnsi="宋体"/>
          <w:sz w:val="24"/>
          <w:szCs w:val="24"/>
          <w:lang w:eastAsia="zh-CN"/>
        </w:rPr>
        <w:t>伊犁哈萨克自治州卫生健康委员会应急值守综合楼项目</w:t>
      </w:r>
      <w:r>
        <w:rPr>
          <w:rFonts w:hint="eastAsia" w:ascii="宋体" w:hAnsi="宋体"/>
          <w:sz w:val="24"/>
          <w:szCs w:val="24"/>
          <w:lang w:val="en-US" w:eastAsia="zh-CN"/>
        </w:rPr>
        <w:t>三标段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color w:val="auto"/>
          <w:kern w:val="0"/>
          <w:sz w:val="24"/>
          <w:szCs w:val="24"/>
          <w:lang w:val="en-US" w:eastAsia="zh-CN" w:bidi="ar"/>
        </w:rPr>
        <w:t>   数量：1 </w:t>
      </w:r>
      <w:r>
        <w:rPr>
          <w:rFonts w:hint="eastAsia"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   预算金额（元）：210000.00   </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420" w:leftChars="20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简要规格描述：1.拆除原有旧电梯；2.新</w:t>
      </w:r>
      <w:r>
        <w:rPr>
          <w:rFonts w:hint="eastAsia" w:ascii="宋体" w:hAnsi="宋体" w:eastAsia="宋体" w:cs="宋体"/>
          <w:sz w:val="24"/>
          <w:szCs w:val="24"/>
          <w:lang w:eastAsia="zh-CN"/>
        </w:rPr>
        <w:t>电梯的采购</w:t>
      </w:r>
      <w:r>
        <w:rPr>
          <w:rFonts w:hint="eastAsia" w:ascii="宋体" w:hAnsi="宋体" w:cs="宋体"/>
          <w:sz w:val="24"/>
          <w:szCs w:val="24"/>
          <w:lang w:eastAsia="zh-CN"/>
        </w:rPr>
        <w:t>、</w:t>
      </w:r>
      <w:r>
        <w:rPr>
          <w:rFonts w:hint="eastAsia" w:ascii="宋体" w:hAnsi="宋体" w:eastAsia="宋体" w:cs="宋体"/>
          <w:sz w:val="24"/>
          <w:szCs w:val="24"/>
          <w:lang w:eastAsia="zh-CN"/>
        </w:rPr>
        <w:t>安装、调试、缺陷处理、维修、培训及售后服务等，</w:t>
      </w:r>
      <w:r>
        <w:rPr>
          <w:rFonts w:hint="eastAsia" w:ascii="宋体" w:hAnsi="宋体" w:eastAsia="宋体" w:cs="宋体"/>
          <w:sz w:val="24"/>
          <w:szCs w:val="24"/>
          <w:lang w:val="en-US" w:eastAsia="zh-CN"/>
        </w:rPr>
        <w:t>技术参数详</w:t>
      </w:r>
      <w:r>
        <w:rPr>
          <w:rFonts w:hint="eastAsia" w:ascii="宋体" w:hAnsi="宋体" w:eastAsia="宋体" w:cs="宋体"/>
          <w:color w:val="auto"/>
          <w:sz w:val="24"/>
          <w:szCs w:val="24"/>
          <w:lang w:val="en-US" w:eastAsia="zh-CN"/>
        </w:rPr>
        <w:t>见</w:t>
      </w:r>
      <w:r>
        <w:rPr>
          <w:rFonts w:hint="eastAsia" w:ascii="宋体" w:hAnsi="宋体" w:eastAsia="宋体" w:cs="宋体"/>
          <w:sz w:val="24"/>
          <w:szCs w:val="24"/>
          <w:lang w:val="en-US" w:eastAsia="zh-CN"/>
        </w:rPr>
        <w:t>磋商文件。</w:t>
      </w:r>
      <w:r>
        <w:rPr>
          <w:rFonts w:hint="eastAsia" w:ascii="宋体" w:hAnsi="宋体" w:eastAsia="宋体" w:cs="宋体"/>
          <w:color w:val="auto"/>
          <w:sz w:val="24"/>
          <w:szCs w:val="24"/>
          <w:lang w:val="en-US" w:eastAsia="zh-CN"/>
        </w:rPr>
        <w:t> </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420" w:leftChars="200" w:right="0" w:firstLine="0" w:firstLineChars="0"/>
        <w:textAlignment w:val="auto"/>
        <w:rPr>
          <w:rFonts w:hint="eastAsia"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备注：/</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合同履约期限：详见采购文件</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caps w:val="0"/>
          <w:spacing w:val="0"/>
          <w:kern w:val="2"/>
          <w:sz w:val="24"/>
          <w:szCs w:val="24"/>
          <w:shd w:val="clear" w:color="auto" w:fill="FFFFFF"/>
          <w:lang w:val="en-US" w:eastAsia="zh-CN" w:bidi="ar-SA"/>
        </w:rPr>
        <w:t>本项目（否）接受联合体投标。</w:t>
      </w:r>
    </w:p>
    <w:p>
      <w:pPr>
        <w:pStyle w:val="4"/>
        <w:numPr>
          <w:ilvl w:val="0"/>
          <w:numId w:val="3"/>
        </w:numPr>
        <w:spacing w:line="400" w:lineRule="exact"/>
        <w:rPr>
          <w:rFonts w:hint="eastAsia" w:ascii="宋体" w:hAnsi="宋体" w:eastAsia="宋体" w:cs="宋体"/>
          <w:b w:val="0"/>
          <w:sz w:val="28"/>
          <w:szCs w:val="28"/>
        </w:rPr>
      </w:pPr>
      <w:bookmarkStart w:id="11" w:name="_Toc28359003"/>
      <w:bookmarkStart w:id="12" w:name="_Toc35393791"/>
      <w:bookmarkStart w:id="13" w:name="_Toc28359080"/>
      <w:bookmarkStart w:id="14" w:name="_Toc35393622"/>
      <w:r>
        <w:rPr>
          <w:rFonts w:hint="eastAsia" w:ascii="宋体" w:hAnsi="宋体" w:eastAsia="宋体" w:cs="宋体"/>
          <w:b w:val="0"/>
          <w:sz w:val="28"/>
          <w:szCs w:val="28"/>
        </w:rPr>
        <w:t>申请人的资格要求：</w:t>
      </w:r>
      <w:bookmarkEnd w:id="11"/>
      <w:bookmarkEnd w:id="12"/>
      <w:bookmarkEnd w:id="13"/>
      <w:bookmarkEnd w:id="14"/>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1.满足《中华人民共和国政府采购法》第二十二条规定；</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default"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2.落实政府采购政策需满足的资格要求：无。</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kern w:val="2"/>
          <w:sz w:val="24"/>
          <w:szCs w:val="24"/>
          <w:lang w:val="en-US" w:eastAsia="zh-CN" w:bidi="ar-SA"/>
        </w:rPr>
        <w:t>3.</w:t>
      </w:r>
      <w:r>
        <w:rPr>
          <w:rFonts w:hint="eastAsia" w:ascii="宋体" w:hAnsi="宋体" w:eastAsia="宋体" w:cs="宋体"/>
          <w:i w:val="0"/>
          <w:caps w:val="0"/>
          <w:spacing w:val="0"/>
          <w:kern w:val="2"/>
          <w:sz w:val="24"/>
          <w:szCs w:val="24"/>
          <w:shd w:val="clear" w:color="auto" w:fill="FFFFFF"/>
          <w:lang w:val="en-US" w:eastAsia="zh-CN" w:bidi="ar-SA"/>
        </w:rPr>
        <w:t>本项目的特定资格要求：</w:t>
      </w:r>
      <w:bookmarkStart w:id="15" w:name="_Toc28359004"/>
      <w:bookmarkStart w:id="16" w:name="_Toc35393623"/>
      <w:bookmarkStart w:id="17" w:name="_Toc35393792"/>
      <w:bookmarkStart w:id="18" w:name="_Toc28359081"/>
      <w:r>
        <w:rPr>
          <w:rFonts w:hint="eastAsia" w:ascii="宋体" w:hAnsi="宋体" w:eastAsia="宋体" w:cs="宋体"/>
          <w:i w:val="0"/>
          <w:caps w:val="0"/>
          <w:spacing w:val="0"/>
          <w:kern w:val="2"/>
          <w:sz w:val="24"/>
          <w:szCs w:val="24"/>
          <w:shd w:val="clear" w:color="auto" w:fill="FFFFFF"/>
          <w:lang w:val="en-US" w:eastAsia="zh-CN" w:bidi="ar-SA"/>
        </w:rPr>
        <w:t>（1）有效的营业执照副本原件；（2）</w:t>
      </w:r>
      <w:r>
        <w:rPr>
          <w:rFonts w:hint="eastAsia" w:ascii="宋体" w:hAnsi="宋体" w:eastAsia="宋体" w:cs="宋体"/>
          <w:b/>
          <w:bCs/>
          <w:i w:val="0"/>
          <w:caps w:val="0"/>
          <w:spacing w:val="0"/>
          <w:kern w:val="2"/>
          <w:sz w:val="24"/>
          <w:szCs w:val="24"/>
          <w:shd w:val="clear" w:color="auto" w:fill="FFFFFF"/>
          <w:lang w:val="en-US" w:eastAsia="zh-CN" w:bidi="ar-SA"/>
        </w:rPr>
        <w:t>标项一</w:t>
      </w:r>
      <w:r>
        <w:rPr>
          <w:rFonts w:hint="eastAsia" w:ascii="宋体" w:hAnsi="宋体" w:eastAsia="宋体" w:cs="宋体"/>
          <w:i w:val="0"/>
          <w:caps w:val="0"/>
          <w:spacing w:val="0"/>
          <w:kern w:val="2"/>
          <w:sz w:val="24"/>
          <w:szCs w:val="24"/>
          <w:shd w:val="clear" w:color="auto" w:fill="FFFFFF"/>
          <w:lang w:val="en-US" w:eastAsia="zh-CN" w:bidi="ar-SA"/>
        </w:rPr>
        <w:t>的投标人须具备建筑工程施工总承包叁级及以上或建筑装修装饰工程专业承包贰级及以上资质等级，拟担任本招标项目的项目负责人应具备不低于（建筑工程）贰级注册建造师执业资格和安全生产考核合格证书。</w:t>
      </w:r>
      <w:r>
        <w:rPr>
          <w:rFonts w:hint="eastAsia" w:ascii="宋体" w:hAnsi="宋体" w:eastAsia="宋体" w:cs="宋体"/>
          <w:b/>
          <w:bCs/>
          <w:i w:val="0"/>
          <w:caps w:val="0"/>
          <w:spacing w:val="0"/>
          <w:kern w:val="2"/>
          <w:sz w:val="24"/>
          <w:szCs w:val="24"/>
          <w:shd w:val="clear" w:color="auto" w:fill="FFFFFF"/>
          <w:lang w:val="en-US" w:eastAsia="zh-CN" w:bidi="ar-SA"/>
        </w:rPr>
        <w:t>标项二</w:t>
      </w:r>
      <w:r>
        <w:rPr>
          <w:rFonts w:hint="eastAsia" w:ascii="宋体" w:hAnsi="宋体" w:eastAsia="宋体" w:cs="宋体"/>
          <w:b w:val="0"/>
          <w:bCs w:val="0"/>
          <w:i w:val="0"/>
          <w:caps w:val="0"/>
          <w:spacing w:val="0"/>
          <w:kern w:val="2"/>
          <w:sz w:val="24"/>
          <w:szCs w:val="24"/>
          <w:shd w:val="clear" w:color="auto" w:fill="FFFFFF"/>
          <w:lang w:val="en-US" w:eastAsia="zh-CN" w:bidi="ar-SA"/>
        </w:rPr>
        <w:t>的</w:t>
      </w:r>
      <w:r>
        <w:rPr>
          <w:rFonts w:hint="eastAsia" w:ascii="宋体" w:hAnsi="宋体" w:eastAsia="宋体" w:cs="宋体"/>
          <w:i w:val="0"/>
          <w:caps w:val="0"/>
          <w:spacing w:val="0"/>
          <w:kern w:val="2"/>
          <w:sz w:val="24"/>
          <w:szCs w:val="24"/>
          <w:shd w:val="clear" w:color="auto" w:fill="FFFFFF"/>
          <w:lang w:val="en-US" w:eastAsia="zh-CN" w:bidi="ar-SA"/>
        </w:rPr>
        <w:t>投标人须具备电子与智能化工程专业承包二级及以上资质等级的施工企业，拟担任本招标项目的项目负责人应具备不低于（机电工程）贰级注册建造师执业资格和安全生产考核合格证书。参与本次投标的授权委托人、项目负责人及各专业负责人均必须是本企业在职人员。拟派的建造师保证不同时兼任其他在建工程项目；</w:t>
      </w:r>
      <w:r>
        <w:rPr>
          <w:rFonts w:hint="eastAsia" w:ascii="宋体" w:hAnsi="宋体" w:eastAsia="宋体" w:cs="宋体"/>
          <w:b/>
          <w:bCs/>
          <w:i w:val="0"/>
          <w:caps w:val="0"/>
          <w:spacing w:val="0"/>
          <w:kern w:val="2"/>
          <w:sz w:val="24"/>
          <w:szCs w:val="24"/>
          <w:shd w:val="clear" w:color="auto" w:fill="FFFFFF"/>
          <w:lang w:val="en-US" w:eastAsia="zh-CN" w:bidi="ar-SA"/>
        </w:rPr>
        <w:t>标项三</w:t>
      </w:r>
      <w:r>
        <w:rPr>
          <w:rFonts w:hint="eastAsia" w:ascii="宋体" w:hAnsi="宋体" w:eastAsia="宋体" w:cs="宋体"/>
          <w:i w:val="0"/>
          <w:caps w:val="0"/>
          <w:spacing w:val="0"/>
          <w:kern w:val="2"/>
          <w:sz w:val="24"/>
          <w:szCs w:val="24"/>
          <w:shd w:val="clear" w:color="auto" w:fill="FFFFFF"/>
          <w:lang w:val="en-US" w:eastAsia="zh-CN" w:bidi="ar-SA"/>
        </w:rPr>
        <w:t>的电梯制造商须具备有效期内的《中华人民共和国特种设备制造许可证（电梯）》B级及以上</w:t>
      </w:r>
      <w:r>
        <w:rPr>
          <w:rFonts w:hint="eastAsia" w:ascii="宋体" w:hAnsi="宋体" w:eastAsia="宋体" w:cs="宋体"/>
          <w:color w:val="auto"/>
          <w:kern w:val="2"/>
          <w:sz w:val="24"/>
          <w:szCs w:val="24"/>
          <w:lang w:val="en-US" w:eastAsia="zh-CN" w:bidi="ar-SA"/>
        </w:rPr>
        <w:t>证书及有效期内的《中华人民共和国特种设备安装改造维修许可证（电梯）》B级</w:t>
      </w:r>
      <w:r>
        <w:rPr>
          <w:rFonts w:hint="eastAsia" w:ascii="宋体" w:hAnsi="宋体" w:eastAsia="宋体" w:cs="宋体"/>
          <w:kern w:val="2"/>
          <w:sz w:val="24"/>
          <w:szCs w:val="24"/>
          <w:lang w:val="en-US" w:eastAsia="zh-CN" w:bidi="ar-SA"/>
        </w:rPr>
        <w:t>及以上证书；</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电梯经销商必须具备有效期内的《中华人民共和国特种设备安装改造维修许可证（电梯）》B级及以上证书；提供生产厂家的《中华人民共和国特种设备制造许可证》。（</w:t>
      </w:r>
      <w:r>
        <w:rPr>
          <w:rFonts w:hint="eastAsia" w:ascii="宋体" w:hAnsi="宋体" w:eastAsia="宋体" w:cs="宋体"/>
          <w:i w:val="0"/>
          <w:caps w:val="0"/>
          <w:spacing w:val="0"/>
          <w:kern w:val="2"/>
          <w:sz w:val="24"/>
          <w:szCs w:val="24"/>
          <w:shd w:val="clear" w:color="auto" w:fill="FFFFFF"/>
          <w:lang w:val="en-US" w:eastAsia="zh-CN" w:bidi="ar-SA"/>
        </w:rPr>
        <w:t>3）信用中国（https://www.creditchina.gov.cn/）及中国政府采购网（http://www.ccgp.gov.cn/）等渠道查询后，列入失信被执行人、重大税收违法案件当事人名单、政府采购严重违法失信行为记录名单（尚在处罚期内的），不得参与本招标项目；（4）单位负责人为同一人或者存在直接控股、管理关系的不同供应商，不得参加同一合同项下的政府采购活动。</w:t>
      </w:r>
    </w:p>
    <w:p>
      <w:pPr>
        <w:pStyle w:val="4"/>
        <w:spacing w:line="400" w:lineRule="exact"/>
        <w:rPr>
          <w:rFonts w:ascii="宋体" w:hAnsi="宋体" w:eastAsia="宋体" w:cs="宋体"/>
          <w:b w:val="0"/>
          <w:sz w:val="28"/>
          <w:szCs w:val="28"/>
        </w:rPr>
      </w:pPr>
      <w:r>
        <w:rPr>
          <w:rFonts w:hint="eastAsia" w:ascii="宋体" w:hAnsi="宋体" w:eastAsia="宋体" w:cs="宋体"/>
          <w:b w:val="0"/>
          <w:sz w:val="28"/>
          <w:szCs w:val="28"/>
        </w:rPr>
        <w:t>三、获取采购文件</w:t>
      </w:r>
      <w:bookmarkEnd w:id="15"/>
      <w:bookmarkEnd w:id="16"/>
      <w:bookmarkEnd w:id="17"/>
      <w:bookmarkEnd w:id="18"/>
    </w:p>
    <w:p>
      <w:pPr>
        <w:spacing w:line="400" w:lineRule="exact"/>
        <w:ind w:firstLine="540"/>
        <w:rPr>
          <w:rFonts w:ascii="宋体" w:hAnsi="宋体" w:cs="宋体"/>
          <w:sz w:val="24"/>
          <w:szCs w:val="24"/>
          <w:u w:val="none"/>
        </w:rPr>
      </w:pPr>
      <w:r>
        <w:rPr>
          <w:rFonts w:hint="eastAsia" w:ascii="宋体" w:hAnsi="宋体" w:cs="宋体"/>
          <w:sz w:val="24"/>
          <w:szCs w:val="24"/>
        </w:rPr>
        <w:t>时间：</w:t>
      </w:r>
      <w:r>
        <w:rPr>
          <w:rFonts w:hint="eastAsia" w:ascii="宋体" w:hAnsi="宋体" w:eastAsia="宋体" w:cs="宋体"/>
          <w:color w:val="auto"/>
          <w:sz w:val="24"/>
          <w:szCs w:val="24"/>
          <w:u w:val="none"/>
          <w:lang w:eastAsia="zh-CN"/>
        </w:rPr>
        <w:t>2021年12月06日至2021年12月</w:t>
      </w:r>
      <w:r>
        <w:rPr>
          <w:rFonts w:hint="eastAsia" w:ascii="宋体" w:hAnsi="宋体" w:cs="宋体"/>
          <w:color w:val="auto"/>
          <w:sz w:val="24"/>
          <w:szCs w:val="24"/>
          <w:u w:val="none"/>
          <w:lang w:val="en-US" w:eastAsia="zh-CN"/>
        </w:rPr>
        <w:t>13</w:t>
      </w:r>
      <w:r>
        <w:rPr>
          <w:rFonts w:hint="eastAsia" w:ascii="宋体" w:hAnsi="宋体" w:eastAsia="宋体" w:cs="宋体"/>
          <w:color w:val="auto"/>
          <w:sz w:val="24"/>
          <w:szCs w:val="24"/>
          <w:u w:val="none"/>
          <w:lang w:eastAsia="zh-CN"/>
        </w:rPr>
        <w:t>日</w:t>
      </w:r>
      <w:r>
        <w:rPr>
          <w:rFonts w:hint="eastAsia" w:ascii="宋体" w:hAnsi="宋体" w:cs="宋体"/>
          <w:color w:val="auto"/>
          <w:sz w:val="24"/>
          <w:szCs w:val="24"/>
          <w:u w:val="none"/>
        </w:rPr>
        <w:t>，每天上午10：00至14：00，下午1</w:t>
      </w:r>
      <w:r>
        <w:rPr>
          <w:rFonts w:hint="eastAsia" w:ascii="宋体" w:hAnsi="宋体" w:cs="宋体"/>
          <w:color w:val="auto"/>
          <w:sz w:val="24"/>
          <w:szCs w:val="24"/>
          <w:u w:val="none"/>
          <w:lang w:val="en-US" w:eastAsia="zh-CN"/>
        </w:rPr>
        <w:t>5</w:t>
      </w:r>
      <w:r>
        <w:rPr>
          <w:rFonts w:hint="eastAsia" w:ascii="宋体" w:hAnsi="宋体" w:cs="宋体"/>
          <w:color w:val="auto"/>
          <w:sz w:val="24"/>
          <w:szCs w:val="24"/>
          <w:u w:val="none"/>
        </w:rPr>
        <w:t>：</w:t>
      </w:r>
      <w:r>
        <w:rPr>
          <w:rFonts w:hint="eastAsia" w:ascii="宋体" w:hAnsi="宋体" w:cs="宋体"/>
          <w:color w:val="auto"/>
          <w:sz w:val="24"/>
          <w:szCs w:val="24"/>
          <w:u w:val="none"/>
          <w:lang w:val="en-US" w:eastAsia="zh-CN"/>
        </w:rPr>
        <w:t>3</w:t>
      </w:r>
      <w:r>
        <w:rPr>
          <w:rFonts w:hint="eastAsia" w:ascii="宋体" w:hAnsi="宋体" w:cs="宋体"/>
          <w:color w:val="auto"/>
          <w:sz w:val="24"/>
          <w:szCs w:val="24"/>
          <w:u w:val="none"/>
        </w:rPr>
        <w:t>0至</w:t>
      </w:r>
      <w:r>
        <w:rPr>
          <w:rFonts w:hint="eastAsia" w:ascii="宋体" w:hAnsi="宋体" w:cs="宋体"/>
          <w:color w:val="auto"/>
          <w:sz w:val="24"/>
          <w:szCs w:val="24"/>
          <w:u w:val="none"/>
          <w:lang w:val="en-US" w:eastAsia="zh-CN"/>
        </w:rPr>
        <w:t>19</w:t>
      </w:r>
      <w:r>
        <w:rPr>
          <w:rFonts w:hint="eastAsia" w:ascii="宋体" w:hAnsi="宋体" w:cs="宋体"/>
          <w:color w:val="auto"/>
          <w:sz w:val="24"/>
          <w:szCs w:val="24"/>
          <w:u w:val="none"/>
        </w:rPr>
        <w:t>：</w:t>
      </w:r>
      <w:r>
        <w:rPr>
          <w:rFonts w:hint="eastAsia" w:ascii="宋体" w:hAnsi="宋体" w:cs="宋体"/>
          <w:color w:val="auto"/>
          <w:sz w:val="24"/>
          <w:szCs w:val="24"/>
          <w:u w:val="none"/>
          <w:lang w:val="en-US" w:eastAsia="zh-CN"/>
        </w:rPr>
        <w:t>3</w:t>
      </w:r>
      <w:r>
        <w:rPr>
          <w:rFonts w:hint="eastAsia" w:ascii="宋体" w:hAnsi="宋体" w:cs="宋体"/>
          <w:color w:val="auto"/>
          <w:sz w:val="24"/>
          <w:szCs w:val="24"/>
          <w:u w:val="none"/>
        </w:rPr>
        <w:t>0（北京时间，</w:t>
      </w:r>
      <w:r>
        <w:rPr>
          <w:rFonts w:ascii="宋体" w:hAnsi="宋体" w:cs="宋体"/>
          <w:color w:val="auto"/>
          <w:sz w:val="24"/>
          <w:szCs w:val="24"/>
          <w:u w:val="none"/>
        </w:rPr>
        <w:t>法定节假日</w:t>
      </w:r>
      <w:r>
        <w:rPr>
          <w:rFonts w:hint="eastAsia" w:ascii="宋体" w:hAnsi="宋体" w:cs="宋体"/>
          <w:color w:val="auto"/>
          <w:sz w:val="24"/>
          <w:szCs w:val="24"/>
          <w:u w:val="none"/>
        </w:rPr>
        <w:t>除外）。</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宋体" w:hAnsi="宋体" w:eastAsia="宋体" w:cs="宋体"/>
          <w:i w:val="0"/>
          <w:caps w:val="0"/>
          <w:spacing w:val="0"/>
          <w:kern w:val="2"/>
          <w:sz w:val="24"/>
          <w:szCs w:val="24"/>
          <w:shd w:val="clear" w:color="auto" w:fill="FFFFFF"/>
          <w:lang w:val="en-US" w:eastAsia="zh-CN" w:bidi="ar-SA"/>
        </w:rPr>
      </w:pPr>
      <w:bookmarkStart w:id="19" w:name="_Toc35393793"/>
      <w:bookmarkStart w:id="20" w:name="_Toc28359082"/>
      <w:bookmarkStart w:id="21" w:name="_Toc35393624"/>
      <w:bookmarkStart w:id="22" w:name="_Toc28359005"/>
      <w:r>
        <w:rPr>
          <w:rFonts w:hint="eastAsia" w:ascii="宋体" w:hAnsi="宋体" w:eastAsia="宋体" w:cs="宋体"/>
          <w:i w:val="0"/>
          <w:caps w:val="0"/>
          <w:spacing w:val="0"/>
          <w:kern w:val="2"/>
          <w:sz w:val="24"/>
          <w:szCs w:val="24"/>
          <w:shd w:val="clear" w:color="auto" w:fill="FFFFFF"/>
          <w:lang w:val="en-US" w:eastAsia="zh-CN" w:bidi="ar-SA"/>
        </w:rPr>
        <w:t>地点：伊宁市开发区河北路福安国际1号商业楼413业务室</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default"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方式：来人领取</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default"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售价（元）：200（现金）</w:t>
      </w:r>
    </w:p>
    <w:p>
      <w:pPr>
        <w:pStyle w:val="4"/>
        <w:spacing w:line="400" w:lineRule="exact"/>
        <w:rPr>
          <w:rFonts w:ascii="宋体" w:hAnsi="宋体" w:eastAsia="宋体" w:cs="宋体"/>
          <w:b w:val="0"/>
          <w:color w:val="auto"/>
          <w:sz w:val="28"/>
          <w:szCs w:val="28"/>
        </w:rPr>
      </w:pPr>
      <w:r>
        <w:rPr>
          <w:rFonts w:hint="eastAsia" w:ascii="宋体" w:hAnsi="宋体" w:eastAsia="宋体" w:cs="宋体"/>
          <w:b w:val="0"/>
          <w:color w:val="auto"/>
          <w:sz w:val="28"/>
          <w:szCs w:val="28"/>
        </w:rPr>
        <w:t>四</w:t>
      </w:r>
      <w:r>
        <w:rPr>
          <w:rFonts w:hint="eastAsia" w:ascii="宋体" w:hAnsi="宋体" w:eastAsia="宋体" w:cs="宋体"/>
          <w:b w:val="0"/>
          <w:bCs w:val="0"/>
          <w:color w:val="auto"/>
          <w:sz w:val="28"/>
          <w:szCs w:val="28"/>
        </w:rPr>
        <w:t>、</w:t>
      </w:r>
      <w:bookmarkEnd w:id="19"/>
      <w:bookmarkEnd w:id="20"/>
      <w:bookmarkEnd w:id="21"/>
      <w:bookmarkEnd w:id="22"/>
      <w:r>
        <w:rPr>
          <w:rFonts w:ascii="宋体" w:hAnsi="宋体" w:eastAsia="宋体" w:cs="宋体"/>
          <w:b w:val="0"/>
          <w:bCs w:val="0"/>
          <w:color w:val="auto"/>
          <w:sz w:val="28"/>
          <w:szCs w:val="28"/>
        </w:rPr>
        <w:t>响应文件提交</w:t>
      </w:r>
    </w:p>
    <w:p>
      <w:pPr>
        <w:spacing w:line="400" w:lineRule="exact"/>
        <w:ind w:firstLine="480" w:firstLineChars="200"/>
        <w:rPr>
          <w:rFonts w:ascii="宋体" w:hAnsi="宋体"/>
          <w:bCs/>
          <w:color w:val="auto"/>
          <w:sz w:val="24"/>
          <w:szCs w:val="24"/>
          <w:u w:val="none"/>
        </w:rPr>
      </w:pPr>
      <w:r>
        <w:rPr>
          <w:rFonts w:hint="eastAsia" w:ascii="宋体" w:hAnsi="宋体" w:cs="宋体"/>
          <w:color w:val="auto"/>
          <w:sz w:val="24"/>
          <w:szCs w:val="24"/>
        </w:rPr>
        <w:t>截止时间：</w:t>
      </w:r>
      <w:r>
        <w:rPr>
          <w:rFonts w:hint="eastAsia" w:ascii="宋体" w:hAnsi="宋体"/>
          <w:color w:val="auto"/>
          <w:sz w:val="24"/>
          <w:szCs w:val="24"/>
          <w:u w:val="none"/>
          <w:lang w:eastAsia="zh-CN"/>
        </w:rPr>
        <w:t>2021年</w:t>
      </w:r>
      <w:r>
        <w:rPr>
          <w:rFonts w:hint="eastAsia" w:ascii="宋体" w:hAnsi="宋体"/>
          <w:color w:val="auto"/>
          <w:sz w:val="24"/>
          <w:szCs w:val="24"/>
          <w:u w:val="none"/>
          <w:lang w:val="en-US" w:eastAsia="zh-CN"/>
        </w:rPr>
        <w:t>12</w:t>
      </w:r>
      <w:r>
        <w:rPr>
          <w:rFonts w:hint="eastAsia" w:ascii="宋体" w:hAnsi="宋体"/>
          <w:color w:val="auto"/>
          <w:sz w:val="24"/>
          <w:szCs w:val="24"/>
          <w:u w:val="none"/>
          <w:lang w:eastAsia="zh-CN"/>
        </w:rPr>
        <w:t>月</w:t>
      </w:r>
      <w:r>
        <w:rPr>
          <w:rFonts w:hint="eastAsia" w:ascii="宋体" w:hAnsi="宋体"/>
          <w:color w:val="auto"/>
          <w:sz w:val="24"/>
          <w:szCs w:val="24"/>
          <w:u w:val="none"/>
          <w:lang w:val="en-US" w:eastAsia="zh-CN"/>
        </w:rPr>
        <w:t>16</w:t>
      </w:r>
      <w:r>
        <w:rPr>
          <w:rFonts w:hint="eastAsia" w:ascii="宋体" w:hAnsi="宋体"/>
          <w:color w:val="auto"/>
          <w:sz w:val="24"/>
          <w:szCs w:val="24"/>
          <w:u w:val="none"/>
          <w:lang w:eastAsia="zh-CN"/>
        </w:rPr>
        <w:t>日</w:t>
      </w:r>
      <w:r>
        <w:rPr>
          <w:rFonts w:hint="eastAsia" w:ascii="宋体" w:hAnsi="宋体"/>
          <w:bCs/>
          <w:color w:val="auto"/>
          <w:sz w:val="24"/>
          <w:szCs w:val="24"/>
          <w:u w:val="none"/>
          <w:lang w:val="en-US" w:eastAsia="zh-CN"/>
        </w:rPr>
        <w:t>11</w:t>
      </w:r>
      <w:r>
        <w:rPr>
          <w:rFonts w:hint="eastAsia" w:ascii="宋体" w:hAnsi="宋体"/>
          <w:bCs/>
          <w:color w:val="auto"/>
          <w:sz w:val="24"/>
          <w:szCs w:val="24"/>
          <w:u w:val="none"/>
        </w:rPr>
        <w:t>点</w:t>
      </w:r>
      <w:r>
        <w:rPr>
          <w:rFonts w:hint="eastAsia" w:ascii="宋体" w:hAnsi="宋体"/>
          <w:bCs/>
          <w:color w:val="auto"/>
          <w:sz w:val="24"/>
          <w:szCs w:val="24"/>
          <w:u w:val="none"/>
          <w:lang w:val="en-US" w:eastAsia="zh-CN"/>
        </w:rPr>
        <w:t>00</w:t>
      </w:r>
      <w:r>
        <w:rPr>
          <w:rFonts w:hint="eastAsia" w:ascii="宋体" w:hAnsi="宋体"/>
          <w:bCs/>
          <w:color w:val="auto"/>
          <w:sz w:val="24"/>
          <w:szCs w:val="24"/>
          <w:u w:val="none"/>
        </w:rPr>
        <w:t>分（北京时间）</w:t>
      </w:r>
    </w:p>
    <w:p>
      <w:pPr>
        <w:spacing w:line="400" w:lineRule="exact"/>
        <w:ind w:firstLine="480" w:firstLineChars="200"/>
        <w:rPr>
          <w:rFonts w:hint="eastAsia" w:ascii="宋体" w:hAnsi="宋体"/>
          <w:color w:val="auto"/>
          <w:sz w:val="24"/>
          <w:szCs w:val="24"/>
          <w:u w:val="none"/>
        </w:rPr>
      </w:pPr>
      <w:r>
        <w:rPr>
          <w:rFonts w:hint="eastAsia" w:ascii="宋体" w:hAnsi="宋体"/>
          <w:color w:val="auto"/>
          <w:sz w:val="24"/>
          <w:szCs w:val="24"/>
          <w:u w:val="none"/>
        </w:rPr>
        <w:t>投标地点：</w:t>
      </w:r>
      <w:r>
        <w:rPr>
          <w:rFonts w:hint="eastAsia"/>
          <w:color w:val="auto"/>
          <w:sz w:val="24"/>
          <w:u w:val="none"/>
          <w:lang w:val="zh-CN"/>
        </w:rPr>
        <w:t>伊宁市开发区河北路福安国际1号商业楼413室，新疆金斌工程项目管理有限公司开标厅</w:t>
      </w:r>
    </w:p>
    <w:p>
      <w:pPr>
        <w:pStyle w:val="4"/>
        <w:spacing w:line="400" w:lineRule="exact"/>
        <w:rPr>
          <w:rFonts w:hint="eastAsia" w:ascii="宋体" w:hAnsi="宋体" w:eastAsia="宋体" w:cs="宋体"/>
          <w:b w:val="0"/>
          <w:color w:val="auto"/>
          <w:sz w:val="28"/>
          <w:szCs w:val="28"/>
          <w:u w:val="none"/>
        </w:rPr>
      </w:pPr>
      <w:r>
        <w:rPr>
          <w:rFonts w:hint="eastAsia" w:ascii="宋体" w:hAnsi="宋体" w:eastAsia="宋体" w:cs="宋体"/>
          <w:b w:val="0"/>
          <w:color w:val="auto"/>
          <w:sz w:val="28"/>
          <w:szCs w:val="28"/>
          <w:u w:val="none"/>
        </w:rPr>
        <w:t>五、</w:t>
      </w:r>
      <w:r>
        <w:rPr>
          <w:rFonts w:ascii="宋体" w:hAnsi="宋体" w:eastAsia="宋体" w:cs="宋体"/>
          <w:b w:val="0"/>
          <w:bCs w:val="0"/>
          <w:color w:val="auto"/>
          <w:sz w:val="28"/>
          <w:szCs w:val="28"/>
          <w:u w:val="none"/>
        </w:rPr>
        <w:t>响应文件开启</w:t>
      </w:r>
    </w:p>
    <w:p>
      <w:pPr>
        <w:spacing w:line="400" w:lineRule="exact"/>
        <w:ind w:firstLine="480" w:firstLineChars="200"/>
        <w:rPr>
          <w:rFonts w:ascii="宋体" w:hAnsi="宋体"/>
          <w:bCs/>
          <w:color w:val="auto"/>
          <w:sz w:val="24"/>
          <w:szCs w:val="24"/>
        </w:rPr>
      </w:pPr>
      <w:r>
        <w:rPr>
          <w:rFonts w:hint="eastAsia" w:ascii="宋体" w:hAnsi="宋体" w:cs="宋体"/>
          <w:color w:val="auto"/>
          <w:sz w:val="24"/>
          <w:szCs w:val="24"/>
          <w:u w:val="none"/>
        </w:rPr>
        <w:t>开启时间：</w:t>
      </w:r>
      <w:r>
        <w:rPr>
          <w:rFonts w:hint="eastAsia" w:ascii="宋体" w:hAnsi="宋体"/>
          <w:color w:val="auto"/>
          <w:sz w:val="24"/>
          <w:szCs w:val="24"/>
          <w:u w:val="none"/>
          <w:lang w:eastAsia="zh-CN"/>
        </w:rPr>
        <w:t>2021年</w:t>
      </w:r>
      <w:r>
        <w:rPr>
          <w:rFonts w:hint="eastAsia" w:ascii="宋体" w:hAnsi="宋体"/>
          <w:color w:val="auto"/>
          <w:sz w:val="24"/>
          <w:szCs w:val="24"/>
          <w:u w:val="none"/>
          <w:lang w:val="en-US" w:eastAsia="zh-CN"/>
        </w:rPr>
        <w:t>12</w:t>
      </w:r>
      <w:r>
        <w:rPr>
          <w:rFonts w:hint="eastAsia" w:ascii="宋体" w:hAnsi="宋体"/>
          <w:color w:val="auto"/>
          <w:sz w:val="24"/>
          <w:szCs w:val="24"/>
          <w:u w:val="none"/>
          <w:lang w:eastAsia="zh-CN"/>
        </w:rPr>
        <w:t>月</w:t>
      </w:r>
      <w:r>
        <w:rPr>
          <w:rFonts w:hint="eastAsia" w:ascii="宋体" w:hAnsi="宋体"/>
          <w:color w:val="auto"/>
          <w:sz w:val="24"/>
          <w:szCs w:val="24"/>
          <w:u w:val="none"/>
          <w:lang w:val="en-US" w:eastAsia="zh-CN"/>
        </w:rPr>
        <w:t>16</w:t>
      </w:r>
      <w:r>
        <w:rPr>
          <w:rFonts w:hint="eastAsia" w:ascii="宋体" w:hAnsi="宋体"/>
          <w:color w:val="auto"/>
          <w:sz w:val="24"/>
          <w:szCs w:val="24"/>
          <w:u w:val="none"/>
          <w:lang w:eastAsia="zh-CN"/>
        </w:rPr>
        <w:t>日</w:t>
      </w:r>
      <w:r>
        <w:rPr>
          <w:rFonts w:hint="eastAsia" w:ascii="宋体" w:hAnsi="宋体"/>
          <w:bCs/>
          <w:color w:val="auto"/>
          <w:sz w:val="24"/>
          <w:szCs w:val="24"/>
          <w:u w:val="none"/>
          <w:lang w:val="en-US" w:eastAsia="zh-CN"/>
        </w:rPr>
        <w:t>11</w:t>
      </w:r>
      <w:r>
        <w:rPr>
          <w:rFonts w:hint="eastAsia" w:ascii="宋体" w:hAnsi="宋体"/>
          <w:bCs/>
          <w:color w:val="auto"/>
          <w:sz w:val="24"/>
          <w:szCs w:val="24"/>
          <w:u w:val="none"/>
        </w:rPr>
        <w:t>点</w:t>
      </w:r>
      <w:r>
        <w:rPr>
          <w:rFonts w:hint="eastAsia" w:ascii="宋体" w:hAnsi="宋体"/>
          <w:bCs/>
          <w:color w:val="auto"/>
          <w:sz w:val="24"/>
          <w:szCs w:val="24"/>
          <w:u w:val="none"/>
          <w:lang w:val="en-US" w:eastAsia="zh-CN"/>
        </w:rPr>
        <w:t>00</w:t>
      </w:r>
      <w:r>
        <w:rPr>
          <w:rFonts w:hint="eastAsia" w:ascii="宋体" w:hAnsi="宋体"/>
          <w:bCs/>
          <w:color w:val="auto"/>
          <w:sz w:val="24"/>
          <w:szCs w:val="24"/>
          <w:u w:val="none"/>
        </w:rPr>
        <w:t>分（北京时间</w:t>
      </w:r>
      <w:r>
        <w:rPr>
          <w:rFonts w:hint="eastAsia" w:ascii="宋体" w:hAnsi="宋体"/>
          <w:bCs/>
          <w:color w:val="auto"/>
          <w:sz w:val="24"/>
          <w:szCs w:val="24"/>
        </w:rPr>
        <w:t>）</w:t>
      </w:r>
    </w:p>
    <w:p>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开标地点：</w:t>
      </w:r>
      <w:r>
        <w:rPr>
          <w:rFonts w:hint="eastAsia"/>
          <w:color w:val="auto"/>
          <w:sz w:val="24"/>
          <w:lang w:val="zh-CN"/>
        </w:rPr>
        <w:t>伊宁市开发区河北路福安国际1号商业楼413室，新疆金斌工程项目管理有限公司开标厅</w:t>
      </w:r>
    </w:p>
    <w:p>
      <w:pPr>
        <w:pStyle w:val="4"/>
        <w:spacing w:line="400" w:lineRule="exact"/>
        <w:rPr>
          <w:rFonts w:ascii="宋体" w:hAnsi="宋体" w:eastAsia="宋体" w:cs="宋体"/>
          <w:b w:val="0"/>
          <w:sz w:val="28"/>
          <w:szCs w:val="28"/>
        </w:rPr>
      </w:pPr>
      <w:bookmarkStart w:id="23" w:name="_Toc28359007"/>
      <w:bookmarkStart w:id="24" w:name="_Toc35393625"/>
      <w:bookmarkStart w:id="25" w:name="_Toc28359084"/>
      <w:bookmarkStart w:id="26" w:name="_Toc35393794"/>
      <w:r>
        <w:rPr>
          <w:rFonts w:hint="eastAsia" w:ascii="宋体" w:hAnsi="宋体" w:eastAsia="宋体" w:cs="宋体"/>
          <w:b w:val="0"/>
          <w:sz w:val="28"/>
          <w:szCs w:val="28"/>
        </w:rPr>
        <w:t>六、公告期限</w:t>
      </w:r>
      <w:bookmarkEnd w:id="23"/>
      <w:bookmarkEnd w:id="24"/>
      <w:bookmarkEnd w:id="25"/>
      <w:bookmarkEnd w:id="26"/>
    </w:p>
    <w:p>
      <w:pPr>
        <w:spacing w:line="400" w:lineRule="exact"/>
        <w:ind w:firstLine="480" w:firstLineChars="200"/>
        <w:rPr>
          <w:rFonts w:ascii="宋体" w:hAnsi="宋体"/>
          <w:sz w:val="24"/>
          <w:szCs w:val="24"/>
        </w:rPr>
      </w:pPr>
      <w:r>
        <w:rPr>
          <w:rFonts w:hint="eastAsia" w:ascii="宋体" w:hAnsi="宋体"/>
          <w:sz w:val="24"/>
          <w:szCs w:val="24"/>
        </w:rPr>
        <w:t>自本公告发布之日起5个工作日。</w:t>
      </w:r>
    </w:p>
    <w:p>
      <w:pPr>
        <w:pStyle w:val="4"/>
        <w:spacing w:line="400" w:lineRule="exact"/>
        <w:rPr>
          <w:rFonts w:hint="eastAsia" w:ascii="Times New Roman" w:hAnsi="Times New Roman" w:eastAsia="宋体" w:cs="Times New Roman"/>
          <w:b w:val="0"/>
          <w:color w:val="auto"/>
          <w:kern w:val="2"/>
          <w:sz w:val="24"/>
          <w:lang w:val="zh-CN" w:eastAsia="zh-CN" w:bidi="ar-SA"/>
        </w:rPr>
      </w:pPr>
      <w:bookmarkStart w:id="27" w:name="_Toc35393626"/>
      <w:bookmarkStart w:id="28" w:name="_Toc35393795"/>
      <w:r>
        <w:rPr>
          <w:rFonts w:hint="eastAsia" w:ascii="宋体" w:hAnsi="宋体" w:eastAsia="宋体" w:cs="宋体"/>
          <w:b w:val="0"/>
          <w:sz w:val="28"/>
          <w:szCs w:val="28"/>
        </w:rPr>
        <w:t>七、</w:t>
      </w:r>
      <w:r>
        <w:rPr>
          <w:rFonts w:hint="eastAsia" w:ascii="宋体" w:hAnsi="宋体" w:eastAsia="宋体" w:cs="宋体"/>
          <w:b w:val="0"/>
          <w:sz w:val="28"/>
          <w:szCs w:val="28"/>
          <w:lang w:val="zh-CN" w:eastAsia="zh-CN"/>
        </w:rPr>
        <w:t>其他补充事宜</w:t>
      </w:r>
      <w:bookmarkEnd w:id="27"/>
      <w:bookmarkEnd w:id="28"/>
    </w:p>
    <w:p>
      <w:pPr>
        <w:spacing w:line="400" w:lineRule="exact"/>
        <w:ind w:firstLine="480" w:firstLineChars="200"/>
        <w:rPr>
          <w:rFonts w:hint="eastAsia"/>
          <w:color w:val="auto"/>
          <w:sz w:val="24"/>
          <w:lang w:val="en-US" w:eastAsia="zh-CN"/>
        </w:rPr>
      </w:pPr>
      <w:bookmarkStart w:id="29" w:name="_Toc35393627"/>
      <w:bookmarkStart w:id="30" w:name="_Toc35393796"/>
      <w:bookmarkStart w:id="31" w:name="_Toc28359008"/>
      <w:bookmarkStart w:id="32" w:name="_Toc28359085"/>
      <w:r>
        <w:rPr>
          <w:rFonts w:hint="eastAsia"/>
          <w:color w:val="auto"/>
          <w:sz w:val="24"/>
          <w:lang w:val="en-US" w:eastAsia="zh-CN"/>
        </w:rPr>
        <w:t>供应商购买采购文件时应提交的资料：法定代表人身份证或法人授权委托书及委托代理人身份证、企业营业执照 (以上证件及资料须带原件或有二维码可供查询的复印件加盖公章（电子证照）及加盖公章的复印件三套，复印件为单面复印，按上述先后顺序装订，缺一不可。)</w:t>
      </w:r>
    </w:p>
    <w:p>
      <w:pPr>
        <w:pStyle w:val="4"/>
        <w:spacing w:line="400" w:lineRule="exact"/>
        <w:rPr>
          <w:rFonts w:ascii="宋体" w:hAnsi="宋体" w:eastAsia="宋体" w:cs="宋体"/>
          <w:b w:val="0"/>
          <w:sz w:val="28"/>
          <w:szCs w:val="28"/>
        </w:rPr>
      </w:pPr>
      <w:r>
        <w:rPr>
          <w:rFonts w:hint="eastAsia" w:ascii="宋体" w:hAnsi="宋体" w:eastAsia="宋体" w:cs="宋体"/>
          <w:b w:val="0"/>
          <w:sz w:val="28"/>
          <w:szCs w:val="28"/>
        </w:rPr>
        <w:t>八、对本次招标提出询问，请按</w:t>
      </w:r>
      <w:r>
        <w:rPr>
          <w:rFonts w:ascii="宋体" w:hAnsi="宋体" w:eastAsia="宋体" w:cs="宋体"/>
          <w:b w:val="0"/>
          <w:sz w:val="28"/>
          <w:szCs w:val="28"/>
        </w:rPr>
        <w:t>以下方式</w:t>
      </w:r>
      <w:r>
        <w:rPr>
          <w:rFonts w:hint="eastAsia" w:ascii="宋体" w:hAnsi="宋体" w:eastAsia="宋体" w:cs="宋体"/>
          <w:b w:val="0"/>
          <w:sz w:val="28"/>
          <w:szCs w:val="28"/>
        </w:rPr>
        <w:t>联系。</w:t>
      </w:r>
      <w:bookmarkEnd w:id="29"/>
      <w:bookmarkEnd w:id="30"/>
      <w:bookmarkEnd w:id="31"/>
      <w:bookmarkEnd w:id="32"/>
    </w:p>
    <w:p>
      <w:pPr>
        <w:widowControl/>
        <w:spacing w:line="400" w:lineRule="exact"/>
        <w:jc w:val="left"/>
        <w:rPr>
          <w:rFonts w:ascii="宋体" w:hAnsi="宋体"/>
          <w:sz w:val="24"/>
          <w:szCs w:val="24"/>
        </w:rPr>
      </w:pPr>
      <w:r>
        <w:rPr>
          <w:rFonts w:hint="eastAsia" w:ascii="宋体" w:hAnsi="宋体" w:cs="宋体"/>
          <w:sz w:val="24"/>
          <w:szCs w:val="24"/>
        </w:rPr>
        <w:t>　</w:t>
      </w:r>
      <w:r>
        <w:rPr>
          <w:rFonts w:hint="eastAsia" w:ascii="宋体" w:hAnsi="宋体"/>
          <w:sz w:val="24"/>
          <w:szCs w:val="24"/>
        </w:rPr>
        <w:t>1.采购人信息</w:t>
      </w:r>
    </w:p>
    <w:p>
      <w:pPr>
        <w:pStyle w:val="21"/>
        <w:spacing w:before="75" w:beforeAutospacing="0" w:after="75" w:afterAutospacing="0" w:line="400" w:lineRule="exact"/>
        <w:ind w:firstLine="360" w:firstLineChars="150"/>
        <w:rPr>
          <w:rFonts w:hint="eastAsia" w:ascii="Times New Roman" w:hAnsi="Times New Roman" w:eastAsia="宋体" w:cs="Times New Roman"/>
          <w:kern w:val="2"/>
          <w:sz w:val="24"/>
          <w:szCs w:val="22"/>
          <w:lang w:val="zh-CN" w:eastAsia="zh-CN" w:bidi="ar-SA"/>
        </w:rPr>
      </w:pPr>
      <w:r>
        <w:rPr>
          <w:rFonts w:hint="eastAsia" w:ascii="Times New Roman" w:hAnsi="Times New Roman" w:eastAsia="宋体" w:cs="Times New Roman"/>
          <w:kern w:val="2"/>
          <w:sz w:val="24"/>
          <w:szCs w:val="22"/>
          <w:lang w:val="zh-CN" w:eastAsia="zh-CN" w:bidi="ar-SA"/>
        </w:rPr>
        <w:t>采购人名称：伊犁哈萨克自治州卫生健康委员会 </w:t>
      </w:r>
    </w:p>
    <w:p>
      <w:pPr>
        <w:pStyle w:val="21"/>
        <w:spacing w:before="75" w:beforeAutospacing="0" w:after="75" w:afterAutospacing="0" w:line="400" w:lineRule="exact"/>
        <w:ind w:firstLine="360" w:firstLineChars="150"/>
        <w:rPr>
          <w:rFonts w:hint="eastAsia" w:ascii="Times New Roman" w:hAnsi="Times New Roman" w:eastAsia="宋体" w:cs="Times New Roman"/>
          <w:color w:val="auto"/>
          <w:kern w:val="2"/>
          <w:sz w:val="24"/>
          <w:szCs w:val="22"/>
          <w:lang w:val="zh-CN" w:eastAsia="zh-CN" w:bidi="ar-SA"/>
        </w:rPr>
      </w:pPr>
      <w:r>
        <w:rPr>
          <w:rFonts w:hint="eastAsia" w:ascii="Times New Roman" w:hAnsi="Times New Roman" w:eastAsia="宋体" w:cs="Times New Roman"/>
          <w:color w:val="auto"/>
          <w:kern w:val="2"/>
          <w:sz w:val="24"/>
          <w:szCs w:val="22"/>
          <w:lang w:val="zh-CN" w:eastAsia="zh-CN" w:bidi="ar-SA"/>
        </w:rPr>
        <w:t>采购人地址：伊宁市</w:t>
      </w:r>
      <w:r>
        <w:rPr>
          <w:rFonts w:hint="eastAsia" w:ascii="Times New Roman" w:hAnsi="Times New Roman" w:eastAsia="宋体" w:cs="Times New Roman"/>
          <w:color w:val="auto"/>
          <w:kern w:val="2"/>
          <w:sz w:val="24"/>
          <w:szCs w:val="22"/>
          <w:lang w:val="en-US" w:eastAsia="zh-CN" w:bidi="ar-SA"/>
        </w:rPr>
        <w:t xml:space="preserve"> </w:t>
      </w:r>
      <w:r>
        <w:rPr>
          <w:rFonts w:hint="eastAsia" w:ascii="Times New Roman" w:hAnsi="Times New Roman" w:eastAsia="宋体" w:cs="Times New Roman"/>
          <w:color w:val="auto"/>
          <w:kern w:val="2"/>
          <w:sz w:val="24"/>
          <w:szCs w:val="22"/>
          <w:lang w:val="zh-CN" w:eastAsia="zh-CN" w:bidi="ar-SA"/>
        </w:rPr>
        <w:t> </w:t>
      </w:r>
    </w:p>
    <w:p>
      <w:pPr>
        <w:pStyle w:val="21"/>
        <w:spacing w:before="75" w:beforeAutospacing="0" w:after="75" w:afterAutospacing="0" w:line="400" w:lineRule="exact"/>
        <w:rPr>
          <w:rFonts w:hint="default" w:ascii="Times New Roman" w:hAnsi="Times New Roman" w:eastAsia="宋体" w:cs="Times New Roman"/>
          <w:color w:val="FF0000"/>
          <w:kern w:val="2"/>
          <w:sz w:val="24"/>
          <w:szCs w:val="22"/>
          <w:lang w:val="en-US" w:eastAsia="zh-CN" w:bidi="ar-SA"/>
        </w:rPr>
      </w:pPr>
      <w:r>
        <w:rPr>
          <w:rFonts w:hint="eastAsia" w:ascii="Times New Roman" w:hAnsi="Times New Roman" w:eastAsia="宋体" w:cs="Times New Roman"/>
          <w:color w:val="FF0000"/>
          <w:kern w:val="2"/>
          <w:sz w:val="24"/>
          <w:szCs w:val="22"/>
          <w:lang w:val="zh-CN" w:eastAsia="zh-CN" w:bidi="ar-SA"/>
        </w:rPr>
        <w:t xml:space="preserve">   </w:t>
      </w:r>
      <w:r>
        <w:rPr>
          <w:rFonts w:hint="eastAsia" w:ascii="Times New Roman" w:hAnsi="Times New Roman" w:eastAsia="宋体" w:cs="Times New Roman"/>
          <w:color w:val="auto"/>
          <w:kern w:val="2"/>
          <w:sz w:val="24"/>
          <w:szCs w:val="22"/>
          <w:lang w:val="zh-CN" w:eastAsia="zh-CN" w:bidi="ar-SA"/>
        </w:rPr>
        <w:t>联系方式：</w:t>
      </w:r>
      <w:r>
        <w:rPr>
          <w:rFonts w:hint="eastAsia" w:ascii="Times New Roman" w:hAnsi="Times New Roman" w:eastAsia="宋体" w:cs="Times New Roman"/>
          <w:color w:val="auto"/>
          <w:kern w:val="2"/>
          <w:sz w:val="24"/>
          <w:szCs w:val="22"/>
          <w:lang w:val="en-US" w:eastAsia="zh-CN" w:bidi="ar-SA"/>
        </w:rPr>
        <w:t xml:space="preserve"> 0999-8221970</w:t>
      </w:r>
      <w:r>
        <w:rPr>
          <w:rFonts w:hint="eastAsia" w:ascii="Times New Roman" w:hAnsi="Times New Roman" w:eastAsia="宋体" w:cs="Times New Roman"/>
          <w:color w:val="FF0000"/>
          <w:kern w:val="2"/>
          <w:sz w:val="24"/>
          <w:szCs w:val="22"/>
          <w:lang w:val="en-US" w:eastAsia="zh-CN" w:bidi="ar-SA"/>
        </w:rPr>
        <w:t xml:space="preserve"> </w:t>
      </w:r>
    </w:p>
    <w:p>
      <w:pPr>
        <w:spacing w:line="400" w:lineRule="exact"/>
        <w:jc w:val="left"/>
        <w:rPr>
          <w:rFonts w:ascii="宋体" w:hAnsi="宋体"/>
          <w:sz w:val="24"/>
          <w:szCs w:val="24"/>
        </w:rPr>
      </w:pPr>
      <w:r>
        <w:rPr>
          <w:rFonts w:hint="eastAsia" w:ascii="宋体" w:hAnsi="宋体"/>
          <w:sz w:val="24"/>
          <w:szCs w:val="24"/>
        </w:rPr>
        <w:t xml:space="preserve">　　　　　　　　　　 </w:t>
      </w:r>
      <w:bookmarkStart w:id="33" w:name="_Toc28359086"/>
      <w:bookmarkStart w:id="34" w:name="_Toc28359009"/>
    </w:p>
    <w:p>
      <w:pPr>
        <w:spacing w:line="400" w:lineRule="exact"/>
        <w:ind w:firstLine="240" w:firstLineChars="100"/>
        <w:jc w:val="left"/>
        <w:rPr>
          <w:rFonts w:ascii="宋体" w:hAnsi="宋体"/>
          <w:sz w:val="24"/>
          <w:szCs w:val="24"/>
        </w:rPr>
      </w:pPr>
      <w:r>
        <w:rPr>
          <w:rFonts w:hint="eastAsia" w:ascii="宋体" w:hAnsi="宋体"/>
          <w:sz w:val="24"/>
          <w:szCs w:val="24"/>
        </w:rPr>
        <w:t>2.采购代理机构信息</w:t>
      </w:r>
      <w:bookmarkEnd w:id="33"/>
      <w:bookmarkEnd w:id="34"/>
      <w:r>
        <w:rPr>
          <w:rFonts w:hint="eastAsia" w:ascii="宋体" w:hAnsi="宋体"/>
          <w:sz w:val="24"/>
          <w:szCs w:val="24"/>
        </w:rPr>
        <w:t xml:space="preserve"> </w:t>
      </w:r>
    </w:p>
    <w:p>
      <w:pPr>
        <w:spacing w:line="400" w:lineRule="exact"/>
        <w:ind w:firstLine="240" w:firstLineChars="100"/>
        <w:rPr>
          <w:rFonts w:ascii="宋体" w:hAnsi="宋体"/>
          <w:sz w:val="24"/>
          <w:szCs w:val="24"/>
        </w:rPr>
      </w:pPr>
      <w:r>
        <w:rPr>
          <w:rFonts w:hint="eastAsia" w:ascii="宋体" w:hAnsi="宋体"/>
          <w:sz w:val="24"/>
          <w:szCs w:val="24"/>
        </w:rPr>
        <w:t>单位名称：</w:t>
      </w:r>
      <w:r>
        <w:rPr>
          <w:rFonts w:hint="eastAsia"/>
          <w:sz w:val="24"/>
          <w:lang w:val="zh-CN"/>
        </w:rPr>
        <w:t>新疆金斌工程项目管理有限公司</w:t>
      </w:r>
      <w:r>
        <w:rPr>
          <w:rFonts w:hint="eastAsia" w:ascii="宋体" w:hAnsi="宋体"/>
          <w:sz w:val="24"/>
          <w:szCs w:val="24"/>
        </w:rPr>
        <w:t>　　　　　　　　　　　</w:t>
      </w:r>
    </w:p>
    <w:p>
      <w:pPr>
        <w:spacing w:line="400" w:lineRule="exact"/>
        <w:ind w:firstLine="240" w:firstLineChars="100"/>
        <w:rPr>
          <w:rFonts w:ascii="宋体" w:hAnsi="宋体"/>
          <w:sz w:val="24"/>
          <w:szCs w:val="24"/>
        </w:rPr>
      </w:pPr>
      <w:r>
        <w:rPr>
          <w:rFonts w:hint="eastAsia" w:ascii="宋体" w:hAnsi="宋体"/>
          <w:sz w:val="24"/>
          <w:szCs w:val="24"/>
        </w:rPr>
        <w:t>单位地址：</w:t>
      </w:r>
      <w:r>
        <w:rPr>
          <w:rFonts w:hint="eastAsia"/>
          <w:sz w:val="24"/>
          <w:lang w:val="zh-CN"/>
        </w:rPr>
        <w:t>伊宁市开发区河北路福安国际</w:t>
      </w:r>
      <w:r>
        <w:rPr>
          <w:sz w:val="24"/>
          <w:lang w:val="zh-CN"/>
        </w:rPr>
        <w:t>1</w:t>
      </w:r>
      <w:r>
        <w:rPr>
          <w:rFonts w:hint="eastAsia"/>
          <w:sz w:val="24"/>
          <w:lang w:val="zh-CN"/>
        </w:rPr>
        <w:t>号商业楼</w:t>
      </w:r>
      <w:r>
        <w:rPr>
          <w:sz w:val="24"/>
          <w:lang w:val="zh-CN"/>
        </w:rPr>
        <w:t>413</w:t>
      </w:r>
      <w:r>
        <w:rPr>
          <w:rFonts w:hint="eastAsia"/>
          <w:sz w:val="24"/>
          <w:lang w:val="zh-CN"/>
        </w:rPr>
        <w:t>室。</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240" w:firstLineChars="100"/>
        <w:textAlignment w:val="auto"/>
        <w:rPr>
          <w:rFonts w:hint="default"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联系方式：18699935081</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240" w:firstLineChars="100"/>
        <w:textAlignment w:val="auto"/>
        <w:rPr>
          <w:rFonts w:hint="eastAsia"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3.项目联系方式</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240" w:firstLineChars="100"/>
        <w:textAlignment w:val="auto"/>
        <w:rPr>
          <w:rFonts w:hint="eastAsia"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项目联系人：王琳</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240" w:firstLineChars="100"/>
        <w:textAlignment w:val="auto"/>
        <w:rPr>
          <w:rFonts w:hint="default" w:ascii="宋体" w:hAnsi="宋体" w:eastAsia="宋体" w:cs="宋体"/>
          <w:i w:val="0"/>
          <w:caps w:val="0"/>
          <w:spacing w:val="0"/>
          <w:kern w:val="2"/>
          <w:sz w:val="24"/>
          <w:szCs w:val="24"/>
          <w:shd w:val="clear" w:color="auto" w:fill="FFFFFF"/>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电 话：18699935081</w:t>
      </w:r>
    </w:p>
    <w:p>
      <w:pPr>
        <w:spacing w:line="400" w:lineRule="exact"/>
        <w:ind w:firstLine="240" w:firstLineChars="100"/>
        <w:rPr>
          <w:rFonts w:ascii="宋体" w:hAnsi="宋体"/>
          <w:sz w:val="24"/>
          <w:szCs w:val="24"/>
        </w:rPr>
      </w:pPr>
      <w:r>
        <w:rPr>
          <w:rFonts w:hint="eastAsia" w:ascii="宋体" w:hAnsi="宋体"/>
          <w:sz w:val="24"/>
          <w:szCs w:val="24"/>
        </w:rPr>
        <w:t>　　　　</w:t>
      </w:r>
    </w:p>
    <w:p>
      <w:pPr>
        <w:spacing w:line="400" w:lineRule="exact"/>
        <w:ind w:firstLine="720" w:firstLineChars="300"/>
        <w:rPr>
          <w:rFonts w:ascii="宋体" w:hAnsi="宋体"/>
          <w:sz w:val="24"/>
          <w:szCs w:val="24"/>
        </w:rPr>
      </w:pPr>
    </w:p>
    <w:p>
      <w:pPr>
        <w:spacing w:line="400" w:lineRule="exact"/>
        <w:ind w:firstLine="720" w:firstLineChars="300"/>
        <w:rPr>
          <w:rFonts w:ascii="宋体" w:hAnsi="宋体"/>
          <w:sz w:val="24"/>
          <w:szCs w:val="24"/>
        </w:rPr>
      </w:pP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default" w:ascii="仿宋" w:hAnsi="仿宋" w:eastAsia="仿宋" w:cs="仿宋"/>
          <w:i w:val="0"/>
          <w:caps w:val="0"/>
          <w:color w:val="000000"/>
          <w:spacing w:val="0"/>
          <w:sz w:val="24"/>
          <w:szCs w:val="24"/>
          <w:lang w:val="en-US" w:eastAsia="zh-CN"/>
        </w:rPr>
      </w:pPr>
    </w:p>
    <w:p>
      <w:pPr>
        <w:pStyle w:val="3"/>
        <w:numPr>
          <w:ilvl w:val="0"/>
          <w:numId w:val="0"/>
        </w:numPr>
        <w:spacing w:line="400" w:lineRule="atLeast"/>
        <w:jc w:val="center"/>
        <w:rPr>
          <w:rFonts w:hint="eastAsia" w:asciiTheme="minorEastAsia" w:hAnsiTheme="minorEastAsia" w:eastAsiaTheme="minorEastAsia" w:cstheme="minorEastAsia"/>
          <w:color w:val="auto"/>
          <w:sz w:val="32"/>
          <w:szCs w:val="32"/>
          <w:highlight w:val="none"/>
        </w:rPr>
      </w:pPr>
      <w:bookmarkStart w:id="1263" w:name="_GoBack"/>
      <w:bookmarkEnd w:id="1263"/>
      <w:bookmarkStart w:id="35" w:name="_Toc18890"/>
      <w:bookmarkStart w:id="36" w:name="_Toc26947"/>
      <w:r>
        <w:rPr>
          <w:rFonts w:hint="eastAsia" w:asciiTheme="minorEastAsia" w:hAnsiTheme="minorEastAsia" w:eastAsiaTheme="minorEastAsia" w:cstheme="minorEastAsia"/>
          <w:color w:val="auto"/>
          <w:sz w:val="32"/>
          <w:szCs w:val="32"/>
          <w:highlight w:val="none"/>
        </w:rPr>
        <w:t>第二部分  供应商须知</w:t>
      </w:r>
      <w:bookmarkEnd w:id="2"/>
      <w:bookmarkEnd w:id="3"/>
      <w:bookmarkEnd w:id="4"/>
      <w:bookmarkEnd w:id="5"/>
      <w:bookmarkEnd w:id="35"/>
      <w:bookmarkEnd w:id="36"/>
    </w:p>
    <w:p>
      <w:pPr>
        <w:pStyle w:val="4"/>
        <w:spacing w:before="0" w:after="100" w:afterAutospacing="1" w:line="400" w:lineRule="atLeast"/>
        <w:jc w:val="center"/>
        <w:rPr>
          <w:rFonts w:hint="eastAsia" w:asciiTheme="minorEastAsia" w:hAnsiTheme="minorEastAsia" w:eastAsiaTheme="minorEastAsia" w:cstheme="minorEastAsia"/>
          <w:color w:val="auto"/>
          <w:sz w:val="28"/>
          <w:szCs w:val="28"/>
          <w:highlight w:val="none"/>
        </w:rPr>
      </w:pPr>
      <w:bookmarkStart w:id="37" w:name="_Toc349573120"/>
      <w:bookmarkStart w:id="38" w:name="_Toc298240404"/>
      <w:bookmarkStart w:id="39" w:name="_Toc5235"/>
      <w:bookmarkStart w:id="40" w:name="_Toc527642951"/>
      <w:bookmarkStart w:id="41" w:name="_Toc349637919"/>
      <w:bookmarkStart w:id="42" w:name="_Toc267301281"/>
      <w:r>
        <w:rPr>
          <w:rFonts w:hint="eastAsia" w:asciiTheme="minorEastAsia" w:hAnsiTheme="minorEastAsia" w:eastAsiaTheme="minorEastAsia" w:cstheme="minorEastAsia"/>
          <w:color w:val="auto"/>
          <w:sz w:val="28"/>
          <w:szCs w:val="28"/>
          <w:highlight w:val="none"/>
        </w:rPr>
        <w:t>供应商须知附表</w:t>
      </w:r>
      <w:bookmarkEnd w:id="37"/>
      <w:bookmarkEnd w:id="38"/>
      <w:bookmarkEnd w:id="39"/>
      <w:bookmarkEnd w:id="40"/>
      <w:bookmarkEnd w:id="41"/>
      <w:bookmarkEnd w:id="42"/>
    </w:p>
    <w:tbl>
      <w:tblPr>
        <w:tblStyle w:val="25"/>
        <w:tblW w:w="10291"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25"/>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b/>
                <w:color w:val="auto"/>
                <w:szCs w:val="21"/>
                <w:highlight w:val="none"/>
              </w:rPr>
              <w:t>条款号</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b/>
                <w:color w:val="auto"/>
                <w:szCs w:val="21"/>
                <w:highlight w:val="none"/>
              </w:rPr>
              <w:t>条款名称</w:t>
            </w:r>
          </w:p>
        </w:tc>
        <w:tc>
          <w:tcPr>
            <w:tcW w:w="7246"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b/>
                <w:color w:val="auto"/>
                <w:szCs w:val="21"/>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color w:val="auto"/>
                <w:szCs w:val="21"/>
                <w:highlight w:val="none"/>
              </w:rPr>
              <w:t>第1.1款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采购项目</w:t>
            </w:r>
          </w:p>
        </w:tc>
        <w:tc>
          <w:tcPr>
            <w:tcW w:w="7246" w:type="dxa"/>
            <w:vAlign w:val="center"/>
          </w:tcPr>
          <w:p>
            <w:pPr>
              <w:pStyle w:val="23"/>
              <w:ind w:left="0" w:leftChars="0" w:firstLine="0" w:firstLineChars="0"/>
              <w:jc w:val="both"/>
              <w:rPr>
                <w:rFonts w:hint="default"/>
                <w:lang w:val="en-US" w:eastAsia="zh-CN"/>
              </w:rPr>
            </w:pPr>
            <w:r>
              <w:rPr>
                <w:rFonts w:hint="eastAsia" w:ascii="Times New Roman" w:hAnsi="Times New Roman" w:cs="Times New Roman"/>
                <w:kern w:val="2"/>
                <w:sz w:val="21"/>
                <w:szCs w:val="22"/>
                <w:lang w:val="en-US" w:eastAsia="zh-CN" w:bidi="ar-SA"/>
              </w:rPr>
              <w:t xml:space="preserve">伊犁哈萨克自治州卫生健康委员会应急值守综合楼项目一标段       </w:t>
            </w:r>
            <w:r>
              <w:rPr>
                <w:rFonts w:hint="eastAsia" w:ascii="Times New Roman" w:hAnsi="Times New Roman" w:eastAsia="宋体" w:cs="Times New Roman"/>
                <w:kern w:val="2"/>
                <w:sz w:val="21"/>
                <w:szCs w:val="22"/>
                <w:lang w:val="en-US" w:eastAsia="zh-CN" w:bidi="ar-SA"/>
              </w:rPr>
              <w:t>编号：</w:t>
            </w:r>
            <w:r>
              <w:rPr>
                <w:rFonts w:hint="eastAsia" w:ascii="Times New Roman" w:hAnsi="Times New Roman" w:cs="Times New Roman"/>
                <w:kern w:val="2"/>
                <w:sz w:val="21"/>
                <w:szCs w:val="22"/>
                <w:lang w:val="en-US" w:eastAsia="zh-CN" w:bidi="ar-SA"/>
              </w:rPr>
              <w:t>XJJB-2021-116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color w:val="auto"/>
                <w:szCs w:val="21"/>
                <w:highlight w:val="none"/>
              </w:rPr>
              <w:t>第1.2款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招标内容</w:t>
            </w:r>
          </w:p>
        </w:tc>
        <w:tc>
          <w:tcPr>
            <w:tcW w:w="7246" w:type="dxa"/>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caps w:val="0"/>
                <w:spacing w:val="0"/>
                <w:kern w:val="2"/>
                <w:sz w:val="24"/>
                <w:szCs w:val="24"/>
                <w:shd w:val="clear" w:color="auto" w:fill="FFFFFF"/>
                <w:lang w:val="en-US" w:eastAsia="zh-CN" w:bidi="ar-SA"/>
              </w:rPr>
              <w:t>伊犁哈萨克自治州卫生健康委员会应急值守综合楼维修改造工程（详细数据以施工图纸及工程量清单为准）。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20" w:type="dxa"/>
            <w:vAlign w:val="bottom"/>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color w:val="auto"/>
                <w:szCs w:val="21"/>
                <w:highlight w:val="none"/>
              </w:rPr>
              <w:t>第1.3款</w:t>
            </w:r>
          </w:p>
        </w:tc>
        <w:tc>
          <w:tcPr>
            <w:tcW w:w="1725" w:type="dxa"/>
            <w:vAlign w:val="bottom"/>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项目地点</w:t>
            </w:r>
          </w:p>
        </w:tc>
        <w:tc>
          <w:tcPr>
            <w:tcW w:w="7246" w:type="dxa"/>
            <w:vAlign w:val="bottom"/>
          </w:tcPr>
          <w:p>
            <w:pPr>
              <w:adjustRightInd w:val="0"/>
              <w:snapToGrid w:val="0"/>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lang w:val="en-US" w:eastAsia="zh-CN"/>
              </w:rPr>
              <w:t>伊宁市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20" w:type="dxa"/>
            <w:vAlign w:val="bottom"/>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color w:val="auto"/>
                <w:szCs w:val="21"/>
                <w:highlight w:val="none"/>
              </w:rPr>
              <w:t>第1.4款</w:t>
            </w:r>
          </w:p>
        </w:tc>
        <w:tc>
          <w:tcPr>
            <w:tcW w:w="1725" w:type="dxa"/>
            <w:vAlign w:val="bottom"/>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采购方式</w:t>
            </w:r>
          </w:p>
        </w:tc>
        <w:tc>
          <w:tcPr>
            <w:tcW w:w="7246" w:type="dxa"/>
            <w:vAlign w:val="bottom"/>
          </w:tcPr>
          <w:p>
            <w:pPr>
              <w:adjustRightInd w:val="0"/>
              <w:snapToGrid w:val="0"/>
              <w:spacing w:line="360" w:lineRule="auto"/>
              <w:jc w:val="left"/>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color w:val="auto"/>
                <w:szCs w:val="21"/>
                <w:highlight w:val="none"/>
              </w:rPr>
              <w:t>第1.5款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工期、质量等级</w:t>
            </w:r>
          </w:p>
        </w:tc>
        <w:tc>
          <w:tcPr>
            <w:tcW w:w="7246" w:type="dxa"/>
            <w:vAlign w:val="center"/>
          </w:tcPr>
          <w:p>
            <w:pPr>
              <w:adjustRightInd w:val="0"/>
              <w:snapToGrid w:val="0"/>
              <w:spacing w:line="360" w:lineRule="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工期：</w:t>
            </w:r>
            <w:r>
              <w:rPr>
                <w:rFonts w:hint="eastAsia"/>
                <w:color w:val="auto"/>
                <w:lang w:val="en-US" w:eastAsia="zh-CN"/>
              </w:rPr>
              <w:t xml:space="preserve">2021年12月18日开工，2022年03月02日竣工交付使用，总工期75 日历日。 </w:t>
            </w:r>
          </w:p>
          <w:p>
            <w:pPr>
              <w:adjustRightInd w:val="0"/>
              <w:snapToGrid w:val="0"/>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质量等级：合格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color w:val="auto"/>
                <w:szCs w:val="21"/>
                <w:highlight w:val="none"/>
              </w:rPr>
              <w:t>第2.1款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color w:val="auto"/>
                <w:szCs w:val="21"/>
                <w:highlight w:val="none"/>
              </w:rPr>
              <w:t>采购人</w:t>
            </w:r>
          </w:p>
        </w:tc>
        <w:tc>
          <w:tcPr>
            <w:tcW w:w="7246" w:type="dxa"/>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imes New Roman" w:hAnsi="Times New Roman" w:eastAsia="宋体" w:cs="Times New Roman"/>
                <w:kern w:val="2"/>
                <w:sz w:val="21"/>
                <w:szCs w:val="22"/>
                <w:lang w:val="en-US" w:eastAsia="zh-CN" w:bidi="ar-SA"/>
              </w:rPr>
              <w:t>名</w:t>
            </w:r>
            <w:r>
              <w:rPr>
                <w:rFonts w:hint="eastAsia" w:asciiTheme="minorEastAsia" w:hAnsiTheme="minorEastAsia" w:eastAsiaTheme="minorEastAsia" w:cstheme="minorEastAsia"/>
                <w:color w:val="auto"/>
                <w:kern w:val="2"/>
                <w:sz w:val="21"/>
                <w:szCs w:val="21"/>
                <w:highlight w:val="none"/>
                <w:lang w:val="en-US" w:eastAsia="zh-CN" w:bidi="ar-SA"/>
              </w:rPr>
              <w:t>称：伊犁哈萨克自治州卫生健康委员会</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地址： 伊宁市</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联系人：张雪梅  </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联系电话：0999-8221970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color w:val="auto"/>
                <w:szCs w:val="21"/>
                <w:highlight w:val="none"/>
              </w:rPr>
              <w:t>第2.2款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color w:val="auto"/>
                <w:szCs w:val="21"/>
                <w:highlight w:val="none"/>
              </w:rPr>
              <w:t>采购代理机构</w:t>
            </w:r>
          </w:p>
        </w:tc>
        <w:tc>
          <w:tcPr>
            <w:tcW w:w="7246" w:type="dxa"/>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名称：新疆金斌工程项目管理有限公司</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地址：伊宁市开发区河北路福安国际 1 号商业楼413 室</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联 系 人：王琳  </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imes New Roman" w:hAnsi="Times New Roman" w:eastAsia="宋体" w:cs="Times New Roman"/>
                <w:kern w:val="2"/>
                <w:sz w:val="21"/>
                <w:szCs w:val="20"/>
                <w:lang w:val="en-US" w:eastAsia="zh-CN" w:bidi="ar-SA"/>
              </w:rPr>
              <w:t>电    话：18699935081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第3.1款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参谈单位</w:t>
            </w:r>
            <w:r>
              <w:rPr>
                <w:rFonts w:hint="eastAsia" w:asciiTheme="minorEastAsia" w:hAnsiTheme="minorEastAsia" w:eastAsiaTheme="minorEastAsia" w:cstheme="minorEastAsia"/>
                <w:color w:val="auto"/>
                <w:szCs w:val="21"/>
                <w:highlight w:val="none"/>
              </w:rPr>
              <w:t>资格条件</w:t>
            </w:r>
          </w:p>
        </w:tc>
        <w:tc>
          <w:tcPr>
            <w:tcW w:w="724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rPr>
            </w:pPr>
            <w:r>
              <w:rPr>
                <w:rFonts w:hint="eastAsia"/>
                <w:lang w:val="en-US" w:eastAsia="zh-CN"/>
              </w:rPr>
              <w:t>1.</w:t>
            </w:r>
            <w:r>
              <w:rPr>
                <w:rFonts w:hint="eastAsia"/>
              </w:rPr>
              <w:t>具备独立法人资格；</w:t>
            </w:r>
          </w:p>
          <w:p>
            <w:pPr>
              <w:spacing w:line="320" w:lineRule="atLeast"/>
              <w:rPr>
                <w:rFonts w:hint="eastAsia"/>
                <w:lang w:val="en-US" w:eastAsia="zh-CN"/>
              </w:rPr>
            </w:pPr>
            <w:r>
              <w:rPr>
                <w:rFonts w:hint="eastAsia"/>
                <w:lang w:val="en-US" w:eastAsia="zh-CN"/>
              </w:rPr>
              <w:t>2.</w:t>
            </w:r>
            <w:r>
              <w:rPr>
                <w:rFonts w:hint="eastAsia" w:ascii="Times New Roman" w:hAnsi="Times New Roman" w:eastAsia="宋体" w:cs="Times New Roman"/>
                <w:lang w:val="en-US" w:eastAsia="zh-CN"/>
              </w:rPr>
              <w:t>投标人须具备建筑工程施工总承包叁级及以上或建筑装修装饰工程专业承包贰级及以上资质等级，拟担任本招标项目的项目负责人应具备不低于（建筑工程）贰级注册建造师执业资格和安全生产考核合格证书。参与本次投标的授权委托人、项目负责人及各专业负责人均必须是本企业在职人员。拟派的建造师保证不同时兼任其他在建工程项目；</w:t>
            </w:r>
          </w:p>
          <w:p>
            <w:pPr>
              <w:spacing w:line="320" w:lineRule="atLeas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3、供应商如在“信用中国”网站（</w:t>
            </w: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http://www.creditchina.gov.xn--cn)(www-0o3fu69vuosgftrgs7o1fgtwb3oo.ccgp.gov.xn--cn)(http-hm3gn77x6rah37a6zp351cq32emt5a//wenshu.court.gov.cn%EF%BC%89%E8%A2%AB%E5%88%97%E5%85%A5%E8%A2%AB%E5%88%97%E5%85%A5%E5%A4%B1%E4%BF%A1%E6%83%A9%E6%88%92%E5%AF%B9%E8%B1%A1%E3%80%81%E9%87%8D%E7%82%B9%E5%85%B3%E6%B3%A8%E5%90%8D%E5%8D%95%E3%80%81%E6%94%BF%E5%BA%9C%E9%87%87%E8%B4%AD%E4%B8%A5%E9%87%8D%E8%BF%9D%E6%B3%95%E5%A4%B1%E4%BF%A1%E8%A1%8C%E4%B8%BA%E8%AE%B0%E5%BD%95%E5%90%8D%E5%8D%95%E3%80%81%E6%9C%89%E8%A1%8C%E8%B4%BF%E7%8A%AF%E7%BD%AA%E8%AE%B0%E5%BD%95%E7%9A%84%EF%BC%8C%E5%B0%9A%E5%9C%A8%E5%A4%84%E7%BD%9A%E6%9C%9F%E5%86%85%E7%9A%84%E5%B0%86%E8%A2%AB%E6%8B%92%E7%BB%9D%E5%8F%82%E5%8A%A0%E6%9C%AC%E6%AC%A1%E6%8B%9B%E6%A0%87%E6%B4%BB%E5%8A%A8%EF%BC%9B"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www.creditchina.gov.cn）、中国政府采购网（www.ccgp.gov.cn）被列入失信惩戒对象、重点关注名单、政府采购严重违法失信行为记录名单、尚在处罚期内的将被拒绝参加本次招标活动；</w:t>
            </w:r>
            <w:r>
              <w:rPr>
                <w:rFonts w:hint="default" w:ascii="Times New Roman" w:hAnsi="Times New Roman" w:eastAsia="宋体" w:cs="Times New Roman"/>
                <w:lang w:val="en-US" w:eastAsia="zh-CN"/>
              </w:rPr>
              <w:fldChar w:fldCharType="end"/>
            </w:r>
          </w:p>
          <w:p>
            <w:pPr>
              <w:spacing w:line="320" w:lineRule="atLeast"/>
              <w:rPr>
                <w:rFonts w:hint="eastAsia" w:ascii="宋体" w:hAnsi="宋体" w:eastAsia="宋体" w:cs="宋体"/>
                <w:b w:val="0"/>
                <w:bCs/>
                <w:i w:val="0"/>
                <w:caps w:val="0"/>
                <w:color w:val="000000"/>
                <w:spacing w:val="0"/>
                <w:kern w:val="0"/>
                <w:sz w:val="21"/>
                <w:szCs w:val="21"/>
                <w:lang w:val="en-US" w:eastAsia="zh-CN" w:bidi="ar"/>
              </w:rPr>
            </w:pPr>
            <w:r>
              <w:rPr>
                <w:rFonts w:hint="eastAsia" w:ascii="Times New Roman" w:hAnsi="Times New Roman" w:eastAsia="宋体" w:cs="Times New Roman"/>
                <w:lang w:val="en-US" w:eastAsia="zh-CN"/>
              </w:rPr>
              <w:t xml:space="preserve">4、单位负责人为同一人或者存在直接控股、管理关系的不同供应商，不得参加同一合同项下的政府采购活动。 </w:t>
            </w:r>
            <w:r>
              <w:rPr>
                <w:rFonts w:hint="eastAsia" w:ascii="宋体" w:hAnsi="宋体" w:eastAsia="宋体" w:cs="宋体"/>
                <w:b w:val="0"/>
                <w:bCs/>
                <w:i w:val="0"/>
                <w:caps w:val="0"/>
                <w:color w:val="000000"/>
                <w:spacing w:val="0"/>
                <w:kern w:val="0"/>
                <w:sz w:val="21"/>
                <w:szCs w:val="21"/>
                <w:lang w:val="en-US" w:eastAsia="zh-CN" w:bidi="ar"/>
              </w:rPr>
              <w:t xml:space="preserve"> </w:t>
            </w:r>
          </w:p>
          <w:p>
            <w:pPr>
              <w:pStyle w:val="23"/>
              <w:ind w:left="0" w:leftChars="0" w:firstLine="0" w:firstLineChars="0"/>
              <w:jc w:val="left"/>
              <w:rPr>
                <w:rFonts w:hint="default"/>
                <w:lang w:val="en-US" w:eastAsia="zh-CN"/>
              </w:rPr>
            </w:pPr>
            <w:r>
              <w:rPr>
                <w:rFonts w:hint="eastAsia" w:ascii="宋体" w:hAnsi="宋体" w:cs="宋体"/>
                <w:b w:val="0"/>
                <w:bCs/>
                <w:i w:val="0"/>
                <w:caps w:val="0"/>
                <w:color w:val="000000"/>
                <w:spacing w:val="0"/>
                <w:kern w:val="0"/>
                <w:sz w:val="21"/>
                <w:szCs w:val="21"/>
                <w:lang w:val="en-US" w:eastAsia="zh-CN" w:bidi="ar"/>
              </w:rPr>
              <w:t>5</w:t>
            </w:r>
            <w:r>
              <w:rPr>
                <w:rFonts w:hint="eastAsia" w:ascii="宋体" w:hAnsi="宋体" w:eastAsia="宋体" w:cs="宋体"/>
                <w:b w:val="0"/>
                <w:bCs/>
                <w:i w:val="0"/>
                <w:caps w:val="0"/>
                <w:color w:val="000000"/>
                <w:spacing w:val="0"/>
                <w:kern w:val="0"/>
                <w:sz w:val="21"/>
                <w:szCs w:val="21"/>
                <w:lang w:val="en-US" w:eastAsia="zh-CN" w:bidi="ar"/>
              </w:rPr>
              <w:t xml:space="preserve">、本次招标不接受联合体投标。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.1款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联合体形式</w:t>
            </w:r>
          </w:p>
        </w:tc>
        <w:tc>
          <w:tcPr>
            <w:tcW w:w="7246" w:type="dxa"/>
            <w:vAlign w:val="center"/>
          </w:tcPr>
          <w:p>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对联合体各方的要求</w:t>
            </w:r>
          </w:p>
        </w:tc>
        <w:tc>
          <w:tcPr>
            <w:tcW w:w="7246" w:type="dxa"/>
            <w:vAlign w:val="center"/>
          </w:tcPr>
          <w:p>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.1款</w:t>
            </w:r>
          </w:p>
        </w:tc>
        <w:tc>
          <w:tcPr>
            <w:tcW w:w="1725" w:type="dxa"/>
            <w:vAlign w:val="bottom"/>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现场勘察</w:t>
            </w:r>
          </w:p>
        </w:tc>
        <w:tc>
          <w:tcPr>
            <w:tcW w:w="7246" w:type="dxa"/>
            <w:vAlign w:val="bottom"/>
          </w:tcPr>
          <w:p>
            <w:pPr>
              <w:adjustRightInd w:val="0"/>
              <w:snapToGrid w:val="0"/>
              <w:spacing w:line="360" w:lineRule="auto"/>
              <w:jc w:val="left"/>
              <w:rPr>
                <w:rFonts w:hint="default"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lang w:val="en-US" w:eastAsia="zh-CN"/>
              </w:rPr>
              <w:t>招标人不统一组织，投标人自行踏勘。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.1款</w:t>
            </w:r>
          </w:p>
        </w:tc>
        <w:tc>
          <w:tcPr>
            <w:tcW w:w="1725" w:type="dxa"/>
            <w:vAlign w:val="bottom"/>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w:t>
            </w:r>
          </w:p>
        </w:tc>
        <w:tc>
          <w:tcPr>
            <w:tcW w:w="7246" w:type="dxa"/>
            <w:vAlign w:val="bottom"/>
          </w:tcPr>
          <w:p>
            <w:pPr>
              <w:adjustRightInd w:val="0"/>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第10.3款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谈判文件的可能实质性变动内容</w:t>
            </w:r>
          </w:p>
        </w:tc>
        <w:tc>
          <w:tcPr>
            <w:tcW w:w="7246" w:type="dxa"/>
            <w:vAlign w:val="center"/>
          </w:tcPr>
          <w:p>
            <w:pPr>
              <w:adjustRightInd w:val="0"/>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第17.1款</w:t>
            </w:r>
          </w:p>
        </w:tc>
        <w:tc>
          <w:tcPr>
            <w:tcW w:w="1725" w:type="dxa"/>
            <w:vAlign w:val="center"/>
          </w:tcPr>
          <w:p>
            <w:pPr>
              <w:adjustRightInd w:val="0"/>
              <w:snapToGrid w:val="0"/>
              <w:spacing w:line="360" w:lineRule="auto"/>
              <w:ind w:left="-533" w:leftChars="-254" w:firstLine="533" w:firstLineChars="254"/>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投标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保证金</w:t>
            </w:r>
          </w:p>
        </w:tc>
        <w:tc>
          <w:tcPr>
            <w:tcW w:w="7246" w:type="dxa"/>
            <w:vAlign w:val="center"/>
          </w:tcPr>
          <w:p>
            <w:pPr>
              <w:widowControl/>
              <w:rPr>
                <w:sz w:val="21"/>
                <w:szCs w:val="21"/>
              </w:rPr>
            </w:pPr>
            <w:bookmarkStart w:id="43" w:name="_Toc259580568"/>
            <w:r>
              <w:rPr>
                <w:rFonts w:ascii="宋体" w:hAnsi="宋体" w:cs="宋体"/>
                <w:color w:val="000000"/>
                <w:sz w:val="21"/>
                <w:szCs w:val="21"/>
                <w:lang w:bidi="ar"/>
              </w:rPr>
              <w:t>账户名称：</w:t>
            </w:r>
            <w:r>
              <w:rPr>
                <w:rFonts w:hint="eastAsia" w:ascii="宋体" w:hAnsi="宋体" w:cs="宋体"/>
                <w:color w:val="000000"/>
                <w:sz w:val="21"/>
                <w:szCs w:val="21"/>
                <w:lang w:bidi="ar"/>
              </w:rPr>
              <w:t>新疆金斌工程项目管理有限公司</w:t>
            </w:r>
            <w:r>
              <w:rPr>
                <w:rFonts w:ascii="宋体" w:hAnsi="宋体" w:cs="宋体"/>
                <w:color w:val="000000"/>
                <w:sz w:val="21"/>
                <w:szCs w:val="21"/>
                <w:lang w:bidi="ar"/>
              </w:rPr>
              <w:t xml:space="preserve"> </w:t>
            </w:r>
          </w:p>
          <w:p>
            <w:pPr>
              <w:widowControl/>
              <w:rPr>
                <w:sz w:val="21"/>
                <w:szCs w:val="21"/>
              </w:rPr>
            </w:pPr>
            <w:r>
              <w:rPr>
                <w:rFonts w:ascii="宋体" w:hAnsi="宋体" w:cs="宋体"/>
                <w:color w:val="000000"/>
                <w:sz w:val="21"/>
                <w:szCs w:val="21"/>
                <w:lang w:bidi="ar"/>
              </w:rPr>
              <w:t>开户银行：</w:t>
            </w:r>
            <w:r>
              <w:rPr>
                <w:rFonts w:hint="eastAsia" w:ascii="宋体" w:hAnsi="宋体" w:cs="宋体"/>
                <w:color w:val="000000"/>
                <w:sz w:val="21"/>
                <w:szCs w:val="21"/>
                <w:lang w:bidi="ar"/>
              </w:rPr>
              <w:t>交通银行伊犁州分行营业部</w:t>
            </w:r>
            <w:r>
              <w:rPr>
                <w:rFonts w:ascii="宋体" w:hAnsi="宋体" w:cs="宋体"/>
                <w:color w:val="000000"/>
                <w:sz w:val="21"/>
                <w:szCs w:val="21"/>
                <w:lang w:bidi="ar"/>
              </w:rPr>
              <w:t xml:space="preserve"> </w:t>
            </w:r>
          </w:p>
          <w:p>
            <w:pPr>
              <w:widowControl/>
              <w:rPr>
                <w:sz w:val="21"/>
                <w:szCs w:val="21"/>
              </w:rPr>
            </w:pPr>
            <w:r>
              <w:rPr>
                <w:rFonts w:ascii="宋体" w:hAnsi="宋体" w:cs="宋体"/>
                <w:color w:val="000000"/>
                <w:sz w:val="21"/>
                <w:szCs w:val="21"/>
                <w:lang w:bidi="ar"/>
              </w:rPr>
              <w:t>开户行行号：</w:t>
            </w:r>
            <w:r>
              <w:rPr>
                <w:rFonts w:hint="eastAsia" w:ascii="宋体" w:hAnsi="宋体" w:cs="宋体"/>
                <w:color w:val="000000"/>
                <w:sz w:val="21"/>
                <w:szCs w:val="21"/>
                <w:lang w:bidi="ar"/>
              </w:rPr>
              <w:t>3018 9800 1011</w:t>
            </w:r>
            <w:r>
              <w:rPr>
                <w:rFonts w:ascii="宋体" w:hAnsi="宋体" w:cs="宋体"/>
                <w:color w:val="000000"/>
                <w:sz w:val="21"/>
                <w:szCs w:val="21"/>
                <w:lang w:bidi="ar"/>
              </w:rPr>
              <w:t xml:space="preserve"> </w:t>
            </w:r>
          </w:p>
          <w:p>
            <w:pPr>
              <w:widowControl/>
              <w:rPr>
                <w:rFonts w:hint="eastAsia" w:ascii="宋体" w:hAnsi="宋体" w:cs="宋体"/>
                <w:color w:val="000000"/>
                <w:sz w:val="21"/>
                <w:szCs w:val="21"/>
                <w:lang w:bidi="ar"/>
              </w:rPr>
            </w:pPr>
            <w:r>
              <w:rPr>
                <w:rFonts w:ascii="宋体" w:hAnsi="宋体" w:cs="宋体"/>
                <w:color w:val="000000"/>
                <w:sz w:val="21"/>
                <w:szCs w:val="21"/>
                <w:lang w:bidi="ar"/>
              </w:rPr>
              <w:t>账</w:t>
            </w:r>
            <w:r>
              <w:rPr>
                <w:rFonts w:hint="eastAsia" w:ascii="宋体" w:hAnsi="宋体" w:cs="宋体"/>
                <w:color w:val="000000"/>
                <w:sz w:val="21"/>
                <w:szCs w:val="21"/>
                <w:lang w:val="en-US" w:eastAsia="zh-CN" w:bidi="ar"/>
              </w:rPr>
              <w:t xml:space="preserve">    </w:t>
            </w:r>
            <w:r>
              <w:rPr>
                <w:rFonts w:ascii="宋体" w:hAnsi="宋体" w:cs="宋体"/>
                <w:color w:val="000000"/>
                <w:sz w:val="21"/>
                <w:szCs w:val="21"/>
                <w:lang w:bidi="ar"/>
              </w:rPr>
              <w:t>号:</w:t>
            </w:r>
            <w:r>
              <w:rPr>
                <w:rFonts w:hint="eastAsia" w:ascii="宋体" w:hAnsi="宋体" w:cs="宋体"/>
                <w:color w:val="000000"/>
                <w:sz w:val="21"/>
                <w:szCs w:val="21"/>
                <w:lang w:bidi="ar"/>
              </w:rPr>
              <w:t>655655101013000076094</w:t>
            </w:r>
          </w:p>
          <w:p>
            <w:pPr>
              <w:widowControl/>
              <w:rPr>
                <w:sz w:val="21"/>
                <w:szCs w:val="21"/>
              </w:rPr>
            </w:pPr>
            <w:r>
              <w:rPr>
                <w:rFonts w:ascii="宋体" w:hAnsi="宋体" w:cs="宋体"/>
                <w:color w:val="000000"/>
                <w:sz w:val="21"/>
                <w:szCs w:val="21"/>
                <w:lang w:bidi="ar"/>
              </w:rPr>
              <w:t xml:space="preserve">投标保证金的缴纳形式：从投标人基本账户以银行电汇或网银形式汇至投标保证金专用账户； </w:t>
            </w:r>
          </w:p>
          <w:p>
            <w:pPr>
              <w:widowControl/>
              <w:rPr>
                <w:sz w:val="21"/>
                <w:szCs w:val="21"/>
              </w:rPr>
            </w:pPr>
            <w:r>
              <w:rPr>
                <w:rFonts w:ascii="宋体" w:hAnsi="宋体" w:cs="宋体"/>
                <w:color w:val="000000"/>
                <w:sz w:val="21"/>
                <w:szCs w:val="21"/>
                <w:lang w:bidi="ar"/>
              </w:rPr>
              <w:t xml:space="preserve">1、依据伊州建招函[2019]1 号文件规定，投标人采用纸质保险保函方式作为投标保证金的，须在投标截止时间前将所投项目对应的“中国人民财产保险股份有限公司投标保证保险保函”密封随投标文件一起提交。 </w:t>
            </w:r>
          </w:p>
          <w:p>
            <w:pPr>
              <w:widowControl/>
              <w:rPr>
                <w:sz w:val="21"/>
                <w:szCs w:val="21"/>
              </w:rPr>
            </w:pPr>
            <w:r>
              <w:rPr>
                <w:rFonts w:ascii="宋体" w:hAnsi="宋体" w:cs="宋体"/>
                <w:color w:val="000000"/>
                <w:sz w:val="21"/>
                <w:szCs w:val="21"/>
                <w:lang w:bidi="ar"/>
              </w:rPr>
              <w:t xml:space="preserve">2、投标人提交投标保证金应充分考虑资金在途时间。各投标单位缴纳投标保证金时须在附加信息及用途栏内注明“投标保证金、工程名称及标段”（以投标保证金接收方银行到账信息为准）。  </w:t>
            </w:r>
          </w:p>
          <w:p>
            <w:pPr>
              <w:widowControl/>
              <w:rPr>
                <w:sz w:val="21"/>
                <w:szCs w:val="21"/>
              </w:rPr>
            </w:pPr>
            <w:r>
              <w:rPr>
                <w:rFonts w:ascii="宋体" w:hAnsi="宋体" w:cs="宋体"/>
                <w:color w:val="000000"/>
                <w:sz w:val="21"/>
                <w:szCs w:val="21"/>
                <w:lang w:bidi="ar"/>
              </w:rPr>
              <w:t>3、潜在投标人可以自主选择以上任一种递交方式提交保证金，若投标人未按照上述规定缴纳投标保证金,投标文件将被拒绝评审,投标将被拒绝，投标文件视为无效。</w:t>
            </w:r>
          </w:p>
          <w:p>
            <w:pPr>
              <w:widowControl/>
              <w:rPr>
                <w:rFonts w:hint="default" w:eastAsia="宋体"/>
                <w:sz w:val="21"/>
                <w:szCs w:val="21"/>
                <w:lang w:val="en-US" w:eastAsia="zh-CN"/>
              </w:rPr>
            </w:pPr>
            <w:r>
              <w:rPr>
                <w:rFonts w:ascii="宋体" w:hAnsi="宋体" w:cs="宋体"/>
                <w:color w:val="000000"/>
                <w:sz w:val="21"/>
                <w:szCs w:val="21"/>
                <w:lang w:bidi="ar"/>
              </w:rPr>
              <w:t xml:space="preserve">投标保证金有效期：同投标有效期。 </w:t>
            </w:r>
            <w:r>
              <w:rPr>
                <w:rFonts w:hint="eastAsia" w:ascii="宋体" w:hAnsi="宋体" w:cs="宋体"/>
                <w:color w:val="000000"/>
                <w:sz w:val="21"/>
                <w:szCs w:val="21"/>
                <w:lang w:val="en-US" w:eastAsia="zh-CN" w:bidi="ar"/>
              </w:rPr>
              <w:t xml:space="preserve">      </w:t>
            </w:r>
          </w:p>
          <w:p>
            <w:pPr>
              <w:widowControl/>
              <w:rPr>
                <w:color w:val="auto"/>
                <w:sz w:val="21"/>
                <w:szCs w:val="21"/>
              </w:rPr>
            </w:pPr>
            <w:r>
              <w:rPr>
                <w:rFonts w:ascii="宋体" w:hAnsi="宋体" w:cs="宋体"/>
                <w:color w:val="000000"/>
                <w:sz w:val="21"/>
                <w:szCs w:val="21"/>
                <w:lang w:bidi="ar"/>
              </w:rPr>
              <w:t>投标保</w:t>
            </w:r>
            <w:r>
              <w:rPr>
                <w:rFonts w:ascii="宋体" w:hAnsi="宋体" w:cs="宋体"/>
                <w:color w:val="auto"/>
                <w:sz w:val="21"/>
                <w:szCs w:val="21"/>
                <w:lang w:bidi="ar"/>
              </w:rPr>
              <w:t>证金金额：</w:t>
            </w:r>
            <w:r>
              <w:rPr>
                <w:rFonts w:hint="eastAsia" w:ascii="宋体" w:hAnsi="宋体" w:cs="宋体"/>
                <w:color w:val="auto"/>
                <w:sz w:val="21"/>
                <w:szCs w:val="21"/>
                <w:lang w:val="en-US" w:eastAsia="zh-CN" w:bidi="ar"/>
              </w:rPr>
              <w:t>40000</w:t>
            </w:r>
            <w:r>
              <w:rPr>
                <w:rFonts w:ascii="宋体" w:hAnsi="宋体" w:cs="宋体"/>
                <w:color w:val="auto"/>
                <w:sz w:val="21"/>
                <w:szCs w:val="21"/>
                <w:lang w:bidi="ar"/>
              </w:rPr>
              <w:t>.00元（</w:t>
            </w:r>
            <w:r>
              <w:rPr>
                <w:rFonts w:hint="eastAsia" w:ascii="宋体" w:hAnsi="宋体" w:cs="宋体"/>
                <w:color w:val="auto"/>
                <w:sz w:val="21"/>
                <w:szCs w:val="21"/>
                <w:lang w:eastAsia="zh-CN" w:bidi="ar"/>
              </w:rPr>
              <w:t>肆万元整</w:t>
            </w:r>
            <w:r>
              <w:rPr>
                <w:rFonts w:ascii="宋体" w:hAnsi="宋体" w:cs="宋体"/>
                <w:color w:val="auto"/>
                <w:sz w:val="21"/>
                <w:szCs w:val="21"/>
                <w:lang w:bidi="ar"/>
              </w:rPr>
              <w:t xml:space="preserve">） </w:t>
            </w:r>
          </w:p>
          <w:p>
            <w:pPr>
              <w:adjustRightInd w:val="0"/>
              <w:snapToGrid w:val="0"/>
              <w:spacing w:line="360" w:lineRule="exact"/>
              <w:rPr>
                <w:rFonts w:hint="eastAsia" w:asciiTheme="minorEastAsia" w:hAnsiTheme="minorEastAsia" w:eastAsiaTheme="minorEastAsia" w:cstheme="minorEastAsia"/>
                <w:color w:val="auto"/>
                <w:szCs w:val="21"/>
                <w:highlight w:val="none"/>
                <w:u w:val="single"/>
                <w:lang w:val="en-US" w:eastAsia="zh-CN"/>
              </w:rPr>
            </w:pPr>
            <w:r>
              <w:rPr>
                <w:rFonts w:ascii="宋体" w:hAnsi="宋体" w:cs="宋体"/>
                <w:color w:val="000000"/>
                <w:sz w:val="21"/>
                <w:szCs w:val="21"/>
                <w:lang w:bidi="ar"/>
              </w:rPr>
              <w:t>递交时间：投标截止时间前</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.1款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响应文件有效期</w:t>
            </w:r>
          </w:p>
        </w:tc>
        <w:tc>
          <w:tcPr>
            <w:tcW w:w="7246" w:type="dxa"/>
            <w:vAlign w:val="center"/>
          </w:tcPr>
          <w:p>
            <w:pPr>
              <w:adjustRightInd w:val="0"/>
              <w:snapToGrid w:val="0"/>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60</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第19.1款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响应</w:t>
            </w:r>
            <w:r>
              <w:rPr>
                <w:rFonts w:hint="eastAsia" w:asciiTheme="minorEastAsia" w:hAnsiTheme="minorEastAsia" w:eastAsiaTheme="minorEastAsia" w:cstheme="minorEastAsia"/>
                <w:color w:val="auto"/>
                <w:szCs w:val="21"/>
                <w:highlight w:val="none"/>
              </w:rPr>
              <w:t>文件份数</w:t>
            </w:r>
          </w:p>
        </w:tc>
        <w:tc>
          <w:tcPr>
            <w:tcW w:w="7246" w:type="dxa"/>
            <w:vAlign w:val="center"/>
          </w:tcPr>
          <w:p>
            <w:pPr>
              <w:spacing w:line="290" w:lineRule="exact"/>
              <w:jc w:val="left"/>
              <w:rPr>
                <w:rFonts w:hint="default"/>
                <w:lang w:val="en-US" w:eastAsia="zh-CN"/>
              </w:rPr>
            </w:pPr>
            <w:r>
              <w:rPr>
                <w:rFonts w:hint="eastAsia"/>
                <w:lang w:val="en-US" w:eastAsia="zh-CN"/>
              </w:rPr>
              <w:t>商务标</w:t>
            </w:r>
            <w:r>
              <w:rPr>
                <w:rFonts w:hint="eastAsia"/>
              </w:rPr>
              <w:t>（纸质）：正本壹份</w:t>
            </w:r>
            <w:r>
              <w:rPr>
                <w:rFonts w:hint="eastAsia"/>
                <w:lang w:eastAsia="zh-CN"/>
              </w:rPr>
              <w:t>，</w:t>
            </w:r>
            <w:r>
              <w:rPr>
                <w:rFonts w:hint="eastAsia"/>
                <w:lang w:val="en-US" w:eastAsia="zh-CN"/>
              </w:rPr>
              <w:t>副本贰份</w:t>
            </w:r>
          </w:p>
          <w:p>
            <w:pPr>
              <w:spacing w:line="290" w:lineRule="exact"/>
              <w:jc w:val="left"/>
              <w:rPr>
                <w:rFonts w:hint="eastAsia"/>
                <w:lang w:eastAsia="zh-CN"/>
              </w:rPr>
            </w:pPr>
            <w:r>
              <w:rPr>
                <w:rFonts w:hint="eastAsia"/>
              </w:rPr>
              <w:t>经济标（纸质）：正本壹份</w:t>
            </w:r>
            <w:r>
              <w:rPr>
                <w:rFonts w:hint="eastAsia"/>
                <w:lang w:eastAsia="zh-CN"/>
              </w:rPr>
              <w:t>，</w:t>
            </w:r>
            <w:r>
              <w:rPr>
                <w:rFonts w:hint="eastAsia"/>
                <w:lang w:val="en-US" w:eastAsia="zh-CN"/>
              </w:rPr>
              <w:t>副本贰份</w:t>
            </w:r>
          </w:p>
          <w:p>
            <w:pPr>
              <w:spacing w:line="290" w:lineRule="exact"/>
              <w:jc w:val="left"/>
              <w:rPr>
                <w:rFonts w:hint="eastAsia"/>
                <w:lang w:eastAsia="zh-CN"/>
              </w:rPr>
            </w:pPr>
            <w:r>
              <w:rPr>
                <w:rFonts w:hint="eastAsia"/>
              </w:rPr>
              <w:t>技术标（纸质）：正本壹份</w:t>
            </w:r>
            <w:r>
              <w:rPr>
                <w:rFonts w:hint="eastAsia"/>
                <w:lang w:eastAsia="zh-CN"/>
              </w:rPr>
              <w:t>，</w:t>
            </w:r>
            <w:r>
              <w:rPr>
                <w:rFonts w:hint="eastAsia"/>
                <w:lang w:val="en-US" w:eastAsia="zh-CN"/>
              </w:rPr>
              <w:t>副本贰份</w:t>
            </w:r>
          </w:p>
          <w:p>
            <w:pPr>
              <w:spacing w:line="290" w:lineRule="exact"/>
              <w:jc w:val="left"/>
              <w:rPr>
                <w:rFonts w:hint="eastAsia"/>
              </w:rPr>
            </w:pPr>
            <w:r>
              <w:rPr>
                <w:rFonts w:hint="eastAsia"/>
              </w:rPr>
              <w:t>电子版投标文件：贰份（两个U盘，每份U盘包括：</w:t>
            </w:r>
            <w:r>
              <w:rPr>
                <w:rFonts w:hint="eastAsia"/>
                <w:lang w:val="en-US" w:eastAsia="zh-CN"/>
              </w:rPr>
              <w:t>商务标</w:t>
            </w:r>
            <w:r>
              <w:rPr>
                <w:rFonts w:hint="eastAsia"/>
              </w:rPr>
              <w:t>、经济标、技术标，内容与纸质文件一致）。</w:t>
            </w:r>
          </w:p>
          <w:p>
            <w:pPr>
              <w:pStyle w:val="10"/>
              <w:rPr>
                <w:rFonts w:hint="eastAsia"/>
                <w:lang w:eastAsia="zh-CN"/>
              </w:rPr>
            </w:pPr>
            <w:r>
              <w:rPr>
                <w:rFonts w:hint="eastAsia" w:ascii="宋体" w:hAnsi="宋体" w:eastAsia="宋体" w:cs="宋体"/>
                <w:b w:val="0"/>
                <w:bCs/>
                <w:i w:val="0"/>
                <w:caps w:val="0"/>
                <w:color w:val="000000"/>
                <w:spacing w:val="0"/>
                <w:kern w:val="0"/>
                <w:sz w:val="21"/>
                <w:szCs w:val="21"/>
                <w:lang w:val="en-US" w:eastAsia="zh-CN" w:bidi="ar"/>
              </w:rPr>
              <w:t>电子版投标文件包含:商务标、经济标、技术标；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第20.2款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密封套上应载明的信息</w:t>
            </w:r>
          </w:p>
        </w:tc>
        <w:tc>
          <w:tcPr>
            <w:tcW w:w="7246" w:type="dxa"/>
            <w:vAlign w:val="center"/>
          </w:tcPr>
          <w:p>
            <w:pPr>
              <w:adjustRightInd w:val="0"/>
              <w:snapToGrid w:val="0"/>
              <w:spacing w:line="36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项目</w:t>
            </w:r>
            <w:r>
              <w:rPr>
                <w:rFonts w:hint="eastAsia" w:asciiTheme="minorEastAsia" w:hAnsiTheme="minorEastAsia" w:eastAsiaTheme="minorEastAsia" w:cstheme="minorEastAsia"/>
                <w:color w:val="auto"/>
                <w:szCs w:val="21"/>
                <w:highlight w:val="none"/>
              </w:rPr>
              <w:t>名称：</w:t>
            </w:r>
          </w:p>
          <w:p>
            <w:pPr>
              <w:adjustRightInd w:val="0"/>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项目编号：                                                          </w:t>
            </w:r>
          </w:p>
          <w:p>
            <w:pPr>
              <w:adjustRightInd w:val="0"/>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包装内容：</w:t>
            </w:r>
            <w:r>
              <w:rPr>
                <w:rFonts w:hint="eastAsia" w:asciiTheme="minorEastAsia" w:hAnsiTheme="minorEastAsia" w:eastAsiaTheme="minorEastAsia" w:cstheme="minorEastAsia"/>
                <w:color w:val="auto"/>
                <w:szCs w:val="21"/>
                <w:highlight w:val="none"/>
                <w:lang w:val="en-US" w:eastAsia="zh-CN"/>
              </w:rPr>
              <w:t xml:space="preserve">标明（响应文件商务标/响应文件经济标/响应文件技术标） </w:t>
            </w:r>
          </w:p>
          <w:p>
            <w:pPr>
              <w:adjustRightInd w:val="0"/>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投标</w:t>
            </w:r>
            <w:r>
              <w:rPr>
                <w:rFonts w:hint="eastAsia" w:asciiTheme="minorEastAsia" w:hAnsiTheme="minorEastAsia" w:eastAsiaTheme="minorEastAsia" w:cstheme="minorEastAsia"/>
                <w:color w:val="auto"/>
                <w:szCs w:val="21"/>
                <w:highlight w:val="none"/>
              </w:rPr>
              <w:t xml:space="preserve">单位名称：                 </w:t>
            </w:r>
          </w:p>
          <w:p>
            <w:pPr>
              <w:adjustRightInd w:val="0"/>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投标</w:t>
            </w:r>
            <w:r>
              <w:rPr>
                <w:rFonts w:hint="eastAsia" w:asciiTheme="minorEastAsia" w:hAnsiTheme="minorEastAsia" w:eastAsiaTheme="minorEastAsia" w:cstheme="minorEastAsia"/>
                <w:color w:val="auto"/>
                <w:szCs w:val="21"/>
                <w:highlight w:val="none"/>
              </w:rPr>
              <w:t xml:space="preserve">单位地址：                 </w:t>
            </w:r>
          </w:p>
          <w:p>
            <w:pPr>
              <w:adjustRightInd w:val="0"/>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联 系 人：                   </w:t>
            </w:r>
          </w:p>
          <w:p>
            <w:pPr>
              <w:adjustRightInd w:val="0"/>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联系电话：                                     </w:t>
            </w:r>
          </w:p>
          <w:p>
            <w:pPr>
              <w:adjustRightInd w:val="0"/>
              <w:snapToGrid w:val="0"/>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在规定的</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color w:val="auto"/>
                <w:szCs w:val="21"/>
                <w:highlight w:val="none"/>
                <w:lang w:val="en-US" w:eastAsia="zh-CN"/>
              </w:rPr>
              <w:t>2021年12月16日11点00分</w:t>
            </w:r>
            <w:r>
              <w:rPr>
                <w:rFonts w:hint="eastAsia" w:asciiTheme="minorEastAsia" w:hAnsiTheme="minorEastAsia" w:eastAsiaTheme="minorEastAsia" w:cstheme="minorEastAsia"/>
                <w:color w:val="auto"/>
                <w:szCs w:val="21"/>
                <w:highlight w:val="none"/>
              </w:rPr>
              <w:t>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1.1款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提交响应文件的截止时间</w:t>
            </w:r>
            <w:r>
              <w:rPr>
                <w:rFonts w:hint="eastAsia" w:asciiTheme="minorEastAsia" w:hAnsiTheme="minorEastAsia" w:eastAsiaTheme="minorEastAsia" w:cstheme="minorEastAsia"/>
                <w:color w:val="auto"/>
                <w:szCs w:val="21"/>
                <w:highlight w:val="none"/>
                <w:lang w:eastAsia="zh-CN"/>
              </w:rPr>
              <w:t>（开启时间）</w:t>
            </w:r>
          </w:p>
        </w:tc>
        <w:tc>
          <w:tcPr>
            <w:tcW w:w="7246" w:type="dxa"/>
            <w:vAlign w:val="center"/>
          </w:tcPr>
          <w:p>
            <w:pPr>
              <w:pStyle w:val="21"/>
              <w:keepNext w:val="0"/>
              <w:keepLines w:val="0"/>
              <w:widowControl/>
              <w:suppressLineNumbers w:val="0"/>
              <w:spacing w:before="75" w:beforeAutospacing="0" w:after="75" w:afterAutospacing="0" w:line="240" w:lineRule="auto"/>
              <w:ind w:left="0" w:right="0" w:firstLine="0"/>
              <w:rPr>
                <w:rFonts w:hint="default" w:ascii="Times New Roman" w:hAnsi="Times New Roman" w:cs="Times New Roman"/>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2021年12月16日11点00分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第21.1 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响应文件的递交地点</w:t>
            </w:r>
          </w:p>
        </w:tc>
        <w:tc>
          <w:tcPr>
            <w:tcW w:w="7246" w:type="dxa"/>
            <w:vAlign w:val="center"/>
          </w:tcPr>
          <w:p>
            <w:pPr>
              <w:pStyle w:val="21"/>
              <w:keepNext w:val="0"/>
              <w:keepLines w:val="0"/>
              <w:widowControl/>
              <w:suppressLineNumbers w:val="0"/>
              <w:spacing w:before="75" w:beforeAutospacing="0" w:after="75" w:afterAutospacing="0" w:line="240" w:lineRule="auto"/>
              <w:ind w:left="0" w:right="0" w:firstLine="0"/>
              <w:rPr>
                <w:rFonts w:hint="eastAsia" w:ascii="Times New Roman" w:hAnsi="Times New Roman" w:cs="Times New Roman"/>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伊宁市开发区河北路福安国际1号商业楼413室，新疆金斌工程项目管理有限公司开标厅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第</w:t>
            </w:r>
            <w:r>
              <w:rPr>
                <w:rFonts w:hint="eastAsia" w:asciiTheme="minorEastAsia" w:hAnsiTheme="minorEastAsia" w:eastAsiaTheme="minorEastAsia" w:cstheme="minorEastAsia"/>
                <w:color w:val="auto"/>
                <w:szCs w:val="21"/>
                <w:highlight w:val="none"/>
              </w:rPr>
              <w:t>23</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款</w:t>
            </w:r>
          </w:p>
        </w:tc>
        <w:tc>
          <w:tcPr>
            <w:tcW w:w="1725" w:type="dxa"/>
            <w:vAlign w:val="center"/>
          </w:tcPr>
          <w:p>
            <w:pPr>
              <w:adjustRightInd w:val="0"/>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开标时参谈单位需提供下列证件原件备查</w:t>
            </w:r>
          </w:p>
        </w:tc>
        <w:tc>
          <w:tcPr>
            <w:tcW w:w="7246" w:type="dxa"/>
            <w:vAlign w:val="center"/>
          </w:tcPr>
          <w:p>
            <w:pPr>
              <w:adjustRightInd w:val="0"/>
              <w:snapToGrid w:val="0"/>
              <w:spacing w:line="360" w:lineRule="auto"/>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按照本须知的规定，招标人邀请所有投标人的法定代表人或其委托代理人应当按时参加磋商会议，并在招标人按磋商程序进行点名时，向招标人提交法定代表人身份证明文件或法定代表人授权委托书，出示本人身份证，以证明其出席，否则，其响应文件不予接受。</w:t>
            </w:r>
          </w:p>
          <w:p>
            <w:pPr>
              <w:adjustRightInd w:val="0"/>
              <w:snapToGrid w:val="0"/>
              <w:spacing w:line="360" w:lineRule="auto"/>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磋商前，请各投标人随身携带下列有效证件：</w:t>
            </w:r>
          </w:p>
          <w:p>
            <w:pPr>
              <w:adjustRightInd w:val="0"/>
              <w:snapToGrid w:val="0"/>
              <w:spacing w:line="360" w:lineRule="auto"/>
              <w:rPr>
                <w:rFonts w:hint="eastAsia" w:ascii="宋体" w:hAnsi="宋体" w:eastAsia="宋体" w:cs="宋体"/>
                <w:b/>
                <w:bCs w:val="0"/>
                <w:i w:val="0"/>
                <w:caps w:val="0"/>
                <w:color w:val="auto"/>
                <w:spacing w:val="0"/>
                <w:kern w:val="0"/>
                <w:sz w:val="21"/>
                <w:szCs w:val="21"/>
                <w:lang w:val="en-US" w:eastAsia="zh-CN" w:bidi="ar"/>
              </w:rPr>
            </w:pPr>
            <w:r>
              <w:rPr>
                <w:rFonts w:hint="eastAsia" w:ascii="宋体" w:hAnsi="宋体" w:eastAsia="宋体" w:cs="宋体"/>
                <w:b/>
                <w:bCs w:val="0"/>
                <w:i w:val="0"/>
                <w:caps w:val="0"/>
                <w:color w:val="auto"/>
                <w:spacing w:val="0"/>
                <w:kern w:val="0"/>
                <w:sz w:val="21"/>
                <w:szCs w:val="21"/>
                <w:lang w:val="en-US" w:eastAsia="zh-CN" w:bidi="ar"/>
              </w:rPr>
              <w:t>（1）法定代表人身份证明书原件及身份证原件或法人授权委托书原件及委托代理人身份证原件；法定代表人授权委托书应当单独提供，并与响应文件中所提供的相一致；</w:t>
            </w:r>
          </w:p>
          <w:p>
            <w:pPr>
              <w:adjustRightInd w:val="0"/>
              <w:snapToGrid w:val="0"/>
              <w:spacing w:line="360" w:lineRule="auto"/>
              <w:rPr>
                <w:rFonts w:hint="eastAsia" w:ascii="宋体" w:hAnsi="宋体" w:eastAsia="宋体" w:cs="宋体"/>
                <w:b/>
                <w:bCs w:val="0"/>
                <w:i w:val="0"/>
                <w:caps w:val="0"/>
                <w:color w:val="auto"/>
                <w:spacing w:val="0"/>
                <w:kern w:val="0"/>
                <w:sz w:val="21"/>
                <w:szCs w:val="21"/>
                <w:lang w:val="en-US" w:eastAsia="zh-CN" w:bidi="ar"/>
              </w:rPr>
            </w:pPr>
            <w:r>
              <w:rPr>
                <w:rFonts w:hint="eastAsia" w:ascii="宋体" w:hAnsi="宋体" w:eastAsia="宋体" w:cs="宋体"/>
                <w:b/>
                <w:bCs w:val="0"/>
                <w:i w:val="0"/>
                <w:caps w:val="0"/>
                <w:color w:val="auto"/>
                <w:spacing w:val="0"/>
                <w:kern w:val="0"/>
                <w:sz w:val="21"/>
                <w:szCs w:val="21"/>
                <w:lang w:val="en-US" w:eastAsia="zh-CN" w:bidi="ar"/>
              </w:rPr>
              <w:t>（2）营业执照或具有同等法律效力的证明文件（发证机关或公证机关出具的证明材料）、资质证书、安全生产许可证；</w:t>
            </w:r>
          </w:p>
          <w:p>
            <w:pPr>
              <w:adjustRightInd w:val="0"/>
              <w:snapToGrid w:val="0"/>
              <w:spacing w:line="360" w:lineRule="auto"/>
              <w:rPr>
                <w:rFonts w:hint="default" w:ascii="宋体" w:hAnsi="宋体" w:eastAsia="宋体" w:cs="宋体"/>
                <w:b/>
                <w:bCs w:val="0"/>
                <w:i w:val="0"/>
                <w:caps w:val="0"/>
                <w:color w:val="auto"/>
                <w:spacing w:val="0"/>
                <w:kern w:val="0"/>
                <w:sz w:val="21"/>
                <w:szCs w:val="21"/>
                <w:lang w:val="en-US" w:eastAsia="zh-CN" w:bidi="ar"/>
              </w:rPr>
            </w:pPr>
            <w:r>
              <w:rPr>
                <w:rFonts w:hint="eastAsia" w:ascii="宋体" w:hAnsi="宋体" w:eastAsia="宋体" w:cs="宋体"/>
                <w:b/>
                <w:bCs w:val="0"/>
                <w:i w:val="0"/>
                <w:caps w:val="0"/>
                <w:color w:val="auto"/>
                <w:spacing w:val="0"/>
                <w:kern w:val="0"/>
                <w:sz w:val="21"/>
                <w:szCs w:val="21"/>
                <w:lang w:val="en-US" w:eastAsia="zh-CN" w:bidi="ar"/>
              </w:rPr>
              <w:t>（3）拟派注册建造师证书、安全生产考核合格证书、拟派建造师近半年（2021年06月-2021年11月）在本单位的社保证明文件；</w:t>
            </w:r>
          </w:p>
          <w:p>
            <w:pPr>
              <w:adjustRightInd w:val="0"/>
              <w:snapToGrid w:val="0"/>
              <w:spacing w:line="360" w:lineRule="auto"/>
              <w:rPr>
                <w:rFonts w:hint="eastAsia" w:ascii="宋体" w:hAnsi="宋体" w:eastAsia="宋体" w:cs="宋体"/>
                <w:b/>
                <w:bCs w:val="0"/>
                <w:i w:val="0"/>
                <w:caps w:val="0"/>
                <w:color w:val="auto"/>
                <w:spacing w:val="0"/>
                <w:kern w:val="0"/>
                <w:sz w:val="21"/>
                <w:szCs w:val="21"/>
                <w:lang w:val="en-US" w:eastAsia="zh-CN" w:bidi="ar"/>
              </w:rPr>
            </w:pPr>
            <w:r>
              <w:rPr>
                <w:rFonts w:hint="eastAsia" w:ascii="宋体" w:hAnsi="宋体" w:eastAsia="宋体" w:cs="宋体"/>
                <w:b/>
                <w:bCs w:val="0"/>
                <w:i w:val="0"/>
                <w:caps w:val="0"/>
                <w:color w:val="auto"/>
                <w:spacing w:val="0"/>
                <w:kern w:val="0"/>
                <w:sz w:val="21"/>
                <w:szCs w:val="21"/>
                <w:lang w:val="en-US" w:eastAsia="zh-CN" w:bidi="ar"/>
              </w:rPr>
              <w:t>（4）信用中国网站相关截图证明材料加盖公章（查询方式：信用中国：网站主页点击“信用服务”选取“失信被执行人”、“重大税收违法案件当事人”进行逐一查询打印）；</w:t>
            </w:r>
          </w:p>
          <w:p>
            <w:pPr>
              <w:adjustRightInd w:val="0"/>
              <w:snapToGrid w:val="0"/>
              <w:spacing w:line="360" w:lineRule="auto"/>
              <w:rPr>
                <w:rFonts w:hint="eastAsia" w:ascii="宋体" w:hAnsi="宋体" w:eastAsia="宋体" w:cs="宋体"/>
                <w:b/>
                <w:bCs w:val="0"/>
                <w:i w:val="0"/>
                <w:caps w:val="0"/>
                <w:color w:val="auto"/>
                <w:spacing w:val="0"/>
                <w:kern w:val="0"/>
                <w:sz w:val="21"/>
                <w:szCs w:val="21"/>
                <w:lang w:val="en-US" w:eastAsia="zh-CN" w:bidi="ar"/>
              </w:rPr>
            </w:pPr>
            <w:r>
              <w:rPr>
                <w:rFonts w:hint="eastAsia" w:ascii="宋体" w:hAnsi="宋体" w:eastAsia="宋体" w:cs="宋体"/>
                <w:b/>
                <w:bCs w:val="0"/>
                <w:i w:val="0"/>
                <w:caps w:val="0"/>
                <w:color w:val="auto"/>
                <w:spacing w:val="0"/>
                <w:kern w:val="0"/>
                <w:sz w:val="21"/>
                <w:szCs w:val="21"/>
                <w:lang w:val="en-US" w:eastAsia="zh-CN" w:bidi="ar"/>
              </w:rPr>
              <w:t>（5）中国政府采购网相关截图证明材料复印件加盖公章 （查询方式：中国政府采购网: 网站主页点击“政府采购严重违法失信行为记录名单 ”进行查询）；</w:t>
            </w:r>
          </w:p>
          <w:p>
            <w:pPr>
              <w:adjustRightInd w:val="0"/>
              <w:snapToGrid w:val="0"/>
              <w:spacing w:line="360" w:lineRule="auto"/>
              <w:rPr>
                <w:rFonts w:hint="eastAsia" w:ascii="宋体" w:hAnsi="宋体" w:eastAsia="宋体" w:cs="宋体"/>
                <w:b/>
                <w:bCs w:val="0"/>
                <w:i w:val="0"/>
                <w:caps w:val="0"/>
                <w:color w:val="auto"/>
                <w:spacing w:val="0"/>
                <w:kern w:val="0"/>
                <w:sz w:val="21"/>
                <w:szCs w:val="21"/>
                <w:lang w:val="en-US" w:eastAsia="zh-CN" w:bidi="ar"/>
              </w:rPr>
            </w:pPr>
            <w:r>
              <w:rPr>
                <w:rFonts w:hint="eastAsia" w:ascii="宋体" w:hAnsi="宋体" w:eastAsia="宋体" w:cs="宋体"/>
                <w:b/>
                <w:bCs w:val="0"/>
                <w:i w:val="0"/>
                <w:caps w:val="0"/>
                <w:color w:val="auto"/>
                <w:spacing w:val="0"/>
                <w:kern w:val="0"/>
                <w:sz w:val="21"/>
                <w:szCs w:val="21"/>
                <w:lang w:val="en-US" w:eastAsia="zh-CN" w:bidi="ar"/>
              </w:rPr>
              <w:t>（6）投标保证金收据原件或投标保证保险保险原件；</w:t>
            </w:r>
          </w:p>
          <w:p>
            <w:pPr>
              <w:adjustRightInd w:val="0"/>
              <w:snapToGrid w:val="0"/>
              <w:spacing w:line="360" w:lineRule="auto"/>
              <w:rPr>
                <w:rFonts w:hint="eastAsia" w:ascii="宋体" w:hAnsi="宋体" w:eastAsia="宋体" w:cs="宋体"/>
                <w:b/>
                <w:bCs w:val="0"/>
                <w:i w:val="0"/>
                <w:caps w:val="0"/>
                <w:color w:val="auto"/>
                <w:spacing w:val="0"/>
                <w:kern w:val="0"/>
                <w:sz w:val="21"/>
                <w:szCs w:val="21"/>
                <w:lang w:val="en-US" w:eastAsia="zh-CN" w:bidi="ar"/>
              </w:rPr>
            </w:pPr>
            <w:r>
              <w:rPr>
                <w:rFonts w:hint="eastAsia" w:ascii="宋体" w:hAnsi="宋体" w:eastAsia="宋体" w:cs="宋体"/>
                <w:b/>
                <w:bCs w:val="0"/>
                <w:i w:val="0"/>
                <w:caps w:val="0"/>
                <w:color w:val="auto"/>
                <w:spacing w:val="0"/>
                <w:kern w:val="0"/>
                <w:sz w:val="21"/>
                <w:szCs w:val="21"/>
                <w:lang w:val="en-US" w:eastAsia="zh-CN" w:bidi="ar"/>
              </w:rPr>
              <w:t>（7）区外企业需提供区外建筑企业进疆信息报送手续。</w:t>
            </w:r>
          </w:p>
          <w:p>
            <w:pPr>
              <w:adjustRightInd w:val="0"/>
              <w:snapToGrid w:val="0"/>
              <w:spacing w:line="360" w:lineRule="auto"/>
              <w:rPr>
                <w:rFonts w:hint="eastAsia" w:ascii="宋体" w:hAnsi="宋体" w:eastAsia="宋体" w:cs="宋体"/>
                <w:b/>
                <w:bCs w:val="0"/>
                <w:i w:val="0"/>
                <w:caps w:val="0"/>
                <w:color w:val="000000"/>
                <w:spacing w:val="0"/>
                <w:kern w:val="0"/>
                <w:sz w:val="21"/>
                <w:szCs w:val="21"/>
                <w:lang w:val="en-US" w:eastAsia="zh-CN" w:bidi="ar"/>
              </w:rPr>
            </w:pPr>
            <w:r>
              <w:rPr>
                <w:rFonts w:hint="eastAsia" w:ascii="宋体" w:hAnsi="宋体" w:cs="宋体"/>
                <w:b/>
                <w:bCs w:val="0"/>
                <w:i w:val="0"/>
                <w:caps w:val="0"/>
                <w:color w:val="000000"/>
                <w:spacing w:val="0"/>
                <w:kern w:val="0"/>
                <w:sz w:val="21"/>
                <w:szCs w:val="21"/>
                <w:lang w:val="en-US" w:eastAsia="zh-CN" w:bidi="ar"/>
              </w:rPr>
              <w:t>注：以上证件及资料可提供原件或有二维码可供查询的复印件加盖公章。</w:t>
            </w:r>
            <w:r>
              <w:rPr>
                <w:rFonts w:hint="eastAsia" w:ascii="宋体" w:hAnsi="宋体" w:eastAsia="宋体" w:cs="宋体"/>
                <w:b/>
                <w:bCs w:val="0"/>
                <w:i w:val="0"/>
                <w:caps w:val="0"/>
                <w:color w:val="000000"/>
                <w:spacing w:val="0"/>
                <w:kern w:val="0"/>
                <w:sz w:val="21"/>
                <w:szCs w:val="21"/>
                <w:lang w:val="en-US" w:eastAsia="zh-CN" w:bidi="ar"/>
              </w:rPr>
              <w:t>上述证件齐全、满足要求的投标人为有效投标人。</w:t>
            </w:r>
          </w:p>
          <w:p>
            <w:pPr>
              <w:adjustRightInd w:val="0"/>
              <w:snapToGrid w:val="0"/>
              <w:spacing w:line="360" w:lineRule="auto"/>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以上证件及资料须现场递交，以备资格审查（提供不全的视为资格审查不通过，投标将被拒绝）。</w:t>
            </w:r>
          </w:p>
          <w:p>
            <w:pPr>
              <w:adjustRightInd w:val="0"/>
              <w:snapToGrid w:val="0"/>
              <w:spacing w:line="360" w:lineRule="auto"/>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开标时，投标文件出现下列情形之一的，应当作为无效投标文件，不得进入磋商：</w:t>
            </w:r>
          </w:p>
          <w:p>
            <w:pPr>
              <w:adjustRightInd w:val="0"/>
              <w:snapToGrid w:val="0"/>
              <w:spacing w:line="360" w:lineRule="auto"/>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1、投标文件未按照</w:t>
            </w:r>
            <w:r>
              <w:rPr>
                <w:rFonts w:hint="eastAsia" w:ascii="宋体" w:hAnsi="宋体" w:cs="宋体"/>
                <w:b w:val="0"/>
                <w:bCs/>
                <w:i w:val="0"/>
                <w:caps w:val="0"/>
                <w:color w:val="000000"/>
                <w:spacing w:val="0"/>
                <w:kern w:val="0"/>
                <w:sz w:val="21"/>
                <w:szCs w:val="21"/>
                <w:lang w:val="en-US" w:eastAsia="zh-CN" w:bidi="ar"/>
              </w:rPr>
              <w:t>磋商</w:t>
            </w:r>
            <w:r>
              <w:rPr>
                <w:rFonts w:hint="eastAsia" w:ascii="宋体" w:hAnsi="宋体" w:eastAsia="宋体" w:cs="宋体"/>
                <w:b w:val="0"/>
                <w:bCs/>
                <w:i w:val="0"/>
                <w:caps w:val="0"/>
                <w:color w:val="000000"/>
                <w:spacing w:val="0"/>
                <w:kern w:val="0"/>
                <w:sz w:val="21"/>
                <w:szCs w:val="21"/>
                <w:lang w:val="en-US" w:eastAsia="zh-CN" w:bidi="ar"/>
              </w:rPr>
              <w:t>文件的要求予以密封和编制的；</w:t>
            </w:r>
          </w:p>
          <w:p>
            <w:pPr>
              <w:spacing w:line="320" w:lineRule="exact"/>
              <w:rPr>
                <w:rFonts w:hint="eastAsia" w:asciiTheme="minorEastAsia" w:hAnsiTheme="minorEastAsia" w:eastAsiaTheme="minorEastAsia" w:cstheme="minorEastAsia"/>
                <w:bCs/>
                <w:color w:val="auto"/>
                <w:sz w:val="21"/>
                <w:szCs w:val="21"/>
                <w:highlight w:val="none"/>
              </w:rPr>
            </w:pPr>
            <w:r>
              <w:rPr>
                <w:rFonts w:hint="eastAsia" w:ascii="宋体" w:hAnsi="宋体" w:eastAsia="宋体" w:cs="宋体"/>
                <w:b w:val="0"/>
                <w:bCs/>
                <w:i w:val="0"/>
                <w:caps w:val="0"/>
                <w:color w:val="000000"/>
                <w:spacing w:val="0"/>
                <w:kern w:val="0"/>
                <w:sz w:val="21"/>
                <w:szCs w:val="21"/>
                <w:lang w:val="en-US" w:eastAsia="zh-CN" w:bidi="ar"/>
              </w:rPr>
              <w:t>2、没有按照磋商文件要求提供投标保证金的。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 xml:space="preserve">27.4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中标公示</w:t>
            </w:r>
            <w:r>
              <w:rPr>
                <w:rFonts w:hint="eastAsia" w:asciiTheme="minorEastAsia" w:hAnsiTheme="minorEastAsia" w:eastAsiaTheme="minorEastAsia" w:cstheme="minorEastAsia"/>
                <w:color w:val="auto"/>
                <w:szCs w:val="21"/>
                <w:highlight w:val="none"/>
              </w:rPr>
              <w:t>发布</w:t>
            </w:r>
          </w:p>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媒体</w:t>
            </w:r>
          </w:p>
        </w:tc>
        <w:tc>
          <w:tcPr>
            <w:tcW w:w="7246" w:type="dxa"/>
            <w:vAlign w:val="center"/>
          </w:tcPr>
          <w:p>
            <w:pPr>
              <w:adjustRightInd w:val="0"/>
              <w:snapToGrid w:val="0"/>
              <w:spacing w:line="360" w:lineRule="auto"/>
              <w:jc w:val="left"/>
              <w:rPr>
                <w:rFonts w:hint="eastAsia" w:asciiTheme="minorEastAsia" w:hAnsiTheme="minorEastAsia" w:eastAsiaTheme="minorEastAsia" w:cstheme="minorEastAsia"/>
                <w:bCs/>
                <w:color w:val="auto"/>
                <w:szCs w:val="21"/>
                <w:highlight w:val="none"/>
              </w:rPr>
            </w:pPr>
            <w:r>
              <w:rPr>
                <w:rFonts w:hint="eastAsia" w:ascii="宋体" w:hAnsi="宋体" w:cs="宋体"/>
                <w:color w:val="auto"/>
                <w:szCs w:val="21"/>
                <w:lang w:val="en-US"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履约担保</w:t>
            </w:r>
          </w:p>
        </w:tc>
        <w:tc>
          <w:tcPr>
            <w:tcW w:w="7246" w:type="dxa"/>
            <w:vAlign w:val="center"/>
          </w:tcPr>
          <w:p>
            <w:pPr>
              <w:adjustRightInd w:val="0"/>
              <w:snapToGrid w:val="0"/>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20" w:type="dxa"/>
            <w:vAlign w:val="center"/>
          </w:tcPr>
          <w:p>
            <w:pPr>
              <w:adjustRightInd w:val="0"/>
              <w:snapToGrid w:val="0"/>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宋体" w:hAnsi="宋体" w:eastAsia="宋体" w:cs="宋体"/>
                <w:b w:val="0"/>
                <w:bCs/>
                <w:i w:val="0"/>
                <w:caps w:val="0"/>
                <w:color w:val="000000"/>
                <w:spacing w:val="0"/>
                <w:kern w:val="0"/>
                <w:sz w:val="21"/>
                <w:szCs w:val="21"/>
                <w:lang w:val="en-US" w:eastAsia="zh-CN" w:bidi="ar"/>
              </w:rPr>
              <w:t>第33款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宋体" w:hAnsi="宋体" w:eastAsia="宋体" w:cs="宋体"/>
                <w:b w:val="0"/>
                <w:bCs/>
                <w:i w:val="0"/>
                <w:caps w:val="0"/>
                <w:color w:val="auto"/>
                <w:spacing w:val="0"/>
                <w:kern w:val="0"/>
                <w:sz w:val="21"/>
                <w:szCs w:val="21"/>
                <w:lang w:val="en-US" w:eastAsia="zh-CN" w:bidi="ar"/>
              </w:rPr>
              <w:t>采购代理服务费</w:t>
            </w:r>
          </w:p>
        </w:tc>
        <w:tc>
          <w:tcPr>
            <w:tcW w:w="7246" w:type="dxa"/>
            <w:vAlign w:val="center"/>
          </w:tcPr>
          <w:p>
            <w:pPr>
              <w:adjustRightInd w:val="0"/>
              <w:snapToGri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宋体" w:hAnsi="宋体" w:eastAsia="宋体" w:cs="宋体"/>
                <w:b w:val="0"/>
                <w:bCs/>
                <w:i w:val="0"/>
                <w:caps w:val="0"/>
                <w:color w:val="auto"/>
                <w:spacing w:val="0"/>
                <w:kern w:val="0"/>
                <w:sz w:val="21"/>
                <w:szCs w:val="21"/>
                <w:lang w:val="en-US" w:eastAsia="zh-CN" w:bidi="ar"/>
              </w:rPr>
              <w:t>根据国家发展和改革委员会（发改价格[2011]534号文）所规定标准，招标代理服务费由中标单位向招标代理机构支付。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宋体" w:hAnsi="宋体" w:cs="宋体"/>
                <w:b w:val="0"/>
                <w:bCs/>
                <w:i w:val="0"/>
                <w:caps w:val="0"/>
                <w:color w:val="000000"/>
                <w:spacing w:val="0"/>
                <w:kern w:val="0"/>
                <w:sz w:val="21"/>
                <w:szCs w:val="21"/>
                <w:lang w:val="en-US" w:eastAsia="zh-CN" w:bidi="ar"/>
              </w:rPr>
              <w:t>第34款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宋体" w:hAnsi="宋体" w:eastAsia="宋体" w:cs="宋体"/>
                <w:b w:val="0"/>
                <w:bCs/>
                <w:i w:val="0"/>
                <w:caps w:val="0"/>
                <w:color w:val="auto"/>
                <w:spacing w:val="0"/>
                <w:kern w:val="0"/>
                <w:sz w:val="21"/>
                <w:szCs w:val="21"/>
                <w:lang w:val="en-US" w:eastAsia="zh-CN" w:bidi="ar"/>
              </w:rPr>
              <w:t>招标控制价</w:t>
            </w:r>
          </w:p>
        </w:tc>
        <w:tc>
          <w:tcPr>
            <w:tcW w:w="7246" w:type="dxa"/>
            <w:vAlign w:val="center"/>
          </w:tcPr>
          <w:p>
            <w:pPr>
              <w:adjustRightInd w:val="0"/>
              <w:snapToGrid w:val="0"/>
              <w:spacing w:line="360" w:lineRule="auto"/>
              <w:rPr>
                <w:rFonts w:hint="eastAsia" w:asciiTheme="minorEastAsia" w:hAnsiTheme="minorEastAsia" w:eastAsiaTheme="minorEastAsia" w:cstheme="minorEastAsia"/>
                <w:color w:val="auto"/>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3004621.89</w:t>
            </w:r>
            <w:r>
              <w:rPr>
                <w:rFonts w:hint="eastAsia" w:ascii="宋体" w:hAnsi="宋体" w:cs="宋体"/>
                <w:b w:val="0"/>
                <w:bCs/>
                <w:i w:val="0"/>
                <w:caps w:val="0"/>
                <w:color w:val="auto"/>
                <w:spacing w:val="0"/>
                <w:kern w:val="0"/>
                <w:sz w:val="21"/>
                <w:szCs w:val="21"/>
                <w:lang w:val="en-US" w:eastAsia="zh-CN" w:bidi="ar"/>
              </w:rPr>
              <w:t>元（大写：叁佰万零肆仟陆佰贰拾壹元捌角玖分 ），供应商报价超过控制价，投标视为无效。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宋体" w:hAnsi="宋体" w:cs="宋体"/>
                <w:b w:val="0"/>
                <w:bCs/>
                <w:i w:val="0"/>
                <w:caps w:val="0"/>
                <w:color w:val="000000"/>
                <w:spacing w:val="0"/>
                <w:kern w:val="0"/>
                <w:sz w:val="21"/>
                <w:szCs w:val="21"/>
                <w:lang w:val="en-US" w:eastAsia="zh-CN" w:bidi="ar"/>
              </w:rPr>
              <w:t>第35款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FF0000"/>
                <w:szCs w:val="21"/>
                <w:highlight w:val="none"/>
                <w:lang w:eastAsia="zh-CN"/>
              </w:rPr>
            </w:pPr>
            <w:r>
              <w:rPr>
                <w:rFonts w:hint="eastAsia" w:ascii="宋体" w:hAnsi="宋体" w:eastAsia="宋体" w:cs="宋体"/>
                <w:b w:val="0"/>
                <w:bCs/>
                <w:i w:val="0"/>
                <w:caps w:val="0"/>
                <w:color w:val="000000"/>
                <w:spacing w:val="0"/>
                <w:kern w:val="0"/>
                <w:sz w:val="21"/>
                <w:szCs w:val="21"/>
                <w:lang w:val="zh-CN" w:eastAsia="zh-CN" w:bidi="ar"/>
              </w:rPr>
              <w:t>监督部门</w:t>
            </w:r>
          </w:p>
        </w:tc>
        <w:tc>
          <w:tcPr>
            <w:tcW w:w="7246" w:type="dxa"/>
            <w:vAlign w:val="center"/>
          </w:tcPr>
          <w:p>
            <w:pPr>
              <w:adjustRightInd w:val="0"/>
              <w:snapToGrid w:val="0"/>
              <w:spacing w:line="360" w:lineRule="auto"/>
              <w:rPr>
                <w:rFonts w:hint="eastAsia" w:asciiTheme="minorEastAsia" w:hAnsiTheme="minorEastAsia" w:eastAsiaTheme="minorEastAsia" w:cstheme="minorEastAsia"/>
                <w:color w:val="FF0000"/>
                <w:szCs w:val="21"/>
                <w:lang w:val="en-US" w:eastAsia="zh-CN"/>
              </w:rPr>
            </w:pPr>
            <w:r>
              <w:rPr>
                <w:rFonts w:hint="eastAsia" w:ascii="宋体" w:hAnsi="宋体" w:cs="宋体"/>
                <w:b w:val="0"/>
                <w:bCs/>
                <w:i w:val="0"/>
                <w:caps w:val="0"/>
                <w:color w:val="000000"/>
                <w:spacing w:val="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宋体" w:hAnsi="宋体" w:cs="宋体"/>
                <w:b w:val="0"/>
                <w:bCs/>
                <w:i w:val="0"/>
                <w:caps w:val="0"/>
                <w:color w:val="000000"/>
                <w:spacing w:val="0"/>
                <w:kern w:val="0"/>
                <w:sz w:val="21"/>
                <w:szCs w:val="21"/>
                <w:lang w:val="en-US" w:eastAsia="zh-CN" w:bidi="ar"/>
              </w:rPr>
              <w:t>第36款</w:t>
            </w:r>
          </w:p>
        </w:tc>
        <w:tc>
          <w:tcPr>
            <w:tcW w:w="1725" w:type="dxa"/>
            <w:vAlign w:val="center"/>
          </w:tcPr>
          <w:p>
            <w:pPr>
              <w:adjustRightInd w:val="0"/>
              <w:snapToGrid w:val="0"/>
              <w:spacing w:line="360" w:lineRule="auto"/>
              <w:jc w:val="center"/>
              <w:rPr>
                <w:rFonts w:hint="eastAsia" w:asciiTheme="minorEastAsia" w:hAnsiTheme="minorEastAsia" w:eastAsiaTheme="minorEastAsia" w:cstheme="minorEastAsia"/>
                <w:color w:val="FF0000"/>
                <w:szCs w:val="21"/>
                <w:highlight w:val="none"/>
                <w:lang w:eastAsia="zh-CN"/>
              </w:rPr>
            </w:pPr>
            <w:r>
              <w:rPr>
                <w:rFonts w:hint="eastAsia" w:ascii="宋体" w:hAnsi="宋体" w:eastAsia="宋体" w:cs="宋体"/>
                <w:b w:val="0"/>
                <w:bCs/>
                <w:i w:val="0"/>
                <w:caps w:val="0"/>
                <w:color w:val="000000"/>
                <w:spacing w:val="0"/>
                <w:kern w:val="0"/>
                <w:sz w:val="21"/>
                <w:szCs w:val="21"/>
                <w:lang w:val="zh-CN" w:eastAsia="zh-CN" w:bidi="ar"/>
              </w:rPr>
              <w:t>开标程序</w:t>
            </w:r>
          </w:p>
        </w:tc>
        <w:tc>
          <w:tcPr>
            <w:tcW w:w="7246" w:type="dxa"/>
            <w:vAlign w:val="center"/>
          </w:tcPr>
          <w:p>
            <w:pPr>
              <w:adjustRightInd w:val="0"/>
              <w:snapToGrid w:val="0"/>
              <w:spacing w:line="360" w:lineRule="auto"/>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（1）投标：查看响应文件密封是否完整，是否加盖法人公章。由监督组负责监督，符合磋商文件相关规定的为合格投标人，不符合的，为不合格投标人，响应文件将被否决。</w:t>
            </w:r>
          </w:p>
          <w:p>
            <w:pPr>
              <w:adjustRightInd w:val="0"/>
              <w:snapToGrid w:val="0"/>
              <w:spacing w:line="360" w:lineRule="auto"/>
              <w:rPr>
                <w:rFonts w:hint="eastAsia" w:asciiTheme="minorEastAsia" w:hAnsiTheme="minorEastAsia" w:eastAsiaTheme="minorEastAsia" w:cstheme="minorEastAsia"/>
                <w:color w:val="FF0000"/>
                <w:szCs w:val="21"/>
                <w:lang w:val="en-US" w:eastAsia="zh-CN"/>
              </w:rPr>
            </w:pPr>
            <w:r>
              <w:rPr>
                <w:rFonts w:hint="eastAsia" w:ascii="宋体" w:hAnsi="宋体" w:eastAsia="宋体" w:cs="宋体"/>
                <w:b w:val="0"/>
                <w:bCs/>
                <w:i w:val="0"/>
                <w:caps w:val="0"/>
                <w:color w:val="000000"/>
                <w:spacing w:val="0"/>
                <w:kern w:val="0"/>
                <w:sz w:val="21"/>
                <w:szCs w:val="21"/>
                <w:lang w:val="en-US" w:eastAsia="zh-CN" w:bidi="ar"/>
              </w:rPr>
              <w:t>（2）唱标，在磋商会场以不公开的方式进行唱标，由磋商小组及监督组确认报价并签字。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291" w:type="dxa"/>
            <w:gridSpan w:val="3"/>
            <w:vAlign w:val="center"/>
          </w:tcPr>
          <w:p>
            <w:pPr>
              <w:tabs>
                <w:tab w:val="left" w:pos="1659"/>
              </w:tabs>
              <w:adjustRightInd w:val="0"/>
              <w:snapToGrid w:val="0"/>
              <w:spacing w:line="360" w:lineRule="auto"/>
              <w:rPr>
                <w:rFonts w:hint="eastAsia"/>
                <w:lang w:val="en-US" w:eastAsia="zh-CN"/>
              </w:rPr>
            </w:pPr>
            <w:r>
              <w:rPr>
                <w:rFonts w:hint="eastAsia"/>
                <w:lang w:val="en-US" w:eastAsia="zh-CN"/>
              </w:rPr>
              <w:t>备注：1、若招标文件中附表表格格式与工程量清单中表格格式不一致的，以工程量清单表格格式为主。</w:t>
            </w:r>
          </w:p>
          <w:p>
            <w:pPr>
              <w:pStyle w:val="23"/>
              <w:ind w:left="0" w:leftChars="0" w:firstLine="0" w:firstLineChars="0"/>
              <w:rPr>
                <w:rFonts w:hint="default"/>
                <w:lang w:val="en-US" w:eastAsia="zh-CN"/>
              </w:rPr>
            </w:pPr>
            <w:r>
              <w:rPr>
                <w:rFonts w:hint="eastAsia" w:asciiTheme="minorEastAsia" w:hAnsiTheme="minorEastAsia" w:eastAsiaTheme="minorEastAsia" w:cstheme="minorEastAsia"/>
                <w:b w:val="0"/>
                <w:bCs w:val="0"/>
                <w:color w:val="000000" w:themeColor="text1"/>
                <w:spacing w:val="2"/>
                <w:position w:val="1"/>
                <w:sz w:val="22"/>
                <w:szCs w:val="22"/>
                <w:lang w:val="en-US" w:eastAsia="zh-CN" w:bidi="ar-SA"/>
                <w14:textFill>
                  <w14:solidFill>
                    <w14:schemeClr w14:val="tx1"/>
                  </w14:solidFill>
                </w14:textFill>
              </w:rPr>
              <w:t>2、</w:t>
            </w:r>
            <w:r>
              <w:rPr>
                <w:rFonts w:hint="eastAsia" w:ascii="宋体" w:hAnsi="宋体" w:eastAsia="宋体" w:cs="宋体"/>
                <w:sz w:val="21"/>
                <w:szCs w:val="21"/>
                <w:lang w:val="en-US" w:eastAsia="zh-CN"/>
              </w:rPr>
              <w:t>若采购文件正文内容与须知前附表内容有矛盾之处以须知前附表未准。</w:t>
            </w:r>
          </w:p>
        </w:tc>
      </w:tr>
    </w:tbl>
    <w:p>
      <w:pPr>
        <w:pStyle w:val="4"/>
        <w:spacing w:before="100" w:beforeAutospacing="1" w:after="100" w:afterAutospacing="1" w:line="400" w:lineRule="atLeast"/>
        <w:jc w:val="center"/>
        <w:rPr>
          <w:rFonts w:hint="eastAsia" w:asciiTheme="minorEastAsia" w:hAnsiTheme="minorEastAsia" w:eastAsiaTheme="minorEastAsia" w:cstheme="minorEastAsia"/>
          <w:color w:val="auto"/>
          <w:sz w:val="28"/>
          <w:szCs w:val="28"/>
          <w:highlight w:val="none"/>
        </w:rPr>
      </w:pPr>
      <w:bookmarkStart w:id="44" w:name="_Toc2717"/>
      <w:bookmarkStart w:id="45" w:name="_Toc349573121"/>
      <w:bookmarkStart w:id="46" w:name="_Toc349637920"/>
      <w:bookmarkStart w:id="47" w:name="_Toc527642952"/>
      <w:bookmarkStart w:id="48" w:name="_Toc267301282"/>
      <w:bookmarkStart w:id="49" w:name="_Toc298240405"/>
      <w:r>
        <w:rPr>
          <w:rFonts w:hint="eastAsia" w:asciiTheme="minorEastAsia" w:hAnsiTheme="minorEastAsia" w:eastAsiaTheme="minorEastAsia" w:cstheme="minorEastAsia"/>
          <w:color w:val="auto"/>
          <w:sz w:val="28"/>
          <w:szCs w:val="28"/>
          <w:highlight w:val="none"/>
        </w:rPr>
        <w:t>A  说　明</w:t>
      </w:r>
      <w:bookmarkEnd w:id="44"/>
      <w:bookmarkEnd w:id="45"/>
      <w:bookmarkEnd w:id="46"/>
      <w:bookmarkEnd w:id="47"/>
      <w:bookmarkEnd w:id="48"/>
      <w:bookmarkEnd w:id="49"/>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适用范围</w:t>
      </w:r>
    </w:p>
    <w:p>
      <w:pPr>
        <w:numPr>
          <w:ilvl w:val="1"/>
          <w:numId w:val="4"/>
        </w:num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本磋商文件仅适用于本次投标中所叙述项目的</w:t>
      </w:r>
      <w:r>
        <w:rPr>
          <w:rFonts w:hint="eastAsia" w:asciiTheme="minorEastAsia" w:hAnsiTheme="minorEastAsia" w:eastAsiaTheme="minorEastAsia" w:cstheme="minorEastAsia"/>
          <w:color w:val="auto"/>
          <w:sz w:val="24"/>
          <w:highlight w:val="none"/>
          <w:lang w:eastAsia="zh-CN"/>
        </w:rPr>
        <w:t>工程项目</w:t>
      </w:r>
      <w:r>
        <w:rPr>
          <w:rFonts w:hint="eastAsia" w:asciiTheme="minorEastAsia" w:hAnsiTheme="minorEastAsia" w:eastAsiaTheme="minorEastAsia" w:cstheme="minorEastAsia"/>
          <w:color w:val="auto"/>
          <w:sz w:val="24"/>
          <w:highlight w:val="none"/>
        </w:rPr>
        <w:t>采购。</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2．定义</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“招标代理机构”系指</w:t>
      </w:r>
      <w:r>
        <w:rPr>
          <w:rFonts w:hint="eastAsia" w:asciiTheme="minorEastAsia" w:hAnsiTheme="minorEastAsia" w:eastAsiaTheme="minorEastAsia" w:cstheme="minorEastAsia"/>
          <w:color w:val="auto"/>
          <w:sz w:val="24"/>
          <w:szCs w:val="22"/>
          <w:highlight w:val="none"/>
          <w:lang w:eastAsia="zh-CN"/>
        </w:rPr>
        <w:t>新疆金斌工程项目管理有限公司</w:t>
      </w:r>
      <w:r>
        <w:rPr>
          <w:rFonts w:hint="eastAsia" w:asciiTheme="minorEastAsia" w:hAnsiTheme="minorEastAsia" w:eastAsiaTheme="minorEastAsia" w:cstheme="minorEastAsia"/>
          <w:color w:val="auto"/>
          <w:sz w:val="24"/>
          <w:highlight w:val="none"/>
        </w:rPr>
        <w:t>；</w:t>
      </w:r>
    </w:p>
    <w:p>
      <w:pPr>
        <w:spacing w:line="400" w:lineRule="atLeast"/>
        <w:ind w:left="480" w:hanging="480" w:hanging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2.2 </w:t>
      </w:r>
      <w:r>
        <w:rPr>
          <w:rFonts w:hint="eastAsia" w:asciiTheme="minorEastAsia" w:hAnsiTheme="minorEastAsia" w:eastAsiaTheme="minorEastAsia" w:cstheme="minorEastAsia"/>
          <w:color w:val="auto"/>
          <w:sz w:val="24"/>
          <w:szCs w:val="22"/>
          <w:highlight w:val="none"/>
        </w:rPr>
        <w:t>“买方”系指（名称）</w:t>
      </w:r>
      <w:r>
        <w:rPr>
          <w:rFonts w:hint="eastAsia" w:asciiTheme="minorEastAsia" w:hAnsiTheme="minorEastAsia" w:eastAsiaTheme="minorEastAsia" w:cstheme="minorEastAsia"/>
          <w:color w:val="auto"/>
          <w:sz w:val="24"/>
          <w:szCs w:val="22"/>
          <w:highlight w:val="none"/>
          <w:lang w:eastAsia="zh-CN"/>
        </w:rPr>
        <w:t>：</w:t>
      </w:r>
      <w:r>
        <w:rPr>
          <w:rFonts w:hint="eastAsia" w:asciiTheme="minorEastAsia" w:hAnsiTheme="minorEastAsia" w:eastAsiaTheme="minorEastAsia" w:cstheme="minorEastAsia"/>
          <w:color w:val="auto"/>
          <w:sz w:val="24"/>
          <w:szCs w:val="22"/>
          <w:highlight w:val="none"/>
          <w:lang w:val="en-US" w:eastAsia="zh-CN"/>
        </w:rPr>
        <w:t>伊犁哈萨克自治州卫生健康委员会</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“供应商”系指向招标代理机构提交磋商响应文件的制造商或代理商；</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“中标方”系指在本次项目中将被授予合同的供应商。</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3．合格的供应商</w:t>
      </w:r>
    </w:p>
    <w:p>
      <w:pPr>
        <w:spacing w:line="400" w:lineRule="atLeast"/>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有能力提供磋商文件中所要求的服务、资格审查合格的供应商；</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供应商必须遵守有关的国内法律和规章条例。</w:t>
      </w:r>
    </w:p>
    <w:p>
      <w:pPr>
        <w:spacing w:line="400" w:lineRule="atLeast"/>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4．供应商资格(废标因素)</w:t>
      </w:r>
    </w:p>
    <w:p>
      <w:pPr>
        <w:spacing w:line="400" w:lineRule="atLeast"/>
        <w:ind w:left="480" w:hanging="480" w:hanging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4.1</w:t>
      </w:r>
      <w:r>
        <w:rPr>
          <w:rFonts w:hint="eastAsia" w:asciiTheme="minorEastAsia" w:hAnsiTheme="minorEastAsia" w:eastAsiaTheme="minorEastAsia" w:cstheme="minorEastAsia"/>
          <w:color w:val="auto"/>
          <w:sz w:val="24"/>
          <w:szCs w:val="22"/>
          <w:highlight w:val="none"/>
          <w:lang w:eastAsia="zh-CN"/>
        </w:rPr>
        <w:t>符合供应商</w:t>
      </w:r>
      <w:r>
        <w:rPr>
          <w:rFonts w:hint="eastAsia" w:asciiTheme="minorEastAsia" w:hAnsiTheme="minorEastAsia" w:eastAsiaTheme="minorEastAsia" w:cstheme="minorEastAsia"/>
          <w:color w:val="auto"/>
          <w:sz w:val="24"/>
          <w:szCs w:val="22"/>
          <w:highlight w:val="none"/>
        </w:rPr>
        <w:t>须知前附表第3.1款</w:t>
      </w:r>
      <w:r>
        <w:rPr>
          <w:rFonts w:hint="eastAsia" w:asciiTheme="minorEastAsia" w:hAnsiTheme="minorEastAsia" w:eastAsiaTheme="minorEastAsia" w:cstheme="minorEastAsia"/>
          <w:color w:val="auto"/>
          <w:sz w:val="24"/>
          <w:szCs w:val="22"/>
          <w:highlight w:val="none"/>
          <w:lang w:eastAsia="zh-CN"/>
        </w:rPr>
        <w:t>。</w:t>
      </w:r>
    </w:p>
    <w:p>
      <w:pPr>
        <w:tabs>
          <w:tab w:val="left" w:pos="252"/>
          <w:tab w:val="left" w:pos="671"/>
        </w:tabs>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5．投标费用</w:t>
      </w:r>
    </w:p>
    <w:p>
      <w:pPr>
        <w:spacing w:line="400" w:lineRule="atLeast"/>
        <w:ind w:left="480" w:hanging="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 供应商将自行承担所有与参加投标有关的全部费用。</w:t>
      </w:r>
    </w:p>
    <w:p>
      <w:pPr>
        <w:pStyle w:val="8"/>
        <w:rPr>
          <w:rFonts w:hint="eastAsia" w:asciiTheme="minorEastAsia" w:hAnsiTheme="minorEastAsia" w:eastAsiaTheme="minorEastAsia" w:cstheme="minorEastAsia"/>
          <w:color w:val="auto"/>
          <w:highlight w:val="none"/>
        </w:rPr>
      </w:pPr>
      <w:bookmarkStart w:id="50" w:name="_Toc527642953"/>
      <w:bookmarkStart w:id="51" w:name="_Toc267301283"/>
      <w:bookmarkStart w:id="52" w:name="_Toc349637921"/>
      <w:bookmarkStart w:id="53" w:name="_Toc349573122"/>
      <w:bookmarkStart w:id="54" w:name="_Toc298240406"/>
    </w:p>
    <w:p>
      <w:pPr>
        <w:pStyle w:val="4"/>
        <w:spacing w:before="100" w:beforeAutospacing="1" w:after="100" w:afterAutospacing="1" w:line="400" w:lineRule="atLeast"/>
        <w:jc w:val="center"/>
        <w:rPr>
          <w:rFonts w:hint="eastAsia" w:asciiTheme="minorEastAsia" w:hAnsiTheme="minorEastAsia" w:eastAsiaTheme="minorEastAsia" w:cstheme="minorEastAsia"/>
          <w:color w:val="auto"/>
          <w:sz w:val="28"/>
          <w:szCs w:val="28"/>
          <w:highlight w:val="none"/>
        </w:rPr>
      </w:pPr>
      <w:bookmarkStart w:id="55" w:name="_Toc5728"/>
      <w:r>
        <w:rPr>
          <w:rFonts w:hint="eastAsia" w:asciiTheme="minorEastAsia" w:hAnsiTheme="minorEastAsia" w:eastAsiaTheme="minorEastAsia" w:cstheme="minorEastAsia"/>
          <w:color w:val="auto"/>
          <w:sz w:val="28"/>
          <w:szCs w:val="28"/>
          <w:highlight w:val="none"/>
        </w:rPr>
        <w:t>B  磋商文件</w:t>
      </w:r>
      <w:bookmarkEnd w:id="50"/>
      <w:bookmarkEnd w:id="51"/>
      <w:bookmarkEnd w:id="52"/>
      <w:bookmarkEnd w:id="53"/>
      <w:bookmarkEnd w:id="54"/>
      <w:bookmarkEnd w:id="55"/>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6．磋商文件构成</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6.1磋商文件包括：</w:t>
      </w:r>
    </w:p>
    <w:p>
      <w:pPr>
        <w:pStyle w:val="18"/>
        <w:tabs>
          <w:tab w:val="right" w:leader="dot" w:pos="8400"/>
          <w:tab w:val="right" w:leader="dot" w:pos="9737"/>
        </w:tabs>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fldChar w:fldCharType="begin"/>
      </w:r>
      <w:r>
        <w:rPr>
          <w:rFonts w:hint="eastAsia" w:asciiTheme="minorEastAsia" w:hAnsiTheme="minorEastAsia" w:eastAsiaTheme="minorEastAsia" w:cstheme="minorEastAsia"/>
          <w:color w:val="auto"/>
          <w:kern w:val="2"/>
          <w:sz w:val="24"/>
          <w:szCs w:val="22"/>
          <w:highlight w:val="none"/>
          <w:lang w:val="en-US" w:eastAsia="zh-CN" w:bidi="ar-SA"/>
        </w:rPr>
        <w:instrText xml:space="preserve"> TOC \o "1-2" \h \z \u </w:instrText>
      </w:r>
      <w:r>
        <w:rPr>
          <w:rFonts w:hint="eastAsia" w:asciiTheme="minorEastAsia" w:hAnsiTheme="minorEastAsia" w:eastAsiaTheme="minorEastAsia" w:cstheme="minorEastAsia"/>
          <w:color w:val="auto"/>
          <w:kern w:val="2"/>
          <w:sz w:val="24"/>
          <w:szCs w:val="22"/>
          <w:highlight w:val="none"/>
          <w:lang w:val="en-US" w:eastAsia="zh-CN" w:bidi="ar-SA"/>
        </w:rPr>
        <w:fldChar w:fldCharType="separate"/>
      </w:r>
      <w:r>
        <w:rPr>
          <w:rFonts w:hint="eastAsia" w:asciiTheme="minorEastAsia" w:hAnsiTheme="minorEastAsia" w:eastAsiaTheme="minorEastAsia" w:cstheme="minorEastAsia"/>
          <w:color w:val="auto"/>
          <w:kern w:val="2"/>
          <w:sz w:val="24"/>
          <w:szCs w:val="22"/>
          <w:highlight w:val="none"/>
          <w:lang w:val="en-US" w:eastAsia="zh-CN" w:bidi="ar-SA"/>
        </w:rPr>
        <w:fldChar w:fldCharType="begin"/>
      </w:r>
      <w:r>
        <w:rPr>
          <w:rFonts w:hint="eastAsia" w:asciiTheme="minorEastAsia" w:hAnsiTheme="minorEastAsia" w:eastAsiaTheme="minorEastAsia" w:cstheme="minorEastAsia"/>
          <w:color w:val="auto"/>
          <w:kern w:val="2"/>
          <w:sz w:val="24"/>
          <w:szCs w:val="22"/>
          <w:highlight w:val="none"/>
          <w:lang w:val="en-US" w:eastAsia="zh-CN" w:bidi="ar-SA"/>
        </w:rPr>
        <w:instrText xml:space="preserve"> TOC \o "1-2" \h \z \u </w:instrText>
      </w:r>
      <w:r>
        <w:rPr>
          <w:rFonts w:hint="eastAsia" w:asciiTheme="minorEastAsia" w:hAnsiTheme="minorEastAsia" w:eastAsiaTheme="minorEastAsia" w:cstheme="minorEastAsia"/>
          <w:color w:val="auto"/>
          <w:kern w:val="2"/>
          <w:sz w:val="24"/>
          <w:szCs w:val="22"/>
          <w:highlight w:val="none"/>
          <w:lang w:val="en-US" w:eastAsia="zh-CN" w:bidi="ar-SA"/>
        </w:rPr>
        <w:fldChar w:fldCharType="separate"/>
      </w:r>
      <w:r>
        <w:rPr>
          <w:rFonts w:hint="eastAsia" w:asciiTheme="minorEastAsia" w:hAnsiTheme="minorEastAsia" w:eastAsiaTheme="minorEastAsia" w:cstheme="minorEastAsia"/>
          <w:color w:val="auto"/>
          <w:kern w:val="2"/>
          <w:sz w:val="24"/>
          <w:szCs w:val="22"/>
          <w:highlight w:val="none"/>
          <w:lang w:val="en-US" w:eastAsia="zh-CN" w:bidi="ar-SA"/>
        </w:rPr>
        <w:fldChar w:fldCharType="begin"/>
      </w:r>
      <w:r>
        <w:rPr>
          <w:rFonts w:hint="eastAsia" w:asciiTheme="minorEastAsia" w:hAnsiTheme="minorEastAsia" w:eastAsiaTheme="minorEastAsia" w:cstheme="minorEastAsia"/>
          <w:color w:val="auto"/>
          <w:kern w:val="2"/>
          <w:sz w:val="24"/>
          <w:szCs w:val="22"/>
          <w:highlight w:val="none"/>
          <w:lang w:val="en-US" w:eastAsia="zh-CN" w:bidi="ar-SA"/>
        </w:rPr>
        <w:instrText xml:space="preserve"> HYPERLINK \l "_Toc527642949" </w:instrText>
      </w:r>
      <w:r>
        <w:rPr>
          <w:rFonts w:hint="eastAsia" w:asciiTheme="minorEastAsia" w:hAnsiTheme="minorEastAsia" w:eastAsiaTheme="minorEastAsia" w:cstheme="minorEastAsia"/>
          <w:color w:val="auto"/>
          <w:kern w:val="2"/>
          <w:sz w:val="24"/>
          <w:szCs w:val="22"/>
          <w:highlight w:val="none"/>
          <w:lang w:val="en-US" w:eastAsia="zh-CN" w:bidi="ar-SA"/>
        </w:rPr>
        <w:fldChar w:fldCharType="separate"/>
      </w:r>
      <w:r>
        <w:rPr>
          <w:rFonts w:hint="eastAsia" w:asciiTheme="minorEastAsia" w:hAnsiTheme="minorEastAsia" w:eastAsiaTheme="minorEastAsia" w:cstheme="minorEastAsia"/>
          <w:color w:val="auto"/>
          <w:kern w:val="2"/>
          <w:sz w:val="24"/>
          <w:szCs w:val="22"/>
          <w:highlight w:val="none"/>
          <w:lang w:val="en-US" w:eastAsia="zh-CN" w:bidi="ar-SA"/>
        </w:rPr>
        <w:t>（1）竞争性磋商公告</w:t>
      </w:r>
      <w:r>
        <w:rPr>
          <w:rFonts w:hint="eastAsia" w:asciiTheme="minorEastAsia" w:hAnsiTheme="minorEastAsia" w:eastAsiaTheme="minorEastAsia" w:cstheme="minorEastAsia"/>
          <w:color w:val="auto"/>
          <w:kern w:val="2"/>
          <w:sz w:val="24"/>
          <w:szCs w:val="22"/>
          <w:highlight w:val="none"/>
          <w:lang w:val="en-US" w:eastAsia="zh-CN" w:bidi="ar-SA"/>
        </w:rPr>
        <w:fldChar w:fldCharType="end"/>
      </w:r>
    </w:p>
    <w:p>
      <w:pPr>
        <w:pStyle w:val="18"/>
        <w:tabs>
          <w:tab w:val="right" w:leader="dot" w:pos="8400"/>
          <w:tab w:val="right" w:leader="dot" w:pos="9737"/>
        </w:tabs>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fldChar w:fldCharType="begin"/>
      </w:r>
      <w:r>
        <w:rPr>
          <w:rFonts w:hint="eastAsia" w:asciiTheme="minorEastAsia" w:hAnsiTheme="minorEastAsia" w:eastAsiaTheme="minorEastAsia" w:cstheme="minorEastAsia"/>
          <w:color w:val="auto"/>
          <w:kern w:val="2"/>
          <w:sz w:val="24"/>
          <w:szCs w:val="22"/>
          <w:highlight w:val="none"/>
          <w:lang w:val="en-US" w:eastAsia="zh-CN" w:bidi="ar-SA"/>
        </w:rPr>
        <w:instrText xml:space="preserve"> HYPERLINK \l "_Toc527642950" </w:instrText>
      </w:r>
      <w:r>
        <w:rPr>
          <w:rFonts w:hint="eastAsia" w:asciiTheme="minorEastAsia" w:hAnsiTheme="minorEastAsia" w:eastAsiaTheme="minorEastAsia" w:cstheme="minorEastAsia"/>
          <w:color w:val="auto"/>
          <w:kern w:val="2"/>
          <w:sz w:val="24"/>
          <w:szCs w:val="22"/>
          <w:highlight w:val="none"/>
          <w:lang w:val="en-US" w:eastAsia="zh-CN" w:bidi="ar-SA"/>
        </w:rPr>
        <w:fldChar w:fldCharType="separate"/>
      </w:r>
      <w:r>
        <w:rPr>
          <w:rFonts w:hint="eastAsia" w:asciiTheme="minorEastAsia" w:hAnsiTheme="minorEastAsia" w:eastAsiaTheme="minorEastAsia" w:cstheme="minorEastAsia"/>
          <w:color w:val="auto"/>
          <w:kern w:val="2"/>
          <w:sz w:val="24"/>
          <w:szCs w:val="22"/>
          <w:highlight w:val="none"/>
          <w:lang w:val="en-US" w:eastAsia="zh-CN" w:bidi="ar-SA"/>
        </w:rPr>
        <w:t>（2） 供应商须知</w:t>
      </w:r>
      <w:r>
        <w:rPr>
          <w:rFonts w:hint="eastAsia" w:asciiTheme="minorEastAsia" w:hAnsiTheme="minorEastAsia" w:eastAsiaTheme="minorEastAsia" w:cstheme="minorEastAsia"/>
          <w:color w:val="auto"/>
          <w:kern w:val="2"/>
          <w:sz w:val="24"/>
          <w:szCs w:val="22"/>
          <w:highlight w:val="none"/>
          <w:lang w:val="en-US" w:eastAsia="zh-CN" w:bidi="ar-SA"/>
        </w:rPr>
        <w:fldChar w:fldCharType="end"/>
      </w:r>
    </w:p>
    <w:p>
      <w:pPr>
        <w:pStyle w:val="18"/>
        <w:tabs>
          <w:tab w:val="right" w:leader="dot" w:pos="9737"/>
        </w:tabs>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fldChar w:fldCharType="begin"/>
      </w:r>
      <w:r>
        <w:rPr>
          <w:rFonts w:hint="eastAsia" w:asciiTheme="minorEastAsia" w:hAnsiTheme="minorEastAsia" w:eastAsiaTheme="minorEastAsia" w:cstheme="minorEastAsia"/>
          <w:color w:val="auto"/>
          <w:kern w:val="2"/>
          <w:sz w:val="24"/>
          <w:szCs w:val="22"/>
          <w:highlight w:val="none"/>
          <w:lang w:val="en-US" w:eastAsia="zh-CN" w:bidi="ar-SA"/>
        </w:rPr>
        <w:instrText xml:space="preserve"> HYPERLINK \l "_Toc527642959" </w:instrText>
      </w:r>
      <w:r>
        <w:rPr>
          <w:rFonts w:hint="eastAsia" w:asciiTheme="minorEastAsia" w:hAnsiTheme="minorEastAsia" w:eastAsiaTheme="minorEastAsia" w:cstheme="minorEastAsia"/>
          <w:color w:val="auto"/>
          <w:kern w:val="2"/>
          <w:sz w:val="24"/>
          <w:szCs w:val="22"/>
          <w:highlight w:val="none"/>
          <w:lang w:val="en-US" w:eastAsia="zh-CN" w:bidi="ar-SA"/>
        </w:rPr>
        <w:fldChar w:fldCharType="separate"/>
      </w:r>
      <w:r>
        <w:rPr>
          <w:rFonts w:hint="eastAsia" w:asciiTheme="minorEastAsia" w:hAnsiTheme="minorEastAsia" w:eastAsiaTheme="minorEastAsia" w:cstheme="minorEastAsia"/>
          <w:color w:val="auto"/>
          <w:kern w:val="2"/>
          <w:sz w:val="24"/>
          <w:szCs w:val="22"/>
          <w:highlight w:val="none"/>
          <w:lang w:val="en-US" w:eastAsia="zh-CN" w:bidi="ar-SA"/>
        </w:rPr>
        <w:t>（3） 技术要求</w:t>
      </w:r>
      <w:r>
        <w:rPr>
          <w:rFonts w:hint="eastAsia" w:asciiTheme="minorEastAsia" w:hAnsiTheme="minorEastAsia" w:eastAsiaTheme="minorEastAsia" w:cstheme="minorEastAsia"/>
          <w:color w:val="auto"/>
          <w:kern w:val="2"/>
          <w:sz w:val="24"/>
          <w:szCs w:val="22"/>
          <w:highlight w:val="none"/>
          <w:lang w:val="en-US" w:eastAsia="zh-CN" w:bidi="ar-SA"/>
        </w:rPr>
        <w:fldChar w:fldCharType="end"/>
      </w:r>
    </w:p>
    <w:p>
      <w:pPr>
        <w:pStyle w:val="18"/>
        <w:tabs>
          <w:tab w:val="right" w:leader="dot" w:pos="9737"/>
        </w:tabs>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fldChar w:fldCharType="begin"/>
      </w:r>
      <w:r>
        <w:rPr>
          <w:rFonts w:hint="eastAsia" w:asciiTheme="minorEastAsia" w:hAnsiTheme="minorEastAsia" w:eastAsiaTheme="minorEastAsia" w:cstheme="minorEastAsia"/>
          <w:color w:val="auto"/>
          <w:kern w:val="2"/>
          <w:sz w:val="24"/>
          <w:szCs w:val="22"/>
          <w:highlight w:val="none"/>
          <w:lang w:val="en-US" w:eastAsia="zh-CN" w:bidi="ar-SA"/>
        </w:rPr>
        <w:instrText xml:space="preserve"> HYPERLINK \l "_Toc527642960" </w:instrText>
      </w:r>
      <w:r>
        <w:rPr>
          <w:rFonts w:hint="eastAsia" w:asciiTheme="minorEastAsia" w:hAnsiTheme="minorEastAsia" w:eastAsiaTheme="minorEastAsia" w:cstheme="minorEastAsia"/>
          <w:color w:val="auto"/>
          <w:kern w:val="2"/>
          <w:sz w:val="24"/>
          <w:szCs w:val="22"/>
          <w:highlight w:val="none"/>
          <w:lang w:val="en-US" w:eastAsia="zh-CN" w:bidi="ar-SA"/>
        </w:rPr>
        <w:fldChar w:fldCharType="separate"/>
      </w:r>
      <w:r>
        <w:rPr>
          <w:rFonts w:hint="eastAsia" w:asciiTheme="minorEastAsia" w:hAnsiTheme="minorEastAsia" w:eastAsiaTheme="minorEastAsia" w:cstheme="minorEastAsia"/>
          <w:color w:val="auto"/>
          <w:kern w:val="2"/>
          <w:sz w:val="24"/>
          <w:szCs w:val="22"/>
          <w:highlight w:val="none"/>
          <w:lang w:val="en-US" w:eastAsia="zh-CN" w:bidi="ar-SA"/>
        </w:rPr>
        <w:t>（3） 合同条款及格式</w:t>
      </w:r>
      <w:r>
        <w:rPr>
          <w:rFonts w:hint="eastAsia" w:asciiTheme="minorEastAsia" w:hAnsiTheme="minorEastAsia" w:eastAsiaTheme="minorEastAsia" w:cstheme="minorEastAsia"/>
          <w:color w:val="auto"/>
          <w:kern w:val="2"/>
          <w:sz w:val="24"/>
          <w:szCs w:val="22"/>
          <w:highlight w:val="none"/>
          <w:lang w:val="en-US" w:eastAsia="zh-CN" w:bidi="ar-SA"/>
        </w:rPr>
        <w:fldChar w:fldCharType="end"/>
      </w:r>
    </w:p>
    <w:p>
      <w:pPr>
        <w:pStyle w:val="18"/>
        <w:tabs>
          <w:tab w:val="right" w:leader="dot" w:pos="9737"/>
        </w:tabs>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fldChar w:fldCharType="begin"/>
      </w:r>
      <w:r>
        <w:rPr>
          <w:rFonts w:hint="eastAsia" w:asciiTheme="minorEastAsia" w:hAnsiTheme="minorEastAsia" w:eastAsiaTheme="minorEastAsia" w:cstheme="minorEastAsia"/>
          <w:color w:val="auto"/>
          <w:kern w:val="2"/>
          <w:sz w:val="24"/>
          <w:szCs w:val="22"/>
          <w:highlight w:val="none"/>
          <w:lang w:val="en-US" w:eastAsia="zh-CN" w:bidi="ar-SA"/>
        </w:rPr>
        <w:instrText xml:space="preserve"> HYPERLINK \l "_Toc527642969" </w:instrText>
      </w:r>
      <w:r>
        <w:rPr>
          <w:rFonts w:hint="eastAsia" w:asciiTheme="minorEastAsia" w:hAnsiTheme="minorEastAsia" w:eastAsiaTheme="minorEastAsia" w:cstheme="minorEastAsia"/>
          <w:color w:val="auto"/>
          <w:kern w:val="2"/>
          <w:sz w:val="24"/>
          <w:szCs w:val="22"/>
          <w:highlight w:val="none"/>
          <w:lang w:val="en-US" w:eastAsia="zh-CN" w:bidi="ar-SA"/>
        </w:rPr>
        <w:fldChar w:fldCharType="separate"/>
      </w:r>
      <w:r>
        <w:rPr>
          <w:rFonts w:hint="eastAsia" w:asciiTheme="minorEastAsia" w:hAnsiTheme="minorEastAsia" w:eastAsiaTheme="minorEastAsia" w:cstheme="minorEastAsia"/>
          <w:color w:val="auto"/>
          <w:kern w:val="2"/>
          <w:sz w:val="24"/>
          <w:szCs w:val="22"/>
          <w:highlight w:val="none"/>
          <w:lang w:val="en-US" w:eastAsia="zh-CN" w:bidi="ar-SA"/>
        </w:rPr>
        <w:t>（4） 响应文件格式</w:t>
      </w:r>
      <w:r>
        <w:rPr>
          <w:rFonts w:hint="eastAsia" w:asciiTheme="minorEastAsia" w:hAnsiTheme="minorEastAsia" w:eastAsiaTheme="minorEastAsia" w:cstheme="minorEastAsia"/>
          <w:color w:val="auto"/>
          <w:kern w:val="2"/>
          <w:sz w:val="24"/>
          <w:szCs w:val="22"/>
          <w:highlight w:val="none"/>
          <w:lang w:val="en-US" w:eastAsia="zh-CN" w:bidi="ar-SA"/>
        </w:rPr>
        <w:fldChar w:fldCharType="end"/>
      </w:r>
    </w:p>
    <w:p>
      <w:pPr>
        <w:pStyle w:val="18"/>
        <w:tabs>
          <w:tab w:val="right" w:leader="dot" w:pos="8541"/>
        </w:tabs>
        <w:spacing w:line="400" w:lineRule="atLeast"/>
      </w:pPr>
      <w:r>
        <w:rPr>
          <w:rFonts w:hint="eastAsia" w:asciiTheme="minorEastAsia" w:hAnsiTheme="minorEastAsia" w:eastAsiaTheme="minorEastAsia" w:cstheme="minorEastAsia"/>
          <w:color w:val="auto"/>
          <w:kern w:val="2"/>
          <w:sz w:val="24"/>
          <w:szCs w:val="22"/>
          <w:highlight w:val="none"/>
          <w:lang w:val="en-US" w:eastAsia="zh-CN" w:bidi="ar-SA"/>
        </w:rPr>
        <w:fldChar w:fldCharType="end"/>
      </w:r>
      <w:r>
        <w:rPr>
          <w:rFonts w:hint="eastAsia" w:asciiTheme="minorEastAsia" w:hAnsiTheme="minorEastAsia" w:eastAsiaTheme="minorEastAsia" w:cstheme="minorEastAsia"/>
          <w:color w:val="auto"/>
          <w:kern w:val="2"/>
          <w:sz w:val="24"/>
          <w:szCs w:val="22"/>
          <w:highlight w:val="none"/>
          <w:lang w:val="en-US" w:eastAsia="zh-CN" w:bidi="ar-SA"/>
        </w:rPr>
        <w:t>（5） 补充条款</w:t>
      </w:r>
    </w:p>
    <w:p>
      <w:pPr>
        <w:pStyle w:val="18"/>
        <w:tabs>
          <w:tab w:val="right" w:leader="dot" w:pos="8541"/>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2"/>
          <w:szCs w:val="22"/>
          <w:highlight w:val="none"/>
          <w:lang w:val="en-US" w:eastAsia="zh-CN" w:bidi="ar-SA"/>
        </w:rPr>
        <w:fldChar w:fldCharType="end"/>
      </w:r>
      <w:r>
        <w:rPr>
          <w:rFonts w:hint="eastAsia" w:asciiTheme="minorEastAsia" w:hAnsiTheme="minorEastAsia" w:eastAsiaTheme="minorEastAsia" w:cstheme="minorEastAsia"/>
          <w:color w:val="auto"/>
          <w:sz w:val="24"/>
          <w:highlight w:val="none"/>
        </w:rPr>
        <w:t>6.2 磋商文件以中文编写。</w:t>
      </w:r>
    </w:p>
    <w:p>
      <w:pPr>
        <w:spacing w:line="400" w:lineRule="atLeast"/>
        <w:ind w:left="360" w:hanging="360" w:hanging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7．磋商文件澄清</w:t>
      </w:r>
    </w:p>
    <w:p>
      <w:pPr>
        <w:spacing w:line="400" w:lineRule="atLeast"/>
        <w:ind w:left="480" w:hanging="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 供应商对磋商文件有疑问的，可以向招标代理机构提出询问，招标代理机构将及时做出答复；</w:t>
      </w:r>
    </w:p>
    <w:p>
      <w:pPr>
        <w:spacing w:line="400" w:lineRule="atLeast"/>
        <w:ind w:left="480" w:hanging="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 供应商对磋商文件有质疑，须在得到磋商文件之日起至质疑截止时间止，以书面形式向招标机构提出质疑；招标机构在收到书面质疑后，在投标截止时间3个工作日前做出答复，并以书面形式通知质疑供应商。</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  磋商文件的修改</w:t>
      </w:r>
    </w:p>
    <w:p>
      <w:pPr>
        <w:spacing w:line="400" w:lineRule="atLeast"/>
        <w:ind w:left="480" w:hanging="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 对磋商文件进行必要的修改，招标代理机构将在投标截止时间3个工作日前以书面形式通知所有购买磋商文件的供应商。该修改的内容为磋商文件的组成部分；</w:t>
      </w:r>
    </w:p>
    <w:p>
      <w:pPr>
        <w:spacing w:line="400" w:lineRule="atLeast"/>
        <w:ind w:left="480" w:hanging="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在投标截止时间前，招标机构可视具体情况延长投标截止时间，并将变更时间书面通知所有购买磋商文件的供应商。</w:t>
      </w:r>
    </w:p>
    <w:p>
      <w:pPr>
        <w:pStyle w:val="33"/>
        <w:rPr>
          <w:rFonts w:hint="eastAsia" w:asciiTheme="minorEastAsia" w:hAnsiTheme="minorEastAsia" w:eastAsiaTheme="minorEastAsia" w:cstheme="minorEastAsia"/>
          <w:color w:val="auto"/>
          <w:sz w:val="24"/>
          <w:highlight w:val="none"/>
        </w:rPr>
      </w:pPr>
    </w:p>
    <w:p>
      <w:pPr>
        <w:pStyle w:val="33"/>
        <w:rPr>
          <w:rFonts w:hint="eastAsia" w:asciiTheme="minorEastAsia" w:hAnsiTheme="minorEastAsia" w:eastAsiaTheme="minorEastAsia" w:cstheme="minorEastAsia"/>
          <w:color w:val="auto"/>
          <w:sz w:val="24"/>
          <w:highlight w:val="none"/>
        </w:rPr>
      </w:pPr>
    </w:p>
    <w:p>
      <w:pPr>
        <w:pStyle w:val="4"/>
        <w:spacing w:before="100" w:beforeAutospacing="1" w:after="100" w:afterAutospacing="1" w:line="400" w:lineRule="atLeast"/>
        <w:jc w:val="center"/>
        <w:rPr>
          <w:rFonts w:hint="eastAsia" w:asciiTheme="minorEastAsia" w:hAnsiTheme="minorEastAsia" w:eastAsiaTheme="minorEastAsia" w:cstheme="minorEastAsia"/>
          <w:color w:val="auto"/>
          <w:sz w:val="28"/>
          <w:szCs w:val="28"/>
          <w:highlight w:val="none"/>
        </w:rPr>
      </w:pPr>
      <w:bookmarkStart w:id="56" w:name="_Toc5697"/>
      <w:bookmarkStart w:id="57" w:name="_Toc349573123"/>
      <w:bookmarkStart w:id="58" w:name="_Toc267301284"/>
      <w:bookmarkStart w:id="59" w:name="_Toc349637922"/>
      <w:bookmarkStart w:id="60" w:name="_Toc527642954"/>
      <w:bookmarkStart w:id="61" w:name="_Toc298240407"/>
      <w:r>
        <w:rPr>
          <w:rFonts w:hint="eastAsia" w:asciiTheme="minorEastAsia" w:hAnsiTheme="minorEastAsia" w:eastAsiaTheme="minorEastAsia" w:cstheme="minorEastAsia"/>
          <w:color w:val="auto"/>
          <w:sz w:val="28"/>
          <w:szCs w:val="28"/>
          <w:highlight w:val="none"/>
        </w:rPr>
        <w:t>C  磋商响应文件的编写</w:t>
      </w:r>
      <w:bookmarkEnd w:id="56"/>
      <w:bookmarkEnd w:id="57"/>
      <w:bookmarkEnd w:id="58"/>
      <w:bookmarkEnd w:id="59"/>
      <w:bookmarkEnd w:id="60"/>
      <w:bookmarkEnd w:id="61"/>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9．要求</w:t>
      </w:r>
    </w:p>
    <w:p>
      <w:pPr>
        <w:spacing w:line="400" w:lineRule="atLeast"/>
        <w:ind w:left="360" w:hanging="360" w:hanging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 供应商应仔细阅读磋商文件的所有内容，按磋商文件的要求提供磋商响应文件，并保证所提供的全部资料的真实性，以使其投标对磋商文件作出实质性响应，否则，其投标可能被拒绝。</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10．投标语言</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10.1磋商响应文件及供应商与招标代理机构就投标交换的文件和来往信件，应以中文书写。</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11．磋商响应文件的构成</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 供应商编写的磋商响应文件应包括下列内容：</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响应文件包含：商务标、经济标、技术标</w:t>
      </w:r>
      <w:r>
        <w:rPr>
          <w:rFonts w:hint="eastAsia" w:asciiTheme="minorEastAsia" w:hAnsiTheme="minorEastAsia" w:eastAsiaTheme="minorEastAsia" w:cstheme="minorEastAsia"/>
          <w:color w:val="auto"/>
          <w:sz w:val="24"/>
          <w:highlight w:val="none"/>
          <w:lang w:eastAsia="zh-CN"/>
        </w:rPr>
        <w:t>及</w:t>
      </w:r>
      <w:r>
        <w:rPr>
          <w:rFonts w:hint="eastAsia" w:asciiTheme="minorEastAsia" w:hAnsiTheme="minorEastAsia" w:eastAsiaTheme="minorEastAsia" w:cstheme="minorEastAsia"/>
          <w:color w:val="auto"/>
          <w:sz w:val="24"/>
          <w:highlight w:val="none"/>
        </w:rPr>
        <w:t>响应文件电子文档（需单独密封提供，包含商务标、经济标、技术标</w:t>
      </w:r>
      <w:r>
        <w:rPr>
          <w:rFonts w:hint="eastAsia" w:asciiTheme="minorEastAsia" w:hAnsiTheme="minorEastAsia" w:eastAsiaTheme="minorEastAsia" w:cstheme="minorEastAsia"/>
          <w:color w:val="auto"/>
          <w:sz w:val="24"/>
          <w:highlight w:val="none"/>
          <w:lang w:val="en-US" w:eastAsia="zh-CN"/>
        </w:rPr>
        <w:t>等</w:t>
      </w:r>
      <w:r>
        <w:rPr>
          <w:rFonts w:hint="eastAsia" w:asciiTheme="minorEastAsia" w:hAnsiTheme="minorEastAsia" w:eastAsiaTheme="minorEastAsia" w:cstheme="minorEastAsia"/>
          <w:color w:val="auto"/>
          <w:sz w:val="24"/>
          <w:highlight w:val="none"/>
        </w:rPr>
        <w:t>）</w:t>
      </w:r>
    </w:p>
    <w:p>
      <w:pPr>
        <w:tabs>
          <w:tab w:val="left" w:pos="540"/>
          <w:tab w:val="left" w:pos="900"/>
          <w:tab w:val="left" w:pos="1080"/>
        </w:tabs>
        <w:spacing w:line="400" w:lineRule="atLeas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 w:val="24"/>
          <w:highlight w:val="none"/>
        </w:rPr>
        <w:t xml:space="preserve">11.1 </w:t>
      </w:r>
      <w:r>
        <w:rPr>
          <w:rFonts w:hint="eastAsia" w:asciiTheme="minorEastAsia" w:hAnsiTheme="minorEastAsia" w:eastAsiaTheme="minorEastAsia" w:cstheme="minorEastAsia"/>
          <w:b/>
          <w:bCs/>
          <w:color w:val="auto"/>
          <w:sz w:val="24"/>
          <w:highlight w:val="none"/>
          <w:lang w:val="en-US" w:eastAsia="zh-CN"/>
        </w:rPr>
        <w:t>.1</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商务标内容：</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1、投标承诺书（一）</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2、投标承诺书（二）</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3、投标承诺书（三）</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4</w:t>
      </w:r>
      <w:r>
        <w:rPr>
          <w:rFonts w:hint="eastAsia" w:asciiTheme="minorEastAsia" w:hAnsiTheme="minorEastAsia" w:eastAsiaTheme="minorEastAsia" w:cstheme="minorEastAsia"/>
          <w:color w:val="auto"/>
          <w:sz w:val="24"/>
          <w:szCs w:val="22"/>
          <w:highlight w:val="none"/>
        </w:rPr>
        <w:t>、法定代表人身份证明书</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5</w:t>
      </w:r>
      <w:r>
        <w:rPr>
          <w:rFonts w:hint="eastAsia" w:asciiTheme="minorEastAsia" w:hAnsiTheme="minorEastAsia" w:eastAsiaTheme="minorEastAsia" w:cstheme="minorEastAsia"/>
          <w:color w:val="auto"/>
          <w:sz w:val="24"/>
          <w:szCs w:val="22"/>
          <w:highlight w:val="none"/>
        </w:rPr>
        <w:t>、法定代表人授权委托书</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6</w:t>
      </w:r>
      <w:r>
        <w:rPr>
          <w:rFonts w:hint="eastAsia" w:asciiTheme="minorEastAsia" w:hAnsiTheme="minorEastAsia" w:eastAsiaTheme="minorEastAsia" w:cstheme="minorEastAsia"/>
          <w:color w:val="auto"/>
          <w:sz w:val="24"/>
          <w:szCs w:val="22"/>
          <w:highlight w:val="none"/>
        </w:rPr>
        <w:t>、</w:t>
      </w:r>
      <w:r>
        <w:rPr>
          <w:rFonts w:hint="eastAsia" w:asciiTheme="minorEastAsia" w:hAnsiTheme="minorEastAsia" w:eastAsiaTheme="minorEastAsia" w:cstheme="minorEastAsia"/>
          <w:color w:val="auto"/>
          <w:sz w:val="24"/>
          <w:szCs w:val="22"/>
          <w:highlight w:val="none"/>
          <w:lang w:eastAsia="zh-CN"/>
        </w:rPr>
        <w:t>供应商</w:t>
      </w:r>
      <w:r>
        <w:rPr>
          <w:rFonts w:hint="eastAsia" w:asciiTheme="minorEastAsia" w:hAnsiTheme="minorEastAsia" w:eastAsiaTheme="minorEastAsia" w:cstheme="minorEastAsia"/>
          <w:color w:val="auto"/>
          <w:sz w:val="24"/>
          <w:szCs w:val="22"/>
          <w:highlight w:val="none"/>
        </w:rPr>
        <w:t>概况（企业营业执照副本复印件、资质证书副本复印件、安全生产许可证复印件、注册建造师证书复印件</w:t>
      </w:r>
      <w:r>
        <w:rPr>
          <w:rFonts w:hint="eastAsia" w:asciiTheme="minorEastAsia" w:hAnsiTheme="minorEastAsia" w:eastAsiaTheme="minorEastAsia" w:cstheme="minorEastAsia"/>
          <w:color w:val="auto"/>
          <w:sz w:val="24"/>
          <w:szCs w:val="22"/>
          <w:highlight w:val="none"/>
          <w:lang w:val="en-US" w:eastAsia="zh-CN"/>
        </w:rPr>
        <w:t>等</w:t>
      </w:r>
      <w:r>
        <w:rPr>
          <w:rFonts w:hint="eastAsia" w:asciiTheme="minorEastAsia" w:hAnsiTheme="minorEastAsia" w:eastAsiaTheme="minorEastAsia" w:cstheme="minorEastAsia"/>
          <w:color w:val="auto"/>
          <w:sz w:val="24"/>
          <w:szCs w:val="22"/>
          <w:highlight w:val="none"/>
        </w:rPr>
        <w:t>）；</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7</w:t>
      </w:r>
      <w:r>
        <w:rPr>
          <w:rFonts w:hint="eastAsia" w:asciiTheme="minorEastAsia" w:hAnsiTheme="minorEastAsia" w:eastAsiaTheme="minorEastAsia" w:cstheme="minorEastAsia"/>
          <w:color w:val="auto"/>
          <w:sz w:val="24"/>
          <w:szCs w:val="22"/>
          <w:highlight w:val="none"/>
        </w:rPr>
        <w:t>、</w:t>
      </w:r>
      <w:r>
        <w:rPr>
          <w:rFonts w:hint="eastAsia" w:asciiTheme="minorEastAsia" w:hAnsiTheme="minorEastAsia" w:eastAsiaTheme="minorEastAsia" w:cstheme="minorEastAsia"/>
          <w:color w:val="auto"/>
          <w:sz w:val="24"/>
          <w:szCs w:val="22"/>
          <w:highlight w:val="none"/>
          <w:lang w:eastAsia="zh-CN"/>
        </w:rPr>
        <w:t>供应商</w:t>
      </w:r>
      <w:r>
        <w:rPr>
          <w:rFonts w:hint="eastAsia" w:asciiTheme="minorEastAsia" w:hAnsiTheme="minorEastAsia" w:eastAsiaTheme="minorEastAsia" w:cstheme="minorEastAsia"/>
          <w:color w:val="auto"/>
          <w:sz w:val="24"/>
          <w:szCs w:val="22"/>
          <w:highlight w:val="none"/>
        </w:rPr>
        <w:t>近三年</w:t>
      </w:r>
      <w:r>
        <w:rPr>
          <w:rFonts w:hint="eastAsia" w:asciiTheme="minorEastAsia" w:hAnsiTheme="minorEastAsia" w:eastAsiaTheme="minorEastAsia" w:cstheme="minorEastAsia"/>
          <w:color w:val="000000" w:themeColor="text1"/>
          <w:sz w:val="24"/>
          <w:szCs w:val="22"/>
          <w:highlight w:val="none"/>
          <w14:textFill>
            <w14:solidFill>
              <w14:schemeClr w14:val="tx1"/>
            </w14:solidFill>
          </w14:textFill>
        </w:rPr>
        <w:t>（20</w:t>
      </w:r>
      <w:r>
        <w:rPr>
          <w:rFonts w:hint="eastAsia"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4"/>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2"/>
          <w:highlight w:val="none"/>
          <w14:textFill>
            <w14:solidFill>
              <w14:schemeClr w14:val="tx1"/>
            </w14:solidFill>
          </w14:textFill>
        </w:rPr>
        <w:t>月—至今）</w:t>
      </w:r>
      <w:r>
        <w:rPr>
          <w:rFonts w:hint="eastAsia" w:asciiTheme="minorEastAsia" w:hAnsiTheme="minorEastAsia" w:eastAsiaTheme="minorEastAsia" w:cstheme="minorEastAsia"/>
          <w:color w:val="auto"/>
          <w:sz w:val="24"/>
          <w:szCs w:val="22"/>
          <w:highlight w:val="none"/>
        </w:rPr>
        <w:t>类似工程业绩证明材料（附：中标通知书</w:t>
      </w:r>
      <w:r>
        <w:rPr>
          <w:rFonts w:hint="eastAsia" w:asciiTheme="minorEastAsia" w:hAnsiTheme="minorEastAsia" w:eastAsiaTheme="minorEastAsia" w:cstheme="minorEastAsia"/>
          <w:color w:val="auto"/>
          <w:sz w:val="24"/>
          <w:szCs w:val="22"/>
          <w:highlight w:val="none"/>
          <w:lang w:eastAsia="zh-CN"/>
        </w:rPr>
        <w:t>、</w:t>
      </w:r>
      <w:r>
        <w:rPr>
          <w:rFonts w:hint="eastAsia" w:asciiTheme="minorEastAsia" w:hAnsiTheme="minorEastAsia" w:eastAsiaTheme="minorEastAsia" w:cstheme="minorEastAsia"/>
          <w:color w:val="auto"/>
          <w:sz w:val="24"/>
          <w:szCs w:val="22"/>
          <w:highlight w:val="none"/>
        </w:rPr>
        <w:t>施工合同</w:t>
      </w:r>
      <w:r>
        <w:rPr>
          <w:rFonts w:hint="eastAsia" w:asciiTheme="minorEastAsia" w:hAnsiTheme="minorEastAsia" w:eastAsiaTheme="minorEastAsia" w:cstheme="minorEastAsia"/>
          <w:color w:val="auto"/>
          <w:sz w:val="24"/>
          <w:szCs w:val="22"/>
          <w:highlight w:val="none"/>
          <w:lang w:eastAsia="zh-CN"/>
        </w:rPr>
        <w:t>等</w:t>
      </w:r>
      <w:r>
        <w:rPr>
          <w:rFonts w:hint="eastAsia" w:asciiTheme="minorEastAsia" w:hAnsiTheme="minorEastAsia" w:eastAsiaTheme="minorEastAsia" w:cstheme="minorEastAsia"/>
          <w:color w:val="auto"/>
          <w:sz w:val="24"/>
          <w:szCs w:val="22"/>
          <w:highlight w:val="none"/>
        </w:rPr>
        <w:t>）</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8</w:t>
      </w:r>
      <w:r>
        <w:rPr>
          <w:rFonts w:hint="eastAsia" w:asciiTheme="minorEastAsia" w:hAnsiTheme="minorEastAsia" w:eastAsiaTheme="minorEastAsia" w:cstheme="minorEastAsia"/>
          <w:color w:val="auto"/>
          <w:sz w:val="24"/>
          <w:szCs w:val="22"/>
          <w:highlight w:val="none"/>
        </w:rPr>
        <w:t>、项目负责人简历</w:t>
      </w:r>
      <w:r>
        <w:rPr>
          <w:rFonts w:hint="eastAsia" w:asciiTheme="minorEastAsia" w:hAnsiTheme="minorEastAsia" w:eastAsiaTheme="minorEastAsia" w:cstheme="minorEastAsia"/>
          <w:color w:val="000000" w:themeColor="text1"/>
          <w:sz w:val="24"/>
          <w:szCs w:val="22"/>
          <w:highlight w:val="none"/>
          <w14:textFill>
            <w14:solidFill>
              <w14:schemeClr w14:val="tx1"/>
            </w14:solidFill>
          </w14:textFill>
        </w:rPr>
        <w:t>【项目负责人近三年（201</w:t>
      </w:r>
      <w:r>
        <w:rPr>
          <w:rFonts w:hint="eastAsia"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2"/>
          <w:highlight w:val="none"/>
          <w14:textFill>
            <w14:solidFill>
              <w14:schemeClr w14:val="tx1"/>
            </w14:solidFill>
          </w14:textFill>
        </w:rPr>
        <w:t>月—至今）</w:t>
      </w:r>
      <w:r>
        <w:rPr>
          <w:rFonts w:hint="eastAsia" w:asciiTheme="minorEastAsia" w:hAnsiTheme="minorEastAsia" w:eastAsiaTheme="minorEastAsia" w:cstheme="minorEastAsia"/>
          <w:color w:val="auto"/>
          <w:sz w:val="24"/>
          <w:szCs w:val="22"/>
          <w:highlight w:val="none"/>
        </w:rPr>
        <w:t>类似工程业绩如有要求需附证明材料】（附：中标通知书、施工合同</w:t>
      </w:r>
      <w:r>
        <w:rPr>
          <w:rFonts w:hint="eastAsia" w:asciiTheme="minorEastAsia" w:hAnsiTheme="minorEastAsia" w:eastAsiaTheme="minorEastAsia" w:cstheme="minorEastAsia"/>
          <w:color w:val="auto"/>
          <w:sz w:val="24"/>
          <w:szCs w:val="22"/>
          <w:highlight w:val="none"/>
          <w:lang w:eastAsia="zh-CN"/>
        </w:rPr>
        <w:t>等</w:t>
      </w:r>
      <w:r>
        <w:rPr>
          <w:rFonts w:hint="eastAsia" w:asciiTheme="minorEastAsia" w:hAnsiTheme="minorEastAsia" w:eastAsiaTheme="minorEastAsia" w:cstheme="minorEastAsia"/>
          <w:color w:val="auto"/>
          <w:sz w:val="24"/>
          <w:szCs w:val="22"/>
          <w:highlight w:val="none"/>
        </w:rPr>
        <w:t>）</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9</w:t>
      </w:r>
      <w:r>
        <w:rPr>
          <w:rFonts w:hint="eastAsia" w:asciiTheme="minorEastAsia" w:hAnsiTheme="minorEastAsia" w:eastAsiaTheme="minorEastAsia" w:cstheme="minorEastAsia"/>
          <w:color w:val="auto"/>
          <w:sz w:val="24"/>
          <w:szCs w:val="22"/>
          <w:highlight w:val="none"/>
        </w:rPr>
        <w:t>、项目管理人员</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10、投标保证金收据或相关凭证复印件</w:t>
      </w:r>
    </w:p>
    <w:p>
      <w:pPr>
        <w:tabs>
          <w:tab w:val="left" w:pos="540"/>
          <w:tab w:val="left" w:pos="900"/>
          <w:tab w:val="left" w:pos="1080"/>
        </w:tabs>
        <w:spacing w:line="400" w:lineRule="atLeast"/>
        <w:ind w:left="360"/>
        <w:rPr>
          <w:rFonts w:hint="default"/>
          <w:lang w:val="en-US" w:eastAsia="zh-CN"/>
        </w:rPr>
      </w:pPr>
      <w:r>
        <w:rPr>
          <w:rFonts w:hint="eastAsia" w:asciiTheme="minorEastAsia" w:hAnsiTheme="minorEastAsia" w:eastAsiaTheme="minorEastAsia" w:cstheme="minorEastAsia"/>
          <w:color w:val="auto"/>
          <w:sz w:val="24"/>
          <w:szCs w:val="22"/>
          <w:highlight w:val="none"/>
          <w:lang w:val="en-US" w:eastAsia="zh-CN"/>
        </w:rPr>
        <w:t>11、不围标串标承诺书</w:t>
      </w:r>
    </w:p>
    <w:p>
      <w:pPr>
        <w:tabs>
          <w:tab w:val="left" w:pos="540"/>
          <w:tab w:val="left" w:pos="900"/>
          <w:tab w:val="left" w:pos="1080"/>
        </w:tabs>
        <w:spacing w:line="400" w:lineRule="atLeast"/>
        <w:ind w:left="36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szCs w:val="22"/>
          <w:highlight w:val="none"/>
          <w:lang w:val="en-US" w:eastAsia="zh-CN"/>
        </w:rPr>
        <w:t>12、</w:t>
      </w:r>
      <w:r>
        <w:rPr>
          <w:rFonts w:hint="eastAsia" w:asciiTheme="minorEastAsia" w:hAnsiTheme="minorEastAsia" w:eastAsiaTheme="minorEastAsia" w:cstheme="minorEastAsia"/>
          <w:color w:val="auto"/>
          <w:sz w:val="24"/>
          <w:szCs w:val="22"/>
          <w:highlight w:val="none"/>
          <w:lang w:eastAsia="zh-CN"/>
        </w:rPr>
        <w:t>磋商文件</w:t>
      </w:r>
      <w:r>
        <w:rPr>
          <w:rFonts w:hint="eastAsia" w:asciiTheme="minorEastAsia" w:hAnsiTheme="minorEastAsia" w:eastAsiaTheme="minorEastAsia" w:cstheme="minorEastAsia"/>
          <w:color w:val="auto"/>
          <w:sz w:val="24"/>
          <w:szCs w:val="22"/>
          <w:highlight w:val="none"/>
        </w:rPr>
        <w:t>要求的其他证明材料</w:t>
      </w:r>
    </w:p>
    <w:p>
      <w:pPr>
        <w:tabs>
          <w:tab w:val="left" w:pos="540"/>
          <w:tab w:val="left" w:pos="900"/>
          <w:tab w:val="left" w:pos="1080"/>
        </w:tabs>
        <w:spacing w:line="400" w:lineRule="atLeas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auto"/>
          <w:sz w:val="24"/>
          <w:highlight w:val="none"/>
        </w:rPr>
        <w:t>11.</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 xml:space="preserve">1 </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技术标</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内容</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1、工程概况及特点</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2、施工准备计划</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3、施工方案</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4、施工进度计划</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5、施工平面图</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6、劳动力需用量计划</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7、质量保证措施和体系</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8、工期保证措施和体系</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9、安全保证措施和体系</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10、现场文明施工措施</w:t>
      </w:r>
    </w:p>
    <w:p>
      <w:pPr>
        <w:topLinePunct/>
        <w:spacing w:line="400"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11、承诺</w:t>
      </w:r>
    </w:p>
    <w:p>
      <w:pPr>
        <w:topLinePunct/>
        <w:spacing w:line="400" w:lineRule="exact"/>
        <w:rPr>
          <w:rFonts w:hint="eastAsia" w:asciiTheme="minorEastAsia" w:hAnsiTheme="minorEastAsia" w:eastAsiaTheme="minorEastAsia" w:cstheme="minorEastAsia"/>
          <w:color w:val="000000" w:themeColor="text1"/>
          <w:kern w:val="0"/>
          <w:sz w:val="24"/>
          <w:szCs w:val="28"/>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w:t>
      </w: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投标文件须按技术标格式目录顺序编写</w:t>
      </w:r>
    </w:p>
    <w:p>
      <w:pPr>
        <w:tabs>
          <w:tab w:val="left" w:pos="540"/>
          <w:tab w:val="left" w:pos="900"/>
          <w:tab w:val="left" w:pos="1080"/>
        </w:tabs>
        <w:spacing w:line="400" w:lineRule="atLeas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 xml:space="preserve">11.1 </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经济标</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内容</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经济标内容（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以本工程的招标工程量清单为依据编制，需按正规经济标内容及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规定编制，）</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纸张要求</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Cs/>
          <w:color w:val="auto"/>
          <w:sz w:val="24"/>
          <w:highlight w:val="none"/>
        </w:rPr>
        <w:t>商务标、技术标、经济标</w:t>
      </w:r>
      <w:r>
        <w:rPr>
          <w:rFonts w:hint="eastAsia" w:asciiTheme="minorEastAsia" w:hAnsiTheme="minorEastAsia" w:eastAsiaTheme="minorEastAsia" w:cstheme="minorEastAsia"/>
          <w:color w:val="auto"/>
          <w:sz w:val="24"/>
          <w:highlight w:val="none"/>
        </w:rPr>
        <w:t>应采用A4打印纸。</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bookmarkStart w:id="62" w:name="_Hlk64525194"/>
      <w:bookmarkEnd w:id="62"/>
      <w:bookmarkStart w:id="63" w:name="_Hlk54580125"/>
      <w:bookmarkEnd w:id="63"/>
      <w:bookmarkStart w:id="64" w:name="_Hlk40073499"/>
      <w:bookmarkEnd w:id="64"/>
      <w:bookmarkStart w:id="65" w:name="_Hlk64525193"/>
      <w:bookmarkEnd w:id="65"/>
      <w:bookmarkStart w:id="66" w:name="_Hlk64525192"/>
      <w:bookmarkEnd w:id="66"/>
      <w:bookmarkStart w:id="67" w:name="_Hlk40073500"/>
      <w:bookmarkEnd w:id="67"/>
      <w:bookmarkStart w:id="68" w:name="_Hlk54580127"/>
      <w:bookmarkEnd w:id="68"/>
      <w:bookmarkStart w:id="69" w:name="_Hlk40073498"/>
      <w:bookmarkEnd w:id="69"/>
      <w:bookmarkStart w:id="70" w:name="_Hlk54580126"/>
      <w:bookmarkEnd w:id="70"/>
      <w:r>
        <w:rPr>
          <w:rFonts w:hint="eastAsia" w:asciiTheme="minorEastAsia" w:hAnsiTheme="minorEastAsia" w:eastAsiaTheme="minorEastAsia" w:cstheme="minorEastAsia"/>
          <w:color w:val="auto"/>
          <w:sz w:val="24"/>
          <w:highlight w:val="none"/>
        </w:rPr>
        <w:t>11.3、</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书写要求</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sz w:val="24"/>
          <w:szCs w:val="24"/>
        </w:rPr>
        <w:t>响应文件商务标、技术标、经济标采用打印方式书写。</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装订要求</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bookmarkStart w:id="71" w:name="_Hlk64525274"/>
      <w:bookmarkEnd w:id="71"/>
      <w:bookmarkStart w:id="72" w:name="_Hlk54580195"/>
      <w:bookmarkEnd w:id="72"/>
      <w:bookmarkStart w:id="73" w:name="_Hlk54580193"/>
      <w:bookmarkEnd w:id="73"/>
      <w:bookmarkStart w:id="74" w:name="_Hlk54580194"/>
      <w:bookmarkEnd w:id="74"/>
      <w:bookmarkStart w:id="75" w:name="_Hlk64525275"/>
      <w:bookmarkEnd w:id="75"/>
      <w:bookmarkStart w:id="76" w:name="_Hlk64525276"/>
      <w:bookmarkEnd w:id="76"/>
      <w:r>
        <w:rPr>
          <w:rFonts w:hint="eastAsia" w:asciiTheme="minorEastAsia" w:hAnsiTheme="minorEastAsia" w:eastAsiaTheme="minorEastAsia" w:cstheme="minorEastAsia"/>
          <w:color w:val="auto"/>
          <w:sz w:val="24"/>
          <w:highlight w:val="none"/>
        </w:rPr>
        <w:t>11.4.1、</w:t>
      </w:r>
      <w:r>
        <w:rPr>
          <w:rFonts w:hint="eastAsia" w:asciiTheme="minorEastAsia" w:hAnsiTheme="minorEastAsia" w:eastAsiaTheme="minorEastAsia" w:cstheme="minorEastAsia"/>
          <w:bCs/>
          <w:color w:val="auto"/>
          <w:sz w:val="24"/>
          <w:highlight w:val="none"/>
        </w:rPr>
        <w:t>商务标、技术标、经济标必须分别装订成册。否则整个</w:t>
      </w:r>
      <w:r>
        <w:rPr>
          <w:rFonts w:hint="eastAsia" w:asciiTheme="minorEastAsia" w:hAnsiTheme="minorEastAsia" w:eastAsiaTheme="minorEastAsia" w:cstheme="minorEastAsia"/>
          <w:bCs/>
          <w:color w:val="auto"/>
          <w:sz w:val="24"/>
          <w:highlight w:val="none"/>
          <w:lang w:eastAsia="zh-CN"/>
        </w:rPr>
        <w:t>响应文件</w:t>
      </w:r>
      <w:r>
        <w:rPr>
          <w:rFonts w:hint="eastAsia" w:asciiTheme="minorEastAsia" w:hAnsiTheme="minorEastAsia" w:eastAsiaTheme="minorEastAsia" w:cstheme="minorEastAsia"/>
          <w:bCs/>
          <w:color w:val="auto"/>
          <w:sz w:val="24"/>
          <w:highlight w:val="none"/>
        </w:rPr>
        <w:t>将被视为不响应</w:t>
      </w:r>
      <w:r>
        <w:rPr>
          <w:rFonts w:hint="eastAsia" w:asciiTheme="minorEastAsia" w:hAnsiTheme="minorEastAsia" w:eastAsiaTheme="minorEastAsia" w:cstheme="minorEastAsia"/>
          <w:bCs/>
          <w:color w:val="auto"/>
          <w:sz w:val="24"/>
          <w:highlight w:val="none"/>
          <w:lang w:eastAsia="zh-CN"/>
        </w:rPr>
        <w:t>磋商文件</w:t>
      </w:r>
      <w:r>
        <w:rPr>
          <w:rFonts w:hint="eastAsia" w:asciiTheme="minorEastAsia" w:hAnsiTheme="minorEastAsia" w:eastAsiaTheme="minorEastAsia" w:cstheme="minorEastAsia"/>
          <w:bCs/>
          <w:color w:val="auto"/>
          <w:sz w:val="24"/>
          <w:highlight w:val="none"/>
        </w:rPr>
        <w:t>，而予以拒绝评审。</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bookmarkStart w:id="77" w:name="_Hlk40073576"/>
      <w:bookmarkEnd w:id="77"/>
      <w:bookmarkStart w:id="78" w:name="_Hlk40073612"/>
      <w:bookmarkEnd w:id="78"/>
      <w:bookmarkStart w:id="79" w:name="_Hlk40073622"/>
      <w:bookmarkEnd w:id="79"/>
      <w:bookmarkStart w:id="80" w:name="_Hlk40073613"/>
      <w:bookmarkEnd w:id="80"/>
      <w:bookmarkStart w:id="81" w:name="_Hlk40073578"/>
      <w:bookmarkEnd w:id="81"/>
      <w:bookmarkStart w:id="82" w:name="_Hlk40073624"/>
      <w:bookmarkEnd w:id="82"/>
      <w:bookmarkStart w:id="83" w:name="_Hlk40073614"/>
      <w:bookmarkEnd w:id="83"/>
      <w:bookmarkStart w:id="84" w:name="_Hlk40073623"/>
      <w:bookmarkEnd w:id="84"/>
      <w:bookmarkStart w:id="85" w:name="_Hlk40073577"/>
      <w:bookmarkEnd w:id="85"/>
      <w:r>
        <w:rPr>
          <w:rFonts w:hint="eastAsia" w:asciiTheme="minorEastAsia" w:hAnsiTheme="minorEastAsia" w:eastAsiaTheme="minorEastAsia" w:cstheme="minorEastAsia"/>
          <w:color w:val="auto"/>
          <w:sz w:val="24"/>
          <w:highlight w:val="none"/>
        </w:rPr>
        <w:t>11.4.2、商务标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经济标</w:t>
      </w:r>
      <w:r>
        <w:rPr>
          <w:rFonts w:hint="eastAsia" w:asciiTheme="minorEastAsia" w:hAnsiTheme="minorEastAsia" w:eastAsiaTheme="minorEastAsia" w:cstheme="minorEastAsia"/>
          <w:color w:val="auto"/>
          <w:sz w:val="24"/>
          <w:highlight w:val="none"/>
          <w:lang w:eastAsia="zh-CN"/>
        </w:rPr>
        <w:t>、技术标</w:t>
      </w:r>
      <w:r>
        <w:rPr>
          <w:rFonts w:hint="eastAsia" w:asciiTheme="minorEastAsia" w:hAnsiTheme="minorEastAsia" w:eastAsiaTheme="minorEastAsia" w:cstheme="minorEastAsia"/>
          <w:color w:val="auto"/>
          <w:sz w:val="24"/>
          <w:highlight w:val="none"/>
        </w:rPr>
        <w:t>应按封面、目录、正文顺序装订。</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11.5、  </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字体要求</w:t>
      </w: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11.5.1、</w:t>
      </w:r>
      <w:r>
        <w:rPr>
          <w:rFonts w:hint="eastAsia" w:asciiTheme="minorEastAsia" w:hAnsiTheme="minorEastAsia" w:eastAsiaTheme="minorEastAsia" w:cstheme="minorEastAsia"/>
          <w:sz w:val="24"/>
          <w:szCs w:val="24"/>
        </w:rPr>
        <w:t>响应文件商务标、技术标、经济标所采用的字体，以能够供评委识别看清为准。</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11.6、</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封面要求</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highlight w:val="none"/>
        </w:rPr>
        <w:t>11.6.1、</w:t>
      </w:r>
      <w:r>
        <w:rPr>
          <w:rFonts w:hint="eastAsia" w:asciiTheme="minorEastAsia" w:hAnsiTheme="minorEastAsia" w:eastAsiaTheme="minorEastAsia" w:cstheme="minorEastAsia"/>
          <w:sz w:val="24"/>
          <w:szCs w:val="24"/>
        </w:rPr>
        <w:t>响应文件商务标、技术标、经济标封面宜按磋商文件规定格式编制。</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11.7、</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目录要求</w:t>
      </w:r>
    </w:p>
    <w:p>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11.7.1</w:t>
      </w:r>
      <w:r>
        <w:rPr>
          <w:rFonts w:hint="eastAsia" w:asciiTheme="minorEastAsia" w:hAnsiTheme="minorEastAsia" w:eastAsiaTheme="minorEastAsia" w:cstheme="minorEastAsia"/>
          <w:sz w:val="24"/>
          <w:szCs w:val="24"/>
        </w:rPr>
        <w:t>为便于评审，响应文件商务标、技术标、经济标目录宜按本磋商文件相关内容先后顺序编排。</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的份数和签署</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bookmarkStart w:id="86" w:name="_Hlk64398585"/>
      <w:bookmarkEnd w:id="86"/>
      <w:bookmarkStart w:id="87" w:name="_Hlk64546848"/>
      <w:bookmarkEnd w:id="87"/>
      <w:bookmarkStart w:id="88" w:name="_Hlk64546847"/>
      <w:bookmarkEnd w:id="88"/>
      <w:bookmarkStart w:id="89" w:name="_Hlk64546849"/>
      <w:bookmarkEnd w:id="89"/>
      <w:bookmarkStart w:id="90" w:name="_Hlk39211638"/>
      <w:bookmarkEnd w:id="90"/>
      <w:bookmarkStart w:id="91" w:name="_Hlk64398586"/>
      <w:bookmarkEnd w:id="91"/>
      <w:bookmarkStart w:id="92" w:name="_Hlk56077599"/>
      <w:bookmarkEnd w:id="92"/>
      <w:bookmarkStart w:id="93" w:name="_Hlk39211640"/>
      <w:bookmarkEnd w:id="93"/>
      <w:bookmarkStart w:id="94" w:name="_Hlk56077600"/>
      <w:bookmarkEnd w:id="94"/>
      <w:bookmarkStart w:id="95" w:name="_Hlk56077598"/>
      <w:bookmarkEnd w:id="95"/>
      <w:bookmarkStart w:id="96" w:name="_Hlk39211639"/>
      <w:bookmarkEnd w:id="96"/>
      <w:bookmarkStart w:id="97" w:name="_Hlk64398587"/>
      <w:bookmarkEnd w:id="97"/>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应按</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w:t>
      </w:r>
      <w:bookmarkStart w:id="98" w:name="_Hlt64546867"/>
      <w:bookmarkEnd w:id="98"/>
      <w:bookmarkStart w:id="99" w:name="_Hlt19040661"/>
      <w:bookmarkEnd w:id="99"/>
      <w:bookmarkStart w:id="100" w:name="_Hlt38090346"/>
      <w:bookmarkEnd w:id="100"/>
      <w:bookmarkStart w:id="101" w:name="_Hlt38281763"/>
      <w:bookmarkEnd w:id="101"/>
      <w:bookmarkStart w:id="102" w:name="_Hlt18988738"/>
      <w:bookmarkEnd w:id="102"/>
      <w:bookmarkStart w:id="103" w:name="_Hlt38090339"/>
      <w:bookmarkEnd w:id="103"/>
      <w:bookmarkStart w:id="104" w:name="_Hlt64398617"/>
      <w:bookmarkEnd w:id="104"/>
      <w:bookmarkStart w:id="105" w:name="_Hlt18988603"/>
      <w:bookmarkEnd w:id="105"/>
      <w:bookmarkStart w:id="106" w:name="_Hlt39211642"/>
      <w:bookmarkEnd w:id="106"/>
      <w:bookmarkStart w:id="107" w:name="_Hlt19040430"/>
      <w:bookmarkEnd w:id="107"/>
      <w:bookmarkStart w:id="108" w:name="_Hlt39573761"/>
      <w:bookmarkEnd w:id="108"/>
      <w:bookmarkStart w:id="109" w:name="_Hlt19071243"/>
      <w:bookmarkEnd w:id="109"/>
      <w:bookmarkStart w:id="110" w:name="_Hlt38090323"/>
      <w:bookmarkEnd w:id="110"/>
      <w:r>
        <w:rPr>
          <w:rFonts w:hint="eastAsia" w:asciiTheme="minorEastAsia" w:hAnsiTheme="minorEastAsia" w:eastAsiaTheme="minorEastAsia" w:cstheme="minorEastAsia"/>
          <w:color w:val="auto"/>
          <w:sz w:val="24"/>
          <w:highlight w:val="none"/>
          <w:u w:val="single"/>
        </w:rPr>
        <w:fldChar w:fldCharType="begin"/>
      </w:r>
      <w:r>
        <w:rPr>
          <w:rFonts w:hint="eastAsia" w:asciiTheme="minorEastAsia" w:hAnsiTheme="minorEastAsia" w:eastAsiaTheme="minorEastAsia" w:cstheme="minorEastAsia"/>
          <w:color w:val="auto"/>
          <w:sz w:val="24"/>
          <w:highlight w:val="none"/>
          <w:u w:val="single"/>
        </w:rPr>
        <w:instrText xml:space="preserve"> HYPERLINK \l "_Hlk18988600" </w:instrText>
      </w:r>
      <w:r>
        <w:rPr>
          <w:rFonts w:hint="eastAsia" w:asciiTheme="minorEastAsia" w:hAnsiTheme="minorEastAsia" w:eastAsiaTheme="minorEastAsia" w:cstheme="minorEastAsia"/>
          <w:color w:val="auto"/>
          <w:sz w:val="24"/>
          <w:highlight w:val="none"/>
          <w:u w:val="single"/>
        </w:rPr>
        <w:fldChar w:fldCharType="separate"/>
      </w:r>
      <w:bookmarkStart w:id="111" w:name="_Hlt64398813"/>
      <w:bookmarkEnd w:id="111"/>
      <w:r>
        <w:rPr>
          <w:rStyle w:val="29"/>
          <w:rFonts w:hint="eastAsia" w:asciiTheme="minorEastAsia" w:hAnsiTheme="minorEastAsia" w:eastAsiaTheme="minorEastAsia" w:cstheme="minorEastAsia"/>
          <w:color w:val="auto"/>
          <w:sz w:val="24"/>
          <w:highlight w:val="none"/>
        </w:rPr>
        <w:t>第19.1款</w:t>
      </w:r>
      <w:r>
        <w:rPr>
          <w:rStyle w:val="29"/>
          <w:rFonts w:hint="eastAsia" w:asciiTheme="minorEastAsia" w:hAnsiTheme="minorEastAsia" w:eastAsiaTheme="minorEastAsia" w:cstheme="minorEastAsia"/>
          <w:bCs/>
          <w:color w:val="auto"/>
          <w:sz w:val="24"/>
          <w:highlight w:val="none"/>
        </w:rPr>
        <w:t>项</w:t>
      </w:r>
      <w:r>
        <w:rPr>
          <w:rStyle w:val="29"/>
          <w:rFonts w:hint="eastAsia" w:asciiTheme="minorEastAsia" w:hAnsiTheme="minorEastAsia" w:eastAsiaTheme="minorEastAsia" w:cstheme="minorEastAsia"/>
          <w:color w:val="auto"/>
          <w:sz w:val="24"/>
          <w:highlight w:val="none"/>
        </w:rPr>
        <w:t>规定，编制</w:t>
      </w:r>
      <w:r>
        <w:rPr>
          <w:rStyle w:val="29"/>
          <w:rFonts w:hint="eastAsia" w:asciiTheme="minorEastAsia" w:hAnsiTheme="minorEastAsia" w:eastAsiaTheme="minorEastAsia" w:cstheme="minorEastAsia"/>
          <w:color w:val="auto"/>
          <w:sz w:val="24"/>
          <w:highlight w:val="none"/>
          <w:lang w:eastAsia="zh-CN"/>
        </w:rPr>
        <w:t>响应文件</w:t>
      </w:r>
      <w:r>
        <w:rPr>
          <w:rStyle w:val="29"/>
          <w:rFonts w:hint="eastAsia" w:asciiTheme="minorEastAsia" w:hAnsiTheme="minorEastAsia" w:eastAsiaTheme="minorEastAsia" w:cstheme="minorEastAsia"/>
          <w:color w:val="auto"/>
          <w:sz w:val="24"/>
          <w:highlight w:val="none"/>
        </w:rPr>
        <w:t>“正本”和“副本” 份数。</w:t>
      </w:r>
      <w:r>
        <w:rPr>
          <w:rFonts w:hint="eastAsia" w:asciiTheme="minorEastAsia" w:hAnsiTheme="minorEastAsia" w:eastAsiaTheme="minorEastAsia" w:cstheme="minorEastAsia"/>
          <w:color w:val="auto"/>
          <w:sz w:val="24"/>
          <w:highlight w:val="none"/>
        </w:rPr>
        <w:fldChar w:fldCharType="end"/>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bookmarkStart w:id="112" w:name="_Hlk54581277"/>
      <w:bookmarkEnd w:id="112"/>
      <w:bookmarkStart w:id="113" w:name="_Hlk54579899"/>
      <w:bookmarkEnd w:id="113"/>
      <w:bookmarkStart w:id="114" w:name="_Hlk40073912"/>
      <w:bookmarkEnd w:id="114"/>
      <w:bookmarkStart w:id="115" w:name="_Hlk72641069"/>
      <w:bookmarkEnd w:id="115"/>
      <w:bookmarkStart w:id="116" w:name="_Hlk64545794"/>
      <w:bookmarkEnd w:id="116"/>
      <w:bookmarkStart w:id="117" w:name="_Hlk64525472"/>
      <w:bookmarkEnd w:id="117"/>
      <w:bookmarkStart w:id="118" w:name="_Hlk64545793"/>
      <w:bookmarkEnd w:id="118"/>
      <w:bookmarkStart w:id="119" w:name="_Hlk64525473"/>
      <w:bookmarkEnd w:id="119"/>
      <w:bookmarkStart w:id="120" w:name="_Hlk72641332"/>
      <w:bookmarkEnd w:id="120"/>
      <w:bookmarkStart w:id="121" w:name="_Hlk72641331"/>
      <w:bookmarkEnd w:id="121"/>
      <w:bookmarkStart w:id="122" w:name="_Hlk64525471"/>
      <w:bookmarkEnd w:id="122"/>
      <w:bookmarkStart w:id="123" w:name="_Hlk54581278"/>
      <w:bookmarkEnd w:id="123"/>
      <w:bookmarkStart w:id="124" w:name="_Hlk72641068"/>
      <w:bookmarkEnd w:id="124"/>
      <w:bookmarkStart w:id="125" w:name="_Hlk72641070"/>
      <w:bookmarkEnd w:id="125"/>
      <w:bookmarkStart w:id="126" w:name="_Hlk54581279"/>
      <w:bookmarkEnd w:id="126"/>
      <w:bookmarkStart w:id="127" w:name="_Hlk72641330"/>
      <w:bookmarkEnd w:id="127"/>
      <w:bookmarkStart w:id="128" w:name="_Hlk54579898"/>
      <w:bookmarkEnd w:id="128"/>
      <w:bookmarkStart w:id="129" w:name="_Hlk40073910"/>
      <w:bookmarkEnd w:id="129"/>
      <w:bookmarkStart w:id="130" w:name="_Hlk64545795"/>
      <w:bookmarkEnd w:id="130"/>
      <w:bookmarkStart w:id="131" w:name="_Hlk40073911"/>
      <w:bookmarkEnd w:id="131"/>
      <w:bookmarkStart w:id="132" w:name="_Hlk54579900"/>
      <w:bookmarkEnd w:id="132"/>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sz w:val="24"/>
          <w:szCs w:val="24"/>
          <w:lang w:eastAsia="zh-CN"/>
        </w:rPr>
        <w:t>商务标</w:t>
      </w:r>
      <w:r>
        <w:rPr>
          <w:rFonts w:hint="eastAsia" w:asciiTheme="minorEastAsia" w:hAnsiTheme="minorEastAsia" w:eastAsiaTheme="minorEastAsia" w:cstheme="minorEastAsia"/>
          <w:sz w:val="24"/>
          <w:szCs w:val="24"/>
        </w:rPr>
        <w:t>、技术标、经济标</w:t>
      </w:r>
      <w:r>
        <w:rPr>
          <w:rFonts w:hint="eastAsia" w:asciiTheme="minorEastAsia" w:hAnsiTheme="minorEastAsia" w:eastAsiaTheme="minorEastAsia" w:cstheme="minorEastAsia"/>
          <w:color w:val="auto"/>
          <w:sz w:val="24"/>
          <w:highlight w:val="none"/>
        </w:rPr>
        <w:t>封面右上角必须注明“正本”或“副本”字样。</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sz w:val="24"/>
          <w:szCs w:val="24"/>
          <w:lang w:eastAsia="zh-CN"/>
        </w:rPr>
        <w:t>商务标</w:t>
      </w:r>
      <w:r>
        <w:rPr>
          <w:rFonts w:hint="eastAsia" w:asciiTheme="minorEastAsia" w:hAnsiTheme="minorEastAsia" w:eastAsiaTheme="minorEastAsia" w:cstheme="minorEastAsia"/>
          <w:sz w:val="24"/>
          <w:szCs w:val="24"/>
        </w:rPr>
        <w:t>、技术标、经济标</w:t>
      </w:r>
      <w:r>
        <w:rPr>
          <w:rFonts w:hint="eastAsia" w:asciiTheme="minorEastAsia" w:hAnsiTheme="minorEastAsia" w:eastAsiaTheme="minorEastAsia" w:cstheme="minorEastAsia"/>
          <w:color w:val="auto"/>
          <w:sz w:val="24"/>
          <w:highlight w:val="none"/>
        </w:rPr>
        <w:t>凡是要求盖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章、法定代表人或授权代理人章处，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必须加盖。</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bookmarkStart w:id="133" w:name="_Hlk40073788"/>
      <w:bookmarkEnd w:id="133"/>
      <w:bookmarkStart w:id="134" w:name="_Hlk64544613"/>
      <w:bookmarkEnd w:id="134"/>
      <w:bookmarkStart w:id="135" w:name="_Hlk131417276"/>
      <w:bookmarkEnd w:id="135"/>
      <w:bookmarkStart w:id="136" w:name="_Hlk40073789"/>
      <w:bookmarkEnd w:id="136"/>
      <w:bookmarkStart w:id="137" w:name="_Hlk54580742"/>
      <w:bookmarkEnd w:id="137"/>
      <w:bookmarkStart w:id="138" w:name="_Hlk54580744"/>
      <w:bookmarkEnd w:id="138"/>
      <w:bookmarkStart w:id="139" w:name="_Hlk54580743"/>
      <w:bookmarkEnd w:id="139"/>
      <w:bookmarkStart w:id="140" w:name="_Hlk64544614"/>
      <w:bookmarkEnd w:id="140"/>
      <w:bookmarkStart w:id="141" w:name="_Hlk131417275"/>
      <w:bookmarkEnd w:id="141"/>
      <w:bookmarkStart w:id="142" w:name="_Hlk40073787"/>
      <w:bookmarkEnd w:id="142"/>
      <w:bookmarkStart w:id="143" w:name="_Hlk131417274"/>
      <w:bookmarkEnd w:id="143"/>
      <w:bookmarkStart w:id="144" w:name="_Hlk64544612"/>
      <w:bookmarkEnd w:id="144"/>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、投标总价单凡是要求盖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章、法定代表人或授权代理人章、造价人员章处，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必须加盖。</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正本和副本如有不一致之处，以正本为准。</w:t>
      </w:r>
    </w:p>
    <w:p>
      <w:pPr>
        <w:tabs>
          <w:tab w:val="left" w:pos="540"/>
          <w:tab w:val="left" w:pos="900"/>
          <w:tab w:val="left" w:pos="1080"/>
        </w:tabs>
        <w:spacing w:line="400" w:lineRule="atLeast"/>
        <w:rPr>
          <w:rFonts w:hint="eastAsia" w:asciiTheme="minorEastAsia" w:hAnsiTheme="minorEastAsia" w:eastAsiaTheme="minorEastAsia" w:cstheme="minorEastAsia"/>
          <w:b/>
          <w:color w:val="auto"/>
          <w:sz w:val="24"/>
          <w:highlight w:val="none"/>
        </w:rPr>
      </w:pPr>
      <w:bookmarkStart w:id="145" w:name="_Hlk64544688"/>
      <w:bookmarkEnd w:id="145"/>
      <w:bookmarkStart w:id="146" w:name="_Hlk64544687"/>
      <w:bookmarkEnd w:id="146"/>
      <w:bookmarkStart w:id="147" w:name="_Hlk64544689"/>
      <w:bookmarkEnd w:id="147"/>
      <w:r>
        <w:rPr>
          <w:rFonts w:hint="eastAsia" w:asciiTheme="minorEastAsia" w:hAnsiTheme="minorEastAsia" w:eastAsiaTheme="minorEastAsia" w:cstheme="minorEastAsia"/>
          <w:color w:val="auto"/>
          <w:sz w:val="24"/>
          <w:highlight w:val="none"/>
        </w:rPr>
        <w:t>11.9</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、全套</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应无涂改和行间插字，除非这些删改是根据</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的指示进行的，或者是</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造成的必须修改的错误。修改处应加盖法定代表人或授权代理人章。但技术标、经济标严禁涂改和行间插字。</w:t>
      </w:r>
    </w:p>
    <w:p>
      <w:pPr>
        <w:tabs>
          <w:tab w:val="left" w:pos="540"/>
          <w:tab w:val="left" w:pos="900"/>
          <w:tab w:val="left" w:pos="1080"/>
        </w:tabs>
        <w:spacing w:line="400" w:lineRule="atLeas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11.10、</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的密封与标志</w:t>
      </w:r>
    </w:p>
    <w:p>
      <w:pPr>
        <w:tabs>
          <w:tab w:val="left" w:pos="540"/>
          <w:tab w:val="left" w:pos="900"/>
          <w:tab w:val="left" w:pos="1080"/>
        </w:tabs>
        <w:spacing w:line="400" w:lineRule="atLeas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11.10.1、</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必须将商务标、技术标、经济标</w:t>
      </w:r>
      <w:r>
        <w:rPr>
          <w:rFonts w:hint="eastAsia" w:asciiTheme="minorEastAsia" w:hAnsiTheme="minorEastAsia" w:eastAsiaTheme="minorEastAsia" w:cstheme="minorEastAsia"/>
          <w:b/>
          <w:bCs/>
          <w:color w:val="auto"/>
          <w:sz w:val="24"/>
          <w:highlight w:val="none"/>
          <w:lang w:eastAsia="zh-CN"/>
        </w:rPr>
        <w:t>及电子版投标文件</w:t>
      </w:r>
      <w:r>
        <w:rPr>
          <w:rFonts w:hint="eastAsia" w:asciiTheme="minorEastAsia" w:hAnsiTheme="minorEastAsia" w:eastAsiaTheme="minorEastAsia" w:cstheme="minorEastAsia"/>
          <w:b/>
          <w:bCs/>
          <w:color w:val="auto"/>
          <w:sz w:val="24"/>
          <w:highlight w:val="none"/>
        </w:rPr>
        <w:t>分别密封装袋</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并在封袋上正确表明“商务标”、“技术标”、“经济标”</w:t>
      </w:r>
      <w:r>
        <w:rPr>
          <w:rFonts w:hint="eastAsia" w:asciiTheme="minorEastAsia" w:hAnsiTheme="minorEastAsia" w:eastAsiaTheme="minorEastAsia" w:cstheme="minorEastAsia"/>
          <w:b/>
          <w:bCs/>
          <w:color w:val="auto"/>
          <w:sz w:val="24"/>
          <w:highlight w:val="none"/>
          <w:lang w:eastAsia="zh-CN"/>
        </w:rPr>
        <w:t>或“电子版投标文件”</w:t>
      </w:r>
      <w:r>
        <w:rPr>
          <w:rFonts w:hint="eastAsia" w:asciiTheme="minorEastAsia" w:hAnsiTheme="minorEastAsia" w:eastAsiaTheme="minorEastAsia" w:cstheme="minorEastAsia"/>
          <w:b/>
          <w:bCs/>
          <w:color w:val="auto"/>
          <w:sz w:val="24"/>
          <w:highlight w:val="none"/>
        </w:rPr>
        <w:t>字样</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否则整个投标文将被视为不响应</w:t>
      </w:r>
      <w:r>
        <w:rPr>
          <w:rFonts w:hint="eastAsia" w:asciiTheme="minorEastAsia" w:hAnsiTheme="minorEastAsia" w:eastAsiaTheme="minorEastAsia" w:cstheme="minorEastAsia"/>
          <w:b/>
          <w:bCs/>
          <w:color w:val="auto"/>
          <w:sz w:val="24"/>
          <w:highlight w:val="none"/>
          <w:lang w:eastAsia="zh-CN"/>
        </w:rPr>
        <w:t>磋商文件</w:t>
      </w:r>
      <w:r>
        <w:rPr>
          <w:rFonts w:hint="eastAsia" w:asciiTheme="minorEastAsia" w:hAnsiTheme="minorEastAsia" w:eastAsiaTheme="minorEastAsia" w:cstheme="minorEastAsia"/>
          <w:b/>
          <w:bCs/>
          <w:color w:val="auto"/>
          <w:sz w:val="24"/>
          <w:highlight w:val="none"/>
        </w:rPr>
        <w:t>，而予以拒绝评审。</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11.10.2、商务标、技术标和经济标</w:t>
      </w:r>
      <w:r>
        <w:rPr>
          <w:rFonts w:hint="eastAsia" w:asciiTheme="minorEastAsia" w:hAnsiTheme="minorEastAsia" w:eastAsiaTheme="minorEastAsia" w:cstheme="minorEastAsia"/>
          <w:color w:val="auto"/>
          <w:sz w:val="24"/>
          <w:highlight w:val="none"/>
          <w:lang w:eastAsia="zh-CN"/>
        </w:rPr>
        <w:t>及</w:t>
      </w:r>
      <w:r>
        <w:rPr>
          <w:rFonts w:hint="eastAsia" w:asciiTheme="minorEastAsia" w:hAnsiTheme="minorEastAsia" w:eastAsiaTheme="minorEastAsia" w:cstheme="minorEastAsia"/>
          <w:color w:val="auto"/>
          <w:sz w:val="24"/>
          <w:highlight w:val="none"/>
          <w:lang w:val="en-US" w:eastAsia="zh-CN"/>
        </w:rPr>
        <w:t>电子标投标文件</w:t>
      </w:r>
      <w:r>
        <w:rPr>
          <w:rFonts w:hint="eastAsia" w:asciiTheme="minorEastAsia" w:hAnsiTheme="minorEastAsia" w:eastAsiaTheme="minorEastAsia" w:cstheme="minorEastAsia"/>
          <w:color w:val="auto"/>
          <w:sz w:val="24"/>
          <w:highlight w:val="none"/>
        </w:rPr>
        <w:t>封袋必须在开启处密封，并加盖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章与法定代表人章。否则整个</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将被视为不响应</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，而予以拒绝评审。</w:t>
      </w:r>
    </w:p>
    <w:p>
      <w:pPr>
        <w:tabs>
          <w:tab w:val="left" w:pos="540"/>
          <w:tab w:val="left" w:pos="900"/>
          <w:tab w:val="left" w:pos="1080"/>
        </w:tabs>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11.10.3、商务标、技术标、经济标</w:t>
      </w:r>
      <w:r>
        <w:rPr>
          <w:rFonts w:hint="eastAsia" w:asciiTheme="minorEastAsia" w:hAnsiTheme="minorEastAsia" w:eastAsiaTheme="minorEastAsia" w:cstheme="minorEastAsia"/>
          <w:color w:val="auto"/>
          <w:sz w:val="24"/>
          <w:highlight w:val="none"/>
          <w:lang w:eastAsia="zh-CN"/>
        </w:rPr>
        <w:t>、电子版投标文件</w:t>
      </w:r>
      <w:r>
        <w:rPr>
          <w:rFonts w:hint="eastAsia" w:asciiTheme="minorEastAsia" w:hAnsiTheme="minorEastAsia" w:eastAsiaTheme="minorEastAsia" w:cstheme="minorEastAsia"/>
          <w:color w:val="auto"/>
          <w:sz w:val="24"/>
          <w:highlight w:val="none"/>
        </w:rPr>
        <w:t>封袋上应写明</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名称和工程名称。</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12．磋商响应文件格式</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 供应商应按磋商文件的范本格式中提供的磋商响应文件格式填写</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13．投标报价</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13.1除本磋商文件另有规定外，供应商应按磋商文件所附相应的投标一览表格式标明拟提供服务的单价和总价等内容。报价以人民币报价，不接受有任何选择性报价。</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投标报价应注意下列要求：</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13.2.1投标报价应包括实施该项目涵盖的所有费用。</w:t>
      </w:r>
    </w:p>
    <w:p>
      <w:pPr>
        <w:spacing w:line="400" w:lineRule="atLeast"/>
        <w:ind w:left="629" w:hanging="628" w:hangingChars="26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 算术性修正。算术性修正是指对磋商响应文件的报价明细进行校核，并对其算术上和运算上的差错给予修正。修正的原则如下：</w:t>
      </w:r>
    </w:p>
    <w:p>
      <w:pPr>
        <w:spacing w:line="400" w:lineRule="atLeast"/>
        <w:ind w:left="720" w:hanging="720" w:hanging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13.3.1 当以数字表示的金额与文字表示的金额有差异时，以文字表示的金额为准；</w:t>
      </w:r>
    </w:p>
    <w:p>
      <w:pPr>
        <w:spacing w:line="400" w:lineRule="atLeast"/>
        <w:ind w:left="720" w:hanging="720" w:hanging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13.3.2 当单价与数量相乘不等于合价时，以单价计算为准。如果单价有明显的小数点位置差错，应以标出的合价为准，同时对单价予以修正；</w:t>
      </w:r>
    </w:p>
    <w:p>
      <w:pPr>
        <w:spacing w:line="400" w:lineRule="atLeast"/>
        <w:ind w:left="720" w:hanging="720" w:hanging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13.3.3 当各明细部分的价格累计不等于合价时，应以各明细的累计计数为准，修正合价。</w:t>
      </w:r>
    </w:p>
    <w:p>
      <w:pPr>
        <w:spacing w:line="400" w:lineRule="atLeast"/>
        <w:ind w:left="720" w:hanging="720" w:hanging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13.3.4 按以上原则对算术性差错修正，应取得供应商的同意，并确认修正后最终投标价。如果供应商拒绝确认，则其磋商响应文件将不予以评审并按废标处理，没收其投标担保。</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14．投标货币</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14.1人民币报价。</w:t>
      </w:r>
    </w:p>
    <w:p>
      <w:pPr>
        <w:spacing w:line="400" w:lineRule="atLeast"/>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b w:val="0"/>
          <w:bCs/>
          <w:color w:val="auto"/>
          <w:sz w:val="24"/>
          <w:highlight w:val="none"/>
        </w:rPr>
        <w:t>供应商的证明文件：</w:t>
      </w:r>
    </w:p>
    <w:p>
      <w:pPr>
        <w:spacing w:line="400" w:lineRule="atLeast"/>
        <w:ind w:firstLine="480" w:firstLineChars="200"/>
        <w:rPr>
          <w:rFonts w:hint="eastAsia" w:asciiTheme="minorEastAsia" w:hAnsiTheme="minorEastAsia" w:eastAsiaTheme="minorEastAsia" w:cstheme="minorEastAsia"/>
          <w:b w:val="0"/>
          <w:bCs/>
          <w:color w:val="auto"/>
          <w:spacing w:val="8"/>
          <w:sz w:val="24"/>
          <w:szCs w:val="24"/>
          <w:highlight w:val="none"/>
        </w:rPr>
      </w:pPr>
      <w:r>
        <w:rPr>
          <w:rFonts w:hint="eastAsia" w:asciiTheme="minorEastAsia" w:hAnsiTheme="minorEastAsia" w:eastAsiaTheme="minorEastAsia" w:cstheme="minorEastAsia"/>
          <w:b w:val="0"/>
          <w:bCs/>
          <w:color w:val="auto"/>
          <w:sz w:val="24"/>
          <w:highlight w:val="none"/>
        </w:rPr>
        <w:t>供应商必须提交证明其有资格进行投标和有能力履行合同的文件（范本格式），作为磋商响应文件的一部分。</w:t>
      </w:r>
    </w:p>
    <w:p>
      <w:pPr>
        <w:spacing w:line="400" w:lineRule="atLeast"/>
        <w:ind w:left="73" w:leftChars="35"/>
        <w:rPr>
          <w:rFonts w:hint="eastAsia" w:asciiTheme="minorEastAsia" w:hAnsiTheme="minorEastAsia" w:eastAsiaTheme="minorEastAsia" w:cstheme="minorEastAsia"/>
          <w:b/>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color w:val="auto"/>
          <w:spacing w:val="8"/>
          <w:sz w:val="24"/>
          <w:szCs w:val="24"/>
          <w:highlight w:val="none"/>
        </w:rPr>
        <w:t>注：</w:t>
      </w:r>
      <w:r>
        <w:rPr>
          <w:rFonts w:hint="eastAsia" w:asciiTheme="minorEastAsia" w:hAnsiTheme="minorEastAsia" w:eastAsiaTheme="minorEastAsia" w:cstheme="minorEastAsia"/>
          <w:b/>
          <w:color w:val="000000" w:themeColor="text1"/>
          <w:spacing w:val="8"/>
          <w:sz w:val="24"/>
          <w:szCs w:val="24"/>
          <w:highlight w:val="none"/>
          <w14:textFill>
            <w14:solidFill>
              <w14:schemeClr w14:val="tx1"/>
            </w14:solidFill>
          </w14:textFill>
        </w:rPr>
        <w:t>（1）磋商响应文件中，所有</w:t>
      </w:r>
      <w:r>
        <w:rPr>
          <w:rFonts w:hint="eastAsia" w:asciiTheme="minorEastAsia" w:hAnsiTheme="minorEastAsia" w:eastAsiaTheme="minorEastAsia" w:cstheme="minorEastAsia"/>
          <w:b/>
          <w:color w:val="000000" w:themeColor="text1"/>
          <w:spacing w:val="8"/>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pacing w:val="8"/>
          <w:sz w:val="24"/>
          <w:szCs w:val="24"/>
          <w:highlight w:val="none"/>
          <w14:textFill>
            <w14:solidFill>
              <w14:schemeClr w14:val="tx1"/>
            </w14:solidFill>
          </w14:textFill>
        </w:rPr>
        <w:t>签字、法人代表签字、法人代表授权人签字和其它签字处须同时加盖有关有法律效力的印章方为有效；</w:t>
      </w:r>
    </w:p>
    <w:p>
      <w:pPr>
        <w:spacing w:line="400" w:lineRule="atLeast"/>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（2）所有资格证明文件必须满足磋商文件要求，否则将导致废标。</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 投标服务符合磋商文件规定的技术响应文件</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16.1供应商须提交证明拟供服务符合磋商文件规定的技术响应文件，作为磋商响应文件的一部分。</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16.2上述文件可以是文字资料、图纸和数据，没有按要求提供资料或提供资料不完全，将是对本次招标没有作出实质性响应，其风险由供应商自行承担。</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17．投标的有效期</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w:t>
      </w:r>
      <w:r>
        <w:rPr>
          <w:rFonts w:hint="eastAsia" w:asciiTheme="minorEastAsia" w:hAnsiTheme="minorEastAsia" w:eastAsiaTheme="minorEastAsia" w:cstheme="minorEastAsia"/>
          <w:b/>
          <w:color w:val="auto"/>
          <w:sz w:val="24"/>
          <w:highlight w:val="none"/>
        </w:rPr>
        <w:t xml:space="preserve"> 磋商响应文件从开标之日起，投标有效期为</w:t>
      </w:r>
      <w:r>
        <w:rPr>
          <w:rFonts w:hint="eastAsia" w:asciiTheme="minorEastAsia" w:hAnsiTheme="minorEastAsia" w:eastAsiaTheme="minorEastAsia" w:cstheme="minorEastAsia"/>
          <w:b/>
          <w:color w:val="auto"/>
          <w:sz w:val="24"/>
          <w:highlight w:val="none"/>
          <w:lang w:val="en-US" w:eastAsia="zh-CN"/>
        </w:rPr>
        <w:t>60</w:t>
      </w:r>
      <w:r>
        <w:rPr>
          <w:rFonts w:hint="eastAsia" w:asciiTheme="minorEastAsia" w:hAnsiTheme="minorEastAsia" w:eastAsiaTheme="minorEastAsia" w:cstheme="minorEastAsia"/>
          <w:b/>
          <w:color w:val="auto"/>
          <w:sz w:val="24"/>
          <w:highlight w:val="none"/>
          <w:lang w:eastAsia="zh-CN"/>
        </w:rPr>
        <w:t>天</w:t>
      </w:r>
      <w:r>
        <w:rPr>
          <w:rFonts w:hint="eastAsia" w:asciiTheme="minorEastAsia" w:hAnsiTheme="minorEastAsia" w:eastAsiaTheme="minorEastAsia" w:cstheme="minorEastAsia"/>
          <w:b/>
          <w:color w:val="auto"/>
          <w:sz w:val="24"/>
          <w:highlight w:val="none"/>
        </w:rPr>
        <w:t>。（如不满足将导致废标）</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 在特殊情况下，招标代理机构可与供应商商量延长磋商响应文件的有效期。</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18．磋商响应文件的书写要求。</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 磋商响应文件须打印。</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 磋商响应文件应清楚工整，修改处应由投标全权代表签章。</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18.3磋商响应文件应由法人代表或法人授权代表在凡规定签章处逐一签署及加盖单位的公章。</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18.4电报、电话、传真形式的投标概不接受。</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18.5磋商响应文件的份数：按</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规定提供。</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19．投标保证金</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19.1于投标截止时间前向招标代理机构交纳投标保证金。</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本次招标</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接受现金作为投标保证金，</w:t>
      </w:r>
      <w:r>
        <w:rPr>
          <w:rFonts w:hint="eastAsia" w:asciiTheme="minorEastAsia" w:hAnsiTheme="minorEastAsia" w:eastAsiaTheme="minorEastAsia" w:cstheme="minorEastAsia"/>
          <w:color w:val="auto"/>
          <w:sz w:val="24"/>
          <w:szCs w:val="24"/>
          <w:highlight w:val="none"/>
        </w:rPr>
        <w:t>投标保证金有效期应当与投标有效期一致</w:t>
      </w:r>
      <w:r>
        <w:rPr>
          <w:rFonts w:hint="eastAsia" w:asciiTheme="minorEastAsia" w:hAnsiTheme="minorEastAsia" w:eastAsiaTheme="minorEastAsia" w:cstheme="minorEastAsia"/>
          <w:color w:val="auto"/>
          <w:sz w:val="24"/>
          <w:highlight w:val="none"/>
        </w:rPr>
        <w:t>。</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19.3投标保证金的退还时间：</w:t>
      </w:r>
    </w:p>
    <w:p>
      <w:pPr>
        <w:spacing w:line="400" w:lineRule="atLeast"/>
        <w:ind w:left="708" w:hanging="708" w:hangingChars="2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19.3.1 在成交通知书发出后5个工作日内退还未中标供应商的投标保证金，在采购合同签订后5个工作日内退还中标供应商的投标保证金。</w:t>
      </w:r>
    </w:p>
    <w:p>
      <w:pPr>
        <w:spacing w:line="400" w:lineRule="atLeas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19.4</w:t>
      </w:r>
      <w:r>
        <w:rPr>
          <w:rFonts w:hint="eastAsia" w:asciiTheme="minorEastAsia" w:hAnsiTheme="minorEastAsia" w:eastAsiaTheme="minorEastAsia" w:cstheme="minorEastAsia"/>
          <w:b/>
          <w:color w:val="auto"/>
          <w:sz w:val="24"/>
          <w:highlight w:val="none"/>
        </w:rPr>
        <w:t>未按规定提交</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w:t>
      </w:r>
      <w:r>
        <w:rPr>
          <w:rFonts w:hint="eastAsia" w:asciiTheme="minorEastAsia" w:hAnsiTheme="minorEastAsia" w:eastAsiaTheme="minorEastAsia" w:cstheme="minorEastAsia"/>
          <w:b/>
          <w:color w:val="auto"/>
          <w:sz w:val="24"/>
          <w:highlight w:val="none"/>
        </w:rPr>
        <w:t>保证金的投标，将被视为投标无效。</w:t>
      </w:r>
    </w:p>
    <w:p>
      <w:pPr>
        <w:pStyle w:val="15"/>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19.5下列任何情况发生时，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w:t>
      </w:r>
      <w:r>
        <w:rPr>
          <w:rFonts w:hint="eastAsia" w:asciiTheme="minorEastAsia" w:hAnsiTheme="minorEastAsia" w:eastAsiaTheme="minorEastAsia" w:cstheme="minorEastAsia"/>
          <w:color w:val="auto"/>
          <w:sz w:val="24"/>
          <w:highlight w:val="none"/>
        </w:rPr>
        <w:t>保证金将被没收：</w:t>
      </w:r>
    </w:p>
    <w:p>
      <w:pPr>
        <w:pStyle w:val="15"/>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19.5.1供应商在磋商文件规定的投标有效期内撤回其投标；</w:t>
      </w:r>
    </w:p>
    <w:p>
      <w:pPr>
        <w:pStyle w:val="15"/>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19.5.2成交方在规定期限内未能：</w:t>
      </w:r>
    </w:p>
    <w:p>
      <w:pPr>
        <w:pStyle w:val="15"/>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19.5.2.1按本须知第31条规定签订合同； </w:t>
      </w:r>
    </w:p>
    <w:p>
      <w:pPr>
        <w:pStyle w:val="15"/>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19.5.2.2按须知第32条向采购人提交履约保证金；</w:t>
      </w:r>
    </w:p>
    <w:p>
      <w:pPr>
        <w:pStyle w:val="15"/>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19.5.2.3按本须知第33条规定向招标代理机构交纳招标代理服务费。</w:t>
      </w:r>
    </w:p>
    <w:p>
      <w:pPr>
        <w:pStyle w:val="15"/>
        <w:spacing w:line="400" w:lineRule="atLeast"/>
        <w:rPr>
          <w:rFonts w:hint="eastAsia" w:asciiTheme="minorEastAsia" w:hAnsiTheme="minorEastAsia" w:eastAsiaTheme="minorEastAsia" w:cstheme="minorEastAsia"/>
          <w:color w:val="auto"/>
          <w:sz w:val="24"/>
          <w:highlight w:val="none"/>
        </w:rPr>
      </w:pPr>
    </w:p>
    <w:p>
      <w:pPr>
        <w:pStyle w:val="4"/>
        <w:spacing w:before="100" w:beforeAutospacing="1" w:after="100" w:afterAutospacing="1" w:line="400" w:lineRule="atLeast"/>
        <w:jc w:val="center"/>
        <w:rPr>
          <w:rFonts w:hint="eastAsia" w:asciiTheme="minorEastAsia" w:hAnsiTheme="minorEastAsia" w:eastAsiaTheme="minorEastAsia" w:cstheme="minorEastAsia"/>
          <w:color w:val="auto"/>
          <w:sz w:val="28"/>
          <w:szCs w:val="28"/>
          <w:highlight w:val="none"/>
        </w:rPr>
      </w:pPr>
      <w:bookmarkStart w:id="148" w:name="_Toc267301285"/>
      <w:bookmarkStart w:id="149" w:name="_Toc527642955"/>
      <w:bookmarkStart w:id="150" w:name="_Toc349573124"/>
      <w:bookmarkStart w:id="151" w:name="_Toc9046"/>
      <w:bookmarkStart w:id="152" w:name="_Toc298240408"/>
      <w:bookmarkStart w:id="153" w:name="_Toc349637923"/>
      <w:r>
        <w:rPr>
          <w:rFonts w:hint="eastAsia" w:asciiTheme="minorEastAsia" w:hAnsiTheme="minorEastAsia" w:eastAsiaTheme="minorEastAsia" w:cstheme="minorEastAsia"/>
          <w:color w:val="auto"/>
          <w:sz w:val="28"/>
          <w:szCs w:val="28"/>
          <w:highlight w:val="none"/>
        </w:rPr>
        <w:t>D  磋商响应文件的递交</w:t>
      </w:r>
      <w:bookmarkEnd w:id="148"/>
      <w:bookmarkEnd w:id="149"/>
      <w:bookmarkEnd w:id="150"/>
      <w:bookmarkEnd w:id="151"/>
      <w:bookmarkEnd w:id="152"/>
      <w:bookmarkEnd w:id="153"/>
    </w:p>
    <w:p>
      <w:pPr>
        <w:numPr>
          <w:ilvl w:val="0"/>
          <w:numId w:val="5"/>
        </w:num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磋商文件装订要求：磋商响应</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要求不得活页装订。</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磋商响应文件</w:t>
      </w:r>
      <w:r>
        <w:rPr>
          <w:rFonts w:hint="eastAsia" w:asciiTheme="minorEastAsia" w:hAnsiTheme="minorEastAsia" w:eastAsiaTheme="minorEastAsia" w:cstheme="minorEastAsia"/>
          <w:color w:val="auto"/>
          <w:sz w:val="24"/>
          <w:highlight w:val="none"/>
          <w:lang w:eastAsia="zh-CN"/>
        </w:rPr>
        <w:t>递交</w:t>
      </w:r>
      <w:r>
        <w:rPr>
          <w:rFonts w:hint="eastAsia" w:asciiTheme="minorEastAsia" w:hAnsiTheme="minorEastAsia" w:eastAsiaTheme="minorEastAsia" w:cstheme="minorEastAsia"/>
          <w:color w:val="auto"/>
          <w:sz w:val="24"/>
          <w:highlight w:val="none"/>
        </w:rPr>
        <w:t>截止时间</w:t>
      </w:r>
    </w:p>
    <w:p>
      <w:pPr>
        <w:spacing w:line="400" w:lineRule="atLeast"/>
        <w:ind w:left="600" w:hanging="600" w:hangingChars="250"/>
        <w:rPr>
          <w:rFonts w:hint="eastAsia" w:asciiTheme="minorEastAsia" w:hAnsiTheme="minorEastAsia" w:eastAsiaTheme="minorEastAsia" w:cstheme="minorEastAsia"/>
          <w:color w:val="auto"/>
          <w:sz w:val="24"/>
          <w:szCs w:val="22"/>
          <w:highlight w:val="none"/>
          <w:lang w:eastAsia="zh-CN"/>
        </w:rPr>
      </w:pPr>
      <w:r>
        <w:rPr>
          <w:rFonts w:hint="eastAsia" w:asciiTheme="minorEastAsia" w:hAnsiTheme="minorEastAsia" w:eastAsiaTheme="minorEastAsia" w:cstheme="minorEastAsia"/>
          <w:color w:val="auto"/>
          <w:sz w:val="24"/>
          <w:szCs w:val="22"/>
          <w:highlight w:val="none"/>
        </w:rPr>
        <w:t>21.1</w:t>
      </w:r>
      <w:r>
        <w:rPr>
          <w:rFonts w:hint="eastAsia" w:asciiTheme="minorEastAsia" w:hAnsiTheme="minorEastAsia" w:eastAsiaTheme="minorEastAsia" w:cstheme="minorEastAsia"/>
          <w:color w:val="auto"/>
          <w:sz w:val="24"/>
          <w:szCs w:val="22"/>
          <w:highlight w:val="none"/>
          <w:lang w:eastAsia="zh-CN"/>
        </w:rPr>
        <w:t xml:space="preserve"> 磋商响应文件递交得截止时间：</w:t>
      </w:r>
      <w:r>
        <w:rPr>
          <w:rFonts w:hint="eastAsia" w:asciiTheme="minorEastAsia" w:hAnsiTheme="minorEastAsia" w:eastAsiaTheme="minorEastAsia" w:cstheme="minorEastAsia"/>
          <w:color w:val="auto"/>
          <w:sz w:val="24"/>
          <w:szCs w:val="22"/>
          <w:highlight w:val="none"/>
          <w:lang w:val="en-US" w:eastAsia="zh-CN"/>
        </w:rPr>
        <w:t>2021年12月16日 11点 00 分</w:t>
      </w:r>
    </w:p>
    <w:p>
      <w:pPr>
        <w:spacing w:line="400" w:lineRule="atLeast"/>
        <w:ind w:left="540" w:leftChars="25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磋商响应文件以密封形式递交至：开标现场</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所有磋商响应文件都必须按招标代理机构在</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中规定的投标截止时间之前送到磋商文件规定的地点。</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 出现第8.2款因磋商文件的修改推迟投标截止时间时，则按招标代理机构修改通知规定的时间递交。</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22．磋商响应文件的修改和撤销</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供应商在</w:t>
      </w:r>
      <w:r>
        <w:rPr>
          <w:rFonts w:hint="eastAsia" w:asciiTheme="minorEastAsia" w:hAnsiTheme="minorEastAsia" w:eastAsiaTheme="minorEastAsia" w:cstheme="minorEastAsia"/>
          <w:color w:val="auto"/>
          <w:sz w:val="24"/>
          <w:highlight w:val="none"/>
          <w:lang w:eastAsia="zh-CN"/>
        </w:rPr>
        <w:t>投标截止时间之前</w:t>
      </w:r>
      <w:r>
        <w:rPr>
          <w:rFonts w:hint="eastAsia" w:asciiTheme="minorEastAsia" w:hAnsiTheme="minorEastAsia" w:eastAsiaTheme="minorEastAsia" w:cstheme="minorEastAsia"/>
          <w:color w:val="auto"/>
          <w:sz w:val="24"/>
          <w:highlight w:val="none"/>
        </w:rPr>
        <w:t>可对其磋商响应文件进行修改或撤销，但招标代理机构须在投标截止时间之前收到该修改或撤销的书面通知，该通知须有经正式授权的供应商代表签字。</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 投标截止时间以后不得修改磋商响应文件。</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 供应商不得在开标时间起至投标有效期期满前撤销磋商响应文件。否则其投标保证金</w:t>
      </w:r>
      <w:r>
        <w:rPr>
          <w:rFonts w:hint="eastAsia" w:asciiTheme="minorEastAsia" w:hAnsiTheme="minorEastAsia" w:eastAsiaTheme="minorEastAsia" w:cstheme="minorEastAsia"/>
          <w:color w:val="auto"/>
          <w:sz w:val="24"/>
          <w:highlight w:val="none"/>
          <w:lang w:eastAsia="zh-CN"/>
        </w:rPr>
        <w:t>将不予退还</w:t>
      </w:r>
      <w:r>
        <w:rPr>
          <w:rFonts w:hint="eastAsia" w:asciiTheme="minorEastAsia" w:hAnsiTheme="minorEastAsia" w:eastAsiaTheme="minorEastAsia" w:cstheme="minorEastAsia"/>
          <w:color w:val="auto"/>
          <w:sz w:val="24"/>
          <w:highlight w:val="none"/>
        </w:rPr>
        <w:t>。</w:t>
      </w:r>
      <w:bookmarkStart w:id="154" w:name="_Toc267301286"/>
      <w:bookmarkStart w:id="155" w:name="_Toc349637924"/>
      <w:bookmarkStart w:id="156" w:name="_Toc349573125"/>
      <w:bookmarkStart w:id="157" w:name="_Toc527642956"/>
      <w:bookmarkStart w:id="158" w:name="_Toc298240409"/>
    </w:p>
    <w:p>
      <w:pPr>
        <w:spacing w:line="400" w:lineRule="atLeast"/>
        <w:ind w:left="700" w:hanging="703" w:hangingChars="25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E  磋商程序</w:t>
      </w:r>
      <w:bookmarkEnd w:id="154"/>
      <w:bookmarkEnd w:id="155"/>
      <w:bookmarkEnd w:id="156"/>
      <w:bookmarkEnd w:id="157"/>
      <w:bookmarkEnd w:id="158"/>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23．磋商小组组成及职责 </w:t>
      </w:r>
    </w:p>
    <w:p>
      <w:pPr>
        <w:spacing w:line="400" w:lineRule="atLeast"/>
        <w:ind w:left="480" w:hanging="480" w:hangingChars="20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auto"/>
          <w:sz w:val="24"/>
          <w:highlight w:val="none"/>
        </w:rPr>
        <w:t>23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磋商小组组成：在磋商开始前，组建磋商小组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共</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3人组成</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，磋商小组成员由采购人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及有关技术、经济等方面的专家组成，其中技术、经济类专家人数不少于总人数的 2/3。</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2、磋商小组职责</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1、准时参加磋商评审会议。</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2、确定合格的供应商参加磋商。</w:t>
      </w:r>
    </w:p>
    <w:p>
      <w:pPr>
        <w:spacing w:line="400" w:lineRule="atLeast"/>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供应商提供相应的资格审查证件资料原件由磋商小组核查（详见前附表）。满足要求的投标人为有效投标人。不满足要求的,其投标将予以拒绝。上述证件的公证件，本次招标不予认可。</w:t>
      </w:r>
    </w:p>
    <w:p>
      <w:pPr>
        <w:spacing w:line="400" w:lineRule="atLeast"/>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23</w:t>
      </w:r>
      <w:r>
        <w:rPr>
          <w:rFonts w:hint="eastAsia" w:asciiTheme="minorEastAsia" w:hAnsiTheme="minorEastAsia" w:eastAsiaTheme="minorEastAsia" w:cstheme="minorEastAsia"/>
          <w:color w:val="auto"/>
          <w:sz w:val="24"/>
          <w:szCs w:val="22"/>
          <w:highlight w:val="none"/>
          <w:lang w:eastAsia="zh-CN"/>
        </w:rPr>
        <w:t>.</w:t>
      </w:r>
      <w:r>
        <w:rPr>
          <w:rFonts w:hint="eastAsia" w:asciiTheme="minorEastAsia" w:hAnsiTheme="minorEastAsia" w:eastAsiaTheme="minorEastAsia" w:cstheme="minorEastAsia"/>
          <w:color w:val="auto"/>
          <w:sz w:val="24"/>
          <w:szCs w:val="22"/>
          <w:highlight w:val="none"/>
        </w:rPr>
        <w:t>2</w:t>
      </w:r>
      <w:r>
        <w:rPr>
          <w:rFonts w:hint="eastAsia" w:asciiTheme="minorEastAsia" w:hAnsiTheme="minorEastAsia" w:eastAsiaTheme="minorEastAsia" w:cstheme="minorEastAsia"/>
          <w:color w:val="auto"/>
          <w:sz w:val="24"/>
          <w:szCs w:val="22"/>
          <w:highlight w:val="none"/>
          <w:lang w:val="en-US" w:eastAsia="zh-CN"/>
        </w:rPr>
        <w:t>.</w:t>
      </w:r>
      <w:r>
        <w:rPr>
          <w:rFonts w:hint="eastAsia" w:asciiTheme="minorEastAsia" w:hAnsiTheme="minorEastAsia" w:eastAsiaTheme="minorEastAsia" w:cstheme="minorEastAsia"/>
          <w:color w:val="auto"/>
          <w:sz w:val="24"/>
          <w:szCs w:val="22"/>
          <w:highlight w:val="none"/>
        </w:rPr>
        <w:t>3、审查供应商的磋商响应文件并做出评价。</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4、要求供应商解释或者澄清其磋商响应文件。</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 xml:space="preserve">5、编写磋商评审报告。 </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活动将按以下</w:t>
      </w:r>
      <w:r>
        <w:rPr>
          <w:rFonts w:hint="eastAsia" w:asciiTheme="minorEastAsia" w:hAnsiTheme="minorEastAsia" w:eastAsiaTheme="minorEastAsia" w:cstheme="minorEastAsia"/>
          <w:color w:val="auto"/>
          <w:sz w:val="24"/>
          <w:highlight w:val="none"/>
          <w:lang w:eastAsia="zh-CN"/>
        </w:rPr>
        <w:t>七</w:t>
      </w:r>
      <w:r>
        <w:rPr>
          <w:rFonts w:hint="eastAsia" w:asciiTheme="minorEastAsia" w:hAnsiTheme="minorEastAsia" w:eastAsiaTheme="minorEastAsia" w:cstheme="minorEastAsia"/>
          <w:color w:val="auto"/>
          <w:sz w:val="24"/>
          <w:highlight w:val="none"/>
        </w:rPr>
        <w:t>个步骤进行：</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（1）标前会议；</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（2）初步评审；</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（3）澄清说明或补证；</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（4）磋商小组所有成员集中与单一供应商</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前后顺序为提交投标文件的逆顺序</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分别进行磋商</w:t>
      </w:r>
      <w:r>
        <w:rPr>
          <w:rFonts w:hint="eastAsia" w:asciiTheme="minorEastAsia" w:hAnsiTheme="minorEastAsia" w:eastAsiaTheme="minorEastAsia" w:cstheme="minorEastAsia"/>
          <w:color w:val="auto"/>
          <w:sz w:val="24"/>
          <w:highlight w:val="none"/>
          <w:lang w:eastAsia="zh-CN"/>
        </w:rPr>
        <w:t>；</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）最后报价</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）详细评审（包括技术标评定、商务标评定）；</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）按照评审得分由高到低顺序推荐3名以上成交候选供应商，并编写评审报告。</w:t>
      </w:r>
    </w:p>
    <w:p>
      <w:pPr>
        <w:spacing w:line="400" w:lineRule="atLeast"/>
        <w:ind w:left="600" w:hanging="600" w:hangingChars="2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磋商时，供应商应在密封的磋商响应文件之外随身携带磋商代表授权委托书原件及其身份证原件及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文件规定的其他内容。本次磋商按磋商文件中磋商邀请规定的时间地点进行磋商，将邀请供应商的法定代表人或其授权委托人准时参加磋商会。</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szCs w:val="24"/>
          <w:highlight w:val="none"/>
        </w:rPr>
        <w:t>宣布磋商响应文件开启顺序</w:t>
      </w:r>
      <w:r>
        <w:rPr>
          <w:rFonts w:hint="eastAsia" w:asciiTheme="minorEastAsia" w:hAnsiTheme="minorEastAsia" w:eastAsiaTheme="minorEastAsia" w:cstheme="minorEastAsia"/>
          <w:color w:val="auto"/>
          <w:sz w:val="30"/>
          <w:szCs w:val="30"/>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.4 磋商时检查磋商响应文件密封情况。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.5 磋商原则在磋商会议上宣布。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.6 对采购方的纪律要求</w:t>
      </w:r>
    </w:p>
    <w:p>
      <w:pPr>
        <w:spacing w:line="400" w:lineRule="atLeast"/>
        <w:ind w:left="720" w:hanging="720" w:hanging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采购方不得泄露磋商活动中应当保密的情况和资料，不得与供应商串通损害国家利益、社会公共利益或者他人合法权益。</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.7对供应商的纪律要求</w:t>
      </w:r>
    </w:p>
    <w:p>
      <w:pPr>
        <w:spacing w:line="400" w:lineRule="atLeast"/>
        <w:ind w:left="598" w:leftChars="28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.8 对与磋商活动有关的工作人员的纪律要求</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.9对磋商小组成员要求磋商纪律</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.9.1磋商小组应当依照有关法律法规的规定，按照磋商文件确定的磋商标准和办法客观、公正的对磋商响应文件提出评审意见。磋商文件设有规定的磋商标准和方法不得作为磋商依据。</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.9.2磋商小组成员不得私下接触供应商，不得收受供应商给予的财务或者其他好处，不得向采购方征询确定成交方意向。</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.9.3不得接受任何单位或个人明示或暗示提出的倾向或排斥特定供应商的要求。</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.9.4不得有其他不客观，不公正履行职务的行为。</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．磋商过程</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.1 磋商的依据为磋商文件和磋商响应文件。</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.2 磋商后磋商小组审查磋商响应文件是否完整，是否有计算错误，要求的保证金是否提供，文件是否恰当地签署。</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.3 在对磋商响应文件进行详细评估之前，监督人员或招标代理机构将依据供应商提供的资格证明文件审查供应商的财务、技术和生产能力。如果确定供应商无资格履行合同，其投标将被拒绝。</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 xml:space="preserve">.4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．磋商响应文件的澄清</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 要澄清的答复应是书面的，但不得对磋商内容进行实质性修改。澄清文件须由供应商法人代表或法人授权代表签字和/或加盖公章并作为磋商响应文件的组成部分。</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.3 磋商结束后，磋商小组要求所有参加磋商的供应商在规定的时间内进行</w:t>
      </w:r>
      <w:r>
        <w:rPr>
          <w:rFonts w:hint="eastAsia" w:asciiTheme="minorEastAsia" w:hAnsiTheme="minorEastAsia" w:eastAsiaTheme="minorEastAsia" w:cstheme="minorEastAsia"/>
          <w:sz w:val="24"/>
          <w:szCs w:val="24"/>
        </w:rPr>
        <w:t>最后报价</w:t>
      </w:r>
      <w:r>
        <w:rPr>
          <w:rFonts w:hint="eastAsia" w:asciiTheme="minorEastAsia" w:hAnsiTheme="minorEastAsia" w:eastAsiaTheme="minorEastAsia" w:cstheme="minorEastAsia"/>
          <w:color w:val="auto"/>
          <w:sz w:val="24"/>
          <w:highlight w:val="none"/>
        </w:rPr>
        <w:t>。</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．确定成交供应商的办法</w:t>
      </w:r>
    </w:p>
    <w:p>
      <w:pPr>
        <w:spacing w:line="400" w:lineRule="atLeas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bCs/>
          <w:color w:val="auto"/>
          <w:sz w:val="24"/>
          <w:highlight w:val="none"/>
        </w:rPr>
        <w:t>.1磋商小组按照磋商文件要求对磋商响应文件中重要技术指标以及技术、经济和商务上要求的其它重要内容进行审核。</w:t>
      </w:r>
    </w:p>
    <w:p>
      <w:pPr>
        <w:spacing w:line="400" w:lineRule="atLeas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bCs/>
          <w:color w:val="auto"/>
          <w:sz w:val="24"/>
          <w:highlight w:val="none"/>
        </w:rPr>
        <w:t>.2磋商小组和供应商磋商过程中作出的书面承诺是否符合磋商文件中对质量、技术、经济和服务的要求。</w:t>
      </w:r>
    </w:p>
    <w:p>
      <w:pPr>
        <w:spacing w:line="400" w:lineRule="atLeas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color w:val="auto"/>
          <w:sz w:val="24"/>
          <w:szCs w:val="24"/>
          <w:highlight w:val="none"/>
          <w:shd w:val="clear" w:color="auto" w:fill="FFFFFF"/>
        </w:rPr>
        <w:t>经磋商确定最终采购需求和提交最终报价的供应商后，由磋商小组采用综合评分法对提交最终报价的供应商的响应文件和最终报价进行综合评分。</w:t>
      </w:r>
    </w:p>
    <w:p>
      <w:pPr>
        <w:spacing w:line="4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auto"/>
          <w:sz w:val="24"/>
          <w:szCs w:val="22"/>
          <w:highlight w:val="none"/>
          <w:lang w:val="en-US" w:eastAsia="zh-CN"/>
        </w:rPr>
        <w:t xml:space="preserve">27 </w:t>
      </w:r>
      <w:r>
        <w:rPr>
          <w:rFonts w:hint="eastAsia" w:asciiTheme="minorEastAsia" w:hAnsiTheme="minorEastAsia" w:eastAsiaTheme="minorEastAsia" w:cstheme="minorEastAsia"/>
          <w:color w:val="auto"/>
          <w:sz w:val="24"/>
          <w:szCs w:val="24"/>
          <w:highlight w:val="none"/>
          <w:shd w:val="clear" w:color="auto" w:fill="FFFFFF"/>
        </w:rPr>
        <w:t>评审标准</w:t>
      </w:r>
    </w:p>
    <w:p>
      <w:pPr>
        <w:pStyle w:val="41"/>
        <w:widowControl/>
        <w:spacing w:line="460" w:lineRule="exact"/>
        <w:ind w:firstLine="361" w:firstLineChars="150"/>
        <w:rPr>
          <w:rFonts w:hint="eastAsia" w:asciiTheme="minorEastAsia" w:hAnsiTheme="minorEastAsia" w:eastAsiaTheme="minorEastAsia" w:cstheme="minorEastAsia"/>
          <w:color w:val="000000" w:themeColor="text1"/>
          <w:szCs w:val="24"/>
          <w14:textFill>
            <w14:solidFill>
              <w14:schemeClr w14:val="tx1"/>
            </w14:solidFill>
          </w14:textFill>
        </w:rPr>
      </w:pPr>
      <w:bookmarkStart w:id="159" w:name="_Toc18339"/>
      <w:bookmarkStart w:id="160" w:name="_Toc7276"/>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Cs w:val="24"/>
          <w14:textFill>
            <w14:solidFill>
              <w14:schemeClr w14:val="tx1"/>
            </w14:solidFill>
          </w14:textFill>
        </w:rPr>
        <w:t>.1 初步评审标准</w:t>
      </w:r>
      <w:bookmarkEnd w:id="159"/>
      <w:bookmarkEnd w:id="160"/>
    </w:p>
    <w:p>
      <w:pPr>
        <w:spacing w:line="46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auto"/>
          <w:sz w:val="24"/>
          <w:szCs w:val="22"/>
          <w:highlight w:val="none"/>
          <w:lang w:val="en-US" w:eastAsia="zh-CN"/>
        </w:rPr>
        <w:t>27.1.1</w:t>
      </w:r>
      <w:r>
        <w:rPr>
          <w:rFonts w:hint="eastAsia" w:asciiTheme="minorEastAsia" w:hAnsiTheme="minorEastAsia" w:eastAsiaTheme="minorEastAsia" w:cstheme="minorEastAsia"/>
          <w:sz w:val="24"/>
          <w:szCs w:val="24"/>
        </w:rPr>
        <w:t>初步评审标准-形式评审：</w:t>
      </w: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w:t>
      </w:r>
      <w:r>
        <w:rPr>
          <w:rFonts w:hint="eastAsia" w:asciiTheme="minorEastAsia" w:hAnsiTheme="minorEastAsia" w:eastAsiaTheme="minorEastAsia" w:cstheme="minorEastAsia"/>
          <w:sz w:val="24"/>
          <w:szCs w:val="24"/>
        </w:rPr>
        <w:t>保证金的缴纳主体与供应商不一致的，没有按照磋商文件要求提供投标担保，或者所提供的投标担保有瑕疵的；</w:t>
      </w:r>
    </w:p>
    <w:p>
      <w:pPr>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供应商的项目负责人不是供应商的注册执业人员，或者不具备项目负责人资格条件的</w:t>
      </w:r>
      <w:r>
        <w:rPr>
          <w:rFonts w:hint="eastAsia" w:asciiTheme="minorEastAsia" w:hAnsiTheme="minorEastAsia" w:eastAsiaTheme="minorEastAsia" w:cstheme="minorEastAsia"/>
          <w:sz w:val="24"/>
          <w:szCs w:val="24"/>
          <w:lang w:eastAsia="zh-CN"/>
        </w:rPr>
        <w:t>；</w:t>
      </w: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磋商响应文件没有投标单位法定代表人或其授权代表签字和加盖投标单位公章的；</w:t>
      </w:r>
    </w:p>
    <w:p>
      <w:pPr>
        <w:spacing w:line="460" w:lineRule="exact"/>
        <w:ind w:firstLine="480" w:firstLineChars="20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工程的</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完成期限超过磋商文件规定期限的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供应商项目负责人要求：须具备贰级及以上注册建造师证（</w:t>
      </w:r>
      <w:r>
        <w:rPr>
          <w:rFonts w:hint="eastAsia" w:asciiTheme="minorEastAsia" w:hAnsiTheme="minorEastAsia" w:eastAsiaTheme="minorEastAsia" w:cstheme="minorEastAsia"/>
          <w:sz w:val="24"/>
          <w:szCs w:val="24"/>
          <w:lang w:eastAsia="zh-CN"/>
        </w:rPr>
        <w:t xml:space="preserve">建筑工程 </w:t>
      </w:r>
      <w:r>
        <w:rPr>
          <w:rFonts w:hint="eastAsia" w:asciiTheme="minorEastAsia" w:hAnsiTheme="minorEastAsia" w:eastAsiaTheme="minorEastAsia" w:cstheme="minorEastAsia"/>
          <w:sz w:val="24"/>
          <w:szCs w:val="24"/>
        </w:rPr>
        <w:t>）、具有有效的安全生产考核证，必须为本单位注册，不接受临时注册建造师；</w:t>
      </w: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磋商文件载明的技术规格、技术标准、货物包装方式、检验标准和方法等，不符合磋商文件要求的；</w:t>
      </w: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磋商文件附有采购人不能接受条件的；</w:t>
      </w: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不满足磋商文件实质性要求的其他情形。</w:t>
      </w:r>
    </w:p>
    <w:p>
      <w:pPr>
        <w:spacing w:line="460" w:lineRule="exact"/>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2"/>
          <w:highlight w:val="none"/>
          <w:lang w:val="en-US" w:eastAsia="zh-CN"/>
          <w14:textFill>
            <w14:solidFill>
              <w14:schemeClr w14:val="tx1"/>
            </w14:solidFill>
          </w14:textFill>
        </w:rPr>
        <w:t>27.2</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初步评审标准-响应性评审</w:t>
      </w:r>
    </w:p>
    <w:p>
      <w:pPr>
        <w:spacing w:line="460" w:lineRule="exact"/>
        <w:ind w:left="315" w:left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投标报价高于设定的工程预算招标控制价（工程限额）的；</w:t>
      </w:r>
    </w:p>
    <w:p>
      <w:pPr>
        <w:spacing w:line="460" w:lineRule="exact"/>
        <w:ind w:left="315" w:left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未按磋商文件规定的格式填写，内容不全或关键字迹模糊、无法辨认的；</w:t>
      </w:r>
    </w:p>
    <w:p>
      <w:pPr>
        <w:spacing w:line="460" w:lineRule="exact"/>
        <w:ind w:left="315" w:left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改变磋商文件提供的工程量清单中的计量单位、工程量的；</w:t>
      </w:r>
    </w:p>
    <w:p>
      <w:pPr>
        <w:spacing w:line="460" w:lineRule="exact"/>
        <w:ind w:left="315" w:left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将工程排污费、社会保障费、住房公积金、危险作业意外伤害保险等规费和营业税、城市维护建设税、教育费附加等税金，以及安全文明施工费列入招标投标竞争性费用的；</w:t>
      </w:r>
    </w:p>
    <w:p>
      <w:pPr>
        <w:spacing w:line="460" w:lineRule="exact"/>
        <w:ind w:left="315" w:left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供应商名称、组织机构与资格预审时不符，涉嫌以他人名义投标的；</w:t>
      </w:r>
    </w:p>
    <w:p>
      <w:pPr>
        <w:spacing w:line="460" w:lineRule="exact"/>
        <w:ind w:left="315" w:left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供应商之间或者供应商与采购人串通投标的；</w:t>
      </w:r>
    </w:p>
    <w:p>
      <w:pPr>
        <w:spacing w:line="460" w:lineRule="exact"/>
        <w:ind w:left="315" w:left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履约担保、违约赔偿、变更工程结算等的承诺，不符合磋商文件要求的</w:t>
      </w:r>
      <w:r>
        <w:rPr>
          <w:rFonts w:hint="eastAsia" w:asciiTheme="minorEastAsia" w:hAnsiTheme="minorEastAsia" w:eastAsiaTheme="minorEastAsia" w:cstheme="minorEastAsia"/>
          <w:sz w:val="24"/>
          <w:szCs w:val="24"/>
          <w:lang w:eastAsia="zh-CN"/>
        </w:rPr>
        <w:t>。</w:t>
      </w:r>
    </w:p>
    <w:p>
      <w:pPr>
        <w:tabs>
          <w:tab w:val="left" w:pos="392"/>
        </w:tabs>
        <w:spacing w:line="46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27.3</w:t>
      </w:r>
      <w:r>
        <w:rPr>
          <w:rFonts w:hint="eastAsia" w:asciiTheme="minorEastAsia" w:hAnsiTheme="minorEastAsia" w:eastAsiaTheme="minorEastAsia" w:cstheme="minorEastAsia"/>
          <w:b/>
          <w:sz w:val="24"/>
          <w:szCs w:val="24"/>
        </w:rPr>
        <w:t>详细评审标准</w:t>
      </w:r>
    </w:p>
    <w:p>
      <w:pPr>
        <w:spacing w:line="460" w:lineRule="exact"/>
        <w:ind w:left="691" w:leftChars="157" w:hanging="361" w:hanging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27.3</w:t>
      </w:r>
      <w:r>
        <w:rPr>
          <w:rFonts w:hint="eastAsia" w:asciiTheme="minorEastAsia" w:hAnsiTheme="minorEastAsia" w:eastAsiaTheme="minorEastAsia" w:cstheme="minorEastAsia"/>
          <w:b/>
          <w:sz w:val="24"/>
          <w:szCs w:val="24"/>
        </w:rPr>
        <w:t>.1技术标评定</w:t>
      </w:r>
    </w:p>
    <w:p>
      <w:pPr>
        <w:pStyle w:val="41"/>
        <w:widowControl/>
        <w:spacing w:line="460" w:lineRule="exact"/>
        <w:ind w:firstLine="241" w:firstLineChars="100"/>
        <w:rPr>
          <w:rFonts w:hint="eastAsia" w:asciiTheme="minorEastAsia" w:hAnsiTheme="minorEastAsia" w:eastAsiaTheme="minorEastAsia" w:cstheme="minorEastAsia"/>
          <w:szCs w:val="24"/>
        </w:rPr>
      </w:pPr>
      <w:bookmarkStart w:id="161" w:name="_Toc18855"/>
      <w:bookmarkStart w:id="162" w:name="_Toc4220"/>
      <w:r>
        <w:rPr>
          <w:rFonts w:hint="eastAsia" w:asciiTheme="minorEastAsia" w:hAnsiTheme="minorEastAsia" w:eastAsiaTheme="minorEastAsia" w:cstheme="minorEastAsia"/>
          <w:szCs w:val="24"/>
        </w:rPr>
        <w:t>评委按照</w:t>
      </w:r>
      <w:r>
        <w:rPr>
          <w:rFonts w:hint="eastAsia" w:asciiTheme="minorEastAsia" w:hAnsiTheme="minorEastAsia" w:eastAsiaTheme="minorEastAsia" w:cstheme="minorEastAsia"/>
          <w:szCs w:val="24"/>
          <w:lang w:eastAsia="zh-CN"/>
        </w:rPr>
        <w:t>磋商文件</w:t>
      </w:r>
      <w:r>
        <w:rPr>
          <w:rFonts w:hint="eastAsia" w:asciiTheme="minorEastAsia" w:hAnsiTheme="minorEastAsia" w:eastAsiaTheme="minorEastAsia" w:cstheme="minorEastAsia"/>
          <w:szCs w:val="24"/>
        </w:rPr>
        <w:t>要求，对技术标</w:t>
      </w:r>
      <w:r>
        <w:rPr>
          <w:rFonts w:hint="eastAsia" w:asciiTheme="minorEastAsia" w:hAnsiTheme="minorEastAsia" w:eastAsiaTheme="minorEastAsia" w:cstheme="minorEastAsia"/>
          <w:szCs w:val="24"/>
          <w:lang w:eastAsia="zh-CN"/>
        </w:rPr>
        <w:t>磋商响应文件</w:t>
      </w:r>
      <w:r>
        <w:rPr>
          <w:rFonts w:hint="eastAsia" w:asciiTheme="minorEastAsia" w:hAnsiTheme="minorEastAsia" w:eastAsiaTheme="minorEastAsia" w:cstheme="minorEastAsia"/>
          <w:szCs w:val="24"/>
        </w:rPr>
        <w:t>进行评定，</w:t>
      </w:r>
      <w:r>
        <w:rPr>
          <w:rFonts w:hint="eastAsia" w:asciiTheme="minorEastAsia" w:hAnsiTheme="minorEastAsia" w:eastAsiaTheme="minorEastAsia" w:cstheme="minorEastAsia"/>
          <w:szCs w:val="24"/>
          <w:lang w:eastAsia="zh-CN"/>
        </w:rPr>
        <w:t>磋商小组</w:t>
      </w:r>
      <w:r>
        <w:rPr>
          <w:rFonts w:hint="eastAsia" w:asciiTheme="minorEastAsia" w:hAnsiTheme="minorEastAsia" w:eastAsiaTheme="minorEastAsia" w:cstheme="minorEastAsia"/>
          <w:szCs w:val="24"/>
        </w:rPr>
        <w:t>对于认定不合格的技术标书，应具书面评标报告。评标报告由评委会组长拟稿，全体评标成员签字确认（评审标准详附表）。</w:t>
      </w:r>
      <w:bookmarkEnd w:id="161"/>
      <w:bookmarkEnd w:id="162"/>
    </w:p>
    <w:p>
      <w:pPr>
        <w:pStyle w:val="41"/>
        <w:widowControl/>
        <w:spacing w:line="460" w:lineRule="exact"/>
        <w:ind w:firstLine="482" w:firstLineChars="200"/>
        <w:rPr>
          <w:rFonts w:hint="eastAsia" w:asciiTheme="minorEastAsia" w:hAnsiTheme="minorEastAsia" w:eastAsiaTheme="minorEastAsia" w:cstheme="minorEastAsia"/>
          <w:szCs w:val="24"/>
        </w:rPr>
      </w:pPr>
      <w:bookmarkStart w:id="163" w:name="_Toc19540"/>
      <w:bookmarkStart w:id="164" w:name="_Toc671"/>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27.3</w:t>
      </w:r>
      <w:r>
        <w:rPr>
          <w:rFonts w:hint="eastAsia" w:asciiTheme="minorEastAsia" w:hAnsiTheme="minorEastAsia" w:eastAsiaTheme="minorEastAsia" w:cstheme="minorEastAsia"/>
          <w:szCs w:val="24"/>
        </w:rPr>
        <w:t>.2</w:t>
      </w:r>
      <w:r>
        <w:rPr>
          <w:rFonts w:hint="eastAsia" w:asciiTheme="minorEastAsia" w:hAnsiTheme="minorEastAsia" w:eastAsiaTheme="minorEastAsia" w:cstheme="minorEastAsia"/>
          <w:szCs w:val="24"/>
          <w:lang w:eastAsia="zh-CN"/>
        </w:rPr>
        <w:t>商务</w:t>
      </w:r>
      <w:r>
        <w:rPr>
          <w:rFonts w:hint="eastAsia" w:asciiTheme="minorEastAsia" w:hAnsiTheme="minorEastAsia" w:eastAsiaTheme="minorEastAsia" w:cstheme="minorEastAsia"/>
          <w:szCs w:val="24"/>
        </w:rPr>
        <w:t>标评定</w:t>
      </w:r>
      <w:bookmarkEnd w:id="163"/>
      <w:bookmarkEnd w:id="164"/>
    </w:p>
    <w:p>
      <w:pPr>
        <w:pStyle w:val="41"/>
        <w:widowControl/>
        <w:spacing w:line="460" w:lineRule="exact"/>
        <w:ind w:firstLine="482" w:firstLineChars="200"/>
        <w:rPr>
          <w:rFonts w:hint="eastAsia" w:asciiTheme="minorEastAsia" w:hAnsiTheme="minorEastAsia" w:eastAsiaTheme="minorEastAsia" w:cstheme="minorEastAsia"/>
          <w:szCs w:val="24"/>
        </w:rPr>
      </w:pPr>
      <w:bookmarkStart w:id="165" w:name="_Toc19117"/>
      <w:bookmarkStart w:id="166" w:name="_Toc11285"/>
      <w:r>
        <w:rPr>
          <w:rFonts w:hint="eastAsia" w:asciiTheme="minorEastAsia" w:hAnsiTheme="minorEastAsia" w:eastAsiaTheme="minorEastAsia" w:cstheme="minorEastAsia"/>
          <w:szCs w:val="24"/>
          <w:lang w:eastAsia="zh-CN"/>
        </w:rPr>
        <w:t>商务</w:t>
      </w:r>
      <w:r>
        <w:rPr>
          <w:rFonts w:hint="eastAsia" w:asciiTheme="minorEastAsia" w:hAnsiTheme="minorEastAsia" w:eastAsiaTheme="minorEastAsia" w:cstheme="minorEastAsia"/>
          <w:szCs w:val="24"/>
        </w:rPr>
        <w:t>标的评审标准详见附表。</w:t>
      </w:r>
      <w:bookmarkEnd w:id="165"/>
      <w:bookmarkEnd w:id="166"/>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27.4 </w:t>
      </w: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结果</w:t>
      </w:r>
    </w:p>
    <w:p>
      <w:pPr>
        <w:spacing w:line="400" w:lineRule="exact"/>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 xml:space="preserve">27.4 </w:t>
      </w: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sz w:val="24"/>
          <w:szCs w:val="24"/>
        </w:rPr>
        <w:t xml:space="preserve"> 除第二章“</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须知”前附表授权直接确定中标人外，</w:t>
      </w:r>
      <w:r>
        <w:rPr>
          <w:rFonts w:hint="eastAsia" w:asciiTheme="minorEastAsia" w:hAnsiTheme="minorEastAsia" w:eastAsiaTheme="minorEastAsia" w:cstheme="minorEastAsia"/>
          <w:sz w:val="24"/>
          <w:szCs w:val="24"/>
          <w:lang w:eastAsia="zh-CN"/>
        </w:rPr>
        <w:t>磋商小组</w:t>
      </w:r>
      <w:r>
        <w:rPr>
          <w:rFonts w:hint="eastAsia" w:asciiTheme="minorEastAsia" w:hAnsiTheme="minorEastAsia" w:eastAsiaTheme="minorEastAsia" w:cstheme="minorEastAsia"/>
          <w:sz w:val="24"/>
          <w:szCs w:val="24"/>
        </w:rPr>
        <w:t>通过评标办法以得分由高到低确定出前三名作为中标候选人推荐给</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w:t>
      </w:r>
    </w:p>
    <w:p>
      <w:pPr>
        <w:spacing w:line="400" w:lineRule="exact"/>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依法必须招标的项目，</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应当确定排名第一的中标候选人为中标人。排名第一的中标候选人放弃中标、因不可抗力提出不能履行合同、或者</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规定应当提交履约保证金而在规定的期限内未能提交的，</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可以确定排名第二的中标候选人为中标人。排名第二的中标候选人因前款确定的同样原因不能签订合同的，</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可以确定排名第三的中标候选人为中标人。</w:t>
      </w:r>
    </w:p>
    <w:p>
      <w:pPr>
        <w:spacing w:line="4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 xml:space="preserve">27.4 </w:t>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磋商小组</w:t>
      </w:r>
      <w:r>
        <w:rPr>
          <w:rFonts w:hint="eastAsia" w:asciiTheme="minorEastAsia" w:hAnsiTheme="minorEastAsia" w:eastAsiaTheme="minorEastAsia" w:cstheme="minorEastAsia"/>
          <w:sz w:val="24"/>
          <w:szCs w:val="24"/>
        </w:rPr>
        <w:t>完成</w:t>
      </w: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后，应当向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提交书面</w:t>
      </w: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报告。</w:t>
      </w:r>
    </w:p>
    <w:p>
      <w:pPr>
        <w:spacing w:line="400" w:lineRule="atLeast"/>
        <w:ind w:left="1" w:firstLine="426" w:firstLineChars="177"/>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sz w:val="24"/>
          <w:szCs w:val="24"/>
          <w:lang w:val="en-US" w:eastAsia="zh-CN"/>
        </w:rPr>
        <w:t xml:space="preserve">27.4 </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sz w:val="24"/>
          <w:szCs w:val="24"/>
          <w:lang w:eastAsia="zh-CN"/>
        </w:rPr>
        <w:t>成交结果信息公布</w:t>
      </w:r>
    </w:p>
    <w:p>
      <w:pPr>
        <w:spacing w:line="400" w:lineRule="atLeast"/>
        <w:ind w:left="1" w:firstLine="424" w:firstLineChars="177"/>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color w:val="auto"/>
          <w:sz w:val="24"/>
          <w:szCs w:val="24"/>
          <w:highlight w:val="none"/>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标30分，商务标</w:t>
      </w:r>
      <w:r>
        <w:rPr>
          <w:rFonts w:hint="eastAsia" w:asciiTheme="minorEastAsia" w:hAnsiTheme="minorEastAsia" w:eastAsiaTheme="minorEastAsia" w:cstheme="minorEastAsia"/>
          <w:color w:val="auto"/>
          <w:sz w:val="24"/>
          <w:szCs w:val="24"/>
          <w:highlight w:val="none"/>
          <w:shd w:val="clear" w:color="auto" w:fill="FFFFFF"/>
          <w:lang w:val="en-US" w:eastAsia="zh-CN"/>
        </w:rPr>
        <w:t>2</w:t>
      </w:r>
      <w:r>
        <w:rPr>
          <w:rFonts w:hint="eastAsia" w:asciiTheme="minorEastAsia" w:hAnsiTheme="minorEastAsia" w:eastAsiaTheme="minorEastAsia" w:cstheme="minorEastAsia"/>
          <w:color w:val="auto"/>
          <w:sz w:val="24"/>
          <w:szCs w:val="24"/>
          <w:highlight w:val="none"/>
          <w:shd w:val="clear" w:color="auto" w:fill="FFFFFF"/>
        </w:rPr>
        <w:t>0分，技术标</w:t>
      </w:r>
      <w:r>
        <w:rPr>
          <w:rFonts w:hint="eastAsia" w:asciiTheme="minorEastAsia" w:hAnsiTheme="minorEastAsia" w:eastAsiaTheme="minorEastAsia" w:cstheme="minorEastAsia"/>
          <w:color w:val="auto"/>
          <w:sz w:val="24"/>
          <w:szCs w:val="24"/>
          <w:highlight w:val="none"/>
          <w:shd w:val="clear" w:color="auto" w:fill="FFFFFF"/>
          <w:lang w:val="en-US" w:eastAsia="zh-CN"/>
        </w:rPr>
        <w:t>5</w:t>
      </w:r>
      <w:r>
        <w:rPr>
          <w:rFonts w:hint="eastAsia" w:asciiTheme="minorEastAsia" w:hAnsiTheme="minorEastAsia" w:eastAsiaTheme="minorEastAsia" w:cstheme="minorEastAsia"/>
          <w:color w:val="auto"/>
          <w:sz w:val="24"/>
          <w:szCs w:val="24"/>
          <w:highlight w:val="none"/>
          <w:shd w:val="clear" w:color="auto" w:fill="FFFFFF"/>
        </w:rPr>
        <w:t>0分。将每位供应商的</w:t>
      </w:r>
      <w:r>
        <w:rPr>
          <w:rFonts w:hint="eastAsia" w:asciiTheme="minorEastAsia" w:hAnsiTheme="minorEastAsia" w:eastAsiaTheme="minorEastAsia" w:cstheme="minorEastAsia"/>
          <w:color w:val="auto"/>
          <w:sz w:val="24"/>
          <w:szCs w:val="24"/>
          <w:highlight w:val="none"/>
          <w:shd w:val="clear" w:color="auto" w:fill="FFFFFF"/>
          <w:lang w:eastAsia="zh-CN"/>
        </w:rPr>
        <w:t>所有</w:t>
      </w:r>
      <w:r>
        <w:rPr>
          <w:rFonts w:hint="eastAsia" w:asciiTheme="minorEastAsia" w:hAnsiTheme="minorEastAsia" w:eastAsiaTheme="minorEastAsia" w:cstheme="minorEastAsia"/>
          <w:color w:val="auto"/>
          <w:sz w:val="24"/>
          <w:szCs w:val="24"/>
          <w:highlight w:val="none"/>
          <w:shd w:val="clear" w:color="auto" w:fill="FFFFFF"/>
        </w:rPr>
        <w:t>得分相加即为该供应商的总得分。</w:t>
      </w:r>
      <w:r>
        <w:rPr>
          <w:rFonts w:hint="eastAsia" w:asciiTheme="minorEastAsia" w:hAnsiTheme="minorEastAsia" w:eastAsiaTheme="minorEastAsia" w:cstheme="minorEastAsia"/>
          <w:color w:val="auto"/>
          <w:sz w:val="24"/>
          <w:szCs w:val="24"/>
          <w:highlight w:val="none"/>
          <w:shd w:val="clear" w:color="auto" w:fill="FFFFFF"/>
          <w:lang w:eastAsia="zh-CN"/>
        </w:rPr>
        <w:t>初步评审附表及</w:t>
      </w:r>
      <w:r>
        <w:rPr>
          <w:rFonts w:hint="eastAsia" w:asciiTheme="minorEastAsia" w:hAnsiTheme="minorEastAsia" w:eastAsiaTheme="minorEastAsia" w:cstheme="minorEastAsia"/>
          <w:color w:val="auto"/>
          <w:sz w:val="24"/>
          <w:szCs w:val="24"/>
          <w:highlight w:val="none"/>
          <w:shd w:val="clear" w:color="auto" w:fill="FFFFFF"/>
        </w:rPr>
        <w:t>详细评审内容标准如下：</w:t>
      </w:r>
    </w:p>
    <w:p>
      <w:pPr>
        <w:pStyle w:val="33"/>
        <w:rPr>
          <w:rFonts w:hint="eastAsia" w:asciiTheme="minorEastAsia" w:hAnsiTheme="minorEastAsia" w:eastAsiaTheme="minorEastAsia" w:cstheme="minorEastAsia"/>
          <w:szCs w:val="24"/>
        </w:rPr>
      </w:pPr>
    </w:p>
    <w:p>
      <w:pPr>
        <w:pStyle w:val="33"/>
        <w:rPr>
          <w:rFonts w:hint="eastAsia" w:asciiTheme="minorEastAsia" w:hAnsiTheme="minorEastAsia" w:eastAsiaTheme="minorEastAsia" w:cstheme="minorEastAsia"/>
          <w:szCs w:val="24"/>
        </w:rPr>
      </w:pPr>
    </w:p>
    <w:p>
      <w:pPr>
        <w:pStyle w:val="33"/>
        <w:rPr>
          <w:rFonts w:hint="eastAsia" w:asciiTheme="minorEastAsia" w:hAnsiTheme="minorEastAsia" w:eastAsiaTheme="minorEastAsia" w:cstheme="minorEastAsia"/>
          <w:szCs w:val="24"/>
        </w:rPr>
      </w:pPr>
    </w:p>
    <w:p>
      <w:pPr>
        <w:pStyle w:val="33"/>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szCs w:val="24"/>
        </w:rPr>
        <w:t>附表</w:t>
      </w:r>
      <w:r>
        <w:rPr>
          <w:rFonts w:hint="eastAsia" w:asciiTheme="minorEastAsia" w:hAnsiTheme="minorEastAsia" w:eastAsiaTheme="minorEastAsia" w:cstheme="minorEastAsia"/>
          <w:szCs w:val="24"/>
          <w:lang w:eastAsia="zh-CN"/>
        </w:rPr>
        <w:t>一：</w:t>
      </w:r>
    </w:p>
    <w:p>
      <w:pPr>
        <w:jc w:val="center"/>
        <w:rPr>
          <w:rFonts w:hint="eastAsia" w:asciiTheme="minorEastAsia" w:hAnsiTheme="minorEastAsia" w:eastAsiaTheme="minorEastAsia" w:cstheme="minorEastAsia"/>
          <w:b/>
          <w:sz w:val="32"/>
          <w:szCs w:val="24"/>
          <w:lang w:val="en-US" w:eastAsia="zh-CN"/>
        </w:rPr>
      </w:pPr>
      <w:bookmarkStart w:id="167" w:name="_Toc298240410"/>
      <w:bookmarkStart w:id="168" w:name="_Toc349637925"/>
      <w:bookmarkStart w:id="169" w:name="_Toc527642957"/>
      <w:bookmarkStart w:id="170" w:name="_Toc267301287"/>
      <w:bookmarkStart w:id="171" w:name="_Toc471489758"/>
      <w:bookmarkStart w:id="172" w:name="_Toc349573126"/>
      <w:bookmarkStart w:id="173" w:name="_Toc267301288"/>
      <w:r>
        <w:rPr>
          <w:rFonts w:hint="eastAsia" w:asciiTheme="minorEastAsia" w:hAnsiTheme="minorEastAsia" w:eastAsiaTheme="minorEastAsia" w:cstheme="minorEastAsia"/>
          <w:b/>
          <w:sz w:val="32"/>
          <w:szCs w:val="24"/>
          <w:lang w:val="zh-CN" w:eastAsia="zh-CN"/>
        </w:rPr>
        <w:t>（1）初步评审标准</w:t>
      </w:r>
      <w:r>
        <w:rPr>
          <w:rFonts w:hint="eastAsia" w:asciiTheme="minorEastAsia" w:hAnsiTheme="minorEastAsia" w:eastAsiaTheme="minorEastAsia" w:cstheme="minorEastAsia"/>
          <w:b/>
          <w:sz w:val="32"/>
          <w:szCs w:val="24"/>
          <w:lang w:val="en-US" w:eastAsia="zh-CN"/>
        </w:rPr>
        <w:t>-形式评审</w:t>
      </w:r>
    </w:p>
    <w:tbl>
      <w:tblPr>
        <w:tblStyle w:val="24"/>
        <w:tblW w:w="8430" w:type="dxa"/>
        <w:tblInd w:w="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6"/>
        <w:gridCol w:w="80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序号</w:t>
            </w:r>
          </w:p>
        </w:tc>
        <w:tc>
          <w:tcPr>
            <w:tcW w:w="8074" w:type="dxa"/>
            <w:tcBorders>
              <w:top w:val="single" w:color="auto" w:sz="4" w:space="0"/>
              <w:left w:val="single" w:color="auto" w:sz="4" w:space="0"/>
              <w:bottom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356"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1</w:t>
            </w:r>
          </w:p>
        </w:tc>
        <w:tc>
          <w:tcPr>
            <w:tcW w:w="8074" w:type="dxa"/>
            <w:tcBorders>
              <w:top w:val="single" w:color="auto" w:sz="4" w:space="0"/>
              <w:left w:val="single" w:color="auto" w:sz="4" w:space="0"/>
              <w:bottom w:val="single" w:color="auto" w:sz="4" w:space="0"/>
            </w:tcBorders>
            <w:vAlign w:val="center"/>
          </w:tcPr>
          <w:p>
            <w:pPr>
              <w:spacing w:line="460" w:lineRule="exact"/>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保证金的缴纳主体与供应商不一致的，没有按照磋商文件要求提供投标担保，或者所提供的投标担保有瑕疵的；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2</w:t>
            </w:r>
          </w:p>
        </w:tc>
        <w:tc>
          <w:tcPr>
            <w:tcW w:w="8074" w:type="dxa"/>
            <w:tcBorders>
              <w:top w:val="single" w:color="auto" w:sz="4" w:space="0"/>
              <w:left w:val="single" w:color="auto" w:sz="4" w:space="0"/>
              <w:bottom w:val="single" w:color="auto" w:sz="4" w:space="0"/>
            </w:tcBorders>
            <w:vAlign w:val="center"/>
          </w:tcPr>
          <w:p>
            <w:pPr>
              <w:spacing w:line="460" w:lineRule="exact"/>
              <w:rPr>
                <w:rFonts w:hint="eastAsia" w:asciiTheme="minorEastAsia" w:hAnsiTheme="minorEastAsia" w:eastAsiaTheme="minorEastAsia" w:cstheme="minorEastAsia"/>
                <w:color w:val="000000"/>
                <w:lang w:val="zh-CN" w:eastAsia="zh-CN"/>
              </w:rPr>
            </w:pPr>
            <w:r>
              <w:rPr>
                <w:rFonts w:hint="eastAsia" w:asciiTheme="minorEastAsia" w:hAnsiTheme="minorEastAsia" w:eastAsiaTheme="minorEastAsia" w:cstheme="minorEastAsia"/>
                <w:sz w:val="24"/>
                <w:szCs w:val="24"/>
              </w:rPr>
              <w:t>供应商的资质等级符合</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文件规定</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3</w:t>
            </w:r>
          </w:p>
        </w:tc>
        <w:tc>
          <w:tcPr>
            <w:tcW w:w="8074" w:type="dxa"/>
            <w:tcBorders>
              <w:top w:val="single" w:color="auto" w:sz="4" w:space="0"/>
              <w:left w:val="single" w:color="auto" w:sz="4" w:space="0"/>
              <w:bottom w:val="single" w:color="auto" w:sz="4" w:space="0"/>
            </w:tcBorders>
            <w:vAlign w:val="center"/>
          </w:tcPr>
          <w:p>
            <w:pPr>
              <w:spacing w:line="460" w:lineRule="exact"/>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磋商响应文件没有投标单位法定代表人或其授权代表签字和加盖投标单位公章的；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4</w:t>
            </w:r>
          </w:p>
        </w:tc>
        <w:tc>
          <w:tcPr>
            <w:tcW w:w="8074" w:type="dxa"/>
            <w:tcBorders>
              <w:top w:val="single" w:color="auto" w:sz="4" w:space="0"/>
              <w:left w:val="single" w:color="auto" w:sz="4" w:space="0"/>
              <w:bottom w:val="single" w:color="auto" w:sz="4" w:space="0"/>
            </w:tcBorders>
            <w:vAlign w:val="center"/>
          </w:tcPr>
          <w:p>
            <w:pPr>
              <w:spacing w:line="460" w:lineRule="exact"/>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工程的</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完成期限超过磋商文件规定期限的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356"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5</w:t>
            </w:r>
          </w:p>
        </w:tc>
        <w:tc>
          <w:tcPr>
            <w:tcW w:w="8074" w:type="dxa"/>
            <w:tcBorders>
              <w:top w:val="single" w:color="auto" w:sz="4" w:space="0"/>
              <w:left w:val="single" w:color="auto" w:sz="4" w:space="0"/>
              <w:bottom w:val="single" w:color="auto" w:sz="4" w:space="0"/>
            </w:tcBorders>
            <w:vAlign w:val="center"/>
          </w:tcPr>
          <w:p>
            <w:pPr>
              <w:spacing w:line="460" w:lineRule="exact"/>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供应商项目负责人要求：须具备贰级及以上注册建造师证、具有有效的安全生产考核证，必须为本单位注册，不接受临时注册建造师；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356"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6</w:t>
            </w:r>
          </w:p>
        </w:tc>
        <w:tc>
          <w:tcPr>
            <w:tcW w:w="8074" w:type="dxa"/>
            <w:tcBorders>
              <w:top w:val="single" w:color="auto" w:sz="4" w:space="0"/>
              <w:left w:val="single" w:color="auto" w:sz="4" w:space="0"/>
              <w:bottom w:val="single" w:color="auto" w:sz="4" w:space="0"/>
            </w:tcBorders>
            <w:vAlign w:val="center"/>
          </w:tcPr>
          <w:p>
            <w:pPr>
              <w:autoSpaceDE w:val="0"/>
              <w:autoSpaceDN w:val="0"/>
              <w:adjustRightInd w:val="0"/>
              <w:jc w:val="left"/>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sz w:val="24"/>
                <w:szCs w:val="24"/>
              </w:rPr>
              <w:t>磋商文件载明的技术规格、技术标准、货物包装方式、检验标准和方法等，不符合磋商文件要求的</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7</w:t>
            </w:r>
          </w:p>
        </w:tc>
        <w:tc>
          <w:tcPr>
            <w:tcW w:w="8074" w:type="dxa"/>
            <w:tcBorders>
              <w:top w:val="single" w:color="auto" w:sz="4" w:space="0"/>
              <w:left w:val="single" w:color="auto" w:sz="4" w:space="0"/>
              <w:bottom w:val="single" w:color="auto" w:sz="4" w:space="0"/>
            </w:tcBorders>
            <w:vAlign w:val="center"/>
          </w:tcPr>
          <w:p>
            <w:pPr>
              <w:spacing w:line="460" w:lineRule="exact"/>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磋商文件附有采购人不能接受条件的；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56"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8</w:t>
            </w:r>
          </w:p>
        </w:tc>
        <w:tc>
          <w:tcPr>
            <w:tcW w:w="8074" w:type="dxa"/>
            <w:tcBorders>
              <w:top w:val="single" w:color="auto" w:sz="4" w:space="0"/>
              <w:left w:val="single" w:color="auto" w:sz="4" w:space="0"/>
              <w:bottom w:val="single" w:color="auto" w:sz="4" w:space="0"/>
            </w:tcBorders>
            <w:vAlign w:val="center"/>
          </w:tcPr>
          <w:p>
            <w:pPr>
              <w:autoSpaceDE w:val="0"/>
              <w:autoSpaceDN w:val="0"/>
              <w:adjustRightInd w:val="0"/>
              <w:jc w:val="lef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sz w:val="24"/>
                <w:szCs w:val="24"/>
              </w:rPr>
              <w:t>不满足磋商文件实质性要求的其他情形。</w:t>
            </w:r>
          </w:p>
        </w:tc>
      </w:tr>
    </w:tbl>
    <w:p>
      <w:pPr>
        <w:spacing w:line="360" w:lineRule="auto"/>
        <w:jc w:val="both"/>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lang w:val="zh-CN"/>
        </w:rPr>
      </w:pPr>
    </w:p>
    <w:p>
      <w:pPr>
        <w:pStyle w:val="23"/>
        <w:ind w:left="0" w:leftChars="0" w:firstLine="0" w:firstLineChars="0"/>
        <w:rPr>
          <w:rFonts w:hint="eastAsia" w:asciiTheme="minorEastAsia" w:hAnsiTheme="minorEastAsia" w:eastAsiaTheme="minorEastAsia" w:cstheme="minorEastAsia"/>
          <w:color w:val="000000"/>
          <w:sz w:val="24"/>
          <w:szCs w:val="24"/>
          <w:lang w:val="zh-CN"/>
        </w:rPr>
      </w:pPr>
    </w:p>
    <w:p>
      <w:pPr>
        <w:rPr>
          <w:rFonts w:hint="eastAsia" w:asciiTheme="minorEastAsia" w:hAnsiTheme="minorEastAsia" w:eastAsiaTheme="minorEastAsia" w:cstheme="minorEastAsia"/>
          <w:color w:val="000000"/>
          <w:sz w:val="24"/>
          <w:szCs w:val="24"/>
          <w:lang w:val="zh-CN"/>
        </w:rPr>
      </w:pPr>
    </w:p>
    <w:p>
      <w:pPr>
        <w:pStyle w:val="23"/>
        <w:rPr>
          <w:rFonts w:hint="eastAsia" w:asciiTheme="minorEastAsia" w:hAnsiTheme="minorEastAsia" w:eastAsiaTheme="minorEastAsia" w:cstheme="minorEastAsia"/>
          <w:color w:val="000000"/>
          <w:sz w:val="24"/>
          <w:szCs w:val="24"/>
          <w:lang w:val="zh-CN"/>
        </w:rPr>
      </w:pPr>
    </w:p>
    <w:p>
      <w:pPr>
        <w:rPr>
          <w:rFonts w:hint="eastAsia" w:asciiTheme="minorEastAsia" w:hAnsiTheme="minorEastAsia" w:eastAsiaTheme="minorEastAsia" w:cstheme="minorEastAsia"/>
          <w:color w:val="000000"/>
          <w:sz w:val="24"/>
          <w:szCs w:val="24"/>
          <w:lang w:val="zh-CN"/>
        </w:rPr>
      </w:pPr>
    </w:p>
    <w:p>
      <w:pPr>
        <w:pStyle w:val="23"/>
        <w:rPr>
          <w:rFonts w:hint="eastAsia" w:asciiTheme="minorEastAsia" w:hAnsiTheme="minorEastAsia" w:eastAsiaTheme="minorEastAsia" w:cstheme="minorEastAsia"/>
          <w:color w:val="000000"/>
          <w:sz w:val="24"/>
          <w:szCs w:val="24"/>
          <w:lang w:val="zh-CN"/>
        </w:rPr>
      </w:pPr>
    </w:p>
    <w:p>
      <w:pPr>
        <w:rPr>
          <w:rFonts w:hint="eastAsia"/>
          <w:lang w:val="zh-CN"/>
        </w:rPr>
      </w:pPr>
    </w:p>
    <w:p>
      <w:pPr>
        <w:pStyle w:val="33"/>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szCs w:val="24"/>
        </w:rPr>
        <w:t>附表</w:t>
      </w:r>
      <w:r>
        <w:rPr>
          <w:rFonts w:hint="eastAsia" w:asciiTheme="minorEastAsia" w:hAnsiTheme="minorEastAsia" w:eastAsiaTheme="minorEastAsia" w:cstheme="minorEastAsia"/>
          <w:szCs w:val="24"/>
          <w:lang w:eastAsia="zh-CN"/>
        </w:rPr>
        <w:t>二：</w:t>
      </w:r>
    </w:p>
    <w:p>
      <w:pPr>
        <w:jc w:val="center"/>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lang w:eastAsia="zh-CN"/>
        </w:rPr>
        <w:t>（</w:t>
      </w:r>
      <w:r>
        <w:rPr>
          <w:rFonts w:hint="eastAsia" w:asciiTheme="minorEastAsia" w:hAnsiTheme="minorEastAsia" w:eastAsiaTheme="minorEastAsia" w:cstheme="minorEastAsia"/>
          <w:b/>
          <w:sz w:val="32"/>
          <w:szCs w:val="24"/>
          <w:lang w:val="en-US" w:eastAsia="zh-CN"/>
        </w:rPr>
        <w:t>2）初步评审标准-</w:t>
      </w:r>
      <w:r>
        <w:rPr>
          <w:rFonts w:hint="eastAsia" w:asciiTheme="minorEastAsia" w:hAnsiTheme="minorEastAsia" w:eastAsiaTheme="minorEastAsia" w:cstheme="minorEastAsia"/>
          <w:b/>
          <w:sz w:val="32"/>
          <w:szCs w:val="24"/>
          <w:lang w:eastAsia="zh-CN"/>
        </w:rPr>
        <w:t>响应性</w:t>
      </w:r>
      <w:r>
        <w:rPr>
          <w:rFonts w:hint="eastAsia" w:asciiTheme="minorEastAsia" w:hAnsiTheme="minorEastAsia" w:eastAsiaTheme="minorEastAsia" w:cstheme="minorEastAsia"/>
          <w:b/>
          <w:sz w:val="32"/>
          <w:szCs w:val="24"/>
        </w:rPr>
        <w:t>评审</w:t>
      </w:r>
    </w:p>
    <w:tbl>
      <w:tblPr>
        <w:tblStyle w:val="24"/>
        <w:tblpPr w:leftFromText="180" w:rightFromText="180" w:vertAnchor="text" w:horzAnchor="margin" w:tblpX="-271" w:tblpY="158"/>
        <w:tblW w:w="96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0"/>
        <w:gridCol w:w="767"/>
        <w:gridCol w:w="6157"/>
        <w:gridCol w:w="17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atLeast"/>
        </w:trPr>
        <w:tc>
          <w:tcPr>
            <w:tcW w:w="980" w:type="dxa"/>
            <w:vMerge w:val="restart"/>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w:t>
            </w:r>
          </w:p>
        </w:tc>
        <w:tc>
          <w:tcPr>
            <w:tcW w:w="6924" w:type="dxa"/>
            <w:gridSpan w:val="2"/>
            <w:vMerge w:val="restart"/>
            <w:tcBorders>
              <w:top w:val="single" w:color="auto" w:sz="12" w:space="0"/>
              <w:left w:val="single" w:color="auto" w:sz="6" w:space="0"/>
              <w:bottom w:val="single" w:color="auto" w:sz="4" w:space="0"/>
              <w:right w:val="single" w:color="auto" w:sz="6" w:space="0"/>
            </w:tcBorders>
            <w:vAlign w:val="center"/>
          </w:tcPr>
          <w:p>
            <w:pPr>
              <w:jc w:val="center"/>
              <w:rPr>
                <w:rFonts w:hint="eastAsia" w:asciiTheme="minorEastAsia" w:hAnsiTheme="minorEastAsia" w:eastAsiaTheme="minorEastAsia" w:cstheme="minorEastAsia"/>
                <w:b/>
                <w:sz w:val="20"/>
                <w:szCs w:val="21"/>
              </w:rPr>
            </w:pPr>
            <w:r>
              <w:rPr>
                <w:rFonts w:hint="eastAsia" w:asciiTheme="minorEastAsia" w:hAnsiTheme="minorEastAsia" w:eastAsiaTheme="minorEastAsia" w:cstheme="minorEastAsia"/>
                <w:sz w:val="24"/>
                <w:szCs w:val="24"/>
              </w:rPr>
              <w:t>评审内容</w:t>
            </w:r>
          </w:p>
        </w:tc>
        <w:tc>
          <w:tcPr>
            <w:tcW w:w="173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w:t>
            </w:r>
          </w:p>
          <w:p>
            <w:pPr>
              <w:autoSpaceDE w:val="0"/>
              <w:autoSpaceDN w:val="0"/>
              <w:adjustRightIn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1" w:hRule="atLeast"/>
        </w:trPr>
        <w:tc>
          <w:tcPr>
            <w:tcW w:w="980" w:type="dxa"/>
            <w:vMerge w:val="continue"/>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lang w:eastAsia="zh-CN"/>
              </w:rPr>
            </w:pPr>
          </w:p>
        </w:tc>
        <w:tc>
          <w:tcPr>
            <w:tcW w:w="6924" w:type="dxa"/>
            <w:gridSpan w:val="2"/>
            <w:vMerge w:val="continue"/>
            <w:tcBorders>
              <w:top w:val="single" w:color="auto" w:sz="12" w:space="0"/>
              <w:left w:val="single" w:color="auto" w:sz="6" w:space="0"/>
              <w:bottom w:val="single" w:color="auto" w:sz="4" w:space="0"/>
              <w:right w:val="single" w:color="auto" w:sz="6" w:space="0"/>
            </w:tcBorders>
            <w:vAlign w:val="center"/>
          </w:tcPr>
          <w:p>
            <w:pPr>
              <w:rPr>
                <w:rFonts w:hint="eastAsia" w:asciiTheme="minorEastAsia" w:hAnsiTheme="minorEastAsia" w:eastAsiaTheme="minorEastAsia" w:cstheme="minorEastAsia"/>
                <w:sz w:val="20"/>
              </w:rPr>
            </w:pPr>
          </w:p>
        </w:tc>
        <w:tc>
          <w:tcPr>
            <w:tcW w:w="17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980" w:type="dxa"/>
            <w:vMerge w:val="restart"/>
            <w:tcBorders>
              <w:top w:val="single" w:color="auto" w:sz="4" w:space="0"/>
              <w:left w:val="single" w:color="auto" w:sz="12"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审</w:t>
            </w:r>
          </w:p>
          <w:p>
            <w:pPr>
              <w:autoSpaceDE w:val="0"/>
              <w:autoSpaceDN w:val="0"/>
              <w:adjustRightIn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查</w:t>
            </w:r>
          </w:p>
          <w:p>
            <w:pPr>
              <w:autoSpaceDE w:val="0"/>
              <w:autoSpaceDN w:val="0"/>
              <w:adjustRightIn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标</w:t>
            </w:r>
          </w:p>
          <w:p>
            <w:pPr>
              <w:autoSpaceDE w:val="0"/>
              <w:autoSpaceDN w:val="0"/>
              <w:adjustRightIn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准</w:t>
            </w:r>
          </w:p>
        </w:tc>
        <w:tc>
          <w:tcPr>
            <w:tcW w:w="767"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157" w:type="dxa"/>
            <w:tcBorders>
              <w:top w:val="single" w:color="auto" w:sz="6" w:space="0"/>
              <w:left w:val="single" w:color="auto" w:sz="4" w:space="0"/>
              <w:bottom w:val="single" w:color="auto" w:sz="6" w:space="0"/>
              <w:right w:val="single" w:color="auto" w:sz="4" w:space="0"/>
            </w:tcBorders>
            <w:vAlign w:val="center"/>
          </w:tcPr>
          <w:p>
            <w:pPr>
              <w:spacing w:line="46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投标报价高于设定的工程预算招标控制价（工程限额）的；</w:t>
            </w:r>
          </w:p>
        </w:tc>
        <w:tc>
          <w:tcPr>
            <w:tcW w:w="1735" w:type="dxa"/>
            <w:tcBorders>
              <w:top w:val="single" w:color="auto" w:sz="6" w:space="0"/>
              <w:left w:val="single" w:color="auto" w:sz="4" w:space="0"/>
              <w:bottom w:val="single" w:color="auto" w:sz="6" w:space="0"/>
              <w:right w:val="single" w:color="auto" w:sz="12" w:space="0"/>
            </w:tcBorders>
            <w:vAlign w:val="top"/>
          </w:tcPr>
          <w:p>
            <w:pPr>
              <w:autoSpaceDE w:val="0"/>
              <w:autoSpaceDN w:val="0"/>
              <w:adjustRightInd w:val="0"/>
              <w:jc w:val="left"/>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trPr>
        <w:tc>
          <w:tcPr>
            <w:tcW w:w="980" w:type="dxa"/>
            <w:vMerge w:val="continue"/>
            <w:tcBorders>
              <w:left w:val="single" w:color="auto" w:sz="12"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lang w:eastAsia="zh-CN"/>
              </w:rPr>
            </w:pPr>
          </w:p>
        </w:tc>
        <w:tc>
          <w:tcPr>
            <w:tcW w:w="767" w:type="dxa"/>
            <w:tcBorders>
              <w:top w:val="nil"/>
              <w:left w:val="single" w:color="auto" w:sz="6" w:space="0"/>
              <w:bottom w:val="single" w:color="auto" w:sz="6" w:space="0"/>
              <w:right w:val="single" w:color="auto" w:sz="6" w:space="0"/>
            </w:tcBorders>
            <w:vAlign w:val="center"/>
          </w:tcPr>
          <w:p>
            <w:pPr>
              <w:autoSpaceDE w:val="0"/>
              <w:autoSpaceDN w:val="0"/>
              <w:adjustRightIn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6157" w:type="dxa"/>
            <w:tcBorders>
              <w:top w:val="nil"/>
              <w:left w:val="single" w:color="auto" w:sz="6" w:space="0"/>
              <w:bottom w:val="single" w:color="auto" w:sz="6" w:space="0"/>
              <w:right w:val="single" w:color="auto" w:sz="6" w:space="0"/>
            </w:tcBorders>
            <w:vAlign w:val="center"/>
          </w:tcPr>
          <w:p>
            <w:pPr>
              <w:autoSpaceDE w:val="0"/>
              <w:autoSpaceDN w:val="0"/>
              <w:adjustRightInd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未按磋商文件规定的格式填写，内容不全或关键字迹模糊、无法辨认的；</w:t>
            </w:r>
          </w:p>
        </w:tc>
        <w:tc>
          <w:tcPr>
            <w:tcW w:w="1735" w:type="dxa"/>
            <w:tcBorders>
              <w:top w:val="single" w:color="auto" w:sz="6" w:space="0"/>
              <w:left w:val="single" w:color="auto" w:sz="6" w:space="0"/>
              <w:bottom w:val="single" w:color="auto" w:sz="6" w:space="0"/>
              <w:right w:val="single" w:color="auto" w:sz="12" w:space="0"/>
            </w:tcBorders>
            <w:vAlign w:val="top"/>
          </w:tcPr>
          <w:p>
            <w:pPr>
              <w:rPr>
                <w:rFonts w:hint="eastAsia"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trPr>
        <w:tc>
          <w:tcPr>
            <w:tcW w:w="980" w:type="dxa"/>
            <w:vMerge w:val="continue"/>
            <w:tcBorders>
              <w:left w:val="single" w:color="auto" w:sz="12"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lang w:eastAsia="zh-CN"/>
              </w:rPr>
            </w:pPr>
          </w:p>
        </w:tc>
        <w:tc>
          <w:tcPr>
            <w:tcW w:w="7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61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改变磋商文件提供的工程量清单中的计量单位、工程量的；</w:t>
            </w:r>
          </w:p>
        </w:tc>
        <w:tc>
          <w:tcPr>
            <w:tcW w:w="1735" w:type="dxa"/>
            <w:tcBorders>
              <w:top w:val="single" w:color="auto" w:sz="6" w:space="0"/>
              <w:left w:val="single" w:color="auto" w:sz="6" w:space="0"/>
              <w:bottom w:val="single" w:color="auto" w:sz="6" w:space="0"/>
              <w:right w:val="single" w:color="auto" w:sz="12" w:space="0"/>
            </w:tcBorders>
            <w:vAlign w:val="top"/>
          </w:tcPr>
          <w:p>
            <w:pPr>
              <w:rPr>
                <w:rFonts w:hint="eastAsia"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0" w:hRule="atLeast"/>
        </w:trPr>
        <w:tc>
          <w:tcPr>
            <w:tcW w:w="980" w:type="dxa"/>
            <w:vMerge w:val="continue"/>
            <w:tcBorders>
              <w:left w:val="single" w:color="auto" w:sz="12"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lang w:eastAsia="zh-CN"/>
              </w:rPr>
            </w:pPr>
          </w:p>
        </w:tc>
        <w:tc>
          <w:tcPr>
            <w:tcW w:w="7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61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将工程排污费、社会保障费、住房公积金、危险作业意外伤害保险等规费和营业税、城市维护建设税、教育费附加等税金，以及安全文明施工费列入招标投标竞争性费用的；</w:t>
            </w:r>
          </w:p>
        </w:tc>
        <w:tc>
          <w:tcPr>
            <w:tcW w:w="1735" w:type="dxa"/>
            <w:tcBorders>
              <w:top w:val="single" w:color="auto" w:sz="6" w:space="0"/>
              <w:left w:val="single" w:color="auto" w:sz="6" w:space="0"/>
              <w:bottom w:val="single" w:color="auto" w:sz="6" w:space="0"/>
              <w:right w:val="single" w:color="auto" w:sz="12" w:space="0"/>
            </w:tcBorders>
            <w:vAlign w:val="top"/>
          </w:tcPr>
          <w:p>
            <w:pPr>
              <w:rPr>
                <w:rFonts w:hint="eastAsia"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trPr>
        <w:tc>
          <w:tcPr>
            <w:tcW w:w="980" w:type="dxa"/>
            <w:vMerge w:val="continue"/>
            <w:tcBorders>
              <w:left w:val="single" w:color="auto" w:sz="12"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lang w:eastAsia="zh-CN"/>
              </w:rPr>
            </w:pPr>
          </w:p>
        </w:tc>
        <w:tc>
          <w:tcPr>
            <w:tcW w:w="7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61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供应商名称、组织机构与资格预审时不符，涉嫌以他人名义投标的；</w:t>
            </w:r>
          </w:p>
        </w:tc>
        <w:tc>
          <w:tcPr>
            <w:tcW w:w="1735" w:type="dxa"/>
            <w:tcBorders>
              <w:top w:val="single" w:color="auto" w:sz="6" w:space="0"/>
              <w:left w:val="single" w:color="auto" w:sz="6" w:space="0"/>
              <w:bottom w:val="single" w:color="auto" w:sz="6" w:space="0"/>
              <w:right w:val="single" w:color="auto" w:sz="12" w:space="0"/>
            </w:tcBorders>
            <w:vAlign w:val="top"/>
          </w:tcPr>
          <w:p>
            <w:pPr>
              <w:rPr>
                <w:rFonts w:hint="eastAsia"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980" w:type="dxa"/>
            <w:vMerge w:val="continue"/>
            <w:tcBorders>
              <w:left w:val="single" w:color="auto" w:sz="12"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lang w:eastAsia="zh-CN"/>
              </w:rPr>
            </w:pPr>
          </w:p>
        </w:tc>
        <w:tc>
          <w:tcPr>
            <w:tcW w:w="7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61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供应商之间或者供应商与采购人串通投标的；</w:t>
            </w:r>
          </w:p>
        </w:tc>
        <w:tc>
          <w:tcPr>
            <w:tcW w:w="1735" w:type="dxa"/>
            <w:tcBorders>
              <w:top w:val="single" w:color="auto" w:sz="6" w:space="0"/>
              <w:left w:val="single" w:color="auto" w:sz="6" w:space="0"/>
              <w:bottom w:val="single" w:color="auto" w:sz="6" w:space="0"/>
              <w:right w:val="single" w:color="auto" w:sz="12" w:space="0"/>
            </w:tcBorders>
            <w:vAlign w:val="top"/>
          </w:tcPr>
          <w:p>
            <w:pPr>
              <w:rPr>
                <w:rFonts w:hint="eastAsia"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trPr>
        <w:tc>
          <w:tcPr>
            <w:tcW w:w="980" w:type="dxa"/>
            <w:vMerge w:val="continue"/>
            <w:tcBorders>
              <w:left w:val="single" w:color="auto" w:sz="12"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lang w:eastAsia="zh-CN"/>
              </w:rPr>
            </w:pPr>
          </w:p>
        </w:tc>
        <w:tc>
          <w:tcPr>
            <w:tcW w:w="7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61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履约担保、违约赔偿、变更工程结算等的承诺，不符合磋商文件要求的</w:t>
            </w:r>
            <w:r>
              <w:rPr>
                <w:rFonts w:hint="eastAsia" w:asciiTheme="minorEastAsia" w:hAnsiTheme="minorEastAsia" w:eastAsiaTheme="minorEastAsia" w:cstheme="minorEastAsia"/>
                <w:sz w:val="24"/>
                <w:szCs w:val="24"/>
                <w:lang w:eastAsia="zh-CN"/>
              </w:rPr>
              <w:t>。</w:t>
            </w:r>
          </w:p>
        </w:tc>
        <w:tc>
          <w:tcPr>
            <w:tcW w:w="1735" w:type="dxa"/>
            <w:tcBorders>
              <w:top w:val="single" w:color="auto" w:sz="6" w:space="0"/>
              <w:left w:val="single" w:color="auto" w:sz="6" w:space="0"/>
              <w:bottom w:val="single" w:color="auto" w:sz="6" w:space="0"/>
              <w:right w:val="single" w:color="auto" w:sz="12" w:space="0"/>
            </w:tcBorders>
            <w:vAlign w:val="top"/>
          </w:tcPr>
          <w:p>
            <w:pPr>
              <w:rPr>
                <w:rFonts w:hint="eastAsia"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98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c>
          <w:tcPr>
            <w:tcW w:w="6924" w:type="dxa"/>
            <w:gridSpan w:val="2"/>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是否通过评审（通过打√、不通过打×）</w:t>
            </w:r>
          </w:p>
        </w:tc>
        <w:tc>
          <w:tcPr>
            <w:tcW w:w="1735" w:type="dxa"/>
            <w:tcBorders>
              <w:top w:val="single" w:color="auto" w:sz="6" w:space="0"/>
              <w:left w:val="single" w:color="auto" w:sz="6" w:space="0"/>
              <w:bottom w:val="single" w:color="auto" w:sz="12" w:space="0"/>
              <w:right w:val="single" w:color="auto" w:sz="12" w:space="0"/>
            </w:tcBorders>
            <w:vAlign w:val="top"/>
          </w:tcPr>
          <w:p>
            <w:pPr>
              <w:rPr>
                <w:rFonts w:hint="eastAsia" w:asciiTheme="minorEastAsia" w:hAnsiTheme="minorEastAsia" w:eastAsiaTheme="minorEastAsia" w:cstheme="minorEastAsia"/>
                <w:sz w:val="20"/>
                <w:szCs w:val="21"/>
              </w:rPr>
            </w:pPr>
          </w:p>
        </w:tc>
      </w:tr>
    </w:tbl>
    <w:p>
      <w:pPr>
        <w:tabs>
          <w:tab w:val="left" w:pos="900"/>
        </w:tabs>
        <w:rPr>
          <w:rFonts w:hint="eastAsia" w:asciiTheme="minorEastAsia" w:hAnsiTheme="minorEastAsia" w:eastAsiaTheme="minorEastAsia" w:cstheme="minorEastAsia"/>
          <w:szCs w:val="21"/>
        </w:rPr>
      </w:pPr>
    </w:p>
    <w:p>
      <w:pPr>
        <w:pStyle w:val="23"/>
        <w:rPr>
          <w:rFonts w:hint="eastAsia" w:asciiTheme="minorEastAsia" w:hAnsiTheme="minorEastAsia" w:eastAsiaTheme="minorEastAsia" w:cstheme="minorEastAsia"/>
          <w:color w:val="000000"/>
          <w:sz w:val="24"/>
          <w:szCs w:val="24"/>
          <w:lang w:val="zh-CN"/>
        </w:rPr>
      </w:pPr>
    </w:p>
    <w:p>
      <w:pPr>
        <w:pStyle w:val="23"/>
        <w:rPr>
          <w:rFonts w:hint="eastAsia" w:asciiTheme="minorEastAsia" w:hAnsiTheme="minorEastAsia" w:eastAsiaTheme="minorEastAsia" w:cstheme="minorEastAsia"/>
          <w:color w:val="000000"/>
          <w:sz w:val="24"/>
          <w:szCs w:val="24"/>
          <w:lang w:val="zh-CN"/>
        </w:rPr>
      </w:pPr>
    </w:p>
    <w:p>
      <w:pPr>
        <w:pStyle w:val="23"/>
        <w:rPr>
          <w:rFonts w:hint="eastAsia" w:asciiTheme="minorEastAsia" w:hAnsiTheme="minorEastAsia" w:eastAsiaTheme="minorEastAsia" w:cstheme="minorEastAsia"/>
          <w:color w:val="000000"/>
          <w:sz w:val="24"/>
          <w:szCs w:val="24"/>
          <w:lang w:val="zh-CN"/>
        </w:rPr>
      </w:pPr>
    </w:p>
    <w:p>
      <w:pPr>
        <w:pStyle w:val="23"/>
        <w:rPr>
          <w:rFonts w:hint="eastAsia" w:asciiTheme="minorEastAsia" w:hAnsiTheme="minorEastAsia" w:eastAsiaTheme="minorEastAsia" w:cstheme="minorEastAsia"/>
          <w:color w:val="000000"/>
          <w:sz w:val="24"/>
          <w:szCs w:val="24"/>
          <w:lang w:val="zh-CN"/>
        </w:rPr>
      </w:pPr>
    </w:p>
    <w:p>
      <w:pPr>
        <w:pStyle w:val="23"/>
        <w:rPr>
          <w:rFonts w:hint="eastAsia" w:asciiTheme="minorEastAsia" w:hAnsiTheme="minorEastAsia" w:eastAsiaTheme="minorEastAsia" w:cstheme="minorEastAsia"/>
          <w:color w:val="000000"/>
          <w:sz w:val="24"/>
          <w:szCs w:val="24"/>
          <w:lang w:val="zh-CN"/>
        </w:rPr>
      </w:pPr>
    </w:p>
    <w:p>
      <w:pPr>
        <w:pStyle w:val="23"/>
        <w:rPr>
          <w:rFonts w:hint="eastAsia" w:asciiTheme="minorEastAsia" w:hAnsiTheme="minorEastAsia" w:eastAsiaTheme="minorEastAsia" w:cstheme="minorEastAsia"/>
          <w:color w:val="000000"/>
          <w:sz w:val="24"/>
          <w:szCs w:val="24"/>
          <w:lang w:val="zh-CN"/>
        </w:rPr>
      </w:pPr>
    </w:p>
    <w:p>
      <w:pPr>
        <w:pStyle w:val="23"/>
        <w:ind w:firstLine="3213" w:firstLineChars="1000"/>
        <w:rPr>
          <w:rFonts w:cs="宋体"/>
          <w:b/>
          <w:sz w:val="32"/>
          <w:szCs w:val="24"/>
          <w:lang w:val="zh-CN"/>
        </w:rPr>
      </w:pPr>
      <w:r>
        <w:rPr>
          <w:rFonts w:hint="eastAsia" w:cs="宋体"/>
          <w:b/>
          <w:sz w:val="32"/>
          <w:szCs w:val="24"/>
          <w:lang w:val="zh-CN"/>
        </w:rPr>
        <w:t>详细评审内容标准</w:t>
      </w:r>
    </w:p>
    <w:tbl>
      <w:tblPr>
        <w:tblStyle w:val="24"/>
        <w:tblpPr w:leftFromText="180" w:rightFromText="180" w:vertAnchor="text" w:horzAnchor="page" w:tblpX="1221" w:tblpY="645"/>
        <w:tblOverlap w:val="never"/>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790"/>
        <w:gridCol w:w="625"/>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66" w:type="dxa"/>
            <w:vAlign w:val="center"/>
          </w:tcPr>
          <w:p>
            <w:pPr>
              <w:snapToGrid w:val="0"/>
              <w:spacing w:line="360" w:lineRule="auto"/>
              <w:jc w:val="center"/>
              <w:rPr>
                <w:rFonts w:ascii="宋体" w:cs="宋体"/>
                <w:sz w:val="24"/>
                <w:szCs w:val="24"/>
              </w:rPr>
            </w:pPr>
            <w:r>
              <w:rPr>
                <w:rFonts w:hint="eastAsia" w:ascii="宋体" w:hAnsi="宋体" w:cs="宋体"/>
                <w:sz w:val="24"/>
                <w:szCs w:val="24"/>
              </w:rPr>
              <w:t>评审项目</w:t>
            </w:r>
          </w:p>
        </w:tc>
        <w:tc>
          <w:tcPr>
            <w:tcW w:w="2415" w:type="dxa"/>
            <w:gridSpan w:val="2"/>
            <w:vAlign w:val="center"/>
          </w:tcPr>
          <w:p>
            <w:pPr>
              <w:snapToGrid w:val="0"/>
              <w:spacing w:line="360" w:lineRule="auto"/>
              <w:jc w:val="center"/>
              <w:rPr>
                <w:rFonts w:ascii="宋体" w:cs="宋体"/>
                <w:sz w:val="24"/>
                <w:szCs w:val="24"/>
              </w:rPr>
            </w:pPr>
            <w:r>
              <w:rPr>
                <w:rFonts w:hint="eastAsia" w:ascii="宋体" w:hAnsi="宋体" w:cs="宋体"/>
                <w:sz w:val="24"/>
                <w:szCs w:val="24"/>
              </w:rPr>
              <w:t>权重</w:t>
            </w:r>
          </w:p>
        </w:tc>
        <w:tc>
          <w:tcPr>
            <w:tcW w:w="6797" w:type="dxa"/>
            <w:vAlign w:val="center"/>
          </w:tcPr>
          <w:p>
            <w:pPr>
              <w:snapToGrid w:val="0"/>
              <w:spacing w:line="360" w:lineRule="auto"/>
              <w:jc w:val="center"/>
              <w:rPr>
                <w:rFonts w:ascii="宋体" w:cs="宋体"/>
                <w:sz w:val="24"/>
                <w:szCs w:val="24"/>
              </w:rPr>
            </w:pPr>
            <w:r>
              <w:rPr>
                <w:rFonts w:hint="eastAsia" w:ascii="宋体" w:hAnsi="宋体" w:cs="宋体"/>
                <w:sz w:val="24"/>
                <w:szCs w:val="24"/>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778" w:type="dxa"/>
            <w:gridSpan w:val="4"/>
            <w:vAlign w:val="center"/>
          </w:tcPr>
          <w:p>
            <w:pPr>
              <w:snapToGrid w:val="0"/>
              <w:spacing w:line="360" w:lineRule="auto"/>
              <w:rPr>
                <w:rFonts w:ascii="宋体" w:cs="宋体"/>
                <w:sz w:val="24"/>
                <w:szCs w:val="24"/>
              </w:rPr>
            </w:pPr>
            <w:r>
              <w:rPr>
                <w:rFonts w:hint="eastAsia" w:ascii="宋体" w:hAnsi="宋体" w:cs="宋体"/>
                <w:b/>
                <w:bCs/>
                <w:sz w:val="24"/>
                <w:szCs w:val="24"/>
              </w:rPr>
              <w:t>经济标报价部分权重</w:t>
            </w:r>
            <w:r>
              <w:rPr>
                <w:rFonts w:ascii="宋体" w:hAnsi="宋体" w:cs="宋体"/>
                <w:b/>
                <w:bCs/>
                <w:sz w:val="24"/>
                <w:szCs w:val="24"/>
              </w:rPr>
              <w:t>K1=30%</w:t>
            </w:r>
            <w:r>
              <w:rPr>
                <w:rFonts w:hint="eastAsia" w:ascii="宋体" w:hAnsi="宋体" w:cs="宋体"/>
                <w:b/>
                <w:bCs/>
                <w:sz w:val="24"/>
                <w:szCs w:val="24"/>
              </w:rPr>
              <w:t>；</w:t>
            </w:r>
            <w:r>
              <w:rPr>
                <w:rFonts w:ascii="宋体" w:hAnsi="宋体" w:cs="宋体"/>
                <w:b/>
                <w:bCs/>
                <w:sz w:val="24"/>
                <w:szCs w:val="24"/>
              </w:rPr>
              <w:t>2</w:t>
            </w:r>
            <w:r>
              <w:rPr>
                <w:rFonts w:hint="eastAsia" w:ascii="宋体" w:hAnsi="宋体" w:cs="宋体"/>
                <w:b/>
                <w:bCs/>
                <w:sz w:val="24"/>
                <w:szCs w:val="24"/>
              </w:rPr>
              <w:t>、商务标权重</w:t>
            </w:r>
            <w:r>
              <w:rPr>
                <w:rFonts w:ascii="宋体" w:hAnsi="宋体" w:cs="宋体"/>
                <w:b/>
                <w:bCs/>
                <w:sz w:val="24"/>
                <w:szCs w:val="24"/>
              </w:rPr>
              <w:t>K2=</w:t>
            </w:r>
            <w:r>
              <w:rPr>
                <w:rFonts w:hint="eastAsia" w:ascii="宋体" w:hAnsi="宋体" w:cs="宋体"/>
                <w:b/>
                <w:bCs/>
                <w:sz w:val="24"/>
                <w:szCs w:val="24"/>
                <w:lang w:val="en-US" w:eastAsia="zh-CN"/>
              </w:rPr>
              <w:t>2</w:t>
            </w:r>
            <w:r>
              <w:rPr>
                <w:rFonts w:ascii="宋体" w:hAnsi="宋体" w:cs="宋体"/>
                <w:b/>
                <w:bCs/>
                <w:sz w:val="24"/>
                <w:szCs w:val="24"/>
              </w:rPr>
              <w:t>0%</w:t>
            </w:r>
            <w:r>
              <w:rPr>
                <w:rFonts w:hint="eastAsia" w:ascii="宋体" w:hAnsi="宋体" w:cs="宋体"/>
                <w:b/>
                <w:bCs/>
                <w:sz w:val="24"/>
                <w:szCs w:val="24"/>
              </w:rPr>
              <w:t>；</w:t>
            </w:r>
            <w:r>
              <w:rPr>
                <w:rFonts w:ascii="宋体" w:hAnsi="宋体" w:cs="宋体"/>
                <w:b/>
                <w:bCs/>
                <w:sz w:val="24"/>
                <w:szCs w:val="24"/>
              </w:rPr>
              <w:t>3</w:t>
            </w:r>
            <w:r>
              <w:rPr>
                <w:rFonts w:hint="eastAsia" w:ascii="宋体" w:hAnsi="宋体" w:cs="宋体"/>
                <w:b/>
                <w:bCs/>
                <w:sz w:val="24"/>
                <w:szCs w:val="24"/>
              </w:rPr>
              <w:t>、技术标权重</w:t>
            </w:r>
            <w:r>
              <w:rPr>
                <w:rFonts w:ascii="宋体" w:hAnsi="宋体" w:cs="宋体"/>
                <w:b/>
                <w:bCs/>
                <w:sz w:val="24"/>
                <w:szCs w:val="24"/>
              </w:rPr>
              <w:t>K2=</w:t>
            </w:r>
            <w:r>
              <w:rPr>
                <w:rFonts w:hint="eastAsia" w:ascii="宋体" w:hAnsi="宋体" w:cs="宋体"/>
                <w:b/>
                <w:bCs/>
                <w:sz w:val="24"/>
                <w:szCs w:val="24"/>
                <w:lang w:val="en-US" w:eastAsia="zh-CN"/>
              </w:rPr>
              <w:t>5</w:t>
            </w:r>
            <w:r>
              <w:rPr>
                <w:rFonts w:ascii="宋体" w:hAnsi="宋体" w:cs="宋体"/>
                <w:b/>
                <w:bCs/>
                <w:sz w:val="24"/>
                <w:szCs w:val="24"/>
              </w:rPr>
              <w:t>0%</w:t>
            </w:r>
            <w:r>
              <w:rPr>
                <w:rFonts w:hint="eastAsia" w:ascii="宋体" w:hAnsi="宋体" w:cs="宋体"/>
                <w:b/>
                <w:bCs/>
                <w:sz w:val="24"/>
                <w:szCs w:val="24"/>
              </w:rPr>
              <w:t>；</w:t>
            </w:r>
            <w:r>
              <w:rPr>
                <w:rFonts w:ascii="宋体" w:hAnsi="宋体" w:cs="宋体"/>
                <w:b/>
                <w:bCs/>
                <w:sz w:val="24"/>
                <w:szCs w:val="24"/>
              </w:rPr>
              <w:t xml:space="preserve">  K1+K2+K3=100%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9778" w:type="dxa"/>
            <w:gridSpan w:val="4"/>
            <w:vAlign w:val="center"/>
          </w:tcPr>
          <w:p>
            <w:pPr>
              <w:snapToGrid w:val="0"/>
              <w:spacing w:line="360" w:lineRule="auto"/>
              <w:rPr>
                <w:rFonts w:ascii="宋体" w:cs="宋体"/>
                <w:sz w:val="24"/>
                <w:szCs w:val="24"/>
              </w:rPr>
            </w:pPr>
            <w:r>
              <w:rPr>
                <w:rFonts w:hint="eastAsia"/>
                <w:b/>
                <w:bCs/>
                <w:sz w:val="24"/>
                <w:szCs w:val="24"/>
              </w:rPr>
              <w:t>一、经济标报价（</w:t>
            </w:r>
            <w:r>
              <w:rPr>
                <w:b/>
                <w:bCs/>
                <w:sz w:val="24"/>
                <w:szCs w:val="24"/>
              </w:rPr>
              <w:t>30</w:t>
            </w:r>
            <w:r>
              <w:rPr>
                <w:rFonts w:hint="eastAsia"/>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trPr>
        <w:tc>
          <w:tcPr>
            <w:tcW w:w="566" w:type="dxa"/>
            <w:vAlign w:val="center"/>
          </w:tcPr>
          <w:p>
            <w:pPr>
              <w:widowControl/>
              <w:ind w:left="540" w:hanging="720" w:hangingChars="300"/>
              <w:contextualSpacing/>
              <w:jc w:val="center"/>
              <w:rPr>
                <w:rFonts w:ascii="宋体" w:cs="宋体"/>
                <w:sz w:val="24"/>
                <w:szCs w:val="24"/>
              </w:rPr>
            </w:pPr>
            <w:r>
              <w:rPr>
                <w:rFonts w:hint="eastAsia" w:ascii="宋体" w:hAnsi="宋体" w:cs="宋体"/>
                <w:sz w:val="24"/>
                <w:szCs w:val="24"/>
              </w:rPr>
              <w:t>报价</w:t>
            </w:r>
          </w:p>
        </w:tc>
        <w:tc>
          <w:tcPr>
            <w:tcW w:w="2415" w:type="dxa"/>
            <w:gridSpan w:val="2"/>
            <w:vAlign w:val="center"/>
          </w:tcPr>
          <w:p>
            <w:pPr>
              <w:contextualSpacing/>
              <w:jc w:val="center"/>
              <w:rPr>
                <w:rFonts w:ascii="宋体" w:cs="宋体"/>
                <w:sz w:val="24"/>
                <w:szCs w:val="24"/>
              </w:rPr>
            </w:pPr>
            <w:r>
              <w:rPr>
                <w:rFonts w:ascii="宋体" w:hAnsi="宋体" w:cs="宋体"/>
                <w:sz w:val="24"/>
                <w:szCs w:val="24"/>
              </w:rPr>
              <w:t>30</w:t>
            </w:r>
            <w:r>
              <w:rPr>
                <w:rFonts w:hint="eastAsia" w:ascii="宋体" w:hAnsi="宋体" w:cs="宋体"/>
                <w:sz w:val="24"/>
                <w:szCs w:val="24"/>
              </w:rPr>
              <w:t>分</w:t>
            </w:r>
          </w:p>
        </w:tc>
        <w:tc>
          <w:tcPr>
            <w:tcW w:w="6797" w:type="dxa"/>
            <w:vAlign w:val="center"/>
          </w:tcPr>
          <w:p>
            <w:pPr>
              <w:spacing w:line="360" w:lineRule="auto"/>
              <w:ind w:firstLine="480" w:firstLineChars="200"/>
              <w:jc w:val="left"/>
              <w:rPr>
                <w:rFonts w:ascii="宋体" w:cs="宋体"/>
                <w:sz w:val="24"/>
                <w:szCs w:val="24"/>
              </w:rPr>
            </w:pPr>
            <w:r>
              <w:rPr>
                <w:rFonts w:hint="eastAsia" w:ascii="宋体" w:hAnsi="宋体" w:cs="宋体"/>
                <w:sz w:val="24"/>
                <w:szCs w:val="24"/>
              </w:rPr>
              <w:t>按照财政部《政府采购竞争性磋商采购方式管理暂行办法》（财库</w:t>
            </w:r>
            <w:r>
              <w:rPr>
                <w:rFonts w:ascii="宋体" w:hAnsi="宋体" w:cs="宋体"/>
                <w:sz w:val="24"/>
                <w:szCs w:val="24"/>
              </w:rPr>
              <w:t xml:space="preserve">[2014]214 </w:t>
            </w:r>
            <w:r>
              <w:rPr>
                <w:rFonts w:hint="eastAsia" w:ascii="宋体" w:hAnsi="宋体" w:cs="宋体"/>
                <w:spacing w:val="-4"/>
                <w:sz w:val="24"/>
                <w:szCs w:val="24"/>
              </w:rPr>
              <w:t>号）的有关规定：价格分采用低价优先法计算，即满足竞争</w:t>
            </w:r>
            <w:r>
              <w:rPr>
                <w:rFonts w:ascii="宋体" w:hAnsi="宋体" w:cs="宋体"/>
                <w:spacing w:val="-117"/>
                <w:sz w:val="24"/>
                <w:szCs w:val="24"/>
              </w:rPr>
              <w:t xml:space="preserve"> </w:t>
            </w:r>
            <w:r>
              <w:rPr>
                <w:rFonts w:hint="eastAsia" w:ascii="宋体" w:hAnsi="宋体" w:cs="宋体"/>
                <w:sz w:val="24"/>
                <w:szCs w:val="24"/>
              </w:rPr>
              <w:t>性磋商文件要求且最后报价最低的投标人的价格为磋商基准价，其价格分为满分。其他投标人的价格分统一按照下列公式计算：</w:t>
            </w:r>
            <w:r>
              <w:rPr>
                <w:rFonts w:ascii="宋体" w:hAnsi="宋体" w:cs="宋体"/>
                <w:sz w:val="24"/>
                <w:szCs w:val="24"/>
              </w:rPr>
              <w:t xml:space="preserve"> </w:t>
            </w:r>
            <w:r>
              <w:rPr>
                <w:rFonts w:hint="eastAsia" w:ascii="宋体" w:hAnsi="宋体" w:cs="宋体"/>
                <w:sz w:val="24"/>
                <w:szCs w:val="24"/>
              </w:rPr>
              <w:t>磋商报价得分</w:t>
            </w:r>
            <w:r>
              <w:rPr>
                <w:rFonts w:ascii="宋体" w:hAnsi="宋体" w:cs="宋体"/>
                <w:sz w:val="24"/>
                <w:szCs w:val="24"/>
              </w:rPr>
              <w:t>=</w:t>
            </w:r>
            <w:r>
              <w:rPr>
                <w:rFonts w:hint="eastAsia" w:ascii="宋体" w:hAnsi="宋体" w:cs="宋体"/>
                <w:sz w:val="24"/>
                <w:szCs w:val="24"/>
              </w:rPr>
              <w:t>（磋商基准价</w:t>
            </w:r>
            <w:r>
              <w:rPr>
                <w:rFonts w:ascii="宋体" w:hAnsi="宋体" w:cs="宋体"/>
                <w:sz w:val="24"/>
                <w:szCs w:val="24"/>
              </w:rPr>
              <w:t>/</w:t>
            </w:r>
            <w:r>
              <w:rPr>
                <w:rFonts w:hint="eastAsia" w:ascii="宋体" w:hAnsi="宋体" w:cs="宋体"/>
                <w:sz w:val="24"/>
                <w:szCs w:val="24"/>
              </w:rPr>
              <w:t>最后磋商报价）×价格权值×</w:t>
            </w:r>
            <w:r>
              <w:rPr>
                <w:rFonts w:ascii="宋体" w:hAnsi="宋体" w:cs="宋体"/>
                <w:sz w:val="24"/>
                <w:szCs w:val="24"/>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9778" w:type="dxa"/>
            <w:gridSpan w:val="4"/>
          </w:tcPr>
          <w:p>
            <w:pPr>
              <w:rPr>
                <w:sz w:val="24"/>
                <w:szCs w:val="24"/>
              </w:rPr>
            </w:pPr>
            <w:r>
              <w:rPr>
                <w:rFonts w:hint="eastAsia"/>
                <w:b/>
                <w:bCs/>
                <w:sz w:val="24"/>
                <w:szCs w:val="24"/>
              </w:rPr>
              <w:t>二、商务标（</w:t>
            </w:r>
            <w:r>
              <w:rPr>
                <w:rFonts w:hint="eastAsia"/>
                <w:b/>
                <w:bCs/>
                <w:sz w:val="24"/>
                <w:szCs w:val="24"/>
                <w:lang w:val="en-US" w:eastAsia="zh-CN"/>
              </w:rPr>
              <w:t>2</w:t>
            </w:r>
            <w:r>
              <w:rPr>
                <w:b/>
                <w:bCs/>
                <w:sz w:val="24"/>
                <w:szCs w:val="24"/>
              </w:rPr>
              <w:t>0</w:t>
            </w:r>
            <w:r>
              <w:rPr>
                <w:rFonts w:hint="eastAsia"/>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566" w:type="dxa"/>
            <w:vAlign w:val="center"/>
          </w:tcPr>
          <w:p>
            <w:pPr>
              <w:tabs>
                <w:tab w:val="left" w:pos="749"/>
                <w:tab w:val="left" w:pos="3346"/>
                <w:tab w:val="left" w:pos="3873"/>
                <w:tab w:val="left" w:pos="9611"/>
              </w:tabs>
              <w:rPr>
                <w:rFonts w:ascii="宋体" w:cs="宋体"/>
                <w:sz w:val="24"/>
                <w:szCs w:val="24"/>
              </w:rPr>
            </w:pPr>
            <w:r>
              <w:rPr>
                <w:rFonts w:hint="eastAsia" w:ascii="宋体" w:hAnsi="宋体" w:cs="宋体"/>
                <w:sz w:val="24"/>
                <w:szCs w:val="24"/>
              </w:rPr>
              <w:t>序号</w:t>
            </w:r>
          </w:p>
        </w:tc>
        <w:tc>
          <w:tcPr>
            <w:tcW w:w="1790" w:type="dxa"/>
            <w:vAlign w:val="center"/>
          </w:tcPr>
          <w:p>
            <w:pPr>
              <w:tabs>
                <w:tab w:val="left" w:pos="749"/>
                <w:tab w:val="left" w:pos="3346"/>
                <w:tab w:val="left" w:pos="3873"/>
                <w:tab w:val="left" w:pos="9611"/>
              </w:tabs>
              <w:ind w:left="227"/>
              <w:rPr>
                <w:rFonts w:ascii="宋体" w:cs="宋体"/>
                <w:sz w:val="24"/>
                <w:szCs w:val="24"/>
              </w:rPr>
            </w:pPr>
            <w:r>
              <w:rPr>
                <w:rFonts w:hint="eastAsia" w:ascii="宋体" w:hAnsi="宋体" w:cs="宋体"/>
                <w:sz w:val="24"/>
                <w:szCs w:val="24"/>
              </w:rPr>
              <w:t>评审项目</w:t>
            </w:r>
          </w:p>
        </w:tc>
        <w:tc>
          <w:tcPr>
            <w:tcW w:w="625" w:type="dxa"/>
            <w:vAlign w:val="center"/>
          </w:tcPr>
          <w:p>
            <w:pPr>
              <w:tabs>
                <w:tab w:val="left" w:pos="749"/>
                <w:tab w:val="left" w:pos="3346"/>
                <w:tab w:val="left" w:pos="3873"/>
                <w:tab w:val="left" w:pos="9611"/>
              </w:tabs>
              <w:jc w:val="center"/>
              <w:rPr>
                <w:rFonts w:ascii="宋体" w:cs="宋体"/>
                <w:sz w:val="24"/>
                <w:szCs w:val="24"/>
              </w:rPr>
            </w:pPr>
            <w:r>
              <w:rPr>
                <w:rFonts w:hint="eastAsia" w:ascii="宋体" w:hAnsi="宋体" w:cs="宋体"/>
                <w:sz w:val="24"/>
                <w:szCs w:val="24"/>
              </w:rPr>
              <w:t>分值</w:t>
            </w:r>
          </w:p>
        </w:tc>
        <w:tc>
          <w:tcPr>
            <w:tcW w:w="6797" w:type="dxa"/>
            <w:vAlign w:val="center"/>
          </w:tcPr>
          <w:p>
            <w:pPr>
              <w:tabs>
                <w:tab w:val="left" w:pos="749"/>
                <w:tab w:val="left" w:pos="3346"/>
                <w:tab w:val="left" w:pos="3873"/>
                <w:tab w:val="left" w:pos="9611"/>
              </w:tabs>
              <w:jc w:val="center"/>
              <w:rPr>
                <w:rFonts w:ascii="宋体" w:cs="宋体"/>
                <w:sz w:val="24"/>
                <w:szCs w:val="24"/>
              </w:rPr>
            </w:pPr>
            <w:r>
              <w:rPr>
                <w:rFonts w:hint="eastAsia" w:ascii="宋体" w:hAnsi="宋体" w:cs="宋体"/>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566" w:type="dxa"/>
            <w:vMerge w:val="restart"/>
            <w:vAlign w:val="center"/>
          </w:tcPr>
          <w:p>
            <w:pPr>
              <w:tabs>
                <w:tab w:val="left" w:pos="761"/>
                <w:tab w:val="left" w:pos="1662"/>
                <w:tab w:val="left" w:pos="3363"/>
                <w:tab w:val="left" w:pos="3887"/>
                <w:tab w:val="left" w:pos="9649"/>
              </w:tabs>
              <w:rPr>
                <w:rFonts w:ascii="宋体" w:cs="宋体"/>
                <w:sz w:val="24"/>
                <w:szCs w:val="24"/>
              </w:rPr>
            </w:pPr>
            <w:r>
              <w:rPr>
                <w:rFonts w:ascii="宋体" w:hAnsi="宋体" w:cs="宋体"/>
                <w:sz w:val="24"/>
                <w:szCs w:val="24"/>
              </w:rPr>
              <w:t>1</w:t>
            </w:r>
          </w:p>
        </w:tc>
        <w:tc>
          <w:tcPr>
            <w:tcW w:w="1790" w:type="dxa"/>
            <w:vMerge w:val="restart"/>
            <w:vAlign w:val="center"/>
          </w:tcPr>
          <w:p>
            <w:pPr>
              <w:tabs>
                <w:tab w:val="left" w:pos="761"/>
                <w:tab w:val="left" w:pos="1662"/>
                <w:tab w:val="left" w:pos="3363"/>
                <w:tab w:val="left" w:pos="3887"/>
                <w:tab w:val="left" w:pos="9649"/>
              </w:tabs>
              <w:ind w:left="227"/>
              <w:jc w:val="center"/>
              <w:rPr>
                <w:rFonts w:ascii="宋体" w:cs="宋体"/>
                <w:sz w:val="24"/>
                <w:szCs w:val="24"/>
              </w:rPr>
            </w:pPr>
            <w:r>
              <w:rPr>
                <w:rFonts w:hint="eastAsia" w:ascii="宋体" w:hAnsi="宋体" w:cs="宋体"/>
                <w:sz w:val="24"/>
                <w:szCs w:val="24"/>
              </w:rPr>
              <w:t>项目负责人及技术负责人</w:t>
            </w:r>
          </w:p>
        </w:tc>
        <w:tc>
          <w:tcPr>
            <w:tcW w:w="625" w:type="dxa"/>
            <w:vAlign w:val="center"/>
          </w:tcPr>
          <w:p>
            <w:pPr>
              <w:tabs>
                <w:tab w:val="left" w:pos="761"/>
                <w:tab w:val="left" w:pos="1662"/>
                <w:tab w:val="left" w:pos="3363"/>
                <w:tab w:val="left" w:pos="3887"/>
                <w:tab w:val="left" w:pos="9649"/>
              </w:tabs>
              <w:jc w:val="center"/>
              <w:rPr>
                <w:rFonts w:ascii="宋体" w:cs="宋体"/>
                <w:sz w:val="24"/>
                <w:szCs w:val="24"/>
              </w:rPr>
            </w:pPr>
            <w:r>
              <w:rPr>
                <w:rFonts w:ascii="宋体" w:cs="宋体"/>
                <w:sz w:val="24"/>
                <w:szCs w:val="24"/>
              </w:rPr>
              <w:t>0-</w:t>
            </w:r>
            <w:r>
              <w:rPr>
                <w:rFonts w:ascii="宋体" w:hAnsi="宋体" w:cs="宋体"/>
                <w:sz w:val="24"/>
                <w:szCs w:val="24"/>
              </w:rPr>
              <w:t>3</w:t>
            </w:r>
          </w:p>
        </w:tc>
        <w:tc>
          <w:tcPr>
            <w:tcW w:w="6797" w:type="dxa"/>
            <w:vAlign w:val="center"/>
          </w:tcPr>
          <w:p>
            <w:pPr>
              <w:tabs>
                <w:tab w:val="left" w:pos="761"/>
                <w:tab w:val="left" w:pos="1662"/>
                <w:tab w:val="left" w:pos="3363"/>
                <w:tab w:val="left" w:pos="3887"/>
                <w:tab w:val="left" w:pos="9649"/>
              </w:tabs>
              <w:ind w:left="43"/>
              <w:rPr>
                <w:rFonts w:ascii="宋体" w:cs="宋体"/>
                <w:sz w:val="24"/>
                <w:szCs w:val="24"/>
              </w:rPr>
            </w:pPr>
            <w:r>
              <w:rPr>
                <w:rFonts w:hint="eastAsia" w:ascii="宋体" w:hAnsi="宋体" w:cs="宋体"/>
                <w:sz w:val="24"/>
                <w:szCs w:val="24"/>
              </w:rPr>
              <w:t>项目技术负责人中级及以上职称证书复印件，证件齐全得</w:t>
            </w:r>
            <w:r>
              <w:rPr>
                <w:rFonts w:ascii="宋体" w:hAnsi="宋体" w:cs="宋体"/>
                <w:sz w:val="24"/>
                <w:szCs w:val="24"/>
              </w:rPr>
              <w:t>3</w:t>
            </w:r>
            <w:r>
              <w:rPr>
                <w:rFonts w:hint="eastAsia" w:ascii="宋体" w:hAnsi="宋体" w:cs="宋体"/>
                <w:sz w:val="24"/>
                <w:szCs w:val="24"/>
              </w:rPr>
              <w:t>分，不全酌情扣分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566" w:type="dxa"/>
            <w:vMerge w:val="continue"/>
            <w:vAlign w:val="center"/>
          </w:tcPr>
          <w:p>
            <w:pPr>
              <w:tabs>
                <w:tab w:val="left" w:pos="761"/>
                <w:tab w:val="left" w:pos="1662"/>
                <w:tab w:val="left" w:pos="3363"/>
                <w:tab w:val="left" w:pos="3887"/>
                <w:tab w:val="left" w:pos="9649"/>
              </w:tabs>
              <w:jc w:val="center"/>
              <w:rPr>
                <w:rFonts w:ascii="宋体" w:cs="宋体"/>
                <w:sz w:val="24"/>
                <w:szCs w:val="24"/>
              </w:rPr>
            </w:pPr>
          </w:p>
        </w:tc>
        <w:tc>
          <w:tcPr>
            <w:tcW w:w="1790" w:type="dxa"/>
            <w:vMerge w:val="continue"/>
            <w:vAlign w:val="center"/>
          </w:tcPr>
          <w:p>
            <w:pPr>
              <w:tabs>
                <w:tab w:val="left" w:pos="761"/>
                <w:tab w:val="left" w:pos="1662"/>
                <w:tab w:val="left" w:pos="3363"/>
                <w:tab w:val="left" w:pos="3887"/>
                <w:tab w:val="left" w:pos="9649"/>
              </w:tabs>
              <w:jc w:val="center"/>
              <w:rPr>
                <w:rFonts w:ascii="宋体" w:cs="宋体"/>
                <w:sz w:val="24"/>
                <w:szCs w:val="24"/>
              </w:rPr>
            </w:pPr>
          </w:p>
        </w:tc>
        <w:tc>
          <w:tcPr>
            <w:tcW w:w="625" w:type="dxa"/>
            <w:vAlign w:val="center"/>
          </w:tcPr>
          <w:p>
            <w:pPr>
              <w:tabs>
                <w:tab w:val="left" w:pos="761"/>
                <w:tab w:val="left" w:pos="1662"/>
                <w:tab w:val="left" w:pos="3363"/>
                <w:tab w:val="left" w:pos="3887"/>
                <w:tab w:val="left" w:pos="9649"/>
              </w:tabs>
              <w:jc w:val="center"/>
              <w:rPr>
                <w:rFonts w:ascii="宋体" w:cs="宋体"/>
                <w:sz w:val="24"/>
                <w:szCs w:val="24"/>
              </w:rPr>
            </w:pPr>
            <w:r>
              <w:rPr>
                <w:rFonts w:ascii="宋体" w:cs="宋体"/>
                <w:sz w:val="24"/>
                <w:szCs w:val="24"/>
              </w:rPr>
              <w:t>0-</w:t>
            </w:r>
            <w:r>
              <w:rPr>
                <w:rFonts w:ascii="宋体" w:hAnsi="宋体" w:cs="宋体"/>
                <w:sz w:val="24"/>
                <w:szCs w:val="24"/>
              </w:rPr>
              <w:t>2</w:t>
            </w:r>
          </w:p>
        </w:tc>
        <w:tc>
          <w:tcPr>
            <w:tcW w:w="6797" w:type="dxa"/>
            <w:vAlign w:val="center"/>
          </w:tcPr>
          <w:p>
            <w:pPr>
              <w:tabs>
                <w:tab w:val="left" w:pos="761"/>
                <w:tab w:val="left" w:pos="1662"/>
                <w:tab w:val="left" w:pos="3363"/>
                <w:tab w:val="left" w:pos="3887"/>
                <w:tab w:val="left" w:pos="9649"/>
              </w:tabs>
              <w:jc w:val="left"/>
              <w:rPr>
                <w:rFonts w:ascii="宋体" w:cs="宋体"/>
                <w:sz w:val="24"/>
                <w:szCs w:val="24"/>
              </w:rPr>
            </w:pPr>
            <w:r>
              <w:rPr>
                <w:rFonts w:hint="eastAsia" w:ascii="宋体" w:hAnsi="宋体" w:cs="宋体"/>
                <w:sz w:val="24"/>
                <w:szCs w:val="24"/>
              </w:rPr>
              <w:t>项目负责人注册建造师自我</w:t>
            </w:r>
            <w:r>
              <w:rPr>
                <w:rFonts w:hint="eastAsia" w:ascii="宋体" w:hAnsi="宋体" w:cs="宋体"/>
                <w:color w:val="000000"/>
                <w:sz w:val="24"/>
                <w:szCs w:val="24"/>
              </w:rPr>
              <w:t>简介、项目经理类似业绩及承揽工程饱和度，简介内容优秀，类似工</w:t>
            </w:r>
            <w:r>
              <w:rPr>
                <w:rFonts w:hint="eastAsia" w:ascii="宋体" w:hAnsi="宋体" w:cs="宋体"/>
                <w:sz w:val="24"/>
                <w:szCs w:val="24"/>
              </w:rPr>
              <w:t>程较多得</w:t>
            </w:r>
            <w:r>
              <w:rPr>
                <w:rFonts w:ascii="宋体" w:hAnsi="宋体" w:cs="宋体"/>
                <w:sz w:val="24"/>
                <w:szCs w:val="24"/>
              </w:rPr>
              <w:t>2</w:t>
            </w:r>
            <w:r>
              <w:rPr>
                <w:rFonts w:hint="eastAsia" w:ascii="宋体" w:hAnsi="宋体" w:cs="宋体"/>
                <w:sz w:val="24"/>
                <w:szCs w:val="24"/>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trPr>
        <w:tc>
          <w:tcPr>
            <w:tcW w:w="566" w:type="dxa"/>
            <w:vAlign w:val="center"/>
          </w:tcPr>
          <w:p>
            <w:pPr>
              <w:tabs>
                <w:tab w:val="left" w:pos="741"/>
                <w:tab w:val="left" w:pos="1642"/>
                <w:tab w:val="left" w:pos="3363"/>
                <w:tab w:val="left" w:pos="3887"/>
                <w:tab w:val="left" w:pos="9649"/>
              </w:tabs>
              <w:jc w:val="center"/>
              <w:rPr>
                <w:rFonts w:ascii="宋体" w:cs="宋体"/>
                <w:sz w:val="24"/>
                <w:szCs w:val="24"/>
              </w:rPr>
            </w:pPr>
            <w:r>
              <w:rPr>
                <w:rFonts w:ascii="宋体" w:hAnsi="宋体" w:cs="宋体"/>
                <w:sz w:val="24"/>
                <w:szCs w:val="24"/>
              </w:rPr>
              <w:t>2</w:t>
            </w:r>
          </w:p>
        </w:tc>
        <w:tc>
          <w:tcPr>
            <w:tcW w:w="1790" w:type="dxa"/>
            <w:vAlign w:val="center"/>
          </w:tcPr>
          <w:p>
            <w:pPr>
              <w:tabs>
                <w:tab w:val="left" w:pos="741"/>
                <w:tab w:val="left" w:pos="1642"/>
                <w:tab w:val="left" w:pos="3363"/>
                <w:tab w:val="left" w:pos="3887"/>
                <w:tab w:val="left" w:pos="9649"/>
              </w:tabs>
              <w:jc w:val="center"/>
              <w:rPr>
                <w:rFonts w:ascii="宋体" w:cs="宋体"/>
                <w:sz w:val="24"/>
                <w:szCs w:val="24"/>
              </w:rPr>
            </w:pPr>
            <w:r>
              <w:rPr>
                <w:rFonts w:hint="eastAsia" w:ascii="宋体" w:hAnsi="宋体" w:cs="宋体"/>
                <w:sz w:val="24"/>
                <w:szCs w:val="24"/>
              </w:rPr>
              <w:t>项目管理人员组成</w:t>
            </w:r>
          </w:p>
        </w:tc>
        <w:tc>
          <w:tcPr>
            <w:tcW w:w="625" w:type="dxa"/>
            <w:vAlign w:val="center"/>
          </w:tcPr>
          <w:p>
            <w:pPr>
              <w:tabs>
                <w:tab w:val="left" w:pos="741"/>
                <w:tab w:val="left" w:pos="1642"/>
                <w:tab w:val="left" w:pos="3363"/>
                <w:tab w:val="left" w:pos="3887"/>
                <w:tab w:val="left" w:pos="9649"/>
              </w:tabs>
              <w:jc w:val="center"/>
              <w:rPr>
                <w:rFonts w:ascii="宋体" w:cs="宋体"/>
                <w:sz w:val="24"/>
                <w:szCs w:val="24"/>
              </w:rPr>
            </w:pPr>
            <w:r>
              <w:rPr>
                <w:rFonts w:ascii="宋体" w:cs="宋体"/>
                <w:sz w:val="24"/>
                <w:szCs w:val="24"/>
              </w:rPr>
              <w:t>0-</w:t>
            </w:r>
            <w:r>
              <w:rPr>
                <w:rFonts w:ascii="宋体" w:hAnsi="宋体" w:cs="宋体"/>
                <w:sz w:val="24"/>
                <w:szCs w:val="24"/>
              </w:rPr>
              <w:t>5</w:t>
            </w:r>
          </w:p>
        </w:tc>
        <w:tc>
          <w:tcPr>
            <w:tcW w:w="6797" w:type="dxa"/>
            <w:vAlign w:val="center"/>
          </w:tcPr>
          <w:p>
            <w:pPr>
              <w:pStyle w:val="39"/>
              <w:numPr>
                <w:ilvl w:val="0"/>
                <w:numId w:val="6"/>
              </w:numPr>
              <w:spacing w:line="280" w:lineRule="exact"/>
              <w:textAlignment w:val="center"/>
              <w:rPr>
                <w:rFonts w:ascii="宋体" w:cs="宋体"/>
                <w:snapToGrid w:val="0"/>
                <w:sz w:val="24"/>
                <w:szCs w:val="24"/>
              </w:rPr>
            </w:pPr>
            <w:r>
              <w:rPr>
                <w:rFonts w:hint="eastAsia" w:ascii="宋体" w:hAnsi="宋体" w:cs="宋体"/>
                <w:sz w:val="24"/>
                <w:szCs w:val="24"/>
              </w:rPr>
              <w:t>根据对各投标单位所提供的专业技术服务人员团队成员及外部专家</w:t>
            </w:r>
            <w:r>
              <w:rPr>
                <w:rFonts w:hint="eastAsia" w:ascii="宋体" w:hAnsi="宋体" w:cs="宋体"/>
                <w:kern w:val="1"/>
                <w:sz w:val="24"/>
                <w:szCs w:val="24"/>
              </w:rPr>
              <w:t>顾问</w:t>
            </w:r>
            <w:r>
              <w:rPr>
                <w:rFonts w:hint="eastAsia" w:ascii="宋体" w:hAnsi="宋体" w:cs="宋体"/>
                <w:sz w:val="24"/>
                <w:szCs w:val="24"/>
              </w:rPr>
              <w:t>团队的</w:t>
            </w:r>
            <w:r>
              <w:rPr>
                <w:rFonts w:hint="eastAsia" w:ascii="宋体" w:hAnsi="宋体" w:cs="宋体"/>
                <w:snapToGrid w:val="0"/>
                <w:sz w:val="24"/>
                <w:szCs w:val="24"/>
              </w:rPr>
              <w:t>人员在数量</w:t>
            </w:r>
            <w:r>
              <w:rPr>
                <w:rFonts w:hint="eastAsia" w:ascii="宋体" w:hAnsi="宋体" w:cs="宋体"/>
                <w:kern w:val="1"/>
                <w:sz w:val="24"/>
                <w:szCs w:val="24"/>
              </w:rPr>
              <w:t>、</w:t>
            </w:r>
            <w:r>
              <w:rPr>
                <w:rFonts w:hint="eastAsia" w:ascii="宋体" w:hAnsi="宋体" w:cs="宋体"/>
                <w:snapToGrid w:val="0"/>
                <w:sz w:val="24"/>
                <w:szCs w:val="24"/>
              </w:rPr>
              <w:t>专业性范围、</w:t>
            </w:r>
            <w:r>
              <w:rPr>
                <w:rFonts w:hint="eastAsia" w:ascii="宋体" w:hAnsi="宋体" w:cs="宋体"/>
                <w:kern w:val="1"/>
                <w:sz w:val="24"/>
                <w:szCs w:val="24"/>
              </w:rPr>
              <w:t>人员</w:t>
            </w:r>
            <w:r>
              <w:rPr>
                <w:rFonts w:hint="eastAsia" w:ascii="宋体" w:hAnsi="宋体" w:cs="宋体"/>
                <w:snapToGrid w:val="0"/>
                <w:sz w:val="24"/>
                <w:szCs w:val="24"/>
              </w:rPr>
              <w:t>资格、</w:t>
            </w:r>
            <w:r>
              <w:rPr>
                <w:rFonts w:hint="eastAsia" w:ascii="宋体" w:hAnsi="宋体" w:cs="宋体"/>
                <w:sz w:val="24"/>
                <w:szCs w:val="24"/>
              </w:rPr>
              <w:t>实操经验</w:t>
            </w:r>
            <w:r>
              <w:rPr>
                <w:rFonts w:hint="eastAsia" w:ascii="宋体" w:hAnsi="宋体" w:cs="宋体"/>
                <w:snapToGrid w:val="0"/>
                <w:sz w:val="24"/>
                <w:szCs w:val="24"/>
              </w:rPr>
              <w:t>能力等</w:t>
            </w:r>
            <w:r>
              <w:rPr>
                <w:rFonts w:hint="eastAsia" w:ascii="宋体" w:hAnsi="宋体" w:cs="宋体"/>
                <w:kern w:val="1"/>
                <w:sz w:val="24"/>
                <w:szCs w:val="24"/>
              </w:rPr>
              <w:t>是否满足本项目要求</w:t>
            </w:r>
            <w:r>
              <w:rPr>
                <w:rFonts w:hint="eastAsia" w:ascii="宋体" w:hAnsi="宋体" w:cs="宋体"/>
                <w:snapToGrid w:val="0"/>
                <w:sz w:val="24"/>
                <w:szCs w:val="24"/>
              </w:rPr>
              <w:t>进行综合比较评审</w:t>
            </w:r>
            <w:r>
              <w:rPr>
                <w:rFonts w:hint="eastAsia" w:ascii="宋体" w:hAnsi="宋体" w:cs="宋体"/>
                <w:kern w:val="1"/>
                <w:sz w:val="24"/>
                <w:szCs w:val="24"/>
              </w:rPr>
              <w:t>。</w:t>
            </w:r>
          </w:p>
          <w:p>
            <w:pPr>
              <w:tabs>
                <w:tab w:val="left" w:pos="1642"/>
                <w:tab w:val="left" w:pos="3363"/>
                <w:tab w:val="left" w:pos="3887"/>
                <w:tab w:val="left" w:pos="9649"/>
              </w:tabs>
              <w:ind w:left="43"/>
              <w:rPr>
                <w:rFonts w:ascii="宋体" w:cs="宋体"/>
                <w:sz w:val="24"/>
                <w:szCs w:val="24"/>
              </w:rPr>
            </w:pPr>
            <w:r>
              <w:rPr>
                <w:rFonts w:ascii="宋体" w:hAnsi="宋体" w:cs="宋体"/>
                <w:snapToGrid w:val="0"/>
                <w:sz w:val="24"/>
                <w:szCs w:val="24"/>
              </w:rPr>
              <w:t>2</w:t>
            </w:r>
            <w:r>
              <w:rPr>
                <w:rFonts w:hint="eastAsia" w:ascii="宋体" w:hAnsi="宋体" w:cs="宋体"/>
                <w:snapToGrid w:val="0"/>
                <w:sz w:val="24"/>
                <w:szCs w:val="24"/>
              </w:rPr>
              <w:t>、对各投标单位所提供的团队专业人员的执业资格证书、职称证书、复印件齐全等情况进行综合比较评审</w:t>
            </w:r>
            <w:r>
              <w:rPr>
                <w:rFonts w:hint="eastAsia" w:ascii="宋体" w:hAnsi="宋体" w:cs="宋体"/>
                <w:kern w:val="1"/>
                <w:sz w:val="24"/>
                <w:szCs w:val="24"/>
              </w:rPr>
              <w:t>。</w:t>
            </w:r>
            <w:r>
              <w:rPr>
                <w:rFonts w:hint="eastAsia" w:ascii="宋体" w:hAnsi="宋体" w:cs="宋体"/>
                <w:snapToGrid w:val="0"/>
                <w:sz w:val="24"/>
                <w:szCs w:val="24"/>
              </w:rPr>
              <w:t>不齐全的酌情扣分。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566" w:type="dxa"/>
            <w:vAlign w:val="center"/>
          </w:tcPr>
          <w:p>
            <w:pPr>
              <w:spacing w:line="280" w:lineRule="exact"/>
              <w:jc w:val="center"/>
              <w:rPr>
                <w:rFonts w:ascii="宋体" w:cs="宋体"/>
                <w:sz w:val="24"/>
                <w:szCs w:val="24"/>
              </w:rPr>
            </w:pPr>
            <w:r>
              <w:rPr>
                <w:rFonts w:ascii="宋体" w:hAnsi="宋体" w:cs="宋体"/>
                <w:sz w:val="24"/>
                <w:szCs w:val="24"/>
              </w:rPr>
              <w:t>3</w:t>
            </w:r>
          </w:p>
        </w:tc>
        <w:tc>
          <w:tcPr>
            <w:tcW w:w="1790" w:type="dxa"/>
            <w:vAlign w:val="center"/>
          </w:tcPr>
          <w:p>
            <w:pPr>
              <w:spacing w:line="280" w:lineRule="exact"/>
              <w:jc w:val="center"/>
              <w:rPr>
                <w:rFonts w:ascii="宋体" w:cs="宋体"/>
                <w:sz w:val="24"/>
                <w:szCs w:val="24"/>
              </w:rPr>
            </w:pPr>
            <w:r>
              <w:rPr>
                <w:rFonts w:hint="eastAsia" w:ascii="宋体" w:hAnsi="宋体" w:cs="宋体"/>
                <w:sz w:val="24"/>
                <w:szCs w:val="24"/>
              </w:rPr>
              <w:t>财务状况</w:t>
            </w:r>
          </w:p>
        </w:tc>
        <w:tc>
          <w:tcPr>
            <w:tcW w:w="625" w:type="dxa"/>
            <w:vAlign w:val="center"/>
          </w:tcPr>
          <w:p>
            <w:pPr>
              <w:widowControl/>
              <w:spacing w:line="280" w:lineRule="exact"/>
              <w:jc w:val="center"/>
              <w:rPr>
                <w:rFonts w:ascii="宋体" w:cs="宋体"/>
                <w:sz w:val="24"/>
                <w:szCs w:val="24"/>
              </w:rPr>
            </w:pPr>
            <w:r>
              <w:rPr>
                <w:rFonts w:ascii="宋体" w:cs="宋体"/>
                <w:sz w:val="24"/>
                <w:szCs w:val="24"/>
              </w:rPr>
              <w:t>0-</w:t>
            </w:r>
            <w:r>
              <w:rPr>
                <w:rFonts w:ascii="宋体" w:hAnsi="宋体" w:cs="宋体"/>
                <w:sz w:val="24"/>
                <w:szCs w:val="24"/>
              </w:rPr>
              <w:t>5</w:t>
            </w:r>
          </w:p>
        </w:tc>
        <w:tc>
          <w:tcPr>
            <w:tcW w:w="6797" w:type="dxa"/>
            <w:vAlign w:val="center"/>
          </w:tcPr>
          <w:p>
            <w:pPr>
              <w:pStyle w:val="39"/>
              <w:spacing w:line="280" w:lineRule="exact"/>
              <w:textAlignment w:val="center"/>
              <w:rPr>
                <w:rFonts w:ascii="宋体" w:cs="宋体"/>
                <w:sz w:val="24"/>
                <w:szCs w:val="24"/>
              </w:rPr>
            </w:pPr>
            <w:r>
              <w:rPr>
                <w:rFonts w:hint="eastAsia" w:ascii="宋体" w:hAnsi="宋体" w:cs="宋体"/>
                <w:sz w:val="24"/>
                <w:szCs w:val="24"/>
              </w:rPr>
              <w:t>根据企业所提供的第三方审计报告及纳税情况等企业经营状况进行综合考量打分。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66" w:type="dxa"/>
            <w:vAlign w:val="center"/>
          </w:tcPr>
          <w:p>
            <w:pPr>
              <w:spacing w:line="280" w:lineRule="exact"/>
              <w:jc w:val="center"/>
              <w:rPr>
                <w:rFonts w:hint="eastAsia" w:ascii="宋体" w:eastAsia="宋体" w:cs="宋体"/>
                <w:sz w:val="24"/>
                <w:szCs w:val="24"/>
                <w:lang w:eastAsia="zh-CN"/>
              </w:rPr>
            </w:pPr>
            <w:r>
              <w:rPr>
                <w:rFonts w:hint="eastAsia" w:ascii="宋体" w:hAnsi="宋体" w:cs="宋体"/>
                <w:sz w:val="24"/>
                <w:szCs w:val="24"/>
                <w:lang w:val="en-US" w:eastAsia="zh-CN"/>
              </w:rPr>
              <w:t>4</w:t>
            </w:r>
          </w:p>
        </w:tc>
        <w:tc>
          <w:tcPr>
            <w:tcW w:w="1790" w:type="dxa"/>
            <w:vAlign w:val="center"/>
          </w:tcPr>
          <w:p>
            <w:pPr>
              <w:spacing w:line="280" w:lineRule="exact"/>
              <w:jc w:val="center"/>
              <w:rPr>
                <w:rFonts w:ascii="宋体" w:cs="宋体"/>
                <w:sz w:val="24"/>
                <w:szCs w:val="24"/>
              </w:rPr>
            </w:pPr>
            <w:r>
              <w:rPr>
                <w:rFonts w:hint="eastAsia" w:ascii="宋体" w:hAnsi="宋体" w:cs="宋体"/>
                <w:sz w:val="24"/>
                <w:szCs w:val="24"/>
              </w:rPr>
              <w:t>标函质量</w:t>
            </w:r>
          </w:p>
        </w:tc>
        <w:tc>
          <w:tcPr>
            <w:tcW w:w="625" w:type="dxa"/>
            <w:vAlign w:val="center"/>
          </w:tcPr>
          <w:p>
            <w:pPr>
              <w:widowControl/>
              <w:spacing w:line="280" w:lineRule="exact"/>
              <w:jc w:val="center"/>
              <w:rPr>
                <w:rFonts w:ascii="宋体" w:cs="宋体"/>
                <w:sz w:val="24"/>
                <w:szCs w:val="24"/>
              </w:rPr>
            </w:pPr>
            <w:r>
              <w:rPr>
                <w:rFonts w:ascii="宋体" w:cs="宋体"/>
                <w:sz w:val="24"/>
                <w:szCs w:val="24"/>
              </w:rPr>
              <w:t>0-</w:t>
            </w:r>
            <w:r>
              <w:rPr>
                <w:rFonts w:ascii="宋体" w:hAnsi="宋体" w:cs="宋体"/>
                <w:sz w:val="24"/>
                <w:szCs w:val="24"/>
              </w:rPr>
              <w:t>5</w:t>
            </w:r>
          </w:p>
        </w:tc>
        <w:tc>
          <w:tcPr>
            <w:tcW w:w="6797" w:type="dxa"/>
            <w:vAlign w:val="center"/>
          </w:tcPr>
          <w:p>
            <w:pPr>
              <w:pStyle w:val="39"/>
              <w:spacing w:line="280" w:lineRule="exact"/>
              <w:textAlignment w:val="center"/>
              <w:rPr>
                <w:rFonts w:ascii="宋体" w:cs="宋体"/>
                <w:sz w:val="24"/>
                <w:szCs w:val="24"/>
              </w:rPr>
            </w:pPr>
            <w:r>
              <w:rPr>
                <w:rFonts w:hint="eastAsia" w:ascii="宋体" w:hAnsi="宋体" w:cs="宋体"/>
                <w:sz w:val="24"/>
                <w:szCs w:val="24"/>
              </w:rPr>
              <w:t>印刷、装订、目录、页码标识、错漏字、内容一致性酌情给分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778" w:type="dxa"/>
            <w:gridSpan w:val="4"/>
            <w:vAlign w:val="center"/>
          </w:tcPr>
          <w:p>
            <w:pPr>
              <w:widowControl/>
              <w:spacing w:line="360" w:lineRule="auto"/>
              <w:contextualSpacing/>
              <w:jc w:val="left"/>
              <w:rPr>
                <w:rFonts w:ascii="宋体" w:cs="宋体"/>
                <w:sz w:val="24"/>
                <w:szCs w:val="24"/>
              </w:rPr>
            </w:pPr>
            <w:r>
              <w:rPr>
                <w:rFonts w:hint="eastAsia" w:ascii="宋体" w:hAnsi="宋体" w:cs="宋体"/>
                <w:b/>
                <w:bCs/>
                <w:sz w:val="24"/>
                <w:szCs w:val="24"/>
              </w:rPr>
              <w:t>三、技术标（</w:t>
            </w:r>
            <w:r>
              <w:rPr>
                <w:rFonts w:hint="eastAsia" w:ascii="宋体" w:hAnsi="宋体" w:cs="宋体"/>
                <w:b/>
                <w:bCs/>
                <w:sz w:val="24"/>
                <w:szCs w:val="24"/>
                <w:lang w:val="en-US" w:eastAsia="zh-CN"/>
              </w:rPr>
              <w:t>5</w:t>
            </w:r>
            <w:r>
              <w:rPr>
                <w:rFonts w:ascii="宋体" w:hAnsi="宋体" w:cs="宋体"/>
                <w:b/>
                <w:bCs/>
                <w:sz w:val="24"/>
                <w:szCs w:val="24"/>
              </w:rPr>
              <w:t>0</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blHeader/>
        </w:trPr>
        <w:tc>
          <w:tcPr>
            <w:tcW w:w="566" w:type="dxa"/>
            <w:vAlign w:val="center"/>
          </w:tcPr>
          <w:p>
            <w:pPr>
              <w:tabs>
                <w:tab w:val="left" w:pos="749"/>
                <w:tab w:val="left" w:pos="3346"/>
                <w:tab w:val="left" w:pos="3873"/>
                <w:tab w:val="left" w:pos="9611"/>
              </w:tabs>
              <w:rPr>
                <w:rFonts w:ascii="宋体" w:cs="宋体"/>
                <w:sz w:val="24"/>
                <w:szCs w:val="24"/>
              </w:rPr>
            </w:pPr>
            <w:r>
              <w:rPr>
                <w:rFonts w:hint="eastAsia" w:ascii="宋体" w:hAnsi="宋体" w:cs="宋体"/>
                <w:sz w:val="24"/>
                <w:szCs w:val="24"/>
              </w:rPr>
              <w:t>序号</w:t>
            </w:r>
          </w:p>
        </w:tc>
        <w:tc>
          <w:tcPr>
            <w:tcW w:w="1790" w:type="dxa"/>
            <w:vAlign w:val="center"/>
          </w:tcPr>
          <w:p>
            <w:pPr>
              <w:tabs>
                <w:tab w:val="left" w:pos="749"/>
                <w:tab w:val="left" w:pos="3346"/>
                <w:tab w:val="left" w:pos="3873"/>
                <w:tab w:val="left" w:pos="9611"/>
              </w:tabs>
              <w:rPr>
                <w:rFonts w:ascii="宋体" w:cs="宋体"/>
                <w:sz w:val="24"/>
                <w:szCs w:val="24"/>
              </w:rPr>
            </w:pPr>
            <w:r>
              <w:rPr>
                <w:rFonts w:hint="eastAsia" w:ascii="宋体" w:hAnsi="宋体" w:cs="宋体"/>
                <w:sz w:val="24"/>
                <w:szCs w:val="24"/>
              </w:rPr>
              <w:t>评审项目</w:t>
            </w:r>
          </w:p>
        </w:tc>
        <w:tc>
          <w:tcPr>
            <w:tcW w:w="625" w:type="dxa"/>
            <w:vAlign w:val="center"/>
          </w:tcPr>
          <w:p>
            <w:pPr>
              <w:tabs>
                <w:tab w:val="left" w:pos="749"/>
                <w:tab w:val="left" w:pos="3346"/>
                <w:tab w:val="left" w:pos="3873"/>
                <w:tab w:val="left" w:pos="9611"/>
              </w:tabs>
              <w:jc w:val="center"/>
              <w:rPr>
                <w:rFonts w:ascii="宋体" w:cs="宋体"/>
                <w:sz w:val="24"/>
                <w:szCs w:val="24"/>
              </w:rPr>
            </w:pPr>
            <w:r>
              <w:rPr>
                <w:rFonts w:hint="eastAsia" w:ascii="宋体" w:hAnsi="宋体" w:cs="宋体"/>
                <w:sz w:val="24"/>
                <w:szCs w:val="24"/>
              </w:rPr>
              <w:t>分值</w:t>
            </w:r>
          </w:p>
        </w:tc>
        <w:tc>
          <w:tcPr>
            <w:tcW w:w="6797" w:type="dxa"/>
            <w:vAlign w:val="center"/>
          </w:tcPr>
          <w:p>
            <w:pPr>
              <w:tabs>
                <w:tab w:val="left" w:pos="749"/>
                <w:tab w:val="left" w:pos="3346"/>
                <w:tab w:val="left" w:pos="3873"/>
                <w:tab w:val="left" w:pos="9611"/>
              </w:tabs>
              <w:jc w:val="center"/>
              <w:rPr>
                <w:rFonts w:ascii="宋体" w:cs="宋体"/>
                <w:sz w:val="24"/>
                <w:szCs w:val="24"/>
              </w:rPr>
            </w:pPr>
            <w:r>
              <w:rPr>
                <w:rFonts w:hint="eastAsia" w:ascii="宋体" w:hAnsi="宋体" w:cs="宋体"/>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1</w:t>
            </w:r>
          </w:p>
        </w:tc>
        <w:tc>
          <w:tcPr>
            <w:tcW w:w="1790"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工程概况及特点</w:t>
            </w:r>
          </w:p>
        </w:tc>
        <w:tc>
          <w:tcPr>
            <w:tcW w:w="625"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0-2</w:t>
            </w:r>
          </w:p>
        </w:tc>
        <w:tc>
          <w:tcPr>
            <w:tcW w:w="6797" w:type="dxa"/>
            <w:vAlign w:val="center"/>
          </w:tcPr>
          <w:p>
            <w:pPr>
              <w:spacing w:line="360" w:lineRule="exact"/>
              <w:rPr>
                <w:rFonts w:ascii="宋体" w:cs="宋体"/>
                <w:sz w:val="24"/>
                <w:szCs w:val="24"/>
              </w:rPr>
            </w:pPr>
            <w:r>
              <w:rPr>
                <w:rFonts w:hint="eastAsia" w:asciiTheme="minorEastAsia" w:hAnsiTheme="minorEastAsia" w:eastAsiaTheme="minorEastAsia" w:cstheme="minorEastAsia"/>
                <w:sz w:val="24"/>
                <w:szCs w:val="24"/>
              </w:rPr>
              <w:t>工程概况及特点叙述正确，符合实际得2分，否则酌情扣分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2</w:t>
            </w:r>
          </w:p>
        </w:tc>
        <w:tc>
          <w:tcPr>
            <w:tcW w:w="1790" w:type="dxa"/>
            <w:vAlign w:val="center"/>
          </w:tcPr>
          <w:p>
            <w:pPr>
              <w:spacing w:line="36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施工准备</w:t>
            </w:r>
          </w:p>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计划</w:t>
            </w:r>
          </w:p>
        </w:tc>
        <w:tc>
          <w:tcPr>
            <w:tcW w:w="625"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0-2</w:t>
            </w:r>
          </w:p>
        </w:tc>
        <w:tc>
          <w:tcPr>
            <w:tcW w:w="6797" w:type="dxa"/>
            <w:vAlign w:val="center"/>
          </w:tcPr>
          <w:p>
            <w:pPr>
              <w:spacing w:line="360" w:lineRule="exact"/>
              <w:rPr>
                <w:rFonts w:ascii="宋体" w:cs="宋体"/>
                <w:sz w:val="24"/>
                <w:szCs w:val="24"/>
              </w:rPr>
            </w:pPr>
            <w:r>
              <w:rPr>
                <w:rFonts w:hint="eastAsia" w:asciiTheme="minorEastAsia" w:hAnsiTheme="minorEastAsia" w:eastAsiaTheme="minorEastAsia" w:cstheme="minorEastAsia"/>
                <w:sz w:val="24"/>
                <w:szCs w:val="24"/>
              </w:rPr>
              <w:t>施工技术、现场、物资与机械、队伍准备计划应能充分保证工程需要得2分，否则酌情扣分。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3</w:t>
            </w:r>
          </w:p>
        </w:tc>
        <w:tc>
          <w:tcPr>
            <w:tcW w:w="1790"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施工方案</w:t>
            </w:r>
          </w:p>
        </w:tc>
        <w:tc>
          <w:tcPr>
            <w:tcW w:w="625"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0-20</w:t>
            </w:r>
          </w:p>
        </w:tc>
        <w:tc>
          <w:tcPr>
            <w:tcW w:w="6797" w:type="dxa"/>
            <w:vAlign w:val="center"/>
          </w:tcPr>
          <w:p>
            <w:pPr>
              <w:spacing w:line="360" w:lineRule="exact"/>
              <w:rPr>
                <w:rFonts w:ascii="宋体" w:cs="宋体"/>
                <w:sz w:val="24"/>
                <w:szCs w:val="24"/>
              </w:rPr>
            </w:pPr>
            <w:r>
              <w:rPr>
                <w:rFonts w:hint="eastAsia" w:asciiTheme="minorEastAsia" w:hAnsiTheme="minorEastAsia" w:eastAsiaTheme="minorEastAsia" w:cstheme="minorEastAsia"/>
                <w:sz w:val="24"/>
                <w:szCs w:val="24"/>
              </w:rPr>
              <w:t>施工方案应能符合工程实际情况，提高生产率、缩短工期、提高质量、降低消耗，优得14-20分，良好得7-13分，较差0-6分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4</w:t>
            </w:r>
          </w:p>
        </w:tc>
        <w:tc>
          <w:tcPr>
            <w:tcW w:w="1790" w:type="dxa"/>
            <w:vAlign w:val="center"/>
          </w:tcPr>
          <w:p>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施工进度</w:t>
            </w:r>
          </w:p>
          <w:p>
            <w:pPr>
              <w:spacing w:line="360" w:lineRule="exact"/>
              <w:jc w:val="center"/>
              <w:rPr>
                <w:rFonts w:ascii="宋体" w:cs="宋体"/>
                <w:bCs/>
                <w:sz w:val="24"/>
                <w:szCs w:val="24"/>
              </w:rPr>
            </w:pPr>
            <w:r>
              <w:rPr>
                <w:rFonts w:hint="eastAsia" w:asciiTheme="minorEastAsia" w:hAnsiTheme="minorEastAsia" w:eastAsiaTheme="minorEastAsia" w:cstheme="minorEastAsia"/>
                <w:sz w:val="24"/>
                <w:szCs w:val="24"/>
              </w:rPr>
              <w:t>计划</w:t>
            </w:r>
          </w:p>
        </w:tc>
        <w:tc>
          <w:tcPr>
            <w:tcW w:w="625"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0-16</w:t>
            </w:r>
          </w:p>
        </w:tc>
        <w:tc>
          <w:tcPr>
            <w:tcW w:w="6797" w:type="dxa"/>
            <w:vAlign w:val="center"/>
          </w:tcPr>
          <w:p>
            <w:pPr>
              <w:spacing w:line="360" w:lineRule="exact"/>
              <w:rPr>
                <w:rFonts w:ascii="宋体" w:cs="宋体"/>
                <w:sz w:val="24"/>
                <w:szCs w:val="24"/>
              </w:rPr>
            </w:pPr>
            <w:r>
              <w:rPr>
                <w:rFonts w:hint="eastAsia" w:asciiTheme="minorEastAsia" w:hAnsiTheme="minorEastAsia" w:eastAsiaTheme="minorEastAsia" w:cstheme="minorEastAsia"/>
                <w:sz w:val="24"/>
                <w:szCs w:val="24"/>
              </w:rPr>
              <w:t>进度计划应在空间和时间上做合理的统筹安排且符合施工的科学规律，优得12-16分，良好得7-11分，较差0-6分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5</w:t>
            </w:r>
          </w:p>
        </w:tc>
        <w:tc>
          <w:tcPr>
            <w:tcW w:w="1790"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sz w:val="24"/>
                <w:szCs w:val="24"/>
              </w:rPr>
              <w:t>施工平面图</w:t>
            </w:r>
          </w:p>
        </w:tc>
        <w:tc>
          <w:tcPr>
            <w:tcW w:w="625"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0-7</w:t>
            </w:r>
          </w:p>
        </w:tc>
        <w:tc>
          <w:tcPr>
            <w:tcW w:w="6797" w:type="dxa"/>
            <w:vAlign w:val="center"/>
          </w:tcPr>
          <w:p>
            <w:pPr>
              <w:spacing w:line="360" w:lineRule="exact"/>
              <w:rPr>
                <w:rFonts w:ascii="宋体" w:cs="宋体"/>
                <w:sz w:val="24"/>
                <w:szCs w:val="24"/>
              </w:rPr>
            </w:pPr>
            <w:r>
              <w:rPr>
                <w:rFonts w:hint="eastAsia" w:asciiTheme="minorEastAsia" w:hAnsiTheme="minorEastAsia" w:eastAsiaTheme="minorEastAsia" w:cstheme="minorEastAsia"/>
                <w:sz w:val="24"/>
                <w:szCs w:val="24"/>
              </w:rPr>
              <w:t>施工平面图应符合工程实际，布置紧凑，便于施工和管理并符合劳保、安全要求。</w:t>
            </w:r>
            <w:r>
              <w:rPr>
                <w:rFonts w:hint="eastAsia" w:asciiTheme="minorEastAsia" w:hAnsiTheme="minorEastAsia" w:eastAsiaTheme="minorEastAsia" w:cstheme="minorEastAsia"/>
                <w:bCs/>
                <w:sz w:val="24"/>
                <w:szCs w:val="24"/>
              </w:rPr>
              <w:t>优得5-7分，良好得2-4分，较差0-1分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6</w:t>
            </w:r>
          </w:p>
        </w:tc>
        <w:tc>
          <w:tcPr>
            <w:tcW w:w="1790"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sz w:val="24"/>
                <w:szCs w:val="24"/>
              </w:rPr>
              <w:t>劳动力需用量计划</w:t>
            </w:r>
          </w:p>
        </w:tc>
        <w:tc>
          <w:tcPr>
            <w:tcW w:w="625"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0-6</w:t>
            </w:r>
          </w:p>
        </w:tc>
        <w:tc>
          <w:tcPr>
            <w:tcW w:w="6797" w:type="dxa"/>
            <w:vAlign w:val="center"/>
          </w:tcPr>
          <w:p>
            <w:pPr>
              <w:spacing w:line="360" w:lineRule="exact"/>
              <w:rPr>
                <w:rFonts w:ascii="宋体" w:cs="宋体"/>
                <w:sz w:val="24"/>
                <w:szCs w:val="24"/>
              </w:rPr>
            </w:pPr>
            <w:r>
              <w:rPr>
                <w:rFonts w:hint="eastAsia" w:asciiTheme="minorEastAsia" w:hAnsiTheme="minorEastAsia" w:eastAsiaTheme="minorEastAsia" w:cstheme="minorEastAsia"/>
                <w:sz w:val="24"/>
                <w:szCs w:val="24"/>
              </w:rPr>
              <w:t>需用量计划应是根据工程进度计划的安排计算出的，并与工程进度计划相一致。优得4-6分，良好得2-3分，较差0-1分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7</w:t>
            </w:r>
          </w:p>
        </w:tc>
        <w:tc>
          <w:tcPr>
            <w:tcW w:w="1790" w:type="dxa"/>
            <w:vAlign w:val="center"/>
          </w:tcPr>
          <w:p>
            <w:pPr>
              <w:spacing w:line="360" w:lineRule="exact"/>
              <w:jc w:val="center"/>
              <w:rPr>
                <w:rFonts w:ascii="宋体" w:cs="宋体"/>
                <w:sz w:val="24"/>
                <w:szCs w:val="24"/>
              </w:rPr>
            </w:pPr>
            <w:r>
              <w:rPr>
                <w:rFonts w:hint="eastAsia" w:asciiTheme="minorEastAsia" w:hAnsiTheme="minorEastAsia" w:eastAsiaTheme="minorEastAsia" w:cstheme="minorEastAsia"/>
                <w:bCs/>
                <w:sz w:val="24"/>
                <w:szCs w:val="24"/>
              </w:rPr>
              <w:t>质量保证措施和体系</w:t>
            </w:r>
          </w:p>
        </w:tc>
        <w:tc>
          <w:tcPr>
            <w:tcW w:w="625" w:type="dxa"/>
            <w:vMerge w:val="restart"/>
            <w:vAlign w:val="center"/>
          </w:tcPr>
          <w:p>
            <w:pPr>
              <w:spacing w:line="360" w:lineRule="exact"/>
              <w:jc w:val="center"/>
              <w:rPr>
                <w:rFonts w:ascii="宋体" w:cs="宋体"/>
                <w:color w:val="auto"/>
                <w:sz w:val="24"/>
                <w:szCs w:val="24"/>
              </w:rPr>
            </w:pPr>
            <w:r>
              <w:rPr>
                <w:rFonts w:hint="eastAsia" w:asciiTheme="minorEastAsia" w:hAnsiTheme="minorEastAsia" w:eastAsiaTheme="minorEastAsia" w:cstheme="minorEastAsia"/>
                <w:bCs/>
                <w:sz w:val="24"/>
                <w:szCs w:val="24"/>
              </w:rPr>
              <w:t>0-16</w:t>
            </w:r>
          </w:p>
        </w:tc>
        <w:tc>
          <w:tcPr>
            <w:tcW w:w="6797" w:type="dxa"/>
            <w:vMerge w:val="restart"/>
            <w:vAlign w:val="center"/>
          </w:tcPr>
          <w:p>
            <w:pPr>
              <w:spacing w:line="360" w:lineRule="exact"/>
              <w:rPr>
                <w:rFonts w:ascii="宋体" w:cs="宋体"/>
                <w:sz w:val="24"/>
                <w:szCs w:val="24"/>
              </w:rPr>
            </w:pPr>
            <w:r>
              <w:rPr>
                <w:rFonts w:hint="eastAsia" w:asciiTheme="minorEastAsia" w:hAnsiTheme="minorEastAsia" w:eastAsiaTheme="minorEastAsia" w:cstheme="minorEastAsia"/>
                <w:sz w:val="24"/>
                <w:szCs w:val="24"/>
              </w:rPr>
              <w:t>保证措施应符合科学的施工规律、国家规定的强制性标准并有针对性，同时要符合实际情况，切实可行</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8</w:t>
            </w:r>
          </w:p>
        </w:tc>
        <w:tc>
          <w:tcPr>
            <w:tcW w:w="1790"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工期保证措施和体系</w:t>
            </w:r>
          </w:p>
        </w:tc>
        <w:tc>
          <w:tcPr>
            <w:tcW w:w="625" w:type="dxa"/>
            <w:vMerge w:val="continue"/>
            <w:vAlign w:val="center"/>
          </w:tcPr>
          <w:p>
            <w:pPr>
              <w:spacing w:line="360" w:lineRule="exact"/>
              <w:jc w:val="center"/>
              <w:rPr>
                <w:rFonts w:ascii="宋体" w:cs="宋体"/>
                <w:bCs/>
                <w:sz w:val="24"/>
                <w:szCs w:val="24"/>
              </w:rPr>
            </w:pPr>
          </w:p>
        </w:tc>
        <w:tc>
          <w:tcPr>
            <w:tcW w:w="6797" w:type="dxa"/>
            <w:vMerge w:val="continue"/>
            <w:vAlign w:val="center"/>
          </w:tcPr>
          <w:p>
            <w:pPr>
              <w:spacing w:line="36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9</w:t>
            </w:r>
          </w:p>
        </w:tc>
        <w:tc>
          <w:tcPr>
            <w:tcW w:w="1790"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安全保证措施和体系</w:t>
            </w:r>
          </w:p>
        </w:tc>
        <w:tc>
          <w:tcPr>
            <w:tcW w:w="625"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0-15</w:t>
            </w:r>
          </w:p>
        </w:tc>
        <w:tc>
          <w:tcPr>
            <w:tcW w:w="6797" w:type="dxa"/>
            <w:vAlign w:val="center"/>
          </w:tcPr>
          <w:p>
            <w:pPr>
              <w:spacing w:line="360" w:lineRule="exact"/>
              <w:rPr>
                <w:rFonts w:ascii="宋体" w:cs="宋体"/>
                <w:sz w:val="24"/>
                <w:szCs w:val="24"/>
              </w:rPr>
            </w:pPr>
            <w:r>
              <w:rPr>
                <w:rFonts w:hint="eastAsia" w:asciiTheme="minorEastAsia" w:hAnsiTheme="minorEastAsia" w:eastAsiaTheme="minorEastAsia" w:cstheme="minorEastAsia"/>
                <w:bCs/>
                <w:sz w:val="24"/>
                <w:szCs w:val="24"/>
              </w:rPr>
              <w:t>保证措施应符合</w:t>
            </w:r>
            <w:r>
              <w:rPr>
                <w:rFonts w:hint="eastAsia" w:asciiTheme="minorEastAsia" w:hAnsiTheme="minorEastAsia" w:eastAsiaTheme="minorEastAsia" w:cstheme="minorEastAsia"/>
                <w:sz w:val="24"/>
                <w:szCs w:val="24"/>
              </w:rPr>
              <w:t>国家规定的强制性标准并有针对性，同时要符合实际情况，切实可行。优得11-15分，良好得5-10分，较差0-4分。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10</w:t>
            </w:r>
          </w:p>
        </w:tc>
        <w:tc>
          <w:tcPr>
            <w:tcW w:w="1790"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现场文明施工措施</w:t>
            </w:r>
          </w:p>
        </w:tc>
        <w:tc>
          <w:tcPr>
            <w:tcW w:w="625" w:type="dxa"/>
            <w:vAlign w:val="center"/>
          </w:tcPr>
          <w:p>
            <w:pPr>
              <w:spacing w:line="360" w:lineRule="exact"/>
              <w:jc w:val="center"/>
              <w:rPr>
                <w:rFonts w:ascii="宋体" w:cs="宋体"/>
                <w:sz w:val="24"/>
                <w:szCs w:val="24"/>
              </w:rPr>
            </w:pPr>
            <w:r>
              <w:rPr>
                <w:rFonts w:hint="eastAsia" w:asciiTheme="minorEastAsia" w:hAnsiTheme="minorEastAsia" w:eastAsiaTheme="minorEastAsia" w:cstheme="minorEastAsia"/>
                <w:sz w:val="24"/>
                <w:szCs w:val="24"/>
              </w:rPr>
              <w:t>0-8</w:t>
            </w:r>
          </w:p>
        </w:tc>
        <w:tc>
          <w:tcPr>
            <w:tcW w:w="6797" w:type="dxa"/>
            <w:vAlign w:val="center"/>
          </w:tcPr>
          <w:p>
            <w:pPr>
              <w:spacing w:line="360" w:lineRule="exact"/>
              <w:rPr>
                <w:rFonts w:ascii="宋体" w:cs="宋体"/>
                <w:sz w:val="24"/>
                <w:szCs w:val="24"/>
              </w:rPr>
            </w:pPr>
            <w:r>
              <w:rPr>
                <w:rFonts w:hint="eastAsia" w:asciiTheme="minorEastAsia" w:hAnsiTheme="minorEastAsia" w:eastAsiaTheme="minorEastAsia" w:cstheme="minorEastAsia"/>
                <w:sz w:val="24"/>
                <w:szCs w:val="24"/>
              </w:rPr>
              <w:t>措施应符合工程实际情况，切实可行得6-8分，一般得3-5分，较差不得分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blHeader/>
        </w:trPr>
        <w:tc>
          <w:tcPr>
            <w:tcW w:w="566"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11</w:t>
            </w:r>
          </w:p>
        </w:tc>
        <w:tc>
          <w:tcPr>
            <w:tcW w:w="1790"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bCs/>
                <w:sz w:val="24"/>
                <w:szCs w:val="24"/>
              </w:rPr>
              <w:t>承诺</w:t>
            </w:r>
          </w:p>
        </w:tc>
        <w:tc>
          <w:tcPr>
            <w:tcW w:w="625" w:type="dxa"/>
            <w:vAlign w:val="center"/>
          </w:tcPr>
          <w:p>
            <w:pPr>
              <w:spacing w:line="360" w:lineRule="exact"/>
              <w:jc w:val="center"/>
              <w:rPr>
                <w:rFonts w:ascii="宋体" w:cs="宋体"/>
                <w:bCs/>
                <w:sz w:val="24"/>
                <w:szCs w:val="24"/>
              </w:rPr>
            </w:pPr>
            <w:r>
              <w:rPr>
                <w:rFonts w:hint="eastAsia" w:asciiTheme="minorEastAsia" w:hAnsiTheme="minorEastAsia" w:eastAsiaTheme="minorEastAsia" w:cstheme="minorEastAsia"/>
                <w:sz w:val="24"/>
                <w:szCs w:val="24"/>
              </w:rPr>
              <w:t>0-8</w:t>
            </w:r>
          </w:p>
        </w:tc>
        <w:tc>
          <w:tcPr>
            <w:tcW w:w="6797" w:type="dxa"/>
            <w:vAlign w:val="center"/>
          </w:tcPr>
          <w:p>
            <w:pPr>
              <w:spacing w:line="360" w:lineRule="exact"/>
              <w:rPr>
                <w:rFonts w:ascii="宋体" w:cs="宋体"/>
                <w:sz w:val="24"/>
                <w:szCs w:val="24"/>
              </w:rPr>
            </w:pPr>
            <w:r>
              <w:rPr>
                <w:rFonts w:hint="eastAsia" w:asciiTheme="minorEastAsia" w:hAnsiTheme="minorEastAsia" w:eastAsiaTheme="minorEastAsia" w:cstheme="minorEastAsia"/>
                <w:sz w:val="24"/>
                <w:szCs w:val="24"/>
              </w:rPr>
              <w:t>有承诺、无违约经济处罚且措施可行得8分，否则酌情扣分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blHeader/>
        </w:trPr>
        <w:tc>
          <w:tcPr>
            <w:tcW w:w="566" w:type="dxa"/>
            <w:vAlign w:val="center"/>
          </w:tcPr>
          <w:p>
            <w:pPr>
              <w:spacing w:line="440" w:lineRule="exact"/>
              <w:rPr>
                <w:rFonts w:ascii="宋体" w:cs="宋体"/>
                <w:bCs/>
                <w:sz w:val="24"/>
                <w:szCs w:val="24"/>
              </w:rPr>
            </w:pPr>
            <w:r>
              <w:rPr>
                <w:rFonts w:hint="eastAsia" w:ascii="宋体" w:hAnsi="宋体" w:cs="宋体"/>
                <w:bCs/>
                <w:sz w:val="24"/>
                <w:szCs w:val="24"/>
              </w:rPr>
              <w:t>合计</w:t>
            </w:r>
          </w:p>
        </w:tc>
        <w:tc>
          <w:tcPr>
            <w:tcW w:w="9212" w:type="dxa"/>
            <w:gridSpan w:val="3"/>
            <w:vAlign w:val="center"/>
          </w:tcPr>
          <w:p>
            <w:pPr>
              <w:spacing w:line="440" w:lineRule="exact"/>
              <w:rPr>
                <w:rFonts w:ascii="宋体" w:cs="宋体"/>
                <w:sz w:val="24"/>
                <w:szCs w:val="24"/>
              </w:rPr>
            </w:pPr>
            <w:r>
              <w:rPr>
                <w:rFonts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blHeader/>
        </w:trPr>
        <w:tc>
          <w:tcPr>
            <w:tcW w:w="566" w:type="dxa"/>
            <w:vAlign w:val="center"/>
          </w:tcPr>
          <w:p>
            <w:pPr>
              <w:spacing w:line="440" w:lineRule="exact"/>
              <w:rPr>
                <w:rFonts w:ascii="宋体" w:cs="宋体"/>
                <w:bCs/>
                <w:sz w:val="24"/>
                <w:szCs w:val="24"/>
              </w:rPr>
            </w:pPr>
            <w:r>
              <w:rPr>
                <w:rFonts w:hint="eastAsia" w:ascii="宋体" w:hAnsi="宋体" w:cs="宋体"/>
                <w:bCs/>
                <w:sz w:val="24"/>
                <w:szCs w:val="24"/>
              </w:rPr>
              <w:t>得分</w:t>
            </w:r>
          </w:p>
        </w:tc>
        <w:tc>
          <w:tcPr>
            <w:tcW w:w="9212" w:type="dxa"/>
            <w:gridSpan w:val="3"/>
            <w:vAlign w:val="center"/>
          </w:tcPr>
          <w:p>
            <w:pPr>
              <w:spacing w:line="440" w:lineRule="exact"/>
              <w:rPr>
                <w:rFonts w:hint="default" w:ascii="宋体" w:eastAsia="宋体" w:cs="宋体"/>
                <w:sz w:val="24"/>
                <w:szCs w:val="24"/>
                <w:lang w:val="en-US" w:eastAsia="zh-CN"/>
              </w:rPr>
            </w:pPr>
            <w:r>
              <w:rPr>
                <w:rFonts w:hint="eastAsia" w:ascii="宋体" w:hAnsi="宋体" w:cs="宋体"/>
                <w:sz w:val="24"/>
                <w:szCs w:val="24"/>
              </w:rPr>
              <w:t>合计×</w:t>
            </w:r>
            <w:r>
              <w:rPr>
                <w:rFonts w:hint="eastAsia" w:ascii="宋体" w:hAnsi="宋体" w:cs="宋体"/>
                <w:sz w:val="24"/>
                <w:szCs w:val="24"/>
                <w:lang w:val="en-US" w:eastAsia="zh-CN"/>
              </w:rPr>
              <w:t>50%</w:t>
            </w:r>
          </w:p>
        </w:tc>
      </w:tr>
    </w:tbl>
    <w:p>
      <w:pPr>
        <w:pStyle w:val="23"/>
        <w:ind w:left="0" w:leftChars="0" w:firstLine="0" w:firstLineChars="0"/>
        <w:rPr>
          <w:rFonts w:hint="eastAsia" w:asciiTheme="minorEastAsia" w:hAnsiTheme="minorEastAsia" w:eastAsiaTheme="minorEastAsia" w:cstheme="minorEastAsia"/>
          <w:color w:val="000000"/>
          <w:sz w:val="24"/>
          <w:szCs w:val="24"/>
          <w:lang w:val="zh-CN"/>
        </w:rPr>
      </w:pPr>
    </w:p>
    <w:p>
      <w:pPr>
        <w:spacing w:line="360" w:lineRule="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注：1、各评委应认真了解本磋商文件和工程有关情况后，做出须自己负责的评审。</w:t>
      </w:r>
    </w:p>
    <w:p>
      <w:pPr>
        <w:spacing w:line="360" w:lineRule="auto"/>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val="zh-CN"/>
        </w:rPr>
        <w:t>技术标在进行汇总时，分项项目评分进行算术平均，计算结果值在小数点后保留两位小数，后余位数四舍五入计。项目评审过程中，不得去掉最后报价中的最高报价和最低报价。</w:t>
      </w:r>
    </w:p>
    <w:p>
      <w:pPr>
        <w:spacing w:line="360" w:lineRule="auto"/>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val="zh-CN"/>
        </w:rPr>
        <w:t>商务标详细评审：供应商商务部分得分等于评委评分的算术平均值。</w:t>
      </w:r>
    </w:p>
    <w:p>
      <w:pPr>
        <w:tabs>
          <w:tab w:val="left" w:pos="741"/>
          <w:tab w:val="left" w:pos="1642"/>
          <w:tab w:val="left" w:pos="3363"/>
          <w:tab w:val="left" w:pos="3887"/>
          <w:tab w:val="left" w:pos="9649"/>
        </w:tabs>
        <w:spacing w:line="360" w:lineRule="auto"/>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rPr>
        <w:t>4</w:t>
      </w:r>
      <w:r>
        <w:rPr>
          <w:rFonts w:hint="eastAsia" w:asciiTheme="minorEastAsia" w:hAnsiTheme="minorEastAsia" w:eastAsiaTheme="minorEastAsia" w:cstheme="minorEastAsia"/>
          <w:sz w:val="24"/>
          <w:szCs w:val="22"/>
          <w:lang w:val="zh-CN"/>
        </w:rPr>
        <w:t>、供应商请认真阅读和理解上述内容，避免投标文件中有违背上述审查标准之一的情况发生而造成废标；评标中各评委若发生意见分歧，通过书面表决形式，以少数服从多数为原则决定。</w:t>
      </w:r>
    </w:p>
    <w:p>
      <w:pPr>
        <w:tabs>
          <w:tab w:val="left" w:pos="741"/>
          <w:tab w:val="left" w:pos="1642"/>
          <w:tab w:val="left" w:pos="3363"/>
          <w:tab w:val="left" w:pos="3887"/>
          <w:tab w:val="left" w:pos="9649"/>
        </w:tabs>
        <w:spacing w:line="360" w:lineRule="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hint="eastAsia" w:asciiTheme="minorEastAsia" w:hAnsiTheme="minorEastAsia" w:eastAsiaTheme="minorEastAsia" w:cstheme="minorEastAsia"/>
          <w:sz w:val="24"/>
          <w:szCs w:val="22"/>
          <w:lang w:val="en-US" w:eastAsia="zh-CN"/>
        </w:rPr>
        <w:t>3</w:t>
      </w:r>
      <w:r>
        <w:rPr>
          <w:rFonts w:hint="eastAsia" w:asciiTheme="minorEastAsia" w:hAnsiTheme="minorEastAsia" w:eastAsiaTheme="minorEastAsia" w:cstheme="minorEastAsia"/>
          <w:sz w:val="24"/>
          <w:szCs w:val="22"/>
          <w:lang w:val="zh-CN"/>
        </w:rPr>
        <w:t xml:space="preserve">0%×100，如此类推，算出所有投标供应商的价格得分。          </w:t>
      </w:r>
      <w:r>
        <w:rPr>
          <w:rFonts w:hint="eastAsia" w:asciiTheme="minorEastAsia" w:hAnsiTheme="minorEastAsia" w:eastAsiaTheme="minorEastAsia" w:cstheme="minorEastAsia"/>
          <w:sz w:val="24"/>
          <w:szCs w:val="22"/>
        </w:rPr>
        <w:t xml:space="preserve">                     </w:t>
      </w:r>
    </w:p>
    <w:p>
      <w:pPr>
        <w:tabs>
          <w:tab w:val="left" w:pos="741"/>
          <w:tab w:val="left" w:pos="1642"/>
          <w:tab w:val="left" w:pos="3363"/>
          <w:tab w:val="left" w:pos="3887"/>
          <w:tab w:val="left" w:pos="9649"/>
        </w:tabs>
        <w:spacing w:line="360" w:lineRule="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评分分值计算结果值在小数点后均保留两位小数，后余位数四舍五入计。</w:t>
      </w:r>
    </w:p>
    <w:p>
      <w:pPr>
        <w:tabs>
          <w:tab w:val="left" w:pos="741"/>
          <w:tab w:val="left" w:pos="1642"/>
          <w:tab w:val="left" w:pos="3363"/>
          <w:tab w:val="left" w:pos="3887"/>
          <w:tab w:val="left" w:pos="9649"/>
        </w:tabs>
        <w:spacing w:line="360" w:lineRule="auto"/>
        <w:ind w:firstLine="240" w:firstLineChars="100"/>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tabs>
          <w:tab w:val="left" w:pos="741"/>
          <w:tab w:val="left" w:pos="1642"/>
          <w:tab w:val="left" w:pos="3363"/>
          <w:tab w:val="left" w:pos="3887"/>
          <w:tab w:val="left" w:pos="9649"/>
        </w:tabs>
        <w:spacing w:line="360" w:lineRule="auto"/>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pPr>
        <w:tabs>
          <w:tab w:val="left" w:pos="741"/>
          <w:tab w:val="left" w:pos="1642"/>
          <w:tab w:val="left" w:pos="3363"/>
          <w:tab w:val="left" w:pos="3887"/>
          <w:tab w:val="left" w:pos="9649"/>
        </w:tabs>
        <w:spacing w:line="360" w:lineRule="auto"/>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580" w:lineRule="exact"/>
        <w:rPr>
          <w:rFonts w:hint="eastAsia" w:asciiTheme="minorEastAsia" w:hAnsiTheme="minorEastAsia" w:eastAsiaTheme="minorEastAsia" w:cstheme="minorEastAsia"/>
          <w:color w:val="000000"/>
          <w:sz w:val="24"/>
          <w:szCs w:val="24"/>
          <w:lang w:val="zh-CN"/>
        </w:rPr>
      </w:pPr>
    </w:p>
    <w:p>
      <w:pPr>
        <w:pStyle w:val="4"/>
        <w:spacing w:before="100" w:beforeAutospacing="1" w:after="100" w:afterAutospacing="1" w:line="400" w:lineRule="atLeast"/>
        <w:jc w:val="center"/>
        <w:rPr>
          <w:rFonts w:hint="eastAsia" w:asciiTheme="minorEastAsia" w:hAnsiTheme="minorEastAsia" w:eastAsiaTheme="minorEastAsia" w:cstheme="minorEastAsia"/>
          <w:color w:val="auto"/>
          <w:sz w:val="28"/>
          <w:szCs w:val="28"/>
          <w:highlight w:val="none"/>
        </w:rPr>
      </w:pPr>
      <w:bookmarkStart w:id="174" w:name="_Toc13149"/>
      <w:r>
        <w:rPr>
          <w:rFonts w:hint="eastAsia" w:asciiTheme="minorEastAsia" w:hAnsiTheme="minorEastAsia" w:eastAsiaTheme="minorEastAsia" w:cstheme="minorEastAsia"/>
          <w:color w:val="auto"/>
          <w:sz w:val="28"/>
          <w:szCs w:val="28"/>
          <w:highlight w:val="none"/>
        </w:rPr>
        <w:t>F  授予合同</w:t>
      </w:r>
      <w:bookmarkEnd w:id="167"/>
      <w:bookmarkEnd w:id="168"/>
      <w:bookmarkEnd w:id="169"/>
      <w:bookmarkEnd w:id="170"/>
      <w:bookmarkEnd w:id="171"/>
      <w:bookmarkEnd w:id="172"/>
      <w:bookmarkEnd w:id="174"/>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28．合同授予标准</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w:t>
      </w:r>
      <w:r>
        <w:rPr>
          <w:rFonts w:hint="eastAsia" w:asciiTheme="minorEastAsia" w:hAnsiTheme="minorEastAsia" w:eastAsiaTheme="minorEastAsia" w:cstheme="minorEastAsia"/>
          <w:bCs/>
          <w:color w:val="auto"/>
          <w:sz w:val="24"/>
          <w:highlight w:val="none"/>
        </w:rPr>
        <w:t>合同将授予被确定为实质上响应磋商文件要求，符合采购需求、质量和服务相等且综合评分最高的供应商</w:t>
      </w:r>
      <w:r>
        <w:rPr>
          <w:rFonts w:hint="eastAsia" w:asciiTheme="minorEastAsia" w:hAnsiTheme="minorEastAsia" w:eastAsiaTheme="minorEastAsia" w:cstheme="minorEastAsia"/>
          <w:color w:val="auto"/>
          <w:sz w:val="24"/>
          <w:highlight w:val="none"/>
        </w:rPr>
        <w:t>。</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28.2 最低报价不一定是被授予合同的保证。</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28.3排名第一的成交候选人放弃中标、因不可抗力不能履行合同、不按照</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要求提交履约保证金，或者被查实存在影响中标结果的违法行为等情形，不符合成交条件的，采购人可以按照</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提出的成交候选人名单排序依次确定其他中标候选人为成交供应商，也可以重新招标。</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29．接受和拒绝任何或所有磋商的权力</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29.1为维护国家利益，买方在授予合同之前仍有选择或拒绝任何全部磋商的权力，并对所采取的行为不作任何解释。</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30．成交通知书</w:t>
      </w:r>
    </w:p>
    <w:p>
      <w:pPr>
        <w:spacing w:line="400" w:lineRule="atLeast"/>
        <w:ind w:left="552" w:hanging="552" w:hangingChars="23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 成交公告期满后，招标代理机构将以书面形式发出《成交通知书》，但发出时间不超过磋商有效期，《成交通知书》一经发出即发生法律效力。</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 《成交通知书》将作为签订合同的依据。</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30.3 在成交通知书发出后五个工作日内退还未成交供应商的保证金，在采购</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合同签订后五个工作日内退还成交供应商的保证金。</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31．签订合同</w:t>
      </w:r>
    </w:p>
    <w:p>
      <w:pPr>
        <w:spacing w:line="400" w:lineRule="atLeast"/>
        <w:ind w:left="540" w:hanging="540" w:hanging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 供应商收到《成交通知书》后，按《成交通知书》中规定的时间地点与买方签订合同。买方和成交方不得再订立背离合同实质性内容的其他协议。</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31.2如成交方拒签合同，则按违约处理。招标代理机构没收其磋商保证金。</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31.3磋商文件、成交方的磋商响应文件及其澄清文件等，均为签订经济合同的依据。</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32．履约保证金（如适用）</w:t>
      </w:r>
    </w:p>
    <w:p>
      <w:pPr>
        <w:spacing w:line="400" w:lineRule="atLeast"/>
        <w:ind w:left="72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32.1成交方应按合同规定的方式、时间和金额向买方提交履约保证金。</w:t>
      </w:r>
    </w:p>
    <w:p>
      <w:pPr>
        <w:pStyle w:val="23"/>
        <w:rPr>
          <w:rFonts w:hint="default" w:eastAsiaTheme="minorEastAsia"/>
          <w:lang w:val="en-US" w:eastAsia="zh-CN"/>
        </w:rPr>
      </w:pPr>
      <w:r>
        <w:rPr>
          <w:rFonts w:hint="eastAsia" w:asciiTheme="minorEastAsia" w:hAnsiTheme="minorEastAsia" w:eastAsiaTheme="minorEastAsia" w:cstheme="minorEastAsia"/>
          <w:color w:val="auto"/>
          <w:sz w:val="24"/>
          <w:highlight w:val="none"/>
        </w:rPr>
        <w:t>履约保证金</w:t>
      </w:r>
      <w:r>
        <w:rPr>
          <w:rFonts w:hint="eastAsia" w:asciiTheme="minorEastAsia" w:hAnsiTheme="minorEastAsia" w:eastAsiaTheme="minorEastAsia" w:cstheme="minorEastAsia"/>
          <w:color w:val="auto"/>
          <w:sz w:val="24"/>
          <w:highlight w:val="none"/>
          <w:lang w:eastAsia="zh-CN"/>
        </w:rPr>
        <w:t>为合同价款的</w:t>
      </w: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lang w:val="en-US" w:eastAsia="zh-CN"/>
        </w:rPr>
        <w:t>%。</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33．招标代理服务费</w:t>
      </w:r>
    </w:p>
    <w:p>
      <w:pPr>
        <w:pStyle w:val="15"/>
        <w:spacing w:line="400" w:lineRule="atLeast"/>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招标代理代理服务费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由采购人向招标代理机构支付。</w:t>
      </w:r>
    </w:p>
    <w:p>
      <w:pPr>
        <w:pStyle w:val="4"/>
        <w:spacing w:before="100" w:beforeAutospacing="1" w:after="100" w:afterAutospacing="1" w:line="400" w:lineRule="atLeast"/>
        <w:jc w:val="center"/>
        <w:rPr>
          <w:rFonts w:hint="eastAsia" w:asciiTheme="minorEastAsia" w:hAnsiTheme="minorEastAsia" w:eastAsiaTheme="minorEastAsia" w:cstheme="minorEastAsia"/>
          <w:bCs/>
          <w:color w:val="auto"/>
          <w:sz w:val="24"/>
          <w:highlight w:val="none"/>
        </w:rPr>
      </w:pPr>
      <w:bookmarkStart w:id="175" w:name="_Toc527642958"/>
      <w:bookmarkStart w:id="176" w:name="_Toc1316"/>
      <w:bookmarkStart w:id="177" w:name="_Toc471489759"/>
      <w:r>
        <w:rPr>
          <w:rFonts w:hint="eastAsia" w:asciiTheme="minorEastAsia" w:hAnsiTheme="minorEastAsia" w:eastAsiaTheme="minorEastAsia" w:cstheme="minorEastAsia"/>
          <w:color w:val="auto"/>
          <w:sz w:val="28"/>
          <w:szCs w:val="28"/>
          <w:highlight w:val="none"/>
        </w:rPr>
        <w:t>G  磋商失败条件</w:t>
      </w:r>
      <w:bookmarkEnd w:id="175"/>
      <w:bookmarkEnd w:id="176"/>
      <w:bookmarkEnd w:id="177"/>
    </w:p>
    <w:p>
      <w:pPr>
        <w:pStyle w:val="15"/>
        <w:tabs>
          <w:tab w:val="left" w:pos="720"/>
          <w:tab w:val="left" w:pos="900"/>
          <w:tab w:val="left" w:pos="1260"/>
        </w:tabs>
        <w:adjustRightInd w:val="0"/>
        <w:spacing w:line="400" w:lineRule="atLeast"/>
        <w:ind w:left="720" w:hanging="720" w:hangingChars="3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34.出现影响采购公正的违法、违规行为的；</w:t>
      </w:r>
    </w:p>
    <w:p>
      <w:pPr>
        <w:pStyle w:val="15"/>
        <w:tabs>
          <w:tab w:val="left" w:pos="720"/>
          <w:tab w:val="left" w:pos="900"/>
          <w:tab w:val="left" w:pos="1260"/>
        </w:tabs>
        <w:adjustRightInd w:val="0"/>
        <w:spacing w:line="400" w:lineRule="atLeast"/>
        <w:ind w:left="720" w:hanging="720" w:hangingChars="3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35.因重大变故，采购任务取消的；</w:t>
      </w:r>
    </w:p>
    <w:p>
      <w:pPr>
        <w:pStyle w:val="15"/>
        <w:tabs>
          <w:tab w:val="left" w:pos="720"/>
          <w:tab w:val="left" w:pos="900"/>
          <w:tab w:val="left" w:pos="1260"/>
        </w:tabs>
        <w:adjustRightInd w:val="0"/>
        <w:spacing w:line="400" w:lineRule="atLeast"/>
        <w:ind w:left="720" w:hanging="720" w:hangingChars="3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36.磋商响应文件截止时间后，实际参与的供应商不足法定家数的；</w:t>
      </w:r>
    </w:p>
    <w:p>
      <w:pPr>
        <w:pStyle w:val="15"/>
        <w:tabs>
          <w:tab w:val="left" w:pos="720"/>
          <w:tab w:val="left" w:pos="900"/>
          <w:tab w:val="left" w:pos="1260"/>
        </w:tabs>
        <w:adjustRightInd w:val="0"/>
        <w:spacing w:line="400" w:lineRule="atLeast"/>
        <w:ind w:left="720" w:hanging="720" w:hangingChars="3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37.最终报价均超过采购预算的；</w:t>
      </w:r>
    </w:p>
    <w:p>
      <w:pPr>
        <w:pStyle w:val="15"/>
        <w:tabs>
          <w:tab w:val="left" w:pos="720"/>
          <w:tab w:val="left" w:pos="900"/>
          <w:tab w:val="left" w:pos="1260"/>
        </w:tabs>
        <w:adjustRightInd w:val="0"/>
        <w:spacing w:line="400" w:lineRule="atLeast"/>
        <w:ind w:left="720" w:hanging="720" w:hangingChars="3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38.对磋商文件作出实质性响应的供应商不足法定家数的；</w:t>
      </w:r>
    </w:p>
    <w:p>
      <w:pPr>
        <w:pStyle w:val="3"/>
        <w:numPr>
          <w:ilvl w:val="0"/>
          <w:numId w:val="0"/>
        </w:numPr>
        <w:spacing w:line="400" w:lineRule="atLeast"/>
        <w:jc w:val="center"/>
        <w:rPr>
          <w:rFonts w:hint="eastAsia" w:asciiTheme="minorEastAsia" w:hAnsiTheme="minorEastAsia" w:eastAsiaTheme="minorEastAsia" w:cstheme="minorEastAsia"/>
          <w:color w:val="auto"/>
          <w:sz w:val="32"/>
          <w:szCs w:val="32"/>
          <w:highlight w:val="none"/>
        </w:rPr>
      </w:pPr>
      <w:bookmarkStart w:id="178" w:name="_Toc298240411"/>
      <w:bookmarkStart w:id="179" w:name="_Toc349573127"/>
      <w:bookmarkStart w:id="180" w:name="_Toc27930"/>
      <w:bookmarkStart w:id="181" w:name="_Toc21287"/>
      <w:bookmarkStart w:id="182" w:name="_Toc349637926"/>
      <w:r>
        <w:rPr>
          <w:rFonts w:hint="eastAsia" w:asciiTheme="minorEastAsia" w:hAnsiTheme="minorEastAsia" w:eastAsiaTheme="minorEastAsia" w:cstheme="minorEastAsia"/>
          <w:color w:val="auto"/>
          <w:sz w:val="32"/>
          <w:szCs w:val="32"/>
          <w:highlight w:val="none"/>
        </w:rPr>
        <w:t>第三部分  技术要求</w:t>
      </w:r>
      <w:bookmarkEnd w:id="173"/>
      <w:bookmarkEnd w:id="178"/>
      <w:bookmarkEnd w:id="179"/>
      <w:bookmarkEnd w:id="180"/>
      <w:bookmarkEnd w:id="181"/>
      <w:bookmarkEnd w:id="182"/>
    </w:p>
    <w:p>
      <w:pPr>
        <w:spacing w:line="500" w:lineRule="exact"/>
        <w:ind w:left="1680" w:hanging="1680" w:hangingChars="700"/>
        <w:jc w:val="left"/>
        <w:rPr>
          <w:rFonts w:hint="eastAsia" w:asciiTheme="minorEastAsia" w:hAnsiTheme="minorEastAsia" w:eastAsiaTheme="minorEastAsia" w:cstheme="minorEastAsia"/>
          <w:bCs/>
          <w:color w:val="auto"/>
          <w:kern w:val="0"/>
          <w:sz w:val="24"/>
          <w:szCs w:val="22"/>
          <w:highlight w:val="none"/>
          <w:lang w:val="en-US" w:eastAsia="zh-CN"/>
        </w:rPr>
      </w:pPr>
      <w:bookmarkStart w:id="183" w:name="_Toc267301295"/>
      <w:r>
        <w:rPr>
          <w:rFonts w:hint="eastAsia" w:asciiTheme="minorEastAsia" w:hAnsiTheme="minorEastAsia" w:eastAsiaTheme="minorEastAsia" w:cstheme="minorEastAsia"/>
          <w:bCs/>
          <w:color w:val="auto"/>
          <w:kern w:val="0"/>
          <w:sz w:val="24"/>
          <w:szCs w:val="22"/>
          <w:highlight w:val="none"/>
        </w:rPr>
        <w:t>一、项目名称：</w:t>
      </w:r>
      <w:r>
        <w:rPr>
          <w:rFonts w:hint="eastAsia" w:asciiTheme="minorEastAsia" w:hAnsiTheme="minorEastAsia" w:eastAsiaTheme="minorEastAsia" w:cstheme="minorEastAsia"/>
          <w:bCs/>
          <w:color w:val="auto"/>
          <w:kern w:val="0"/>
          <w:sz w:val="24"/>
          <w:szCs w:val="22"/>
          <w:highlight w:val="none"/>
          <w:lang w:eastAsia="zh-CN"/>
        </w:rPr>
        <w:t>见供应商须知附表</w:t>
      </w:r>
    </w:p>
    <w:p>
      <w:pPr>
        <w:spacing w:line="500" w:lineRule="exact"/>
        <w:ind w:left="1680" w:hanging="1680" w:hangingChars="700"/>
        <w:jc w:val="left"/>
        <w:rPr>
          <w:rFonts w:hint="eastAsia" w:asciiTheme="minorEastAsia" w:hAnsiTheme="minorEastAsia" w:eastAsiaTheme="minorEastAsia" w:cstheme="minorEastAsia"/>
          <w:bCs/>
          <w:color w:val="auto"/>
          <w:kern w:val="0"/>
          <w:sz w:val="24"/>
          <w:szCs w:val="22"/>
          <w:highlight w:val="none"/>
          <w:lang w:val="en-US" w:eastAsia="zh-CN"/>
        </w:rPr>
      </w:pPr>
      <w:r>
        <w:rPr>
          <w:rFonts w:hint="eastAsia" w:asciiTheme="minorEastAsia" w:hAnsiTheme="minorEastAsia" w:eastAsiaTheme="minorEastAsia" w:cstheme="minorEastAsia"/>
          <w:bCs/>
          <w:color w:val="auto"/>
          <w:kern w:val="0"/>
          <w:sz w:val="24"/>
          <w:szCs w:val="22"/>
          <w:highlight w:val="none"/>
        </w:rPr>
        <w:t>二、采购编号：</w:t>
      </w:r>
      <w:r>
        <w:rPr>
          <w:rFonts w:hint="eastAsia" w:asciiTheme="minorEastAsia" w:hAnsiTheme="minorEastAsia" w:eastAsiaTheme="minorEastAsia" w:cstheme="minorEastAsia"/>
          <w:bCs/>
          <w:color w:val="auto"/>
          <w:kern w:val="0"/>
          <w:sz w:val="24"/>
          <w:szCs w:val="22"/>
          <w:highlight w:val="none"/>
          <w:lang w:eastAsia="zh-CN"/>
        </w:rPr>
        <w:t>见供应商须知附表</w:t>
      </w:r>
    </w:p>
    <w:p>
      <w:pPr>
        <w:spacing w:line="500" w:lineRule="exact"/>
        <w:ind w:left="1680" w:hanging="1680" w:hangingChars="700"/>
        <w:jc w:val="left"/>
        <w:rPr>
          <w:rFonts w:hint="eastAsia" w:asciiTheme="minorEastAsia" w:hAnsiTheme="minorEastAsia" w:eastAsiaTheme="minorEastAsia" w:cstheme="minorEastAsia"/>
          <w:bCs/>
          <w:color w:val="auto"/>
          <w:kern w:val="0"/>
          <w:sz w:val="24"/>
          <w:szCs w:val="22"/>
          <w:highlight w:val="none"/>
          <w:lang w:val="en-US" w:eastAsia="zh-CN"/>
        </w:rPr>
      </w:pPr>
      <w:r>
        <w:rPr>
          <w:rFonts w:hint="eastAsia" w:asciiTheme="minorEastAsia" w:hAnsiTheme="minorEastAsia" w:eastAsiaTheme="minorEastAsia" w:cstheme="minorEastAsia"/>
          <w:bCs/>
          <w:color w:val="auto"/>
          <w:kern w:val="0"/>
          <w:sz w:val="24"/>
          <w:szCs w:val="22"/>
          <w:highlight w:val="none"/>
          <w:lang w:val="en-US" w:eastAsia="zh-CN"/>
        </w:rPr>
        <w:t>三、最高投标限价：</w:t>
      </w:r>
      <w:r>
        <w:rPr>
          <w:rFonts w:hint="eastAsia" w:asciiTheme="minorEastAsia" w:hAnsiTheme="minorEastAsia" w:eastAsiaTheme="minorEastAsia" w:cstheme="minorEastAsia"/>
          <w:bCs/>
          <w:color w:val="auto"/>
          <w:kern w:val="0"/>
          <w:sz w:val="24"/>
          <w:szCs w:val="22"/>
          <w:highlight w:val="none"/>
          <w:lang w:eastAsia="zh-CN"/>
        </w:rPr>
        <w:t>见供应商须知附表</w:t>
      </w:r>
    </w:p>
    <w:p>
      <w:pPr>
        <w:spacing w:line="500" w:lineRule="exact"/>
        <w:ind w:left="1680" w:hanging="1680" w:hangingChars="700"/>
        <w:jc w:val="left"/>
        <w:rPr>
          <w:rFonts w:hint="eastAsia" w:asciiTheme="minorEastAsia" w:hAnsiTheme="minorEastAsia" w:eastAsiaTheme="minorEastAsia" w:cstheme="minorEastAsia"/>
          <w:bCs/>
          <w:color w:val="auto"/>
          <w:kern w:val="0"/>
          <w:sz w:val="24"/>
          <w:szCs w:val="22"/>
          <w:highlight w:val="none"/>
        </w:rPr>
      </w:pPr>
      <w:r>
        <w:rPr>
          <w:rFonts w:hint="eastAsia" w:asciiTheme="minorEastAsia" w:hAnsiTheme="minorEastAsia" w:eastAsiaTheme="minorEastAsia" w:cstheme="minorEastAsia"/>
          <w:bCs/>
          <w:color w:val="auto"/>
          <w:kern w:val="0"/>
          <w:sz w:val="24"/>
          <w:szCs w:val="22"/>
          <w:highlight w:val="none"/>
        </w:rPr>
        <w:t>四、质量要求：</w:t>
      </w:r>
      <w:r>
        <w:rPr>
          <w:rFonts w:hint="eastAsia" w:asciiTheme="minorEastAsia" w:hAnsiTheme="minorEastAsia" w:eastAsiaTheme="minorEastAsia" w:cstheme="minorEastAsia"/>
          <w:bCs/>
          <w:color w:val="auto"/>
          <w:kern w:val="0"/>
          <w:sz w:val="24"/>
          <w:szCs w:val="22"/>
          <w:highlight w:val="none"/>
          <w:lang w:eastAsia="zh-CN"/>
        </w:rPr>
        <w:t>见供应商须知附表</w:t>
      </w:r>
    </w:p>
    <w:p>
      <w:pPr>
        <w:spacing w:line="500" w:lineRule="exact"/>
        <w:ind w:left="1680" w:hanging="1680" w:hangingChars="700"/>
        <w:jc w:val="left"/>
        <w:rPr>
          <w:rFonts w:hint="eastAsia" w:asciiTheme="minorEastAsia" w:hAnsiTheme="minorEastAsia" w:eastAsiaTheme="minorEastAsia" w:cstheme="minorEastAsia"/>
          <w:bCs/>
          <w:color w:val="auto"/>
          <w:kern w:val="0"/>
          <w:sz w:val="24"/>
          <w:szCs w:val="22"/>
          <w:highlight w:val="none"/>
        </w:rPr>
      </w:pPr>
      <w:r>
        <w:rPr>
          <w:rFonts w:hint="eastAsia" w:asciiTheme="minorEastAsia" w:hAnsiTheme="minorEastAsia" w:eastAsiaTheme="minorEastAsia" w:cstheme="minorEastAsia"/>
          <w:bCs/>
          <w:color w:val="auto"/>
          <w:kern w:val="0"/>
          <w:sz w:val="24"/>
          <w:szCs w:val="22"/>
          <w:highlight w:val="none"/>
        </w:rPr>
        <w:t>五、工期：</w:t>
      </w:r>
      <w:r>
        <w:rPr>
          <w:rFonts w:hint="eastAsia" w:asciiTheme="minorEastAsia" w:hAnsiTheme="minorEastAsia" w:eastAsiaTheme="minorEastAsia" w:cstheme="minorEastAsia"/>
          <w:bCs/>
          <w:color w:val="auto"/>
          <w:kern w:val="0"/>
          <w:sz w:val="24"/>
          <w:szCs w:val="22"/>
          <w:highlight w:val="none"/>
          <w:lang w:eastAsia="zh-CN"/>
        </w:rPr>
        <w:t>见供应商须知附表</w:t>
      </w:r>
    </w:p>
    <w:p>
      <w:pPr>
        <w:spacing w:line="360" w:lineRule="auto"/>
        <w:ind w:firstLine="480" w:firstLineChars="200"/>
        <w:rPr>
          <w:rFonts w:hint="eastAsia" w:asciiTheme="minorEastAsia" w:hAnsiTheme="minorEastAsia" w:eastAsiaTheme="minorEastAsia" w:cstheme="minorEastAsia"/>
          <w:snapToGrid w:val="0"/>
          <w:color w:val="FF0000"/>
          <w:sz w:val="24"/>
          <w:highlight w:val="none"/>
        </w:rPr>
      </w:pPr>
      <w:r>
        <w:rPr>
          <w:rFonts w:hint="eastAsia" w:asciiTheme="minorEastAsia" w:hAnsiTheme="minorEastAsia" w:eastAsiaTheme="minorEastAsia" w:cstheme="minorEastAsia"/>
          <w:snapToGrid w:val="0"/>
          <w:color w:val="auto"/>
          <w:sz w:val="24"/>
          <w:highlight w:val="none"/>
          <w:lang w:val="zh-CN"/>
        </w:rPr>
        <w:t>招标范围：</w:t>
      </w:r>
      <w:r>
        <w:rPr>
          <w:rFonts w:hint="eastAsia" w:asciiTheme="minorEastAsia" w:hAnsiTheme="minorEastAsia" w:eastAsiaTheme="minorEastAsia" w:cstheme="minorEastAsia"/>
          <w:snapToGrid w:val="0"/>
          <w:color w:val="000000" w:themeColor="text1"/>
          <w:sz w:val="24"/>
          <w:highlight w:val="none"/>
          <w:lang w:val="zh-CN"/>
          <w14:textFill>
            <w14:solidFill>
              <w14:schemeClr w14:val="tx1"/>
            </w14:solidFill>
          </w14:textFill>
        </w:rPr>
        <w:t>本工程范围内的磋商文件及工程量清单，磋商文件补充范围内的全部施工内容（包括招标答疑等内容）。</w:t>
      </w:r>
    </w:p>
    <w:p>
      <w:pPr>
        <w:spacing w:line="360" w:lineRule="auto"/>
        <w:rPr>
          <w:rFonts w:hint="eastAsia" w:asciiTheme="minorEastAsia" w:hAnsiTheme="minorEastAsia" w:eastAsiaTheme="minorEastAsia" w:cstheme="minorEastAsia"/>
          <w:snapToGrid w:val="0"/>
          <w:color w:val="auto"/>
          <w:sz w:val="24"/>
          <w:szCs w:val="22"/>
          <w:highlight w:val="none"/>
        </w:rPr>
      </w:pPr>
      <w:r>
        <w:rPr>
          <w:rFonts w:hint="eastAsia" w:asciiTheme="minorEastAsia" w:hAnsiTheme="minorEastAsia" w:eastAsiaTheme="minorEastAsia" w:cstheme="minorEastAsia"/>
          <w:snapToGrid w:val="0"/>
          <w:color w:val="auto"/>
          <w:sz w:val="24"/>
          <w:szCs w:val="22"/>
          <w:highlight w:val="none"/>
        </w:rPr>
        <w:t>六、 技术要求内容：(详见工程量清单)</w:t>
      </w:r>
    </w:p>
    <w:p>
      <w:pPr>
        <w:pStyle w:val="3"/>
        <w:numPr>
          <w:ilvl w:val="0"/>
          <w:numId w:val="0"/>
        </w:numPr>
        <w:spacing w:line="400" w:lineRule="atLeast"/>
        <w:ind w:left="360"/>
        <w:rPr>
          <w:rFonts w:hint="eastAsia" w:asciiTheme="minorEastAsia" w:hAnsiTheme="minorEastAsia" w:eastAsiaTheme="minorEastAsia" w:cstheme="minorEastAsia"/>
          <w:color w:val="auto"/>
          <w:sz w:val="24"/>
          <w:szCs w:val="24"/>
          <w:highlight w:val="none"/>
        </w:rPr>
      </w:pPr>
      <w:bookmarkStart w:id="184" w:name="_Toc1096"/>
      <w:bookmarkStart w:id="185" w:name="_Toc24436"/>
      <w:bookmarkStart w:id="186" w:name="_Toc349573136"/>
      <w:bookmarkStart w:id="187" w:name="_Toc349637935"/>
      <w:r>
        <w:rPr>
          <w:rFonts w:hint="eastAsia" w:asciiTheme="minorEastAsia" w:hAnsiTheme="minorEastAsia" w:eastAsiaTheme="minorEastAsia" w:cstheme="minorEastAsia"/>
          <w:color w:val="auto"/>
          <w:sz w:val="24"/>
          <w:szCs w:val="24"/>
          <w:highlight w:val="none"/>
        </w:rPr>
        <w:t>1、本工程完成必须符合国家和地方现行相关质量评定标准和施工技术规范、施工图设计要求。</w:t>
      </w:r>
      <w:bookmarkEnd w:id="184"/>
      <w:bookmarkEnd w:id="185"/>
    </w:p>
    <w:p>
      <w:pPr>
        <w:pStyle w:val="3"/>
        <w:numPr>
          <w:ilvl w:val="0"/>
          <w:numId w:val="0"/>
        </w:numPr>
        <w:spacing w:line="400" w:lineRule="atLeast"/>
        <w:ind w:firstLine="361" w:firstLineChars="150"/>
        <w:jc w:val="center"/>
        <w:rPr>
          <w:rFonts w:hint="eastAsia" w:asciiTheme="minorEastAsia" w:hAnsiTheme="minorEastAsia" w:eastAsiaTheme="minorEastAsia" w:cstheme="minorEastAsia"/>
          <w:color w:val="auto"/>
          <w:sz w:val="24"/>
          <w:szCs w:val="24"/>
          <w:highlight w:val="none"/>
        </w:rPr>
      </w:pPr>
      <w:bookmarkStart w:id="188" w:name="_Toc28531"/>
      <w:bookmarkStart w:id="189" w:name="_Toc12248"/>
      <w:r>
        <w:rPr>
          <w:rFonts w:hint="eastAsia" w:asciiTheme="minorEastAsia" w:hAnsiTheme="minorEastAsia" w:eastAsiaTheme="minorEastAsia" w:cstheme="minorEastAsia"/>
          <w:color w:val="auto"/>
          <w:sz w:val="24"/>
          <w:szCs w:val="24"/>
          <w:highlight w:val="none"/>
        </w:rPr>
        <w:t>2、本工程的材料检验和质量、工艺试验按国家、地方现行相关规定执行。</w:t>
      </w:r>
      <w:bookmarkEnd w:id="188"/>
      <w:bookmarkEnd w:id="189"/>
    </w:p>
    <w:p>
      <w:pPr>
        <w:spacing w:line="360" w:lineRule="auto"/>
        <w:rPr>
          <w:rFonts w:hint="eastAsia" w:asciiTheme="minorEastAsia" w:hAnsiTheme="minorEastAsia" w:eastAsiaTheme="minorEastAsia" w:cstheme="minorEastAsia"/>
          <w:b/>
          <w:bCs/>
          <w:snapToGrid w:val="0"/>
          <w:color w:val="000000" w:themeColor="text1"/>
          <w:sz w:val="24"/>
          <w:szCs w:val="22"/>
          <w:highlight w:val="none"/>
          <w:lang w:val="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4"/>
          <w:szCs w:val="22"/>
          <w:highlight w:val="none"/>
          <w:lang w:val="en-US" w:eastAsia="zh-CN"/>
          <w14:textFill>
            <w14:solidFill>
              <w14:schemeClr w14:val="tx1"/>
            </w14:solidFill>
          </w14:textFill>
        </w:rPr>
        <w:t>备注：若招标文件中附表表格格式与工程量清单中表格格式不一致的，以工程量清单表格格式为主。</w:t>
      </w:r>
    </w:p>
    <w:p>
      <w:pPr>
        <w:spacing w:line="360" w:lineRule="auto"/>
        <w:ind w:firstLine="480" w:firstLineChars="200"/>
        <w:rPr>
          <w:rFonts w:hint="eastAsia" w:asciiTheme="minorEastAsia" w:hAnsiTheme="minorEastAsia" w:eastAsiaTheme="minorEastAsia" w:cstheme="minorEastAsia"/>
          <w:snapToGrid w:val="0"/>
          <w:color w:val="FF0000"/>
          <w:sz w:val="24"/>
          <w:szCs w:val="22"/>
          <w:highlight w:val="none"/>
          <w:lang w:val="zh-CN"/>
        </w:rPr>
      </w:pPr>
    </w:p>
    <w:p>
      <w:pPr>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pStyle w:val="31"/>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3"/>
        <w:rPr>
          <w:rFonts w:hint="eastAsia"/>
        </w:rPr>
      </w:pPr>
    </w:p>
    <w:bookmarkEnd w:id="183"/>
    <w:bookmarkEnd w:id="186"/>
    <w:bookmarkEnd w:id="187"/>
    <w:p>
      <w:pPr>
        <w:pStyle w:val="3"/>
        <w:numPr>
          <w:ilvl w:val="0"/>
          <w:numId w:val="0"/>
        </w:numPr>
        <w:spacing w:line="400" w:lineRule="atLeast"/>
        <w:jc w:val="center"/>
        <w:rPr>
          <w:rFonts w:hint="eastAsia" w:asciiTheme="minorEastAsia" w:hAnsiTheme="minorEastAsia" w:eastAsiaTheme="minorEastAsia" w:cstheme="minorEastAsia"/>
          <w:color w:val="auto"/>
          <w:sz w:val="32"/>
          <w:szCs w:val="32"/>
          <w:highlight w:val="none"/>
        </w:rPr>
      </w:pPr>
      <w:bookmarkStart w:id="190" w:name="_Toc507690271"/>
      <w:bookmarkStart w:id="191" w:name="_Toc10298"/>
      <w:bookmarkStart w:id="192" w:name="_Toc32509"/>
      <w:r>
        <w:rPr>
          <w:rFonts w:hint="eastAsia" w:asciiTheme="minorEastAsia" w:hAnsiTheme="minorEastAsia" w:eastAsiaTheme="minorEastAsia" w:cstheme="minorEastAsia"/>
          <w:color w:val="auto"/>
          <w:sz w:val="32"/>
          <w:szCs w:val="32"/>
          <w:highlight w:val="none"/>
        </w:rPr>
        <w:t xml:space="preserve">第四部分  </w:t>
      </w:r>
      <w:bookmarkEnd w:id="190"/>
      <w:r>
        <w:rPr>
          <w:rFonts w:hint="eastAsia" w:asciiTheme="minorEastAsia" w:hAnsiTheme="minorEastAsia" w:eastAsiaTheme="minorEastAsia" w:cstheme="minorEastAsia"/>
          <w:color w:val="auto"/>
          <w:sz w:val="32"/>
          <w:szCs w:val="32"/>
          <w:highlight w:val="none"/>
        </w:rPr>
        <w:t xml:space="preserve"> </w:t>
      </w:r>
      <w:r>
        <w:rPr>
          <w:rFonts w:hint="eastAsia" w:asciiTheme="minorEastAsia" w:hAnsiTheme="minorEastAsia" w:eastAsiaTheme="minorEastAsia" w:cstheme="minorEastAsia"/>
          <w:bCs/>
          <w:color w:val="auto"/>
          <w:sz w:val="32"/>
          <w:szCs w:val="32"/>
          <w:highlight w:val="none"/>
        </w:rPr>
        <w:t>合同条款及格式</w:t>
      </w:r>
      <w:bookmarkEnd w:id="191"/>
      <w:bookmarkEnd w:id="192"/>
    </w:p>
    <w:p>
      <w:pPr>
        <w:jc w:val="left"/>
        <w:rPr>
          <w:rFonts w:eastAsia="仿宋_GB2312"/>
          <w:bCs/>
          <w:color w:val="000000"/>
          <w:sz w:val="32"/>
          <w:szCs w:val="32"/>
        </w:rPr>
      </w:pPr>
      <w:bookmarkStart w:id="193" w:name="_Toc298240429"/>
      <w:bookmarkStart w:id="194" w:name="_Toc349637943"/>
      <w:bookmarkStart w:id="195" w:name="_Toc507690272"/>
      <w:bookmarkStart w:id="196" w:name="_Toc349573144"/>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r>
        <w:rPr>
          <w:rFonts w:eastAsia="华文中宋"/>
          <w:b/>
          <w:color w:val="000000"/>
          <w:sz w:val="52"/>
          <w:szCs w:val="52"/>
        </w:rPr>
        <w:t>（示范文本）</w:t>
      </w: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rPr>
          <w:b/>
          <w:color w:val="000000"/>
          <w:sz w:val="28"/>
          <w:szCs w:val="28"/>
        </w:rPr>
      </w:pPr>
    </w:p>
    <w:p>
      <w:pPr>
        <w:rPr>
          <w:b/>
          <w:color w:val="000000"/>
          <w:sz w:val="28"/>
          <w:szCs w:val="28"/>
        </w:rPr>
      </w:pPr>
    </w:p>
    <w:p>
      <w:pPr>
        <w:rPr>
          <w:b/>
          <w:color w:val="000000"/>
          <w:sz w:val="28"/>
          <w:szCs w:val="28"/>
        </w:rPr>
      </w:pPr>
    </w:p>
    <w:p>
      <w:pPr>
        <w:ind w:right="2719" w:rightChars="1295" w:firstLine="2738" w:firstLineChars="1304"/>
        <w:jc w:val="distribute"/>
        <w:rPr>
          <w:b/>
          <w:color w:val="000000"/>
          <w:sz w:val="32"/>
          <w:szCs w:val="28"/>
        </w:rPr>
      </w:pPr>
      <w: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ATOGNM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b/>
          <w:color w:val="000000"/>
          <w:sz w:val="32"/>
          <w:szCs w:val="28"/>
        </w:rPr>
        <w:t>住房城乡建设部</w:t>
      </w:r>
    </w:p>
    <w:p>
      <w:pPr>
        <w:ind w:right="2719" w:rightChars="1295" w:firstLine="2750" w:firstLineChars="856"/>
        <w:jc w:val="distribute"/>
        <w:rPr>
          <w:b/>
          <w:color w:val="000000"/>
          <w:sz w:val="32"/>
          <w:szCs w:val="28"/>
        </w:rPr>
      </w:pPr>
      <w:r>
        <w:rPr>
          <w:b/>
          <w:color w:val="000000"/>
          <w:sz w:val="32"/>
          <w:szCs w:val="28"/>
        </w:rPr>
        <w:t>国家工商行政管理总局</w:t>
      </w:r>
    </w:p>
    <w:p>
      <w:pPr>
        <w:rPr>
          <w:b/>
          <w:color w:val="000000"/>
        </w:rPr>
      </w:pPr>
    </w:p>
    <w:p>
      <w:pPr>
        <w:pStyle w:val="47"/>
        <w:spacing w:before="0" w:after="0" w:line="240" w:lineRule="auto"/>
        <w:jc w:val="center"/>
        <w:outlineLvl w:val="0"/>
        <w:rPr>
          <w:rFonts w:hint="eastAsia" w:eastAsia="华文中宋"/>
          <w:lang w:val="zh-CN"/>
        </w:rPr>
      </w:pPr>
      <w:r>
        <w:rPr>
          <w:b w:val="0"/>
          <w:color w:val="000000"/>
        </w:rPr>
        <w:br w:type="page"/>
      </w:r>
      <w:bookmarkStart w:id="197" w:name="_Toc296890982"/>
      <w:bookmarkStart w:id="198" w:name="_Toc296503025"/>
      <w:r>
        <w:rPr>
          <w:rFonts w:hint="eastAsia" w:eastAsia="华文中宋"/>
          <w:lang w:val="zh-CN"/>
        </w:rPr>
        <w:t>说  明</w:t>
      </w:r>
    </w:p>
    <w:p>
      <w:pPr>
        <w:spacing w:line="460" w:lineRule="exact"/>
        <w:ind w:firstLine="600" w:firstLineChars="250"/>
        <w:rPr>
          <w:rFonts w:hint="eastAsia" w:ascii="宋体" w:hAnsi="宋体"/>
          <w:kern w:val="0"/>
          <w:sz w:val="24"/>
        </w:rPr>
      </w:pPr>
      <w:r>
        <w:rPr>
          <w:rFonts w:hint="eastAsia" w:ascii="宋体" w:hAnsi="宋体"/>
          <w:kern w:val="0"/>
          <w:sz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460" w:lineRule="exact"/>
        <w:ind w:firstLine="600" w:firstLineChars="250"/>
        <w:rPr>
          <w:rFonts w:hint="eastAsia" w:ascii="宋体" w:hAnsi="宋体"/>
          <w:kern w:val="0"/>
          <w:sz w:val="24"/>
        </w:rPr>
      </w:pPr>
      <w:r>
        <w:rPr>
          <w:rFonts w:hint="eastAsia" w:ascii="宋体" w:hAnsi="宋体"/>
          <w:kern w:val="0"/>
          <w:sz w:val="24"/>
        </w:rPr>
        <w:t>一、《示范文本》的组成</w:t>
      </w:r>
    </w:p>
    <w:p>
      <w:pPr>
        <w:spacing w:line="460" w:lineRule="exact"/>
        <w:ind w:firstLine="600" w:firstLineChars="250"/>
        <w:rPr>
          <w:rFonts w:hint="eastAsia" w:ascii="宋体" w:hAnsi="宋体"/>
          <w:kern w:val="0"/>
          <w:sz w:val="24"/>
        </w:rPr>
      </w:pPr>
      <w:r>
        <w:rPr>
          <w:rFonts w:hint="eastAsia" w:ascii="宋体" w:hAnsi="宋体"/>
          <w:kern w:val="0"/>
          <w:sz w:val="24"/>
        </w:rPr>
        <w:t>《示范文本》由合同协议书、通用合同条款和专用合同条款三部分组成。</w:t>
      </w:r>
    </w:p>
    <w:p>
      <w:pPr>
        <w:spacing w:line="460" w:lineRule="exact"/>
        <w:ind w:firstLine="600" w:firstLineChars="250"/>
        <w:rPr>
          <w:rFonts w:hint="eastAsia" w:ascii="宋体" w:hAnsi="宋体"/>
          <w:kern w:val="0"/>
          <w:sz w:val="24"/>
        </w:rPr>
      </w:pPr>
      <w:r>
        <w:rPr>
          <w:rFonts w:hint="eastAsia" w:ascii="宋体" w:hAnsi="宋体"/>
          <w:kern w:val="0"/>
          <w:sz w:val="24"/>
        </w:rPr>
        <w:t>（一）合同协议书</w:t>
      </w:r>
    </w:p>
    <w:p>
      <w:pPr>
        <w:spacing w:line="460" w:lineRule="exact"/>
        <w:ind w:firstLine="600" w:firstLineChars="250"/>
        <w:rPr>
          <w:rFonts w:hint="eastAsia" w:ascii="宋体" w:hAnsi="宋体"/>
          <w:kern w:val="0"/>
          <w:sz w:val="24"/>
        </w:rPr>
      </w:pPr>
      <w:r>
        <w:rPr>
          <w:rFonts w:hint="eastAsia" w:ascii="宋体" w:hAnsi="宋体"/>
          <w:kern w:val="0"/>
          <w:sz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460" w:lineRule="exact"/>
        <w:ind w:firstLine="600" w:firstLineChars="250"/>
        <w:rPr>
          <w:rFonts w:hint="eastAsia" w:ascii="宋体" w:hAnsi="宋体"/>
          <w:kern w:val="0"/>
          <w:sz w:val="24"/>
        </w:rPr>
      </w:pPr>
      <w:r>
        <w:rPr>
          <w:rFonts w:hint="eastAsia" w:ascii="宋体" w:hAnsi="宋体"/>
          <w:kern w:val="0"/>
          <w:sz w:val="24"/>
        </w:rPr>
        <w:t>（二）通用合同条款</w:t>
      </w:r>
    </w:p>
    <w:p>
      <w:pPr>
        <w:spacing w:line="460" w:lineRule="exact"/>
        <w:ind w:firstLine="600" w:firstLineChars="250"/>
        <w:rPr>
          <w:rFonts w:hint="eastAsia" w:ascii="宋体" w:hAnsi="宋体"/>
          <w:kern w:val="0"/>
          <w:sz w:val="24"/>
        </w:rPr>
      </w:pPr>
      <w:r>
        <w:rPr>
          <w:rFonts w:hint="eastAsia" w:ascii="宋体" w:hAnsi="宋体"/>
          <w:kern w:val="0"/>
          <w:sz w:val="24"/>
        </w:rPr>
        <w:t>通用合同条款是合同当事人根据《中华人民共和国建筑法》、《中华人民共和国合同法》等法律法规的规定，就工程建设的实施及相关事项，对合同当事人的权利义务作出的原则性约定。</w:t>
      </w:r>
    </w:p>
    <w:p>
      <w:pPr>
        <w:spacing w:line="460" w:lineRule="exact"/>
        <w:ind w:firstLine="600" w:firstLineChars="250"/>
        <w:rPr>
          <w:rFonts w:hint="eastAsia" w:ascii="宋体" w:hAnsi="宋体"/>
          <w:kern w:val="0"/>
          <w:sz w:val="24"/>
        </w:rPr>
      </w:pPr>
      <w:r>
        <w:rPr>
          <w:rFonts w:hint="eastAsia" w:ascii="宋体" w:hAnsi="宋体"/>
          <w:kern w:val="0"/>
          <w:sz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460" w:lineRule="exact"/>
        <w:ind w:firstLine="600" w:firstLineChars="250"/>
        <w:rPr>
          <w:rFonts w:hint="eastAsia" w:ascii="宋体" w:hAnsi="宋体"/>
          <w:kern w:val="0"/>
          <w:sz w:val="24"/>
        </w:rPr>
      </w:pPr>
      <w:r>
        <w:rPr>
          <w:rFonts w:hint="eastAsia" w:ascii="宋体" w:hAnsi="宋体"/>
          <w:kern w:val="0"/>
          <w:sz w:val="24"/>
        </w:rPr>
        <w:t>（三）专用合同条款</w:t>
      </w:r>
    </w:p>
    <w:p>
      <w:pPr>
        <w:spacing w:line="460" w:lineRule="exact"/>
        <w:ind w:firstLine="600" w:firstLineChars="250"/>
        <w:rPr>
          <w:rFonts w:hint="eastAsia" w:ascii="宋体" w:hAnsi="宋体"/>
          <w:kern w:val="0"/>
          <w:sz w:val="24"/>
        </w:rPr>
      </w:pPr>
      <w:r>
        <w:rPr>
          <w:rFonts w:hint="eastAsia" w:ascii="宋体" w:hAnsi="宋体"/>
          <w:kern w:val="0"/>
          <w:sz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460" w:lineRule="exact"/>
        <w:ind w:firstLine="600" w:firstLineChars="250"/>
        <w:rPr>
          <w:rFonts w:hint="eastAsia" w:ascii="宋体" w:hAnsi="宋体"/>
          <w:kern w:val="0"/>
          <w:sz w:val="24"/>
        </w:rPr>
      </w:pPr>
      <w:r>
        <w:rPr>
          <w:rFonts w:hint="eastAsia" w:ascii="宋体" w:hAnsi="宋体"/>
          <w:kern w:val="0"/>
          <w:sz w:val="24"/>
        </w:rPr>
        <w:t>1.专用合同条款的编号应与相应的通用合同条款的编号一致；</w:t>
      </w:r>
    </w:p>
    <w:p>
      <w:pPr>
        <w:spacing w:line="460" w:lineRule="exact"/>
        <w:ind w:firstLine="600" w:firstLineChars="250"/>
        <w:rPr>
          <w:rFonts w:hint="eastAsia" w:ascii="宋体" w:hAnsi="宋体"/>
          <w:kern w:val="0"/>
          <w:sz w:val="24"/>
        </w:rPr>
      </w:pPr>
      <w:r>
        <w:rPr>
          <w:rFonts w:hint="eastAsia" w:ascii="宋体" w:hAnsi="宋体"/>
          <w:kern w:val="0"/>
          <w:sz w:val="24"/>
        </w:rPr>
        <w:t>2.合同当事人可以通过对专用合同条款的修改，满足具体建设工程的特殊要求，避免直接修改通用合同条款；</w:t>
      </w:r>
    </w:p>
    <w:p>
      <w:pPr>
        <w:spacing w:line="460" w:lineRule="exact"/>
        <w:ind w:firstLine="600" w:firstLineChars="250"/>
        <w:rPr>
          <w:rFonts w:hint="eastAsia" w:ascii="宋体" w:hAnsi="宋体"/>
          <w:kern w:val="0"/>
          <w:sz w:val="24"/>
        </w:rPr>
      </w:pPr>
      <w:r>
        <w:rPr>
          <w:rFonts w:hint="eastAsia" w:ascii="宋体" w:hAnsi="宋体"/>
          <w:kern w:val="0"/>
          <w:sz w:val="24"/>
        </w:rPr>
        <w:t>3.在专用合同条款中有横道线的地方，合同当事人可针对相应的通用合同条款进行细化、完善、补充、修改或另行约定；如无细化、完善、补充、修改或另行约定，则填写“无”或划“/”。</w:t>
      </w:r>
    </w:p>
    <w:p>
      <w:pPr>
        <w:spacing w:line="460" w:lineRule="exact"/>
        <w:ind w:firstLine="600" w:firstLineChars="250"/>
        <w:rPr>
          <w:rFonts w:hint="eastAsia" w:ascii="宋体" w:hAnsi="宋体"/>
          <w:kern w:val="0"/>
          <w:sz w:val="24"/>
        </w:rPr>
      </w:pPr>
      <w:r>
        <w:rPr>
          <w:rFonts w:hint="eastAsia" w:ascii="宋体" w:hAnsi="宋体"/>
          <w:kern w:val="0"/>
          <w:sz w:val="24"/>
        </w:rPr>
        <w:t>二、《示范文本》的性质和适用范围</w:t>
      </w:r>
    </w:p>
    <w:p>
      <w:pPr>
        <w:spacing w:line="460" w:lineRule="exact"/>
        <w:ind w:firstLine="600" w:firstLineChars="250"/>
        <w:rPr>
          <w:rFonts w:hint="eastAsia" w:ascii="宋体" w:hAnsi="宋体"/>
          <w:kern w:val="0"/>
          <w:sz w:val="24"/>
        </w:rPr>
        <w:sectPr>
          <w:footerReference r:id="rId5" w:type="first"/>
          <w:headerReference r:id="rId3" w:type="default"/>
          <w:footerReference r:id="rId4" w:type="default"/>
          <w:pgSz w:w="11906" w:h="16838"/>
          <w:pgMar w:top="1418" w:right="1555" w:bottom="1418" w:left="1531" w:header="851" w:footer="992" w:gutter="0"/>
          <w:pgNumType w:start="1"/>
          <w:cols w:space="720" w:num="1"/>
          <w:titlePg/>
          <w:docGrid w:type="lines" w:linePitch="312" w:charSpace="0"/>
        </w:sectPr>
      </w:pPr>
      <w:r>
        <w:rPr>
          <w:rFonts w:hint="eastAsia" w:ascii="宋体" w:hAnsi="宋体"/>
          <w:kern w:val="0"/>
          <w:sz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47"/>
        <w:spacing w:before="120" w:after="120"/>
        <w:jc w:val="center"/>
        <w:rPr>
          <w:rFonts w:hint="eastAsia" w:ascii="宋体" w:hAnsi="宋体" w:eastAsia="宋体" w:cs="宋体"/>
        </w:rPr>
      </w:pPr>
      <w:r>
        <w:rPr>
          <w:rFonts w:hint="eastAsia" w:ascii="宋体" w:hAnsi="宋体" w:eastAsia="宋体" w:cs="宋体"/>
          <w:lang w:val="zh-CN"/>
        </w:rPr>
        <w:t>目  录</w:t>
      </w:r>
    </w:p>
    <w:p>
      <w:pPr>
        <w:pStyle w:val="14"/>
        <w:tabs>
          <w:tab w:val="right" w:leader="dot" w:pos="8810"/>
        </w:tabs>
        <w:ind w:left="0" w:leftChars="0" w:firstLine="420" w:firstLineChars="150"/>
        <w:rPr>
          <w:rFonts w:hint="eastAsia" w:ascii="宋体" w:hAnsi="宋体" w:eastAsia="宋体" w:cs="宋体"/>
          <w:b/>
          <w:sz w:val="30"/>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"1-5" \h \z \u </w:instrText>
      </w:r>
      <w:r>
        <w:rPr>
          <w:rFonts w:hint="eastAsia" w:ascii="宋体" w:hAnsi="宋体" w:eastAsia="宋体" w:cs="宋体"/>
          <w:sz w:val="28"/>
          <w:szCs w:val="28"/>
        </w:rPr>
        <w:fldChar w:fldCharType="separate"/>
      </w: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"_Toc351203480"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b/>
          <w:sz w:val="24"/>
          <w:szCs w:val="24"/>
        </w:rPr>
        <w:t>第一部分 合同协议书</w:t>
      </w:r>
      <w:r>
        <w:rPr>
          <w:rFonts w:hint="eastAsia" w:ascii="宋体" w:hAnsi="宋体" w:eastAsia="宋体" w:cs="宋体"/>
          <w:sz w:val="24"/>
          <w:szCs w:val="24"/>
        </w:rPr>
        <w:t>……………………</w:t>
      </w:r>
      <w:r>
        <w:rPr>
          <w:rFonts w:hint="eastAsia" w:ascii="宋体" w:hAnsi="宋体" w:eastAsia="宋体" w:cs="宋体"/>
          <w:spacing w:val="34"/>
          <w:sz w:val="24"/>
          <w:szCs w:val="24"/>
        </w:rPr>
        <w:t>…</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_Toc351203480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"_Toc351203481"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一、工程概况</w:t>
      </w:r>
      <w:r>
        <w:rPr>
          <w:rFonts w:hint="eastAsia" w:ascii="宋体" w:hAnsi="宋体" w:eastAsia="宋体" w:cs="宋体"/>
          <w:sz w:val="24"/>
          <w:szCs w:val="24"/>
        </w:rPr>
        <w:tab/>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_Toc351203481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"_Toc351203482"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二、合同工期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_Toc351203482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"_Toc351203483"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三、质量标准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_Toc351203483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"_Toc351203484"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四、签约合同价与合同价格形式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_Toc351203484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"_Toc351203485"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五、项目经理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_Toc351203485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"_Toc351203486"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六、合同文件构成</w:t>
      </w:r>
      <w:r>
        <w:rPr>
          <w:rFonts w:hint="eastAsia" w:ascii="宋体" w:hAnsi="宋体" w:eastAsia="宋体" w:cs="宋体"/>
          <w:sz w:val="24"/>
          <w:szCs w:val="24"/>
        </w:rPr>
        <w:tab/>
      </w:r>
      <w:r>
        <w:rPr>
          <w:rFonts w:hint="eastAsia" w:ascii="宋体" w:hAnsi="宋体" w:eastAsia="宋体" w:cs="宋体"/>
          <w:sz w:val="24"/>
          <w:szCs w:val="24"/>
        </w:rPr>
        <w:t>2</w:t>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"_Toc351203487"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七、承诺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_Toc351203487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"_Toc351203488"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八、词语含义</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"_Toc351203489"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九、签订时间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_Toc351203489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"_Toc351203490"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十、签订地点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_Toc351203490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"_Toc351203491"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十一、补充协议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_Toc351203491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"_Toc351203492"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十二、合同生效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_Toc351203492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"_Toc351203493"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十三、合同份数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_Toc351203493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810"/>
        </w:tabs>
        <w:ind w:left="0" w:leftChars="0" w:firstLine="239" w:firstLineChars="99"/>
        <w:rPr>
          <w:rFonts w:hint="eastAsia" w:ascii="宋体" w:hAnsi="宋体" w:eastAsia="宋体" w:cs="宋体"/>
          <w:b/>
          <w:sz w:val="24"/>
          <w:szCs w:val="24"/>
        </w:rPr>
      </w:pPr>
      <w:r>
        <w:rPr>
          <w:rFonts w:hint="eastAsia" w:ascii="宋体" w:hAnsi="宋体" w:eastAsia="宋体" w:cs="宋体"/>
          <w:b/>
          <w:sz w:val="24"/>
          <w:szCs w:val="24"/>
        </w:rPr>
        <w:fldChar w:fldCharType="begin"/>
      </w:r>
      <w:r>
        <w:rPr>
          <w:rStyle w:val="29"/>
          <w:rFonts w:hint="eastAsia" w:ascii="宋体" w:hAnsi="宋体" w:eastAsia="宋体" w:cs="宋体"/>
          <w:b/>
          <w:sz w:val="24"/>
          <w:szCs w:val="24"/>
        </w:rPr>
        <w:instrText xml:space="preserve"> </w:instrText>
      </w:r>
      <w:r>
        <w:rPr>
          <w:rFonts w:hint="eastAsia" w:ascii="宋体" w:hAnsi="宋体" w:eastAsia="宋体" w:cs="宋体"/>
          <w:b/>
          <w:sz w:val="24"/>
          <w:szCs w:val="24"/>
        </w:rPr>
        <w:instrText xml:space="preserve">HYPERLINK \l "_Toc351203494"</w:instrText>
      </w:r>
      <w:r>
        <w:rPr>
          <w:rStyle w:val="29"/>
          <w:rFonts w:hint="eastAsia" w:ascii="宋体" w:hAnsi="宋体" w:eastAsia="宋体" w:cs="宋体"/>
          <w:b/>
          <w:sz w:val="24"/>
          <w:szCs w:val="24"/>
        </w:rPr>
        <w:instrText xml:space="preserve"> </w:instrText>
      </w:r>
      <w:r>
        <w:rPr>
          <w:rFonts w:hint="eastAsia" w:ascii="宋体" w:hAnsi="宋体" w:eastAsia="宋体" w:cs="宋体"/>
          <w:b/>
          <w:sz w:val="24"/>
          <w:szCs w:val="24"/>
        </w:rPr>
        <w:fldChar w:fldCharType="separate"/>
      </w:r>
      <w:r>
        <w:rPr>
          <w:rStyle w:val="29"/>
          <w:rFonts w:hint="eastAsia" w:ascii="宋体" w:hAnsi="宋体" w:eastAsia="宋体" w:cs="宋体"/>
          <w:b/>
          <w:sz w:val="24"/>
          <w:szCs w:val="24"/>
        </w:rPr>
        <w:t>第二部分 通用合同条款</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_Toc351203494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
          <w:sz w:val="24"/>
          <w:szCs w:val="24"/>
        </w:rPr>
        <w:fldChar w:fldCharType="end"/>
      </w:r>
    </w:p>
    <w:p>
      <w:pPr>
        <w:pStyle w:val="19"/>
        <w:ind w:firstLine="360" w:firstLineChars="15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"_Toc351203495"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 一般约定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_Toc351203495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"_Toc351203496"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1.1词语定义与解释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_Toc351203496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"_Toc351203497"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1.2语言文字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_Toc351203497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"_Toc351203498"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1.3法律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_Toc351203498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"_Toc351203499"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1.4 标准和规范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_Toc351203499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"_Toc351203500"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1.5 合同文件的优先顺序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_Toc351203500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"_Toc351203501"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1.6图纸和承包人文件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_Toc351203501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"_Toc351203502"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1.7联络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_Toc351203502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"_Toc351203503"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1.8严禁贿赂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_Toc351203503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"_Toc351203504"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1.9化石、文物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_Toc351203504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"_Toc351203505"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1.10交通运输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_Toc351203505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"_Toc351203506"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1.11知识产权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_Toc351203506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"_Toc351203507"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1.12保密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_Toc351203507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"_Toc351203508"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1.13工程量清单错误的修正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_Toc351203508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"_Toc351203509"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 发包人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_Toc351203509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"_Toc351203510"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2.1 许可或批准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_Toc351203510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"_Toc351203511"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2.2 发包人代表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_Toc351203511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"_Toc351203512"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2.3 发包人人员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_Toc351203512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"_Toc351203513"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2.4 施工现场、施工条件和基础资料的提供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_Toc351203513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"_Toc351203514"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2.5 资金来源证明及支付担保</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_Toc351203514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"_Toc351203515"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2.6 支付合同价款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_Toc351203515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"_Toc351203516"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2.7 组织竣工验收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_Toc351203516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"_Toc351203517"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2.8 现场统一管理协议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_Toc351203517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"_Toc351203518"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3. 承包人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_Toc351203518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"_Toc351203519"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3.1 承包人的一般义务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_Toc351203519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"_Toc351203520"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3.2 项目经理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_Toc351203520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"_Toc351203521"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3.3 承包人人员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_Toc351203521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"_Toc351203522"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3.4 承包人现场查勘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_Toc351203522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"_Toc351203523"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3.5 分包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_Toc351203523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"_Toc351203524"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3.6 工程照管与成品、半成品保护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_Toc351203524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"_Toc351203525"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3.7 履约担保</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_Toc351203525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"_Toc351203526"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3.8 联合体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_Toc351203526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"_Toc351203527"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4. 监理人</w:t>
      </w:r>
      <w:r>
        <w:rPr>
          <w:rFonts w:hint="eastAsia" w:ascii="宋体" w:hAnsi="宋体" w:eastAsia="宋体" w:cs="宋体"/>
          <w:sz w:val="24"/>
          <w:szCs w:val="24"/>
        </w:rPr>
        <w:tab/>
      </w:r>
      <w:r>
        <w:rPr>
          <w:rFonts w:hint="eastAsia" w:ascii="宋体" w:hAnsi="宋体" w:eastAsia="宋体" w:cs="宋体"/>
          <w:sz w:val="24"/>
          <w:szCs w:val="24"/>
        </w:rPr>
        <w:t>30</w:t>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"_Toc351203528"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4.1监理人的一般规定</w:t>
      </w:r>
      <w:r>
        <w:rPr>
          <w:rFonts w:hint="eastAsia" w:ascii="宋体" w:hAnsi="宋体" w:eastAsia="宋体" w:cs="宋体"/>
          <w:sz w:val="24"/>
          <w:szCs w:val="24"/>
        </w:rPr>
        <w:tab/>
      </w:r>
      <w:r>
        <w:rPr>
          <w:rFonts w:hint="eastAsia" w:ascii="宋体" w:hAnsi="宋体" w:eastAsia="宋体" w:cs="宋体"/>
          <w:sz w:val="24"/>
          <w:szCs w:val="24"/>
        </w:rPr>
        <w:t>30</w:t>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"_Toc351203529"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4.2监理人员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_Toc351203529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"_Toc351203530"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4.3监理人的指示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_Toc351203530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"_Toc351203531"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4.4 商定或确定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_Toc351203531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"_Toc351203532"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5. 工程质量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_Toc351203532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"_Toc351203533"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5.1质量要求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_Toc351203533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"_Toc351203534"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5.2质量保证措施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_Toc351203534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"_Toc351203535"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5.3 隐蔽工程检查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_Toc351203535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"_Toc351203536"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5.4不合格工程的处理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_Toc351203536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"_Toc351203537"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5.5 质量争议检测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_Toc351203537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"_Toc351203538"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6. 安全文明施工与环境保护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_Toc351203538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"_Toc351203539"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6.1安全文明施工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_Toc351203539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"_Toc351203540"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6.2 职业健康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_Toc351203540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"_Toc351203541"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6.3 环境保护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_Toc351203541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"_Toc351203542"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 工期和进度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_Toc351203542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"_Toc351203543"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7.1施工组织设计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_Toc351203543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"_Toc351203544"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7.2 施工进度计划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_Toc351203544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"_Toc351203545"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7.3 开工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_Toc351203545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"_Toc351203546"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7.4测量放线</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_Toc351203546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"_Toc351203547"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7.5工期延误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_Toc351203547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"_Toc351203548"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7.6 不利物质条件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_Toc351203548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"_Toc351203549"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7.7异常恶劣的气候条件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_Toc351203549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"_Toc351203550"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7.8 暂停施工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_Toc351203550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"_Toc351203551"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7.9 提前竣工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_Toc351203551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"_Toc351203552"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 材料与设备</w:t>
      </w:r>
      <w:r>
        <w:rPr>
          <w:rFonts w:hint="eastAsia" w:ascii="宋体" w:hAnsi="宋体" w:eastAsia="宋体" w:cs="宋体"/>
          <w:sz w:val="24"/>
          <w:szCs w:val="24"/>
        </w:rPr>
        <w:tab/>
      </w:r>
      <w:r>
        <w:rPr>
          <w:rFonts w:hint="eastAsia" w:ascii="宋体" w:hAnsi="宋体" w:eastAsia="宋体" w:cs="宋体"/>
          <w:sz w:val="24"/>
          <w:szCs w:val="24"/>
        </w:rPr>
        <w:t>50</w:t>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"_Toc351203553"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8.1发包人供应材料与工程设备</w:t>
      </w:r>
      <w:r>
        <w:rPr>
          <w:rFonts w:hint="eastAsia" w:ascii="宋体" w:hAnsi="宋体" w:eastAsia="宋体" w:cs="宋体"/>
          <w:sz w:val="24"/>
          <w:szCs w:val="24"/>
        </w:rPr>
        <w:tab/>
      </w:r>
      <w:r>
        <w:rPr>
          <w:rFonts w:hint="eastAsia" w:ascii="宋体" w:hAnsi="宋体" w:eastAsia="宋体" w:cs="宋体"/>
          <w:sz w:val="24"/>
          <w:szCs w:val="24"/>
        </w:rPr>
        <w:t>50</w:t>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"_Toc351203554"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8.2承包人采购材料与工程设备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_Toc351203554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"_Toc351203555"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8.3材料与工程设备的接收与拒收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_Toc351203555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"_Toc351203556"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8.4材料与工程设备的保管与使用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_Toc351203556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"_Toc351203557"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8.5 禁止使用不合格的材料和工程设备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_Toc351203557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"_Toc351203558"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8.6 样品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_Toc351203558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"_Toc351203559"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8.7 材料与工程设备的替代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_Toc351203559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"_Toc351203560"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8.8 施工设备和临时设施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_Toc351203560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"_Toc351203561"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8.9材料与设备专用要求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_Toc351203561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"_Toc351203562"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9. 试验与检验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_Toc351203562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"_Toc351203563"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9.1试验设备与试验人员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_Toc351203563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"_Toc351203564"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9.2取样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_Toc351203564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"_Toc351203565"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9.3 材料、工程设备和工程的试验和检验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_Toc351203565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"_Toc351203566"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9.4 现场工艺试验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_Toc351203566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"_Toc351203567"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 变更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_Toc351203567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"_Toc351203568"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10.1变更的范围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_Toc351203568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"_Toc351203569"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10.2 变更权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_Toc351203569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"_Toc351203570"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10.3变更程序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_Toc351203570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"_Toc351203571"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10.4变更估价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_Toc351203571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"_Toc351203572"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10.5 承包人的合理化建议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_Toc351203572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"_Toc351203573"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10.6 变更引起的工期调整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_Toc351203573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"_Toc351203574"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10.7 暂估价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_Toc351203574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"_Toc351203575"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10.8 暂列金额</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_Toc351203575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"_Toc351203576"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10.9 计日工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_Toc351203576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"_Toc351203577"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11. 价格调整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_Toc351203577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"_Toc351203578"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11.1 市场价格波动引起的调整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_Toc351203578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"_Toc351203579"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11.2 法律变化引起的调整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_Toc351203579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"_Toc351203580"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12. 合同价格、计量与支付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_Toc351203580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"_Toc351203581"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12.1 合同价格形式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_Toc351203581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"_Toc351203582"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12.2 预付款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_Toc351203582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"_Toc351203583"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12.3 计量</w:t>
      </w:r>
      <w:r>
        <w:rPr>
          <w:rFonts w:hint="eastAsia" w:ascii="宋体" w:hAnsi="宋体" w:eastAsia="宋体" w:cs="宋体"/>
          <w:sz w:val="24"/>
          <w:szCs w:val="24"/>
        </w:rPr>
        <w:tab/>
      </w:r>
      <w:r>
        <w:rPr>
          <w:rFonts w:hint="eastAsia" w:ascii="宋体" w:hAnsi="宋体" w:eastAsia="宋体" w:cs="宋体"/>
          <w:sz w:val="24"/>
          <w:szCs w:val="24"/>
        </w:rPr>
        <w:t>70</w:t>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"_Toc351203584"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12.4 工程进度款支付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_Toc351203584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"_Toc351203585"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12.5 支付账户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_Toc351203585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"_Toc351203586"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13. 验收和工程试车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_Toc351203586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"_Toc351203587"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13.1 分部分项工程验收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_Toc351203587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"_Toc351203588"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13.2竣工验收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_Toc351203588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"_Toc351203589"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13.3工程试车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_Toc351203589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"_Toc351203590"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13.4提前交付单位工程的验收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_Toc351203590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"_Toc351203591"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13.5 施工期运行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_Toc351203591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"_Toc351203592"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13.6 竣工退场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_Toc351203592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"_Toc351203593"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14. 竣工结算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_Toc351203593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"_Toc351203594"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14.1 竣工结算申请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_Toc351203594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"_Toc351203595"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14.2 竣工</w:t>
      </w:r>
      <w:bookmarkStart w:id="199" w:name="_Hlt356058165"/>
      <w:bookmarkStart w:id="200" w:name="_Hlt356058166"/>
      <w:r>
        <w:rPr>
          <w:rStyle w:val="29"/>
          <w:rFonts w:hint="eastAsia" w:ascii="宋体" w:hAnsi="宋体" w:eastAsia="宋体" w:cs="宋体"/>
          <w:sz w:val="24"/>
          <w:szCs w:val="24"/>
        </w:rPr>
        <w:t>结</w:t>
      </w:r>
      <w:bookmarkEnd w:id="199"/>
      <w:bookmarkEnd w:id="200"/>
      <w:r>
        <w:rPr>
          <w:rStyle w:val="29"/>
          <w:rFonts w:hint="eastAsia" w:ascii="宋体" w:hAnsi="宋体" w:eastAsia="宋体" w:cs="宋体"/>
          <w:sz w:val="24"/>
          <w:szCs w:val="24"/>
        </w:rPr>
        <w:t>算审核</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_Toc351203595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"_Toc351203596"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14.3 甩项竣工协议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_Toc351203596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"_Toc351203597"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14.4 最终结清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_Toc351203597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"_Toc351203598"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15. 缺陷责任与保修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_Toc351203598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"_Toc351203599"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15.1 工程保修的原则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_Toc351203599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"_Toc351203600"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15.2 缺</w:t>
      </w:r>
      <w:bookmarkStart w:id="201" w:name="_Hlt354658487"/>
      <w:bookmarkStart w:id="202" w:name="_Hlt354658488"/>
      <w:r>
        <w:rPr>
          <w:rStyle w:val="29"/>
          <w:rFonts w:hint="eastAsia" w:ascii="宋体" w:hAnsi="宋体" w:eastAsia="宋体" w:cs="宋体"/>
          <w:sz w:val="24"/>
          <w:szCs w:val="24"/>
        </w:rPr>
        <w:t>陷</w:t>
      </w:r>
      <w:bookmarkEnd w:id="201"/>
      <w:bookmarkEnd w:id="202"/>
      <w:r>
        <w:rPr>
          <w:rStyle w:val="29"/>
          <w:rFonts w:hint="eastAsia" w:ascii="宋体" w:hAnsi="宋体" w:eastAsia="宋体" w:cs="宋体"/>
          <w:sz w:val="24"/>
          <w:szCs w:val="24"/>
        </w:rPr>
        <w:t>责任期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_Toc351203600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"_Toc351203601"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15.3 质量保证金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_Toc351203601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"_Toc351203602"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15.4 保修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_Toc351203602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"_Toc351203603"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16. 违约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_Toc351203603 \h </w:instrText>
      </w:r>
      <w:r>
        <w:rPr>
          <w:rFonts w:hint="eastAsia" w:ascii="宋体" w:hAnsi="宋体" w:eastAsia="宋体" w:cs="宋体"/>
          <w:sz w:val="24"/>
          <w:szCs w:val="24"/>
        </w:rPr>
        <w:fldChar w:fldCharType="separate"/>
      </w:r>
      <w:r>
        <w:rPr>
          <w:rFonts w:hint="eastAsia" w:ascii="宋体" w:hAnsi="宋体" w:eastAsia="宋体" w:cs="宋体"/>
          <w:sz w:val="24"/>
          <w:szCs w:val="24"/>
        </w:rPr>
        <w:t>85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"_Toc351203604"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16.1 发包人违约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_Toc351203604 \h </w:instrText>
      </w:r>
      <w:r>
        <w:rPr>
          <w:rFonts w:hint="eastAsia" w:ascii="宋体" w:hAnsi="宋体" w:eastAsia="宋体" w:cs="宋体"/>
          <w:sz w:val="24"/>
          <w:szCs w:val="24"/>
        </w:rPr>
        <w:fldChar w:fldCharType="separate"/>
      </w:r>
      <w:r>
        <w:rPr>
          <w:rFonts w:hint="eastAsia" w:ascii="宋体" w:hAnsi="宋体" w:eastAsia="宋体" w:cs="宋体"/>
          <w:sz w:val="24"/>
          <w:szCs w:val="24"/>
        </w:rPr>
        <w:t>85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"_Toc351203605"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16.2 承包人违约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_Toc351203605 \h </w:instrText>
      </w:r>
      <w:r>
        <w:rPr>
          <w:rFonts w:hint="eastAsia" w:ascii="宋体" w:hAnsi="宋体" w:eastAsia="宋体" w:cs="宋体"/>
          <w:sz w:val="24"/>
          <w:szCs w:val="24"/>
        </w:rPr>
        <w:fldChar w:fldCharType="separate"/>
      </w:r>
      <w:r>
        <w:rPr>
          <w:rFonts w:hint="eastAsia" w:ascii="宋体" w:hAnsi="宋体" w:eastAsia="宋体" w:cs="宋体"/>
          <w:sz w:val="24"/>
          <w:szCs w:val="24"/>
        </w:rPr>
        <w:t>87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"_Toc351203606"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16.3 第三人造成的违约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_Toc351203606 \h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"_Toc351203607"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17. 不可抗力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_Toc351203607 \h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"_Toc351203608"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17.1 不可抗力的确认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_Toc351203608 \h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"_Toc351203609"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17.2 不可抗力的通知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_Toc351203609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"_Toc351203610"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17.3 不可抗力后果的承担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_Toc351203610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"_Toc351203611"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17.4 因不可抗力解除合同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_Toc351203611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"_Toc351203612"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18. 保险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_Toc351203612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"_Toc351203613"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18.1 工程保险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_Toc351203613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"_Toc351203614"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18.2 工伤保险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_Toc351203614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"_Toc351203615"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18.3 其他保险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_Toc351203615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"_Toc351203616"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18.4 持续保险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_Toc351203616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"_Toc351203617"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18.5 保险凭证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_Toc351203617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"_Toc351203618"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18.6 未按约定投保的补救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_Toc351203618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"_Toc351203619"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18.7 通知义务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_Toc351203619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"_Toc351203620"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19. 索赔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_Toc351203620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"_Toc351203621"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19.1 承包人的索赔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_Toc351203621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"_Toc351203622"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19.2 对承包人索赔的处理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_Toc351203622 \h </w:instrText>
      </w:r>
      <w:r>
        <w:rPr>
          <w:rFonts w:hint="eastAsia" w:ascii="宋体" w:hAnsi="宋体" w:eastAsia="宋体" w:cs="宋体"/>
          <w:sz w:val="24"/>
          <w:szCs w:val="24"/>
        </w:rPr>
        <w:fldChar w:fldCharType="separate"/>
      </w:r>
      <w:r>
        <w:rPr>
          <w:rFonts w:hint="eastAsia" w:ascii="宋体" w:hAnsi="宋体" w:eastAsia="宋体" w:cs="宋体"/>
          <w:sz w:val="24"/>
          <w:szCs w:val="24"/>
        </w:rPr>
        <w:t>92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"_Toc351203623"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19.3 发包人的索赔</w:t>
      </w:r>
      <w:r>
        <w:rPr>
          <w:rFonts w:hint="eastAsia" w:ascii="宋体" w:hAnsi="宋体" w:eastAsia="宋体" w:cs="宋体"/>
          <w:sz w:val="24"/>
          <w:szCs w:val="24"/>
        </w:rPr>
        <w:tab/>
      </w:r>
      <w:r>
        <w:rPr>
          <w:rFonts w:hint="eastAsia" w:ascii="宋体" w:hAnsi="宋体" w:eastAsia="宋体" w:cs="宋体"/>
          <w:sz w:val="24"/>
          <w:szCs w:val="24"/>
        </w:rPr>
        <w:t>100</w:t>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"_Toc351203624"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19.4 对发包人索赔的处理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_Toc351203624 \h </w:instrText>
      </w:r>
      <w:r>
        <w:rPr>
          <w:rFonts w:hint="eastAsia" w:ascii="宋体" w:hAnsi="宋体" w:eastAsia="宋体" w:cs="宋体"/>
          <w:sz w:val="24"/>
          <w:szCs w:val="24"/>
        </w:rPr>
        <w:fldChar w:fldCharType="separate"/>
      </w:r>
      <w:r>
        <w:rPr>
          <w:rFonts w:hint="eastAsia" w:ascii="宋体" w:hAnsi="宋体" w:eastAsia="宋体" w:cs="宋体"/>
          <w:sz w:val="24"/>
          <w:szCs w:val="24"/>
        </w:rPr>
        <w:t>92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"_Toc351203625"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19.5 提出索赔的期限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_Toc351203625 \h </w:instrText>
      </w:r>
      <w:r>
        <w:rPr>
          <w:rFonts w:hint="eastAsia" w:ascii="宋体" w:hAnsi="宋体" w:eastAsia="宋体" w:cs="宋体"/>
          <w:sz w:val="24"/>
          <w:szCs w:val="24"/>
        </w:rPr>
        <w:fldChar w:fldCharType="separate"/>
      </w:r>
      <w:r>
        <w:rPr>
          <w:rFonts w:hint="eastAsia" w:ascii="宋体" w:hAnsi="宋体" w:eastAsia="宋体" w:cs="宋体"/>
          <w:sz w:val="24"/>
          <w:szCs w:val="24"/>
        </w:rPr>
        <w:t>93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"_Toc351203626"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20. 争议解决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_Toc351203626 \h </w:instrText>
      </w:r>
      <w:r>
        <w:rPr>
          <w:rFonts w:hint="eastAsia" w:ascii="宋体" w:hAnsi="宋体" w:eastAsia="宋体" w:cs="宋体"/>
          <w:sz w:val="24"/>
          <w:szCs w:val="24"/>
        </w:rPr>
        <w:fldChar w:fldCharType="separate"/>
      </w:r>
      <w:r>
        <w:rPr>
          <w:rFonts w:hint="eastAsia" w:ascii="宋体" w:hAnsi="宋体" w:eastAsia="宋体" w:cs="宋体"/>
          <w:sz w:val="24"/>
          <w:szCs w:val="24"/>
        </w:rPr>
        <w:t>93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"_Toc351203627"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20.1和解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_Toc351203627 \h </w:instrText>
      </w:r>
      <w:r>
        <w:rPr>
          <w:rFonts w:hint="eastAsia" w:ascii="宋体" w:hAnsi="宋体" w:eastAsia="宋体" w:cs="宋体"/>
          <w:sz w:val="24"/>
          <w:szCs w:val="24"/>
        </w:rPr>
        <w:fldChar w:fldCharType="separate"/>
      </w:r>
      <w:r>
        <w:rPr>
          <w:rFonts w:hint="eastAsia" w:ascii="宋体" w:hAnsi="宋体" w:eastAsia="宋体" w:cs="宋体"/>
          <w:sz w:val="24"/>
          <w:szCs w:val="24"/>
        </w:rPr>
        <w:t>93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"_Toc351203628"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20.2调解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_Toc351203628 \h </w:instrText>
      </w:r>
      <w:r>
        <w:rPr>
          <w:rFonts w:hint="eastAsia" w:ascii="宋体" w:hAnsi="宋体" w:eastAsia="宋体" w:cs="宋体"/>
          <w:sz w:val="24"/>
          <w:szCs w:val="24"/>
        </w:rPr>
        <w:fldChar w:fldCharType="separate"/>
      </w:r>
      <w:r>
        <w:rPr>
          <w:rFonts w:hint="eastAsia" w:ascii="宋体" w:hAnsi="宋体" w:eastAsia="宋体" w:cs="宋体"/>
          <w:sz w:val="24"/>
          <w:szCs w:val="24"/>
        </w:rPr>
        <w:t>93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"_Toc351203629"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20.3争议评审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_Toc351203629 \h </w:instrText>
      </w:r>
      <w:r>
        <w:rPr>
          <w:rFonts w:hint="eastAsia" w:ascii="宋体" w:hAnsi="宋体" w:eastAsia="宋体" w:cs="宋体"/>
          <w:sz w:val="24"/>
          <w:szCs w:val="24"/>
        </w:rPr>
        <w:fldChar w:fldCharType="separate"/>
      </w:r>
      <w:r>
        <w:rPr>
          <w:rFonts w:hint="eastAsia" w:ascii="宋体" w:hAnsi="宋体" w:eastAsia="宋体" w:cs="宋体"/>
          <w:sz w:val="24"/>
          <w:szCs w:val="24"/>
        </w:rPr>
        <w:t>93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"_Toc351203630"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20.4仲裁或诉讼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_Toc351203630 \h </w:instrText>
      </w:r>
      <w:r>
        <w:rPr>
          <w:rFonts w:hint="eastAsia" w:ascii="宋体" w:hAnsi="宋体" w:eastAsia="宋体" w:cs="宋体"/>
          <w:sz w:val="24"/>
          <w:szCs w:val="24"/>
        </w:rPr>
        <w:fldChar w:fldCharType="separate"/>
      </w:r>
      <w:r>
        <w:rPr>
          <w:rFonts w:hint="eastAsia" w:ascii="宋体" w:hAnsi="宋体" w:eastAsia="宋体" w:cs="宋体"/>
          <w:sz w:val="24"/>
          <w:szCs w:val="24"/>
        </w:rPr>
        <w:t>94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"_Toc351203631"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20.5争议解决条款效力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_Toc351203631 \h </w:instrText>
      </w:r>
      <w:r>
        <w:rPr>
          <w:rFonts w:hint="eastAsia" w:ascii="宋体" w:hAnsi="宋体" w:eastAsia="宋体" w:cs="宋体"/>
          <w:sz w:val="24"/>
          <w:szCs w:val="24"/>
        </w:rPr>
        <w:fldChar w:fldCharType="separate"/>
      </w:r>
      <w:r>
        <w:rPr>
          <w:rFonts w:hint="eastAsia" w:ascii="宋体" w:hAnsi="宋体" w:eastAsia="宋体" w:cs="宋体"/>
          <w:sz w:val="24"/>
          <w:szCs w:val="24"/>
        </w:rPr>
        <w:t>94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810"/>
        </w:tabs>
        <w:rPr>
          <w:rStyle w:val="29"/>
          <w:rFonts w:hint="eastAsia" w:ascii="宋体" w:hAnsi="宋体" w:eastAsia="宋体" w:cs="宋体"/>
          <w:b/>
          <w:sz w:val="24"/>
          <w:szCs w:val="24"/>
        </w:rPr>
      </w:pPr>
    </w:p>
    <w:p>
      <w:pPr>
        <w:pStyle w:val="14"/>
        <w:tabs>
          <w:tab w:val="right" w:leader="dot" w:pos="8810"/>
        </w:tabs>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"_Toc351203632"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b/>
          <w:sz w:val="24"/>
          <w:szCs w:val="24"/>
        </w:rPr>
        <w:t>第三部分 专用合同条款</w:t>
      </w:r>
      <w:r>
        <w:rPr>
          <w:rFonts w:hint="eastAsia" w:ascii="宋体" w:hAnsi="宋体" w:eastAsia="宋体" w:cs="宋体"/>
          <w:sz w:val="24"/>
          <w:szCs w:val="24"/>
        </w:rPr>
        <w:t>……………..…………...….................</w:t>
      </w:r>
      <w:r>
        <w:rPr>
          <w:rFonts w:hint="eastAsia" w:ascii="宋体" w:hAnsi="宋体" w:eastAsia="宋体" w:cs="宋体"/>
          <w:sz w:val="24"/>
          <w:szCs w:val="24"/>
        </w:rPr>
        <w:fldChar w:fldCharType="end"/>
      </w:r>
      <w:r>
        <w:rPr>
          <w:rFonts w:hint="eastAsia" w:ascii="宋体" w:hAnsi="宋体" w:eastAsia="宋体" w:cs="宋体"/>
          <w:sz w:val="24"/>
          <w:szCs w:val="24"/>
        </w:rPr>
        <w:t>104</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"_Toc351203633"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 一般约定</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04</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"_Toc351203634"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 发包人</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08</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"_Toc351203635"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3. 承包人</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09</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"_Toc351203636"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4. 监理人</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12</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"_Toc351203637"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5. 工程质量</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13</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"_Toc351203638"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6. 安全文明施工与环境保护</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14</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"_Toc351203639"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7. 工期和进度</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14</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"_Toc351203640"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8. 材料与设备</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16</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"_Toc351203641"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9. 试验与检验</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17</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"_Toc351203642"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10. 变更</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18</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"_Toc351203643"</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11. 价格调整</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19</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"_Toc351203644"</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12. 合同价格、计量与支付</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20</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"_Toc351203645"</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13. 验收和工程试车</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23</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"_Toc351203646"</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14. 竣工结算</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24</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"_Toc351203647"</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15. 缺陷责任期与保修</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25</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"_Toc351203648"</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16. 违约</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26</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"_Toc351203649"</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17. 不可抗力</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28</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"_Toc351203650"</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18. 保险</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29</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"_Toc351203651"</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20. 争议解决</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29</w:t>
      </w:r>
    </w:p>
    <w:p>
      <w:pPr>
        <w:pStyle w:val="19"/>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instrText xml:space="preserve">HYPERLINK \l "_Toc351203652"</w:instrText>
      </w:r>
      <w:r>
        <w:rPr>
          <w:rStyle w:val="29"/>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附件</w:t>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31</w:t>
      </w:r>
    </w:p>
    <w:p>
      <w:pPr>
        <w:pStyle w:val="5"/>
        <w:jc w:val="center"/>
        <w:rPr>
          <w:rFonts w:hint="eastAsia" w:ascii="宋体" w:hAnsi="宋体" w:eastAsia="宋体" w:cs="宋体"/>
          <w:sz w:val="28"/>
          <w:szCs w:val="28"/>
        </w:rPr>
        <w:sectPr>
          <w:footerReference r:id="rId6" w:type="first"/>
          <w:pgSz w:w="11906" w:h="16838"/>
          <w:pgMar w:top="1418" w:right="1555" w:bottom="1418" w:left="1531" w:header="851" w:footer="992" w:gutter="0"/>
          <w:cols w:space="720" w:num="1"/>
          <w:titlePg/>
          <w:docGrid w:type="lines" w:linePitch="312" w:charSpace="0"/>
        </w:sectPr>
      </w:pPr>
      <w:r>
        <w:rPr>
          <w:rFonts w:hint="eastAsia" w:ascii="宋体" w:hAnsi="宋体" w:eastAsia="宋体" w:cs="宋体"/>
          <w:sz w:val="28"/>
          <w:szCs w:val="28"/>
        </w:rPr>
        <w:fldChar w:fldCharType="end"/>
      </w:r>
      <w:bookmarkStart w:id="203" w:name="_Toc351203480"/>
    </w:p>
    <w:p>
      <w:pPr>
        <w:pStyle w:val="5"/>
        <w:jc w:val="center"/>
        <w:rPr>
          <w:rFonts w:hint="eastAsia" w:ascii="宋体" w:hAnsi="宋体" w:eastAsia="宋体" w:cs="宋体"/>
          <w:b w:val="0"/>
          <w:color w:val="000000"/>
          <w:sz w:val="30"/>
          <w:szCs w:val="30"/>
        </w:rPr>
      </w:pPr>
      <w:r>
        <w:rPr>
          <w:rFonts w:hint="eastAsia" w:ascii="宋体" w:hAnsi="宋体" w:eastAsia="宋体" w:cs="宋体"/>
          <w:sz w:val="30"/>
          <w:szCs w:val="30"/>
        </w:rPr>
        <w:t>第一部分 合同协议书</w:t>
      </w:r>
      <w:bookmarkEnd w:id="197"/>
      <w:bookmarkEnd w:id="198"/>
      <w:bookmarkEnd w:id="203"/>
    </w:p>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发包人（全称）：</w:t>
      </w:r>
      <w:r>
        <w:rPr>
          <w:rFonts w:hint="eastAsia" w:ascii="宋体" w:hAnsi="宋体" w:eastAsia="宋体" w:cs="宋体"/>
          <w:b/>
          <w:color w:val="000000"/>
          <w:sz w:val="24"/>
          <w:szCs w:val="24"/>
          <w:u w:val="single"/>
        </w:rPr>
        <w:t>                       </w:t>
      </w:r>
    </w:p>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rPr>
        <w:t>                    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根据《中华人民共和国合同法》、《中华人民共和国建筑法》及有关法律规定，遵循平等、自愿、公平和诚实信用的原则，双方就</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工程施工及有关事项协商一致，共同达成如下协议：</w:t>
      </w:r>
    </w:p>
    <w:p>
      <w:pPr>
        <w:pStyle w:val="6"/>
        <w:spacing w:before="120" w:after="120"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204" w:name="_Toc351203481"/>
      <w:r>
        <w:rPr>
          <w:rFonts w:hint="eastAsia" w:ascii="宋体" w:hAnsi="宋体" w:eastAsia="宋体" w:cs="宋体"/>
          <w:b w:val="0"/>
          <w:color w:val="000000"/>
          <w:sz w:val="24"/>
          <w:szCs w:val="24"/>
        </w:rPr>
        <w:t>一、工程概况</w:t>
      </w:r>
      <w:bookmarkEnd w:id="204"/>
    </w:p>
    <w:p>
      <w:pPr>
        <w:spacing w:line="360" w:lineRule="auto"/>
        <w:ind w:firstLine="470" w:firstLineChars="196"/>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1.工程名称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2.工程地点：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3.工程立项批准文号：</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4.资金来源：</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5.工程内容：</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6.工程承包范围：</w:t>
      </w:r>
    </w:p>
    <w:p>
      <w:pPr>
        <w:spacing w:line="360" w:lineRule="auto"/>
        <w:ind w:firstLine="463" w:firstLineChars="193"/>
        <w:rPr>
          <w:rFonts w:hint="eastAsia" w:ascii="宋体" w:hAnsi="宋体" w:eastAsia="宋体" w:cs="宋体"/>
          <w:color w:val="000000"/>
          <w:sz w:val="24"/>
          <w:szCs w:val="24"/>
        </w:rPr>
      </w:pPr>
      <w:r>
        <w:rPr>
          <w:rFonts w:hint="eastAsia" w:ascii="宋体" w:hAnsi="宋体" w:eastAsia="宋体" w:cs="宋体"/>
          <w:color w:val="000000"/>
          <w:sz w:val="24"/>
          <w:szCs w:val="24"/>
          <w:u w:val="single"/>
        </w:rPr>
        <w:t>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6"/>
        <w:spacing w:before="120" w:after="120" w:line="360" w:lineRule="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   </w:t>
      </w:r>
      <w:bookmarkStart w:id="205" w:name="_Toc351203482"/>
      <w:r>
        <w:rPr>
          <w:rFonts w:hint="eastAsia" w:ascii="宋体" w:hAnsi="宋体" w:eastAsia="宋体" w:cs="宋体"/>
          <w:b w:val="0"/>
          <w:color w:val="000000"/>
          <w:sz w:val="24"/>
          <w:szCs w:val="24"/>
        </w:rPr>
        <w:t>二、合同工期</w:t>
      </w:r>
      <w:bookmarkEnd w:id="205"/>
    </w:p>
    <w:p>
      <w:pPr>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日。</w:t>
      </w:r>
    </w:p>
    <w:p>
      <w:pPr>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日。</w:t>
      </w:r>
    </w:p>
    <w:p>
      <w:pPr>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天。工期总日历天数与根据前述计划开竣工日期计算的工期天数不一致的，以工期总日历天数为准。</w:t>
      </w:r>
    </w:p>
    <w:p>
      <w:pPr>
        <w:pStyle w:val="6"/>
        <w:spacing w:before="120" w:after="120"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06" w:name="_Toc351203483"/>
      <w:r>
        <w:rPr>
          <w:rFonts w:hint="eastAsia" w:ascii="宋体" w:hAnsi="宋体" w:eastAsia="宋体" w:cs="宋体"/>
          <w:b w:val="0"/>
          <w:color w:val="000000"/>
          <w:sz w:val="24"/>
          <w:szCs w:val="24"/>
        </w:rPr>
        <w:t>三、质量标准</w:t>
      </w:r>
      <w:bookmarkEnd w:id="206"/>
    </w:p>
    <w:p>
      <w:pPr>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rPr>
        <w:t>工程质量符合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标准。</w:t>
      </w:r>
    </w:p>
    <w:p>
      <w:pPr>
        <w:pStyle w:val="6"/>
        <w:spacing w:before="120" w:after="120"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207" w:name="_Toc351203484"/>
      <w:r>
        <w:rPr>
          <w:rFonts w:hint="eastAsia" w:ascii="宋体" w:hAnsi="宋体" w:eastAsia="宋体" w:cs="宋体"/>
          <w:b w:val="0"/>
          <w:color w:val="000000"/>
          <w:sz w:val="24"/>
          <w:szCs w:val="24"/>
        </w:rPr>
        <w:t>四、签约合同价与合同价格形式</w:t>
      </w:r>
      <w:bookmarkEnd w:id="207"/>
      <w:r>
        <w:rPr>
          <w:rFonts w:hint="eastAsia" w:ascii="宋体" w:hAnsi="宋体" w:eastAsia="宋体" w:cs="宋体"/>
          <w:b w:val="0"/>
          <w:color w:val="000000"/>
          <w:sz w:val="24"/>
          <w:szCs w:val="24"/>
        </w:rPr>
        <w:tab/>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pPr>
        <w:spacing w:line="360" w:lineRule="auto"/>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Style w:val="6"/>
        <w:spacing w:before="120" w:after="120" w:line="360" w:lineRule="auto"/>
        <w:rPr>
          <w:rFonts w:hint="eastAsia" w:ascii="宋体" w:hAnsi="宋体" w:eastAsia="宋体" w:cs="宋体"/>
          <w:b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208" w:name="_Toc351203485"/>
      <w:r>
        <w:rPr>
          <w:rFonts w:hint="eastAsia" w:ascii="宋体" w:hAnsi="宋体" w:eastAsia="宋体" w:cs="宋体"/>
          <w:b w:val="0"/>
          <w:color w:val="000000"/>
          <w:sz w:val="24"/>
          <w:szCs w:val="24"/>
        </w:rPr>
        <w:t>五、</w:t>
      </w:r>
      <w:bookmarkEnd w:id="208"/>
      <w:r>
        <w:rPr>
          <w:rFonts w:hint="eastAsia" w:ascii="宋体" w:hAnsi="宋体" w:eastAsia="宋体" w:cs="宋体"/>
          <w:b w:val="0"/>
          <w:color w:val="000000"/>
          <w:sz w:val="24"/>
          <w:szCs w:val="24"/>
        </w:rPr>
        <w:t>项目经理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Style w:val="6"/>
        <w:spacing w:before="120" w:after="120"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209" w:name="_Toc351203486"/>
      <w:r>
        <w:rPr>
          <w:rFonts w:hint="eastAsia" w:ascii="宋体" w:hAnsi="宋体" w:eastAsia="宋体" w:cs="宋体"/>
          <w:b w:val="0"/>
          <w:color w:val="000000"/>
          <w:sz w:val="24"/>
          <w:szCs w:val="24"/>
        </w:rPr>
        <w:t>六、合同文件构成</w:t>
      </w:r>
      <w:bookmarkEnd w:id="209"/>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（1）中标通知书（如果有）；</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（2）投标函及其附录（如果有）； </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6"/>
        <w:spacing w:before="120" w:after="120"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color w:val="000000"/>
          <w:sz w:val="24"/>
          <w:szCs w:val="24"/>
        </w:rPr>
        <w:t xml:space="preserve"> </w:t>
      </w:r>
      <w:bookmarkStart w:id="210" w:name="_Toc351203487"/>
      <w:r>
        <w:rPr>
          <w:rFonts w:hint="eastAsia" w:ascii="宋体" w:hAnsi="宋体" w:eastAsia="宋体" w:cs="宋体"/>
          <w:b w:val="0"/>
          <w:color w:val="000000"/>
          <w:sz w:val="24"/>
          <w:szCs w:val="24"/>
        </w:rPr>
        <w:t>七、承诺</w:t>
      </w:r>
      <w:bookmarkEnd w:id="210"/>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1.发包人承诺按照法律规定履行项目审批手续、筹集工程建设资金并按照合同约定的期限和方式支付合同价款。</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000000"/>
          <w:sz w:val="24"/>
          <w:szCs w:val="24"/>
        </w:rPr>
      </w:pPr>
      <w:bookmarkStart w:id="211" w:name="_Toc351203488"/>
      <w:r>
        <w:rPr>
          <w:rFonts w:hint="eastAsia" w:ascii="宋体" w:hAnsi="宋体" w:eastAsia="宋体" w:cs="宋体"/>
          <w:b/>
          <w:color w:val="000000"/>
          <w:sz w:val="24"/>
          <w:szCs w:val="24"/>
        </w:rPr>
        <w:t xml:space="preserve">    八、词语含义</w:t>
      </w:r>
      <w:bookmarkEnd w:id="211"/>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本协议书中词语含义与第二部分通用合同条款中赋予的含义相同。</w:t>
      </w:r>
    </w:p>
    <w:p>
      <w:pPr>
        <w:pStyle w:val="6"/>
        <w:spacing w:before="120" w:after="120"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212" w:name="_Toc351203489"/>
      <w:r>
        <w:rPr>
          <w:rFonts w:hint="eastAsia" w:ascii="宋体" w:hAnsi="宋体" w:eastAsia="宋体" w:cs="宋体"/>
          <w:b w:val="0"/>
          <w:color w:val="000000"/>
          <w:sz w:val="24"/>
          <w:szCs w:val="24"/>
        </w:rPr>
        <w:t>九、签订时间</w:t>
      </w:r>
      <w:bookmarkEnd w:id="212"/>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日签订。</w:t>
      </w:r>
    </w:p>
    <w:p>
      <w:pPr>
        <w:pStyle w:val="6"/>
        <w:spacing w:before="120" w:after="120"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13" w:name="_Toc351203490"/>
      <w:r>
        <w:rPr>
          <w:rFonts w:hint="eastAsia" w:ascii="宋体" w:hAnsi="宋体" w:eastAsia="宋体" w:cs="宋体"/>
          <w:b w:val="0"/>
          <w:color w:val="000000"/>
          <w:sz w:val="24"/>
          <w:szCs w:val="24"/>
        </w:rPr>
        <w:t>十、签订地点</w:t>
      </w:r>
      <w:bookmarkEnd w:id="213"/>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签订。</w:t>
      </w:r>
    </w:p>
    <w:p>
      <w:pPr>
        <w:pStyle w:val="6"/>
        <w:spacing w:before="120" w:after="120"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14" w:name="_Toc351203491"/>
      <w:r>
        <w:rPr>
          <w:rFonts w:hint="eastAsia" w:ascii="宋体" w:hAnsi="宋体" w:eastAsia="宋体" w:cs="宋体"/>
          <w:b w:val="0"/>
          <w:color w:val="000000"/>
          <w:sz w:val="24"/>
          <w:szCs w:val="24"/>
        </w:rPr>
        <w:t>十一、补充协议</w:t>
      </w:r>
      <w:bookmarkEnd w:id="214"/>
    </w:p>
    <w:p>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bCs/>
          <w:color w:val="000000"/>
          <w:sz w:val="24"/>
          <w:szCs w:val="24"/>
        </w:rPr>
        <w:t>合同未尽事宜，合同当事人另行签订补充协议，补充协议是合同的组成部分。</w:t>
      </w:r>
    </w:p>
    <w:p>
      <w:pPr>
        <w:pStyle w:val="6"/>
        <w:spacing w:before="120" w:after="120"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15" w:name="_Toc351203492"/>
      <w:r>
        <w:rPr>
          <w:rFonts w:hint="eastAsia" w:ascii="宋体" w:hAnsi="宋体" w:eastAsia="宋体" w:cs="宋体"/>
          <w:b w:val="0"/>
          <w:color w:val="000000"/>
          <w:sz w:val="24"/>
          <w:szCs w:val="24"/>
        </w:rPr>
        <w:t>十二、合同生效</w:t>
      </w:r>
      <w:bookmarkEnd w:id="215"/>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生效。</w:t>
      </w:r>
    </w:p>
    <w:p>
      <w:pPr>
        <w:pStyle w:val="6"/>
        <w:spacing w:before="120" w:after="120"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16" w:name="_Toc351203493"/>
      <w:r>
        <w:rPr>
          <w:rFonts w:hint="eastAsia" w:ascii="宋体" w:hAnsi="宋体" w:eastAsia="宋体" w:cs="宋体"/>
          <w:b w:val="0"/>
          <w:color w:val="000000"/>
          <w:sz w:val="24"/>
          <w:szCs w:val="24"/>
        </w:rPr>
        <w:t>十三、合同份数</w:t>
      </w:r>
      <w:bookmarkEnd w:id="216"/>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发包人：  (公章)             承包人：  (公章)</w:t>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  法定代表人或其委托代理人：</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（签字）                    （签字）</w:t>
      </w:r>
    </w:p>
    <w:p>
      <w:pPr>
        <w:spacing w:line="360" w:lineRule="auto"/>
        <w:rPr>
          <w:rFonts w:hint="eastAsia" w:ascii="宋体" w:hAnsi="宋体" w:eastAsia="宋体" w:cs="宋体"/>
          <w:color w:val="000000"/>
          <w:sz w:val="24"/>
          <w:szCs w:val="24"/>
          <w:u w:val="single"/>
        </w:rPr>
      </w:pPr>
    </w:p>
    <w:p>
      <w:pPr>
        <w:tabs>
          <w:tab w:val="left" w:pos="441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 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法定代表人：</w:t>
      </w:r>
      <w:r>
        <w:rPr>
          <w:rFonts w:hint="eastAsia" w:ascii="宋体" w:hAnsi="宋体" w:eastAsia="宋体" w:cs="宋体"/>
          <w:color w:val="000000"/>
          <w:sz w:val="24"/>
          <w:szCs w:val="24"/>
          <w:u w:val="single"/>
        </w:rPr>
        <w:t xml:space="preserve">      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电子信箱：</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pStyle w:val="5"/>
        <w:jc w:val="center"/>
        <w:rPr>
          <w:rFonts w:hint="eastAsia" w:ascii="宋体" w:hAnsi="宋体" w:eastAsia="宋体" w:cs="宋体"/>
          <w:sz w:val="44"/>
          <w:szCs w:val="44"/>
        </w:rPr>
      </w:pPr>
      <w:r>
        <w:rPr>
          <w:rFonts w:hint="eastAsia" w:ascii="宋体" w:hAnsi="宋体" w:eastAsia="宋体" w:cs="宋体"/>
        </w:rPr>
        <w:br w:type="page"/>
      </w:r>
      <w:bookmarkStart w:id="217" w:name="_Toc351203494"/>
      <w:r>
        <w:rPr>
          <w:rFonts w:hint="eastAsia" w:ascii="宋体" w:hAnsi="宋体" w:eastAsia="宋体" w:cs="宋体"/>
          <w:sz w:val="30"/>
          <w:szCs w:val="30"/>
        </w:rPr>
        <w:t>第二部分 通用合同条款</w:t>
      </w:r>
      <w:bookmarkEnd w:id="217"/>
      <w:bookmarkStart w:id="218" w:name="_Toc337558727"/>
    </w:p>
    <w:p>
      <w:pPr>
        <w:pStyle w:val="6"/>
        <w:spacing w:before="120" w:after="120" w:line="360" w:lineRule="auto"/>
        <w:rPr>
          <w:rFonts w:hint="eastAsia" w:ascii="宋体" w:hAnsi="宋体" w:eastAsia="宋体" w:cs="宋体"/>
          <w:b w:val="0"/>
          <w:color w:val="000000"/>
          <w:sz w:val="24"/>
          <w:szCs w:val="24"/>
        </w:rPr>
      </w:pPr>
      <w:bookmarkStart w:id="219" w:name="_Toc351203495"/>
      <w:r>
        <w:rPr>
          <w:rFonts w:hint="eastAsia" w:ascii="宋体" w:hAnsi="宋体" w:eastAsia="宋体" w:cs="宋体"/>
          <w:b w:val="0"/>
          <w:color w:val="000000"/>
          <w:sz w:val="24"/>
          <w:szCs w:val="24"/>
        </w:rPr>
        <w:t>1.</w:t>
      </w:r>
      <w:bookmarkStart w:id="220" w:name="_Toc303538976"/>
      <w:bookmarkEnd w:id="220"/>
      <w:bookmarkStart w:id="221" w:name="_Toc303538972"/>
      <w:bookmarkEnd w:id="221"/>
      <w:bookmarkStart w:id="222" w:name="_Toc303538973"/>
      <w:bookmarkEnd w:id="222"/>
      <w:bookmarkStart w:id="223" w:name="_Toc303538974"/>
      <w:bookmarkEnd w:id="223"/>
      <w:bookmarkStart w:id="224" w:name="_Toc303538975"/>
      <w:bookmarkEnd w:id="224"/>
      <w:bookmarkStart w:id="225" w:name="_Toc296346528"/>
      <w:bookmarkStart w:id="226" w:name="_Toc296503027"/>
      <w:r>
        <w:rPr>
          <w:rFonts w:hint="eastAsia" w:ascii="宋体" w:hAnsi="宋体" w:eastAsia="宋体" w:cs="宋体"/>
          <w:b w:val="0"/>
          <w:color w:val="000000"/>
          <w:sz w:val="24"/>
          <w:szCs w:val="24"/>
        </w:rPr>
        <w:t xml:space="preserve"> 一般约定</w:t>
      </w:r>
      <w:bookmarkEnd w:id="218"/>
      <w:bookmarkEnd w:id="219"/>
      <w:bookmarkEnd w:id="225"/>
      <w:bookmarkEnd w:id="226"/>
    </w:p>
    <w:p>
      <w:pPr>
        <w:pStyle w:val="7"/>
        <w:spacing w:before="120" w:after="120" w:line="360" w:lineRule="auto"/>
        <w:ind w:firstLine="480" w:firstLineChars="200"/>
        <w:rPr>
          <w:rFonts w:hint="eastAsia" w:ascii="宋体" w:hAnsi="宋体" w:eastAsia="宋体" w:cs="宋体"/>
          <w:b w:val="0"/>
          <w:color w:val="000000"/>
          <w:sz w:val="24"/>
          <w:szCs w:val="24"/>
        </w:rPr>
      </w:pPr>
      <w:bookmarkStart w:id="227" w:name="_Toc296346529"/>
      <w:bookmarkStart w:id="228" w:name="_Toc296503028"/>
      <w:bookmarkStart w:id="229" w:name="_Toc337558728"/>
      <w:bookmarkStart w:id="230" w:name="_Toc351203496"/>
      <w:r>
        <w:rPr>
          <w:rFonts w:hint="eastAsia" w:ascii="宋体" w:hAnsi="宋体" w:eastAsia="宋体" w:cs="宋体"/>
          <w:b w:val="0"/>
          <w:color w:val="000000"/>
          <w:sz w:val="24"/>
          <w:szCs w:val="24"/>
        </w:rPr>
        <w:t>1.1词语定义</w:t>
      </w:r>
      <w:bookmarkEnd w:id="227"/>
      <w:bookmarkEnd w:id="228"/>
      <w:bookmarkEnd w:id="229"/>
      <w:r>
        <w:rPr>
          <w:rFonts w:hint="eastAsia" w:ascii="宋体" w:hAnsi="宋体" w:eastAsia="宋体" w:cs="宋体"/>
          <w:b w:val="0"/>
          <w:color w:val="000000"/>
          <w:sz w:val="24"/>
          <w:szCs w:val="24"/>
        </w:rPr>
        <w:t>与解释</w:t>
      </w:r>
      <w:bookmarkEnd w:id="230"/>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合同协议书、通用合同条款、专用合同条款中的下列词语具有本款所赋予的含义：</w:t>
      </w:r>
    </w:p>
    <w:p>
      <w:pPr>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1.1.1 合同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、通用合同条款、技术标准和要求、图纸、已标价工程量清单或预算书以及其他合同文件。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合同协议书：是指构成合同的由发包人和承包人共同签署的称为“合同协议书”的书面文件。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中标通知书：是指构成合同的由发包人通知承包人中标的书面文件。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1.1.1.4 投标函：是指构成合同的由承包人填写并签署的用于投标的称为“投标函”的文件。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1.1.1.5 投标函附录：是指构成合同的附在投标函后的称为“投标函附录”的文件。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1.1.1.6 技术标准和要求：是指构成合同的施工应当遵守的或指导施工的国家、行业或地方的技术标准和要求，以及合同约定的技术标准和要求。</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1.1.1.9 预算书：是指构成合同的由承包人按照发包人规定的格式和要求编制的工程预算文件。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1.1.2 合同当事人及其他相关方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1.1.2.1 合同当事人：是指发包人和（或）承包人。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1.1.2.2 发包人：是指与承包人签订合同协议书的当事人及取得该当事人资格的合法继承人。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1.1.2.4 监理人：是指在专用合同条款中指明的，受发包人委托按照法律规定进行工程监督管理的法人或其他组织。</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1.1.2.5 设计人：是指在专用合同条款中指明的，受发包人委托负责工程设计并具备相应工程设计资质的法人或其他组织。</w:t>
      </w:r>
    </w:p>
    <w:p>
      <w:pPr>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1.1.2.6 分包人：</w:t>
      </w:r>
      <w:bookmarkStart w:id="231" w:name="#go5"/>
      <w:bookmarkEnd w:id="231"/>
      <w:r>
        <w:rPr>
          <w:rFonts w:hint="eastAsia" w:ascii="宋体" w:hAnsi="宋体" w:eastAsia="宋体" w:cs="宋体"/>
          <w:color w:val="000000"/>
          <w:kern w:val="0"/>
          <w:sz w:val="24"/>
          <w:szCs w:val="24"/>
        </w:rPr>
        <w:t>是指按照法律规定和合同约定，分包部分工程或工作，并与承包人签订分包合同的具有相应资质的法人。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1.1.2.7 发包人代表：是指由发包人任命并派驻施工现场在发包人授权范围内行使发包人权利的人。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1.1.2.8 项目经理：是指由承包人任命并派驻施工现场，在承包人授权范围内负责合同履行，且按照法律规定具有相应资格的项目负责人。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1.1.2.9 总监理工程师：是指由监理人任命并派驻施工现场进行工程监理的总负责人。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 工程和设备</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 工程：是指与合同协议书中工程承包范围对应的永久工程和（或）临时工程。</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1.1.3.2 永久工程：是指按合同约定建造并移交给发包人的工程，包括工程设备。</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1.1.3.3 临时工程：是指为完成合同约定的永久工程所修建的各类临时性工程，不包括施工设备。</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1.1.3.4 单位工程：是指在合同协议书中指明的，具备独立施工条件并能形成独立使用功能的永久工程。</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1.1.3.5 工程设备：是指构成永久工程的机电设备、金属结构设备、仪器及其他类似的设备和装置。</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1.1.3.6 施工设备：是指为完成合同约定的各项工作所需的设备、器具和其他物品，但不包括工程设备、临时工程和材料。</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1.1.3.7 施工现场：是指用于工程施工的场所，以及在专用合同条款中指明作为施工场所组成部分的其他场所，包括永久占地和临时占地。</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1.1.3.8临时设施：是指为完成合同约定的各项工作所服务的临时性生产和生活设施。</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永久占地：是指专用合同条款中指明为实施工程需永久占用的土地。</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1.1.3.10 临时占地：是指专用合同条款中指明为实施工程需要临时占用的土地。</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 日期和期限</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1.1.4.2 竣工日期：包括计划竣工日期和实际竣工日期。计划竣工日期是指合同协议书约定的竣工日期；实际竣工日期按照第13.2.3项〔竣工日期〕的约定确定。 </w:t>
      </w:r>
    </w:p>
    <w:p>
      <w:pPr>
        <w:spacing w:line="360" w:lineRule="auto"/>
        <w:ind w:firstLine="487" w:firstLineChars="203"/>
        <w:rPr>
          <w:rFonts w:hint="eastAsia" w:ascii="宋体" w:hAnsi="宋体" w:eastAsia="宋体" w:cs="宋体"/>
          <w:color w:val="000000"/>
          <w:sz w:val="24"/>
          <w:szCs w:val="24"/>
        </w:rPr>
      </w:pPr>
      <w:r>
        <w:rPr>
          <w:rFonts w:hint="eastAsia" w:ascii="宋体" w:hAnsi="宋体" w:eastAsia="宋体" w:cs="宋体"/>
          <w:color w:val="000000"/>
          <w:kern w:val="0"/>
          <w:sz w:val="24"/>
          <w:szCs w:val="24"/>
        </w:rPr>
        <w:t>1.1.4.3 工期：是指在合同协议书约定的承包人完成工程所需的期限，包括按照合同约定所作的期限变更。</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1.1.4.4 缺陷责任期：是指承包人按照合同约定承担缺陷修复义务，且发包人预留质量保证金（已缴纳履约保证金的除外）的期限，自工程实际竣工日期起计算。</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1.1.4.5 保修期：是指承包人按照合同约定对工程承担保修责任的期限，从工程竣工验收合格之日起计算。</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1.1.4.6 基准日期：招标发包的工程以投标截止日前28天的日期为基准日期，直接发包的工程以合同签订日前28天的日期为基准日期。</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1.1.4.7 天：除特别指明外，均指日历天。合同中按天计算时间的，开始当天不计入，从次日开始计算，期限最后一天的截止时间为当天24:00时。</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 合同价格和费用</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1.1.5.1 签约合同价：是指</w:t>
      </w:r>
      <w:r>
        <w:rPr>
          <w:rFonts w:hint="eastAsia" w:ascii="宋体" w:hAnsi="宋体" w:eastAsia="宋体" w:cs="宋体"/>
          <w:color w:val="000000"/>
          <w:sz w:val="24"/>
          <w:szCs w:val="24"/>
        </w:rPr>
        <w:t>发包人和承包人在合同协议书中确定的总金额，包括安全文明施工费、暂估价及暂列金额等。</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1.1.5.2 合同价格：是指发包人用于支付承包人按照合同约定完成承包范围内全部工作的金额，包括合同履行过程中按合同约定发生的价格变化。</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1.1.5.3 费用：是指为履行合同所发生的或将要发生的所有必需的开支，包括管理费和应分摊的其他费用，但不包括利润。</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1.1.5.4 暂估价：是指发包人在工程量清单或预算书中提供的用于支付必然发生但暂时不能确定价格的材料、工程设备的单价、专业工程以及服务工作的金额。</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1.1.5.6 计日工：是指合同履行过程中，承包人完成发包人提出的零星工作或需要采用计日工计价的变更工作时，按合同中约定的单价计价的一种方式。</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1.1.5.7 质量保证金</w:t>
      </w:r>
      <w:bookmarkStart w:id="232" w:name="#go2"/>
      <w:bookmarkEnd w:id="232"/>
      <w:r>
        <w:rPr>
          <w:rFonts w:hint="eastAsia" w:ascii="宋体" w:hAnsi="宋体" w:eastAsia="宋体" w:cs="宋体"/>
          <w:color w:val="000000"/>
          <w:kern w:val="0"/>
          <w:sz w:val="24"/>
          <w:szCs w:val="24"/>
        </w:rPr>
        <w:t>：是指按照第15.3款〔质量保证金〕约定承包人用于保证其在缺陷责任期内履行缺陷修补义务的担保</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1.1.5.8 总价项目：是指在现行国家、行业以及地方的计量规则中无工程量计算规则，在已标价工程量清单或预算书中以总价或以费率形式计算的项目。</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 其他</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1.1.6.1 书面形式：是指合同文件、信函、电报、传真等可以有形地表现所载内容的形式。</w:t>
      </w:r>
    </w:p>
    <w:p>
      <w:pPr>
        <w:pStyle w:val="7"/>
        <w:spacing w:before="120" w:after="120" w:line="360" w:lineRule="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    </w:t>
      </w:r>
      <w:bookmarkStart w:id="233" w:name="_Toc296503029"/>
      <w:bookmarkStart w:id="234" w:name="_Toc351203497"/>
      <w:bookmarkStart w:id="235" w:name="_Toc296346530"/>
      <w:bookmarkStart w:id="236" w:name="_Toc337558729"/>
      <w:r>
        <w:rPr>
          <w:rFonts w:hint="eastAsia" w:ascii="宋体" w:hAnsi="宋体" w:eastAsia="宋体" w:cs="宋体"/>
          <w:b w:val="0"/>
          <w:color w:val="000000"/>
          <w:sz w:val="24"/>
          <w:szCs w:val="24"/>
        </w:rPr>
        <w:t>1.2语言文字</w:t>
      </w:r>
      <w:bookmarkEnd w:id="233"/>
      <w:bookmarkEnd w:id="234"/>
      <w:bookmarkEnd w:id="235"/>
      <w:bookmarkEnd w:id="236"/>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合同以中国的汉语简体文字编写、解释和说明。合同当事人在专用合同条款中约定使用两种以上语言时，汉语为优先解释和说明合同的语言。</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37" w:name="_Toc351203498"/>
      <w:bookmarkStart w:id="238" w:name="_Toc337558730"/>
      <w:bookmarkStart w:id="239" w:name="_Toc296346531"/>
      <w:bookmarkStart w:id="240" w:name="_Toc296503030"/>
      <w:r>
        <w:rPr>
          <w:rFonts w:hint="eastAsia" w:ascii="宋体" w:hAnsi="宋体" w:eastAsia="宋体" w:cs="宋体"/>
          <w:b w:val="0"/>
          <w:color w:val="000000"/>
          <w:sz w:val="24"/>
          <w:szCs w:val="24"/>
        </w:rPr>
        <w:t>1.3法律</w:t>
      </w:r>
      <w:bookmarkEnd w:id="237"/>
      <w:bookmarkEnd w:id="238"/>
      <w:bookmarkEnd w:id="239"/>
      <w:bookmarkEnd w:id="240"/>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合同当事人可以在专用合同条款中约定合同适用的其他规范性文件。</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41" w:name="_Toc351203499"/>
      <w:r>
        <w:rPr>
          <w:rFonts w:hint="eastAsia" w:ascii="宋体" w:hAnsi="宋体" w:eastAsia="宋体" w:cs="宋体"/>
          <w:b w:val="0"/>
          <w:color w:val="000000"/>
          <w:sz w:val="24"/>
          <w:szCs w:val="24"/>
        </w:rPr>
        <w:t>1.4 标准和规范</w:t>
      </w:r>
      <w:bookmarkEnd w:id="241"/>
    </w:p>
    <w:p>
      <w:pPr>
        <w:autoSpaceDE w:val="0"/>
        <w:autoSpaceDN w:val="0"/>
        <w:adjustRightInd w:val="0"/>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42" w:name="_Toc351203500"/>
      <w:r>
        <w:rPr>
          <w:rFonts w:hint="eastAsia" w:ascii="宋体" w:hAnsi="宋体" w:eastAsia="宋体" w:cs="宋体"/>
          <w:b w:val="0"/>
          <w:color w:val="000000"/>
          <w:sz w:val="24"/>
          <w:szCs w:val="24"/>
        </w:rPr>
        <w:t>1</w:t>
      </w:r>
      <w:bookmarkStart w:id="243" w:name="_Toc296346532"/>
      <w:bookmarkStart w:id="244" w:name="_Toc337558731"/>
      <w:bookmarkStart w:id="245" w:name="_Toc296503031"/>
      <w:r>
        <w:rPr>
          <w:rFonts w:hint="eastAsia" w:ascii="宋体" w:hAnsi="宋体" w:eastAsia="宋体" w:cs="宋体"/>
          <w:b w:val="0"/>
          <w:color w:val="000000"/>
          <w:sz w:val="24"/>
          <w:szCs w:val="24"/>
        </w:rPr>
        <w:t>.5 合同文件的优先顺序</w:t>
      </w:r>
      <w:bookmarkEnd w:id="242"/>
    </w:p>
    <w:bookmarkEnd w:id="243"/>
    <w:bookmarkEnd w:id="244"/>
    <w:bookmarkEnd w:id="245"/>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组成合同的各项文件应互相解释，互为说明。除专用合同条款另有约定外，解释合同文件的优先顺序如下：</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（1）合同协议书；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（2）中标通知书（如果有）；</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（3）投标函及其附录（如果有）；</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（5）通用合同条款；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（6）技术标准和要求；</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（7）图纸；</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（8）已标价工程量清单或预算书；</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（9）其他合同文件。</w:t>
      </w:r>
    </w:p>
    <w:p>
      <w:pPr>
        <w:spacing w:line="360" w:lineRule="auto"/>
        <w:ind w:firstLine="511" w:firstLineChars="213"/>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w:t>
      </w:r>
    </w:p>
    <w:p>
      <w:pPr>
        <w:spacing w:line="360" w:lineRule="auto"/>
        <w:ind w:firstLine="511" w:firstLineChars="213"/>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在合同订立及履行过程中形成的与合同有关的文件均构成合同文件组成部分，并根据其性质确定优先解释顺序。</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46" w:name="_Toc351203501"/>
      <w:r>
        <w:rPr>
          <w:rFonts w:hint="eastAsia" w:ascii="宋体" w:hAnsi="宋体" w:eastAsia="宋体" w:cs="宋体"/>
          <w:b w:val="0"/>
          <w:color w:val="000000"/>
          <w:sz w:val="24"/>
          <w:szCs w:val="24"/>
        </w:rPr>
        <w:t>1</w:t>
      </w:r>
      <w:bookmarkStart w:id="247" w:name="_Toc296503032"/>
      <w:bookmarkStart w:id="248" w:name="_Toc337558732"/>
      <w:bookmarkStart w:id="249" w:name="_Toc296346533"/>
      <w:r>
        <w:rPr>
          <w:rFonts w:hint="eastAsia" w:ascii="宋体" w:hAnsi="宋体" w:eastAsia="宋体" w:cs="宋体"/>
          <w:b w:val="0"/>
          <w:color w:val="000000"/>
          <w:sz w:val="24"/>
          <w:szCs w:val="24"/>
        </w:rPr>
        <w:t>.6图纸和承包人文件</w:t>
      </w:r>
      <w:bookmarkEnd w:id="246"/>
    </w:p>
    <w:bookmarkEnd w:id="247"/>
    <w:bookmarkEnd w:id="248"/>
    <w:bookmarkEnd w:id="249"/>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 图纸的提供和交底</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因发包人未按合同约定提供图纸导致承包人费用增加和（或）工期延误的，按照第7.5.1项〔因发包人原因导致工期延误〕约定办理。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 图纸的错误</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1.6.3 图纸的修改和补充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1.6.4 承包人文件</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承包人应按照专用合同条款的约定提供应当由其编制的与工程施工有关的文件，并按照专用合同条款约定的期限、数量和形式提交监理人，并由监理人报送发包人。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1.6.5 图纸和承包人文件的保管</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除专用合同条款另有约定外，承包人应在施工现场另外保存一套完整的图纸和承包人文件，供发包人、监理人及有关人员进行工程检查时使用。</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50" w:name="_Toc351203502"/>
      <w:r>
        <w:rPr>
          <w:rFonts w:hint="eastAsia" w:ascii="宋体" w:hAnsi="宋体" w:eastAsia="宋体" w:cs="宋体"/>
          <w:b w:val="0"/>
          <w:color w:val="000000"/>
          <w:sz w:val="24"/>
          <w:szCs w:val="24"/>
        </w:rPr>
        <w:t>1</w:t>
      </w:r>
      <w:bookmarkStart w:id="251" w:name="_Toc296346534"/>
      <w:bookmarkStart w:id="252" w:name="_Toc296503033"/>
      <w:bookmarkStart w:id="253" w:name="_Toc337558733"/>
      <w:r>
        <w:rPr>
          <w:rFonts w:hint="eastAsia" w:ascii="宋体" w:hAnsi="宋体" w:eastAsia="宋体" w:cs="宋体"/>
          <w:b w:val="0"/>
          <w:color w:val="000000"/>
          <w:sz w:val="24"/>
          <w:szCs w:val="24"/>
        </w:rPr>
        <w:t>.7联络</w:t>
      </w:r>
      <w:bookmarkEnd w:id="250"/>
    </w:p>
    <w:bookmarkEnd w:id="251"/>
    <w:bookmarkEnd w:id="252"/>
    <w:bookmarkEnd w:id="253"/>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80" w:firstLineChars="200"/>
        <w:jc w:val="left"/>
        <w:rPr>
          <w:rFonts w:hint="eastAsia" w:ascii="宋体" w:hAnsi="宋体" w:eastAsia="宋体" w:cs="宋体"/>
          <w:color w:val="FF0000"/>
          <w:kern w:val="0"/>
          <w:sz w:val="24"/>
          <w:szCs w:val="24"/>
        </w:rPr>
      </w:pPr>
      <w:r>
        <w:rPr>
          <w:rFonts w:hint="eastAsia" w:ascii="宋体" w:hAnsi="宋体" w:eastAsia="宋体" w:cs="宋体"/>
          <w:color w:val="000000"/>
          <w:kern w:val="0"/>
          <w:sz w:val="24"/>
          <w:szCs w:val="24"/>
        </w:rPr>
        <w:t>1.7.3 发包人和承包人应当及时签收另一方送达至送达地点和指定接收人的来往信函。拒不签收的，由此增加的费用和（或）延误的工期由拒绝接收一方承担。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54" w:name="_Toc351203503"/>
      <w:r>
        <w:rPr>
          <w:rFonts w:hint="eastAsia" w:ascii="宋体" w:hAnsi="宋体" w:eastAsia="宋体" w:cs="宋体"/>
          <w:b w:val="0"/>
          <w:color w:val="000000"/>
          <w:sz w:val="24"/>
          <w:szCs w:val="24"/>
        </w:rPr>
        <w:t>1</w:t>
      </w:r>
      <w:bookmarkStart w:id="255" w:name="_Toc296503035"/>
      <w:bookmarkStart w:id="256" w:name="_Toc296346536"/>
      <w:bookmarkStart w:id="257" w:name="_Toc337558734"/>
      <w:r>
        <w:rPr>
          <w:rFonts w:hint="eastAsia" w:ascii="宋体" w:hAnsi="宋体" w:eastAsia="宋体" w:cs="宋体"/>
          <w:b w:val="0"/>
          <w:color w:val="000000"/>
          <w:sz w:val="24"/>
          <w:szCs w:val="24"/>
        </w:rPr>
        <w:t>.8严禁贿赂</w:t>
      </w:r>
      <w:bookmarkEnd w:id="254"/>
    </w:p>
    <w:bookmarkEnd w:id="255"/>
    <w:bookmarkEnd w:id="256"/>
    <w:bookmarkEnd w:id="257"/>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58" w:name="_Toc351203504"/>
      <w:r>
        <w:rPr>
          <w:rFonts w:hint="eastAsia" w:ascii="宋体" w:hAnsi="宋体" w:eastAsia="宋体" w:cs="宋体"/>
          <w:b w:val="0"/>
          <w:color w:val="000000"/>
          <w:sz w:val="24"/>
          <w:szCs w:val="24"/>
        </w:rPr>
        <w:t>1</w:t>
      </w:r>
      <w:bookmarkStart w:id="259" w:name="_Toc337558735"/>
      <w:bookmarkStart w:id="260" w:name="_Toc296346537"/>
      <w:bookmarkStart w:id="261" w:name="_Toc296503036"/>
      <w:r>
        <w:rPr>
          <w:rFonts w:hint="eastAsia" w:ascii="宋体" w:hAnsi="宋体" w:eastAsia="宋体" w:cs="宋体"/>
          <w:b w:val="0"/>
          <w:color w:val="000000"/>
          <w:sz w:val="24"/>
          <w:szCs w:val="24"/>
        </w:rPr>
        <w:t>.9化石、文物</w:t>
      </w:r>
      <w:bookmarkEnd w:id="258"/>
    </w:p>
    <w:bookmarkEnd w:id="259"/>
    <w:bookmarkEnd w:id="260"/>
    <w:bookmarkEnd w:id="261"/>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承包人发现文物后不及时报告或隐瞒不报，致使文物丢失或损坏的，应赔偿损失，并承担相应的法律责任。</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62" w:name="_Toc351203505"/>
      <w:r>
        <w:rPr>
          <w:rFonts w:hint="eastAsia" w:ascii="宋体" w:hAnsi="宋体" w:eastAsia="宋体" w:cs="宋体"/>
          <w:b w:val="0"/>
          <w:color w:val="000000"/>
          <w:sz w:val="24"/>
          <w:szCs w:val="24"/>
        </w:rPr>
        <w:t>1</w:t>
      </w:r>
      <w:bookmarkStart w:id="263" w:name="_Toc337558736"/>
      <w:r>
        <w:rPr>
          <w:rFonts w:hint="eastAsia" w:ascii="宋体" w:hAnsi="宋体" w:eastAsia="宋体" w:cs="宋体"/>
          <w:b w:val="0"/>
          <w:color w:val="000000"/>
          <w:sz w:val="24"/>
          <w:szCs w:val="24"/>
        </w:rPr>
        <w:t>.10交通运输</w:t>
      </w:r>
      <w:bookmarkEnd w:id="262"/>
    </w:p>
    <w:bookmarkEnd w:id="263"/>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1.10.1 出入现场的权利</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1.10.2 场外交通</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1.10.3场内交通</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场外交通和场内交通的边界由合同当事人在专用合同条款中约定。</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1.10.4 超大件和超重件的运输</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1.10.5 道路和桥梁的损坏责任</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因承包人运输造成施工场地内外公共道路和桥梁损坏的，由承包人承担修复损坏的全部费用和可能引起的赔偿。</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1.10.6 水路和航空运输</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64" w:name="_Toc351203506"/>
      <w:r>
        <w:rPr>
          <w:rFonts w:hint="eastAsia" w:ascii="宋体" w:hAnsi="宋体" w:eastAsia="宋体" w:cs="宋体"/>
          <w:b w:val="0"/>
          <w:color w:val="000000"/>
          <w:sz w:val="24"/>
          <w:szCs w:val="24"/>
        </w:rPr>
        <w:t>1</w:t>
      </w:r>
      <w:bookmarkStart w:id="265" w:name="_Toc337558737"/>
      <w:bookmarkStart w:id="266" w:name="_Toc296503037"/>
      <w:bookmarkStart w:id="267" w:name="_Toc296346538"/>
      <w:r>
        <w:rPr>
          <w:rFonts w:hint="eastAsia" w:ascii="宋体" w:hAnsi="宋体" w:eastAsia="宋体" w:cs="宋体"/>
          <w:b w:val="0"/>
          <w:color w:val="000000"/>
          <w:sz w:val="24"/>
          <w:szCs w:val="24"/>
        </w:rPr>
        <w:t>.11知识产权</w:t>
      </w:r>
      <w:bookmarkEnd w:id="264"/>
      <w:r>
        <w:rPr>
          <w:rFonts w:hint="eastAsia" w:ascii="宋体" w:hAnsi="宋体" w:eastAsia="宋体" w:cs="宋体"/>
          <w:b w:val="0"/>
          <w:color w:val="000000"/>
          <w:sz w:val="24"/>
          <w:szCs w:val="24"/>
        </w:rPr>
        <w:t xml:space="preserve"> </w:t>
      </w:r>
      <w:bookmarkEnd w:id="265"/>
    </w:p>
    <w:bookmarkEnd w:id="266"/>
    <w:bookmarkEnd w:id="267"/>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hint="eastAsia" w:ascii="宋体" w:hAnsi="宋体" w:eastAsia="宋体" w:cs="宋体"/>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sz w:val="24"/>
          <w:szCs w:val="24"/>
        </w:rPr>
        <w:t>1.11.4 除专用合同条款另有约定外，承包人在合同签订前和签订时已确定采用的专利、专有技术、技术秘密的使用费已包含在签约合同价中。</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68" w:name="_Toc351203507"/>
      <w:r>
        <w:rPr>
          <w:rFonts w:hint="eastAsia" w:ascii="宋体" w:hAnsi="宋体" w:eastAsia="宋体" w:cs="宋体"/>
          <w:b w:val="0"/>
          <w:color w:val="000000"/>
          <w:sz w:val="24"/>
          <w:szCs w:val="24"/>
        </w:rPr>
        <w:t>1</w:t>
      </w:r>
      <w:bookmarkStart w:id="269" w:name="_Toc337558738"/>
      <w:r>
        <w:rPr>
          <w:rFonts w:hint="eastAsia" w:ascii="宋体" w:hAnsi="宋体" w:eastAsia="宋体" w:cs="宋体"/>
          <w:b w:val="0"/>
          <w:color w:val="000000"/>
          <w:sz w:val="24"/>
          <w:szCs w:val="24"/>
        </w:rPr>
        <w:t>.12保密</w:t>
      </w:r>
      <w:bookmarkEnd w:id="268"/>
    </w:p>
    <w:bookmarkEnd w:id="269"/>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除法律规定或合同另有约定外，未经承包人同意，发包人不得将承包人提供的技术秘密及声明需要保密的资料信息等商业秘密泄露给第三方。</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70" w:name="_Toc351203508"/>
      <w:r>
        <w:rPr>
          <w:rFonts w:hint="eastAsia" w:ascii="宋体" w:hAnsi="宋体" w:eastAsia="宋体" w:cs="宋体"/>
          <w:b w:val="0"/>
          <w:color w:val="000000"/>
          <w:sz w:val="24"/>
          <w:szCs w:val="24"/>
        </w:rPr>
        <w:t>1.13工程量清单错误的修正</w:t>
      </w:r>
      <w:bookmarkEnd w:id="270"/>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（1）工程量清单存在缺项、漏项的；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（2）工程量清单偏差超出专用合同条款约定的工程量偏差范围的；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（3）未按照国家现行计量规范强制性规定计量的。</w:t>
      </w:r>
    </w:p>
    <w:p>
      <w:pPr>
        <w:pStyle w:val="6"/>
        <w:spacing w:before="120" w:after="120" w:line="360" w:lineRule="auto"/>
        <w:rPr>
          <w:rFonts w:hint="eastAsia" w:ascii="宋体" w:hAnsi="宋体" w:eastAsia="宋体" w:cs="宋体"/>
          <w:b w:val="0"/>
          <w:color w:val="000000"/>
          <w:sz w:val="24"/>
          <w:szCs w:val="24"/>
        </w:rPr>
      </w:pPr>
      <w:bookmarkStart w:id="271" w:name="_Toc351203509"/>
      <w:r>
        <w:rPr>
          <w:rFonts w:hint="eastAsia" w:ascii="宋体" w:hAnsi="宋体" w:eastAsia="宋体" w:cs="宋体"/>
          <w:b w:val="0"/>
          <w:color w:val="000000"/>
          <w:sz w:val="24"/>
          <w:szCs w:val="24"/>
        </w:rPr>
        <w:t>2</w:t>
      </w:r>
      <w:bookmarkStart w:id="272" w:name="_Toc337558739"/>
      <w:bookmarkStart w:id="273" w:name="_Toc296346539"/>
      <w:bookmarkStart w:id="274" w:name="_Toc296503038"/>
      <w:bookmarkStart w:id="275" w:name="OLE_LINK1"/>
      <w:bookmarkStart w:id="276" w:name="OLE_LINK2"/>
      <w:r>
        <w:rPr>
          <w:rFonts w:hint="eastAsia" w:ascii="宋体" w:hAnsi="宋体" w:eastAsia="宋体" w:cs="宋体"/>
          <w:b w:val="0"/>
          <w:color w:val="000000"/>
          <w:sz w:val="24"/>
          <w:szCs w:val="24"/>
        </w:rPr>
        <w:t>. 发包人</w:t>
      </w:r>
      <w:bookmarkEnd w:id="271"/>
    </w:p>
    <w:bookmarkEnd w:id="272"/>
    <w:bookmarkEnd w:id="273"/>
    <w:bookmarkEnd w:id="274"/>
    <w:p>
      <w:pPr>
        <w:pStyle w:val="7"/>
        <w:spacing w:before="120" w:after="120" w:line="360" w:lineRule="auto"/>
        <w:ind w:firstLine="480" w:firstLineChars="200"/>
        <w:rPr>
          <w:rFonts w:hint="eastAsia" w:ascii="宋体" w:hAnsi="宋体" w:eastAsia="宋体" w:cs="宋体"/>
          <w:b w:val="0"/>
          <w:color w:val="000000"/>
          <w:sz w:val="24"/>
          <w:szCs w:val="24"/>
        </w:rPr>
      </w:pPr>
      <w:bookmarkStart w:id="277" w:name="_Toc351203510"/>
      <w:r>
        <w:rPr>
          <w:rFonts w:hint="eastAsia" w:ascii="宋体" w:hAnsi="宋体" w:eastAsia="宋体" w:cs="宋体"/>
          <w:b w:val="0"/>
          <w:color w:val="000000"/>
          <w:sz w:val="24"/>
          <w:szCs w:val="24"/>
        </w:rPr>
        <w:t>2</w:t>
      </w:r>
      <w:bookmarkStart w:id="278" w:name="_Toc296503039"/>
      <w:bookmarkStart w:id="279" w:name="_Toc337558740"/>
      <w:bookmarkStart w:id="280" w:name="_Toc296346540"/>
      <w:r>
        <w:rPr>
          <w:rFonts w:hint="eastAsia" w:ascii="宋体" w:hAnsi="宋体" w:eastAsia="宋体" w:cs="宋体"/>
          <w:b w:val="0"/>
          <w:color w:val="000000"/>
          <w:sz w:val="24"/>
          <w:szCs w:val="24"/>
        </w:rPr>
        <w:t>.1 许可或批准</w:t>
      </w:r>
      <w:bookmarkEnd w:id="277"/>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因发包人原因未能及时办理完毕前述许可、批准或备案，由发包人承担由此增加的费用和（或）延误的工期，并支付承包人合理的利润。</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81" w:name="_Toc351203511"/>
      <w:r>
        <w:rPr>
          <w:rFonts w:hint="eastAsia" w:ascii="宋体" w:hAnsi="宋体" w:eastAsia="宋体" w:cs="宋体"/>
          <w:b w:val="0"/>
          <w:color w:val="000000"/>
          <w:sz w:val="24"/>
          <w:szCs w:val="24"/>
        </w:rPr>
        <w:t>2.2 发包人代表</w:t>
      </w:r>
      <w:bookmarkEnd w:id="281"/>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发包人代表不能按照合同约定履行其职责及义务，并导致合同无法继续正常履行的，承包人可以要求发包人撤换发包人代表。</w:t>
      </w:r>
    </w:p>
    <w:p>
      <w:pPr>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rPr>
        <w:t>不属于法定必须监理的工程，监理人的职权可以由发包人代表或发包人指定的其他人员行使。</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82" w:name="_Toc351203512"/>
      <w:r>
        <w:rPr>
          <w:rFonts w:hint="eastAsia" w:ascii="宋体" w:hAnsi="宋体" w:eastAsia="宋体" w:cs="宋体"/>
          <w:b w:val="0"/>
          <w:color w:val="000000"/>
          <w:sz w:val="24"/>
          <w:szCs w:val="24"/>
        </w:rPr>
        <w:t>2.3 发包人人员</w:t>
      </w:r>
      <w:bookmarkEnd w:id="282"/>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发包人人员包括发包人代表及其他由发包人派驻施工现场的人员。</w:t>
      </w:r>
      <w:bookmarkEnd w:id="278"/>
      <w:bookmarkEnd w:id="279"/>
      <w:bookmarkEnd w:id="280"/>
    </w:p>
    <w:p>
      <w:pPr>
        <w:pStyle w:val="7"/>
        <w:spacing w:before="120" w:after="120" w:line="360" w:lineRule="auto"/>
        <w:ind w:firstLine="480" w:firstLineChars="200"/>
        <w:rPr>
          <w:rFonts w:hint="eastAsia" w:ascii="宋体" w:hAnsi="宋体" w:eastAsia="宋体" w:cs="宋体"/>
          <w:b w:val="0"/>
          <w:color w:val="000000"/>
          <w:sz w:val="24"/>
          <w:szCs w:val="24"/>
        </w:rPr>
      </w:pPr>
      <w:bookmarkStart w:id="283" w:name="_Toc351203513"/>
      <w:r>
        <w:rPr>
          <w:rFonts w:hint="eastAsia" w:ascii="宋体" w:hAnsi="宋体" w:eastAsia="宋体" w:cs="宋体"/>
          <w:b w:val="0"/>
          <w:color w:val="000000"/>
          <w:sz w:val="24"/>
          <w:szCs w:val="24"/>
        </w:rPr>
        <w:t>2</w:t>
      </w:r>
      <w:bookmarkStart w:id="284" w:name="_Toc296503040"/>
      <w:bookmarkStart w:id="285" w:name="_Toc296346541"/>
      <w:bookmarkStart w:id="286" w:name="_Toc337558741"/>
      <w:r>
        <w:rPr>
          <w:rFonts w:hint="eastAsia" w:ascii="宋体" w:hAnsi="宋体" w:eastAsia="宋体" w:cs="宋体"/>
          <w:b w:val="0"/>
          <w:color w:val="000000"/>
          <w:sz w:val="24"/>
          <w:szCs w:val="24"/>
        </w:rPr>
        <w:t>.4 施工现场、施工条件和基础资料的提供</w:t>
      </w:r>
      <w:bookmarkEnd w:id="283"/>
      <w:r>
        <w:rPr>
          <w:rFonts w:hint="eastAsia" w:ascii="宋体" w:hAnsi="宋体" w:eastAsia="宋体" w:cs="宋体"/>
          <w:b w:val="0"/>
          <w:color w:val="000000"/>
          <w:sz w:val="24"/>
          <w:szCs w:val="24"/>
        </w:rPr>
        <w:t xml:space="preserve"> </w:t>
      </w:r>
      <w:bookmarkEnd w:id="284"/>
      <w:bookmarkEnd w:id="285"/>
      <w:bookmarkEnd w:id="286"/>
      <w:r>
        <w:rPr>
          <w:rFonts w:hint="eastAsia" w:ascii="宋体" w:hAnsi="宋体" w:eastAsia="宋体" w:cs="宋体"/>
          <w:b w:val="0"/>
          <w:color w:val="000000"/>
          <w:sz w:val="24"/>
          <w:szCs w:val="24"/>
        </w:rPr>
        <w:t xml:space="preserve">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2.4.1 提供施工现场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w:t>
      </w:r>
      <w:bookmarkEnd w:id="275"/>
      <w:bookmarkEnd w:id="276"/>
      <w:r>
        <w:rPr>
          <w:rFonts w:hint="eastAsia" w:ascii="宋体" w:hAnsi="宋体" w:eastAsia="宋体" w:cs="宋体"/>
          <w:color w:val="000000"/>
          <w:kern w:val="0"/>
          <w:sz w:val="24"/>
          <w:szCs w:val="24"/>
        </w:rPr>
        <w:t>专用合同条款另有约定外，发包人应最迟于开工日期7天前向承包人移交施工现场。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2.4.2 提供施工条件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除专用合同条款另有约定外，发包人应负责提供施工所需要的条件，包括：</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（1）将施工用水、电力、通讯线路等施工所必需的条件接至施工现场内；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（2）保证向承包人提供正常施工所需要的进入施工现场的交通条件；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（3）协调处理施工现场周围地下管线和邻近建筑物、构筑物、古树名木的保护工作，并承担相关费用；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（4）按照专用合同条款约定应提供的其他设施和条件。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2.4.3 提供基础资料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按照法律规定确需在开工后方能提供的基础资料，发包人应尽其努力及时地在相应工程施工前的合理期限内提供，合理期限应以不影响承包人的正常施工为限。</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2.4.4 逾期提供的责任</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因发包人原因未能按合同约定及时向承包人提供施工现场、施工条件、基础资料的，由发包人承担由此增加的费用和（或）延误的工期。</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87" w:name="_Toc351203514"/>
      <w:r>
        <w:rPr>
          <w:rFonts w:hint="eastAsia" w:ascii="宋体" w:hAnsi="宋体" w:eastAsia="宋体" w:cs="宋体"/>
          <w:b w:val="0"/>
          <w:color w:val="000000"/>
          <w:sz w:val="24"/>
          <w:szCs w:val="24"/>
        </w:rPr>
        <w:t>2</w:t>
      </w:r>
      <w:bookmarkStart w:id="288" w:name="_Toc337558745"/>
      <w:bookmarkStart w:id="289" w:name="_Toc296503042"/>
      <w:bookmarkStart w:id="290" w:name="_Toc296346543"/>
      <w:r>
        <w:rPr>
          <w:rFonts w:hint="eastAsia" w:ascii="宋体" w:hAnsi="宋体" w:eastAsia="宋体" w:cs="宋体"/>
          <w:b w:val="0"/>
          <w:color w:val="000000"/>
          <w:sz w:val="24"/>
          <w:szCs w:val="24"/>
        </w:rPr>
        <w:t>.5 资</w:t>
      </w:r>
      <w:bookmarkEnd w:id="288"/>
      <w:bookmarkEnd w:id="289"/>
      <w:bookmarkEnd w:id="290"/>
      <w:r>
        <w:rPr>
          <w:rFonts w:hint="eastAsia" w:ascii="宋体" w:hAnsi="宋体" w:eastAsia="宋体" w:cs="宋体"/>
          <w:b w:val="0"/>
          <w:color w:val="000000"/>
          <w:sz w:val="24"/>
          <w:szCs w:val="24"/>
        </w:rPr>
        <w:t>金来源证明及支付担保</w:t>
      </w:r>
      <w:bookmarkEnd w:id="287"/>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91" w:name="_Toc351203515"/>
      <w:r>
        <w:rPr>
          <w:rFonts w:hint="eastAsia" w:ascii="宋体" w:hAnsi="宋体" w:eastAsia="宋体" w:cs="宋体"/>
          <w:b w:val="0"/>
          <w:color w:val="000000"/>
          <w:sz w:val="24"/>
          <w:szCs w:val="24"/>
        </w:rPr>
        <w:t>2.6 支付合同价款</w:t>
      </w:r>
      <w:bookmarkEnd w:id="291"/>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发包人应按合同约定向承包人及时支付合同价款。</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92" w:name="_Toc351203516"/>
      <w:r>
        <w:rPr>
          <w:rFonts w:hint="eastAsia" w:ascii="宋体" w:hAnsi="宋体" w:eastAsia="宋体" w:cs="宋体"/>
          <w:b w:val="0"/>
          <w:color w:val="000000"/>
          <w:sz w:val="24"/>
          <w:szCs w:val="24"/>
        </w:rPr>
        <w:t>2.7 组织竣工验收</w:t>
      </w:r>
      <w:bookmarkEnd w:id="292"/>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发包人应按合同约定及时组织竣工验收。</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293" w:name="_Toc351203517"/>
      <w:r>
        <w:rPr>
          <w:rFonts w:hint="eastAsia" w:ascii="宋体" w:hAnsi="宋体" w:eastAsia="宋体" w:cs="宋体"/>
          <w:b w:val="0"/>
          <w:color w:val="000000"/>
          <w:sz w:val="24"/>
          <w:szCs w:val="24"/>
        </w:rPr>
        <w:t>2.8 现场统一管理协议</w:t>
      </w:r>
      <w:bookmarkEnd w:id="293"/>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发包人应与承包人、由发包人直接发包的专业工程的承包人签订施工现场统一管理协议，明确各方的权利义务。施工现场统一管理协议作为专用合同条款的附件。</w:t>
      </w:r>
    </w:p>
    <w:p>
      <w:pPr>
        <w:pStyle w:val="6"/>
        <w:spacing w:before="120" w:after="120" w:line="360" w:lineRule="auto"/>
        <w:rPr>
          <w:rFonts w:hint="eastAsia" w:ascii="宋体" w:hAnsi="宋体" w:eastAsia="宋体" w:cs="宋体"/>
          <w:b w:val="0"/>
          <w:color w:val="000000"/>
          <w:sz w:val="24"/>
          <w:szCs w:val="24"/>
        </w:rPr>
      </w:pPr>
      <w:bookmarkStart w:id="294" w:name="_Toc351203518"/>
      <w:r>
        <w:rPr>
          <w:rFonts w:hint="eastAsia" w:ascii="宋体" w:hAnsi="宋体" w:eastAsia="宋体" w:cs="宋体"/>
          <w:b w:val="0"/>
          <w:color w:val="000000"/>
          <w:sz w:val="24"/>
          <w:szCs w:val="24"/>
        </w:rPr>
        <w:t>3</w:t>
      </w:r>
      <w:bookmarkStart w:id="295" w:name="_Toc296503045"/>
      <w:bookmarkStart w:id="296" w:name="_Toc337558746"/>
      <w:bookmarkStart w:id="297" w:name="_Toc296346546"/>
      <w:r>
        <w:rPr>
          <w:rFonts w:hint="eastAsia" w:ascii="宋体" w:hAnsi="宋体" w:eastAsia="宋体" w:cs="宋体"/>
          <w:b w:val="0"/>
          <w:color w:val="000000"/>
          <w:sz w:val="24"/>
          <w:szCs w:val="24"/>
        </w:rPr>
        <w:t>. 承包人</w:t>
      </w:r>
      <w:bookmarkEnd w:id="294"/>
    </w:p>
    <w:bookmarkEnd w:id="295"/>
    <w:bookmarkEnd w:id="296"/>
    <w:bookmarkEnd w:id="297"/>
    <w:p>
      <w:pPr>
        <w:pStyle w:val="7"/>
        <w:spacing w:before="120" w:after="120" w:line="360" w:lineRule="auto"/>
        <w:ind w:firstLine="480" w:firstLineChars="200"/>
        <w:rPr>
          <w:rFonts w:hint="eastAsia" w:ascii="宋体" w:hAnsi="宋体" w:eastAsia="宋体" w:cs="宋体"/>
          <w:b w:val="0"/>
          <w:color w:val="000000"/>
          <w:sz w:val="24"/>
          <w:szCs w:val="24"/>
        </w:rPr>
      </w:pPr>
      <w:bookmarkStart w:id="298" w:name="_Toc351203519"/>
      <w:r>
        <w:rPr>
          <w:rFonts w:hint="eastAsia" w:ascii="宋体" w:hAnsi="宋体" w:eastAsia="宋体" w:cs="宋体"/>
          <w:b w:val="0"/>
          <w:color w:val="000000"/>
          <w:sz w:val="24"/>
          <w:szCs w:val="24"/>
        </w:rPr>
        <w:t>3</w:t>
      </w:r>
      <w:bookmarkStart w:id="299" w:name="_Toc296346547"/>
      <w:bookmarkStart w:id="300" w:name="_Toc337558747"/>
      <w:bookmarkStart w:id="301" w:name="_Toc296503046"/>
      <w:r>
        <w:rPr>
          <w:rFonts w:hint="eastAsia" w:ascii="宋体" w:hAnsi="宋体" w:eastAsia="宋体" w:cs="宋体"/>
          <w:b w:val="0"/>
          <w:color w:val="000000"/>
          <w:sz w:val="24"/>
          <w:szCs w:val="24"/>
        </w:rPr>
        <w:t>.1 承包人的一般义务</w:t>
      </w:r>
      <w:bookmarkEnd w:id="298"/>
    </w:p>
    <w:bookmarkEnd w:id="299"/>
    <w:bookmarkEnd w:id="300"/>
    <w:bookmarkEnd w:id="301"/>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承包人在履行合同过程中应遵守法律和工程建设标准规范，并履行以下义务：</w:t>
      </w:r>
    </w:p>
    <w:p>
      <w:pPr>
        <w:numPr>
          <w:ilvl w:val="0"/>
          <w:numId w:val="7"/>
        </w:num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办理法律规定应由承包人办理的许可和批准，并将办理结果书面报送发包人留存；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（2）按法律规定和合同约定完成工程，并在保修期内承担保修义务；</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（3）按法律规定和合同约定采取施工安全和环境保护措施，办理工伤保险，确保工程及人员、材料、设备和设施的安全；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（6）按照第6.3款〔环境保护〕约定负责施工场地及其周边环境与生态的保护工作；</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（7）按第6.1款〔安全文明施工〕约定采取施工安全措施，确保工程及其人员、材料、设备和设施的安全，防止因工程施工造成的人身伤害和财产损失；</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（8）将发包人按合同约定支付的各项价款专用于合同工程，且应及时支付其雇用人员工资，并及时向分包人支付合同价款；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（10）应履行的其他义务。</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02" w:name="_Toc351203520"/>
      <w:r>
        <w:rPr>
          <w:rFonts w:hint="eastAsia" w:ascii="宋体" w:hAnsi="宋体" w:eastAsia="宋体" w:cs="宋体"/>
          <w:b w:val="0"/>
          <w:color w:val="000000"/>
          <w:sz w:val="24"/>
          <w:szCs w:val="24"/>
        </w:rPr>
        <w:t>3</w:t>
      </w:r>
      <w:bookmarkStart w:id="303" w:name="_Toc296503047"/>
      <w:bookmarkStart w:id="304" w:name="_Toc296346548"/>
      <w:bookmarkStart w:id="305" w:name="_Toc337558748"/>
      <w:r>
        <w:rPr>
          <w:rFonts w:hint="eastAsia" w:ascii="宋体" w:hAnsi="宋体" w:eastAsia="宋体" w:cs="宋体"/>
          <w:b w:val="0"/>
          <w:color w:val="000000"/>
          <w:sz w:val="24"/>
          <w:szCs w:val="24"/>
        </w:rPr>
        <w:t xml:space="preserve">.2 </w:t>
      </w:r>
      <w:bookmarkEnd w:id="302"/>
      <w:r>
        <w:rPr>
          <w:rFonts w:hint="eastAsia" w:ascii="宋体" w:hAnsi="宋体" w:eastAsia="宋体" w:cs="宋体"/>
          <w:b w:val="0"/>
          <w:color w:val="000000"/>
          <w:sz w:val="24"/>
          <w:szCs w:val="24"/>
        </w:rPr>
        <w:t>项目经理</w:t>
      </w:r>
    </w:p>
    <w:bookmarkEnd w:id="303"/>
    <w:bookmarkEnd w:id="304"/>
    <w:bookmarkEnd w:id="305"/>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承包人违反上述约定的，应按照专用合同条款的约定，承担违约责任。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06" w:name="_Toc351203521"/>
      <w:r>
        <w:rPr>
          <w:rFonts w:hint="eastAsia" w:ascii="宋体" w:hAnsi="宋体" w:eastAsia="宋体" w:cs="宋体"/>
          <w:b w:val="0"/>
          <w:color w:val="000000"/>
          <w:sz w:val="24"/>
          <w:szCs w:val="24"/>
        </w:rPr>
        <w:t>3</w:t>
      </w:r>
      <w:bookmarkStart w:id="307" w:name="_Toc296503048"/>
      <w:bookmarkStart w:id="308" w:name="_Toc296346549"/>
      <w:bookmarkStart w:id="309" w:name="_Toc337558749"/>
      <w:r>
        <w:rPr>
          <w:rFonts w:hint="eastAsia" w:ascii="宋体" w:hAnsi="宋体" w:eastAsia="宋体" w:cs="宋体"/>
          <w:b w:val="0"/>
          <w:color w:val="000000"/>
          <w:sz w:val="24"/>
          <w:szCs w:val="24"/>
        </w:rPr>
        <w:t xml:space="preserve">.3 </w:t>
      </w:r>
      <w:bookmarkEnd w:id="307"/>
      <w:bookmarkEnd w:id="308"/>
      <w:r>
        <w:rPr>
          <w:rFonts w:hint="eastAsia" w:ascii="宋体" w:hAnsi="宋体" w:eastAsia="宋体" w:cs="宋体"/>
          <w:b w:val="0"/>
          <w:color w:val="000000"/>
          <w:sz w:val="24"/>
          <w:szCs w:val="24"/>
        </w:rPr>
        <w:t>承包人人员</w:t>
      </w:r>
      <w:bookmarkEnd w:id="306"/>
    </w:p>
    <w:bookmarkEnd w:id="309"/>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特殊工种作业人员均应持有相应的资格证明，监理人可以随时检查。</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3.3.5 承包人擅自更换主要施工管理人员，或前述人员未经监理人或发包人同意擅自离开施工现场的，应按照专用合同条款约定承担违约责任。</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10" w:name="_Toc351203522"/>
      <w:r>
        <w:rPr>
          <w:rFonts w:hint="eastAsia" w:ascii="宋体" w:hAnsi="宋体" w:eastAsia="宋体" w:cs="宋体"/>
          <w:b w:val="0"/>
          <w:color w:val="000000"/>
          <w:sz w:val="24"/>
          <w:szCs w:val="24"/>
        </w:rPr>
        <w:t>3</w:t>
      </w:r>
      <w:bookmarkStart w:id="311" w:name="_Toc337558750"/>
      <w:bookmarkStart w:id="312" w:name="_Toc296503050"/>
      <w:bookmarkStart w:id="313" w:name="_Toc296346551"/>
      <w:r>
        <w:rPr>
          <w:rFonts w:hint="eastAsia" w:ascii="宋体" w:hAnsi="宋体" w:eastAsia="宋体" w:cs="宋体"/>
          <w:b w:val="0"/>
          <w:color w:val="000000"/>
          <w:sz w:val="24"/>
          <w:szCs w:val="24"/>
        </w:rPr>
        <w:t>.4 承包人现场查勘</w:t>
      </w:r>
      <w:bookmarkEnd w:id="310"/>
    </w:p>
    <w:bookmarkEnd w:id="311"/>
    <w:bookmarkEnd w:id="312"/>
    <w:bookmarkEnd w:id="313"/>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14" w:name="_Toc351203523"/>
      <w:r>
        <w:rPr>
          <w:rFonts w:hint="eastAsia" w:ascii="宋体" w:hAnsi="宋体" w:eastAsia="宋体" w:cs="宋体"/>
          <w:b w:val="0"/>
          <w:color w:val="000000"/>
          <w:sz w:val="24"/>
          <w:szCs w:val="24"/>
        </w:rPr>
        <w:t>3</w:t>
      </w:r>
      <w:bookmarkStart w:id="315" w:name="_Toc296503051"/>
      <w:bookmarkStart w:id="316" w:name="_Toc296346552"/>
      <w:bookmarkStart w:id="317" w:name="_Toc337558751"/>
      <w:r>
        <w:rPr>
          <w:rFonts w:hint="eastAsia" w:ascii="宋体" w:hAnsi="宋体" w:eastAsia="宋体" w:cs="宋体"/>
          <w:b w:val="0"/>
          <w:color w:val="000000"/>
          <w:sz w:val="24"/>
          <w:szCs w:val="24"/>
        </w:rPr>
        <w:t>.5 分包</w:t>
      </w:r>
      <w:bookmarkEnd w:id="314"/>
    </w:p>
    <w:bookmarkEnd w:id="315"/>
    <w:bookmarkEnd w:id="316"/>
    <w:bookmarkEnd w:id="317"/>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3.5.1 分包的一般约定</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承包人不得以劳务分包的名义转包或违法分包工程。</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3.5.2 分包的确定</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3.5.3 分包管理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承包人应向监理人提交分包人的主要施工管理人员表，并对分包人的施工人员进行实名制管理，包括但不限于进出场管理、登记造册以及各种证照的办理。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3.5.4 分包合同价款</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（1）除本项第（2）目约定的情况或专用合同条款另有约定外，分包合同价款由承包人与分包人结算，未经承包人同意，发包人不得向分包人支付分包工程价款；</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（2）生效法律文书要求发包人向分包人支付分包合同价款的，发包人有权从应付承包人工程款中扣除该部分款项。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3.5.5 分包合同权益的转让</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18" w:name="_Toc351203524"/>
    </w:p>
    <w:p>
      <w:pPr>
        <w:pStyle w:val="7"/>
        <w:spacing w:before="120" w:after="120"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3.6 工程照管与成品、半成品保护</w:t>
      </w:r>
      <w:bookmarkEnd w:id="318"/>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（1）除专用合同条款另有约定外，自发包人向承包人移交施工现场之日起，承包人应负责照管工程及工程相关的材料、工程设备，直到颁发工程接收证书之日止。</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（2）在承包人负责照管期间，因承包人原因造成工程、材料、工程设备损坏的，由承包人负责修复或更换，并承担由此增加的费用和（或）延误的工期。</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19" w:name="_Toc351203525"/>
      <w:r>
        <w:rPr>
          <w:rFonts w:hint="eastAsia" w:ascii="宋体" w:hAnsi="宋体" w:eastAsia="宋体" w:cs="宋体"/>
          <w:b w:val="0"/>
          <w:color w:val="000000"/>
          <w:sz w:val="24"/>
          <w:szCs w:val="24"/>
        </w:rPr>
        <w:t>3</w:t>
      </w:r>
      <w:bookmarkStart w:id="320" w:name="_Toc337558752"/>
      <w:bookmarkStart w:id="321" w:name="_Toc296346553"/>
      <w:bookmarkStart w:id="322" w:name="_Toc296503052"/>
      <w:r>
        <w:rPr>
          <w:rFonts w:hint="eastAsia" w:ascii="宋体" w:hAnsi="宋体" w:eastAsia="宋体" w:cs="宋体"/>
          <w:b w:val="0"/>
          <w:color w:val="000000"/>
          <w:sz w:val="24"/>
          <w:szCs w:val="24"/>
        </w:rPr>
        <w:t>.7 履约担保</w:t>
      </w:r>
      <w:bookmarkEnd w:id="319"/>
    </w:p>
    <w:bookmarkEnd w:id="320"/>
    <w:bookmarkEnd w:id="321"/>
    <w:bookmarkEnd w:id="322"/>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因承包人原因导致工期延长的，继续提供履约担保所增加的费用由承包人承担；非因承包人原因导致工期延长的，继续提供履约担保所增加的费用由发包人承担。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23" w:name="_Toc351203526"/>
      <w:r>
        <w:rPr>
          <w:rFonts w:hint="eastAsia" w:ascii="宋体" w:hAnsi="宋体" w:eastAsia="宋体" w:cs="宋体"/>
          <w:b w:val="0"/>
          <w:color w:val="000000"/>
          <w:sz w:val="24"/>
          <w:szCs w:val="24"/>
        </w:rPr>
        <w:t>3.8 联合体</w:t>
      </w:r>
      <w:bookmarkEnd w:id="323"/>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3.8.1 联合体各方应共同与发包人签订合同协议书。联合体各方应为履行合同向发包人承担连带责任。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3.8.2 联合体协议经发包人确认后作为合同附件。在履行合同过程中，未经发包人同意，不得修改联合体协议。</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3.8.3 联合体牵头人负责与发包人和监理人联系，并接受指示，负责组织联合体各成员全面履行合同。</w:t>
      </w:r>
    </w:p>
    <w:p>
      <w:pPr>
        <w:pStyle w:val="6"/>
        <w:spacing w:before="120" w:after="120" w:line="360" w:lineRule="auto"/>
        <w:rPr>
          <w:rFonts w:hint="eastAsia" w:ascii="宋体" w:hAnsi="宋体" w:eastAsia="宋体" w:cs="宋体"/>
          <w:b w:val="0"/>
          <w:color w:val="000000"/>
          <w:sz w:val="24"/>
          <w:szCs w:val="24"/>
        </w:rPr>
      </w:pPr>
      <w:bookmarkStart w:id="324" w:name="_Toc351203527"/>
      <w:r>
        <w:rPr>
          <w:rFonts w:hint="eastAsia" w:ascii="宋体" w:hAnsi="宋体" w:eastAsia="宋体" w:cs="宋体"/>
          <w:b w:val="0"/>
          <w:color w:val="000000"/>
          <w:sz w:val="24"/>
          <w:szCs w:val="24"/>
        </w:rPr>
        <w:t>4</w:t>
      </w:r>
      <w:bookmarkStart w:id="325" w:name="_Toc296503053"/>
      <w:bookmarkStart w:id="326" w:name="_Toc296346554"/>
      <w:bookmarkStart w:id="327" w:name="_Toc337558753"/>
      <w:r>
        <w:rPr>
          <w:rFonts w:hint="eastAsia" w:ascii="宋体" w:hAnsi="宋体" w:eastAsia="宋体" w:cs="宋体"/>
          <w:b w:val="0"/>
          <w:color w:val="000000"/>
          <w:sz w:val="24"/>
          <w:szCs w:val="24"/>
        </w:rPr>
        <w:t>. 监</w:t>
      </w:r>
      <w:bookmarkEnd w:id="325"/>
      <w:bookmarkEnd w:id="326"/>
      <w:r>
        <w:rPr>
          <w:rFonts w:hint="eastAsia" w:ascii="宋体" w:hAnsi="宋体" w:eastAsia="宋体" w:cs="宋体"/>
          <w:b w:val="0"/>
          <w:color w:val="000000"/>
          <w:sz w:val="24"/>
          <w:szCs w:val="24"/>
        </w:rPr>
        <w:t>理人</w:t>
      </w:r>
      <w:bookmarkEnd w:id="324"/>
    </w:p>
    <w:bookmarkEnd w:id="327"/>
    <w:p>
      <w:pPr>
        <w:pStyle w:val="7"/>
        <w:spacing w:before="120" w:after="120" w:line="360" w:lineRule="auto"/>
        <w:ind w:firstLine="480" w:firstLineChars="200"/>
        <w:rPr>
          <w:rFonts w:hint="eastAsia" w:ascii="宋体" w:hAnsi="宋体" w:eastAsia="宋体" w:cs="宋体"/>
          <w:b w:val="0"/>
          <w:color w:val="000000"/>
          <w:sz w:val="24"/>
          <w:szCs w:val="24"/>
        </w:rPr>
      </w:pPr>
      <w:bookmarkStart w:id="328" w:name="_Toc351203528"/>
      <w:r>
        <w:rPr>
          <w:rFonts w:hint="eastAsia" w:ascii="宋体" w:hAnsi="宋体" w:eastAsia="宋体" w:cs="宋体"/>
          <w:b w:val="0"/>
          <w:color w:val="000000"/>
          <w:sz w:val="24"/>
          <w:szCs w:val="24"/>
        </w:rPr>
        <w:t>4</w:t>
      </w:r>
      <w:bookmarkStart w:id="329" w:name="_Toc337558754"/>
      <w:bookmarkStart w:id="330" w:name="_Toc296346555"/>
      <w:bookmarkStart w:id="331" w:name="_Toc296503054"/>
      <w:r>
        <w:rPr>
          <w:rFonts w:hint="eastAsia" w:ascii="宋体" w:hAnsi="宋体" w:eastAsia="宋体" w:cs="宋体"/>
          <w:b w:val="0"/>
          <w:color w:val="000000"/>
          <w:sz w:val="24"/>
          <w:szCs w:val="24"/>
        </w:rPr>
        <w:t>.1监理人的一般规定</w:t>
      </w:r>
      <w:bookmarkEnd w:id="328"/>
    </w:p>
    <w:bookmarkEnd w:id="329"/>
    <w:bookmarkEnd w:id="330"/>
    <w:bookmarkEnd w:id="331"/>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除专用合同条款另有约定外，监理人在施工现场的办公场所、生活场所由承包人提供，所发生的费用由发包人承担。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32" w:name="_Toc351203529"/>
      <w:r>
        <w:rPr>
          <w:rFonts w:hint="eastAsia" w:ascii="宋体" w:hAnsi="宋体" w:eastAsia="宋体" w:cs="宋体"/>
          <w:b w:val="0"/>
          <w:color w:val="000000"/>
          <w:sz w:val="24"/>
          <w:szCs w:val="24"/>
        </w:rPr>
        <w:t>4</w:t>
      </w:r>
      <w:bookmarkStart w:id="333" w:name="_Toc337558755"/>
      <w:r>
        <w:rPr>
          <w:rFonts w:hint="eastAsia" w:ascii="宋体" w:hAnsi="宋体" w:eastAsia="宋体" w:cs="宋体"/>
          <w:b w:val="0"/>
          <w:color w:val="000000"/>
          <w:sz w:val="24"/>
          <w:szCs w:val="24"/>
        </w:rPr>
        <w:t>.2监理人员</w:t>
      </w:r>
      <w:bookmarkEnd w:id="332"/>
    </w:p>
    <w:bookmarkEnd w:id="333"/>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34" w:name="_Toc351203530"/>
      <w:r>
        <w:rPr>
          <w:rFonts w:hint="eastAsia" w:ascii="宋体" w:hAnsi="宋体" w:eastAsia="宋体" w:cs="宋体"/>
          <w:b w:val="0"/>
          <w:color w:val="000000"/>
          <w:sz w:val="24"/>
          <w:szCs w:val="24"/>
        </w:rPr>
        <w:t>4</w:t>
      </w:r>
      <w:bookmarkStart w:id="335" w:name="_Toc296503055"/>
      <w:bookmarkStart w:id="336" w:name="_Toc296346556"/>
      <w:bookmarkStart w:id="337" w:name="_Toc337558756"/>
      <w:r>
        <w:rPr>
          <w:rFonts w:hint="eastAsia" w:ascii="宋体" w:hAnsi="宋体" w:eastAsia="宋体" w:cs="宋体"/>
          <w:b w:val="0"/>
          <w:color w:val="000000"/>
          <w:sz w:val="24"/>
          <w:szCs w:val="24"/>
        </w:rPr>
        <w:t>.3</w:t>
      </w:r>
      <w:bookmarkEnd w:id="335"/>
      <w:bookmarkEnd w:id="336"/>
      <w:r>
        <w:rPr>
          <w:rFonts w:hint="eastAsia" w:ascii="宋体" w:hAnsi="宋体" w:eastAsia="宋体" w:cs="宋体"/>
          <w:b w:val="0"/>
          <w:color w:val="000000"/>
          <w:sz w:val="24"/>
          <w:szCs w:val="24"/>
        </w:rPr>
        <w:t>监理人的指</w:t>
      </w:r>
      <w:bookmarkEnd w:id="337"/>
      <w:r>
        <w:rPr>
          <w:rFonts w:hint="eastAsia" w:ascii="宋体" w:hAnsi="宋体" w:eastAsia="宋体" w:cs="宋体"/>
          <w:b w:val="0"/>
          <w:color w:val="000000"/>
          <w:sz w:val="24"/>
          <w:szCs w:val="24"/>
        </w:rPr>
        <w:t>示</w:t>
      </w:r>
      <w:bookmarkEnd w:id="334"/>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pStyle w:val="6"/>
        <w:spacing w:before="120" w:after="120" w:line="360" w:lineRule="auto"/>
        <w:ind w:firstLine="480" w:firstLineChars="200"/>
        <w:rPr>
          <w:rFonts w:hint="eastAsia" w:ascii="宋体" w:hAnsi="宋体" w:eastAsia="宋体" w:cs="宋体"/>
          <w:b w:val="0"/>
          <w:color w:val="000000"/>
          <w:sz w:val="24"/>
          <w:szCs w:val="24"/>
        </w:rPr>
      </w:pPr>
      <w:bookmarkStart w:id="338" w:name="_Toc351203531"/>
      <w:r>
        <w:rPr>
          <w:rFonts w:hint="eastAsia" w:ascii="宋体" w:hAnsi="宋体" w:eastAsia="宋体" w:cs="宋体"/>
          <w:b w:val="0"/>
          <w:color w:val="000000"/>
          <w:sz w:val="24"/>
          <w:szCs w:val="24"/>
        </w:rPr>
        <w:t>4</w:t>
      </w:r>
      <w:bookmarkStart w:id="339" w:name="_Toc337558757"/>
      <w:bookmarkStart w:id="340" w:name="_Toc296503057"/>
      <w:bookmarkStart w:id="341" w:name="_Toc296346558"/>
      <w:r>
        <w:rPr>
          <w:rFonts w:hint="eastAsia" w:ascii="宋体" w:hAnsi="宋体" w:eastAsia="宋体" w:cs="宋体"/>
          <w:b w:val="0"/>
          <w:color w:val="000000"/>
          <w:sz w:val="24"/>
          <w:szCs w:val="24"/>
        </w:rPr>
        <w:t>.4 商定或确定</w:t>
      </w:r>
      <w:bookmarkEnd w:id="338"/>
    </w:p>
    <w:bookmarkEnd w:id="339"/>
    <w:bookmarkEnd w:id="340"/>
    <w:bookmarkEnd w:id="341"/>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spacing w:before="120" w:after="120" w:line="360" w:lineRule="auto"/>
        <w:rPr>
          <w:rFonts w:hint="eastAsia" w:ascii="宋体" w:hAnsi="宋体" w:eastAsia="宋体" w:cs="宋体"/>
          <w:b w:val="0"/>
          <w:color w:val="000000"/>
          <w:sz w:val="24"/>
          <w:szCs w:val="24"/>
        </w:rPr>
      </w:pPr>
      <w:bookmarkStart w:id="342" w:name="_Toc351203532"/>
      <w:r>
        <w:rPr>
          <w:rFonts w:hint="eastAsia" w:ascii="宋体" w:hAnsi="宋体" w:eastAsia="宋体" w:cs="宋体"/>
          <w:b w:val="0"/>
          <w:color w:val="000000"/>
          <w:sz w:val="24"/>
          <w:szCs w:val="24"/>
        </w:rPr>
        <w:t>5</w:t>
      </w:r>
      <w:bookmarkStart w:id="343" w:name="_Toc337558758"/>
      <w:r>
        <w:rPr>
          <w:rFonts w:hint="eastAsia" w:ascii="宋体" w:hAnsi="宋体" w:eastAsia="宋体" w:cs="宋体"/>
          <w:b w:val="0"/>
          <w:color w:val="000000"/>
          <w:sz w:val="24"/>
          <w:szCs w:val="24"/>
        </w:rPr>
        <w:t>. 工程质量</w:t>
      </w:r>
      <w:bookmarkEnd w:id="342"/>
    </w:p>
    <w:bookmarkEnd w:id="343"/>
    <w:p>
      <w:pPr>
        <w:pStyle w:val="7"/>
        <w:spacing w:before="120" w:after="120" w:line="360" w:lineRule="auto"/>
        <w:ind w:firstLine="480" w:firstLineChars="200"/>
        <w:rPr>
          <w:rFonts w:hint="eastAsia" w:ascii="宋体" w:hAnsi="宋体" w:eastAsia="宋体" w:cs="宋体"/>
          <w:b w:val="0"/>
          <w:color w:val="000000"/>
          <w:sz w:val="24"/>
          <w:szCs w:val="24"/>
        </w:rPr>
      </w:pPr>
      <w:bookmarkStart w:id="344" w:name="_Toc351203533"/>
      <w:r>
        <w:rPr>
          <w:rFonts w:hint="eastAsia" w:ascii="宋体" w:hAnsi="宋体" w:eastAsia="宋体" w:cs="宋体"/>
          <w:b w:val="0"/>
          <w:color w:val="000000"/>
          <w:sz w:val="24"/>
          <w:szCs w:val="24"/>
        </w:rPr>
        <w:t>5</w:t>
      </w:r>
      <w:bookmarkStart w:id="345" w:name="_Toc337558759"/>
      <w:r>
        <w:rPr>
          <w:rFonts w:hint="eastAsia" w:ascii="宋体" w:hAnsi="宋体" w:eastAsia="宋体" w:cs="宋体"/>
          <w:b w:val="0"/>
          <w:color w:val="000000"/>
          <w:sz w:val="24"/>
          <w:szCs w:val="24"/>
        </w:rPr>
        <w:t>.1质量要求</w:t>
      </w:r>
      <w:bookmarkEnd w:id="344"/>
    </w:p>
    <w:bookmarkEnd w:id="345"/>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46" w:name="_Toc351203534"/>
      <w:r>
        <w:rPr>
          <w:rFonts w:hint="eastAsia" w:ascii="宋体" w:hAnsi="宋体" w:eastAsia="宋体" w:cs="宋体"/>
          <w:b w:val="0"/>
          <w:color w:val="000000"/>
          <w:sz w:val="24"/>
          <w:szCs w:val="24"/>
        </w:rPr>
        <w:t>5</w:t>
      </w:r>
      <w:bookmarkStart w:id="347" w:name="_Toc337558760"/>
      <w:r>
        <w:rPr>
          <w:rFonts w:hint="eastAsia" w:ascii="宋体" w:hAnsi="宋体" w:eastAsia="宋体" w:cs="宋体"/>
          <w:b w:val="0"/>
          <w:color w:val="000000"/>
          <w:sz w:val="24"/>
          <w:szCs w:val="24"/>
        </w:rPr>
        <w:t>.2质量保证措施</w:t>
      </w:r>
      <w:bookmarkEnd w:id="346"/>
    </w:p>
    <w:bookmarkEnd w:id="347"/>
    <w:p>
      <w:pPr>
        <w:autoSpaceDE w:val="0"/>
        <w:autoSpaceDN w:val="0"/>
        <w:adjustRightInd w:val="0"/>
        <w:spacing w:line="360" w:lineRule="auto"/>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5.2.1 发包人的质量管理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发包人应按照法律规定及合同约定完成与工程质量有关的各项工作。</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5.2.2 承包人的质量管理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承包人应对施工人员进行质量教育和技术培训，定期考核施工人员的劳动技能，严格执行施工规范和操作规程。</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5.2.3 监理人的质量检查和检验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48" w:name="_Toc351203535"/>
      <w:r>
        <w:rPr>
          <w:rFonts w:hint="eastAsia" w:ascii="宋体" w:hAnsi="宋体" w:eastAsia="宋体" w:cs="宋体"/>
          <w:b w:val="0"/>
          <w:color w:val="000000"/>
          <w:sz w:val="24"/>
          <w:szCs w:val="24"/>
        </w:rPr>
        <w:t>5</w:t>
      </w:r>
      <w:bookmarkStart w:id="349" w:name="_Toc337558761"/>
      <w:r>
        <w:rPr>
          <w:rFonts w:hint="eastAsia" w:ascii="宋体" w:hAnsi="宋体" w:eastAsia="宋体" w:cs="宋体"/>
          <w:b w:val="0"/>
          <w:color w:val="000000"/>
          <w:sz w:val="24"/>
          <w:szCs w:val="24"/>
        </w:rPr>
        <w:t>.3 隐蔽工程检查</w:t>
      </w:r>
      <w:bookmarkEnd w:id="348"/>
    </w:p>
    <w:bookmarkEnd w:id="349"/>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5.3.1承包人自检</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承包人应当对工程隐蔽部位进行自检，并经自检确认是否具备覆盖条件。</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5.3.2检查程序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5.3.3 重新检查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5.3.4 承包人私自覆盖</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50" w:name="_Toc351203536"/>
      <w:r>
        <w:rPr>
          <w:rFonts w:hint="eastAsia" w:ascii="宋体" w:hAnsi="宋体" w:eastAsia="宋体" w:cs="宋体"/>
          <w:b w:val="0"/>
          <w:color w:val="000000"/>
          <w:sz w:val="24"/>
          <w:szCs w:val="24"/>
        </w:rPr>
        <w:t>5</w:t>
      </w:r>
      <w:bookmarkStart w:id="351" w:name="_Toc337558762"/>
      <w:r>
        <w:rPr>
          <w:rFonts w:hint="eastAsia" w:ascii="宋体" w:hAnsi="宋体" w:eastAsia="宋体" w:cs="宋体"/>
          <w:b w:val="0"/>
          <w:color w:val="000000"/>
          <w:sz w:val="24"/>
          <w:szCs w:val="24"/>
        </w:rPr>
        <w:t>.4不合格工程的处理</w:t>
      </w:r>
      <w:bookmarkEnd w:id="350"/>
    </w:p>
    <w:bookmarkEnd w:id="351"/>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5.4.2 因发包人原因造成工程不合格的，由此增加的费用和（或）延误的工期由发包人承担，并支付承包人合理的利润。</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52" w:name="_Toc351203537"/>
      <w:r>
        <w:rPr>
          <w:rFonts w:hint="eastAsia" w:ascii="宋体" w:hAnsi="宋体" w:eastAsia="宋体" w:cs="宋体"/>
          <w:b w:val="0"/>
          <w:color w:val="000000"/>
          <w:sz w:val="24"/>
          <w:szCs w:val="24"/>
        </w:rPr>
        <w:t>5.5 质量争议检测</w:t>
      </w:r>
      <w:bookmarkEnd w:id="352"/>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合同当事人均有责任的，由双方根据其责任分别承担。合同当事人无法达成一致的，按照第4.4款〔商定或确定〕执行。</w:t>
      </w:r>
    </w:p>
    <w:p>
      <w:pPr>
        <w:pStyle w:val="6"/>
        <w:spacing w:before="120" w:after="120" w:line="360" w:lineRule="auto"/>
        <w:rPr>
          <w:rFonts w:hint="eastAsia" w:ascii="宋体" w:hAnsi="宋体" w:eastAsia="宋体" w:cs="宋体"/>
          <w:b w:val="0"/>
          <w:color w:val="000000"/>
          <w:sz w:val="24"/>
          <w:szCs w:val="24"/>
        </w:rPr>
      </w:pPr>
      <w:bookmarkStart w:id="353" w:name="_Toc351203538"/>
      <w:r>
        <w:rPr>
          <w:rFonts w:hint="eastAsia" w:ascii="宋体" w:hAnsi="宋体" w:eastAsia="宋体" w:cs="宋体"/>
          <w:b w:val="0"/>
          <w:color w:val="000000"/>
          <w:sz w:val="24"/>
          <w:szCs w:val="24"/>
        </w:rPr>
        <w:t>6</w:t>
      </w:r>
      <w:bookmarkStart w:id="354" w:name="_Toc337558763"/>
      <w:r>
        <w:rPr>
          <w:rFonts w:hint="eastAsia" w:ascii="宋体" w:hAnsi="宋体" w:eastAsia="宋体" w:cs="宋体"/>
          <w:b w:val="0"/>
          <w:color w:val="000000"/>
          <w:sz w:val="24"/>
          <w:szCs w:val="24"/>
        </w:rPr>
        <w:t>. 安全文明施工与环境保护</w:t>
      </w:r>
      <w:bookmarkEnd w:id="353"/>
    </w:p>
    <w:bookmarkEnd w:id="354"/>
    <w:p>
      <w:pPr>
        <w:pStyle w:val="7"/>
        <w:spacing w:before="120" w:after="120" w:line="360" w:lineRule="auto"/>
        <w:ind w:firstLine="480" w:firstLineChars="200"/>
        <w:rPr>
          <w:rFonts w:hint="eastAsia" w:ascii="宋体" w:hAnsi="宋体" w:eastAsia="宋体" w:cs="宋体"/>
          <w:b w:val="0"/>
          <w:color w:val="000000"/>
          <w:sz w:val="24"/>
          <w:szCs w:val="24"/>
        </w:rPr>
      </w:pPr>
      <w:bookmarkStart w:id="355" w:name="_Toc351203539"/>
      <w:r>
        <w:rPr>
          <w:rFonts w:hint="eastAsia" w:ascii="宋体" w:hAnsi="宋体" w:eastAsia="宋体" w:cs="宋体"/>
          <w:b w:val="0"/>
          <w:color w:val="000000"/>
          <w:sz w:val="24"/>
          <w:szCs w:val="24"/>
        </w:rPr>
        <w:t>6</w:t>
      </w:r>
      <w:bookmarkStart w:id="356" w:name="_Toc337558764"/>
      <w:r>
        <w:rPr>
          <w:rFonts w:hint="eastAsia" w:ascii="宋体" w:hAnsi="宋体" w:eastAsia="宋体" w:cs="宋体"/>
          <w:b w:val="0"/>
          <w:color w:val="000000"/>
          <w:sz w:val="24"/>
          <w:szCs w:val="24"/>
        </w:rPr>
        <w:t>.1安全文明施工</w:t>
      </w:r>
      <w:bookmarkEnd w:id="355"/>
    </w:p>
    <w:bookmarkEnd w:id="356"/>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6.1.1安全生产要求</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4"/>
          <w:szCs w:val="24"/>
        </w:rPr>
        <w:t>政府有关行政管理部门</w:t>
      </w:r>
      <w:r>
        <w:rPr>
          <w:rFonts w:hint="eastAsia" w:ascii="宋体" w:hAnsi="宋体" w:eastAsia="宋体" w:cs="宋体"/>
          <w:color w:val="000000"/>
          <w:sz w:val="24"/>
          <w:szCs w:val="24"/>
        </w:rPr>
        <w:t>采取应急措施。</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因安全生产需要暂停施工的，按照第7.8款〔暂停施工〕的约定执行。</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6.1.2 安全生产保证措施</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承包人应当按照有关</w:t>
      </w:r>
      <w:r>
        <w:rPr>
          <w:rFonts w:hint="eastAsia" w:ascii="宋体" w:hAnsi="宋体" w:eastAsia="宋体" w:cs="宋体"/>
          <w:color w:val="000000"/>
          <w:kern w:val="0"/>
          <w:sz w:val="24"/>
          <w:szCs w:val="24"/>
        </w:rPr>
        <w:t>规定编制安全技术措施或者专项施工方案，</w:t>
      </w:r>
      <w:r>
        <w:rPr>
          <w:rFonts w:hint="eastAsia" w:ascii="宋体" w:hAnsi="宋体" w:eastAsia="宋体" w:cs="宋体"/>
          <w:color w:val="000000"/>
          <w:sz w:val="24"/>
          <w:szCs w:val="24"/>
        </w:rPr>
        <w:t>建立安全生产责任制度、治安保卫制度及安全生产教育培训制度，并</w:t>
      </w:r>
      <w:r>
        <w:rPr>
          <w:rFonts w:hint="eastAsia" w:ascii="宋体" w:hAnsi="宋体" w:eastAsia="宋体" w:cs="宋体"/>
          <w:color w:val="000000"/>
          <w:kern w:val="0"/>
          <w:sz w:val="24"/>
          <w:szCs w:val="24"/>
        </w:rPr>
        <w:t>按安全生产法律规定及合同约定履行安全职责，如实</w:t>
      </w:r>
      <w:r>
        <w:rPr>
          <w:rFonts w:hint="eastAsia" w:ascii="宋体" w:hAnsi="宋体" w:eastAsia="宋体" w:cs="宋体"/>
          <w:color w:val="000000"/>
          <w:sz w:val="24"/>
          <w:szCs w:val="24"/>
        </w:rPr>
        <w:t>编制工程安全生产的有关记录，</w:t>
      </w:r>
      <w:r>
        <w:rPr>
          <w:rFonts w:hint="eastAsia" w:ascii="宋体" w:hAnsi="宋体" w:eastAsia="宋体" w:cs="宋体"/>
          <w:color w:val="000000"/>
          <w:kern w:val="0"/>
          <w:sz w:val="24"/>
          <w:szCs w:val="24"/>
        </w:rPr>
        <w:t>接受发包人、监理人及政府安全监督部门的检查与监督。</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6.1.3特别安全生产事项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6.1.4 治安保卫</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6.1.5 文明施工</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6.1.6 安全文明施工费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6.1.7 紧急情况处理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6.1.8 事故处理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 安全生产责任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6.1.9.1 发包人的安全责任</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发包人应负责赔偿以下各种情况造成的损失：</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（1）工程或工程的任何部分对土地的占用所造成的第三者财产损失；</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（2）由于发包人原因在施工场地及其毗邻地带造成的第三者人身伤亡和财产损失；</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（3）由于发包人原因对承包人、监理人造成的人员人身伤亡和财产损失；</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（4）由于发包人原因造成的发包人自身人员的人身伤害以及财产损失。</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6.1.9.2 承包人的安全责任</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由于承包人原因在施工场地内及其毗邻地带造成的发包人、监理人以及第三者人员伤亡和财产损失，由承包人负责赔偿。</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57" w:name="_Toc351203540"/>
      <w:r>
        <w:rPr>
          <w:rFonts w:hint="eastAsia" w:ascii="宋体" w:hAnsi="宋体" w:eastAsia="宋体" w:cs="宋体"/>
          <w:b w:val="0"/>
          <w:color w:val="000000"/>
          <w:sz w:val="24"/>
          <w:szCs w:val="24"/>
        </w:rPr>
        <w:t>6</w:t>
      </w:r>
      <w:bookmarkStart w:id="358" w:name="_Toc337558765"/>
      <w:r>
        <w:rPr>
          <w:rFonts w:hint="eastAsia" w:ascii="宋体" w:hAnsi="宋体" w:eastAsia="宋体" w:cs="宋体"/>
          <w:b w:val="0"/>
          <w:color w:val="000000"/>
          <w:sz w:val="24"/>
          <w:szCs w:val="24"/>
        </w:rPr>
        <w:t>.2 职业健康</w:t>
      </w:r>
      <w:bookmarkEnd w:id="357"/>
    </w:p>
    <w:bookmarkEnd w:id="358"/>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6.2.1 劳动保护</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6.2.2 生活条件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59" w:name="_Toc351203541"/>
      <w:r>
        <w:rPr>
          <w:rFonts w:hint="eastAsia" w:ascii="宋体" w:hAnsi="宋体" w:eastAsia="宋体" w:cs="宋体"/>
          <w:b w:val="0"/>
          <w:color w:val="000000"/>
          <w:sz w:val="24"/>
          <w:szCs w:val="24"/>
        </w:rPr>
        <w:t>6</w:t>
      </w:r>
      <w:bookmarkStart w:id="360" w:name="_Toc337558766"/>
      <w:r>
        <w:rPr>
          <w:rFonts w:hint="eastAsia" w:ascii="宋体" w:hAnsi="宋体" w:eastAsia="宋体" w:cs="宋体"/>
          <w:b w:val="0"/>
          <w:color w:val="000000"/>
          <w:sz w:val="24"/>
          <w:szCs w:val="24"/>
        </w:rPr>
        <w:t>.3 环境保护</w:t>
      </w:r>
      <w:bookmarkEnd w:id="359"/>
    </w:p>
    <w:bookmarkEnd w:id="360"/>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承包人应当承担因其原因引起的环境污染侵权损害赔偿责任，因上述环境污染引起纠纷而导致暂停施工的，由此增加的费用和（或）延误的工期由承包人承担。</w:t>
      </w:r>
    </w:p>
    <w:p>
      <w:pPr>
        <w:pStyle w:val="6"/>
        <w:spacing w:before="120" w:after="120" w:line="360" w:lineRule="auto"/>
        <w:rPr>
          <w:rFonts w:hint="eastAsia" w:ascii="宋体" w:hAnsi="宋体" w:eastAsia="宋体" w:cs="宋体"/>
          <w:b w:val="0"/>
          <w:color w:val="000000"/>
          <w:sz w:val="24"/>
          <w:szCs w:val="24"/>
        </w:rPr>
      </w:pPr>
      <w:bookmarkStart w:id="361" w:name="_Toc351203542"/>
      <w:r>
        <w:rPr>
          <w:rFonts w:hint="eastAsia" w:ascii="宋体" w:hAnsi="宋体" w:eastAsia="宋体" w:cs="宋体"/>
          <w:b w:val="0"/>
          <w:color w:val="000000"/>
          <w:sz w:val="24"/>
          <w:szCs w:val="24"/>
        </w:rPr>
        <w:t>7</w:t>
      </w:r>
      <w:bookmarkStart w:id="362" w:name="_Toc337558767"/>
      <w:r>
        <w:rPr>
          <w:rFonts w:hint="eastAsia" w:ascii="宋体" w:hAnsi="宋体" w:eastAsia="宋体" w:cs="宋体"/>
          <w:b w:val="0"/>
          <w:color w:val="000000"/>
          <w:sz w:val="24"/>
          <w:szCs w:val="24"/>
        </w:rPr>
        <w:t>. 工期和进度</w:t>
      </w:r>
      <w:bookmarkEnd w:id="361"/>
    </w:p>
    <w:bookmarkEnd w:id="362"/>
    <w:p>
      <w:pPr>
        <w:pStyle w:val="7"/>
        <w:spacing w:before="120" w:after="120" w:line="360" w:lineRule="auto"/>
        <w:ind w:firstLine="480" w:firstLineChars="200"/>
        <w:rPr>
          <w:rFonts w:hint="eastAsia" w:ascii="宋体" w:hAnsi="宋体" w:eastAsia="宋体" w:cs="宋体"/>
          <w:b w:val="0"/>
          <w:color w:val="000000"/>
          <w:sz w:val="24"/>
          <w:szCs w:val="24"/>
        </w:rPr>
      </w:pPr>
      <w:bookmarkStart w:id="363" w:name="_Toc351203543"/>
      <w:r>
        <w:rPr>
          <w:rFonts w:hint="eastAsia" w:ascii="宋体" w:hAnsi="宋体" w:eastAsia="宋体" w:cs="宋体"/>
          <w:b w:val="0"/>
          <w:color w:val="000000"/>
          <w:sz w:val="24"/>
          <w:szCs w:val="24"/>
        </w:rPr>
        <w:t>7</w:t>
      </w:r>
      <w:bookmarkStart w:id="364" w:name="_Toc337558768"/>
      <w:bookmarkStart w:id="365" w:name="_Toc296346567"/>
      <w:bookmarkStart w:id="366" w:name="_Toc296503066"/>
      <w:r>
        <w:rPr>
          <w:rFonts w:hint="eastAsia" w:ascii="宋体" w:hAnsi="宋体" w:eastAsia="宋体" w:cs="宋体"/>
          <w:b w:val="0"/>
          <w:color w:val="000000"/>
          <w:sz w:val="24"/>
          <w:szCs w:val="24"/>
        </w:rPr>
        <w:t>.1施工组织设计</w:t>
      </w:r>
      <w:bookmarkEnd w:id="363"/>
    </w:p>
    <w:bookmarkEnd w:id="364"/>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7.1.1</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施工组织设计的内容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施工组织设计应包含以下内容：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（1）施工方案；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（2）施工现场平面布置图；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（3）施工进度计划和保证措施；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（4）劳动力及材料供应计划；</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（5）施工机械设备的选用；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（6）质量保证体系及措施；</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（7）安全生产、文明施工措施；</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（8）环境保护、成本控制措施；</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（9）合同当事人约定的其他内容。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施工进度计划的编制和修改按照第7.2款〔施工进度计划〕执行。</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67" w:name="_Toc351203544"/>
      <w:r>
        <w:rPr>
          <w:rFonts w:hint="eastAsia" w:ascii="宋体" w:hAnsi="宋体" w:eastAsia="宋体" w:cs="宋体"/>
          <w:b w:val="0"/>
          <w:color w:val="000000"/>
          <w:sz w:val="24"/>
          <w:szCs w:val="24"/>
        </w:rPr>
        <w:t>7</w:t>
      </w:r>
      <w:bookmarkStart w:id="368" w:name="_Toc337558769"/>
      <w:r>
        <w:rPr>
          <w:rFonts w:hint="eastAsia" w:ascii="宋体" w:hAnsi="宋体" w:eastAsia="宋体" w:cs="宋体"/>
          <w:b w:val="0"/>
          <w:color w:val="000000"/>
          <w:sz w:val="24"/>
          <w:szCs w:val="24"/>
        </w:rPr>
        <w:t>.2 施工进度计划</w:t>
      </w:r>
      <w:bookmarkEnd w:id="367"/>
    </w:p>
    <w:bookmarkEnd w:id="368"/>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7.2.1 施工进度计划的编制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7.2.2 施工进度计划的修订</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69" w:name="_Toc351203545"/>
      <w:r>
        <w:rPr>
          <w:rFonts w:hint="eastAsia" w:ascii="宋体" w:hAnsi="宋体" w:eastAsia="宋体" w:cs="宋体"/>
          <w:b w:val="0"/>
          <w:color w:val="000000"/>
          <w:sz w:val="24"/>
          <w:szCs w:val="24"/>
        </w:rPr>
        <w:t>7</w:t>
      </w:r>
      <w:bookmarkStart w:id="370" w:name="_Toc337558770"/>
      <w:r>
        <w:rPr>
          <w:rFonts w:hint="eastAsia" w:ascii="宋体" w:hAnsi="宋体" w:eastAsia="宋体" w:cs="宋体"/>
          <w:b w:val="0"/>
          <w:color w:val="000000"/>
          <w:sz w:val="24"/>
          <w:szCs w:val="24"/>
        </w:rPr>
        <w:t>.3 开工</w:t>
      </w:r>
      <w:bookmarkEnd w:id="369"/>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7.3.1 开工准备</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除专用合同条款另有约定外，合同当事人应按约定完成开工准备工作。</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7.3.2 开工通知</w:t>
      </w:r>
    </w:p>
    <w:bookmarkEnd w:id="370"/>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71" w:name="_Toc351203546"/>
      <w:r>
        <w:rPr>
          <w:rFonts w:hint="eastAsia" w:ascii="宋体" w:hAnsi="宋体" w:eastAsia="宋体" w:cs="宋体"/>
          <w:b w:val="0"/>
          <w:color w:val="000000"/>
          <w:sz w:val="24"/>
          <w:szCs w:val="24"/>
        </w:rPr>
        <w:t>7.4测量放线</w:t>
      </w:r>
      <w:bookmarkEnd w:id="371"/>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施工过程中对施工现场内水准点等测量标志物的保护工作由承包人负责。</w:t>
      </w:r>
      <w:bookmarkStart w:id="372" w:name="_Toc351203547"/>
    </w:p>
    <w:p>
      <w:pPr>
        <w:pStyle w:val="7"/>
        <w:spacing w:before="120" w:after="120"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7</w:t>
      </w:r>
      <w:bookmarkEnd w:id="365"/>
      <w:bookmarkEnd w:id="366"/>
      <w:bookmarkStart w:id="373" w:name="_Toc296503073"/>
      <w:bookmarkStart w:id="374" w:name="_Toc337558772"/>
      <w:bookmarkStart w:id="375" w:name="_Toc296346574"/>
      <w:r>
        <w:rPr>
          <w:rFonts w:hint="eastAsia" w:ascii="宋体" w:hAnsi="宋体" w:eastAsia="宋体" w:cs="宋体"/>
          <w:b w:val="0"/>
          <w:color w:val="000000"/>
          <w:sz w:val="24"/>
          <w:szCs w:val="24"/>
        </w:rPr>
        <w:t>.5 工期延误</w:t>
      </w:r>
      <w:bookmarkEnd w:id="372"/>
    </w:p>
    <w:bookmarkEnd w:id="373"/>
    <w:bookmarkEnd w:id="374"/>
    <w:bookmarkEnd w:id="375"/>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7.5.1 因发包人原因导致工期延误</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在合同履行过程中，因下列情况导致工期延误和（或）费用增加的，由发包人承担由此延误的工期和（或）增加的费用，且发包人应支付承包人合理的利润： </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（1）发包人未能按合同约定提供图纸或所提供图纸不符合合同约定的；</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（2）发包人未能按合同约定提供施工现场、施工条件、基础资料、许可、批准等开工条件的；</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（3）发包人提供的测量基准点、基准线和水准点及其书面资料存在错误或疏漏的；</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（4）发包人未能在计划开工日期之日起7天内同意下达开工通知的；</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（5）发包人未能按合同约定日期支付工程预付款、进度款或竣工结算款的；</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（6）监理人未按合同约定发出指示、批准等文件的；</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（7）专用合同条款中约定的其他情形。</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7.5.2 因承包人原因导致工期延误</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bookmarkStart w:id="376" w:name="_Toc296346577"/>
      <w:bookmarkStart w:id="377" w:name="_Toc296503076"/>
      <w:r>
        <w:rPr>
          <w:rFonts w:hint="eastAsia" w:ascii="宋体" w:hAnsi="宋体" w:eastAsia="宋体" w:cs="宋体"/>
          <w:color w:val="000000"/>
          <w:kern w:val="0"/>
          <w:sz w:val="24"/>
          <w:szCs w:val="24"/>
        </w:rPr>
        <w:t>因</w:t>
      </w:r>
      <w:bookmarkEnd w:id="376"/>
      <w:bookmarkEnd w:id="377"/>
      <w:r>
        <w:rPr>
          <w:rFonts w:hint="eastAsia" w:ascii="宋体" w:hAnsi="宋体" w:eastAsia="宋体" w:cs="宋体"/>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78" w:name="_Toc351203548"/>
      <w:r>
        <w:rPr>
          <w:rFonts w:hint="eastAsia" w:ascii="宋体" w:hAnsi="宋体" w:eastAsia="宋体" w:cs="宋体"/>
          <w:b w:val="0"/>
          <w:color w:val="000000"/>
          <w:sz w:val="24"/>
          <w:szCs w:val="24"/>
        </w:rPr>
        <w:t>7</w:t>
      </w:r>
      <w:bookmarkStart w:id="379" w:name="_Toc296346575"/>
      <w:bookmarkStart w:id="380" w:name="_Toc337558773"/>
      <w:bookmarkStart w:id="381" w:name="_Toc296503074"/>
      <w:bookmarkStart w:id="382" w:name="_Toc296503077"/>
      <w:bookmarkStart w:id="383" w:name="_Toc296346578"/>
      <w:r>
        <w:rPr>
          <w:rFonts w:hint="eastAsia" w:ascii="宋体" w:hAnsi="宋体" w:eastAsia="宋体" w:cs="宋体"/>
          <w:b w:val="0"/>
          <w:color w:val="000000"/>
          <w:sz w:val="24"/>
          <w:szCs w:val="24"/>
        </w:rPr>
        <w:t>.6 不利物质条件</w:t>
      </w:r>
      <w:bookmarkEnd w:id="378"/>
    </w:p>
    <w:bookmarkEnd w:id="379"/>
    <w:bookmarkEnd w:id="380"/>
    <w:bookmarkEnd w:id="381"/>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84" w:name="_Toc351203549"/>
      <w:r>
        <w:rPr>
          <w:rFonts w:hint="eastAsia" w:ascii="宋体" w:hAnsi="宋体" w:eastAsia="宋体" w:cs="宋体"/>
          <w:b w:val="0"/>
          <w:color w:val="000000"/>
          <w:sz w:val="24"/>
          <w:szCs w:val="24"/>
        </w:rPr>
        <w:t>7</w:t>
      </w:r>
      <w:bookmarkStart w:id="385" w:name="_Toc296346576"/>
      <w:bookmarkStart w:id="386" w:name="_Toc337558774"/>
      <w:bookmarkStart w:id="387" w:name="_Toc296503075"/>
      <w:r>
        <w:rPr>
          <w:rFonts w:hint="eastAsia" w:ascii="宋体" w:hAnsi="宋体" w:eastAsia="宋体" w:cs="宋体"/>
          <w:b w:val="0"/>
          <w:color w:val="000000"/>
          <w:sz w:val="24"/>
          <w:szCs w:val="24"/>
        </w:rPr>
        <w:t>.7 异常恶劣的气候条件</w:t>
      </w:r>
      <w:bookmarkEnd w:id="384"/>
    </w:p>
    <w:bookmarkEnd w:id="385"/>
    <w:bookmarkEnd w:id="386"/>
    <w:bookmarkEnd w:id="387"/>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88" w:name="_Toc351203550"/>
    </w:p>
    <w:p>
      <w:pPr>
        <w:autoSpaceDE w:val="0"/>
        <w:autoSpaceDN w:val="0"/>
        <w:adjustRightInd w:val="0"/>
        <w:spacing w:line="360" w:lineRule="auto"/>
        <w:ind w:firstLine="480" w:firstLineChars="200"/>
        <w:jc w:val="left"/>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7</w:t>
      </w:r>
      <w:bookmarkStart w:id="389" w:name="_Toc337558775"/>
      <w:r>
        <w:rPr>
          <w:rFonts w:hint="eastAsia" w:ascii="宋体" w:hAnsi="宋体" w:eastAsia="宋体" w:cs="宋体"/>
          <w:bCs/>
          <w:color w:val="000000"/>
          <w:sz w:val="24"/>
          <w:szCs w:val="24"/>
        </w:rPr>
        <w:t>.8 暂停施工</w:t>
      </w:r>
      <w:bookmarkEnd w:id="388"/>
    </w:p>
    <w:bookmarkEnd w:id="382"/>
    <w:bookmarkEnd w:id="383"/>
    <w:bookmarkEnd w:id="389"/>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7.8.1发包人原因引起的暂停施工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因发包人原因引起的暂停施工，发包人应承担由此增加的费用和（或）延误的工期，</w:t>
      </w:r>
      <w:r>
        <w:rPr>
          <w:rFonts w:hint="eastAsia" w:ascii="宋体" w:hAnsi="宋体" w:eastAsia="宋体" w:cs="宋体"/>
          <w:kern w:val="0"/>
          <w:sz w:val="24"/>
          <w:szCs w:val="24"/>
        </w:rPr>
        <w:t>并支付承包人</w:t>
      </w:r>
      <w:r>
        <w:rPr>
          <w:rFonts w:hint="eastAsia" w:ascii="宋体" w:hAnsi="宋体" w:eastAsia="宋体" w:cs="宋体"/>
          <w:color w:val="000000"/>
          <w:kern w:val="0"/>
          <w:sz w:val="24"/>
          <w:szCs w:val="24"/>
        </w:rPr>
        <w:t>合理的利润。</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7.8.2 承包人原因引起的暂停施工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7.8.3 指示暂停施工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监理人认为有必要时，并经发包人批准后，可向承包人作出暂停施工的指示，承包人应按监理人指示暂停施工。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7.8.4 紧急情况下的暂停施工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7.8.5 暂停施工后的复工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承包人无故拖延和拒绝复工的，承包人承担由此增加的费用和（或）延误的工期；因发包人原因无法按时复工的，按照第7.5.1项〔因发包人原因导致工期延误〕约定办理。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7.8.6 暂停施工持续56天以上</w:t>
      </w:r>
    </w:p>
    <w:p>
      <w:pPr>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left="16"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7.8.7 暂停施工期间的工程照管</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暂停施工期间，承包人应负责妥善照管工程并提供安全保障，由此增加的费用由责任方承担。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7.8.8 暂停施工的措施</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暂停施工期间，发包人和承包人均应采取必要的措施确保工程质量及安全，防止因暂停施工扩大损失。</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390" w:name="_Toc351203551"/>
      <w:r>
        <w:rPr>
          <w:rFonts w:hint="eastAsia" w:ascii="宋体" w:hAnsi="宋体" w:eastAsia="宋体" w:cs="宋体"/>
          <w:b w:val="0"/>
          <w:color w:val="000000"/>
          <w:sz w:val="24"/>
          <w:szCs w:val="24"/>
        </w:rPr>
        <w:t>7.9提前竣工</w:t>
      </w:r>
      <w:bookmarkEnd w:id="390"/>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7.9.2 发包人要求承包人提前竣工，或承包人提出提前竣工的建议能够给发包人带来效益的，合同当事人可以在专用合同条款中约定提前竣工的奖励。</w:t>
      </w:r>
    </w:p>
    <w:p>
      <w:pPr>
        <w:pStyle w:val="6"/>
        <w:spacing w:before="120" w:after="120" w:line="360" w:lineRule="auto"/>
        <w:rPr>
          <w:rFonts w:hint="eastAsia" w:ascii="宋体" w:hAnsi="宋体" w:eastAsia="宋体" w:cs="宋体"/>
          <w:b w:val="0"/>
          <w:color w:val="000000"/>
          <w:sz w:val="24"/>
          <w:szCs w:val="24"/>
        </w:rPr>
      </w:pPr>
      <w:bookmarkStart w:id="391" w:name="_Toc351203552"/>
      <w:r>
        <w:rPr>
          <w:rFonts w:hint="eastAsia" w:ascii="宋体" w:hAnsi="宋体" w:eastAsia="宋体" w:cs="宋体"/>
          <w:b w:val="0"/>
          <w:color w:val="000000"/>
          <w:sz w:val="24"/>
          <w:szCs w:val="24"/>
        </w:rPr>
        <w:t>8</w:t>
      </w:r>
      <w:bookmarkStart w:id="392" w:name="_Toc296346559"/>
      <w:bookmarkStart w:id="393" w:name="_Toc296503058"/>
      <w:bookmarkStart w:id="394" w:name="_Toc337558776"/>
      <w:r>
        <w:rPr>
          <w:rFonts w:hint="eastAsia" w:ascii="宋体" w:hAnsi="宋体" w:eastAsia="宋体" w:cs="宋体"/>
          <w:b w:val="0"/>
          <w:color w:val="000000"/>
          <w:sz w:val="24"/>
          <w:szCs w:val="24"/>
        </w:rPr>
        <w:t>. 材料与设备</w:t>
      </w:r>
      <w:bookmarkEnd w:id="391"/>
    </w:p>
    <w:bookmarkEnd w:id="392"/>
    <w:bookmarkEnd w:id="393"/>
    <w:bookmarkEnd w:id="394"/>
    <w:p>
      <w:pPr>
        <w:pStyle w:val="7"/>
        <w:spacing w:before="120" w:after="120" w:line="360" w:lineRule="auto"/>
        <w:ind w:firstLine="480" w:firstLineChars="200"/>
        <w:rPr>
          <w:rFonts w:hint="eastAsia" w:ascii="宋体" w:hAnsi="宋体" w:eastAsia="宋体" w:cs="宋体"/>
          <w:b w:val="0"/>
          <w:color w:val="000000"/>
          <w:sz w:val="24"/>
          <w:szCs w:val="24"/>
        </w:rPr>
      </w:pPr>
      <w:bookmarkStart w:id="395" w:name="_Toc351203553"/>
      <w:r>
        <w:rPr>
          <w:rFonts w:hint="eastAsia" w:ascii="宋体" w:hAnsi="宋体" w:eastAsia="宋体" w:cs="宋体"/>
          <w:b w:val="0"/>
          <w:color w:val="000000"/>
          <w:sz w:val="24"/>
          <w:szCs w:val="24"/>
        </w:rPr>
        <w:t>8</w:t>
      </w:r>
      <w:bookmarkStart w:id="396" w:name="_Toc296346560"/>
      <w:bookmarkStart w:id="397" w:name="_Toc296503059"/>
      <w:bookmarkStart w:id="398" w:name="_Toc337558777"/>
      <w:bookmarkStart w:id="399" w:name="_Toc468936960"/>
      <w:r>
        <w:rPr>
          <w:rFonts w:hint="eastAsia" w:ascii="宋体" w:hAnsi="宋体" w:eastAsia="宋体" w:cs="宋体"/>
          <w:b w:val="0"/>
          <w:color w:val="000000"/>
          <w:sz w:val="24"/>
          <w:szCs w:val="24"/>
        </w:rPr>
        <w:t>.1发包人供应材料与工程设备</w:t>
      </w:r>
      <w:bookmarkEnd w:id="395"/>
    </w:p>
    <w:bookmarkEnd w:id="396"/>
    <w:bookmarkEnd w:id="397"/>
    <w:bookmarkEnd w:id="398"/>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120" w:after="120" w:line="360" w:lineRule="auto"/>
        <w:ind w:firstLine="480" w:firstLineChars="200"/>
        <w:rPr>
          <w:rFonts w:hint="eastAsia" w:ascii="宋体" w:hAnsi="宋体" w:eastAsia="宋体" w:cs="宋体"/>
          <w:color w:val="000000"/>
          <w:sz w:val="24"/>
          <w:szCs w:val="24"/>
        </w:rPr>
      </w:pPr>
      <w:bookmarkStart w:id="400" w:name="_Toc351203554"/>
      <w:r>
        <w:rPr>
          <w:rFonts w:hint="eastAsia" w:ascii="宋体" w:hAnsi="宋体" w:eastAsia="宋体" w:cs="宋体"/>
          <w:b w:val="0"/>
          <w:color w:val="000000"/>
          <w:sz w:val="24"/>
          <w:szCs w:val="24"/>
        </w:rPr>
        <w:t>8</w:t>
      </w:r>
      <w:bookmarkStart w:id="401" w:name="_Toc296346561"/>
      <w:bookmarkStart w:id="402" w:name="_Toc296503060"/>
      <w:bookmarkStart w:id="403" w:name="_Toc337558778"/>
      <w:r>
        <w:rPr>
          <w:rFonts w:hint="eastAsia" w:ascii="宋体" w:hAnsi="宋体" w:eastAsia="宋体" w:cs="宋体"/>
          <w:b w:val="0"/>
          <w:color w:val="000000"/>
          <w:sz w:val="24"/>
          <w:szCs w:val="24"/>
        </w:rPr>
        <w:t>.2承包人采购材料与工程设备</w:t>
      </w:r>
      <w:bookmarkEnd w:id="400"/>
    </w:p>
    <w:bookmarkEnd w:id="401"/>
    <w:bookmarkEnd w:id="402"/>
    <w:bookmarkEnd w:id="403"/>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04" w:name="_Toc351203555"/>
      <w:r>
        <w:rPr>
          <w:rFonts w:hint="eastAsia" w:ascii="宋体" w:hAnsi="宋体" w:eastAsia="宋体" w:cs="宋体"/>
          <w:b w:val="0"/>
          <w:color w:val="000000"/>
          <w:sz w:val="24"/>
          <w:szCs w:val="24"/>
        </w:rPr>
        <w:t>8</w:t>
      </w:r>
      <w:bookmarkStart w:id="405" w:name="_Toc337558779"/>
      <w:bookmarkStart w:id="406" w:name="_Toc296346562"/>
      <w:bookmarkStart w:id="407" w:name="_Toc296503061"/>
      <w:r>
        <w:rPr>
          <w:rFonts w:hint="eastAsia" w:ascii="宋体" w:hAnsi="宋体" w:eastAsia="宋体" w:cs="宋体"/>
          <w:b w:val="0"/>
          <w:color w:val="000000"/>
          <w:sz w:val="24"/>
          <w:szCs w:val="24"/>
        </w:rPr>
        <w:t>.3材料与工程设备的接收与拒收</w:t>
      </w:r>
      <w:bookmarkEnd w:id="404"/>
    </w:p>
    <w:bookmarkEnd w:id="405"/>
    <w:bookmarkEnd w:id="406"/>
    <w:bookmarkEnd w:id="407"/>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8.3.2 承包人采购的材料和工程设备，应保证产品质量合格，承包人应在材料和工程设备到货前24小时通知监理人检验。承</w:t>
      </w:r>
      <w:bookmarkStart w:id="408" w:name="_Toc250655469"/>
      <w:r>
        <w:rPr>
          <w:rFonts w:hint="eastAsia" w:ascii="宋体" w:hAnsi="宋体" w:eastAsia="宋体" w:cs="宋体"/>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408"/>
    <w:p>
      <w:pPr>
        <w:autoSpaceDE w:val="0"/>
        <w:autoSpaceDN w:val="0"/>
        <w:adjustRightInd w:val="0"/>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09" w:name="_Toc351203556"/>
      <w:r>
        <w:rPr>
          <w:rFonts w:hint="eastAsia" w:ascii="宋体" w:hAnsi="宋体" w:eastAsia="宋体" w:cs="宋体"/>
          <w:b w:val="0"/>
          <w:color w:val="000000"/>
          <w:sz w:val="24"/>
          <w:szCs w:val="24"/>
        </w:rPr>
        <w:t>8</w:t>
      </w:r>
      <w:bookmarkStart w:id="410" w:name="_Toc296503062"/>
      <w:bookmarkStart w:id="411" w:name="_Toc296346563"/>
      <w:bookmarkStart w:id="412" w:name="_Toc337558780"/>
      <w:r>
        <w:rPr>
          <w:rFonts w:hint="eastAsia" w:ascii="宋体" w:hAnsi="宋体" w:eastAsia="宋体" w:cs="宋体"/>
          <w:b w:val="0"/>
          <w:color w:val="000000"/>
          <w:sz w:val="24"/>
          <w:szCs w:val="24"/>
        </w:rPr>
        <w:t>.4材料与工程设备的保管与使用</w:t>
      </w:r>
      <w:bookmarkEnd w:id="409"/>
    </w:p>
    <w:bookmarkEnd w:id="410"/>
    <w:bookmarkEnd w:id="411"/>
    <w:bookmarkEnd w:id="412"/>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8.4.1 发包人供应</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发包人供应的材料和工程设备使用前，由承包人负责检验，检验费用由发包人承担，不合格的不得使用。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8.4.2 承包人采购</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13" w:name="_Toc351203557"/>
      <w:r>
        <w:rPr>
          <w:rFonts w:hint="eastAsia" w:ascii="宋体" w:hAnsi="宋体" w:eastAsia="宋体" w:cs="宋体"/>
          <w:b w:val="0"/>
          <w:color w:val="000000"/>
          <w:sz w:val="24"/>
          <w:szCs w:val="24"/>
        </w:rPr>
        <w:t>8.5禁止使用不合格的材料和工程设备</w:t>
      </w:r>
      <w:bookmarkEnd w:id="413"/>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8.5.3 发包人提供的材料或工程设备不符合合同要求的，承包人有权拒绝，并可要求发包人更换，由此增加的费用和（或）延误的工期由发包人承担，并支付承包人合理的利润。</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14" w:name="_Toc351203558"/>
      <w:r>
        <w:rPr>
          <w:rFonts w:hint="eastAsia" w:ascii="宋体" w:hAnsi="宋体" w:eastAsia="宋体" w:cs="宋体"/>
          <w:b w:val="0"/>
          <w:color w:val="000000"/>
          <w:sz w:val="24"/>
          <w:szCs w:val="24"/>
        </w:rPr>
        <w:t>8.6 样品</w:t>
      </w:r>
      <w:bookmarkEnd w:id="414"/>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8.6.2 样品的保管</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经批准的样品应由监理人负责封存于现场，承包人应在现场为保存样品提供适当和固定的场所并保持适当和良好的存储环境条件。</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15" w:name="_Toc351203559"/>
      <w:r>
        <w:rPr>
          <w:rFonts w:hint="eastAsia" w:ascii="宋体" w:hAnsi="宋体" w:eastAsia="宋体" w:cs="宋体"/>
          <w:b w:val="0"/>
          <w:color w:val="000000"/>
          <w:sz w:val="24"/>
          <w:szCs w:val="24"/>
        </w:rPr>
        <w:t>8.7材料与工程设备的替代</w:t>
      </w:r>
      <w:bookmarkEnd w:id="415"/>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8.7.1 出现下列情况需要使用替代材料和工程设备的，承包人应按照第8.7.2项约定的程序执行：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（1）基准日期后生效的法律规定禁止使用的；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（2）发包人要求使用替代品的；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（3）因其他原因必须使用替代品的。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8.7.2 承包人应在使用替代材料和工程设备28天前书面通知监理人，并附下列文件：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（1）被替代的材料和工程设备的名称、数量、规格、型号、品牌、性能、价格及其他相关资料；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（2）替代品的名称、数量、规格、型号、品牌、性能、价格及其他相关资料；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（3）替代品与被替代产品之间的差异以及使用替代品可能对工程产生的影响；</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（4）替代品与被替代产品的价格差异；</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（5）使用替代品的理由和原因说明；</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（6）监理人要求的其他文件。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16" w:name="_Toc351203560"/>
      <w:r>
        <w:rPr>
          <w:rFonts w:hint="eastAsia" w:ascii="宋体" w:hAnsi="宋体" w:eastAsia="宋体" w:cs="宋体"/>
          <w:b w:val="0"/>
          <w:color w:val="000000"/>
          <w:sz w:val="24"/>
          <w:szCs w:val="24"/>
        </w:rPr>
        <w:t>8.8施工设备和临时设施</w:t>
      </w:r>
      <w:bookmarkEnd w:id="416"/>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8.8.1 承包人提供的施工设备和临时设施</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8.8.2发包人提供的施工设备和临时设施</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发包人提供的施工设备或临时设施在专用合同条款中约定。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8.8.3要求承包人增加或更换施工设备</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17" w:name="_Toc351203561"/>
      <w:r>
        <w:rPr>
          <w:rFonts w:hint="eastAsia" w:ascii="宋体" w:hAnsi="宋体" w:eastAsia="宋体" w:cs="宋体"/>
          <w:b w:val="0"/>
          <w:color w:val="000000"/>
          <w:sz w:val="24"/>
          <w:szCs w:val="24"/>
        </w:rPr>
        <w:t>8</w:t>
      </w:r>
      <w:bookmarkStart w:id="418" w:name="_Toc296503063"/>
      <w:bookmarkStart w:id="419" w:name="_Toc337558781"/>
      <w:bookmarkStart w:id="420" w:name="_Toc296346564"/>
      <w:r>
        <w:rPr>
          <w:rFonts w:hint="eastAsia" w:ascii="宋体" w:hAnsi="宋体" w:eastAsia="宋体" w:cs="宋体"/>
          <w:b w:val="0"/>
          <w:color w:val="000000"/>
          <w:sz w:val="24"/>
          <w:szCs w:val="24"/>
        </w:rPr>
        <w:t>.9材料与设备专用</w:t>
      </w:r>
      <w:bookmarkEnd w:id="417"/>
      <w:r>
        <w:rPr>
          <w:rFonts w:hint="eastAsia" w:ascii="宋体" w:hAnsi="宋体" w:eastAsia="宋体" w:cs="宋体"/>
          <w:b w:val="0"/>
          <w:color w:val="000000"/>
          <w:sz w:val="24"/>
          <w:szCs w:val="24"/>
        </w:rPr>
        <w:t>要求</w:t>
      </w:r>
    </w:p>
    <w:bookmarkEnd w:id="418"/>
    <w:bookmarkEnd w:id="419"/>
    <w:bookmarkEnd w:id="420"/>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399"/>
      <w:r>
        <w:rPr>
          <w:rFonts w:hint="eastAsia" w:ascii="宋体" w:hAnsi="宋体" w:eastAsia="宋体" w:cs="宋体"/>
          <w:color w:val="000000"/>
          <w:kern w:val="0"/>
          <w:sz w:val="24"/>
          <w:szCs w:val="24"/>
        </w:rPr>
        <w:t>经发包人批准，承包人可以根据施工进度计划撤走闲置的施工设备和其他物品。</w:t>
      </w:r>
    </w:p>
    <w:p>
      <w:pPr>
        <w:pStyle w:val="6"/>
        <w:spacing w:before="120" w:after="120" w:line="360" w:lineRule="auto"/>
        <w:rPr>
          <w:rFonts w:hint="eastAsia" w:ascii="宋体" w:hAnsi="宋体" w:eastAsia="宋体" w:cs="宋体"/>
          <w:b w:val="0"/>
          <w:color w:val="000000"/>
          <w:sz w:val="24"/>
          <w:szCs w:val="24"/>
        </w:rPr>
      </w:pPr>
      <w:bookmarkStart w:id="421" w:name="_Toc351203562"/>
      <w:r>
        <w:rPr>
          <w:rFonts w:hint="eastAsia" w:ascii="宋体" w:hAnsi="宋体" w:eastAsia="宋体" w:cs="宋体"/>
          <w:b w:val="0"/>
          <w:color w:val="000000"/>
          <w:sz w:val="24"/>
          <w:szCs w:val="24"/>
        </w:rPr>
        <w:t>9</w:t>
      </w:r>
      <w:bookmarkStart w:id="422" w:name="_Toc337558782"/>
      <w:bookmarkStart w:id="423" w:name="_Toc296503083"/>
      <w:bookmarkStart w:id="424" w:name="_Toc296346584"/>
      <w:r>
        <w:rPr>
          <w:rFonts w:hint="eastAsia" w:ascii="宋体" w:hAnsi="宋体" w:eastAsia="宋体" w:cs="宋体"/>
          <w:b w:val="0"/>
          <w:color w:val="000000"/>
          <w:sz w:val="24"/>
          <w:szCs w:val="24"/>
        </w:rPr>
        <w:t>. 试验与检验</w:t>
      </w:r>
      <w:bookmarkEnd w:id="421"/>
    </w:p>
    <w:bookmarkEnd w:id="422"/>
    <w:p>
      <w:pPr>
        <w:pStyle w:val="7"/>
        <w:spacing w:before="120" w:after="120" w:line="360" w:lineRule="auto"/>
        <w:ind w:firstLine="480" w:firstLineChars="200"/>
        <w:rPr>
          <w:rFonts w:hint="eastAsia" w:ascii="宋体" w:hAnsi="宋体" w:eastAsia="宋体" w:cs="宋体"/>
          <w:b w:val="0"/>
          <w:color w:val="000000"/>
          <w:sz w:val="24"/>
          <w:szCs w:val="24"/>
        </w:rPr>
      </w:pPr>
      <w:bookmarkStart w:id="425" w:name="_Toc351203563"/>
      <w:r>
        <w:rPr>
          <w:rFonts w:hint="eastAsia" w:ascii="宋体" w:hAnsi="宋体" w:eastAsia="宋体" w:cs="宋体"/>
          <w:b w:val="0"/>
          <w:color w:val="000000"/>
          <w:sz w:val="24"/>
          <w:szCs w:val="24"/>
        </w:rPr>
        <w:t>9</w:t>
      </w:r>
      <w:bookmarkStart w:id="426" w:name="_Toc337558783"/>
      <w:r>
        <w:rPr>
          <w:rFonts w:hint="eastAsia" w:ascii="宋体" w:hAnsi="宋体" w:eastAsia="宋体" w:cs="宋体"/>
          <w:b w:val="0"/>
          <w:color w:val="000000"/>
          <w:sz w:val="24"/>
          <w:szCs w:val="24"/>
        </w:rPr>
        <w:t>.1试验设备与试验人员</w:t>
      </w:r>
      <w:bookmarkEnd w:id="425"/>
    </w:p>
    <w:bookmarkEnd w:id="426"/>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9.1.2 承包人应按专用合同条款的约定提供试验设备、取样装置、试验场所和试验条件，并向监理人提交相应进场计划表。</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承包人配置的试验设备要符合相应试验规程的要求并经过具有资质的检测单位检测，且在正式使用该试验设备前，需要经过监理人与承包人共同校定。</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27" w:name="_Toc351203564"/>
      <w:r>
        <w:rPr>
          <w:rFonts w:hint="eastAsia" w:ascii="宋体" w:hAnsi="宋体" w:eastAsia="宋体" w:cs="宋体"/>
          <w:b w:val="0"/>
          <w:color w:val="000000"/>
          <w:sz w:val="24"/>
          <w:szCs w:val="24"/>
        </w:rPr>
        <w:t>9</w:t>
      </w:r>
      <w:bookmarkStart w:id="428" w:name="_Toc337558784"/>
      <w:r>
        <w:rPr>
          <w:rFonts w:hint="eastAsia" w:ascii="宋体" w:hAnsi="宋体" w:eastAsia="宋体" w:cs="宋体"/>
          <w:b w:val="0"/>
          <w:color w:val="000000"/>
          <w:sz w:val="24"/>
          <w:szCs w:val="24"/>
        </w:rPr>
        <w:t>.2取样</w:t>
      </w:r>
      <w:bookmarkEnd w:id="427"/>
    </w:p>
    <w:bookmarkEnd w:id="428"/>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试验属于自检性质的，承包人可以单独取样。试验属于监理人抽检性质的，可由监理人取样，也可由承包人的试验人员在监理人的监督下取样。</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29" w:name="_Toc351203565"/>
      <w:r>
        <w:rPr>
          <w:rFonts w:hint="eastAsia" w:ascii="宋体" w:hAnsi="宋体" w:eastAsia="宋体" w:cs="宋体"/>
          <w:b w:val="0"/>
          <w:color w:val="000000"/>
          <w:sz w:val="24"/>
          <w:szCs w:val="24"/>
        </w:rPr>
        <w:t>9</w:t>
      </w:r>
      <w:bookmarkStart w:id="430" w:name="_Toc337558785"/>
      <w:r>
        <w:rPr>
          <w:rFonts w:hint="eastAsia" w:ascii="宋体" w:hAnsi="宋体" w:eastAsia="宋体" w:cs="宋体"/>
          <w:b w:val="0"/>
          <w:color w:val="000000"/>
          <w:sz w:val="24"/>
          <w:szCs w:val="24"/>
        </w:rPr>
        <w:t>.3材料、工程设备和工程的试验和检验</w:t>
      </w:r>
      <w:bookmarkEnd w:id="429"/>
    </w:p>
    <w:bookmarkEnd w:id="430"/>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31" w:name="_Toc351203566"/>
      <w:r>
        <w:rPr>
          <w:rFonts w:hint="eastAsia" w:ascii="宋体" w:hAnsi="宋体" w:eastAsia="宋体" w:cs="宋体"/>
          <w:b w:val="0"/>
          <w:color w:val="000000"/>
          <w:sz w:val="24"/>
          <w:szCs w:val="24"/>
        </w:rPr>
        <w:t>9</w:t>
      </w:r>
      <w:bookmarkStart w:id="432" w:name="_Toc337558786"/>
      <w:r>
        <w:rPr>
          <w:rFonts w:hint="eastAsia" w:ascii="宋体" w:hAnsi="宋体" w:eastAsia="宋体" w:cs="宋体"/>
          <w:b w:val="0"/>
          <w:color w:val="000000"/>
          <w:sz w:val="24"/>
          <w:szCs w:val="24"/>
        </w:rPr>
        <w:t>.4现场工艺试验</w:t>
      </w:r>
      <w:bookmarkEnd w:id="431"/>
    </w:p>
    <w:bookmarkEnd w:id="432"/>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pPr>
        <w:pStyle w:val="6"/>
        <w:spacing w:before="120" w:after="120" w:line="360" w:lineRule="auto"/>
        <w:rPr>
          <w:rFonts w:hint="eastAsia" w:ascii="宋体" w:hAnsi="宋体" w:eastAsia="宋体" w:cs="宋体"/>
          <w:b w:val="0"/>
          <w:color w:val="000000"/>
          <w:sz w:val="24"/>
          <w:szCs w:val="24"/>
        </w:rPr>
      </w:pPr>
      <w:bookmarkStart w:id="433" w:name="_Toc351203567"/>
      <w:r>
        <w:rPr>
          <w:rFonts w:hint="eastAsia" w:ascii="宋体" w:hAnsi="宋体" w:eastAsia="宋体" w:cs="宋体"/>
          <w:b w:val="0"/>
          <w:color w:val="000000"/>
          <w:sz w:val="24"/>
          <w:szCs w:val="24"/>
        </w:rPr>
        <w:t>1</w:t>
      </w:r>
      <w:bookmarkStart w:id="434" w:name="_Toc337558787"/>
      <w:r>
        <w:rPr>
          <w:rFonts w:hint="eastAsia" w:ascii="宋体" w:hAnsi="宋体" w:eastAsia="宋体" w:cs="宋体"/>
          <w:b w:val="0"/>
          <w:color w:val="000000"/>
          <w:sz w:val="24"/>
          <w:szCs w:val="24"/>
        </w:rPr>
        <w:t>0. 变更</w:t>
      </w:r>
      <w:bookmarkEnd w:id="423"/>
      <w:bookmarkEnd w:id="424"/>
      <w:bookmarkEnd w:id="433"/>
    </w:p>
    <w:bookmarkEnd w:id="434"/>
    <w:p>
      <w:pPr>
        <w:pStyle w:val="7"/>
        <w:spacing w:before="120" w:after="120" w:line="360" w:lineRule="auto"/>
        <w:ind w:firstLine="480" w:firstLineChars="200"/>
        <w:rPr>
          <w:rFonts w:hint="eastAsia" w:ascii="宋体" w:hAnsi="宋体" w:eastAsia="宋体" w:cs="宋体"/>
          <w:b w:val="0"/>
          <w:color w:val="000000"/>
          <w:sz w:val="24"/>
          <w:szCs w:val="24"/>
        </w:rPr>
      </w:pPr>
      <w:bookmarkStart w:id="435" w:name="_Toc351203568"/>
      <w:r>
        <w:rPr>
          <w:rFonts w:hint="eastAsia" w:ascii="宋体" w:hAnsi="宋体" w:eastAsia="宋体" w:cs="宋体"/>
          <w:b w:val="0"/>
          <w:color w:val="000000"/>
          <w:sz w:val="24"/>
          <w:szCs w:val="24"/>
        </w:rPr>
        <w:t>1</w:t>
      </w:r>
      <w:bookmarkStart w:id="436" w:name="_Toc296503084"/>
      <w:bookmarkStart w:id="437" w:name="_Toc296346585"/>
      <w:bookmarkStart w:id="438" w:name="_Toc337558788"/>
      <w:r>
        <w:rPr>
          <w:rFonts w:hint="eastAsia" w:ascii="宋体" w:hAnsi="宋体" w:eastAsia="宋体" w:cs="宋体"/>
          <w:b w:val="0"/>
          <w:color w:val="000000"/>
          <w:sz w:val="24"/>
          <w:szCs w:val="24"/>
        </w:rPr>
        <w:t>0.1变更的范围</w:t>
      </w:r>
      <w:bookmarkEnd w:id="435"/>
    </w:p>
    <w:bookmarkEnd w:id="436"/>
    <w:bookmarkEnd w:id="437"/>
    <w:bookmarkEnd w:id="438"/>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除专用合同条款另有约定外，合同履行过程中发生以下情形的，应按照本条约定进行变更：</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（1）增加或减少合同中任何工作，或追加额外的工作；</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（2）取消合同中任何工作，但转由他人实施的工作除外；</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（3）改变合同中任何工作的质量标准或其他特性；</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（4）改变工程的基线、标高、位置和尺寸；</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（5）改变工程的时间安排或实施顺序。</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39" w:name="_Toc351203569"/>
      <w:r>
        <w:rPr>
          <w:rFonts w:hint="eastAsia" w:ascii="宋体" w:hAnsi="宋体" w:eastAsia="宋体" w:cs="宋体"/>
          <w:b w:val="0"/>
          <w:color w:val="000000"/>
          <w:sz w:val="24"/>
          <w:szCs w:val="24"/>
        </w:rPr>
        <w:t>1</w:t>
      </w:r>
      <w:bookmarkStart w:id="440" w:name="_Toc296346586"/>
      <w:bookmarkStart w:id="441" w:name="_Toc296503085"/>
      <w:bookmarkStart w:id="442" w:name="_Toc337558789"/>
      <w:r>
        <w:rPr>
          <w:rFonts w:hint="eastAsia" w:ascii="宋体" w:hAnsi="宋体" w:eastAsia="宋体" w:cs="宋体"/>
          <w:b w:val="0"/>
          <w:color w:val="000000"/>
          <w:sz w:val="24"/>
          <w:szCs w:val="24"/>
        </w:rPr>
        <w:t>0.2变更权</w:t>
      </w:r>
      <w:bookmarkEnd w:id="439"/>
    </w:p>
    <w:bookmarkEnd w:id="440"/>
    <w:bookmarkEnd w:id="441"/>
    <w:bookmarkEnd w:id="442"/>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涉及设计变更的，应由设计人提供变更后的图纸和说明。如变更超过原设计标准或批准的建设规模时，发包人应及时办理规划、设计变更等审批手续。</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43" w:name="_Toc351203570"/>
      <w:r>
        <w:rPr>
          <w:rFonts w:hint="eastAsia" w:ascii="宋体" w:hAnsi="宋体" w:eastAsia="宋体" w:cs="宋体"/>
          <w:b w:val="0"/>
          <w:color w:val="000000"/>
          <w:sz w:val="24"/>
          <w:szCs w:val="24"/>
        </w:rPr>
        <w:t>1</w:t>
      </w:r>
      <w:bookmarkStart w:id="444" w:name="_Toc296503086"/>
      <w:bookmarkStart w:id="445" w:name="_Toc337558790"/>
      <w:bookmarkStart w:id="446" w:name="_Toc296346587"/>
      <w:r>
        <w:rPr>
          <w:rFonts w:hint="eastAsia" w:ascii="宋体" w:hAnsi="宋体" w:eastAsia="宋体" w:cs="宋体"/>
          <w:b w:val="0"/>
          <w:color w:val="000000"/>
          <w:sz w:val="24"/>
          <w:szCs w:val="24"/>
        </w:rPr>
        <w:t>0.3变更程序</w:t>
      </w:r>
      <w:bookmarkEnd w:id="443"/>
    </w:p>
    <w:bookmarkEnd w:id="444"/>
    <w:bookmarkEnd w:id="445"/>
    <w:bookmarkEnd w:id="446"/>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.3.1 发包人提出变更</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发包人提出变更的，应通过监理人向承包人发出变更指示，变更指示应说明计划变更的工程范围和变更的内容。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.3.2 监理人提出变更建议</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10.3.3 变更执行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47" w:name="_Toc351203571"/>
      <w:r>
        <w:rPr>
          <w:rFonts w:hint="eastAsia" w:ascii="宋体" w:hAnsi="宋体" w:eastAsia="宋体" w:cs="宋体"/>
          <w:b w:val="0"/>
          <w:color w:val="000000"/>
          <w:sz w:val="24"/>
          <w:szCs w:val="24"/>
        </w:rPr>
        <w:t>1</w:t>
      </w:r>
      <w:bookmarkStart w:id="448" w:name="_Toc337558791"/>
      <w:bookmarkStart w:id="449" w:name="_Toc296346588"/>
      <w:bookmarkStart w:id="450" w:name="_Toc296503087"/>
      <w:r>
        <w:rPr>
          <w:rFonts w:hint="eastAsia" w:ascii="宋体" w:hAnsi="宋体" w:eastAsia="宋体" w:cs="宋体"/>
          <w:b w:val="0"/>
          <w:color w:val="000000"/>
          <w:sz w:val="24"/>
          <w:szCs w:val="24"/>
        </w:rPr>
        <w:t>0.4变更估价</w:t>
      </w:r>
      <w:bookmarkEnd w:id="447"/>
    </w:p>
    <w:bookmarkEnd w:id="448"/>
    <w:bookmarkEnd w:id="449"/>
    <w:bookmarkEnd w:id="450"/>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10.4.1 变更估价原则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除专用合同条款另有约定外，变更估价按照本款约定处理：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（1）已标价工程量清单或预算书有相同项目的，按照相同项目单价认定；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（2）已标价工程量清单或预算书中无相同项目，但有类似项目的，参照类似项目的单价认定；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10.4.2 变更估价程序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因变更引起的价格调整应计入最近一期的进度款中支付。</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51" w:name="_Toc351203572"/>
      <w:r>
        <w:rPr>
          <w:rFonts w:hint="eastAsia" w:ascii="宋体" w:hAnsi="宋体" w:eastAsia="宋体" w:cs="宋体"/>
          <w:b w:val="0"/>
          <w:color w:val="000000"/>
          <w:sz w:val="24"/>
          <w:szCs w:val="24"/>
        </w:rPr>
        <w:t>1</w:t>
      </w:r>
      <w:bookmarkStart w:id="452" w:name="_Toc296346595"/>
      <w:bookmarkStart w:id="453" w:name="_Toc337558792"/>
      <w:bookmarkStart w:id="454" w:name="_Toc296503094"/>
      <w:r>
        <w:rPr>
          <w:rFonts w:hint="eastAsia" w:ascii="宋体" w:hAnsi="宋体" w:eastAsia="宋体" w:cs="宋体"/>
          <w:b w:val="0"/>
          <w:color w:val="000000"/>
          <w:sz w:val="24"/>
          <w:szCs w:val="24"/>
        </w:rPr>
        <w:t>0.5承包人的合理化建议</w:t>
      </w:r>
      <w:bookmarkEnd w:id="451"/>
    </w:p>
    <w:bookmarkEnd w:id="452"/>
    <w:bookmarkEnd w:id="453"/>
    <w:bookmarkEnd w:id="454"/>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合理化建议降低了合同价格或者提高了工程经济效益的，发包人可对承包人给予奖励，奖励的方法和金额在专用合同条款中约定。</w:t>
      </w:r>
    </w:p>
    <w:p>
      <w:pPr>
        <w:pStyle w:val="7"/>
        <w:spacing w:before="120" w:after="120" w:line="360" w:lineRule="auto"/>
        <w:ind w:firstLine="480" w:firstLineChars="200"/>
        <w:rPr>
          <w:rFonts w:hint="eastAsia" w:ascii="宋体" w:hAnsi="宋体" w:eastAsia="宋体" w:cs="宋体"/>
          <w:color w:val="000000"/>
          <w:sz w:val="24"/>
          <w:szCs w:val="24"/>
        </w:rPr>
      </w:pPr>
      <w:bookmarkStart w:id="455" w:name="_Toc351203573"/>
      <w:r>
        <w:rPr>
          <w:rFonts w:hint="eastAsia" w:ascii="宋体" w:hAnsi="宋体" w:eastAsia="宋体" w:cs="宋体"/>
          <w:b w:val="0"/>
          <w:color w:val="000000"/>
          <w:sz w:val="24"/>
          <w:szCs w:val="24"/>
        </w:rPr>
        <w:t>1</w:t>
      </w:r>
      <w:bookmarkStart w:id="456" w:name="_Toc337558793"/>
      <w:r>
        <w:rPr>
          <w:rFonts w:hint="eastAsia" w:ascii="宋体" w:hAnsi="宋体" w:eastAsia="宋体" w:cs="宋体"/>
          <w:b w:val="0"/>
          <w:color w:val="000000"/>
          <w:sz w:val="24"/>
          <w:szCs w:val="24"/>
        </w:rPr>
        <w:t>0.6变更引起的工期调整</w:t>
      </w:r>
      <w:bookmarkEnd w:id="455"/>
      <w:r>
        <w:rPr>
          <w:rFonts w:hint="eastAsia" w:ascii="宋体" w:hAnsi="宋体" w:eastAsia="宋体" w:cs="宋体"/>
          <w:b w:val="0"/>
          <w:color w:val="000000"/>
          <w:sz w:val="24"/>
          <w:szCs w:val="24"/>
        </w:rPr>
        <w:t xml:space="preserve"> </w:t>
      </w:r>
      <w:bookmarkEnd w:id="456"/>
      <w:r>
        <w:rPr>
          <w:rFonts w:hint="eastAsia" w:ascii="宋体" w:hAnsi="宋体" w:eastAsia="宋体" w:cs="宋体"/>
          <w:b w:val="0"/>
          <w:color w:val="000000"/>
          <w:sz w:val="24"/>
          <w:szCs w:val="24"/>
        </w:rPr>
        <w:t xml:space="preserve"> </w:t>
      </w:r>
      <w:r>
        <w:rPr>
          <w:rFonts w:hint="eastAsia" w:ascii="宋体" w:hAnsi="宋体" w:eastAsia="宋体" w:cs="宋体"/>
          <w:color w:val="000000"/>
          <w:sz w:val="24"/>
          <w:szCs w:val="24"/>
        </w:rPr>
        <w:t xml:space="preserve">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因变更引起工期变化的，合同当事人均可要求调整合同工期，由合同当事人按照第4.4款〔商定或确定〕并参考工程所在地的工期定额标准确定增减工期天数。</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57" w:name="_Toc351203574"/>
      <w:r>
        <w:rPr>
          <w:rFonts w:hint="eastAsia" w:ascii="宋体" w:hAnsi="宋体" w:eastAsia="宋体" w:cs="宋体"/>
          <w:b w:val="0"/>
          <w:color w:val="000000"/>
          <w:sz w:val="24"/>
          <w:szCs w:val="24"/>
        </w:rPr>
        <w:t>10.7暂估价</w:t>
      </w:r>
      <w:bookmarkEnd w:id="457"/>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暂估价专业分包工程、服务、材料和工程设备的明细由合同当事人在专用合同条款中约定。</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10.7.1</w:t>
      </w:r>
      <w:r>
        <w:rPr>
          <w:rFonts w:hint="eastAsia" w:ascii="宋体" w:hAnsi="宋体" w:eastAsia="宋体" w:cs="宋体"/>
          <w:color w:val="000000"/>
          <w:kern w:val="0"/>
          <w:sz w:val="24"/>
          <w:szCs w:val="24"/>
        </w:rPr>
        <w:t xml:space="preserve"> 依法必须招标的暂估价项目</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对于依法必须招标的暂估价项目，采取以下第1种方式确定。合同当事人也可以在专用合同条款中选择其他招标方式。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第1种方式：对于依法必须招标的暂估价项目，由承包人招标，对该暂估价项目的确认和批准按照以下约定执行：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10.7.2</w:t>
      </w:r>
      <w:r>
        <w:rPr>
          <w:rFonts w:hint="eastAsia" w:ascii="宋体" w:hAnsi="宋体" w:eastAsia="宋体" w:cs="宋体"/>
          <w:color w:val="000000"/>
          <w:kern w:val="0"/>
          <w:sz w:val="24"/>
          <w:szCs w:val="24"/>
        </w:rPr>
        <w:t>不属于依法必须招标的暂估价项目</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除专用合同条款另有约定外，对于不属于依法必须招标的暂估价项目，采取以下第1种方式确定： </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第1种方式：对于不属于依法必须招标的暂估价项目，按本项约定确认和批准：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（2）发包人认为承包人确定的供应商、分包人无法满足工程质量或合同要求的，发包人可以要求承包人重新确定暂估价项目的供应商、分包人;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（3）承包人应当在签订暂估价合同后7天内，将暂估价合同副本报送发包人留存。</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第2种方式：承包人按照第10.7.1项〔依法必须招标的暂估价项目〕约定的第1种方式确定暂估价项目。</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承包人具备实施暂估价项目的资格和条件的，经发包人和承包人协商一致后，可由承包人自行实施暂估价项目，合同当事人可以在专用合同条款约定具体事项。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58" w:name="_Toc351203575"/>
      <w:r>
        <w:rPr>
          <w:rFonts w:hint="eastAsia" w:ascii="宋体" w:hAnsi="宋体" w:eastAsia="宋体" w:cs="宋体"/>
          <w:b w:val="0"/>
          <w:color w:val="000000"/>
          <w:sz w:val="24"/>
          <w:szCs w:val="24"/>
        </w:rPr>
        <w:t>1</w:t>
      </w:r>
      <w:bookmarkStart w:id="459" w:name="_Toc337558794"/>
      <w:bookmarkStart w:id="460" w:name="_Toc296346591"/>
      <w:bookmarkStart w:id="461" w:name="_Toc296503090"/>
      <w:bookmarkStart w:id="462" w:name="_Toc322522561"/>
      <w:r>
        <w:rPr>
          <w:rFonts w:hint="eastAsia" w:ascii="宋体" w:hAnsi="宋体" w:eastAsia="宋体" w:cs="宋体"/>
          <w:b w:val="0"/>
          <w:color w:val="000000"/>
          <w:sz w:val="24"/>
          <w:szCs w:val="24"/>
        </w:rPr>
        <w:t>0.8暂列金额</w:t>
      </w:r>
      <w:bookmarkEnd w:id="458"/>
    </w:p>
    <w:bookmarkEnd w:id="459"/>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暂列金额应按照发包人的要求使用，发包人的要求应通过监理人发出。合同当事人可以在专用合同条款中协商确定有关事项。</w:t>
      </w:r>
    </w:p>
    <w:bookmarkEnd w:id="460"/>
    <w:bookmarkEnd w:id="461"/>
    <w:bookmarkEnd w:id="462"/>
    <w:p>
      <w:pPr>
        <w:pStyle w:val="7"/>
        <w:spacing w:before="120" w:after="120" w:line="360" w:lineRule="auto"/>
        <w:ind w:firstLine="480" w:firstLineChars="200"/>
        <w:rPr>
          <w:rFonts w:hint="eastAsia" w:ascii="宋体" w:hAnsi="宋体" w:eastAsia="宋体" w:cs="宋体"/>
          <w:b w:val="0"/>
          <w:color w:val="000000"/>
          <w:sz w:val="24"/>
          <w:szCs w:val="24"/>
        </w:rPr>
      </w:pPr>
      <w:bookmarkStart w:id="463" w:name="_Toc351203576"/>
      <w:r>
        <w:rPr>
          <w:rFonts w:hint="eastAsia" w:ascii="宋体" w:hAnsi="宋体" w:eastAsia="宋体" w:cs="宋体"/>
          <w:b w:val="0"/>
          <w:color w:val="000000"/>
          <w:sz w:val="24"/>
          <w:szCs w:val="24"/>
        </w:rPr>
        <w:t>1</w:t>
      </w:r>
      <w:bookmarkStart w:id="464" w:name="_Toc296346592"/>
      <w:bookmarkStart w:id="465" w:name="_Toc296503091"/>
      <w:bookmarkStart w:id="466" w:name="_Toc337558796"/>
      <w:r>
        <w:rPr>
          <w:rFonts w:hint="eastAsia" w:ascii="宋体" w:hAnsi="宋体" w:eastAsia="宋体" w:cs="宋体"/>
          <w:b w:val="0"/>
          <w:color w:val="000000"/>
          <w:sz w:val="24"/>
          <w:szCs w:val="24"/>
        </w:rPr>
        <w:t>0.9计日工</w:t>
      </w:r>
      <w:bookmarkEnd w:id="463"/>
      <w:r>
        <w:rPr>
          <w:rFonts w:hint="eastAsia" w:ascii="宋体" w:hAnsi="宋体" w:eastAsia="宋体" w:cs="宋体"/>
          <w:b w:val="0"/>
          <w:color w:val="000000"/>
          <w:sz w:val="24"/>
          <w:szCs w:val="24"/>
        </w:rPr>
        <w:t xml:space="preserve"> </w:t>
      </w:r>
      <w:bookmarkEnd w:id="464"/>
      <w:bookmarkEnd w:id="465"/>
      <w:bookmarkEnd w:id="466"/>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采用计日工计价的任何一项工作，承包人应在该项工作实施过程中，每天提交以下报表和有关凭证报送监理人审查：</w:t>
      </w:r>
    </w:p>
    <w:p>
      <w:pPr>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（1）工作名称、内容和数量；</w:t>
      </w:r>
    </w:p>
    <w:p>
      <w:pPr>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（2）投入该工作的所有人员的姓名、专业、工种、级别和耗用工时；</w:t>
      </w:r>
    </w:p>
    <w:p>
      <w:pPr>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（3）投入该工作的材料类别和数量；</w:t>
      </w:r>
    </w:p>
    <w:p>
      <w:pPr>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（4）投入该工作的施工设备型号、台数和耗用台时；</w:t>
      </w:r>
    </w:p>
    <w:p>
      <w:pPr>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（5）其他有关资料和凭证。</w:t>
      </w:r>
    </w:p>
    <w:p>
      <w:pPr>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计日工由承包人汇总后，列入最近一期进度付款申请单，由监理人审查并经发包人批准后列入进度付款。</w:t>
      </w:r>
    </w:p>
    <w:p>
      <w:pPr>
        <w:pStyle w:val="6"/>
        <w:spacing w:before="120" w:after="120" w:line="360" w:lineRule="auto"/>
        <w:rPr>
          <w:rFonts w:hint="eastAsia" w:ascii="宋体" w:hAnsi="宋体" w:eastAsia="宋体" w:cs="宋体"/>
          <w:b w:val="0"/>
          <w:color w:val="000000"/>
          <w:sz w:val="24"/>
          <w:szCs w:val="24"/>
        </w:rPr>
      </w:pPr>
      <w:bookmarkStart w:id="467" w:name="_Toc351203577"/>
      <w:r>
        <w:rPr>
          <w:rFonts w:hint="eastAsia" w:ascii="宋体" w:hAnsi="宋体" w:eastAsia="宋体" w:cs="宋体"/>
          <w:b w:val="0"/>
          <w:color w:val="000000"/>
          <w:sz w:val="24"/>
          <w:szCs w:val="24"/>
        </w:rPr>
        <w:t>11. 价格调整</w:t>
      </w:r>
      <w:bookmarkEnd w:id="467"/>
    </w:p>
    <w:p>
      <w:pPr>
        <w:pStyle w:val="7"/>
        <w:spacing w:before="120" w:after="120" w:line="360" w:lineRule="auto"/>
        <w:ind w:firstLine="480" w:firstLineChars="200"/>
        <w:rPr>
          <w:rFonts w:hint="eastAsia" w:ascii="宋体" w:hAnsi="宋体" w:eastAsia="宋体" w:cs="宋体"/>
          <w:b w:val="0"/>
          <w:color w:val="000000"/>
          <w:sz w:val="24"/>
          <w:szCs w:val="24"/>
        </w:rPr>
      </w:pPr>
      <w:bookmarkStart w:id="468" w:name="_Toc351203578"/>
      <w:bookmarkStart w:id="469" w:name="_Toc296346593"/>
      <w:bookmarkStart w:id="470" w:name="_Toc296503092"/>
      <w:bookmarkStart w:id="471" w:name="_Toc337558797"/>
      <w:r>
        <w:rPr>
          <w:rFonts w:hint="eastAsia" w:ascii="宋体" w:hAnsi="宋体" w:eastAsia="宋体" w:cs="宋体"/>
          <w:b w:val="0"/>
          <w:color w:val="000000"/>
          <w:sz w:val="24"/>
          <w:szCs w:val="24"/>
        </w:rPr>
        <w:t>11.1市场价格波动引起的调整</w:t>
      </w:r>
      <w:bookmarkEnd w:id="468"/>
    </w:p>
    <w:bookmarkEnd w:id="469"/>
    <w:bookmarkEnd w:id="470"/>
    <w:bookmarkEnd w:id="471"/>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（1）价格调整公式</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30"/>
          <w:sz w:val="24"/>
          <w:szCs w:val="24"/>
        </w:rPr>
        <w:object>
          <v:shape id="_x0000_i1025" o:spt="75" type="#_x0000_t75" style="height:43.9pt;width:359.85pt;" o:ole="t" filled="f" stroked="f" coordsize="21600,21600">
            <v:path/>
            <v:fill on="f" focussize="0,0"/>
            <v:stroke on="f"/>
            <v:imagedata r:id="rId11" o:title=""/>
            <o:lock v:ext="edit" grouping="f" rotation="f" text="f" aspectratio="t"/>
            <w10:wrap type="none"/>
            <w10:anchorlock/>
          </v:shape>
          <o:OLEObject Type="Embed" ProgID="Equation.KSEE3" ShapeID="_x0000_i1025" DrawAspect="Content" ObjectID="_1468075725" r:id="rId10">
            <o:LockedField>false</o:LockedField>
          </o:OLEObject>
        </w:object>
      </w:r>
    </w:p>
    <w:p>
      <w:pPr>
        <w:tabs>
          <w:tab w:val="left" w:pos="0"/>
          <w:tab w:val="left" w:pos="360"/>
          <w:tab w:val="left" w:pos="540"/>
        </w:tabs>
        <w:spacing w:line="360" w:lineRule="auto"/>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公式中：ΔP——需调整的价格差额；</w:t>
      </w:r>
    </w:p>
    <w:p>
      <w:pPr>
        <w:tabs>
          <w:tab w:val="left" w:pos="0"/>
          <w:tab w:val="left" w:pos="360"/>
          <w:tab w:val="left" w:pos="540"/>
        </w:tabs>
        <w:spacing w:line="360" w:lineRule="auto"/>
        <w:ind w:firstLine="1440" w:firstLineChars="600"/>
        <w:rPr>
          <w:rFonts w:hint="eastAsia" w:ascii="宋体" w:hAnsi="宋体" w:eastAsia="宋体" w:cs="宋体"/>
          <w:color w:val="000000"/>
          <w:sz w:val="24"/>
          <w:szCs w:val="24"/>
        </w:rPr>
      </w:pPr>
      <w:r>
        <w:rPr>
          <w:rFonts w:hint="eastAsia" w:ascii="宋体" w:hAnsi="宋体" w:eastAsia="宋体" w:cs="宋体"/>
          <w:color w:val="000000"/>
          <w:position w:val="-6"/>
          <w:sz w:val="24"/>
          <w:szCs w:val="24"/>
        </w:rPr>
        <w:object>
          <v:shape id="_x0000_i1026" o:spt="75" type="#_x0000_t75" style="height:17.95pt;width:17.95pt;" o:ole="t" filled="f" stroked="f" coordsize="21600,21600">
            <v:path/>
            <v:fill on="f" focussize="0,0"/>
            <v:stroke on="f"/>
            <v:imagedata r:id="rId13" o:title=""/>
            <o:lock v:ext="edit" grouping="f" rotation="f" text="f" aspectratio="t"/>
            <w10:wrap type="none"/>
            <w10:anchorlock/>
          </v:shape>
          <o:OLEObject Type="Embed" ProgID="Equation.KSEE3" ShapeID="_x0000_i1026" DrawAspect="Content" ObjectID="_1468075726" r:id="rId12">
            <o:LockedField>false</o:LockedField>
          </o:OLEObject>
        </w:object>
      </w:r>
      <w:r>
        <w:rPr>
          <w:rFonts w:hint="eastAsia" w:ascii="宋体" w:hAnsi="宋体" w:eastAsia="宋体" w:cs="宋体"/>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A——定值权重（即不调部分的权重）；</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7" o:spt="75" type="#_x0000_t75" style="height:21.05pt;width:101pt;" o:ole="t" filled="f" stroked="f" coordsize="21600,21600">
            <v:path/>
            <v:fill on="f" focussize="0,0"/>
            <v:stroke on="f"/>
            <v:imagedata r:id="rId15" o:title=""/>
            <o:lock v:ext="edit" grouping="f" rotation="f" text="f" aspectratio="t"/>
            <w10:wrap type="none"/>
            <w10:anchorlock/>
          </v:shape>
          <o:OLEObject Type="Embed" ProgID="Equation.KSEE3" ShapeID="_x0000_i1027" DrawAspect="Content" ObjectID="_1468075727" r:id="rId14">
            <o:LockedField>false</o:LockedField>
          </o:OLEObject>
        </w:object>
      </w:r>
      <w:r>
        <w:rPr>
          <w:rFonts w:hint="eastAsia" w:ascii="宋体" w:hAnsi="宋体" w:eastAsia="宋体" w:cs="宋体"/>
          <w:color w:val="000000"/>
          <w:sz w:val="24"/>
          <w:szCs w:val="24"/>
        </w:rPr>
        <w:t>——各可调因子的变值权重（即可调部分的权重），为各可调因子在签约合同价中所占的比例；</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8" o:spt="75" type="#_x0000_t75" style="height:20.6pt;width:102.05pt;" o:ole="t" filled="f" stroked="f" coordsize="21600,21600">
            <v:path/>
            <v:fill on="f" focussize="0,0"/>
            <v:stroke on="f"/>
            <v:imagedata r:id="rId17" o:title=""/>
            <o:lock v:ext="edit" grouping="f" rotation="f" text="f" aspectratio="t"/>
            <w10:wrap type="none"/>
            <w10:anchorlock/>
          </v:shape>
          <o:OLEObject Type="Embed" ProgID="Equation.KSEE3" ShapeID="_x0000_i1028" DrawAspect="Content" ObjectID="_1468075728" r:id="rId16">
            <o:LockedField>false</o:LockedField>
          </o:OLEObject>
        </w:object>
      </w:r>
      <w:r>
        <w:rPr>
          <w:rFonts w:hint="eastAsia" w:ascii="宋体" w:hAnsi="宋体" w:eastAsia="宋体" w:cs="宋体"/>
          <w:color w:val="000000"/>
          <w:sz w:val="24"/>
          <w:szCs w:val="24"/>
        </w:rPr>
        <w:t>——各可调因子的现行价格指数，指约定的付款证书相关周期最后一天的前42天的各可调因子的价格指数；</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9" o:spt="75" type="#_x0000_t75" style="height:20.2pt;width:108pt;" o:ole="t" filled="f" stroked="f" coordsize="21600,21600">
            <v:path/>
            <v:fill on="f" focussize="0,0"/>
            <v:stroke on="f"/>
            <v:imagedata r:id="rId19" o:title=""/>
            <o:lock v:ext="edit" grouping="f" rotation="f" text="f" aspectratio="t"/>
            <w10:wrap type="none"/>
            <w10:anchorlock/>
          </v:shape>
          <o:OLEObject Type="Embed" ProgID="Equation.KSEE3" ShapeID="_x0000_i1029" DrawAspect="Content" ObjectID="_1468075729" r:id="rId18">
            <o:LockedField>false</o:LockedField>
          </o:OLEObject>
        </w:object>
      </w:r>
      <w:r>
        <w:rPr>
          <w:rFonts w:hint="eastAsia" w:ascii="宋体" w:hAnsi="宋体" w:eastAsia="宋体" w:cs="宋体"/>
          <w:color w:val="000000"/>
          <w:sz w:val="24"/>
          <w:szCs w:val="24"/>
        </w:rPr>
        <w:t>——各可调因子的基本价格指数，指基准日期的各可调因子的价格指数。</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（2）暂时确定调整差额</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（3）权重的调整</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因变更导致合同约定的权重不合理时，按照第4.4款〔商定或确定〕执行。</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（4）因承包人原因工期延误后的价格调整</w:t>
      </w:r>
    </w:p>
    <w:p>
      <w:pPr>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（2）材料、工程设备价格变化的价款调整按照发包人提供的基准价格，按以下风险范围规定执行:</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80" w:firstLineChars="200"/>
        <w:rPr>
          <w:rFonts w:hint="eastAsia" w:ascii="宋体" w:hAnsi="宋体" w:eastAsia="宋体" w:cs="宋体"/>
          <w:color w:val="000000"/>
          <w:sz w:val="24"/>
          <w:szCs w:val="24"/>
        </w:rPr>
      </w:pPr>
      <w:bookmarkStart w:id="472" w:name="OLE_LINK3"/>
      <w:r>
        <w:rPr>
          <w:rFonts w:hint="eastAsia" w:ascii="宋体" w:hAnsi="宋体" w:eastAsia="宋体" w:cs="宋体"/>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（3）施工机械台班单价或施工机械使用费发生变化超过省级或行业建设主管部门或其授权的工程造价管理机构规定的范围时，按规定调整合同价格。</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第3种方式：专用合同条款约定的其他方式。</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73" w:name="_Toc351203579"/>
      <w:bookmarkStart w:id="474" w:name="_Toc296346594"/>
      <w:bookmarkStart w:id="475" w:name="_Toc296503093"/>
      <w:bookmarkStart w:id="476" w:name="_Toc337558798"/>
      <w:r>
        <w:rPr>
          <w:rFonts w:hint="eastAsia" w:ascii="宋体" w:hAnsi="宋体" w:eastAsia="宋体" w:cs="宋体"/>
          <w:b w:val="0"/>
          <w:color w:val="000000"/>
          <w:sz w:val="24"/>
          <w:szCs w:val="24"/>
        </w:rPr>
        <w:t>11.2法律变化引起的调整</w:t>
      </w:r>
      <w:bookmarkEnd w:id="473"/>
    </w:p>
    <w:bookmarkEnd w:id="474"/>
    <w:bookmarkEnd w:id="475"/>
    <w:bookmarkEnd w:id="476"/>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因法律变化引起的合同价格和工期调整，合同当事人无法达成一致的，由总监理工程师按第4.4款〔商定或确定〕的约定处理。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因承包人原因造成工期延误，在工期延误期间出现法律变化的，由此增加的费用和（或）延误的工期由承包人承担。</w:t>
      </w:r>
    </w:p>
    <w:p>
      <w:pPr>
        <w:pStyle w:val="6"/>
        <w:spacing w:before="120" w:after="120" w:line="360" w:lineRule="auto"/>
        <w:rPr>
          <w:rFonts w:hint="eastAsia" w:ascii="宋体" w:hAnsi="宋体" w:eastAsia="宋体" w:cs="宋体"/>
          <w:b w:val="0"/>
          <w:color w:val="000000"/>
          <w:sz w:val="24"/>
          <w:szCs w:val="24"/>
        </w:rPr>
      </w:pPr>
      <w:bookmarkStart w:id="477" w:name="_Toc351203580"/>
      <w:bookmarkStart w:id="478" w:name="_Toc337558799"/>
      <w:bookmarkStart w:id="479" w:name="_Toc296346597"/>
      <w:bookmarkStart w:id="480" w:name="_Toc296503096"/>
      <w:r>
        <w:rPr>
          <w:rFonts w:hint="eastAsia" w:ascii="宋体" w:hAnsi="宋体" w:eastAsia="宋体" w:cs="宋体"/>
          <w:b w:val="0"/>
          <w:color w:val="000000"/>
          <w:sz w:val="24"/>
          <w:szCs w:val="24"/>
        </w:rPr>
        <w:t>12. 合同价格、计量与支付</w:t>
      </w:r>
      <w:bookmarkEnd w:id="477"/>
    </w:p>
    <w:bookmarkEnd w:id="478"/>
    <w:p>
      <w:pPr>
        <w:pStyle w:val="7"/>
        <w:spacing w:before="120" w:after="120" w:line="360" w:lineRule="auto"/>
        <w:ind w:firstLine="480" w:firstLineChars="200"/>
        <w:rPr>
          <w:rFonts w:hint="eastAsia" w:ascii="宋体" w:hAnsi="宋体" w:eastAsia="宋体" w:cs="宋体"/>
          <w:b w:val="0"/>
          <w:color w:val="000000"/>
          <w:sz w:val="24"/>
          <w:szCs w:val="24"/>
        </w:rPr>
      </w:pPr>
      <w:bookmarkStart w:id="481" w:name="_Toc351203581"/>
      <w:bookmarkStart w:id="482" w:name="_Toc337558800"/>
      <w:r>
        <w:rPr>
          <w:rFonts w:hint="eastAsia" w:ascii="宋体" w:hAnsi="宋体" w:eastAsia="宋体" w:cs="宋体"/>
          <w:b w:val="0"/>
          <w:color w:val="000000"/>
          <w:sz w:val="24"/>
          <w:szCs w:val="24"/>
        </w:rPr>
        <w:t>12.1 合同价</w:t>
      </w:r>
      <w:bookmarkEnd w:id="479"/>
      <w:bookmarkEnd w:id="480"/>
      <w:r>
        <w:rPr>
          <w:rFonts w:hint="eastAsia" w:ascii="宋体" w:hAnsi="宋体" w:eastAsia="宋体" w:cs="宋体"/>
          <w:b w:val="0"/>
          <w:color w:val="000000"/>
          <w:sz w:val="24"/>
          <w:szCs w:val="24"/>
        </w:rPr>
        <w:t>格形式</w:t>
      </w:r>
      <w:bookmarkEnd w:id="481"/>
    </w:p>
    <w:bookmarkEnd w:id="482"/>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发包人和承包人应在合同协议书中选择下列一种合同价格形式：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单价合同是指合同当事人约定以工程量清单及其综合单价进行合同价格计算、调整和确认的建设工程施工合同，</w:t>
      </w:r>
      <w:r>
        <w:rPr>
          <w:rFonts w:hint="eastAsia" w:ascii="宋体" w:hAnsi="宋体" w:eastAsia="宋体" w:cs="宋体"/>
          <w:sz w:val="24"/>
          <w:szCs w:val="24"/>
        </w:rPr>
        <w:t>在约定的范围内合同单价不作调整</w:t>
      </w:r>
      <w:r>
        <w:rPr>
          <w:rFonts w:hint="eastAsia" w:ascii="宋体" w:hAnsi="宋体" w:eastAsia="宋体" w:cs="宋体"/>
          <w:color w:val="000000"/>
          <w:kern w:val="0"/>
          <w:sz w:val="24"/>
          <w:szCs w:val="24"/>
        </w:rPr>
        <w:t>。合同当事人应在专用合同条款中约定综合单价包含的风险范围和风险费用的计算方法</w:t>
      </w:r>
      <w:r>
        <w:rPr>
          <w:rFonts w:hint="eastAsia" w:ascii="宋体" w:hAnsi="宋体" w:eastAsia="宋体" w:cs="宋体"/>
          <w:sz w:val="24"/>
          <w:szCs w:val="24"/>
        </w:rPr>
        <w:t>，</w:t>
      </w:r>
      <w:r>
        <w:rPr>
          <w:rFonts w:hint="eastAsia" w:ascii="宋体" w:hAnsi="宋体" w:eastAsia="宋体" w:cs="宋体"/>
          <w:color w:val="000000"/>
          <w:kern w:val="0"/>
          <w:sz w:val="24"/>
          <w:szCs w:val="24"/>
        </w:rPr>
        <w:t>并约定风险范围以外的合同价格的调整方法，其中因市场价格波动引起的调整按第11.1款〔市场价格波动引起的调整〕约定执行。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总价合同是指合同当事人约定以施工图、已标价工程量清单或预算书及有关条件进行合同价格计算、调整和确认的建设工程施工合同，</w:t>
      </w:r>
      <w:r>
        <w:rPr>
          <w:rFonts w:hint="eastAsia" w:ascii="宋体" w:hAnsi="宋体" w:eastAsia="宋体" w:cs="宋体"/>
          <w:sz w:val="24"/>
          <w:szCs w:val="24"/>
        </w:rPr>
        <w:t>在约定的范围内合同总价不作调整</w:t>
      </w:r>
      <w:r>
        <w:rPr>
          <w:rFonts w:hint="eastAsia" w:ascii="宋体" w:hAnsi="宋体" w:eastAsia="宋体" w:cs="宋体"/>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3.其它价格形式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合同当事人可在专用合同条款中约定其他合同价格形式。</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83" w:name="_Toc296346598"/>
      <w:bookmarkStart w:id="484" w:name="_Toc296503097"/>
      <w:bookmarkStart w:id="485" w:name="_Toc351203582"/>
      <w:bookmarkStart w:id="486" w:name="_Toc337558801"/>
      <w:r>
        <w:rPr>
          <w:rFonts w:hint="eastAsia" w:ascii="宋体" w:hAnsi="宋体" w:eastAsia="宋体" w:cs="宋体"/>
          <w:b w:val="0"/>
          <w:color w:val="000000"/>
          <w:sz w:val="24"/>
          <w:szCs w:val="24"/>
        </w:rPr>
        <w:t>12.2预</w:t>
      </w:r>
      <w:bookmarkEnd w:id="483"/>
      <w:bookmarkEnd w:id="484"/>
      <w:bookmarkStart w:id="487" w:name="_Toc296346601"/>
      <w:bookmarkStart w:id="488" w:name="_Toc296503100"/>
      <w:r>
        <w:rPr>
          <w:rFonts w:hint="eastAsia" w:ascii="宋体" w:hAnsi="宋体" w:eastAsia="宋体" w:cs="宋体"/>
          <w:b w:val="0"/>
          <w:color w:val="000000"/>
          <w:sz w:val="24"/>
          <w:szCs w:val="24"/>
        </w:rPr>
        <w:t>付款</w:t>
      </w:r>
      <w:bookmarkEnd w:id="485"/>
    </w:p>
    <w:bookmarkEnd w:id="486"/>
    <w:bookmarkEnd w:id="487"/>
    <w:bookmarkEnd w:id="488"/>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12.2.</w:t>
      </w:r>
      <w:r>
        <w:rPr>
          <w:rFonts w:hint="eastAsia" w:ascii="宋体" w:hAnsi="宋体" w:eastAsia="宋体" w:cs="宋体"/>
          <w:color w:val="000000"/>
          <w:kern w:val="0"/>
          <w:sz w:val="24"/>
          <w:szCs w:val="24"/>
        </w:rPr>
        <w:t>1预付款的支付</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除专用合同条款另有约定外，预付款在进度付款中同比例扣回。</w:t>
      </w:r>
      <w:bookmarkEnd w:id="472"/>
      <w:r>
        <w:rPr>
          <w:rFonts w:hint="eastAsia" w:ascii="宋体" w:hAnsi="宋体" w:eastAsia="宋体" w:cs="宋体"/>
          <w:color w:val="000000"/>
          <w:kern w:val="0"/>
          <w:sz w:val="24"/>
          <w:szCs w:val="24"/>
        </w:rPr>
        <w:t>在颁发工程接收证书前，提前解除合同的，尚未扣完的预付款应与合同价款一并结算。</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发包人在工程款中逐期扣回预付款后，预付款担保额度应相应减少，但剩余的预付款担保金额不得低于未被扣回的预付款金额。</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89" w:name="_Toc351203583"/>
      <w:bookmarkStart w:id="490" w:name="_Toc337558802"/>
      <w:r>
        <w:rPr>
          <w:rFonts w:hint="eastAsia" w:ascii="宋体" w:hAnsi="宋体" w:eastAsia="宋体" w:cs="宋体"/>
          <w:b w:val="0"/>
          <w:color w:val="000000"/>
          <w:sz w:val="24"/>
          <w:szCs w:val="24"/>
        </w:rPr>
        <w:t>12.3计量</w:t>
      </w:r>
      <w:bookmarkEnd w:id="489"/>
    </w:p>
    <w:bookmarkEnd w:id="490"/>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12.3.1 计量原则</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12.3.2 计量周期</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除专用合同条款另有约定外，工程量的计量按月进行。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12.3.3 单价合同的计量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除专用合同条款另有约定外，单价合同的计量按照本项约定执行：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（3）监理人未在收到承包人提交的工程量报表后的7天内完成审核的，承包人报送的工程量报告中的工程量视为承包人实际完成的工程量，据此计算工程价款。</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12.3.4 总价合同的计量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除专用合同条款另有约定外，按月计量支付的总价合同，按照本项约定执行：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（3）监理人未在收到承包人提交的工程量报表后的7天内完成复核的，承包人提交的工程量报告中的工程量视为承包人实际完成的工程量。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12.3.5 总价合同采用支付分解表计量支付的，可以按照第12.3.4项〔总价合同的计量〕约定进行计量，但合同价款按照支付分解表进行支付。</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12.3.6 其他价格形式合同的计量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合同当事人可在专用合同条款中约定其他价格形式合同的计量方式和程序。</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91" w:name="_Toc296346602"/>
      <w:bookmarkStart w:id="492" w:name="_Toc296503101"/>
      <w:bookmarkStart w:id="493" w:name="_Toc351203584"/>
      <w:bookmarkStart w:id="494" w:name="_Toc337558803"/>
      <w:r>
        <w:rPr>
          <w:rFonts w:hint="eastAsia" w:ascii="宋体" w:hAnsi="宋体" w:eastAsia="宋体" w:cs="宋体"/>
          <w:b w:val="0"/>
          <w:color w:val="000000"/>
          <w:sz w:val="24"/>
          <w:szCs w:val="24"/>
        </w:rPr>
        <w:t>12.4工程进度款支</w:t>
      </w:r>
      <w:bookmarkEnd w:id="491"/>
      <w:bookmarkEnd w:id="492"/>
      <w:r>
        <w:rPr>
          <w:rFonts w:hint="eastAsia" w:ascii="宋体" w:hAnsi="宋体" w:eastAsia="宋体" w:cs="宋体"/>
          <w:b w:val="0"/>
          <w:color w:val="000000"/>
          <w:sz w:val="24"/>
          <w:szCs w:val="24"/>
        </w:rPr>
        <w:t>付</w:t>
      </w:r>
      <w:bookmarkEnd w:id="493"/>
    </w:p>
    <w:bookmarkEnd w:id="494"/>
    <w:p>
      <w:pPr>
        <w:autoSpaceDE w:val="0"/>
        <w:autoSpaceDN w:val="0"/>
        <w:adjustRightInd w:val="0"/>
        <w:spacing w:line="360" w:lineRule="auto"/>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.1 付款周期</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除专用合同条款另有约定外，付款周期应按照第12.3.2项〔计量周期〕的约定与计量周期保持一致。</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.2 进度付款申请单的编制</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除专用合同条款另有约定外，进度付款申请单应包括下列内容：</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（1）截至本次付款周期已完成工作对应的金额；</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（2）根据第10条〔变更〕应增加和扣减的变更金额；</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（3）根据第12.2款〔预付款〕约定应支付的预付款和扣减的返还预付款；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（4）根据第15.3款〔质量保证金〕约定应扣减的质量保证金；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（5）根据第19条〔索赔〕应增加和扣减的索赔金额；</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（6）对已签发的进度款支付证书中出现错误的修正，应在本次进度付款中支付或扣除的金额；</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（7）根据合同约定应增加和扣减的其他金额。</w:t>
      </w:r>
    </w:p>
    <w:p>
      <w:pPr>
        <w:autoSpaceDE w:val="0"/>
        <w:autoSpaceDN w:val="0"/>
        <w:adjustRightInd w:val="0"/>
        <w:spacing w:line="360" w:lineRule="auto"/>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12.4.3 进度付款申请单的提交</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（1）单价合同进度付款申请单的提交</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（2）总价合同进度付款申请单的提交</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总价合同按支付分解表支付的，承包人应按照第12.4.6项〔支付分解表〕及第12.4.2项〔进度付款申请单的编制〕的约定向监理人提交进度付款申请单。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（3）其他价格形式合同的进度付款申请单的提交</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合同当事人可在专用合同条款中约定其他价格形式合同的进度付款申请单的编制和提交程序。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.4 进度款审核和支付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12.4.5 进度付款的修正</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12.4.6 支付分解表</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1.支付分解表的编制要求</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（1）支付分解表中所列的每期付款金额，应为第12.4.2项〔进度付款申请单的编制〕第（1）目的估算金额；</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（2）实际进度与施工进度计划不一致的，合同当事人可按照第4.4款〔商定或确定〕修改支付分解表；</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（3）不采用支付分解表的，承包人应向发包人和监理人提交按季度编制的支付估算分解表，用于支付参考。</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2.总价合同支付分解表的编制与审批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（3）发包人逾期未完成支付分解表审批的，也未及时要求承包人进行修正和提供补充资料的，则承包人提交的支付分解表视为已经获得发包人批准。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3.单价合同的总价项目支付分解表的编制与审批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495" w:name="_Toc351203585"/>
      <w:r>
        <w:rPr>
          <w:rFonts w:hint="eastAsia" w:ascii="宋体" w:hAnsi="宋体" w:eastAsia="宋体" w:cs="宋体"/>
          <w:b w:val="0"/>
          <w:color w:val="000000"/>
          <w:sz w:val="24"/>
          <w:szCs w:val="24"/>
        </w:rPr>
        <w:t>12.5支付账户</w:t>
      </w:r>
      <w:bookmarkEnd w:id="495"/>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发包人应将合同价款支付至合同协议书中约定的承包人账户。</w:t>
      </w:r>
    </w:p>
    <w:p>
      <w:pPr>
        <w:pStyle w:val="6"/>
        <w:spacing w:before="120" w:after="120" w:line="360" w:lineRule="auto"/>
        <w:rPr>
          <w:rFonts w:hint="eastAsia" w:ascii="宋体" w:hAnsi="宋体" w:eastAsia="宋体" w:cs="宋体"/>
          <w:b w:val="0"/>
          <w:color w:val="000000"/>
          <w:sz w:val="24"/>
          <w:szCs w:val="24"/>
        </w:rPr>
      </w:pPr>
      <w:bookmarkStart w:id="496" w:name="_Toc351203586"/>
      <w:bookmarkStart w:id="497" w:name="_Toc296503106"/>
      <w:bookmarkStart w:id="498" w:name="_Toc322522574"/>
      <w:bookmarkStart w:id="499" w:name="_Toc296346607"/>
      <w:bookmarkStart w:id="500" w:name="_Toc337558804"/>
      <w:r>
        <w:rPr>
          <w:rFonts w:hint="eastAsia" w:ascii="宋体" w:hAnsi="宋体" w:eastAsia="宋体" w:cs="宋体"/>
          <w:b w:val="0"/>
          <w:color w:val="000000"/>
          <w:sz w:val="24"/>
          <w:szCs w:val="24"/>
        </w:rPr>
        <w:t>13. 验收和工程试车</w:t>
      </w:r>
      <w:bookmarkEnd w:id="496"/>
    </w:p>
    <w:bookmarkEnd w:id="497"/>
    <w:bookmarkEnd w:id="498"/>
    <w:bookmarkEnd w:id="499"/>
    <w:bookmarkEnd w:id="500"/>
    <w:p>
      <w:pPr>
        <w:pStyle w:val="7"/>
        <w:spacing w:before="120" w:after="120" w:line="360" w:lineRule="auto"/>
        <w:ind w:firstLine="480" w:firstLineChars="200"/>
        <w:rPr>
          <w:rFonts w:hint="eastAsia" w:ascii="宋体" w:hAnsi="宋体" w:eastAsia="宋体" w:cs="宋体"/>
          <w:b w:val="0"/>
          <w:color w:val="000000"/>
          <w:sz w:val="24"/>
          <w:szCs w:val="24"/>
        </w:rPr>
      </w:pPr>
      <w:bookmarkStart w:id="501" w:name="_Toc351203587"/>
      <w:bookmarkStart w:id="502" w:name="_Toc337558805"/>
      <w:bookmarkStart w:id="503" w:name="_Toc296503110"/>
      <w:bookmarkStart w:id="504" w:name="_Toc296346611"/>
      <w:r>
        <w:rPr>
          <w:rFonts w:hint="eastAsia" w:ascii="宋体" w:hAnsi="宋体" w:eastAsia="宋体" w:cs="宋体"/>
          <w:b w:val="0"/>
          <w:color w:val="000000"/>
          <w:sz w:val="24"/>
          <w:szCs w:val="24"/>
        </w:rPr>
        <w:t>13.1分部分项工程验收</w:t>
      </w:r>
      <w:bookmarkEnd w:id="501"/>
    </w:p>
    <w:bookmarkEnd w:id="502"/>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13.1.1 分部分项工程质量应符合国家有关工程施工验收规范、标准及合同约定，承包人应按照施工组织设计的要求完成分部分项工程施工。</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13.1.2 除专用合同条款另有约定外，分部分项工程经承包人自检合格并具备验收条件的，承包人应提前48小时通知监理人进行验收。</w:t>
      </w:r>
      <w:r>
        <w:rPr>
          <w:rFonts w:hint="eastAsia" w:ascii="宋体" w:hAnsi="宋体" w:eastAsia="宋体" w:cs="宋体"/>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sz w:val="24"/>
          <w:szCs w:val="24"/>
        </w:rPr>
        <w:t>分部分项工程未经验收的，不得进入下一道工序施工。</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分部分项工程的验收资料应当作为竣工资料的组成部分。</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05" w:name="_Toc351203588"/>
      <w:bookmarkStart w:id="506" w:name="_Toc337558806"/>
      <w:r>
        <w:rPr>
          <w:rFonts w:hint="eastAsia" w:ascii="宋体" w:hAnsi="宋体" w:eastAsia="宋体" w:cs="宋体"/>
          <w:b w:val="0"/>
          <w:color w:val="000000"/>
          <w:sz w:val="24"/>
          <w:szCs w:val="24"/>
        </w:rPr>
        <w:t>13.2竣工验收</w:t>
      </w:r>
      <w:bookmarkEnd w:id="505"/>
    </w:p>
    <w:bookmarkEnd w:id="503"/>
    <w:bookmarkEnd w:id="504"/>
    <w:bookmarkEnd w:id="506"/>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13.2.1竣工验收条件</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工程具备以下条件的，承包人可以申请竣工验收：</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（1）除发包人同意的甩项工作和缺陷修补工作外，合同范围内的全部工程以及有关工作，包括合同要求的试验、试运行以及检验均已完成，并符合合同要求；</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（2）已按合同约定编制了甩项工作和缺陷修补工作清单以及相应的施工计划；</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（3）已按合同约定的内容和份数备齐竣工资料。</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13.2.2竣工验收程序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除专用合同条款另有约定外，承包人申请竣工验收的，应当按照以下程序进行：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13.2.3竣工日期</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07" w:name="#go14"/>
      <w:bookmarkEnd w:id="507"/>
      <w:r>
        <w:rPr>
          <w:rFonts w:hint="eastAsia" w:ascii="宋体" w:hAnsi="宋体" w:eastAsia="宋体" w:cs="宋体"/>
          <w:color w:val="000000"/>
          <w:kern w:val="0"/>
          <w:sz w:val="24"/>
          <w:szCs w:val="24"/>
        </w:rPr>
        <w:t>收申请报告的日期为实际竣工日期；工程未经竣工验收，发包人擅自使用的，以转移占有工程之日为实际竣工日期。</w:t>
      </w:r>
    </w:p>
    <w:p>
      <w:pPr>
        <w:spacing w:line="360" w:lineRule="auto"/>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13.2.4 拒绝接收全部或部分工程</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13.2.5 移交、接收全部与部分工程</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除专用合同条款另有约定外，合同当事人应当在颁发工程接收证书后7天内完成工程的移交。</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08" w:name="_Toc351203589"/>
      <w:bookmarkStart w:id="509" w:name="_Toc296503111"/>
      <w:bookmarkStart w:id="510" w:name="_Toc296346612"/>
      <w:bookmarkStart w:id="511" w:name="_Toc337558807"/>
      <w:r>
        <w:rPr>
          <w:rFonts w:hint="eastAsia" w:ascii="宋体" w:hAnsi="宋体" w:eastAsia="宋体" w:cs="宋体"/>
          <w:b w:val="0"/>
          <w:color w:val="000000"/>
          <w:sz w:val="24"/>
          <w:szCs w:val="24"/>
        </w:rPr>
        <w:t>13.3工程试车</w:t>
      </w:r>
      <w:bookmarkEnd w:id="508"/>
    </w:p>
    <w:bookmarkEnd w:id="509"/>
    <w:bookmarkEnd w:id="510"/>
    <w:bookmarkEnd w:id="511"/>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13.3.1试车程序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工程需要试车的，除专用合同条款另有约定外，试车内容应与承包人承包范围相一致，试车费用由承包人承担。工程试车应按如下程序进行：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13.3.2 试车中的责任</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120" w:after="120" w:line="360" w:lineRule="auto"/>
        <w:rPr>
          <w:rFonts w:hint="eastAsia" w:ascii="宋体" w:hAnsi="宋体" w:eastAsia="宋体" w:cs="宋体"/>
          <w:b w:val="0"/>
          <w:color w:val="000000"/>
          <w:sz w:val="24"/>
          <w:szCs w:val="24"/>
        </w:rPr>
      </w:pPr>
      <w:bookmarkStart w:id="512" w:name="_Toc337558808"/>
      <w:r>
        <w:rPr>
          <w:rFonts w:hint="eastAsia" w:ascii="宋体" w:hAnsi="宋体" w:eastAsia="宋体" w:cs="宋体"/>
          <w:b w:val="0"/>
          <w:color w:val="000000"/>
          <w:sz w:val="24"/>
          <w:szCs w:val="24"/>
        </w:rPr>
        <w:t xml:space="preserve">    </w:t>
      </w:r>
      <w:bookmarkStart w:id="513" w:name="_Toc351203590"/>
      <w:r>
        <w:rPr>
          <w:rFonts w:hint="eastAsia" w:ascii="宋体" w:hAnsi="宋体" w:eastAsia="宋体" w:cs="宋体"/>
          <w:b w:val="0"/>
          <w:color w:val="000000"/>
          <w:sz w:val="24"/>
          <w:szCs w:val="24"/>
        </w:rPr>
        <w:t>13.4提前交付单位工程的验收</w:t>
      </w:r>
      <w:bookmarkEnd w:id="513"/>
    </w:p>
    <w:bookmarkEnd w:id="512"/>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13.4.2 发包人要求在工程竣工前交付单位工程，由此导致承包人费用增加和（或）工期延误的，由发包人承担由此增加的费用和（或）延误的工期，并支付承包人合理的利润。</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14" w:name="_Toc351203591"/>
      <w:r>
        <w:rPr>
          <w:rFonts w:hint="eastAsia" w:ascii="宋体" w:hAnsi="宋体" w:eastAsia="宋体" w:cs="宋体"/>
          <w:b w:val="0"/>
          <w:color w:val="000000"/>
          <w:sz w:val="24"/>
          <w:szCs w:val="24"/>
        </w:rPr>
        <w:t>13.5 施工期运行</w:t>
      </w:r>
      <w:bookmarkEnd w:id="514"/>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13.5.2 在施工期运行中发现工程或工程设备损坏或存在缺陷的，由承包人按第15.2款〔缺陷责任期〕约定进行修复。</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15" w:name="_Toc296346613"/>
      <w:bookmarkStart w:id="516" w:name="_Toc296503112"/>
      <w:bookmarkStart w:id="517" w:name="_Toc351203592"/>
      <w:bookmarkStart w:id="518" w:name="_Toc337558809"/>
      <w:r>
        <w:rPr>
          <w:rFonts w:hint="eastAsia" w:ascii="宋体" w:hAnsi="宋体" w:eastAsia="宋体" w:cs="宋体"/>
          <w:b w:val="0"/>
          <w:color w:val="000000"/>
          <w:sz w:val="24"/>
          <w:szCs w:val="24"/>
        </w:rPr>
        <w:t>13.6 竣工退</w:t>
      </w:r>
      <w:bookmarkEnd w:id="515"/>
      <w:bookmarkEnd w:id="516"/>
      <w:r>
        <w:rPr>
          <w:rFonts w:hint="eastAsia" w:ascii="宋体" w:hAnsi="宋体" w:eastAsia="宋体" w:cs="宋体"/>
          <w:b w:val="0"/>
          <w:color w:val="000000"/>
          <w:sz w:val="24"/>
          <w:szCs w:val="24"/>
        </w:rPr>
        <w:t>场</w:t>
      </w:r>
      <w:bookmarkEnd w:id="517"/>
    </w:p>
    <w:bookmarkEnd w:id="518"/>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颁发工程接收证书后，承包人应按以下要求对施工现场进行清理：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（1）施工现场内残留的垃圾已全部清除出场；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（2）临时工程已拆除，场地已进行清理、平整或复原；</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（3）按合同约定应撤离的人员、承包人施工设备和剩余的材料，包括废弃的施工设备和材料，已按计划撤离施工现场；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（4）施工现场周边及其附近道路、河道的施工堆积物，已全部清理；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（5）施工现场其他场地清理工作已全部完成。</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13.6.2 地表还原</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spacing w:before="120" w:after="120" w:line="360" w:lineRule="auto"/>
        <w:rPr>
          <w:rFonts w:hint="eastAsia" w:ascii="宋体" w:hAnsi="宋体" w:eastAsia="宋体" w:cs="宋体"/>
          <w:b w:val="0"/>
          <w:color w:val="000000"/>
          <w:sz w:val="24"/>
          <w:szCs w:val="24"/>
        </w:rPr>
      </w:pPr>
      <w:bookmarkStart w:id="519" w:name="_Toc351203593"/>
      <w:bookmarkStart w:id="520" w:name="_Toc337558810"/>
      <w:bookmarkStart w:id="521" w:name="_Toc296503113"/>
      <w:bookmarkStart w:id="522" w:name="_Toc296346614"/>
      <w:r>
        <w:rPr>
          <w:rFonts w:hint="eastAsia" w:ascii="宋体" w:hAnsi="宋体" w:eastAsia="宋体" w:cs="宋体"/>
          <w:b w:val="0"/>
          <w:color w:val="000000"/>
          <w:sz w:val="24"/>
          <w:szCs w:val="24"/>
        </w:rPr>
        <w:t>14. 竣工结算</w:t>
      </w:r>
      <w:bookmarkEnd w:id="519"/>
    </w:p>
    <w:bookmarkEnd w:id="520"/>
    <w:p>
      <w:pPr>
        <w:pStyle w:val="7"/>
        <w:spacing w:before="120" w:after="120" w:line="360" w:lineRule="auto"/>
        <w:ind w:firstLine="480" w:firstLineChars="200"/>
        <w:rPr>
          <w:rFonts w:hint="eastAsia" w:ascii="宋体" w:hAnsi="宋体" w:eastAsia="宋体" w:cs="宋体"/>
          <w:b w:val="0"/>
          <w:color w:val="000000"/>
          <w:sz w:val="24"/>
          <w:szCs w:val="24"/>
        </w:rPr>
      </w:pPr>
      <w:bookmarkStart w:id="523" w:name="_Toc351203594"/>
      <w:bookmarkStart w:id="524" w:name="_Toc337558811"/>
      <w:r>
        <w:rPr>
          <w:rFonts w:hint="eastAsia" w:ascii="宋体" w:hAnsi="宋体" w:eastAsia="宋体" w:cs="宋体"/>
          <w:b w:val="0"/>
          <w:color w:val="000000"/>
          <w:sz w:val="24"/>
          <w:szCs w:val="24"/>
        </w:rPr>
        <w:t>14.1 竣工结算申请</w:t>
      </w:r>
      <w:bookmarkEnd w:id="523"/>
    </w:p>
    <w:bookmarkEnd w:id="524"/>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除专用合同条款另有约定外，</w:t>
      </w:r>
      <w:r>
        <w:rPr>
          <w:rFonts w:hint="eastAsia" w:ascii="宋体" w:hAnsi="宋体" w:eastAsia="宋体" w:cs="宋体"/>
          <w:color w:val="000000"/>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除专用合同条款另有约定外，竣工结算申请单应包括以下内容：</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（1）竣工结算合同价格；</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（2）发包人已支付承包人的款项；</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（3）应扣留的质量保证金。已缴纳履约保证金的或提供其他工程质量担保方式的除外； </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（4）发包人应支付承包人的合同价款。</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25" w:name="_Toc351203595"/>
      <w:bookmarkStart w:id="526" w:name="_Toc337558812"/>
      <w:r>
        <w:rPr>
          <w:rFonts w:hint="eastAsia" w:ascii="宋体" w:hAnsi="宋体" w:eastAsia="宋体" w:cs="宋体"/>
          <w:b w:val="0"/>
          <w:color w:val="000000"/>
          <w:sz w:val="24"/>
          <w:szCs w:val="24"/>
        </w:rPr>
        <w:t>14.2 竣工结算审核</w:t>
      </w:r>
      <w:bookmarkEnd w:id="525"/>
    </w:p>
    <w:bookmarkEnd w:id="526"/>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sz w:val="24"/>
          <w:szCs w:val="24"/>
        </w:rPr>
        <w:t>发包人对竣工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申请单有异议的，有权要求承包人进行修正和提供补充资料，承包人应提交修正后的竣工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27" w:name="_Toc351203596"/>
      <w:bookmarkStart w:id="528" w:name="_Toc337558813"/>
      <w:r>
        <w:rPr>
          <w:rFonts w:hint="eastAsia" w:ascii="宋体" w:hAnsi="宋体" w:eastAsia="宋体" w:cs="宋体"/>
          <w:b w:val="0"/>
          <w:color w:val="000000"/>
          <w:sz w:val="24"/>
          <w:szCs w:val="24"/>
        </w:rPr>
        <w:t>14.3 甩项竣工协议</w:t>
      </w:r>
      <w:bookmarkEnd w:id="527"/>
    </w:p>
    <w:bookmarkEnd w:id="528"/>
    <w:p>
      <w:pPr>
        <w:autoSpaceDE w:val="0"/>
        <w:autoSpaceDN w:val="0"/>
        <w:adjustRightInd w:val="0"/>
        <w:spacing w:line="360" w:lineRule="auto"/>
        <w:ind w:firstLine="470" w:firstLineChars="196"/>
        <w:jc w:val="left"/>
        <w:rPr>
          <w:rFonts w:hint="eastAsia" w:ascii="宋体" w:hAnsi="宋体" w:eastAsia="宋体" w:cs="宋体"/>
          <w:color w:val="000000"/>
          <w:kern w:val="0"/>
          <w:sz w:val="24"/>
          <w:szCs w:val="24"/>
        </w:rPr>
      </w:pPr>
      <w:r>
        <w:rPr>
          <w:rFonts w:hint="eastAsia" w:ascii="宋体" w:hAnsi="宋体" w:eastAsia="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29" w:name="_Toc351203597"/>
      <w:bookmarkStart w:id="530" w:name="_Toc337558814"/>
      <w:r>
        <w:rPr>
          <w:rFonts w:hint="eastAsia" w:ascii="宋体" w:hAnsi="宋体" w:eastAsia="宋体" w:cs="宋体"/>
          <w:b w:val="0"/>
          <w:color w:val="000000"/>
          <w:sz w:val="24"/>
          <w:szCs w:val="24"/>
        </w:rPr>
        <w:t>14.4 最终结清</w:t>
      </w:r>
      <w:bookmarkEnd w:id="529"/>
    </w:p>
    <w:bookmarkEnd w:id="530"/>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w:t>
      </w:r>
      <w:r>
        <w:rPr>
          <w:rFonts w:hint="eastAsia" w:ascii="宋体" w:hAnsi="宋体" w:eastAsia="宋体" w:cs="宋体"/>
          <w:color w:val="000000"/>
          <w:kern w:val="0"/>
          <w:sz w:val="24"/>
          <w:szCs w:val="24"/>
        </w:rPr>
        <w:t>最终结清申请单</w:t>
      </w:r>
      <w:r>
        <w:rPr>
          <w:rFonts w:hint="eastAsia" w:ascii="宋体" w:hAnsi="宋体" w:eastAsia="宋体" w:cs="宋体"/>
          <w:color w:val="000000"/>
          <w:sz w:val="24"/>
          <w:szCs w:val="24"/>
        </w:rPr>
        <w:t>应列明质量保证金、应扣除的质量保证金、缺陷责任期内发生的增减费用。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14.4.2 最终结清证书和支付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（3）承包人对发包人颁发的最终结清证书有异议的，按第20条〔争议解决〕的约定办理。</w:t>
      </w:r>
    </w:p>
    <w:p>
      <w:pPr>
        <w:pStyle w:val="6"/>
        <w:spacing w:before="120" w:after="120" w:line="360" w:lineRule="auto"/>
        <w:rPr>
          <w:rFonts w:hint="eastAsia" w:ascii="宋体" w:hAnsi="宋体" w:eastAsia="宋体" w:cs="宋体"/>
          <w:b w:val="0"/>
          <w:color w:val="000000"/>
          <w:sz w:val="24"/>
          <w:szCs w:val="24"/>
        </w:rPr>
      </w:pPr>
      <w:bookmarkStart w:id="531" w:name="_Toc351203598"/>
      <w:bookmarkStart w:id="532" w:name="_Toc337558815"/>
      <w:r>
        <w:rPr>
          <w:rFonts w:hint="eastAsia" w:ascii="宋体" w:hAnsi="宋体" w:eastAsia="宋体" w:cs="宋体"/>
          <w:b w:val="0"/>
          <w:color w:val="000000"/>
          <w:sz w:val="24"/>
          <w:szCs w:val="24"/>
        </w:rPr>
        <w:t>15. 缺陷责任与保修</w:t>
      </w:r>
      <w:bookmarkEnd w:id="531"/>
    </w:p>
    <w:bookmarkEnd w:id="521"/>
    <w:bookmarkEnd w:id="522"/>
    <w:bookmarkEnd w:id="532"/>
    <w:p>
      <w:pPr>
        <w:pStyle w:val="7"/>
        <w:spacing w:before="120" w:after="120" w:line="360" w:lineRule="auto"/>
        <w:ind w:firstLine="480" w:firstLineChars="200"/>
        <w:rPr>
          <w:rFonts w:hint="eastAsia" w:ascii="宋体" w:hAnsi="宋体" w:eastAsia="宋体" w:cs="宋体"/>
          <w:b w:val="0"/>
          <w:color w:val="000000"/>
          <w:sz w:val="24"/>
          <w:szCs w:val="24"/>
        </w:rPr>
      </w:pPr>
      <w:bookmarkStart w:id="533" w:name="_Toc351203599"/>
      <w:bookmarkStart w:id="534" w:name="_Toc337558816"/>
      <w:bookmarkStart w:id="535" w:name="_Toc296346615"/>
      <w:bookmarkStart w:id="536" w:name="_Toc296503114"/>
      <w:r>
        <w:rPr>
          <w:rFonts w:hint="eastAsia" w:ascii="宋体" w:hAnsi="宋体" w:eastAsia="宋体" w:cs="宋体"/>
          <w:b w:val="0"/>
          <w:color w:val="000000"/>
          <w:sz w:val="24"/>
          <w:szCs w:val="24"/>
        </w:rPr>
        <w:t>15.1 工程保修的原则</w:t>
      </w:r>
      <w:bookmarkEnd w:id="533"/>
    </w:p>
    <w:bookmarkEnd w:id="534"/>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37" w:name="_Toc351203600"/>
      <w:bookmarkStart w:id="538" w:name="_Toc337558817"/>
      <w:r>
        <w:rPr>
          <w:rFonts w:hint="eastAsia" w:ascii="宋体" w:hAnsi="宋体" w:eastAsia="宋体" w:cs="宋体"/>
          <w:b w:val="0"/>
          <w:color w:val="000000"/>
          <w:sz w:val="24"/>
          <w:szCs w:val="24"/>
        </w:rPr>
        <w:t>15.2 缺陷责任期</w:t>
      </w:r>
      <w:bookmarkEnd w:id="535"/>
      <w:bookmarkEnd w:id="536"/>
      <w:bookmarkEnd w:id="537"/>
    </w:p>
    <w:bookmarkEnd w:id="538"/>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15.2.1 缺陷责任期从工程通过竣工验收之日起计算，合同当事人应在专用合同条款约定缺陷责任期的具体期限，但该期限最长不超过24个月。</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000000"/>
          <w:sz w:val="24"/>
          <w:szCs w:val="24"/>
        </w:rPr>
        <w:t>包人延长缺陷责任期，</w:t>
      </w:r>
      <w:r>
        <w:rPr>
          <w:rFonts w:hint="eastAsia" w:ascii="宋体" w:hAnsi="宋体" w:eastAsia="宋体" w:cs="宋体"/>
          <w:color w:val="000000"/>
          <w:kern w:val="0"/>
          <w:sz w:val="24"/>
          <w:szCs w:val="24"/>
        </w:rPr>
        <w:t>并应在原缺陷责任期届满前发出延长通知。</w:t>
      </w:r>
      <w:r>
        <w:rPr>
          <w:rFonts w:hint="eastAsia" w:ascii="宋体" w:hAnsi="宋体" w:eastAsia="宋体" w:cs="宋体"/>
          <w:bCs/>
          <w:color w:val="000000"/>
          <w:sz w:val="24"/>
          <w:szCs w:val="24"/>
        </w:rPr>
        <w:t>但缺陷责任期（含延长部分）最长</w:t>
      </w:r>
      <w:r>
        <w:rPr>
          <w:rFonts w:hint="eastAsia" w:ascii="宋体" w:hAnsi="宋体" w:eastAsia="宋体" w:cs="宋体"/>
          <w:color w:val="000000"/>
          <w:kern w:val="0"/>
          <w:sz w:val="24"/>
          <w:szCs w:val="24"/>
        </w:rPr>
        <w:t>不能超过24个月。</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由他人原因造成的缺陷，发包人负责组织维修，承包人不承担费用，且发包人不得从保证金中扣除费用。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39" w:name="_Toc351203601"/>
      <w:bookmarkStart w:id="540" w:name="_Toc337558818"/>
      <w:bookmarkStart w:id="541" w:name="_Toc296503115"/>
      <w:bookmarkStart w:id="542" w:name="_Toc296346616"/>
      <w:r>
        <w:rPr>
          <w:rFonts w:hint="eastAsia" w:ascii="宋体" w:hAnsi="宋体" w:eastAsia="宋体" w:cs="宋体"/>
          <w:b w:val="0"/>
          <w:color w:val="000000"/>
          <w:sz w:val="24"/>
          <w:szCs w:val="24"/>
        </w:rPr>
        <w:t>15.3 质量保证金</w:t>
      </w:r>
      <w:bookmarkEnd w:id="539"/>
    </w:p>
    <w:bookmarkEnd w:id="540"/>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经合同当事人协商一致扣留质量保证金的，应在专用合同条款中予以明确。</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在工程项目竣工前，承包人已经提供履约担保的，发包人不得同时预留工程质量保证金。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15.3.1 承包人提供质量保证金的方式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承包人提供质量保证金有以下三种方式：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（1）质量保证金保函；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（2）相应比例的工程款；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除专用合同条款另有约定外，质量保证金原则上采用上述第（1）种方式。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15.3.2 质量保证金的扣留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质量保证金的扣留有以下三种方式：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w:t>
      </w:r>
      <w:bookmarkStart w:id="543" w:name="#go6"/>
      <w:bookmarkEnd w:id="543"/>
      <w:r>
        <w:rPr>
          <w:rFonts w:hint="eastAsia" w:ascii="宋体" w:hAnsi="宋体" w:eastAsia="宋体" w:cs="宋体"/>
          <w:color w:val="000000"/>
          <w:kern w:val="0"/>
          <w:sz w:val="24"/>
          <w:szCs w:val="24"/>
        </w:rPr>
        <w:t>程竣工结算时一次性扣留质量保证金；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（3）双方约定的其他扣留方式。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除专用合同条款另有约定外，质量保证金的扣留原则上采用上述第（1）种方式。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w:t>
      </w:r>
      <w:bookmarkStart w:id="544" w:name="#go4"/>
      <w:bookmarkEnd w:id="544"/>
      <w:r>
        <w:rPr>
          <w:rFonts w:hint="eastAsia" w:ascii="宋体" w:hAnsi="宋体" w:eastAsia="宋体" w:cs="宋体"/>
          <w:color w:val="000000"/>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发包人在退还质量保证金的同时按照中国人民银行发布的同期同类贷款基准利率支付利息。</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15.3.3 </w:t>
      </w:r>
      <w:r>
        <w:rPr>
          <w:rFonts w:hint="eastAsia" w:ascii="宋体" w:hAnsi="宋体" w:eastAsia="宋体" w:cs="宋体"/>
          <w:color w:val="000000"/>
          <w:sz w:val="24"/>
          <w:szCs w:val="24"/>
        </w:rPr>
        <w:t>质量保证金</w:t>
      </w:r>
      <w:r>
        <w:rPr>
          <w:rFonts w:hint="eastAsia" w:ascii="宋体" w:hAnsi="宋体" w:eastAsia="宋体" w:cs="宋体"/>
          <w:color w:val="000000"/>
          <w:kern w:val="0"/>
          <w:sz w:val="24"/>
          <w:szCs w:val="24"/>
        </w:rPr>
        <w:t>的退还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缺陷责任期内，承包人认真履行合同约定的责任，到期后，承包人可向发包人申请返还保证金。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发包人和承包人对保证金预留、返还以及工程维修质量、费用有争议的，按本合同第20条约定的争议和纠纷解决程序处理。</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45" w:name="_Toc351203602"/>
      <w:bookmarkStart w:id="546" w:name="_Toc337558819"/>
      <w:r>
        <w:rPr>
          <w:rFonts w:hint="eastAsia" w:ascii="宋体" w:hAnsi="宋体" w:eastAsia="宋体" w:cs="宋体"/>
          <w:b w:val="0"/>
          <w:color w:val="000000"/>
          <w:sz w:val="24"/>
          <w:szCs w:val="24"/>
        </w:rPr>
        <w:t>15.4 保修</w:t>
      </w:r>
      <w:bookmarkEnd w:id="545"/>
    </w:p>
    <w:bookmarkEnd w:id="541"/>
    <w:bookmarkEnd w:id="542"/>
    <w:bookmarkEnd w:id="546"/>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15.4.1保修责任</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发包人未经竣工验收擅自使用工程的，保修期自</w:t>
      </w:r>
      <w:r>
        <w:rPr>
          <w:rFonts w:hint="eastAsia" w:ascii="宋体" w:hAnsi="宋体" w:eastAsia="宋体" w:cs="宋体"/>
          <w:color w:val="000000"/>
          <w:kern w:val="0"/>
          <w:sz w:val="24"/>
          <w:szCs w:val="24"/>
        </w:rPr>
        <w:t>转移占有之日起算</w:t>
      </w:r>
      <w:r>
        <w:rPr>
          <w:rFonts w:hint="eastAsia" w:ascii="宋体" w:hAnsi="宋体" w:eastAsia="宋体" w:cs="宋体"/>
          <w:color w:val="000000"/>
          <w:sz w:val="24"/>
          <w:szCs w:val="24"/>
        </w:rPr>
        <w:t>。</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15.4.2 修复费用</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保修期内，修复的费用按照以下约定处理：</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15.4.3 修复通知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15.4.4 未能修复</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15.4.5 承包人出入权</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spacing w:before="120" w:after="120" w:line="360" w:lineRule="auto"/>
        <w:rPr>
          <w:rFonts w:hint="eastAsia" w:ascii="宋体" w:hAnsi="宋体" w:eastAsia="宋体" w:cs="宋体"/>
          <w:b w:val="0"/>
          <w:color w:val="000000"/>
          <w:sz w:val="24"/>
          <w:szCs w:val="24"/>
        </w:rPr>
      </w:pPr>
      <w:bookmarkStart w:id="547" w:name="_Toc351203603"/>
      <w:bookmarkStart w:id="548" w:name="_Toc337558820"/>
      <w:r>
        <w:rPr>
          <w:rFonts w:hint="eastAsia" w:ascii="宋体" w:hAnsi="宋体" w:eastAsia="宋体" w:cs="宋体"/>
          <w:b w:val="0"/>
          <w:color w:val="000000"/>
          <w:sz w:val="24"/>
          <w:szCs w:val="24"/>
        </w:rPr>
        <w:t>16. 违约</w:t>
      </w:r>
      <w:bookmarkEnd w:id="547"/>
    </w:p>
    <w:bookmarkEnd w:id="548"/>
    <w:p>
      <w:pPr>
        <w:pStyle w:val="7"/>
        <w:spacing w:before="120" w:after="120" w:line="360" w:lineRule="auto"/>
        <w:ind w:firstLine="480" w:firstLineChars="200"/>
        <w:rPr>
          <w:rFonts w:hint="eastAsia" w:ascii="宋体" w:hAnsi="宋体" w:eastAsia="宋体" w:cs="宋体"/>
          <w:b w:val="0"/>
          <w:color w:val="000000"/>
          <w:sz w:val="24"/>
          <w:szCs w:val="24"/>
        </w:rPr>
      </w:pPr>
      <w:bookmarkStart w:id="549" w:name="_Toc296503129"/>
      <w:bookmarkStart w:id="550" w:name="_Toc296346630"/>
      <w:bookmarkStart w:id="551" w:name="_Toc351203604"/>
      <w:bookmarkStart w:id="552" w:name="_Toc337558821"/>
      <w:r>
        <w:rPr>
          <w:rFonts w:hint="eastAsia" w:ascii="宋体" w:hAnsi="宋体" w:eastAsia="宋体" w:cs="宋体"/>
          <w:b w:val="0"/>
          <w:color w:val="000000"/>
          <w:sz w:val="24"/>
          <w:szCs w:val="24"/>
        </w:rPr>
        <w:t>16.1 发</w:t>
      </w:r>
      <w:bookmarkEnd w:id="549"/>
      <w:bookmarkEnd w:id="550"/>
      <w:r>
        <w:rPr>
          <w:rFonts w:hint="eastAsia" w:ascii="宋体" w:hAnsi="宋体" w:eastAsia="宋体" w:cs="宋体"/>
          <w:b w:val="0"/>
          <w:color w:val="000000"/>
          <w:sz w:val="24"/>
          <w:szCs w:val="24"/>
        </w:rPr>
        <w:t>包人违约</w:t>
      </w:r>
      <w:bookmarkEnd w:id="551"/>
    </w:p>
    <w:bookmarkEnd w:id="552"/>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16.1.1 发包人违约的情形</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在合同履行过程中发生的下列情形，属于发包人违约：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（1）因发包人原因未能在计划开工日期前7天内下达开工通知的；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（5）因发包人违反合同约定造成暂停施工的；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（7）发包人明确表示或者以其行为表明不履行合同主要义务的；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（8）发包人未能按照合同约定履行其他义务的。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16.1.2 发包人违约的责任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16.1.3 因发包人违约解除合同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16.1.4 因发包人违约解除合同后的付款</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承包人按照本款约定解除合同的，发包人应在解除合同后28天内支付下列款项，并解除履约担保：</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（1）合同解除前所完成工作的价款；</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（2）承包人为工程施工订购并已付款的材料、工程设备和其他物品的价款；</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（3）承包人撤离施工现场以及遣散承包人人员的款项；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（4）按照合同约定在合同解除前应支付的违约金；</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（5）按照合同约定应当支付给承包人的其他款项；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（6）按照合同约定应退还的质量保证金；</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（7）因解除合同给承包人造成的损失。</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合同当事人未能就解除合同后的结清达成一致的，按照第20条〔争议解决〕的约定处理。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承包人应妥善做好已完工程和与工程有关的已购材料、工程设备的保护和移交工作，并将施工设备和人员撤出施工现场，发包人应为承包人撤出提供必要条件。</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53" w:name="_Toc351203605"/>
      <w:bookmarkStart w:id="554" w:name="_Toc337558822"/>
      <w:bookmarkStart w:id="555" w:name="_Toc296346632"/>
      <w:bookmarkStart w:id="556" w:name="_Toc296503131"/>
      <w:r>
        <w:rPr>
          <w:rFonts w:hint="eastAsia" w:ascii="宋体" w:hAnsi="宋体" w:eastAsia="宋体" w:cs="宋体"/>
          <w:b w:val="0"/>
          <w:color w:val="000000"/>
          <w:sz w:val="24"/>
          <w:szCs w:val="24"/>
        </w:rPr>
        <w:t>16.2 承包人违约</w:t>
      </w:r>
      <w:bookmarkEnd w:id="553"/>
    </w:p>
    <w:bookmarkEnd w:id="554"/>
    <w:bookmarkEnd w:id="555"/>
    <w:bookmarkEnd w:id="556"/>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在合同履行过程中发生的下列情形，属于承包人违约：</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（1）承包人违反合同约定进行转包或违法分包的；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（2）承包人违反合同约定采购和使用不合格的材料和工程设备的；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（3）因承包人原因导致工程质量不符合合同要求的；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（4）承包人违反第8.9款〔材料与设备专用要求〕的约定，未经批准，私自将已按照合同约定进入施工现场的材料或设备撤离施工现场的；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（5）承包人未能按施工进度计划及时完成合同约定的工作，造成工期延误的；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（6）承包人在缺陷责任期及保修期内，未能在合理期限对工程缺陷进行修复，或拒绝按发包人要求进行修复的；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（7）承包人明确表示或者以其行为表明不履行合同主要义务的；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（8）承包人未能按照合同约定履行其他义务的。</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承包人发生除本项第（7）目约定以外的其他违约情况时，监理人可向承包人发出整改通知，要求其在指定的期限内改正。</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 承包人违约的责任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16.2.3 因承包人违约解除合同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16.2.4因承包人违约解除合同后的处理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因承包人原因导致合同解除的，则合同当事人应在合同解除后28天内完成估价、付款和清算，并按以下约定执行：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（1）合同解除后，按第4.4款〔商定或确定〕商定或确定承包人实际完成工作对应的合同价款，以及承包人已提供的材料、工程设备、施工设备和临时工程等的价值；</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（2）合同解除后，承包人应支付的违约金；</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（3）合同解除后，因解除合同给发包人造成的损失；</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（4）合同解除后，承包人应按照发包人要求和监理人的指示完成现场的清理和撤离；</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（5）发包人和承包人应在合同解除后进行清算，出具最终结清付款证书，结清全部款项。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16.2.5采购合同权益转让</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57" w:name="_Toc351203606"/>
      <w:r>
        <w:rPr>
          <w:rFonts w:hint="eastAsia" w:ascii="宋体" w:hAnsi="宋体" w:eastAsia="宋体" w:cs="宋体"/>
          <w:b w:val="0"/>
          <w:color w:val="000000"/>
          <w:sz w:val="24"/>
          <w:szCs w:val="24"/>
        </w:rPr>
        <w:t>16.3 第三人造成的违约</w:t>
      </w:r>
      <w:bookmarkEnd w:id="557"/>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在履行合同过程中，一方当事人因第三人的原因造成违约的，应当向对方当事人承担违约责任。一方当事人和第三人之间的纠纷，依照法律规定或者按照约定解决。</w:t>
      </w:r>
    </w:p>
    <w:p>
      <w:pPr>
        <w:pStyle w:val="6"/>
        <w:spacing w:before="120" w:after="120" w:line="360" w:lineRule="auto"/>
        <w:rPr>
          <w:rFonts w:hint="eastAsia" w:ascii="宋体" w:hAnsi="宋体" w:eastAsia="宋体" w:cs="宋体"/>
          <w:b w:val="0"/>
          <w:color w:val="000000"/>
          <w:sz w:val="24"/>
          <w:szCs w:val="24"/>
        </w:rPr>
      </w:pPr>
      <w:bookmarkStart w:id="558" w:name="_Toc351203607"/>
      <w:bookmarkStart w:id="559" w:name="_Toc296346617"/>
      <w:bookmarkStart w:id="560" w:name="_Toc296503116"/>
      <w:bookmarkStart w:id="561" w:name="_Toc337558823"/>
      <w:r>
        <w:rPr>
          <w:rFonts w:hint="eastAsia" w:ascii="宋体" w:hAnsi="宋体" w:eastAsia="宋体" w:cs="宋体"/>
          <w:b w:val="0"/>
          <w:color w:val="000000"/>
          <w:sz w:val="24"/>
          <w:szCs w:val="24"/>
        </w:rPr>
        <w:t>17. 不可抗力</w:t>
      </w:r>
      <w:bookmarkEnd w:id="558"/>
      <w:r>
        <w:rPr>
          <w:rFonts w:hint="eastAsia" w:ascii="宋体" w:hAnsi="宋体" w:eastAsia="宋体" w:cs="宋体"/>
          <w:b w:val="0"/>
          <w:color w:val="000000"/>
          <w:sz w:val="24"/>
          <w:szCs w:val="24"/>
        </w:rPr>
        <w:t xml:space="preserve"> </w:t>
      </w:r>
      <w:bookmarkEnd w:id="559"/>
      <w:bookmarkEnd w:id="560"/>
      <w:bookmarkEnd w:id="561"/>
    </w:p>
    <w:p>
      <w:pPr>
        <w:pStyle w:val="7"/>
        <w:spacing w:before="120" w:after="120" w:line="360" w:lineRule="auto"/>
        <w:ind w:firstLine="480" w:firstLineChars="200"/>
        <w:rPr>
          <w:rFonts w:hint="eastAsia" w:ascii="宋体" w:hAnsi="宋体" w:eastAsia="宋体" w:cs="宋体"/>
          <w:b w:val="0"/>
          <w:color w:val="000000"/>
          <w:sz w:val="24"/>
          <w:szCs w:val="24"/>
        </w:rPr>
      </w:pPr>
      <w:bookmarkStart w:id="562" w:name="_Toc351203608"/>
      <w:bookmarkStart w:id="563" w:name="_Toc296346618"/>
      <w:bookmarkStart w:id="564" w:name="_Toc296503117"/>
      <w:bookmarkStart w:id="565" w:name="_Toc337558824"/>
      <w:r>
        <w:rPr>
          <w:rFonts w:hint="eastAsia" w:ascii="宋体" w:hAnsi="宋体" w:eastAsia="宋体" w:cs="宋体"/>
          <w:b w:val="0"/>
          <w:color w:val="000000"/>
          <w:sz w:val="24"/>
          <w:szCs w:val="24"/>
        </w:rPr>
        <w:t>17.1 不可抗力的确认</w:t>
      </w:r>
      <w:bookmarkEnd w:id="562"/>
    </w:p>
    <w:bookmarkEnd w:id="563"/>
    <w:bookmarkEnd w:id="564"/>
    <w:bookmarkEnd w:id="565"/>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66" w:name="_Toc351203609"/>
      <w:bookmarkStart w:id="567" w:name="_Toc337558825"/>
      <w:bookmarkStart w:id="568" w:name="_Toc296346619"/>
      <w:bookmarkStart w:id="569" w:name="_Toc296503118"/>
      <w:r>
        <w:rPr>
          <w:rFonts w:hint="eastAsia" w:ascii="宋体" w:hAnsi="宋体" w:eastAsia="宋体" w:cs="宋体"/>
          <w:b w:val="0"/>
          <w:color w:val="000000"/>
          <w:sz w:val="24"/>
          <w:szCs w:val="24"/>
        </w:rPr>
        <w:t>17.2 不可抗力的通知</w:t>
      </w:r>
      <w:bookmarkEnd w:id="566"/>
    </w:p>
    <w:bookmarkEnd w:id="567"/>
    <w:bookmarkEnd w:id="568"/>
    <w:bookmarkEnd w:id="569"/>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70" w:name="_Toc351203610"/>
      <w:bookmarkStart w:id="571" w:name="_Toc296503119"/>
      <w:bookmarkStart w:id="572" w:name="_Toc337558826"/>
      <w:bookmarkStart w:id="573" w:name="_Toc296346620"/>
      <w:r>
        <w:rPr>
          <w:rFonts w:hint="eastAsia" w:ascii="宋体" w:hAnsi="宋体" w:eastAsia="宋体" w:cs="宋体"/>
          <w:b w:val="0"/>
          <w:color w:val="000000"/>
          <w:sz w:val="24"/>
          <w:szCs w:val="24"/>
        </w:rPr>
        <w:t>17.3 不可抗力后果的承担</w:t>
      </w:r>
      <w:bookmarkEnd w:id="570"/>
    </w:p>
    <w:bookmarkEnd w:id="571"/>
    <w:bookmarkEnd w:id="572"/>
    <w:bookmarkEnd w:id="573"/>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17.3.2 不可抗力导致的人员伤亡、财产损失、费用增加和（或）工期延误等后果，由合同当事人按以下原则承担：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（2）承包人施工设备的损坏由承包人承担；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（3）发包人和承包人承担各自人员伤亡和财产的损失；</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（5）因不可抗力引起或将引起工期延误，发包人要求赶工的，由此增加的赶工费用由发包人承担；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（6）承包人在停工期间按照发包人要求照管、清理和修复工程的费用由发包人承担。</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因合同一方迟延履行合同义务，在迟延履行期间遭遇不可抗力的，不免除其违约责任。</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74" w:name="_Toc351203611"/>
      <w:bookmarkStart w:id="575" w:name="_Toc337558827"/>
      <w:r>
        <w:rPr>
          <w:rFonts w:hint="eastAsia" w:ascii="宋体" w:hAnsi="宋体" w:eastAsia="宋体" w:cs="宋体"/>
          <w:b w:val="0"/>
          <w:color w:val="000000"/>
          <w:sz w:val="24"/>
          <w:szCs w:val="24"/>
        </w:rPr>
        <w:t>17.4 因不可抗力解除合同</w:t>
      </w:r>
      <w:bookmarkEnd w:id="574"/>
    </w:p>
    <w:bookmarkEnd w:id="575"/>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（1）合同解除前承包人已完成工作的价款；</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（2）承包人为工程订购的并已交付给承包人，或承包人有责任接受交付的材料、工程设备和其他物品的价款；</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（3）发包人要求承包人退货或解除订货合同而产生的费用，或因不能退货或解除合同而产生的损失；</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（4）承包人撤离施工现场以及遣散承包人人员的费用；</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（5）按照合同约定在合同解除前应支付给承包人的其他款项；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（6）扣减承包人按照合同约定应向发包人支付的款项；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（7）双方商定或确定的其他款项。</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除专用合同条款另有约定外，合同解除后，发包人应在商定或确定上述款项后28天内完成上述款项的支付。</w:t>
      </w:r>
    </w:p>
    <w:p>
      <w:pPr>
        <w:pStyle w:val="6"/>
        <w:spacing w:before="120" w:after="120" w:line="360" w:lineRule="auto"/>
        <w:rPr>
          <w:rFonts w:hint="eastAsia" w:ascii="宋体" w:hAnsi="宋体" w:eastAsia="宋体" w:cs="宋体"/>
          <w:b w:val="0"/>
          <w:color w:val="000000"/>
          <w:sz w:val="24"/>
          <w:szCs w:val="24"/>
        </w:rPr>
      </w:pPr>
      <w:bookmarkStart w:id="576" w:name="_Toc351203612"/>
      <w:bookmarkStart w:id="577" w:name="_Toc337558828"/>
      <w:bookmarkStart w:id="578" w:name="_Toc296503120"/>
      <w:bookmarkStart w:id="579" w:name="_Toc296346621"/>
      <w:r>
        <w:rPr>
          <w:rFonts w:hint="eastAsia" w:ascii="宋体" w:hAnsi="宋体" w:eastAsia="宋体" w:cs="宋体"/>
          <w:b w:val="0"/>
          <w:color w:val="000000"/>
          <w:sz w:val="24"/>
          <w:szCs w:val="24"/>
        </w:rPr>
        <w:t>18. 保险</w:t>
      </w:r>
      <w:bookmarkEnd w:id="576"/>
    </w:p>
    <w:bookmarkEnd w:id="577"/>
    <w:bookmarkEnd w:id="578"/>
    <w:bookmarkEnd w:id="579"/>
    <w:p>
      <w:pPr>
        <w:pStyle w:val="7"/>
        <w:spacing w:before="120" w:after="120" w:line="360" w:lineRule="auto"/>
        <w:ind w:firstLine="480" w:firstLineChars="200"/>
        <w:rPr>
          <w:rFonts w:hint="eastAsia" w:ascii="宋体" w:hAnsi="宋体" w:eastAsia="宋体" w:cs="宋体"/>
          <w:b w:val="0"/>
          <w:color w:val="000000"/>
          <w:sz w:val="24"/>
          <w:szCs w:val="24"/>
        </w:rPr>
      </w:pPr>
      <w:bookmarkStart w:id="580" w:name="_Toc351203613"/>
      <w:bookmarkStart w:id="581" w:name="_Toc296503121"/>
      <w:bookmarkStart w:id="582" w:name="_Toc337558829"/>
      <w:bookmarkStart w:id="583" w:name="_Toc296346622"/>
      <w:r>
        <w:rPr>
          <w:rFonts w:hint="eastAsia" w:ascii="宋体" w:hAnsi="宋体" w:eastAsia="宋体" w:cs="宋体"/>
          <w:b w:val="0"/>
          <w:color w:val="000000"/>
          <w:sz w:val="24"/>
          <w:szCs w:val="24"/>
        </w:rPr>
        <w:t>18.1 工程保险</w:t>
      </w:r>
      <w:bookmarkEnd w:id="580"/>
    </w:p>
    <w:bookmarkEnd w:id="581"/>
    <w:bookmarkEnd w:id="582"/>
    <w:bookmarkEnd w:id="583"/>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除专用合同条款另有约定外，发包人应投保建筑工程一切险或安装工程一切险；发包人委托承包人投保的，因投保产生的保险费和其他相关费用由发包人承担。</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84" w:name="_Toc351203614"/>
      <w:bookmarkStart w:id="585" w:name="_Toc296346623"/>
      <w:bookmarkStart w:id="586" w:name="_Toc296503122"/>
      <w:bookmarkStart w:id="587" w:name="_Toc337558830"/>
      <w:r>
        <w:rPr>
          <w:rFonts w:hint="eastAsia" w:ascii="宋体" w:hAnsi="宋体" w:eastAsia="宋体" w:cs="宋体"/>
          <w:b w:val="0"/>
          <w:color w:val="000000"/>
          <w:sz w:val="24"/>
          <w:szCs w:val="24"/>
        </w:rPr>
        <w:t>18.2 工伤保险</w:t>
      </w:r>
      <w:bookmarkEnd w:id="584"/>
    </w:p>
    <w:bookmarkEnd w:id="585"/>
    <w:bookmarkEnd w:id="586"/>
    <w:bookmarkEnd w:id="587"/>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88" w:name="_Toc351203615"/>
      <w:bookmarkStart w:id="589" w:name="_Toc296503125"/>
      <w:bookmarkStart w:id="590" w:name="_Toc296346626"/>
      <w:bookmarkStart w:id="591" w:name="_Toc337558831"/>
      <w:r>
        <w:rPr>
          <w:rFonts w:hint="eastAsia" w:ascii="宋体" w:hAnsi="宋体" w:eastAsia="宋体" w:cs="宋体"/>
          <w:b w:val="0"/>
          <w:color w:val="000000"/>
          <w:sz w:val="24"/>
          <w:szCs w:val="24"/>
        </w:rPr>
        <w:t>18.3其他保险</w:t>
      </w:r>
      <w:bookmarkEnd w:id="588"/>
    </w:p>
    <w:bookmarkEnd w:id="589"/>
    <w:bookmarkEnd w:id="590"/>
    <w:bookmarkEnd w:id="591"/>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除专用合同条款另有约定外，承包人应为其施工设备等办理财产保险。</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92" w:name="_Toc351203616"/>
      <w:r>
        <w:rPr>
          <w:rFonts w:hint="eastAsia" w:ascii="宋体" w:hAnsi="宋体" w:eastAsia="宋体" w:cs="宋体"/>
          <w:b w:val="0"/>
          <w:color w:val="000000"/>
          <w:sz w:val="24"/>
          <w:szCs w:val="24"/>
        </w:rPr>
        <w:t>18.4持续保险</w:t>
      </w:r>
      <w:bookmarkEnd w:id="592"/>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合同当事人应与保险人保持联系，使保险人能够随时了解工程实施中的变动，并确保按保险合同条款要求持续保险。</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93" w:name="_Toc351203617"/>
      <w:bookmarkStart w:id="594" w:name="_Toc296503126"/>
      <w:bookmarkStart w:id="595" w:name="_Toc337558832"/>
      <w:bookmarkStart w:id="596" w:name="_Toc296346627"/>
      <w:r>
        <w:rPr>
          <w:rFonts w:hint="eastAsia" w:ascii="宋体" w:hAnsi="宋体" w:eastAsia="宋体" w:cs="宋体"/>
          <w:b w:val="0"/>
          <w:color w:val="000000"/>
          <w:sz w:val="24"/>
          <w:szCs w:val="24"/>
        </w:rPr>
        <w:t>18.5 保险凭证</w:t>
      </w:r>
      <w:bookmarkEnd w:id="593"/>
    </w:p>
    <w:bookmarkEnd w:id="594"/>
    <w:bookmarkEnd w:id="595"/>
    <w:bookmarkEnd w:id="596"/>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合同当事人应及时向另一方当事人提交其已投保的各项保险的凭证和保险单复印件。</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597" w:name="_Toc351203618"/>
      <w:bookmarkStart w:id="598" w:name="_Toc296503127"/>
      <w:bookmarkStart w:id="599" w:name="_Toc337558833"/>
      <w:bookmarkStart w:id="600" w:name="_Toc296346628"/>
      <w:r>
        <w:rPr>
          <w:rFonts w:hint="eastAsia" w:ascii="宋体" w:hAnsi="宋体" w:eastAsia="宋体" w:cs="宋体"/>
          <w:b w:val="0"/>
          <w:color w:val="000000"/>
          <w:sz w:val="24"/>
          <w:szCs w:val="24"/>
        </w:rPr>
        <w:t>18.6 未按约定投保的补救</w:t>
      </w:r>
      <w:bookmarkEnd w:id="597"/>
    </w:p>
    <w:bookmarkEnd w:id="598"/>
    <w:bookmarkEnd w:id="599"/>
    <w:bookmarkEnd w:id="600"/>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601" w:name="_Toc351203619"/>
      <w:bookmarkStart w:id="602" w:name="_Toc337558834"/>
      <w:r>
        <w:rPr>
          <w:rFonts w:hint="eastAsia" w:ascii="宋体" w:hAnsi="宋体" w:eastAsia="宋体" w:cs="宋体"/>
          <w:b w:val="0"/>
          <w:color w:val="000000"/>
          <w:sz w:val="24"/>
          <w:szCs w:val="24"/>
        </w:rPr>
        <w:t>18.7 通知义务</w:t>
      </w:r>
      <w:bookmarkEnd w:id="601"/>
    </w:p>
    <w:bookmarkEnd w:id="602"/>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保险事故发生时，投保人应按照保险合同规定的条件和期限及时向保险人报告。发包人和承包人应当在知道保险事故发生后及时通知对方。</w:t>
      </w:r>
    </w:p>
    <w:p>
      <w:pPr>
        <w:pStyle w:val="6"/>
        <w:spacing w:before="120" w:after="120" w:line="360" w:lineRule="auto"/>
        <w:rPr>
          <w:rFonts w:hint="eastAsia" w:ascii="宋体" w:hAnsi="宋体" w:eastAsia="宋体" w:cs="宋体"/>
          <w:b w:val="0"/>
          <w:color w:val="000000"/>
          <w:sz w:val="24"/>
          <w:szCs w:val="24"/>
        </w:rPr>
      </w:pPr>
      <w:bookmarkStart w:id="603" w:name="_Toc351203620"/>
      <w:bookmarkStart w:id="604" w:name="_Toc296346641"/>
      <w:bookmarkStart w:id="605" w:name="_Toc337558835"/>
      <w:bookmarkStart w:id="606" w:name="_Toc296503140"/>
      <w:r>
        <w:rPr>
          <w:rFonts w:hint="eastAsia" w:ascii="宋体" w:hAnsi="宋体" w:eastAsia="宋体" w:cs="宋体"/>
          <w:b w:val="0"/>
          <w:color w:val="000000"/>
          <w:sz w:val="24"/>
          <w:szCs w:val="24"/>
        </w:rPr>
        <w:t>19. 索赔</w:t>
      </w:r>
      <w:bookmarkEnd w:id="603"/>
    </w:p>
    <w:bookmarkEnd w:id="604"/>
    <w:bookmarkEnd w:id="605"/>
    <w:bookmarkEnd w:id="606"/>
    <w:p>
      <w:pPr>
        <w:pStyle w:val="7"/>
        <w:spacing w:before="120" w:after="120" w:line="360" w:lineRule="auto"/>
        <w:ind w:firstLine="480" w:firstLineChars="200"/>
        <w:rPr>
          <w:rFonts w:hint="eastAsia" w:ascii="宋体" w:hAnsi="宋体" w:eastAsia="宋体" w:cs="宋体"/>
          <w:b w:val="0"/>
          <w:color w:val="000000"/>
          <w:sz w:val="24"/>
          <w:szCs w:val="24"/>
        </w:rPr>
      </w:pPr>
      <w:bookmarkStart w:id="607" w:name="_Toc351203621"/>
      <w:bookmarkStart w:id="608" w:name="_Toc296503141"/>
      <w:bookmarkStart w:id="609" w:name="_Toc337558836"/>
      <w:bookmarkStart w:id="610" w:name="_Toc296346642"/>
      <w:r>
        <w:rPr>
          <w:rFonts w:hint="eastAsia" w:ascii="宋体" w:hAnsi="宋体" w:eastAsia="宋体" w:cs="宋体"/>
          <w:b w:val="0"/>
          <w:color w:val="000000"/>
          <w:sz w:val="24"/>
          <w:szCs w:val="24"/>
        </w:rPr>
        <w:t>19.1承包人的索赔</w:t>
      </w:r>
      <w:bookmarkEnd w:id="607"/>
    </w:p>
    <w:bookmarkEnd w:id="608"/>
    <w:bookmarkEnd w:id="609"/>
    <w:bookmarkEnd w:id="610"/>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根据合同约定，承包人认为有权得到追加付款和（或）延长工期的，应按以下程序向发包人提出索赔：</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（4）在索赔事件影响结束后28天内，承包人应向监理人递交最终索赔报告，说明最终要求索赔的追加付款金额和（或）延长的工期，并附必要的记录和证明材料。</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611" w:name="_Toc351203622"/>
      <w:bookmarkStart w:id="612" w:name="_Toc296346643"/>
      <w:bookmarkStart w:id="613" w:name="_Toc337558837"/>
      <w:bookmarkStart w:id="614" w:name="_Toc296503142"/>
      <w:r>
        <w:rPr>
          <w:rFonts w:hint="eastAsia" w:ascii="宋体" w:hAnsi="宋体" w:eastAsia="宋体" w:cs="宋体"/>
          <w:b w:val="0"/>
          <w:color w:val="000000"/>
          <w:sz w:val="24"/>
          <w:szCs w:val="24"/>
        </w:rPr>
        <w:t>19.2 对承包人索赔的处理</w:t>
      </w:r>
      <w:bookmarkEnd w:id="611"/>
    </w:p>
    <w:bookmarkEnd w:id="612"/>
    <w:bookmarkEnd w:id="613"/>
    <w:bookmarkEnd w:id="614"/>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对承包人索赔的处理如下：</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（3）承包人接受索赔处理结果的，索赔款项在当期进度款中进行支付；承包人不接受索赔处理结果的，按照第20条〔争议解决〕约定处理。</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615" w:name="_Toc351203623"/>
      <w:bookmarkStart w:id="616" w:name="_Toc296346644"/>
      <w:bookmarkStart w:id="617" w:name="_Toc337558838"/>
      <w:bookmarkStart w:id="618" w:name="_Toc296503143"/>
      <w:r>
        <w:rPr>
          <w:rFonts w:hint="eastAsia" w:ascii="宋体" w:hAnsi="宋体" w:eastAsia="宋体" w:cs="宋体"/>
          <w:b w:val="0"/>
          <w:color w:val="000000"/>
          <w:sz w:val="24"/>
          <w:szCs w:val="24"/>
        </w:rPr>
        <w:t>19.3发包人的索赔</w:t>
      </w:r>
      <w:bookmarkEnd w:id="615"/>
    </w:p>
    <w:bookmarkEnd w:id="616"/>
    <w:bookmarkEnd w:id="617"/>
    <w:bookmarkEnd w:id="618"/>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619" w:name="_Toc351203624"/>
      <w:bookmarkStart w:id="620" w:name="_Toc296503144"/>
      <w:bookmarkStart w:id="621" w:name="_Toc337558839"/>
      <w:bookmarkStart w:id="622" w:name="_Toc296346645"/>
      <w:r>
        <w:rPr>
          <w:rFonts w:hint="eastAsia" w:ascii="宋体" w:hAnsi="宋体" w:eastAsia="宋体" w:cs="宋体"/>
          <w:b w:val="0"/>
          <w:color w:val="000000"/>
          <w:sz w:val="24"/>
          <w:szCs w:val="24"/>
        </w:rPr>
        <w:t>19.4 对发包人索赔的处理</w:t>
      </w:r>
      <w:bookmarkEnd w:id="619"/>
    </w:p>
    <w:bookmarkEnd w:id="620"/>
    <w:bookmarkEnd w:id="621"/>
    <w:bookmarkEnd w:id="622"/>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对发包人索赔的处理如下：</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（1）承包人收到发包人提交的索赔报告后，应及时审查索赔报告的内容、查验发包人证明材料；</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623" w:name="_Toc351203625"/>
      <w:r>
        <w:rPr>
          <w:rFonts w:hint="eastAsia" w:ascii="宋体" w:hAnsi="宋体" w:eastAsia="宋体" w:cs="宋体"/>
          <w:b w:val="0"/>
          <w:color w:val="000000"/>
          <w:sz w:val="24"/>
          <w:szCs w:val="24"/>
        </w:rPr>
        <w:t>19.5 提出索赔的期限</w:t>
      </w:r>
      <w:bookmarkEnd w:id="623"/>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（1）承包人按第14.2款〔竣工结算审核〕约定接收竣工付款证书后，应被视为已无权再提出在工程接收证书颁发前所发生的任何索赔。</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（2）承包人按第14.4款〔最终结清〕提交的最终结清申请单中，只限于提出工程接收证书颁发后发生的索赔。提出索赔的期限自接受最终结清证书时终止。</w:t>
      </w:r>
    </w:p>
    <w:p>
      <w:pPr>
        <w:pStyle w:val="6"/>
        <w:spacing w:before="120" w:after="120" w:line="360" w:lineRule="auto"/>
        <w:rPr>
          <w:rFonts w:hint="eastAsia" w:ascii="宋体" w:hAnsi="宋体" w:eastAsia="宋体" w:cs="宋体"/>
          <w:b w:val="0"/>
          <w:color w:val="000000"/>
          <w:sz w:val="24"/>
          <w:szCs w:val="24"/>
        </w:rPr>
      </w:pPr>
      <w:bookmarkStart w:id="624" w:name="_Toc351203626"/>
      <w:r>
        <w:rPr>
          <w:rFonts w:hint="eastAsia" w:ascii="宋体" w:hAnsi="宋体" w:eastAsia="宋体" w:cs="宋体"/>
          <w:b w:val="0"/>
          <w:color w:val="000000"/>
          <w:sz w:val="24"/>
          <w:szCs w:val="24"/>
        </w:rPr>
        <w:t>20</w:t>
      </w:r>
      <w:bookmarkStart w:id="625" w:name="_Toc337558840"/>
      <w:bookmarkStart w:id="626" w:name="_Toc296346647"/>
      <w:bookmarkStart w:id="627" w:name="_Toc296503146"/>
      <w:r>
        <w:rPr>
          <w:rFonts w:hint="eastAsia" w:ascii="宋体" w:hAnsi="宋体" w:eastAsia="宋体" w:cs="宋体"/>
          <w:b w:val="0"/>
          <w:color w:val="000000"/>
          <w:sz w:val="24"/>
          <w:szCs w:val="24"/>
        </w:rPr>
        <w:t>. 争议解决</w:t>
      </w:r>
      <w:bookmarkEnd w:id="624"/>
    </w:p>
    <w:bookmarkEnd w:id="625"/>
    <w:bookmarkEnd w:id="626"/>
    <w:bookmarkEnd w:id="627"/>
    <w:p>
      <w:pPr>
        <w:pStyle w:val="7"/>
        <w:spacing w:before="120" w:after="120" w:line="360" w:lineRule="auto"/>
        <w:ind w:firstLine="480" w:firstLineChars="200"/>
        <w:rPr>
          <w:rFonts w:hint="eastAsia" w:ascii="宋体" w:hAnsi="宋体" w:eastAsia="宋体" w:cs="宋体"/>
          <w:b w:val="0"/>
          <w:color w:val="000000"/>
          <w:sz w:val="24"/>
          <w:szCs w:val="24"/>
        </w:rPr>
      </w:pPr>
      <w:bookmarkStart w:id="628" w:name="_Toc351203627"/>
      <w:bookmarkStart w:id="629" w:name="_Toc296503147"/>
      <w:bookmarkStart w:id="630" w:name="_Toc296346648"/>
      <w:bookmarkStart w:id="631" w:name="_Toc337558841"/>
      <w:r>
        <w:rPr>
          <w:rFonts w:hint="eastAsia" w:ascii="宋体" w:hAnsi="宋体" w:eastAsia="宋体" w:cs="宋体"/>
          <w:b w:val="0"/>
          <w:color w:val="000000"/>
          <w:sz w:val="24"/>
          <w:szCs w:val="24"/>
        </w:rPr>
        <w:t>20.1和解</w:t>
      </w:r>
      <w:bookmarkEnd w:id="628"/>
    </w:p>
    <w:bookmarkEnd w:id="629"/>
    <w:bookmarkEnd w:id="630"/>
    <w:bookmarkEnd w:id="631"/>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合同当事人可以就争议自行和解，自行和解达成协议的经双方签字并盖章后作为合同补充文件，双方均应遵照执行。</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632" w:name="_Toc351203628"/>
      <w:r>
        <w:rPr>
          <w:rFonts w:hint="eastAsia" w:ascii="宋体" w:hAnsi="宋体" w:eastAsia="宋体" w:cs="宋体"/>
          <w:b w:val="0"/>
          <w:color w:val="000000"/>
          <w:sz w:val="24"/>
          <w:szCs w:val="24"/>
        </w:rPr>
        <w:t>20</w:t>
      </w:r>
      <w:bookmarkStart w:id="633" w:name="_Toc337558842"/>
      <w:bookmarkStart w:id="634" w:name="_Toc296346649"/>
      <w:bookmarkStart w:id="635" w:name="_Toc296503148"/>
      <w:r>
        <w:rPr>
          <w:rFonts w:hint="eastAsia" w:ascii="宋体" w:hAnsi="宋体" w:eastAsia="宋体" w:cs="宋体"/>
          <w:b w:val="0"/>
          <w:color w:val="000000"/>
          <w:sz w:val="24"/>
          <w:szCs w:val="24"/>
        </w:rPr>
        <w:t>.2调解</w:t>
      </w:r>
      <w:bookmarkEnd w:id="632"/>
    </w:p>
    <w:bookmarkEnd w:id="633"/>
    <w:bookmarkEnd w:id="634"/>
    <w:bookmarkEnd w:id="635"/>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合同当事人可以就争议请求建设行政主管部门、行业协会或其他第三方进行调解，调解达成协议的，经双方签字并盖章后作为合同补充文件，双方均应遵照执行。</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636" w:name="_Toc351203629"/>
      <w:bookmarkStart w:id="637" w:name="_Toc296346650"/>
      <w:bookmarkStart w:id="638" w:name="_Toc296503149"/>
      <w:bookmarkStart w:id="639" w:name="_Toc337558843"/>
      <w:r>
        <w:rPr>
          <w:rFonts w:hint="eastAsia" w:ascii="宋体" w:hAnsi="宋体" w:eastAsia="宋体" w:cs="宋体"/>
          <w:b w:val="0"/>
          <w:color w:val="000000"/>
          <w:sz w:val="24"/>
          <w:szCs w:val="24"/>
        </w:rPr>
        <w:t>20.3争议评审</w:t>
      </w:r>
      <w:bookmarkEnd w:id="636"/>
    </w:p>
    <w:bookmarkEnd w:id="637"/>
    <w:bookmarkEnd w:id="638"/>
    <w:bookmarkEnd w:id="639"/>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合同当事人在专用合同条款中约定采取争议评审方式解决争议以及评审规则，并按下列约定执行：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20.3.1 争议评审小组的确定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除专用合同条款另有约定外，评审员报酬由发包人和承包人各承担一半。</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20.3.3 争议评审小组决定的效力</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争议评审小组作出的书面决定经合同当事人签字确认后，对双方具有约束力，双方应遵照执行。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任何一方当事人不接受争议评审小组决定或不履行争议评审小组决定的，双方可选择采用其他争议解决方式。</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640" w:name="_Toc351203630"/>
      <w:bookmarkStart w:id="641" w:name="_Toc337558844"/>
      <w:bookmarkStart w:id="642" w:name="_Toc296503150"/>
      <w:bookmarkStart w:id="643" w:name="_Toc296346651"/>
      <w:r>
        <w:rPr>
          <w:rFonts w:hint="eastAsia" w:ascii="宋体" w:hAnsi="宋体" w:eastAsia="宋体" w:cs="宋体"/>
          <w:b w:val="0"/>
          <w:color w:val="000000"/>
          <w:sz w:val="24"/>
          <w:szCs w:val="24"/>
        </w:rPr>
        <w:t>20.4仲裁或诉讼</w:t>
      </w:r>
      <w:bookmarkEnd w:id="640"/>
    </w:p>
    <w:bookmarkEnd w:id="641"/>
    <w:bookmarkEnd w:id="642"/>
    <w:bookmarkEnd w:id="643"/>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因合同及合同有关事项产生的争议，合同当事人可以在专用合同条款中约定以下一种方式解决争议：</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（1）向约定的仲裁委员会申请仲裁；</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（2）向有管辖权的人民法院起诉。</w:t>
      </w:r>
    </w:p>
    <w:p>
      <w:pPr>
        <w:pStyle w:val="7"/>
        <w:spacing w:before="120" w:after="120" w:line="360" w:lineRule="auto"/>
        <w:ind w:firstLine="480" w:firstLineChars="200"/>
        <w:rPr>
          <w:rFonts w:hint="eastAsia" w:ascii="宋体" w:hAnsi="宋体" w:eastAsia="宋体" w:cs="宋体"/>
          <w:b w:val="0"/>
          <w:color w:val="000000"/>
          <w:sz w:val="24"/>
          <w:szCs w:val="24"/>
        </w:rPr>
      </w:pPr>
      <w:bookmarkStart w:id="644" w:name="_Toc351203631"/>
      <w:bookmarkStart w:id="645" w:name="_Toc296346653"/>
      <w:bookmarkStart w:id="646" w:name="_Toc296503152"/>
      <w:bookmarkStart w:id="647" w:name="_Toc337558845"/>
      <w:r>
        <w:rPr>
          <w:rFonts w:hint="eastAsia" w:ascii="宋体" w:hAnsi="宋体" w:eastAsia="宋体" w:cs="宋体"/>
          <w:b w:val="0"/>
          <w:color w:val="000000"/>
          <w:sz w:val="24"/>
          <w:szCs w:val="24"/>
        </w:rPr>
        <w:t>20.5争议解决条款效力</w:t>
      </w:r>
      <w:bookmarkEnd w:id="644"/>
    </w:p>
    <w:bookmarkEnd w:id="645"/>
    <w:bookmarkEnd w:id="646"/>
    <w:bookmarkEnd w:id="647"/>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合同有关争议解决的条款独立存在，合同的变更、解除、终止、无效或者被撤销均不影响其效力。 </w:t>
      </w:r>
    </w:p>
    <w:p>
      <w:pPr>
        <w:pStyle w:val="5"/>
        <w:jc w:val="center"/>
        <w:rPr>
          <w:rFonts w:hint="eastAsia" w:ascii="宋体" w:hAnsi="宋体" w:eastAsia="宋体" w:cs="宋体"/>
          <w:sz w:val="24"/>
          <w:szCs w:val="24"/>
        </w:rPr>
      </w:pPr>
      <w:bookmarkStart w:id="648" w:name="_Toc351203632"/>
      <w:r>
        <w:rPr>
          <w:rFonts w:hint="eastAsia" w:ascii="宋体" w:hAnsi="宋体" w:eastAsia="宋体" w:cs="宋体"/>
          <w:sz w:val="24"/>
          <w:szCs w:val="24"/>
        </w:rPr>
        <w:br w:type="page"/>
      </w:r>
      <w:r>
        <w:rPr>
          <w:rFonts w:hint="eastAsia" w:ascii="宋体" w:hAnsi="宋体" w:eastAsia="宋体" w:cs="宋体"/>
          <w:sz w:val="24"/>
          <w:szCs w:val="24"/>
        </w:rPr>
        <w:t>第三部分 专用合同条款</w:t>
      </w:r>
      <w:bookmarkEnd w:id="648"/>
    </w:p>
    <w:p>
      <w:pPr>
        <w:pStyle w:val="6"/>
        <w:spacing w:before="120" w:after="120" w:line="360" w:lineRule="auto"/>
        <w:rPr>
          <w:rFonts w:hint="eastAsia" w:ascii="宋体" w:hAnsi="宋体" w:eastAsia="宋体" w:cs="宋体"/>
          <w:b w:val="0"/>
          <w:color w:val="000000"/>
          <w:sz w:val="24"/>
          <w:szCs w:val="24"/>
        </w:rPr>
      </w:pPr>
      <w:bookmarkStart w:id="649" w:name="_Toc351203633"/>
      <w:r>
        <w:rPr>
          <w:rFonts w:hint="eastAsia" w:ascii="宋体" w:hAnsi="宋体" w:eastAsia="宋体" w:cs="宋体"/>
          <w:b w:val="0"/>
          <w:color w:val="000000"/>
          <w:sz w:val="24"/>
          <w:szCs w:val="24"/>
        </w:rPr>
        <w:t>1</w:t>
      </w:r>
      <w:bookmarkStart w:id="650" w:name="_Toc297048342"/>
      <w:bookmarkStart w:id="651" w:name="_Toc297120456"/>
      <w:bookmarkStart w:id="652" w:name="_Toc296944495"/>
      <w:bookmarkStart w:id="653" w:name="_Toc296890984"/>
      <w:bookmarkStart w:id="654" w:name="_Toc296346657"/>
      <w:bookmarkStart w:id="655" w:name="_Toc296891196"/>
      <w:bookmarkStart w:id="656" w:name="_Toc296503156"/>
      <w:bookmarkStart w:id="657" w:name="_Toc292559866"/>
      <w:bookmarkStart w:id="658" w:name="_Toc292559361"/>
      <w:bookmarkStart w:id="659" w:name="_Toc296347155"/>
      <w:r>
        <w:rPr>
          <w:rFonts w:hint="eastAsia" w:ascii="宋体" w:hAnsi="宋体" w:eastAsia="宋体" w:cs="宋体"/>
          <w:b w:val="0"/>
          <w:color w:val="000000"/>
          <w:sz w:val="24"/>
          <w:szCs w:val="24"/>
        </w:rPr>
        <w:t>. 一般约定</w:t>
      </w:r>
      <w:bookmarkEnd w:id="649"/>
    </w:p>
    <w:bookmarkEnd w:id="650"/>
    <w:bookmarkEnd w:id="651"/>
    <w:bookmarkEnd w:id="652"/>
    <w:bookmarkEnd w:id="653"/>
    <w:bookmarkEnd w:id="654"/>
    <w:bookmarkEnd w:id="655"/>
    <w:bookmarkEnd w:id="656"/>
    <w:bookmarkEnd w:id="657"/>
    <w:bookmarkEnd w:id="658"/>
    <w:bookmarkEnd w:id="659"/>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 词语定义</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1.1.1合同</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00"/>
          <w:sz w:val="24"/>
          <w:szCs w:val="24"/>
          <w:u w:val="single"/>
        </w:rPr>
        <w:t xml:space="preserve">                      </w:t>
      </w:r>
    </w:p>
    <w:p>
      <w:pPr>
        <w:spacing w:line="360" w:lineRule="auto"/>
        <w:ind w:left="1650" w:hanging="1320" w:hangingChars="55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360" w:lineRule="auto"/>
        <w:ind w:left="1650" w:hanging="1320" w:hangingChars="550"/>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1.1.2.4监理人：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1.1.2.5 设计人：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                       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            </w:t>
      </w:r>
      <w:r>
        <w:rPr>
          <w:rFonts w:hint="eastAsia" w:ascii="宋体" w:hAnsi="宋体" w:eastAsia="宋体" w:cs="宋体"/>
          <w:color w:val="000000"/>
          <w:kern w:val="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autoSpaceDE w:val="0"/>
        <w:autoSpaceDN w:val="0"/>
        <w:adjustRightInd w:val="0"/>
        <w:spacing w:line="360" w:lineRule="auto"/>
        <w:ind w:left="596" w:leftChars="284"/>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 </w:t>
      </w:r>
    </w:p>
    <w:p>
      <w:pPr>
        <w:autoSpaceDE w:val="0"/>
        <w:autoSpaceDN w:val="0"/>
        <w:adjustRightIn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pPr>
        <w:spacing w:line="360" w:lineRule="auto"/>
        <w:ind w:left="596" w:leftChars="284"/>
        <w:rPr>
          <w:rFonts w:hint="eastAsia"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      </w:t>
      </w:r>
      <w:r>
        <w:rPr>
          <w:rFonts w:hint="eastAsia" w:ascii="宋体" w:hAnsi="宋体" w:eastAsia="宋体" w:cs="宋体"/>
          <w:color w:val="000000"/>
          <w:sz w:val="24"/>
          <w:szCs w:val="24"/>
        </w:rPr>
        <w:t>。</w:t>
      </w:r>
    </w:p>
    <w:p>
      <w:pPr>
        <w:spacing w:line="360" w:lineRule="auto"/>
        <w:ind w:firstLine="480" w:firstLineChars="200"/>
        <w:outlineLvl w:val="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 xml:space="preserve">                 </w:t>
      </w:r>
    </w:p>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left="596" w:leftChars="284"/>
        <w:rPr>
          <w:rFonts w:hint="eastAsia"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                                               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pPr>
        <w:spacing w:line="360" w:lineRule="auto"/>
        <w:ind w:left="596" w:leftChars="284"/>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w:t>
      </w:r>
    </w:p>
    <w:p>
      <w:pPr>
        <w:spacing w:line="360" w:lineRule="auto"/>
        <w:ind w:left="596" w:leftChars="284"/>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rPr>
        <w:t> 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rPr>
        <w:t>      </w:t>
      </w:r>
      <w:r>
        <w:rPr>
          <w:rFonts w:hint="eastAsia" w:ascii="宋体" w:hAnsi="宋体" w:eastAsia="宋体" w:cs="宋体"/>
          <w:color w:val="000000"/>
          <w:kern w:val="0"/>
          <w:sz w:val="24"/>
          <w:szCs w:val="24"/>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rPr>
        <w:t>               </w:t>
      </w:r>
      <w:r>
        <w:rPr>
          <w:rFonts w:hint="eastAsia" w:ascii="宋体" w:hAnsi="宋体" w:eastAsia="宋体" w:cs="宋体"/>
          <w:color w:val="000000"/>
          <w:kern w:val="0"/>
          <w:sz w:val="24"/>
          <w:szCs w:val="24"/>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rPr>
        <w:t>             </w:t>
      </w:r>
      <w:r>
        <w:rPr>
          <w:rFonts w:hint="eastAsia" w:ascii="宋体" w:hAnsi="宋体" w:eastAsia="宋体" w:cs="宋体"/>
          <w:color w:val="000000"/>
          <w:kern w:val="0"/>
          <w:sz w:val="24"/>
          <w:szCs w:val="24"/>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rPr>
        <w:t>             </w:t>
      </w:r>
      <w:r>
        <w:rPr>
          <w:rFonts w:hint="eastAsia" w:ascii="宋体" w:hAnsi="宋体" w:eastAsia="宋体" w:cs="宋体"/>
          <w:color w:val="000000"/>
          <w:kern w:val="0"/>
          <w:sz w:val="24"/>
          <w:szCs w:val="24"/>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rPr>
        <w:t>            </w:t>
      </w:r>
      <w:r>
        <w:rPr>
          <w:rFonts w:hint="eastAsia" w:ascii="宋体" w:hAnsi="宋体" w:eastAsia="宋体" w:cs="宋体"/>
          <w:color w:val="000000"/>
          <w:kern w:val="0"/>
          <w:sz w:val="24"/>
          <w:szCs w:val="24"/>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rPr>
        <w:t>            </w:t>
      </w:r>
      <w:r>
        <w:rPr>
          <w:rFonts w:hint="eastAsia" w:ascii="宋体" w:hAnsi="宋体" w:eastAsia="宋体" w:cs="宋体"/>
          <w:color w:val="000000"/>
          <w:kern w:val="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1.10 交通运输</w:t>
      </w:r>
    </w:p>
    <w:p>
      <w:pPr>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w:t>
      </w:r>
      <w:bookmarkStart w:id="660" w:name="_Toc318581155"/>
      <w:bookmarkStart w:id="661" w:name="_Toc312677986"/>
      <w:bookmarkStart w:id="662" w:name="_Toc304295521"/>
      <w:bookmarkStart w:id="663" w:name="_Toc303539100"/>
      <w:bookmarkStart w:id="664" w:name="_Toc300934943"/>
      <w:r>
        <w:rPr>
          <w:rFonts w:hint="eastAsia" w:ascii="宋体" w:hAnsi="宋体" w:eastAsia="宋体" w:cs="宋体"/>
          <w:sz w:val="24"/>
          <w:szCs w:val="24"/>
        </w:rPr>
        <w:t>.10.1 出入现场的权利</w:t>
      </w:r>
    </w:p>
    <w:p>
      <w:pPr>
        <w:spacing w:line="360" w:lineRule="auto"/>
        <w:ind w:left="596" w:leftChars="284"/>
        <w:rPr>
          <w:rFonts w:hint="eastAsia" w:ascii="宋体" w:hAnsi="宋体" w:eastAsia="宋体" w:cs="宋体"/>
          <w:color w:val="000000"/>
          <w:sz w:val="24"/>
          <w:szCs w:val="24"/>
          <w:u w:val="single"/>
        </w:rPr>
      </w:pPr>
      <w:r>
        <w:rPr>
          <w:rFonts w:hint="eastAsia" w:ascii="宋体" w:hAnsi="宋体" w:eastAsia="宋体" w:cs="宋体"/>
          <w:sz w:val="24"/>
          <w:szCs w:val="24"/>
        </w:rPr>
        <w:t>关于出入现场的权利的约定：</w:t>
      </w:r>
      <w:r>
        <w:rPr>
          <w:rFonts w:hint="eastAsia" w:ascii="宋体" w:hAnsi="宋体" w:eastAsia="宋体" w:cs="宋体"/>
          <w:color w:val="000000"/>
          <w:sz w:val="24"/>
          <w:szCs w:val="24"/>
          <w:u w:val="single"/>
        </w:rPr>
        <w:t>  </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u w:val="single"/>
        </w:rPr>
        <w:t>                             </w:t>
      </w:r>
      <w:r>
        <w:rPr>
          <w:rFonts w:hint="eastAsia" w:ascii="宋体" w:hAnsi="宋体" w:eastAsia="宋体" w:cs="宋体"/>
          <w:sz w:val="24"/>
          <w:szCs w:val="24"/>
        </w:rPr>
        <w:t>。</w:t>
      </w:r>
    </w:p>
    <w:bookmarkEnd w:id="660"/>
    <w:bookmarkEnd w:id="661"/>
    <w:bookmarkEnd w:id="662"/>
    <w:bookmarkEnd w:id="663"/>
    <w:bookmarkEnd w:id="664"/>
    <w:p>
      <w:pPr>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w:t>
      </w:r>
      <w:bookmarkStart w:id="665" w:name="_Toc303539101"/>
      <w:bookmarkStart w:id="666" w:name="_Toc304295522"/>
      <w:bookmarkStart w:id="667" w:name="_Toc318581156"/>
      <w:bookmarkStart w:id="668" w:name="_Toc300934944"/>
      <w:bookmarkStart w:id="669" w:name="_Toc312677987"/>
      <w:r>
        <w:rPr>
          <w:rFonts w:hint="eastAsia" w:ascii="宋体" w:hAnsi="宋体" w:eastAsia="宋体" w:cs="宋体"/>
          <w:sz w:val="24"/>
          <w:szCs w:val="24"/>
        </w:rPr>
        <w:t>.10.3 场内交通</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rPr>
        <w:t>        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                                       </w:t>
      </w:r>
      <w:r>
        <w:rPr>
          <w:rFonts w:hint="eastAsia" w:ascii="宋体" w:hAnsi="宋体" w:eastAsia="宋体" w:cs="宋体"/>
          <w:sz w:val="24"/>
          <w:szCs w:val="24"/>
        </w:rPr>
        <w:t>。</w:t>
      </w:r>
      <w:bookmarkEnd w:id="665"/>
      <w:bookmarkEnd w:id="666"/>
      <w:bookmarkEnd w:id="667"/>
      <w:bookmarkEnd w:id="668"/>
      <w:bookmarkEnd w:id="669"/>
      <w:r>
        <w:rPr>
          <w:rFonts w:hint="eastAsia" w:ascii="宋体" w:hAnsi="宋体" w:eastAsia="宋体" w:cs="宋体"/>
          <w:sz w:val="24"/>
          <w:szCs w:val="24"/>
        </w:rPr>
        <w:t xml:space="preserve">  </w:t>
      </w:r>
      <w:bookmarkStart w:id="670" w:name="_Toc318581157"/>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1.10.4超大件和超重件的运输</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bookmarkEnd w:id="670"/>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1.11 知识产权</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spacing w:line="360" w:lineRule="auto"/>
        <w:ind w:left="596" w:leftChars="284"/>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left="596" w:leftChars="284"/>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rPr>
        <w:t>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spacing w:line="360" w:lineRule="auto"/>
        <w:ind w:firstLine="480" w:firstLineChars="200"/>
        <w:outlineLvl w:val="0"/>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p>
    <w:p>
      <w:pPr>
        <w:pStyle w:val="6"/>
        <w:spacing w:before="120" w:after="120" w:line="360" w:lineRule="auto"/>
        <w:rPr>
          <w:rFonts w:hint="eastAsia" w:ascii="宋体" w:hAnsi="宋体" w:eastAsia="宋体" w:cs="宋体"/>
          <w:b w:val="0"/>
          <w:color w:val="000000"/>
          <w:sz w:val="24"/>
          <w:szCs w:val="24"/>
        </w:rPr>
      </w:pPr>
      <w:bookmarkStart w:id="671" w:name="_Toc351203634"/>
      <w:r>
        <w:rPr>
          <w:rFonts w:hint="eastAsia" w:ascii="宋体" w:hAnsi="宋体" w:eastAsia="宋体" w:cs="宋体"/>
          <w:b w:val="0"/>
          <w:color w:val="000000"/>
          <w:sz w:val="24"/>
          <w:szCs w:val="24"/>
        </w:rPr>
        <w:t>2</w:t>
      </w:r>
      <w:bookmarkStart w:id="672" w:name="_Toc296346658"/>
      <w:bookmarkStart w:id="673" w:name="_Toc296944496"/>
      <w:bookmarkStart w:id="674" w:name="_Toc296891197"/>
      <w:bookmarkStart w:id="675" w:name="_Toc292559362"/>
      <w:bookmarkStart w:id="676" w:name="_Toc296347156"/>
      <w:bookmarkStart w:id="677" w:name="_Toc297048343"/>
      <w:bookmarkStart w:id="678" w:name="_Toc297120457"/>
      <w:bookmarkStart w:id="679" w:name="_Toc296890985"/>
      <w:bookmarkStart w:id="680" w:name="_Toc292559867"/>
      <w:bookmarkStart w:id="681" w:name="_Toc296503157"/>
      <w:r>
        <w:rPr>
          <w:rFonts w:hint="eastAsia" w:ascii="宋体" w:hAnsi="宋体" w:eastAsia="宋体" w:cs="宋体"/>
          <w:b w:val="0"/>
          <w:color w:val="000000"/>
          <w:sz w:val="24"/>
          <w:szCs w:val="24"/>
        </w:rPr>
        <w:t>. 发包人</w:t>
      </w:r>
      <w:bookmarkEnd w:id="671"/>
    </w:p>
    <w:bookmarkEnd w:id="672"/>
    <w:bookmarkEnd w:id="673"/>
    <w:bookmarkEnd w:id="674"/>
    <w:bookmarkEnd w:id="675"/>
    <w:bookmarkEnd w:id="676"/>
    <w:bookmarkEnd w:id="677"/>
    <w:bookmarkEnd w:id="678"/>
    <w:bookmarkEnd w:id="679"/>
    <w:bookmarkEnd w:id="680"/>
    <w:bookmarkEnd w:id="681"/>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w:t>
      </w:r>
    </w:p>
    <w:p>
      <w:pPr>
        <w:spacing w:line="360" w:lineRule="auto"/>
        <w:rPr>
          <w:rFonts w:hint="eastAsia" w:ascii="宋体" w:hAnsi="宋体" w:eastAsia="宋体" w:cs="宋体"/>
          <w:b/>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                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发包人是否提供支付担保：</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6"/>
        <w:spacing w:before="120" w:after="120" w:line="360" w:lineRule="auto"/>
        <w:rPr>
          <w:rFonts w:hint="eastAsia" w:ascii="宋体" w:hAnsi="宋体" w:eastAsia="宋体" w:cs="宋体"/>
          <w:b w:val="0"/>
          <w:color w:val="000000"/>
          <w:sz w:val="24"/>
          <w:szCs w:val="24"/>
        </w:rPr>
      </w:pPr>
      <w:bookmarkStart w:id="682" w:name="_Toc351203635"/>
      <w:r>
        <w:rPr>
          <w:rFonts w:hint="eastAsia" w:ascii="宋体" w:hAnsi="宋体" w:eastAsia="宋体" w:cs="宋体"/>
          <w:b w:val="0"/>
          <w:color w:val="000000"/>
          <w:sz w:val="24"/>
          <w:szCs w:val="24"/>
        </w:rPr>
        <w:t>3</w:t>
      </w:r>
      <w:bookmarkStart w:id="683" w:name="_Toc297048344"/>
      <w:bookmarkStart w:id="684" w:name="_Toc296944497"/>
      <w:bookmarkStart w:id="685" w:name="_Toc296347157"/>
      <w:bookmarkStart w:id="686" w:name="_Toc296346659"/>
      <w:bookmarkStart w:id="687" w:name="_Toc292559868"/>
      <w:bookmarkStart w:id="688" w:name="_Toc296503158"/>
      <w:bookmarkStart w:id="689" w:name="_Toc296891198"/>
      <w:bookmarkStart w:id="690" w:name="_Toc292559363"/>
      <w:bookmarkStart w:id="691" w:name="_Toc297120458"/>
      <w:bookmarkStart w:id="692" w:name="_Toc296890986"/>
      <w:r>
        <w:rPr>
          <w:rFonts w:hint="eastAsia" w:ascii="宋体" w:hAnsi="宋体" w:eastAsia="宋体" w:cs="宋体"/>
          <w:b w:val="0"/>
          <w:color w:val="000000"/>
          <w:sz w:val="24"/>
          <w:szCs w:val="24"/>
        </w:rPr>
        <w:t>. 承包人</w:t>
      </w:r>
      <w:bookmarkEnd w:id="682"/>
    </w:p>
    <w:bookmarkEnd w:id="683"/>
    <w:bookmarkEnd w:id="684"/>
    <w:bookmarkEnd w:id="685"/>
    <w:bookmarkEnd w:id="686"/>
    <w:bookmarkEnd w:id="687"/>
    <w:bookmarkEnd w:id="688"/>
    <w:bookmarkEnd w:id="689"/>
    <w:bookmarkEnd w:id="690"/>
    <w:bookmarkEnd w:id="691"/>
    <w:bookmarkEnd w:id="692"/>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（9）</w:t>
      </w:r>
      <w:r>
        <w:rPr>
          <w:rFonts w:hint="eastAsia" w:ascii="宋体" w:hAnsi="宋体" w:eastAsia="宋体" w:cs="宋体"/>
          <w:color w:val="000000"/>
          <w:sz w:val="24"/>
          <w:szCs w:val="24"/>
        </w:rPr>
        <w:t>承包人提交的竣工资料的内容：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left="638" w:leftChars="304"/>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left="638" w:leftChars="304"/>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（10）承包人应履行的其他义务：</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 项目经理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项目经理：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关于项目经理每月在施工现场的时间要求：</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承包人未提交劳动合同，以及没有为项目经理缴纳社会保险证明的违约责任：</w:t>
      </w:r>
      <w:r>
        <w:rPr>
          <w:rFonts w:hint="eastAsia" w:ascii="宋体" w:hAnsi="宋体" w:eastAsia="宋体" w:cs="宋体"/>
          <w:color w:val="000000"/>
          <w:sz w:val="24"/>
          <w:szCs w:val="24"/>
          <w:u w:val="single"/>
        </w:rPr>
        <w:t xml:space="preserve">               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项目经理未经批准，擅自离开施工现场的违约责任：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sz w:val="24"/>
          <w:szCs w:val="24"/>
          <w:u w:val="single"/>
        </w:rPr>
        <w:t xml:space="preserve">     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                                    </w:t>
      </w:r>
      <w:r>
        <w:rPr>
          <w:rFonts w:hint="eastAsia" w:ascii="宋体" w:hAnsi="宋体" w:eastAsia="宋体" w:cs="宋体"/>
          <w:color w:val="000000"/>
          <w:sz w:val="24"/>
          <w:szCs w:val="24"/>
        </w:rPr>
        <w:t>。</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3.2.4 承包人无正当理由拒绝更换项目经理的违约责任：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3.3.3 承包人无正当理由拒绝撤换主要施工管理人员的违约责任：</w:t>
      </w: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3.3.4 承包人主要施工管理人员离开施工现场的批准要求：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693" w:name="_Toc300934945"/>
      <w:bookmarkStart w:id="694" w:name="_Toc303539102"/>
      <w:bookmarkStart w:id="695" w:name="_Toc297216151"/>
      <w:bookmarkStart w:id="696" w:name="_Toc296891199"/>
      <w:bookmarkStart w:id="697" w:name="_Toc292559869"/>
      <w:bookmarkStart w:id="698" w:name="_Toc296890987"/>
      <w:bookmarkStart w:id="699" w:name="_Toc296503159"/>
      <w:bookmarkStart w:id="700" w:name="_Toc304295523"/>
      <w:bookmarkStart w:id="701" w:name="_Toc296944498"/>
      <w:bookmarkStart w:id="702" w:name="_Toc296347158"/>
      <w:bookmarkStart w:id="703" w:name="_Toc312677988"/>
      <w:bookmarkStart w:id="704" w:name="_Toc297120459"/>
      <w:bookmarkStart w:id="705" w:name="_Toc297123492"/>
      <w:bookmarkStart w:id="706" w:name="_Toc292559364"/>
      <w:bookmarkStart w:id="707" w:name="_Toc297048345"/>
      <w:bookmarkStart w:id="708" w:name="_Toc296346660"/>
      <w:r>
        <w:rPr>
          <w:rFonts w:hint="eastAsia" w:ascii="宋体" w:hAnsi="宋体" w:eastAsia="宋体" w:cs="宋体"/>
          <w:color w:val="000000"/>
          <w:sz w:val="24"/>
          <w:szCs w:val="24"/>
        </w:rPr>
        <w:t>.5 分包</w:t>
      </w:r>
    </w:p>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bookmarkStart w:id="709" w:name="_Toc296890988"/>
      <w:bookmarkStart w:id="710" w:name="_Toc296503160"/>
      <w:bookmarkStart w:id="711" w:name="_Toc292559365"/>
      <w:bookmarkStart w:id="712" w:name="_Toc297048346"/>
      <w:bookmarkStart w:id="713" w:name="_Toc297123493"/>
      <w:bookmarkStart w:id="714" w:name="_Toc296944499"/>
      <w:bookmarkStart w:id="715" w:name="_Toc296891200"/>
      <w:bookmarkStart w:id="716" w:name="_Toc296346661"/>
      <w:bookmarkStart w:id="717" w:name="_Toc296347159"/>
      <w:bookmarkStart w:id="718" w:name="_Toc300934946"/>
      <w:bookmarkStart w:id="719" w:name="_Toc303539103"/>
      <w:bookmarkStart w:id="720" w:name="_Toc304295524"/>
      <w:bookmarkStart w:id="721" w:name="_Toc297120460"/>
      <w:bookmarkStart w:id="722" w:name="_Toc292559870"/>
      <w:bookmarkStart w:id="723" w:name="_Toc297216152"/>
      <w:bookmarkStart w:id="724" w:name="_Toc312677989"/>
      <w:bookmarkStart w:id="725" w:name="_Toc318581158"/>
      <w:r>
        <w:rPr>
          <w:rFonts w:hint="eastAsia" w:ascii="宋体" w:hAnsi="宋体" w:eastAsia="宋体" w:cs="宋体"/>
          <w:sz w:val="24"/>
          <w:szCs w:val="24"/>
        </w:rPr>
        <w:t>.5.1 分包的一般约定</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Start w:id="726" w:name="_Toc304295525"/>
      <w:bookmarkStart w:id="727" w:name="_Toc296890989"/>
      <w:bookmarkStart w:id="728" w:name="_Toc296347160"/>
      <w:bookmarkStart w:id="729" w:name="_Toc300934947"/>
      <w:bookmarkStart w:id="730" w:name="_Toc297048347"/>
      <w:bookmarkStart w:id="731" w:name="_Toc296346662"/>
      <w:bookmarkStart w:id="732" w:name="_Toc297216153"/>
      <w:bookmarkStart w:id="733" w:name="_Toc296944500"/>
      <w:bookmarkStart w:id="734" w:name="_Toc297123494"/>
      <w:bookmarkStart w:id="735" w:name="_Toc296503161"/>
      <w:bookmarkStart w:id="736" w:name="_Toc296891201"/>
      <w:bookmarkStart w:id="737" w:name="_Toc303539104"/>
      <w:bookmarkStart w:id="738" w:name="_Toc297120461"/>
    </w:p>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w:t>
      </w:r>
      <w:bookmarkStart w:id="739" w:name="_Toc318581159"/>
      <w:bookmarkStart w:id="740" w:name="_Toc312677990"/>
      <w:r>
        <w:rPr>
          <w:rFonts w:hint="eastAsia" w:ascii="宋体" w:hAnsi="宋体" w:eastAsia="宋体" w:cs="宋体"/>
          <w:sz w:val="24"/>
          <w:szCs w:val="24"/>
        </w:rPr>
        <w:t>.5.2分包的确定</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3.5.4 分包合同价款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739"/>
    <w:bookmarkEnd w:id="740"/>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spacing w:before="120" w:after="120"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6"/>
        <w:spacing w:before="120" w:after="120" w:line="360" w:lineRule="auto"/>
        <w:rPr>
          <w:rFonts w:hint="eastAsia" w:ascii="宋体" w:hAnsi="宋体" w:eastAsia="宋体" w:cs="宋体"/>
          <w:b w:val="0"/>
          <w:color w:val="000000"/>
          <w:sz w:val="24"/>
          <w:szCs w:val="24"/>
        </w:rPr>
      </w:pPr>
      <w:bookmarkStart w:id="741" w:name="_Toc351203636"/>
      <w:r>
        <w:rPr>
          <w:rFonts w:hint="eastAsia" w:ascii="宋体" w:hAnsi="宋体" w:eastAsia="宋体" w:cs="宋体"/>
          <w:b w:val="0"/>
          <w:color w:val="000000"/>
          <w:sz w:val="24"/>
          <w:szCs w:val="24"/>
        </w:rPr>
        <w:t>4</w:t>
      </w:r>
      <w:bookmarkStart w:id="742" w:name="_Toc296891202"/>
      <w:bookmarkStart w:id="743" w:name="_Toc297048348"/>
      <w:bookmarkStart w:id="744" w:name="_Toc292559871"/>
      <w:bookmarkStart w:id="745" w:name="_Toc296890990"/>
      <w:bookmarkStart w:id="746" w:name="_Toc292559366"/>
      <w:bookmarkStart w:id="747" w:name="_Toc296503162"/>
      <w:bookmarkStart w:id="748" w:name="_Toc296944501"/>
      <w:bookmarkStart w:id="749" w:name="_Toc297120462"/>
      <w:bookmarkStart w:id="750" w:name="_Toc296346663"/>
      <w:bookmarkStart w:id="751" w:name="_Toc296347161"/>
      <w:bookmarkStart w:id="752" w:name="_Toc267251413"/>
      <w:r>
        <w:rPr>
          <w:rFonts w:hint="eastAsia" w:ascii="宋体" w:hAnsi="宋体" w:eastAsia="宋体" w:cs="宋体"/>
          <w:b w:val="0"/>
          <w:color w:val="000000"/>
          <w:sz w:val="24"/>
          <w:szCs w:val="24"/>
        </w:rPr>
        <w:t>. 监</w:t>
      </w:r>
      <w:bookmarkEnd w:id="742"/>
      <w:bookmarkEnd w:id="743"/>
      <w:bookmarkEnd w:id="744"/>
      <w:bookmarkEnd w:id="745"/>
      <w:bookmarkEnd w:id="746"/>
      <w:bookmarkEnd w:id="747"/>
      <w:bookmarkEnd w:id="748"/>
      <w:bookmarkEnd w:id="749"/>
      <w:bookmarkEnd w:id="750"/>
      <w:bookmarkEnd w:id="751"/>
      <w:bookmarkEnd w:id="752"/>
      <w:r>
        <w:rPr>
          <w:rFonts w:hint="eastAsia" w:ascii="宋体" w:hAnsi="宋体" w:eastAsia="宋体" w:cs="宋体"/>
          <w:b w:val="0"/>
          <w:color w:val="000000"/>
          <w:sz w:val="24"/>
          <w:szCs w:val="24"/>
        </w:rPr>
        <w:t>理人</w:t>
      </w:r>
      <w:bookmarkEnd w:id="741"/>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pPr>
        <w:spacing w:line="360" w:lineRule="auto"/>
        <w:ind w:firstLine="480" w:firstLineChars="200"/>
        <w:rPr>
          <w:rFonts w:hint="eastAsia" w:ascii="宋体" w:hAnsi="宋体" w:eastAsia="宋体" w:cs="宋体"/>
          <w:color w:val="000000"/>
          <w:sz w:val="24"/>
          <w:szCs w:val="24"/>
        </w:rPr>
      </w:pPr>
      <w:bookmarkStart w:id="753" w:name="_Toc267251418"/>
      <w:r>
        <w:rPr>
          <w:rFonts w:hint="eastAsia" w:ascii="宋体" w:hAnsi="宋体" w:eastAsia="宋体" w:cs="宋体"/>
          <w:color w:val="000000"/>
          <w:sz w:val="24"/>
          <w:szCs w:val="24"/>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6"/>
        <w:spacing w:before="120" w:after="120" w:line="360" w:lineRule="auto"/>
        <w:rPr>
          <w:rFonts w:hint="eastAsia" w:ascii="宋体" w:hAnsi="宋体" w:eastAsia="宋体" w:cs="宋体"/>
          <w:b w:val="0"/>
          <w:color w:val="000000"/>
          <w:sz w:val="24"/>
          <w:szCs w:val="24"/>
        </w:rPr>
      </w:pPr>
      <w:bookmarkStart w:id="754" w:name="_Toc351203637"/>
      <w:r>
        <w:rPr>
          <w:rFonts w:hint="eastAsia" w:ascii="宋体" w:hAnsi="宋体" w:eastAsia="宋体" w:cs="宋体"/>
          <w:b w:val="0"/>
          <w:color w:val="000000"/>
          <w:sz w:val="24"/>
          <w:szCs w:val="24"/>
        </w:rPr>
        <w:t>5</w:t>
      </w:r>
      <w:bookmarkEnd w:id="753"/>
      <w:bookmarkStart w:id="755" w:name="_Toc292559872"/>
      <w:bookmarkStart w:id="756" w:name="_Toc297048349"/>
      <w:bookmarkStart w:id="757" w:name="_Toc296891203"/>
      <w:bookmarkStart w:id="758" w:name="_Toc296347162"/>
      <w:bookmarkStart w:id="759" w:name="_Toc296944502"/>
      <w:bookmarkStart w:id="760" w:name="_Toc296890991"/>
      <w:bookmarkStart w:id="761" w:name="_Toc296503163"/>
      <w:bookmarkStart w:id="762" w:name="_Toc292559367"/>
      <w:bookmarkStart w:id="763" w:name="_Toc297120463"/>
      <w:bookmarkStart w:id="764" w:name="_Toc296346664"/>
      <w:r>
        <w:rPr>
          <w:rFonts w:hint="eastAsia" w:ascii="宋体" w:hAnsi="宋体" w:eastAsia="宋体" w:cs="宋体"/>
          <w:b w:val="0"/>
          <w:color w:val="000000"/>
          <w:sz w:val="24"/>
          <w:szCs w:val="24"/>
        </w:rPr>
        <w:t>. 工程质量</w:t>
      </w:r>
      <w:bookmarkEnd w:id="754"/>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5</w:t>
      </w:r>
      <w:bookmarkStart w:id="765" w:name="_Toc300934949"/>
      <w:bookmarkStart w:id="766" w:name="_Toc304295527"/>
      <w:bookmarkStart w:id="767" w:name="_Toc312677997"/>
      <w:bookmarkStart w:id="768" w:name="_Toc318581164"/>
      <w:bookmarkStart w:id="769" w:name="_Toc303539106"/>
      <w:bookmarkStart w:id="770" w:name="_Toc297216155"/>
      <w:bookmarkStart w:id="771" w:name="_Toc297123496"/>
      <w:r>
        <w:rPr>
          <w:rFonts w:hint="eastAsia" w:ascii="宋体" w:hAnsi="宋体" w:eastAsia="宋体" w:cs="宋体"/>
          <w:sz w:val="24"/>
          <w:szCs w:val="24"/>
        </w:rPr>
        <w:t>.1.1 特殊质量标准和要求：</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pStyle w:val="6"/>
        <w:spacing w:before="120" w:after="120" w:line="360" w:lineRule="auto"/>
        <w:rPr>
          <w:rFonts w:hint="eastAsia" w:ascii="宋体" w:hAnsi="宋体" w:eastAsia="宋体" w:cs="宋体"/>
          <w:b w:val="0"/>
          <w:color w:val="000000"/>
          <w:sz w:val="24"/>
          <w:szCs w:val="24"/>
        </w:rPr>
      </w:pPr>
      <w:bookmarkStart w:id="772" w:name="_Toc351203638"/>
      <w:r>
        <w:rPr>
          <w:rFonts w:hint="eastAsia" w:ascii="宋体" w:hAnsi="宋体" w:eastAsia="宋体" w:cs="宋体"/>
          <w:b w:val="0"/>
          <w:color w:val="000000"/>
          <w:sz w:val="24"/>
          <w:szCs w:val="24"/>
        </w:rPr>
        <w:t>6. 安全文明施工与环境保护</w:t>
      </w:r>
      <w:bookmarkEnd w:id="772"/>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6.1.1</w:t>
      </w:r>
      <w:r>
        <w:rPr>
          <w:rFonts w:hint="eastAsia" w:ascii="宋体" w:hAnsi="宋体" w:eastAsia="宋体" w:cs="宋体"/>
          <w:color w:val="000000"/>
          <w:sz w:val="24"/>
          <w:szCs w:val="24"/>
        </w:rPr>
        <w:t xml:space="preserve"> 项目安全生产的达标目标及相应事项的约定：</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br w:type="textWrapping"/>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6.1.5 文明施工</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765"/>
    <w:bookmarkEnd w:id="766"/>
    <w:bookmarkEnd w:id="767"/>
    <w:bookmarkEnd w:id="768"/>
    <w:bookmarkEnd w:id="769"/>
    <w:bookmarkEnd w:id="770"/>
    <w:bookmarkEnd w:id="771"/>
    <w:p>
      <w:pPr>
        <w:pStyle w:val="6"/>
        <w:spacing w:before="120" w:after="120" w:line="360" w:lineRule="auto"/>
        <w:rPr>
          <w:rFonts w:hint="eastAsia" w:ascii="宋体" w:hAnsi="宋体" w:eastAsia="宋体" w:cs="宋体"/>
          <w:b w:val="0"/>
          <w:color w:val="000000"/>
          <w:sz w:val="24"/>
          <w:szCs w:val="24"/>
        </w:rPr>
      </w:pPr>
      <w:bookmarkStart w:id="773" w:name="_Toc351203639"/>
      <w:r>
        <w:rPr>
          <w:rFonts w:hint="eastAsia" w:ascii="宋体" w:hAnsi="宋体" w:eastAsia="宋体" w:cs="宋体"/>
          <w:b w:val="0"/>
          <w:color w:val="000000"/>
          <w:sz w:val="24"/>
          <w:szCs w:val="24"/>
        </w:rPr>
        <w:t>7. 工期和进度</w:t>
      </w:r>
      <w:bookmarkEnd w:id="773"/>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pPr>
        <w:autoSpaceDE w:val="0"/>
        <w:autoSpaceDN w:val="0"/>
        <w:adjustRightIn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 xml:space="preserve">7.1.1 </w:t>
      </w:r>
      <w:r>
        <w:rPr>
          <w:rFonts w:hint="eastAsia" w:ascii="宋体" w:hAnsi="宋体" w:eastAsia="宋体" w:cs="宋体"/>
          <w:color w:val="000000"/>
          <w:sz w:val="24"/>
          <w:szCs w:val="24"/>
        </w:rPr>
        <w:t>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sz w:val="24"/>
          <w:szCs w:val="24"/>
          <w:u w:val="single"/>
        </w:rPr>
        <w:t xml:space="preserve">   </w:t>
      </w:r>
    </w:p>
    <w:p>
      <w:pPr>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pPr>
        <w:autoSpaceDE w:val="0"/>
        <w:autoSpaceDN w:val="0"/>
        <w:adjustRightIn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sz w:val="24"/>
          <w:szCs w:val="24"/>
          <w:u w:val="single"/>
        </w:rPr>
        <w:t xml:space="preserve">              </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774" w:name="_Toc312677479"/>
      <w:bookmarkStart w:id="775" w:name="_Toc300934966"/>
      <w:bookmarkStart w:id="776" w:name="_Toc297216173"/>
      <w:bookmarkStart w:id="777" w:name="_Toc297123514"/>
      <w:bookmarkStart w:id="778" w:name="_Toc303539123"/>
      <w:bookmarkStart w:id="779" w:name="_Toc312678005"/>
      <w:bookmarkStart w:id="780" w:name="_Toc304295541"/>
      <w:r>
        <w:rPr>
          <w:rFonts w:hint="eastAsia" w:ascii="宋体" w:hAnsi="宋体" w:eastAsia="宋体" w:cs="宋体"/>
          <w:color w:val="000000"/>
          <w:sz w:val="24"/>
          <w:szCs w:val="24"/>
        </w:rPr>
        <w:t>.2 施工进度计划</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pPr>
        <w:spacing w:line="360" w:lineRule="auto"/>
        <w:ind w:firstLine="645"/>
        <w:jc w:val="left"/>
        <w:rPr>
          <w:rFonts w:hint="eastAsia" w:ascii="宋体" w:hAnsi="宋体" w:eastAsia="宋体" w:cs="宋体"/>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645"/>
        <w:jc w:val="left"/>
        <w:rPr>
          <w:rFonts w:hint="eastAsia" w:ascii="宋体" w:hAnsi="宋体" w:eastAsia="宋体" w:cs="宋体"/>
          <w:sz w:val="24"/>
          <w:szCs w:val="24"/>
          <w:u w:val="single"/>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天内发出开工通知的，承包人有权提出价格调整要求，或者解除合同。</w:t>
      </w:r>
    </w:p>
    <w:bookmarkEnd w:id="774"/>
    <w:bookmarkEnd w:id="775"/>
    <w:bookmarkEnd w:id="776"/>
    <w:bookmarkEnd w:id="777"/>
    <w:bookmarkEnd w:id="778"/>
    <w:bookmarkEnd w:id="779"/>
    <w:bookmarkEnd w:id="780"/>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781" w:name="_Toc312678010"/>
      <w:bookmarkStart w:id="782" w:name="_Toc303539125"/>
      <w:bookmarkStart w:id="783" w:name="_Toc297216175"/>
      <w:bookmarkStart w:id="784" w:name="_Toc312677484"/>
      <w:bookmarkStart w:id="785" w:name="_Toc304295546"/>
      <w:bookmarkStart w:id="786" w:name="_Toc300934968"/>
      <w:bookmarkStart w:id="787" w:name="_Toc297123516"/>
      <w:r>
        <w:rPr>
          <w:rFonts w:hint="eastAsia" w:ascii="宋体" w:hAnsi="宋体" w:eastAsia="宋体" w:cs="宋体"/>
          <w:color w:val="000000"/>
          <w:sz w:val="24"/>
          <w:szCs w:val="24"/>
        </w:rPr>
        <w:t>.5 工期延误</w:t>
      </w:r>
    </w:p>
    <w:bookmarkEnd w:id="781"/>
    <w:bookmarkEnd w:id="782"/>
    <w:bookmarkEnd w:id="783"/>
    <w:bookmarkEnd w:id="784"/>
    <w:bookmarkEnd w:id="785"/>
    <w:bookmarkEnd w:id="786"/>
    <w:bookmarkEnd w:id="787"/>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bookmarkStart w:id="788" w:name="_Toc312678012"/>
      <w:bookmarkStart w:id="789" w:name="_Toc312677486"/>
      <w:bookmarkStart w:id="790" w:name="_Toc318581169"/>
      <w:bookmarkStart w:id="791" w:name="_Toc303539127"/>
      <w:bookmarkStart w:id="792" w:name="_Toc297123518"/>
      <w:bookmarkStart w:id="793" w:name="_Toc297216177"/>
      <w:bookmarkStart w:id="794" w:name="_Toc304295548"/>
      <w:bookmarkStart w:id="795" w:name="_Toc300934970"/>
      <w:r>
        <w:rPr>
          <w:rFonts w:hint="eastAsia" w:ascii="宋体" w:hAnsi="宋体" w:eastAsia="宋体" w:cs="宋体"/>
          <w:sz w:val="24"/>
          <w:szCs w:val="24"/>
        </w:rPr>
        <w:t>.5.2 因承包人原因导致工期延误</w:t>
      </w:r>
    </w:p>
    <w:bookmarkEnd w:id="788"/>
    <w:bookmarkEnd w:id="789"/>
    <w:bookmarkEnd w:id="790"/>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因</w:t>
      </w:r>
      <w:bookmarkStart w:id="796" w:name="_Toc312678013"/>
      <w:bookmarkStart w:id="797" w:name="_Toc312677487"/>
      <w:bookmarkStart w:id="798" w:name="_Toc318581170"/>
      <w:r>
        <w:rPr>
          <w:rFonts w:hint="eastAsia" w:ascii="宋体" w:hAnsi="宋体" w:eastAsia="宋体" w:cs="宋体"/>
          <w:sz w:val="24"/>
          <w:szCs w:val="24"/>
        </w:rPr>
        <w:t>承包人原因造成工期延误，逾期竣工违约金的计算方法为：</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791"/>
      <w:bookmarkEnd w:id="792"/>
      <w:bookmarkEnd w:id="793"/>
      <w:bookmarkEnd w:id="794"/>
      <w:bookmarkEnd w:id="795"/>
      <w:bookmarkEnd w:id="796"/>
      <w:bookmarkEnd w:id="797"/>
    </w:p>
    <w:bookmarkEnd w:id="798"/>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因承包人原因造成工期延误，逾</w:t>
      </w:r>
      <w:bookmarkStart w:id="799" w:name="_Toc318581171"/>
      <w:bookmarkStart w:id="800" w:name="_Toc312678014"/>
      <w:r>
        <w:rPr>
          <w:rFonts w:hint="eastAsia" w:ascii="宋体" w:hAnsi="宋体" w:eastAsia="宋体" w:cs="宋体"/>
          <w:sz w:val="24"/>
          <w:szCs w:val="24"/>
        </w:rPr>
        <w:t>期竣工违约金的上限：</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799"/>
    <w:bookmarkEnd w:id="800"/>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801" w:name="_Toc303539128"/>
      <w:bookmarkStart w:id="802" w:name="_Toc304295549"/>
      <w:bookmarkStart w:id="803" w:name="_Toc312678015"/>
      <w:bookmarkStart w:id="804" w:name="_Toc297123519"/>
      <w:bookmarkStart w:id="805" w:name="_Toc297216178"/>
      <w:bookmarkStart w:id="806" w:name="_Toc300934971"/>
      <w:r>
        <w:rPr>
          <w:rFonts w:hint="eastAsia" w:ascii="宋体" w:hAnsi="宋体" w:eastAsia="宋体" w:cs="宋体"/>
          <w:color w:val="000000"/>
          <w:sz w:val="24"/>
          <w:szCs w:val="24"/>
        </w:rPr>
        <w:t>.6 不</w:t>
      </w:r>
      <w:bookmarkEnd w:id="801"/>
      <w:bookmarkEnd w:id="802"/>
      <w:bookmarkEnd w:id="803"/>
      <w:bookmarkEnd w:id="804"/>
      <w:bookmarkEnd w:id="805"/>
      <w:bookmarkEnd w:id="806"/>
      <w:r>
        <w:rPr>
          <w:rFonts w:hint="eastAsia" w:ascii="宋体" w:hAnsi="宋体" w:eastAsia="宋体" w:cs="宋体"/>
          <w:color w:val="000000"/>
          <w:sz w:val="24"/>
          <w:szCs w:val="24"/>
        </w:rPr>
        <w:t>利物质条件</w:t>
      </w:r>
    </w:p>
    <w:p>
      <w:pPr>
        <w:spacing w:line="360" w:lineRule="auto"/>
        <w:ind w:firstLine="480" w:firstLineChars="200"/>
        <w:jc w:val="left"/>
        <w:rPr>
          <w:rFonts w:hint="eastAsia" w:ascii="宋体" w:hAnsi="宋体" w:eastAsia="宋体" w:cs="宋体"/>
          <w:sz w:val="24"/>
          <w:szCs w:val="24"/>
          <w:u w:val="single"/>
        </w:rPr>
      </w:pPr>
      <w:bookmarkStart w:id="807" w:name="_Toc318581172"/>
      <w:bookmarkStart w:id="808" w:name="_Toc312678016"/>
      <w:bookmarkStart w:id="809" w:name="_Toc303539129"/>
      <w:bookmarkStart w:id="810" w:name="_Toc300934972"/>
      <w:bookmarkStart w:id="811" w:name="_Toc297123520"/>
      <w:bookmarkStart w:id="812" w:name="_Toc297216179"/>
      <w:bookmarkStart w:id="813" w:name="_Toc304295550"/>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807"/>
    <w:bookmarkEnd w:id="808"/>
    <w:bookmarkEnd w:id="809"/>
    <w:bookmarkEnd w:id="810"/>
    <w:bookmarkEnd w:id="811"/>
    <w:bookmarkEnd w:id="812"/>
    <w:bookmarkEnd w:id="813"/>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814" w:name="_Toc304295551"/>
      <w:bookmarkStart w:id="815" w:name="_Toc297216180"/>
      <w:bookmarkStart w:id="816" w:name="_Toc297123521"/>
      <w:bookmarkStart w:id="817" w:name="_Toc312678017"/>
      <w:bookmarkStart w:id="818" w:name="_Toc300934973"/>
      <w:bookmarkStart w:id="819" w:name="_Toc303539130"/>
      <w:r>
        <w:rPr>
          <w:rFonts w:hint="eastAsia" w:ascii="宋体" w:hAnsi="宋体" w:eastAsia="宋体" w:cs="宋体"/>
          <w:color w:val="000000"/>
          <w:sz w:val="24"/>
          <w:szCs w:val="24"/>
        </w:rPr>
        <w:t>.7异常恶劣的气候条件</w:t>
      </w:r>
    </w:p>
    <w:bookmarkEnd w:id="814"/>
    <w:bookmarkEnd w:id="815"/>
    <w:bookmarkEnd w:id="816"/>
    <w:bookmarkEnd w:id="817"/>
    <w:bookmarkEnd w:id="818"/>
    <w:bookmarkEnd w:id="819"/>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7.9 提前竣工的奖励</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6"/>
        <w:spacing w:before="120" w:after="120" w:line="360" w:lineRule="auto"/>
        <w:rPr>
          <w:rFonts w:hint="eastAsia" w:ascii="宋体" w:hAnsi="宋体" w:eastAsia="宋体" w:cs="宋体"/>
          <w:b w:val="0"/>
          <w:color w:val="000000"/>
          <w:sz w:val="24"/>
          <w:szCs w:val="24"/>
        </w:rPr>
      </w:pPr>
      <w:bookmarkStart w:id="820" w:name="_Toc351203640"/>
      <w:r>
        <w:rPr>
          <w:rFonts w:hint="eastAsia" w:ascii="宋体" w:hAnsi="宋体" w:eastAsia="宋体" w:cs="宋体"/>
          <w:b w:val="0"/>
          <w:color w:val="000000"/>
          <w:sz w:val="24"/>
          <w:szCs w:val="24"/>
        </w:rPr>
        <w:t>8. 材料与设备</w:t>
      </w:r>
      <w:bookmarkEnd w:id="820"/>
    </w:p>
    <w:bookmarkEnd w:id="755"/>
    <w:bookmarkEnd w:id="756"/>
    <w:bookmarkEnd w:id="757"/>
    <w:bookmarkEnd w:id="758"/>
    <w:bookmarkEnd w:id="759"/>
    <w:bookmarkEnd w:id="760"/>
    <w:bookmarkEnd w:id="761"/>
    <w:bookmarkEnd w:id="762"/>
    <w:bookmarkEnd w:id="763"/>
    <w:bookmarkEnd w:id="764"/>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821" w:name="_Toc296347166"/>
      <w:bookmarkStart w:id="822" w:name="_Toc296890995"/>
      <w:bookmarkStart w:id="823" w:name="_Toc297048353"/>
      <w:bookmarkStart w:id="824" w:name="_Toc296891207"/>
      <w:bookmarkStart w:id="825" w:name="_Toc304295556"/>
      <w:bookmarkStart w:id="826" w:name="_Toc297216186"/>
      <w:bookmarkStart w:id="827" w:name="_Toc312678019"/>
      <w:bookmarkStart w:id="828" w:name="_Toc296346668"/>
      <w:bookmarkStart w:id="829" w:name="_Toc312677493"/>
      <w:bookmarkStart w:id="830" w:name="_Toc303539136"/>
      <w:bookmarkStart w:id="831" w:name="_Toc297123527"/>
      <w:bookmarkStart w:id="832" w:name="_Toc296503167"/>
      <w:bookmarkStart w:id="833" w:name="_Toc280868654"/>
      <w:bookmarkStart w:id="834" w:name="_Toc292559877"/>
      <w:bookmarkStart w:id="835" w:name="_Toc292559372"/>
      <w:bookmarkStart w:id="836" w:name="_Toc296944506"/>
      <w:bookmarkStart w:id="837" w:name="_Toc300934979"/>
      <w:bookmarkStart w:id="838" w:name="_Toc297120467"/>
      <w:bookmarkStart w:id="839" w:name="_Toc280868655"/>
      <w:bookmarkStart w:id="840" w:name="_Toc280868656"/>
      <w:bookmarkStart w:id="841" w:name="_Toc267251424"/>
      <w:r>
        <w:rPr>
          <w:rFonts w:hint="eastAsia" w:ascii="宋体" w:hAnsi="宋体" w:eastAsia="宋体" w:cs="宋体"/>
          <w:color w:val="000000"/>
          <w:sz w:val="24"/>
          <w:szCs w:val="24"/>
        </w:rPr>
        <w:t>.4材料与工程设备的保管与使用</w:t>
      </w:r>
    </w:p>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8</w:t>
      </w:r>
      <w:bookmarkStart w:id="842" w:name="_Toc292559878"/>
      <w:bookmarkStart w:id="843" w:name="_Toc292559373"/>
      <w:bookmarkStart w:id="844" w:name="_Toc296891208"/>
      <w:bookmarkStart w:id="845" w:name="_Toc296890996"/>
      <w:bookmarkStart w:id="846" w:name="_Toc312678020"/>
      <w:bookmarkStart w:id="847" w:name="_Toc300934980"/>
      <w:bookmarkStart w:id="848" w:name="_Toc296346669"/>
      <w:bookmarkStart w:id="849" w:name="_Toc297216187"/>
      <w:bookmarkStart w:id="850" w:name="_Toc312677494"/>
      <w:bookmarkStart w:id="851" w:name="_Toc303539137"/>
      <w:bookmarkStart w:id="852" w:name="_Toc297123528"/>
      <w:bookmarkStart w:id="853" w:name="_Toc318581173"/>
      <w:bookmarkStart w:id="854" w:name="_Toc304295557"/>
      <w:bookmarkStart w:id="855" w:name="_Toc297120468"/>
      <w:bookmarkStart w:id="856" w:name="_Toc296503168"/>
      <w:bookmarkStart w:id="857" w:name="_Toc296347167"/>
      <w:bookmarkStart w:id="858" w:name="_Toc297048354"/>
      <w:bookmarkStart w:id="859" w:name="_Toc296944507"/>
      <w:r>
        <w:rPr>
          <w:rFonts w:hint="eastAsia" w:ascii="宋体" w:hAnsi="宋体" w:eastAsia="宋体" w:cs="宋体"/>
          <w:sz w:val="24"/>
          <w:szCs w:val="24"/>
        </w:rPr>
        <w:t>.4.1发包人供应的材料设备的保管费用的承担：</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842"/>
      <w:bookmarkEnd w:id="843"/>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pPr>
        <w:autoSpaceDE w:val="0"/>
        <w:autoSpaceDN w:val="0"/>
        <w:adjustRightIn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color w:val="000000"/>
          <w:kern w:val="0"/>
          <w:sz w:val="24"/>
          <w:szCs w:val="24"/>
        </w:rPr>
        <w:t>需要承包人报送样品的材料或工程设备，样品的种类、名称、规格、数量要求：</w:t>
      </w:r>
      <w:r>
        <w:rPr>
          <w:rFonts w:hint="eastAsia" w:ascii="宋体" w:hAnsi="宋体" w:eastAsia="宋体" w:cs="宋体"/>
          <w:sz w:val="24"/>
          <w:szCs w:val="24"/>
          <w:u w:val="single"/>
        </w:rPr>
        <w:t xml:space="preserve">                                          </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pPr>
        <w:autoSpaceDE w:val="0"/>
        <w:autoSpaceDN w:val="0"/>
        <w:adjustRightIn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Pr>
        <w:pStyle w:val="6"/>
        <w:spacing w:before="120" w:after="120" w:line="360" w:lineRule="auto"/>
        <w:rPr>
          <w:rFonts w:hint="eastAsia" w:ascii="宋体" w:hAnsi="宋体" w:eastAsia="宋体" w:cs="宋体"/>
          <w:b w:val="0"/>
          <w:color w:val="000000"/>
          <w:sz w:val="24"/>
          <w:szCs w:val="24"/>
        </w:rPr>
      </w:pPr>
      <w:bookmarkStart w:id="860" w:name="_Toc351203641"/>
      <w:r>
        <w:rPr>
          <w:rFonts w:hint="eastAsia" w:ascii="宋体" w:hAnsi="宋体" w:eastAsia="宋体" w:cs="宋体"/>
          <w:b w:val="0"/>
          <w:color w:val="000000"/>
          <w:sz w:val="24"/>
          <w:szCs w:val="24"/>
        </w:rPr>
        <w:t>9</w:t>
      </w:r>
      <w:bookmarkEnd w:id="839"/>
      <w:bookmarkEnd w:id="840"/>
      <w:bookmarkEnd w:id="841"/>
      <w:bookmarkStart w:id="861" w:name="_Toc297123533"/>
      <w:bookmarkStart w:id="862" w:name="_Toc297216192"/>
      <w:bookmarkStart w:id="863" w:name="_Toc303539139"/>
      <w:bookmarkStart w:id="864" w:name="_Toc312678021"/>
      <w:bookmarkStart w:id="865" w:name="_Toc304295559"/>
      <w:bookmarkStart w:id="866" w:name="_Toc312677495"/>
      <w:bookmarkStart w:id="867" w:name="_Toc300934982"/>
      <w:bookmarkStart w:id="868" w:name="_Toc292559883"/>
      <w:bookmarkStart w:id="869" w:name="_Toc297120473"/>
      <w:bookmarkStart w:id="870" w:name="_Toc267251428"/>
      <w:bookmarkStart w:id="871" w:name="_Toc267251427"/>
      <w:bookmarkStart w:id="872" w:name="_Toc292559378"/>
      <w:bookmarkStart w:id="873" w:name="_Toc297048359"/>
      <w:bookmarkStart w:id="874" w:name="_Toc296347172"/>
      <w:bookmarkStart w:id="875" w:name="_Toc296891001"/>
      <w:bookmarkStart w:id="876" w:name="_Toc296346674"/>
      <w:bookmarkStart w:id="877" w:name="_Toc296503173"/>
      <w:bookmarkStart w:id="878" w:name="_Toc296891213"/>
      <w:bookmarkStart w:id="879" w:name="_Toc296944512"/>
      <w:r>
        <w:rPr>
          <w:rFonts w:hint="eastAsia" w:ascii="宋体" w:hAnsi="宋体" w:eastAsia="宋体" w:cs="宋体"/>
          <w:b w:val="0"/>
          <w:color w:val="000000"/>
          <w:sz w:val="24"/>
          <w:szCs w:val="24"/>
        </w:rPr>
        <w:t>. 试验与检验</w:t>
      </w:r>
      <w:bookmarkEnd w:id="860"/>
    </w:p>
    <w:bookmarkEnd w:id="861"/>
    <w:bookmarkEnd w:id="862"/>
    <w:bookmarkEnd w:id="863"/>
    <w:bookmarkEnd w:id="864"/>
    <w:bookmarkEnd w:id="865"/>
    <w:bookmarkEnd w:id="866"/>
    <w:bookmarkEnd w:id="867"/>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880" w:name="_Toc297123534"/>
      <w:bookmarkStart w:id="881" w:name="_Toc312678022"/>
      <w:bookmarkStart w:id="882" w:name="_Toc297216193"/>
      <w:bookmarkStart w:id="883" w:name="_Toc303539140"/>
      <w:bookmarkStart w:id="884" w:name="_Toc300934983"/>
      <w:bookmarkStart w:id="885" w:name="_Toc304295560"/>
      <w:bookmarkStart w:id="886" w:name="_Toc312677496"/>
      <w:r>
        <w:rPr>
          <w:rFonts w:hint="eastAsia" w:ascii="宋体" w:hAnsi="宋体" w:eastAsia="宋体" w:cs="宋体"/>
          <w:color w:val="000000"/>
          <w:sz w:val="24"/>
          <w:szCs w:val="24"/>
        </w:rPr>
        <w:t>.1试验设备与试验人员</w:t>
      </w:r>
    </w:p>
    <w:bookmarkEnd w:id="880"/>
    <w:bookmarkEnd w:id="881"/>
    <w:bookmarkEnd w:id="882"/>
    <w:bookmarkEnd w:id="883"/>
    <w:bookmarkEnd w:id="884"/>
    <w:bookmarkEnd w:id="885"/>
    <w:bookmarkEnd w:id="886"/>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w:t>
      </w:r>
      <w:bookmarkStart w:id="887" w:name="_Toc312678023"/>
      <w:bookmarkStart w:id="888" w:name="_Toc312677497"/>
      <w:bookmarkStart w:id="889" w:name="_Toc297123535"/>
      <w:bookmarkStart w:id="890" w:name="_Toc300934984"/>
      <w:bookmarkStart w:id="891" w:name="_Toc303539141"/>
      <w:bookmarkStart w:id="892" w:name="_Toc297216194"/>
      <w:bookmarkStart w:id="893" w:name="_Toc304295561"/>
      <w:bookmarkStart w:id="894" w:name="_Toc318581174"/>
      <w:r>
        <w:rPr>
          <w:rFonts w:hint="eastAsia" w:ascii="宋体" w:hAnsi="宋体" w:eastAsia="宋体" w:cs="宋体"/>
          <w:sz w:val="24"/>
          <w:szCs w:val="24"/>
        </w:rPr>
        <w:t>.1.2 试验设备</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施工现场需要配置的试验场所：</w:t>
      </w:r>
      <w:bookmarkEnd w:id="887"/>
      <w:bookmarkEnd w:id="888"/>
      <w:bookmarkEnd w:id="889"/>
      <w:bookmarkEnd w:id="890"/>
      <w:bookmarkEnd w:id="891"/>
      <w:bookmarkEnd w:id="892"/>
      <w:bookmarkEnd w:id="893"/>
      <w:bookmarkStart w:id="895" w:name="_Toc303539142"/>
      <w:bookmarkStart w:id="896" w:name="_Toc297123536"/>
      <w:bookmarkStart w:id="897" w:name="_Toc304295562"/>
      <w:bookmarkStart w:id="898" w:name="_Toc312678024"/>
      <w:bookmarkStart w:id="899" w:name="_Toc300934985"/>
      <w:bookmarkStart w:id="900" w:name="_Toc297216195"/>
      <w:bookmarkStart w:id="901" w:name="_Toc312677498"/>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894"/>
    <w:bookmarkEnd w:id="895"/>
    <w:bookmarkEnd w:id="896"/>
    <w:bookmarkEnd w:id="897"/>
    <w:bookmarkEnd w:id="898"/>
    <w:bookmarkEnd w:id="899"/>
    <w:bookmarkEnd w:id="900"/>
    <w:bookmarkEnd w:id="901"/>
    <w:p>
      <w:pPr>
        <w:pStyle w:val="6"/>
        <w:spacing w:before="120" w:after="120" w:line="360" w:lineRule="auto"/>
        <w:rPr>
          <w:rFonts w:hint="eastAsia" w:ascii="宋体" w:hAnsi="宋体" w:eastAsia="宋体" w:cs="宋体"/>
          <w:b w:val="0"/>
          <w:color w:val="000000"/>
          <w:sz w:val="24"/>
          <w:szCs w:val="24"/>
        </w:rPr>
      </w:pPr>
      <w:bookmarkStart w:id="902" w:name="_Toc351203642"/>
      <w:r>
        <w:rPr>
          <w:rFonts w:hint="eastAsia" w:ascii="宋体" w:hAnsi="宋体" w:eastAsia="宋体" w:cs="宋体"/>
          <w:b w:val="0"/>
          <w:color w:val="000000"/>
          <w:sz w:val="24"/>
          <w:szCs w:val="24"/>
        </w:rPr>
        <w:t>1</w:t>
      </w:r>
      <w:bookmarkEnd w:id="868"/>
      <w:bookmarkEnd w:id="869"/>
      <w:bookmarkEnd w:id="870"/>
      <w:bookmarkEnd w:id="871"/>
      <w:bookmarkEnd w:id="872"/>
      <w:bookmarkEnd w:id="873"/>
      <w:bookmarkEnd w:id="874"/>
      <w:bookmarkEnd w:id="875"/>
      <w:bookmarkEnd w:id="876"/>
      <w:bookmarkEnd w:id="877"/>
      <w:bookmarkEnd w:id="878"/>
      <w:bookmarkEnd w:id="879"/>
      <w:bookmarkStart w:id="903" w:name="_Toc296347192"/>
      <w:bookmarkStart w:id="904" w:name="_Toc297216199"/>
      <w:bookmarkStart w:id="905" w:name="_Toc304295566"/>
      <w:bookmarkStart w:id="906" w:name="_Toc296944532"/>
      <w:bookmarkStart w:id="907" w:name="_Toc292559398"/>
      <w:bookmarkStart w:id="908" w:name="_Toc297120493"/>
      <w:bookmarkStart w:id="909" w:name="_Toc303539146"/>
      <w:bookmarkStart w:id="910" w:name="_Toc300934989"/>
      <w:bookmarkStart w:id="911" w:name="_Toc296891233"/>
      <w:bookmarkStart w:id="912" w:name="_Toc297123540"/>
      <w:bookmarkStart w:id="913" w:name="_Toc297048379"/>
      <w:bookmarkStart w:id="914" w:name="_Toc296346694"/>
      <w:bookmarkStart w:id="915" w:name="_Toc296891021"/>
      <w:bookmarkStart w:id="916" w:name="_Toc296503193"/>
      <w:bookmarkStart w:id="917" w:name="_Toc292559903"/>
      <w:bookmarkStart w:id="918" w:name="_Toc312678025"/>
      <w:bookmarkStart w:id="919" w:name="_Toc312677499"/>
      <w:bookmarkStart w:id="920" w:name="_Toc267251439"/>
      <w:bookmarkStart w:id="921" w:name="_Toc267251433"/>
      <w:bookmarkStart w:id="922" w:name="_Toc267251440"/>
      <w:bookmarkStart w:id="923" w:name="_Toc267251435"/>
      <w:bookmarkStart w:id="924" w:name="_Toc267251437"/>
      <w:bookmarkStart w:id="925" w:name="_Toc267251441"/>
      <w:bookmarkStart w:id="926" w:name="_Toc267251442"/>
      <w:r>
        <w:rPr>
          <w:rFonts w:hint="eastAsia" w:ascii="宋体" w:hAnsi="宋体" w:eastAsia="宋体" w:cs="宋体"/>
          <w:b w:val="0"/>
          <w:color w:val="000000"/>
          <w:sz w:val="24"/>
          <w:szCs w:val="24"/>
        </w:rPr>
        <w:t>0. 变更</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bookmarkEnd w:id="918"/>
    <w:bookmarkEnd w:id="919"/>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927" w:name="_Toc292559904"/>
      <w:bookmarkStart w:id="928" w:name="_Toc300934990"/>
      <w:bookmarkStart w:id="929" w:name="_Toc297123541"/>
      <w:bookmarkStart w:id="930" w:name="_Toc304295567"/>
      <w:bookmarkStart w:id="931" w:name="_Toc296891234"/>
      <w:bookmarkStart w:id="932" w:name="_Toc296346695"/>
      <w:bookmarkStart w:id="933" w:name="_Toc312678026"/>
      <w:bookmarkStart w:id="934" w:name="_Toc292559399"/>
      <w:bookmarkStart w:id="935" w:name="_Toc297216200"/>
      <w:bookmarkStart w:id="936" w:name="_Toc296503194"/>
      <w:bookmarkStart w:id="937" w:name="_Toc303539147"/>
      <w:bookmarkStart w:id="938" w:name="_Toc296944533"/>
      <w:bookmarkStart w:id="939" w:name="_Toc312677500"/>
      <w:bookmarkStart w:id="940" w:name="_Toc297120494"/>
      <w:bookmarkStart w:id="941" w:name="_Toc296891022"/>
      <w:bookmarkStart w:id="942" w:name="_Toc297048380"/>
      <w:bookmarkStart w:id="943" w:name="_Toc296347193"/>
      <w:r>
        <w:rPr>
          <w:rFonts w:hint="eastAsia" w:ascii="宋体" w:hAnsi="宋体" w:eastAsia="宋体" w:cs="宋体"/>
          <w:color w:val="000000"/>
          <w:sz w:val="24"/>
          <w:szCs w:val="24"/>
        </w:rPr>
        <w:t>0.1变更的范围</w:t>
      </w:r>
    </w:p>
    <w:p>
      <w:pPr>
        <w:spacing w:line="360" w:lineRule="auto"/>
        <w:ind w:firstLine="6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关于变更的范围的约定：</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10.4.1 变更估价原则</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关于变更估价的约定: </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Start w:id="944" w:name="_Toc296944536"/>
      <w:bookmarkStart w:id="945" w:name="_Toc297120497"/>
      <w:bookmarkStart w:id="946" w:name="_Toc300934993"/>
      <w:bookmarkStart w:id="947" w:name="_Toc296503197"/>
      <w:bookmarkStart w:id="948" w:name="_Toc297123544"/>
      <w:bookmarkStart w:id="949" w:name="_Toc296891237"/>
      <w:bookmarkStart w:id="950" w:name="_Toc292559907"/>
      <w:bookmarkStart w:id="951" w:name="_Toc296891025"/>
      <w:bookmarkStart w:id="952" w:name="_Toc297216203"/>
      <w:bookmarkStart w:id="953" w:name="_Toc292559402"/>
      <w:bookmarkStart w:id="954" w:name="_Toc297048383"/>
      <w:bookmarkStart w:id="955" w:name="_Toc296346698"/>
      <w:bookmarkStart w:id="956" w:name="_Toc296347196"/>
      <w:bookmarkStart w:id="957" w:name="_Toc303539150"/>
      <w:bookmarkStart w:id="958" w:name="_Toc304295570"/>
      <w:bookmarkStart w:id="959" w:name="_Toc312677503"/>
      <w:bookmarkStart w:id="960" w:name="_Toc312678029"/>
      <w:r>
        <w:rPr>
          <w:rFonts w:hint="eastAsia" w:ascii="宋体" w:hAnsi="宋体" w:eastAsia="宋体" w:cs="宋体"/>
          <w:color w:val="000000"/>
          <w:sz w:val="24"/>
          <w:szCs w:val="24"/>
        </w:rPr>
        <w:t>0.5承</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Start w:id="961" w:name="_Toc300934994"/>
      <w:bookmarkStart w:id="962" w:name="_Toc296503203"/>
      <w:bookmarkStart w:id="963" w:name="_Toc296347202"/>
      <w:bookmarkStart w:id="964" w:name="_Toc297048389"/>
      <w:bookmarkStart w:id="965" w:name="_Toc297123545"/>
      <w:bookmarkStart w:id="966" w:name="_Toc296944542"/>
      <w:bookmarkStart w:id="967" w:name="_Toc292559913"/>
      <w:bookmarkStart w:id="968" w:name="_Toc303539151"/>
      <w:bookmarkStart w:id="969" w:name="_Toc296891243"/>
      <w:bookmarkStart w:id="970" w:name="_Toc292559408"/>
      <w:bookmarkStart w:id="971" w:name="_Toc297216204"/>
      <w:bookmarkStart w:id="972" w:name="_Toc297120503"/>
      <w:bookmarkStart w:id="973" w:name="_Toc296891031"/>
      <w:bookmarkStart w:id="974" w:name="_Toc296346704"/>
      <w:r>
        <w:rPr>
          <w:rFonts w:hint="eastAsia" w:ascii="宋体" w:hAnsi="宋体" w:eastAsia="宋体" w:cs="宋体"/>
          <w:color w:val="000000"/>
          <w:sz w:val="24"/>
          <w:szCs w:val="24"/>
        </w:rPr>
        <w:t>包人的合理化建议</w:t>
      </w:r>
    </w:p>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承</w:t>
      </w:r>
      <w:bookmarkStart w:id="975" w:name="_Toc300934995"/>
      <w:bookmarkStart w:id="976" w:name="_Toc297216205"/>
      <w:bookmarkStart w:id="977" w:name="_Toc292559914"/>
      <w:bookmarkStart w:id="978" w:name="_Toc292559409"/>
      <w:bookmarkStart w:id="979" w:name="_Toc296891032"/>
      <w:bookmarkStart w:id="980" w:name="_Toc296944543"/>
      <w:bookmarkStart w:id="981" w:name="_Toc296347203"/>
      <w:bookmarkStart w:id="982" w:name="_Toc296891244"/>
      <w:bookmarkStart w:id="983" w:name="_Toc297048390"/>
      <w:bookmarkStart w:id="984" w:name="_Toc304295571"/>
      <w:bookmarkStart w:id="985" w:name="_Toc296503204"/>
      <w:bookmarkStart w:id="986" w:name="_Toc297123546"/>
      <w:bookmarkStart w:id="987" w:name="_Toc303539152"/>
      <w:bookmarkStart w:id="988" w:name="_Toc312678030"/>
      <w:bookmarkStart w:id="989" w:name="_Toc312677504"/>
      <w:bookmarkStart w:id="990" w:name="_Toc297120504"/>
      <w:bookmarkStart w:id="991" w:name="_Toc296346705"/>
      <w:bookmarkStart w:id="992" w:name="_Toc318581175"/>
      <w:r>
        <w:rPr>
          <w:rFonts w:hint="eastAsia" w:ascii="宋体" w:hAnsi="宋体" w:eastAsia="宋体" w:cs="宋体"/>
          <w:sz w:val="24"/>
          <w:szCs w:val="24"/>
        </w:rPr>
        <w:t>包人提出的合理化建议降低了合同价格或者提高了工程经济效益的奖励的方法和金额为：</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993" w:name="_Toc304295574"/>
      <w:bookmarkStart w:id="994" w:name="_Toc296347198"/>
      <w:bookmarkStart w:id="995" w:name="_Toc312678033"/>
      <w:bookmarkStart w:id="996" w:name="_Toc296346700"/>
      <w:bookmarkStart w:id="997" w:name="_Toc296944538"/>
      <w:bookmarkStart w:id="998" w:name="_Toc292559404"/>
      <w:bookmarkStart w:id="999" w:name="_Toc292559909"/>
      <w:bookmarkStart w:id="1000" w:name="_Toc312677507"/>
      <w:bookmarkStart w:id="1001" w:name="_Toc303539154"/>
      <w:bookmarkStart w:id="1002" w:name="_Toc297048385"/>
      <w:bookmarkStart w:id="1003" w:name="_Toc296503199"/>
      <w:bookmarkStart w:id="1004" w:name="_Toc300934997"/>
      <w:bookmarkStart w:id="1005" w:name="_Toc297120499"/>
      <w:bookmarkStart w:id="1006" w:name="_Toc297216207"/>
      <w:bookmarkStart w:id="1007" w:name="_Toc296891027"/>
      <w:bookmarkStart w:id="1008" w:name="_Toc296891239"/>
      <w:bookmarkStart w:id="1009" w:name="_Toc297123548"/>
      <w:r>
        <w:rPr>
          <w:rFonts w:hint="eastAsia" w:ascii="宋体" w:hAnsi="宋体" w:eastAsia="宋体" w:cs="宋体"/>
          <w:color w:val="000000"/>
          <w:sz w:val="24"/>
          <w:szCs w:val="24"/>
        </w:rPr>
        <w:t>0.7 暂估价</w:t>
      </w:r>
    </w:p>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暂</w:t>
      </w:r>
      <w:bookmarkStart w:id="1010" w:name="_Toc312678034"/>
      <w:bookmarkStart w:id="1011" w:name="_Toc318581176"/>
      <w:bookmarkStart w:id="1012" w:name="_Toc312677508"/>
      <w:r>
        <w:rPr>
          <w:rFonts w:hint="eastAsia" w:ascii="宋体" w:hAnsi="宋体" w:eastAsia="宋体" w:cs="宋体"/>
          <w:kern w:val="0"/>
          <w:sz w:val="24"/>
          <w:szCs w:val="24"/>
        </w:rPr>
        <w:t>估价材料和工程设备的明细详见附件11：《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kern w:val="0"/>
          <w:sz w:val="24"/>
          <w:szCs w:val="24"/>
        </w:rPr>
        <w:t>。</w:t>
      </w:r>
    </w:p>
    <w:bookmarkEnd w:id="1010"/>
    <w:bookmarkEnd w:id="1011"/>
    <w:bookmarkEnd w:id="1012"/>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1013" w:name="_Toc318581177"/>
      <w:bookmarkStart w:id="1014" w:name="_Toc312677509"/>
      <w:bookmarkStart w:id="1015" w:name="_Toc312678035"/>
      <w:r>
        <w:rPr>
          <w:rFonts w:hint="eastAsia" w:ascii="宋体" w:hAnsi="宋体" w:eastAsia="宋体" w:cs="宋体"/>
          <w:sz w:val="24"/>
          <w:szCs w:val="24"/>
        </w:rPr>
        <w:t>0.7.1 依法必须招标的暂估价项目</w:t>
      </w:r>
    </w:p>
    <w:bookmarkEnd w:id="1013"/>
    <w:bookmarkEnd w:id="1014"/>
    <w:bookmarkEnd w:id="1015"/>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种方式确定。</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pPr>
        <w:autoSpaceDE w:val="0"/>
        <w:autoSpaceDN w:val="0"/>
        <w:adjustRightIn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sz w:val="24"/>
          <w:szCs w:val="24"/>
          <w:u w:val="single"/>
        </w:rPr>
        <w:t xml:space="preserve">                     </w:t>
      </w:r>
    </w:p>
    <w:p>
      <w:pPr>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rPr>
        <w:t>。</w:t>
      </w:r>
    </w:p>
    <w:p>
      <w:pPr>
        <w:pStyle w:val="6"/>
        <w:spacing w:before="120" w:after="120" w:line="360" w:lineRule="auto"/>
        <w:rPr>
          <w:rFonts w:hint="eastAsia" w:ascii="宋体" w:hAnsi="宋体" w:eastAsia="宋体" w:cs="宋体"/>
          <w:b w:val="0"/>
          <w:color w:val="000000"/>
          <w:sz w:val="24"/>
          <w:szCs w:val="24"/>
        </w:rPr>
      </w:pPr>
      <w:bookmarkStart w:id="1016" w:name="_Toc351203643"/>
      <w:r>
        <w:rPr>
          <w:rFonts w:hint="eastAsia" w:ascii="宋体" w:hAnsi="宋体" w:eastAsia="宋体" w:cs="宋体"/>
          <w:b w:val="0"/>
          <w:color w:val="000000"/>
          <w:sz w:val="24"/>
          <w:szCs w:val="24"/>
        </w:rPr>
        <w:t>11. 价格调整</w:t>
      </w:r>
      <w:bookmarkEnd w:id="1016"/>
    </w:p>
    <w:p>
      <w:pPr>
        <w:spacing w:after="120" w:line="360" w:lineRule="auto"/>
        <w:ind w:firstLine="480" w:firstLineChars="200"/>
        <w:rPr>
          <w:rFonts w:hint="eastAsia" w:ascii="宋体" w:hAnsi="宋体" w:eastAsia="宋体" w:cs="宋体"/>
          <w:color w:val="000000"/>
          <w:sz w:val="24"/>
          <w:szCs w:val="24"/>
        </w:rPr>
      </w:pPr>
      <w:bookmarkStart w:id="1017" w:name="_Toc296346702"/>
      <w:bookmarkStart w:id="1018" w:name="_Toc300935000"/>
      <w:bookmarkStart w:id="1019" w:name="_Toc292559406"/>
      <w:bookmarkStart w:id="1020" w:name="_Toc296347200"/>
      <w:bookmarkStart w:id="1021" w:name="_Toc297123550"/>
      <w:bookmarkStart w:id="1022" w:name="_Toc304295577"/>
      <w:bookmarkStart w:id="1023" w:name="_Toc297120501"/>
      <w:bookmarkStart w:id="1024" w:name="_Toc303539157"/>
      <w:bookmarkStart w:id="1025" w:name="_Toc296503201"/>
      <w:bookmarkStart w:id="1026" w:name="_Toc292559911"/>
      <w:bookmarkStart w:id="1027" w:name="_Toc296891241"/>
      <w:bookmarkStart w:id="1028" w:name="_Toc296891029"/>
      <w:bookmarkStart w:id="1029" w:name="_Toc297216209"/>
      <w:bookmarkStart w:id="1030" w:name="_Toc312678039"/>
      <w:bookmarkStart w:id="1031" w:name="_Toc297048387"/>
      <w:bookmarkStart w:id="1032" w:name="_Toc296944540"/>
      <w:r>
        <w:rPr>
          <w:rFonts w:hint="eastAsia" w:ascii="宋体" w:hAnsi="宋体" w:eastAsia="宋体" w:cs="宋体"/>
          <w:color w:val="000000"/>
          <w:sz w:val="24"/>
          <w:szCs w:val="24"/>
        </w:rPr>
        <w:t>11.1 市场价格波动引起的调整</w:t>
      </w:r>
    </w:p>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因市场价格波动调整合同价格，采用以下</w:t>
      </w:r>
      <w:r>
        <w:rPr>
          <w:rFonts w:hint="eastAsia" w:ascii="宋体" w:hAnsi="宋体" w:eastAsia="宋体" w:cs="宋体"/>
          <w:sz w:val="24"/>
          <w:szCs w:val="24"/>
        </w:rPr>
        <w:t>第</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种方式对合同价格进行调整：</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（2）关于基准价格的约定：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%时，或材料单价跌幅以已标价工程量清单或预算书中载明材料单价为基础超过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%时，材料单价涨幅以已标价工程量清单或预算书中载明材料单价为基础超过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spacing w:line="360" w:lineRule="auto"/>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spacing w:line="360" w:lineRule="auto"/>
        <w:ind w:firstLine="645"/>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第3种方式：其他价格调整方式：</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920"/>
    <w:bookmarkEnd w:id="921"/>
    <w:bookmarkEnd w:id="922"/>
    <w:bookmarkEnd w:id="923"/>
    <w:bookmarkEnd w:id="924"/>
    <w:bookmarkEnd w:id="925"/>
    <w:p>
      <w:pPr>
        <w:pStyle w:val="6"/>
        <w:spacing w:before="120" w:after="120" w:line="360" w:lineRule="auto"/>
        <w:rPr>
          <w:rFonts w:hint="eastAsia" w:ascii="宋体" w:hAnsi="宋体" w:eastAsia="宋体" w:cs="宋体"/>
          <w:b w:val="0"/>
          <w:color w:val="000000"/>
          <w:sz w:val="24"/>
          <w:szCs w:val="24"/>
        </w:rPr>
      </w:pPr>
      <w:bookmarkStart w:id="1033" w:name="_Toc297120505"/>
      <w:bookmarkStart w:id="1034" w:name="_Toc292559410"/>
      <w:bookmarkStart w:id="1035" w:name="_Toc296944544"/>
      <w:bookmarkStart w:id="1036" w:name="_Toc292559915"/>
      <w:bookmarkStart w:id="1037" w:name="_Toc296347204"/>
      <w:bookmarkStart w:id="1038" w:name="_Toc296891033"/>
      <w:bookmarkStart w:id="1039" w:name="_Toc296503205"/>
      <w:bookmarkStart w:id="1040" w:name="_Toc296891245"/>
      <w:bookmarkStart w:id="1041" w:name="_Toc297048391"/>
      <w:bookmarkStart w:id="1042" w:name="_Toc296346706"/>
      <w:bookmarkStart w:id="1043" w:name="_Toc351203644"/>
      <w:bookmarkStart w:id="1044" w:name="_Toc300935002"/>
      <w:bookmarkStart w:id="1045" w:name="_Toc304295579"/>
      <w:bookmarkStart w:id="1046" w:name="_Toc303539159"/>
      <w:bookmarkStart w:id="1047" w:name="_Toc312678040"/>
      <w:bookmarkStart w:id="1048" w:name="_Toc297123552"/>
      <w:bookmarkStart w:id="1049" w:name="_Toc297216211"/>
      <w:r>
        <w:rPr>
          <w:rFonts w:hint="eastAsia" w:ascii="宋体" w:hAnsi="宋体" w:eastAsia="宋体" w:cs="宋体"/>
          <w:b w:val="0"/>
          <w:color w:val="000000"/>
          <w:sz w:val="24"/>
          <w:szCs w:val="24"/>
        </w:rPr>
        <w:t xml:space="preserve">12. </w:t>
      </w:r>
      <w:bookmarkEnd w:id="1033"/>
      <w:bookmarkEnd w:id="1034"/>
      <w:bookmarkEnd w:id="1035"/>
      <w:bookmarkEnd w:id="1036"/>
      <w:bookmarkEnd w:id="1037"/>
      <w:bookmarkEnd w:id="1038"/>
      <w:bookmarkEnd w:id="1039"/>
      <w:bookmarkEnd w:id="1040"/>
      <w:bookmarkEnd w:id="1041"/>
      <w:bookmarkEnd w:id="1042"/>
      <w:r>
        <w:rPr>
          <w:rFonts w:hint="eastAsia" w:ascii="宋体" w:hAnsi="宋体" w:eastAsia="宋体" w:cs="宋体"/>
          <w:b w:val="0"/>
          <w:color w:val="000000"/>
          <w:sz w:val="24"/>
          <w:szCs w:val="24"/>
        </w:rPr>
        <w:t>合同价格、计量与支付</w:t>
      </w:r>
      <w:bookmarkEnd w:id="1043"/>
    </w:p>
    <w:bookmarkEnd w:id="1044"/>
    <w:bookmarkEnd w:id="1045"/>
    <w:bookmarkEnd w:id="1046"/>
    <w:bookmarkEnd w:id="1047"/>
    <w:bookmarkEnd w:id="1048"/>
    <w:bookmarkEnd w:id="1049"/>
    <w:p>
      <w:pPr>
        <w:spacing w:after="120" w:line="360" w:lineRule="auto"/>
        <w:ind w:firstLine="480" w:firstLineChars="200"/>
        <w:rPr>
          <w:rFonts w:hint="eastAsia" w:ascii="宋体" w:hAnsi="宋体" w:eastAsia="宋体" w:cs="宋体"/>
          <w:color w:val="000000"/>
          <w:sz w:val="24"/>
          <w:szCs w:val="24"/>
        </w:rPr>
      </w:pPr>
      <w:bookmarkStart w:id="1050" w:name="_Toc292559411"/>
      <w:bookmarkStart w:id="1051" w:name="_Toc267251461"/>
      <w:bookmarkStart w:id="1052" w:name="_Toc292559916"/>
      <w:bookmarkStart w:id="1053" w:name="_Toc296891246"/>
      <w:bookmarkStart w:id="1054" w:name="_Toc296347205"/>
      <w:bookmarkStart w:id="1055" w:name="_Toc296891034"/>
      <w:bookmarkStart w:id="1056" w:name="_Toc296503206"/>
      <w:bookmarkStart w:id="1057" w:name="_Toc297120506"/>
      <w:bookmarkStart w:id="1058" w:name="_Toc297048392"/>
      <w:bookmarkStart w:id="1059" w:name="_Toc296346707"/>
      <w:bookmarkStart w:id="1060" w:name="_Toc296944545"/>
      <w:bookmarkStart w:id="1061" w:name="_Toc303539160"/>
      <w:bookmarkStart w:id="1062" w:name="_Toc297216212"/>
      <w:bookmarkStart w:id="1063" w:name="_Toc312678041"/>
      <w:bookmarkStart w:id="1064" w:name="_Toc297123553"/>
      <w:bookmarkStart w:id="1065" w:name="_Toc304295580"/>
      <w:bookmarkStart w:id="1066" w:name="_Toc300935003"/>
      <w:r>
        <w:rPr>
          <w:rFonts w:hint="eastAsia" w:ascii="宋体" w:hAnsi="宋体" w:eastAsia="宋体" w:cs="宋体"/>
          <w:color w:val="000000"/>
          <w:sz w:val="24"/>
          <w:szCs w:val="24"/>
        </w:rPr>
        <w:t>12.1 合</w:t>
      </w:r>
      <w:bookmarkEnd w:id="1050"/>
      <w:bookmarkEnd w:id="1051"/>
      <w:bookmarkEnd w:id="1052"/>
      <w:r>
        <w:rPr>
          <w:rFonts w:hint="eastAsia" w:ascii="宋体" w:hAnsi="宋体" w:eastAsia="宋体" w:cs="宋体"/>
          <w:color w:val="000000"/>
          <w:sz w:val="24"/>
          <w:szCs w:val="24"/>
        </w:rPr>
        <w:t>同价</w:t>
      </w:r>
      <w:bookmarkEnd w:id="1053"/>
      <w:bookmarkEnd w:id="1054"/>
      <w:bookmarkEnd w:id="1055"/>
      <w:bookmarkEnd w:id="1056"/>
      <w:bookmarkEnd w:id="1057"/>
      <w:bookmarkEnd w:id="1058"/>
      <w:bookmarkEnd w:id="1059"/>
      <w:bookmarkEnd w:id="1060"/>
      <w:r>
        <w:rPr>
          <w:rFonts w:hint="eastAsia" w:ascii="宋体" w:hAnsi="宋体" w:eastAsia="宋体" w:cs="宋体"/>
          <w:color w:val="000000"/>
          <w:sz w:val="24"/>
          <w:szCs w:val="24"/>
        </w:rPr>
        <w:t>格形式</w:t>
      </w:r>
    </w:p>
    <w:bookmarkEnd w:id="1061"/>
    <w:bookmarkEnd w:id="1062"/>
    <w:bookmarkEnd w:id="1063"/>
    <w:bookmarkEnd w:id="1064"/>
    <w:bookmarkEnd w:id="1065"/>
    <w:bookmarkEnd w:id="1066"/>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bookmarkStart w:id="1067" w:name="_Toc297123554"/>
      <w:bookmarkStart w:id="1068" w:name="_Toc304295581"/>
      <w:bookmarkStart w:id="1069" w:name="_Toc303539161"/>
      <w:bookmarkStart w:id="1070" w:name="_Toc300935004"/>
      <w:bookmarkStart w:id="1071" w:name="_Toc312678042"/>
      <w:bookmarkStart w:id="1072" w:name="_Toc297216213"/>
      <w:bookmarkStart w:id="1073" w:name="_Toc296503207"/>
      <w:bookmarkStart w:id="1074" w:name="_Toc296944546"/>
      <w:bookmarkStart w:id="1075" w:name="_Toc297048393"/>
      <w:bookmarkStart w:id="1076" w:name="_Toc296891035"/>
      <w:bookmarkStart w:id="1077" w:name="_Toc296347206"/>
      <w:bookmarkStart w:id="1078" w:name="_Toc296346708"/>
      <w:bookmarkStart w:id="1079" w:name="_Toc296891247"/>
      <w:bookmarkStart w:id="1080" w:name="_Toc292559412"/>
      <w:bookmarkStart w:id="1081" w:name="_Toc297120507"/>
      <w:bookmarkStart w:id="1082" w:name="_Toc292559917"/>
      <w:r>
        <w:rPr>
          <w:rFonts w:hint="eastAsia" w:ascii="宋体" w:hAnsi="宋体" w:eastAsia="宋体" w:cs="宋体"/>
          <w:color w:val="000000"/>
          <w:sz w:val="24"/>
          <w:szCs w:val="24"/>
        </w:rPr>
        <w:t>12.2 预付款</w:t>
      </w:r>
    </w:p>
    <w:bookmarkEnd w:id="1067"/>
    <w:bookmarkEnd w:id="1068"/>
    <w:bookmarkEnd w:id="1069"/>
    <w:bookmarkEnd w:id="1070"/>
    <w:bookmarkEnd w:id="1071"/>
    <w:bookmarkEnd w:id="1072"/>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73"/>
    <w:bookmarkEnd w:id="1074"/>
    <w:bookmarkEnd w:id="1075"/>
    <w:bookmarkEnd w:id="1076"/>
    <w:bookmarkEnd w:id="1077"/>
    <w:bookmarkEnd w:id="1078"/>
    <w:bookmarkEnd w:id="1079"/>
    <w:bookmarkEnd w:id="1080"/>
    <w:bookmarkEnd w:id="1081"/>
    <w:bookmarkEnd w:id="1082"/>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pPr>
        <w:spacing w:line="360" w:lineRule="auto"/>
        <w:ind w:firstLine="480" w:firstLineChars="200"/>
        <w:jc w:val="left"/>
        <w:rPr>
          <w:rFonts w:hint="eastAsia" w:ascii="宋体" w:hAnsi="宋体" w:eastAsia="宋体" w:cs="宋体"/>
          <w:color w:val="000000"/>
          <w:sz w:val="24"/>
          <w:szCs w:val="24"/>
        </w:rPr>
      </w:pPr>
      <w:bookmarkStart w:id="1083" w:name="_Toc296891251"/>
      <w:bookmarkStart w:id="1084" w:name="_Toc292559921"/>
      <w:bookmarkStart w:id="1085" w:name="_Toc303539163"/>
      <w:bookmarkStart w:id="1086" w:name="_Toc297120511"/>
      <w:bookmarkStart w:id="1087" w:name="_Toc296891039"/>
      <w:bookmarkStart w:id="1088" w:name="_Toc300935006"/>
      <w:bookmarkStart w:id="1089" w:name="_Toc297123556"/>
      <w:bookmarkStart w:id="1090" w:name="_Toc296503211"/>
      <w:bookmarkStart w:id="1091" w:name="_Toc292559416"/>
      <w:bookmarkStart w:id="1092" w:name="_Toc296346712"/>
      <w:bookmarkStart w:id="1093" w:name="_Toc296944550"/>
      <w:bookmarkStart w:id="1094" w:name="_Toc297216215"/>
      <w:bookmarkStart w:id="1095" w:name="_Toc296347210"/>
      <w:bookmarkStart w:id="1096" w:name="_Toc297048397"/>
      <w:r>
        <w:rPr>
          <w:rFonts w:hint="eastAsia" w:ascii="宋体" w:hAnsi="宋体" w:eastAsia="宋体" w:cs="宋体"/>
          <w:color w:val="000000"/>
          <w:sz w:val="24"/>
          <w:szCs w:val="24"/>
        </w:rPr>
        <w:t>12.4.1 付款周期</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Pr>
          <w:rFonts w:hint="eastAsia" w:ascii="宋体" w:hAnsi="宋体" w:eastAsia="宋体" w:cs="宋体"/>
          <w:color w:val="000000"/>
          <w:sz w:val="24"/>
          <w:szCs w:val="24"/>
        </w:rPr>
        <w:t>2.4.3 进度付款申请单的提交</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600" w:firstLineChars="25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w:t>
      </w:r>
    </w:p>
    <w:p>
      <w:pPr>
        <w:spacing w:line="360" w:lineRule="auto"/>
        <w:ind w:left="6000" w:hanging="4800" w:hangingChars="2000"/>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926"/>
    <w:p>
      <w:pPr>
        <w:pStyle w:val="6"/>
        <w:spacing w:before="120" w:after="120" w:line="360" w:lineRule="auto"/>
        <w:rPr>
          <w:rFonts w:hint="eastAsia" w:ascii="宋体" w:hAnsi="宋体" w:eastAsia="宋体" w:cs="宋体"/>
          <w:b w:val="0"/>
          <w:color w:val="000000"/>
          <w:sz w:val="24"/>
          <w:szCs w:val="24"/>
        </w:rPr>
      </w:pPr>
      <w:bookmarkStart w:id="1097" w:name="_Toc351203645"/>
      <w:bookmarkStart w:id="1098" w:name="_Toc304295593"/>
      <w:bookmarkStart w:id="1099" w:name="_Toc297216223"/>
      <w:bookmarkStart w:id="1100" w:name="_Toc292559929"/>
      <w:bookmarkStart w:id="1101" w:name="_Toc303539172"/>
      <w:bookmarkStart w:id="1102" w:name="_Toc297123564"/>
      <w:bookmarkStart w:id="1103" w:name="_Toc296944558"/>
      <w:bookmarkStart w:id="1104" w:name="_Toc297048405"/>
      <w:bookmarkStart w:id="1105" w:name="_Toc300935015"/>
      <w:bookmarkStart w:id="1106" w:name="_Toc296346720"/>
      <w:bookmarkStart w:id="1107" w:name="_Toc296891259"/>
      <w:bookmarkStart w:id="1108" w:name="_Toc312678053"/>
      <w:bookmarkStart w:id="1109" w:name="_Toc296347218"/>
      <w:bookmarkStart w:id="1110" w:name="_Toc297120519"/>
      <w:bookmarkStart w:id="1111" w:name="_Toc296503219"/>
      <w:bookmarkStart w:id="1112" w:name="_Toc292559424"/>
      <w:bookmarkStart w:id="1113" w:name="_Toc296891047"/>
      <w:r>
        <w:rPr>
          <w:rFonts w:hint="eastAsia" w:ascii="宋体" w:hAnsi="宋体" w:eastAsia="宋体" w:cs="宋体"/>
          <w:b w:val="0"/>
          <w:color w:val="000000"/>
          <w:sz w:val="24"/>
          <w:szCs w:val="24"/>
        </w:rPr>
        <w:t>13. 验收和工程试车</w:t>
      </w:r>
      <w:bookmarkEnd w:id="1097"/>
    </w:p>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spacing w:line="360" w:lineRule="auto"/>
        <w:ind w:firstLine="480" w:firstLineChars="200"/>
        <w:jc w:val="left"/>
        <w:rPr>
          <w:rFonts w:hint="eastAsia" w:ascii="宋体" w:hAnsi="宋体" w:eastAsia="宋体" w:cs="宋体"/>
          <w:b/>
          <w:color w:val="000000"/>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spacing w:after="120" w:line="360" w:lineRule="auto"/>
        <w:ind w:firstLine="480" w:firstLineChars="200"/>
        <w:rPr>
          <w:rFonts w:hint="eastAsia" w:ascii="宋体" w:hAnsi="宋体" w:eastAsia="宋体" w:cs="宋体"/>
          <w:color w:val="000000"/>
          <w:sz w:val="24"/>
          <w:szCs w:val="24"/>
        </w:rPr>
      </w:pPr>
      <w:bookmarkStart w:id="1114" w:name="_Toc303539173"/>
      <w:bookmarkStart w:id="1115" w:name="_Toc296891051"/>
      <w:bookmarkStart w:id="1116" w:name="_Toc297216224"/>
      <w:bookmarkStart w:id="1117" w:name="_Toc296346724"/>
      <w:bookmarkStart w:id="1118" w:name="_Toc296944562"/>
      <w:bookmarkStart w:id="1119" w:name="_Toc296503223"/>
      <w:bookmarkStart w:id="1120" w:name="_Toc296891263"/>
      <w:bookmarkStart w:id="1121" w:name="_Toc292559933"/>
      <w:bookmarkStart w:id="1122" w:name="_Toc296347222"/>
      <w:bookmarkStart w:id="1123" w:name="_Toc300935016"/>
      <w:bookmarkStart w:id="1124" w:name="_Toc297123565"/>
      <w:bookmarkStart w:id="1125" w:name="_Toc297048409"/>
      <w:bookmarkStart w:id="1126" w:name="_Toc292559428"/>
      <w:bookmarkStart w:id="1127" w:name="_Toc304295596"/>
      <w:bookmarkStart w:id="1128" w:name="_Toc297120523"/>
      <w:bookmarkStart w:id="1129" w:name="_Toc312678056"/>
      <w:bookmarkStart w:id="1130" w:name="_Toc267251475"/>
      <w:bookmarkStart w:id="1131" w:name="_Toc267251476"/>
      <w:bookmarkStart w:id="1132" w:name="_Toc267251474"/>
      <w:bookmarkStart w:id="1133" w:name="_Toc267251470"/>
      <w:bookmarkStart w:id="1134" w:name="_Toc267251472"/>
      <w:bookmarkStart w:id="1135" w:name="_Toc267251471"/>
      <w:bookmarkStart w:id="1136" w:name="_Toc267251473"/>
      <w:r>
        <w:rPr>
          <w:rFonts w:hint="eastAsia" w:ascii="宋体" w:hAnsi="宋体" w:eastAsia="宋体" w:cs="宋体"/>
          <w:color w:val="000000"/>
          <w:sz w:val="24"/>
          <w:szCs w:val="24"/>
        </w:rPr>
        <w:t>13.2 竣工验收</w:t>
      </w:r>
    </w:p>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Pr>
        <w:spacing w:line="360" w:lineRule="auto"/>
        <w:ind w:firstLine="480" w:firstLineChars="200"/>
        <w:jc w:val="left"/>
        <w:rPr>
          <w:rFonts w:hint="eastAsia" w:ascii="宋体" w:hAnsi="宋体" w:eastAsia="宋体" w:cs="宋体"/>
          <w:color w:val="000000"/>
          <w:sz w:val="24"/>
          <w:szCs w:val="24"/>
        </w:rPr>
      </w:pPr>
      <w:bookmarkStart w:id="1137" w:name="_Toc280868704"/>
      <w:bookmarkStart w:id="1138" w:name="_Toc280868705"/>
      <w:bookmarkStart w:id="1139" w:name="_Toc280868706"/>
      <w:bookmarkStart w:id="1140" w:name="_Toc280868707"/>
      <w:bookmarkStart w:id="1141" w:name="_Toc280868708"/>
      <w:bookmarkStart w:id="1142" w:name="_Toc280868709"/>
      <w:r>
        <w:rPr>
          <w:rFonts w:hint="eastAsia" w:ascii="宋体" w:hAnsi="宋体" w:eastAsia="宋体" w:cs="宋体"/>
          <w:color w:val="000000"/>
          <w:sz w:val="24"/>
          <w:szCs w:val="24"/>
        </w:rPr>
        <w:t>13.2.2竣工验收程序</w:t>
      </w:r>
    </w:p>
    <w:bookmarkEnd w:id="1137"/>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sz w:val="24"/>
          <w:szCs w:val="24"/>
          <w:u w:val="single"/>
        </w:rPr>
        <w:t xml:space="preserve">                              </w:t>
      </w:r>
    </w:p>
    <w:p>
      <w:pPr>
        <w:spacing w:line="360" w:lineRule="auto"/>
        <w:ind w:left="6000" w:hanging="4800" w:hangingChars="2000"/>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138"/>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1139"/>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140"/>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1141"/>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13.6 竣工退场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pStyle w:val="6"/>
        <w:spacing w:before="120" w:after="120" w:line="360" w:lineRule="auto"/>
        <w:rPr>
          <w:rFonts w:hint="eastAsia" w:ascii="宋体" w:hAnsi="宋体" w:eastAsia="宋体" w:cs="宋体"/>
          <w:b w:val="0"/>
          <w:color w:val="000000"/>
          <w:sz w:val="24"/>
          <w:szCs w:val="24"/>
        </w:rPr>
      </w:pPr>
      <w:bookmarkStart w:id="1143" w:name="_Toc351203646"/>
      <w:r>
        <w:rPr>
          <w:rFonts w:hint="eastAsia" w:ascii="宋体" w:hAnsi="宋体" w:eastAsia="宋体" w:cs="宋体"/>
          <w:b w:val="0"/>
          <w:color w:val="000000"/>
          <w:sz w:val="24"/>
          <w:szCs w:val="24"/>
        </w:rPr>
        <w:t>14. 竣工结算</w:t>
      </w:r>
      <w:bookmarkEnd w:id="1143"/>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承包人提交竣工结算申请单的期限：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发包人完成竣工付款的期限：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 xml:space="preserve">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14.4.2 最终结清证书和支付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130"/>
    <w:bookmarkEnd w:id="1131"/>
    <w:bookmarkEnd w:id="1132"/>
    <w:bookmarkEnd w:id="1133"/>
    <w:bookmarkEnd w:id="1134"/>
    <w:bookmarkEnd w:id="1135"/>
    <w:bookmarkEnd w:id="1136"/>
    <w:bookmarkEnd w:id="1142"/>
    <w:p>
      <w:pPr>
        <w:pStyle w:val="6"/>
        <w:spacing w:before="120" w:after="120" w:line="360" w:lineRule="auto"/>
        <w:rPr>
          <w:rFonts w:hint="eastAsia" w:ascii="宋体" w:hAnsi="宋体" w:eastAsia="宋体" w:cs="宋体"/>
          <w:b w:val="0"/>
          <w:color w:val="000000"/>
          <w:sz w:val="24"/>
          <w:szCs w:val="24"/>
        </w:rPr>
      </w:pPr>
      <w:bookmarkStart w:id="1144" w:name="_Toc351203647"/>
      <w:bookmarkStart w:id="1145" w:name="_Toc267251483"/>
      <w:bookmarkStart w:id="1146" w:name="_Toc267251484"/>
      <w:bookmarkStart w:id="1147" w:name="_Toc267251482"/>
      <w:bookmarkStart w:id="1148" w:name="_Toc267251485"/>
      <w:bookmarkStart w:id="1149" w:name="_Toc267251490"/>
      <w:bookmarkStart w:id="1150" w:name="_Toc267251486"/>
      <w:bookmarkStart w:id="1151" w:name="_Toc267251489"/>
      <w:bookmarkStart w:id="1152" w:name="_Toc267251488"/>
      <w:bookmarkStart w:id="1153" w:name="_Toc267251495"/>
      <w:bookmarkStart w:id="1154" w:name="_Toc267251499"/>
      <w:bookmarkStart w:id="1155" w:name="_Toc267251496"/>
      <w:bookmarkStart w:id="1156" w:name="_Toc267251502"/>
      <w:bookmarkStart w:id="1157" w:name="_Toc267251491"/>
      <w:bookmarkStart w:id="1158" w:name="_Toc267251498"/>
      <w:bookmarkStart w:id="1159" w:name="_Toc267251503"/>
      <w:bookmarkStart w:id="1160" w:name="_Toc267251492"/>
      <w:bookmarkStart w:id="1161" w:name="_Toc267251501"/>
      <w:bookmarkStart w:id="1162" w:name="_Toc267251493"/>
      <w:bookmarkStart w:id="1163" w:name="_Toc267251494"/>
      <w:bookmarkStart w:id="1164" w:name="_Toc267251497"/>
      <w:bookmarkStart w:id="1165" w:name="_Toc267251506"/>
      <w:bookmarkStart w:id="1166" w:name="_Toc267251504"/>
      <w:bookmarkStart w:id="1167" w:name="_Toc267251507"/>
      <w:bookmarkStart w:id="1168" w:name="_Toc267251508"/>
      <w:bookmarkStart w:id="1169" w:name="_Toc267251511"/>
      <w:bookmarkStart w:id="1170" w:name="_Toc267251510"/>
      <w:bookmarkStart w:id="1171" w:name="_Toc267251513"/>
      <w:bookmarkStart w:id="1172" w:name="_Toc267251509"/>
      <w:bookmarkStart w:id="1173" w:name="_Toc267251515"/>
      <w:bookmarkStart w:id="1174" w:name="_Toc267251514"/>
      <w:r>
        <w:rPr>
          <w:rFonts w:hint="eastAsia" w:ascii="宋体" w:hAnsi="宋体" w:eastAsia="宋体" w:cs="宋体"/>
          <w:b w:val="0"/>
          <w:color w:val="000000"/>
          <w:sz w:val="24"/>
          <w:szCs w:val="24"/>
        </w:rPr>
        <w:t>15. 缺陷责任期与保修</w:t>
      </w:r>
      <w:bookmarkEnd w:id="1144"/>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1145"/>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spacing w:line="360" w:lineRule="auto"/>
        <w:ind w:firstLine="480" w:firstLineChars="200"/>
        <w:jc w:val="left"/>
        <w:rPr>
          <w:rFonts w:hint="eastAsia" w:ascii="宋体" w:hAnsi="宋体" w:eastAsia="宋体" w:cs="宋体"/>
          <w:color w:val="000000"/>
          <w:sz w:val="24"/>
          <w:szCs w:val="24"/>
        </w:rPr>
      </w:pP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%的工程款；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146"/>
    <w:bookmarkEnd w:id="1147"/>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1148"/>
    <w:p>
      <w:pPr>
        <w:spacing w:line="360" w:lineRule="auto"/>
        <w:ind w:firstLine="468" w:firstLineChars="195"/>
        <w:jc w:val="left"/>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pPr>
        <w:spacing w:line="360" w:lineRule="auto"/>
        <w:ind w:firstLine="468" w:firstLineChars="195"/>
        <w:jc w:val="left"/>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工程保修期为：</w:t>
      </w:r>
      <w:r>
        <w:rPr>
          <w:rFonts w:hint="eastAsia" w:ascii="宋体" w:hAnsi="宋体" w:eastAsia="宋体" w:cs="宋体"/>
          <w:color w:val="000000"/>
          <w:kern w:val="0"/>
          <w:sz w:val="24"/>
          <w:szCs w:val="24"/>
          <w:u w:val="single"/>
        </w:rPr>
        <w:t xml:space="preserve">                                        </w:t>
      </w:r>
    </w:p>
    <w:p>
      <w:p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68" w:firstLineChars="195"/>
        <w:jc w:val="left"/>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pPr>
        <w:spacing w:line="360" w:lineRule="auto"/>
        <w:ind w:firstLine="468" w:firstLineChars="195"/>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color w:val="000000"/>
          <w:kern w:val="0"/>
          <w:sz w:val="24"/>
          <w:szCs w:val="24"/>
          <w:u w:val="single"/>
        </w:rPr>
        <w:t xml:space="preserve">          </w:t>
      </w:r>
    </w:p>
    <w:p>
      <w:p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149"/>
    <w:bookmarkEnd w:id="1150"/>
    <w:bookmarkEnd w:id="1151"/>
    <w:bookmarkEnd w:id="1152"/>
    <w:p>
      <w:pPr>
        <w:pStyle w:val="6"/>
        <w:spacing w:before="120" w:after="120" w:line="360" w:lineRule="auto"/>
        <w:rPr>
          <w:rFonts w:hint="eastAsia" w:ascii="宋体" w:hAnsi="宋体" w:eastAsia="宋体" w:cs="宋体"/>
          <w:b w:val="0"/>
          <w:color w:val="000000"/>
          <w:sz w:val="24"/>
          <w:szCs w:val="24"/>
        </w:rPr>
      </w:pPr>
      <w:bookmarkStart w:id="1175" w:name="_Toc351203648"/>
      <w:bookmarkStart w:id="1176" w:name="_Toc280868717"/>
      <w:bookmarkStart w:id="1177" w:name="_Toc280868718"/>
      <w:r>
        <w:rPr>
          <w:rFonts w:hint="eastAsia" w:ascii="宋体" w:hAnsi="宋体" w:eastAsia="宋体" w:cs="宋体"/>
          <w:b w:val="0"/>
          <w:color w:val="000000"/>
          <w:sz w:val="24"/>
          <w:szCs w:val="24"/>
        </w:rPr>
        <w:t>16. 违约</w:t>
      </w:r>
      <w:bookmarkEnd w:id="1175"/>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spacing w:line="360" w:lineRule="auto"/>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w:t>
      </w:r>
    </w:p>
    <w:p>
      <w:pPr>
        <w:spacing w:line="360" w:lineRule="auto"/>
        <w:ind w:left="1500" w:hanging="1200" w:hanging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left="1500" w:hanging="1200" w:hanging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16.1.2 发包人违约的责任</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pPr>
        <w:spacing w:line="360" w:lineRule="auto"/>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（1）因发包人原因未能在计划开工日期前7天内下达开工通知的违约责任：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color w:val="000000"/>
          <w:kern w:val="0"/>
          <w:sz w:val="24"/>
          <w:szCs w:val="24"/>
          <w:u w:val="single"/>
        </w:rPr>
        <w:t xml:space="preserve">              </w:t>
      </w:r>
    </w:p>
    <w:p>
      <w:p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color w:val="000000"/>
          <w:kern w:val="0"/>
          <w:sz w:val="24"/>
          <w:szCs w:val="24"/>
          <w:u w:val="single"/>
        </w:rPr>
        <w:t xml:space="preserve">     </w:t>
      </w:r>
    </w:p>
    <w:p>
      <w:p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（7）其他：</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承包人按16.1.1项〔发包人违约的情形〕约定暂停施工满</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天后发包人仍不纠正其违约行为并致使合同目的不能实现的，承包人有权解除合同。</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pPr>
        <w:spacing w:line="360" w:lineRule="auto"/>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承包人违约的其他情形：</w:t>
      </w:r>
      <w:r>
        <w:rPr>
          <w:rFonts w:hint="eastAsia" w:ascii="宋体" w:hAnsi="宋体" w:eastAsia="宋体" w:cs="宋体"/>
          <w:color w:val="000000"/>
          <w:kern w:val="0"/>
          <w:sz w:val="24"/>
          <w:szCs w:val="24"/>
          <w:u w:val="single"/>
        </w:rPr>
        <w:t xml:space="preserve">                                </w:t>
      </w:r>
    </w:p>
    <w:p>
      <w:p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16.2.2承包人违约的责任</w:t>
      </w:r>
    </w:p>
    <w:p>
      <w:pPr>
        <w:spacing w:line="360" w:lineRule="auto"/>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承包人违约责任的承担方式和计算方法：</w:t>
      </w:r>
      <w:r>
        <w:rPr>
          <w:rFonts w:hint="eastAsia" w:ascii="宋体" w:hAnsi="宋体" w:eastAsia="宋体" w:cs="宋体"/>
          <w:color w:val="000000"/>
          <w:kern w:val="0"/>
          <w:sz w:val="24"/>
          <w:szCs w:val="24"/>
          <w:u w:val="single"/>
        </w:rPr>
        <w:t xml:space="preserve">                  </w:t>
      </w:r>
    </w:p>
    <w:p>
      <w:pPr>
        <w:spacing w:line="360" w:lineRule="auto"/>
        <w:ind w:left="1500" w:hanging="1200" w:hangingChars="5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 xml:space="preserve">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spacing w:before="120" w:after="120"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关于承包人违约解除合同的特别约定：</w:t>
      </w:r>
      <w:r>
        <w:rPr>
          <w:rFonts w:hint="eastAsia" w:ascii="宋体" w:hAnsi="宋体" w:eastAsia="宋体" w:cs="宋体"/>
          <w:color w:val="000000"/>
          <w:kern w:val="0"/>
          <w:sz w:val="24"/>
          <w:szCs w:val="24"/>
          <w:u w:val="single"/>
        </w:rPr>
        <w:t xml:space="preserve">                    </w:t>
      </w:r>
    </w:p>
    <w:p>
      <w:pPr>
        <w:spacing w:before="120" w:after="12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before="120" w:after="12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Style w:val="6"/>
        <w:spacing w:before="120" w:after="120" w:line="360" w:lineRule="auto"/>
        <w:rPr>
          <w:rFonts w:hint="eastAsia" w:ascii="宋体" w:hAnsi="宋体" w:eastAsia="宋体" w:cs="宋体"/>
          <w:b w:val="0"/>
          <w:color w:val="000000"/>
          <w:sz w:val="24"/>
          <w:szCs w:val="24"/>
        </w:rPr>
      </w:pPr>
      <w:bookmarkStart w:id="1178" w:name="_Toc351203649"/>
      <w:r>
        <w:rPr>
          <w:rFonts w:hint="eastAsia" w:ascii="宋体" w:hAnsi="宋体" w:eastAsia="宋体" w:cs="宋体"/>
          <w:b w:val="0"/>
          <w:color w:val="000000"/>
          <w:sz w:val="24"/>
          <w:szCs w:val="24"/>
        </w:rPr>
        <w:t>17. 不可抗力</w:t>
      </w:r>
      <w:bookmarkEnd w:id="1178"/>
      <w:r>
        <w:rPr>
          <w:rFonts w:hint="eastAsia" w:ascii="宋体" w:hAnsi="宋体" w:eastAsia="宋体" w:cs="宋体"/>
          <w:b w:val="0"/>
          <w:color w:val="000000"/>
          <w:sz w:val="24"/>
          <w:szCs w:val="24"/>
        </w:rPr>
        <w:t xml:space="preserve"> </w:t>
      </w:r>
      <w:bookmarkEnd w:id="1176"/>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pPr>
        <w:spacing w:line="360" w:lineRule="auto"/>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 xml:space="preserve">除通用合同条款约定的不可抗力事件之外，视为不可抗力的其他情形：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天内完成款项的支付。</w:t>
      </w:r>
    </w:p>
    <w:p>
      <w:pPr>
        <w:pStyle w:val="6"/>
        <w:spacing w:before="120" w:after="120" w:line="360" w:lineRule="auto"/>
        <w:rPr>
          <w:rFonts w:hint="eastAsia" w:ascii="宋体" w:hAnsi="宋体" w:eastAsia="宋体" w:cs="宋体"/>
          <w:b w:val="0"/>
          <w:color w:val="000000"/>
          <w:sz w:val="24"/>
          <w:szCs w:val="24"/>
        </w:rPr>
      </w:pPr>
      <w:bookmarkStart w:id="1179" w:name="_Toc351203650"/>
      <w:r>
        <w:rPr>
          <w:rFonts w:hint="eastAsia" w:ascii="宋体" w:hAnsi="宋体" w:eastAsia="宋体" w:cs="宋体"/>
          <w:b w:val="0"/>
          <w:color w:val="000000"/>
          <w:sz w:val="24"/>
          <w:szCs w:val="24"/>
        </w:rPr>
        <w:t>18. 保险</w:t>
      </w:r>
      <w:bookmarkEnd w:id="1179"/>
    </w:p>
    <w:bookmarkEnd w:id="1177"/>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18.3 其他保险</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153"/>
    <w:bookmarkEnd w:id="1154"/>
    <w:bookmarkEnd w:id="1155"/>
    <w:bookmarkEnd w:id="1156"/>
    <w:bookmarkEnd w:id="1157"/>
    <w:bookmarkEnd w:id="1158"/>
    <w:bookmarkEnd w:id="1159"/>
    <w:bookmarkEnd w:id="1160"/>
    <w:bookmarkEnd w:id="1161"/>
    <w:bookmarkEnd w:id="1162"/>
    <w:bookmarkEnd w:id="1163"/>
    <w:bookmarkEnd w:id="1164"/>
    <w:p>
      <w:pPr>
        <w:pStyle w:val="6"/>
        <w:spacing w:before="120" w:after="120" w:line="360" w:lineRule="auto"/>
        <w:rPr>
          <w:rFonts w:hint="eastAsia" w:ascii="宋体" w:hAnsi="宋体" w:eastAsia="宋体" w:cs="宋体"/>
          <w:b w:val="0"/>
          <w:color w:val="000000"/>
          <w:sz w:val="24"/>
          <w:szCs w:val="24"/>
        </w:rPr>
      </w:pPr>
      <w:bookmarkStart w:id="1180" w:name="_Toc351203651"/>
      <w:r>
        <w:rPr>
          <w:rFonts w:hint="eastAsia" w:ascii="宋体" w:hAnsi="宋体" w:eastAsia="宋体" w:cs="宋体"/>
          <w:b w:val="0"/>
          <w:color w:val="000000"/>
          <w:sz w:val="24"/>
          <w:szCs w:val="24"/>
        </w:rPr>
        <w:t>20. 争议解决</w:t>
      </w:r>
      <w:bookmarkEnd w:id="1180"/>
    </w:p>
    <w:bookmarkEnd w:id="1165"/>
    <w:bookmarkEnd w:id="1166"/>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20.3 争</w:t>
      </w:r>
      <w:bookmarkEnd w:id="1167"/>
      <w:r>
        <w:rPr>
          <w:rFonts w:hint="eastAsia" w:ascii="宋体" w:hAnsi="宋体" w:eastAsia="宋体" w:cs="宋体"/>
          <w:color w:val="000000"/>
          <w:sz w:val="24"/>
          <w:szCs w:val="24"/>
        </w:rPr>
        <w:t>议评审</w:t>
      </w:r>
    </w:p>
    <w:p>
      <w:pPr>
        <w:spacing w:line="360" w:lineRule="auto"/>
        <w:ind w:left="149" w:leftChars="71" w:firstLine="360" w:firstLineChars="15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autoSpaceDE w:val="0"/>
        <w:autoSpaceDN w:val="0"/>
        <w:adjustRightInd w:val="0"/>
        <w:spacing w:line="360" w:lineRule="auto"/>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20.4仲裁或诉讼</w:t>
      </w:r>
      <w:bookmarkEnd w:id="1168"/>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bookmarkEnd w:id="1169"/>
      <w:bookmarkEnd w:id="1170"/>
      <w:bookmarkEnd w:id="1171"/>
      <w:bookmarkEnd w:id="1172"/>
      <w:bookmarkEnd w:id="1173"/>
      <w:bookmarkEnd w:id="1174"/>
    </w:p>
    <w:p>
      <w:pPr>
        <w:spacing w:line="360" w:lineRule="auto"/>
        <w:jc w:val="left"/>
        <w:rPr>
          <w:rFonts w:hint="eastAsia" w:ascii="宋体" w:hAnsi="宋体" w:eastAsia="宋体" w:cs="宋体"/>
          <w:b/>
          <w:color w:val="000000"/>
          <w:sz w:val="24"/>
          <w:szCs w:val="24"/>
        </w:rPr>
      </w:pPr>
      <w:r>
        <w:rPr>
          <w:rFonts w:hint="eastAsia" w:ascii="宋体" w:hAnsi="宋体" w:eastAsia="宋体" w:cs="宋体"/>
          <w:color w:val="000000"/>
          <w:sz w:val="24"/>
          <w:szCs w:val="24"/>
        </w:rPr>
        <w:br w:type="page"/>
      </w:r>
      <w:bookmarkStart w:id="1181" w:name="_Toc351203652"/>
      <w:r>
        <w:rPr>
          <w:rFonts w:hint="eastAsia" w:ascii="宋体" w:hAnsi="宋体" w:eastAsia="宋体" w:cs="宋体"/>
          <w:b/>
          <w:color w:val="000000"/>
          <w:sz w:val="24"/>
          <w:szCs w:val="24"/>
        </w:rPr>
        <w:t>附件</w:t>
      </w:r>
      <w:bookmarkEnd w:id="1181"/>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协议书附件：</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专用合同条款附件：</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附件8：履约担保格式</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附件9：预付款担保格式</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附件10：支付担保格式</w:t>
      </w:r>
    </w:p>
    <w:p>
      <w:pPr>
        <w:spacing w:line="360" w:lineRule="auto"/>
        <w:jc w:val="left"/>
        <w:rPr>
          <w:rFonts w:hint="eastAsia" w:ascii="宋体" w:hAnsi="宋体" w:eastAsia="宋体" w:cs="宋体"/>
          <w:color w:val="000000"/>
          <w:sz w:val="24"/>
          <w:szCs w:val="24"/>
        </w:rPr>
        <w:sectPr>
          <w:pgSz w:w="11906" w:h="16838"/>
          <w:pgMar w:top="1418" w:right="1555" w:bottom="1418" w:left="1531" w:header="851" w:footer="992" w:gutter="0"/>
          <w:cols w:space="720" w:num="1"/>
          <w:titlePg/>
          <w:docGrid w:type="lines" w:linePitch="312" w:charSpace="0"/>
        </w:sectPr>
      </w:pPr>
      <w:r>
        <w:rPr>
          <w:rFonts w:hint="eastAsia" w:ascii="宋体" w:hAnsi="宋体" w:eastAsia="宋体" w:cs="宋体"/>
          <w:color w:val="000000"/>
          <w:sz w:val="24"/>
          <w:szCs w:val="24"/>
        </w:rPr>
        <w:t>附件11：暂估价一览表</w:t>
      </w:r>
    </w:p>
    <w:p>
      <w:pPr>
        <w:spacing w:before="156" w:beforeLines="50" w:after="156" w:afterLines="50"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w:t>
      </w:r>
    </w:p>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承包人承揽工程项目一览表</w:t>
      </w:r>
    </w:p>
    <w:tbl>
      <w:tblPr>
        <w:tblStyle w:val="2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单位工程名称</w:t>
            </w:r>
          </w:p>
        </w:tc>
        <w:tc>
          <w:tcPr>
            <w:tcW w:w="1843"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建设规模</w:t>
            </w:r>
          </w:p>
        </w:tc>
        <w:tc>
          <w:tcPr>
            <w:tcW w:w="1417"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建筑面积(平方米)</w:t>
            </w:r>
          </w:p>
        </w:tc>
        <w:tc>
          <w:tcPr>
            <w:tcW w:w="241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结构形式</w:t>
            </w:r>
          </w:p>
        </w:tc>
        <w:tc>
          <w:tcPr>
            <w:tcW w:w="85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层数</w:t>
            </w:r>
          </w:p>
        </w:tc>
        <w:tc>
          <w:tcPr>
            <w:tcW w:w="156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生产能力</w:t>
            </w:r>
          </w:p>
        </w:tc>
        <w:tc>
          <w:tcPr>
            <w:tcW w:w="2126"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设备安装内容</w:t>
            </w:r>
          </w:p>
        </w:tc>
        <w:tc>
          <w:tcPr>
            <w:tcW w:w="1417"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合同价格（元）</w:t>
            </w:r>
          </w:p>
        </w:tc>
        <w:tc>
          <w:tcPr>
            <w:tcW w:w="851"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开工日期</w:t>
            </w:r>
          </w:p>
        </w:tc>
        <w:tc>
          <w:tcPr>
            <w:tcW w:w="85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8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41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56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212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bl>
    <w:p>
      <w:pPr>
        <w:spacing w:line="440" w:lineRule="exact"/>
        <w:rPr>
          <w:rFonts w:hint="eastAsia" w:ascii="宋体" w:hAnsi="宋体" w:eastAsia="宋体" w:cs="宋体"/>
          <w:b/>
          <w:color w:val="000000"/>
          <w:sz w:val="24"/>
          <w:szCs w:val="24"/>
        </w:rPr>
        <w:sectPr>
          <w:pgSz w:w="16838" w:h="11906" w:orient="landscape"/>
          <w:pgMar w:top="1554" w:right="1418" w:bottom="1531" w:left="1418" w:header="851" w:footer="992" w:gutter="0"/>
          <w:cols w:space="720" w:num="1"/>
          <w:titlePg/>
          <w:docGrid w:type="linesAndChars" w:linePitch="312" w:charSpace="0"/>
        </w:sect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182" w:name="_Toc296347224"/>
      <w:bookmarkStart w:id="1183" w:name="_Toc296346726"/>
      <w:bookmarkStart w:id="1184" w:name="_Toc267261692"/>
      <w:bookmarkStart w:id="1185" w:name="_Toc296891053"/>
      <w:bookmarkStart w:id="1186" w:name="_Toc296503225"/>
      <w:bookmarkStart w:id="1187" w:name="_Toc296891265"/>
      <w:bookmarkStart w:id="1188" w:name="_Toc296944564"/>
      <w:r>
        <w:rPr>
          <w:rFonts w:hint="eastAsia" w:ascii="宋体" w:hAnsi="宋体" w:eastAsia="宋体" w:cs="宋体"/>
          <w:color w:val="000000"/>
          <w:sz w:val="24"/>
          <w:szCs w:val="24"/>
        </w:rPr>
        <w:t>件2：</w:t>
      </w:r>
    </w:p>
    <w:bookmarkEnd w:id="1182"/>
    <w:bookmarkEnd w:id="1183"/>
    <w:bookmarkEnd w:id="1184"/>
    <w:bookmarkEnd w:id="1185"/>
    <w:bookmarkEnd w:id="1186"/>
    <w:bookmarkEnd w:id="1187"/>
    <w:bookmarkEnd w:id="1188"/>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发包人供应材料设备一览表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276"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材料、</w:t>
            </w:r>
          </w:p>
          <w:p>
            <w:pPr>
              <w:pStyle w:val="10"/>
              <w:keepNext/>
              <w:spacing w:line="440" w:lineRule="exact"/>
              <w:ind w:right="63"/>
              <w:rPr>
                <w:rFonts w:hint="eastAsia" w:ascii="宋体" w:hAnsi="宋体" w:eastAsia="宋体" w:cs="宋体"/>
                <w:color w:val="000000"/>
                <w:sz w:val="24"/>
                <w:szCs w:val="24"/>
              </w:rPr>
            </w:pPr>
            <w:r>
              <w:rPr>
                <w:rFonts w:hint="eastAsia" w:ascii="宋体" w:hAnsi="宋体" w:eastAsia="宋体" w:cs="宋体"/>
                <w:color w:val="000000"/>
                <w:sz w:val="24"/>
                <w:szCs w:val="24"/>
              </w:rPr>
              <w:t>设备品种</w:t>
            </w:r>
          </w:p>
        </w:tc>
        <w:tc>
          <w:tcPr>
            <w:tcW w:w="1418"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94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851"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044"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992"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质量等级</w:t>
            </w:r>
          </w:p>
        </w:tc>
        <w:tc>
          <w:tcPr>
            <w:tcW w:w="851"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供应时间</w:t>
            </w:r>
          </w:p>
        </w:tc>
        <w:tc>
          <w:tcPr>
            <w:tcW w:w="1487"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送达地点</w:t>
            </w:r>
          </w:p>
        </w:tc>
        <w:tc>
          <w:tcPr>
            <w:tcW w:w="992"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4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44"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7"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4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44"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4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4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4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4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4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4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4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4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4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4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4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4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4"/>
                <w:szCs w:val="24"/>
              </w:rPr>
            </w:pPr>
          </w:p>
        </w:tc>
        <w:tc>
          <w:tcPr>
            <w:tcW w:w="1276" w:type="dxa"/>
            <w:noWrap w:val="0"/>
            <w:vAlign w:val="center"/>
          </w:tcPr>
          <w:p>
            <w:pPr>
              <w:jc w:val="center"/>
              <w:rPr>
                <w:rFonts w:hint="eastAsia" w:ascii="宋体" w:hAnsi="宋体" w:eastAsia="宋体" w:cs="宋体"/>
                <w:color w:val="000000"/>
                <w:sz w:val="24"/>
                <w:szCs w:val="24"/>
              </w:rPr>
            </w:pPr>
          </w:p>
        </w:tc>
        <w:tc>
          <w:tcPr>
            <w:tcW w:w="1418" w:type="dxa"/>
            <w:noWrap w:val="0"/>
            <w:vAlign w:val="center"/>
          </w:tcPr>
          <w:p>
            <w:pPr>
              <w:jc w:val="center"/>
              <w:rPr>
                <w:rFonts w:hint="eastAsia" w:ascii="宋体" w:hAnsi="宋体" w:eastAsia="宋体" w:cs="宋体"/>
                <w:color w:val="000000"/>
                <w:sz w:val="24"/>
                <w:szCs w:val="24"/>
              </w:rPr>
            </w:pPr>
          </w:p>
        </w:tc>
        <w:tc>
          <w:tcPr>
            <w:tcW w:w="940"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044"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487"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4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4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7"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9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4"/>
                <w:szCs w:val="24"/>
              </w:rPr>
            </w:pPr>
          </w:p>
        </w:tc>
        <w:tc>
          <w:tcPr>
            <w:tcW w:w="1276" w:type="dxa"/>
            <w:noWrap w:val="0"/>
            <w:vAlign w:val="center"/>
          </w:tcPr>
          <w:p>
            <w:pPr>
              <w:jc w:val="center"/>
              <w:rPr>
                <w:rFonts w:hint="eastAsia" w:ascii="宋体" w:hAnsi="宋体" w:eastAsia="宋体" w:cs="宋体"/>
                <w:color w:val="000000"/>
                <w:sz w:val="24"/>
                <w:szCs w:val="24"/>
              </w:rPr>
            </w:pPr>
          </w:p>
        </w:tc>
        <w:tc>
          <w:tcPr>
            <w:tcW w:w="1418" w:type="dxa"/>
            <w:noWrap w:val="0"/>
            <w:vAlign w:val="center"/>
          </w:tcPr>
          <w:p>
            <w:pPr>
              <w:jc w:val="center"/>
              <w:rPr>
                <w:rFonts w:hint="eastAsia" w:ascii="宋体" w:hAnsi="宋体" w:eastAsia="宋体" w:cs="宋体"/>
                <w:color w:val="000000"/>
                <w:sz w:val="24"/>
                <w:szCs w:val="24"/>
              </w:rPr>
            </w:pPr>
          </w:p>
        </w:tc>
        <w:tc>
          <w:tcPr>
            <w:tcW w:w="940"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044"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487"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4"/>
                <w:szCs w:val="24"/>
              </w:rPr>
            </w:pPr>
          </w:p>
        </w:tc>
        <w:tc>
          <w:tcPr>
            <w:tcW w:w="1276" w:type="dxa"/>
            <w:noWrap w:val="0"/>
            <w:vAlign w:val="center"/>
          </w:tcPr>
          <w:p>
            <w:pPr>
              <w:jc w:val="center"/>
              <w:rPr>
                <w:rFonts w:hint="eastAsia" w:ascii="宋体" w:hAnsi="宋体" w:eastAsia="宋体" w:cs="宋体"/>
                <w:color w:val="000000"/>
                <w:sz w:val="24"/>
                <w:szCs w:val="24"/>
              </w:rPr>
            </w:pPr>
          </w:p>
        </w:tc>
        <w:tc>
          <w:tcPr>
            <w:tcW w:w="1418" w:type="dxa"/>
            <w:noWrap w:val="0"/>
            <w:vAlign w:val="center"/>
          </w:tcPr>
          <w:p>
            <w:pPr>
              <w:jc w:val="center"/>
              <w:rPr>
                <w:rFonts w:hint="eastAsia" w:ascii="宋体" w:hAnsi="宋体" w:eastAsia="宋体" w:cs="宋体"/>
                <w:color w:val="000000"/>
                <w:sz w:val="24"/>
                <w:szCs w:val="24"/>
              </w:rPr>
            </w:pPr>
          </w:p>
        </w:tc>
        <w:tc>
          <w:tcPr>
            <w:tcW w:w="940"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044"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487"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4"/>
                <w:szCs w:val="24"/>
              </w:rPr>
            </w:pPr>
          </w:p>
        </w:tc>
        <w:tc>
          <w:tcPr>
            <w:tcW w:w="1276" w:type="dxa"/>
            <w:noWrap w:val="0"/>
            <w:vAlign w:val="center"/>
          </w:tcPr>
          <w:p>
            <w:pPr>
              <w:jc w:val="center"/>
              <w:rPr>
                <w:rFonts w:hint="eastAsia" w:ascii="宋体" w:hAnsi="宋体" w:eastAsia="宋体" w:cs="宋体"/>
                <w:color w:val="000000"/>
                <w:sz w:val="24"/>
                <w:szCs w:val="24"/>
              </w:rPr>
            </w:pPr>
          </w:p>
        </w:tc>
        <w:tc>
          <w:tcPr>
            <w:tcW w:w="1418" w:type="dxa"/>
            <w:noWrap w:val="0"/>
            <w:vAlign w:val="center"/>
          </w:tcPr>
          <w:p>
            <w:pPr>
              <w:jc w:val="center"/>
              <w:rPr>
                <w:rFonts w:hint="eastAsia" w:ascii="宋体" w:hAnsi="宋体" w:eastAsia="宋体" w:cs="宋体"/>
                <w:color w:val="000000"/>
                <w:sz w:val="24"/>
                <w:szCs w:val="24"/>
              </w:rPr>
            </w:pPr>
          </w:p>
        </w:tc>
        <w:tc>
          <w:tcPr>
            <w:tcW w:w="940"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044"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487"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4"/>
                <w:szCs w:val="24"/>
              </w:rPr>
            </w:pPr>
          </w:p>
        </w:tc>
        <w:tc>
          <w:tcPr>
            <w:tcW w:w="1276" w:type="dxa"/>
            <w:noWrap w:val="0"/>
            <w:vAlign w:val="center"/>
          </w:tcPr>
          <w:p>
            <w:pPr>
              <w:jc w:val="center"/>
              <w:rPr>
                <w:rFonts w:hint="eastAsia" w:ascii="宋体" w:hAnsi="宋体" w:eastAsia="宋体" w:cs="宋体"/>
                <w:color w:val="000000"/>
                <w:sz w:val="24"/>
                <w:szCs w:val="24"/>
              </w:rPr>
            </w:pPr>
          </w:p>
        </w:tc>
        <w:tc>
          <w:tcPr>
            <w:tcW w:w="1418" w:type="dxa"/>
            <w:noWrap w:val="0"/>
            <w:vAlign w:val="center"/>
          </w:tcPr>
          <w:p>
            <w:pPr>
              <w:jc w:val="center"/>
              <w:rPr>
                <w:rFonts w:hint="eastAsia" w:ascii="宋体" w:hAnsi="宋体" w:eastAsia="宋体" w:cs="宋体"/>
                <w:color w:val="000000"/>
                <w:sz w:val="24"/>
                <w:szCs w:val="24"/>
              </w:rPr>
            </w:pPr>
          </w:p>
        </w:tc>
        <w:tc>
          <w:tcPr>
            <w:tcW w:w="940"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044"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487"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4"/>
                <w:szCs w:val="24"/>
              </w:rPr>
            </w:pPr>
          </w:p>
        </w:tc>
        <w:tc>
          <w:tcPr>
            <w:tcW w:w="1276" w:type="dxa"/>
            <w:noWrap w:val="0"/>
            <w:vAlign w:val="center"/>
          </w:tcPr>
          <w:p>
            <w:pPr>
              <w:jc w:val="center"/>
              <w:rPr>
                <w:rFonts w:hint="eastAsia" w:ascii="宋体" w:hAnsi="宋体" w:eastAsia="宋体" w:cs="宋体"/>
                <w:color w:val="000000"/>
                <w:sz w:val="24"/>
                <w:szCs w:val="24"/>
              </w:rPr>
            </w:pPr>
          </w:p>
        </w:tc>
        <w:tc>
          <w:tcPr>
            <w:tcW w:w="1418" w:type="dxa"/>
            <w:noWrap w:val="0"/>
            <w:vAlign w:val="center"/>
          </w:tcPr>
          <w:p>
            <w:pPr>
              <w:jc w:val="center"/>
              <w:rPr>
                <w:rFonts w:hint="eastAsia" w:ascii="宋体" w:hAnsi="宋体" w:eastAsia="宋体" w:cs="宋体"/>
                <w:color w:val="000000"/>
                <w:sz w:val="24"/>
                <w:szCs w:val="24"/>
              </w:rPr>
            </w:pPr>
          </w:p>
        </w:tc>
        <w:tc>
          <w:tcPr>
            <w:tcW w:w="940"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044"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487"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4"/>
                <w:szCs w:val="24"/>
              </w:rPr>
            </w:pPr>
          </w:p>
        </w:tc>
        <w:tc>
          <w:tcPr>
            <w:tcW w:w="1276" w:type="dxa"/>
            <w:noWrap w:val="0"/>
            <w:vAlign w:val="center"/>
          </w:tcPr>
          <w:p>
            <w:pPr>
              <w:jc w:val="center"/>
              <w:rPr>
                <w:rFonts w:hint="eastAsia" w:ascii="宋体" w:hAnsi="宋体" w:eastAsia="宋体" w:cs="宋体"/>
                <w:color w:val="000000"/>
                <w:sz w:val="24"/>
                <w:szCs w:val="24"/>
              </w:rPr>
            </w:pPr>
          </w:p>
        </w:tc>
        <w:tc>
          <w:tcPr>
            <w:tcW w:w="1418" w:type="dxa"/>
            <w:noWrap w:val="0"/>
            <w:vAlign w:val="center"/>
          </w:tcPr>
          <w:p>
            <w:pPr>
              <w:jc w:val="center"/>
              <w:rPr>
                <w:rFonts w:hint="eastAsia" w:ascii="宋体" w:hAnsi="宋体" w:eastAsia="宋体" w:cs="宋体"/>
                <w:color w:val="000000"/>
                <w:sz w:val="24"/>
                <w:szCs w:val="24"/>
              </w:rPr>
            </w:pPr>
          </w:p>
        </w:tc>
        <w:tc>
          <w:tcPr>
            <w:tcW w:w="940"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044"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487"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4"/>
                <w:szCs w:val="24"/>
              </w:rPr>
            </w:pPr>
          </w:p>
        </w:tc>
        <w:tc>
          <w:tcPr>
            <w:tcW w:w="1276" w:type="dxa"/>
            <w:noWrap w:val="0"/>
            <w:vAlign w:val="center"/>
          </w:tcPr>
          <w:p>
            <w:pPr>
              <w:jc w:val="center"/>
              <w:rPr>
                <w:rFonts w:hint="eastAsia" w:ascii="宋体" w:hAnsi="宋体" w:eastAsia="宋体" w:cs="宋体"/>
                <w:color w:val="000000"/>
                <w:sz w:val="24"/>
                <w:szCs w:val="24"/>
              </w:rPr>
            </w:pPr>
          </w:p>
        </w:tc>
        <w:tc>
          <w:tcPr>
            <w:tcW w:w="1418" w:type="dxa"/>
            <w:noWrap w:val="0"/>
            <w:vAlign w:val="center"/>
          </w:tcPr>
          <w:p>
            <w:pPr>
              <w:jc w:val="center"/>
              <w:rPr>
                <w:rFonts w:hint="eastAsia" w:ascii="宋体" w:hAnsi="宋体" w:eastAsia="宋体" w:cs="宋体"/>
                <w:color w:val="000000"/>
                <w:sz w:val="24"/>
                <w:szCs w:val="24"/>
              </w:rPr>
            </w:pPr>
          </w:p>
        </w:tc>
        <w:tc>
          <w:tcPr>
            <w:tcW w:w="940"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044"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487"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4"/>
                <w:szCs w:val="24"/>
              </w:rPr>
            </w:pPr>
          </w:p>
        </w:tc>
        <w:tc>
          <w:tcPr>
            <w:tcW w:w="1276" w:type="dxa"/>
            <w:noWrap w:val="0"/>
            <w:vAlign w:val="center"/>
          </w:tcPr>
          <w:p>
            <w:pPr>
              <w:jc w:val="center"/>
              <w:rPr>
                <w:rFonts w:hint="eastAsia" w:ascii="宋体" w:hAnsi="宋体" w:eastAsia="宋体" w:cs="宋体"/>
                <w:color w:val="000000"/>
                <w:sz w:val="24"/>
                <w:szCs w:val="24"/>
              </w:rPr>
            </w:pPr>
          </w:p>
        </w:tc>
        <w:tc>
          <w:tcPr>
            <w:tcW w:w="1418" w:type="dxa"/>
            <w:noWrap w:val="0"/>
            <w:vAlign w:val="center"/>
          </w:tcPr>
          <w:p>
            <w:pPr>
              <w:jc w:val="center"/>
              <w:rPr>
                <w:rFonts w:hint="eastAsia" w:ascii="宋体" w:hAnsi="宋体" w:eastAsia="宋体" w:cs="宋体"/>
                <w:color w:val="000000"/>
                <w:sz w:val="24"/>
                <w:szCs w:val="24"/>
              </w:rPr>
            </w:pPr>
          </w:p>
        </w:tc>
        <w:tc>
          <w:tcPr>
            <w:tcW w:w="940"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044"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c>
          <w:tcPr>
            <w:tcW w:w="851" w:type="dxa"/>
            <w:noWrap w:val="0"/>
            <w:vAlign w:val="center"/>
          </w:tcPr>
          <w:p>
            <w:pPr>
              <w:jc w:val="center"/>
              <w:rPr>
                <w:rFonts w:hint="eastAsia" w:ascii="宋体" w:hAnsi="宋体" w:eastAsia="宋体" w:cs="宋体"/>
                <w:color w:val="000000"/>
                <w:sz w:val="24"/>
                <w:szCs w:val="24"/>
              </w:rPr>
            </w:pPr>
          </w:p>
        </w:tc>
        <w:tc>
          <w:tcPr>
            <w:tcW w:w="1487" w:type="dxa"/>
            <w:noWrap w:val="0"/>
            <w:vAlign w:val="center"/>
          </w:tcPr>
          <w:p>
            <w:pPr>
              <w:jc w:val="center"/>
              <w:rPr>
                <w:rFonts w:hint="eastAsia" w:ascii="宋体" w:hAnsi="宋体" w:eastAsia="宋体" w:cs="宋体"/>
                <w:color w:val="000000"/>
                <w:sz w:val="24"/>
                <w:szCs w:val="24"/>
              </w:rPr>
            </w:pPr>
          </w:p>
        </w:tc>
        <w:tc>
          <w:tcPr>
            <w:tcW w:w="992" w:type="dxa"/>
            <w:noWrap w:val="0"/>
            <w:vAlign w:val="center"/>
          </w:tcPr>
          <w:p>
            <w:pPr>
              <w:jc w:val="center"/>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189" w:name="_Toc296891266"/>
      <w:bookmarkStart w:id="1190" w:name="_Toc267261693"/>
      <w:bookmarkStart w:id="1191" w:name="_Toc296503226"/>
      <w:bookmarkStart w:id="1192" w:name="_Toc296347225"/>
      <w:bookmarkStart w:id="1193" w:name="_Toc296891054"/>
      <w:bookmarkStart w:id="1194" w:name="_Toc296346727"/>
      <w:bookmarkStart w:id="1195" w:name="_Toc296944565"/>
      <w:r>
        <w:rPr>
          <w:rFonts w:hint="eastAsia" w:ascii="宋体" w:hAnsi="宋体" w:eastAsia="宋体" w:cs="宋体"/>
          <w:color w:val="000000"/>
          <w:sz w:val="24"/>
          <w:szCs w:val="24"/>
        </w:rPr>
        <w:t>件3：</w:t>
      </w:r>
      <w:bookmarkEnd w:id="1189"/>
      <w:bookmarkEnd w:id="1190"/>
      <w:bookmarkEnd w:id="1191"/>
      <w:bookmarkEnd w:id="1192"/>
      <w:bookmarkEnd w:id="1193"/>
      <w:bookmarkEnd w:id="1194"/>
      <w:bookmarkEnd w:id="1195"/>
      <w:r>
        <w:rPr>
          <w:rFonts w:hint="eastAsia" w:ascii="宋体" w:hAnsi="宋体" w:eastAsia="宋体" w:cs="宋体"/>
          <w:color w:val="000000"/>
          <w:sz w:val="24"/>
          <w:szCs w:val="24"/>
        </w:rPr>
        <w:t xml:space="preserve">    </w:t>
      </w:r>
    </w:p>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承包人（全称）：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440" w:lineRule="exact"/>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（工程全称）签订工程质量保修书。</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w:t>
      </w:r>
      <w:r>
        <w:rPr>
          <w:rFonts w:hint="eastAsia" w:ascii="宋体" w:hAnsi="宋体" w:eastAsia="宋体" w:cs="宋体"/>
          <w:sz w:val="24"/>
          <w:szCs w:val="24"/>
        </w:rPr>
        <w:t>地基基础工程和主体结构工程为设计文件规定的工程合理使用年限；</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屋面防水工程、有防水要求的卫生间、房间和外墙面的防渗     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装修工程为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电气管线、给排水管道、设备安装工程为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w:t>
      </w:r>
      <w:r>
        <w:rPr>
          <w:rFonts w:hint="eastAsia" w:ascii="宋体" w:hAnsi="宋体" w:eastAsia="宋体" w:cs="宋体"/>
          <w:color w:val="000000"/>
          <w:sz w:val="24"/>
          <w:szCs w:val="24"/>
        </w:rPr>
        <w:t>供热与供冷系统为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个采暖期、供冷期；</w:t>
      </w:r>
    </w:p>
    <w:p>
      <w:pPr>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w:t>
      </w:r>
      <w:r>
        <w:rPr>
          <w:rFonts w:hint="eastAsia" w:ascii="宋体" w:hAnsi="宋体" w:eastAsia="宋体" w:cs="宋体"/>
          <w:color w:val="000000"/>
          <w:sz w:val="24"/>
          <w:szCs w:val="24"/>
        </w:rPr>
        <w:t>住宅小区内的给排水设施、道路等配套工程为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sz w:val="24"/>
          <w:szCs w:val="24"/>
        </w:rPr>
        <w:t>．</w:t>
      </w:r>
      <w:r>
        <w:rPr>
          <w:rFonts w:hint="eastAsia" w:ascii="宋体" w:hAnsi="宋体" w:eastAsia="宋体" w:cs="宋体"/>
          <w:color w:val="000000"/>
          <w:sz w:val="24"/>
          <w:szCs w:val="24"/>
        </w:rPr>
        <w:t>其他项目保修期限约定如下：</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spacing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三、缺陷责任期</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工程缺陷责任期为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个月，缺陷责任期自工程通过竣工验收之日起计算。单位工程先于全部工程进行验收，单位工程缺陷责任期自单位工程验收合格之日起算。</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w:t>
      </w:r>
      <w:r>
        <w:rPr>
          <w:rFonts w:hint="eastAsia" w:ascii="宋体" w:hAnsi="宋体" w:eastAsia="宋体" w:cs="宋体"/>
          <w:color w:val="000000"/>
          <w:sz w:val="24"/>
          <w:szCs w:val="24"/>
        </w:rPr>
        <w:t>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发生紧急事故需抢修的，承包人在接到事故通知后，应当立即到达事故现场抢修。</w:t>
      </w:r>
    </w:p>
    <w:p>
      <w:pPr>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质量保修完成后，由发包人组织验收。</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五、保修费用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spacing w:line="360" w:lineRule="auto"/>
        <w:ind w:firstLine="600"/>
        <w:jc w:val="left"/>
        <w:outlineLvl w:val="0"/>
        <w:rPr>
          <w:rFonts w:hint="eastAsia"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56" w:firstLineChars="190"/>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spacing w:line="360" w:lineRule="auto"/>
        <w:ind w:firstLine="420"/>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spacing w:line="44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color w:val="000000"/>
          <w:sz w:val="24"/>
          <w:szCs w:val="24"/>
        </w:rPr>
        <w:t>附件4：</w:t>
      </w:r>
    </w:p>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主要建设工程文件目录</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文件名称</w:t>
            </w:r>
          </w:p>
        </w:tc>
        <w:tc>
          <w:tcPr>
            <w:tcW w:w="1276"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套数</w:t>
            </w:r>
          </w:p>
        </w:tc>
        <w:tc>
          <w:tcPr>
            <w:tcW w:w="145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费用（元）</w:t>
            </w:r>
          </w:p>
        </w:tc>
        <w:tc>
          <w:tcPr>
            <w:tcW w:w="1243"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w:t>
            </w:r>
          </w:p>
        </w:tc>
        <w:tc>
          <w:tcPr>
            <w:tcW w:w="1450" w:type="dxa"/>
            <w:tcBorders>
              <w:top w:val="single" w:color="auto" w:sz="12" w:space="0"/>
              <w:bottom w:val="double" w:color="auto" w:sz="6" w:space="0"/>
            </w:tcBorders>
            <w:noWrap w:val="0"/>
            <w:vAlign w:val="top"/>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noWrap w:val="0"/>
            <w:vAlign w:val="top"/>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43"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667"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43"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667"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667"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667"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667"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667"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667"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667"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4"/>
                <w:szCs w:val="24"/>
              </w:rPr>
            </w:pPr>
          </w:p>
        </w:tc>
        <w:tc>
          <w:tcPr>
            <w:tcW w:w="1276"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243"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667"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76"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243"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667"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4"/>
                <w:szCs w:val="24"/>
              </w:rPr>
            </w:pPr>
          </w:p>
        </w:tc>
        <w:tc>
          <w:tcPr>
            <w:tcW w:w="1276"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243"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667"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4"/>
                <w:szCs w:val="24"/>
              </w:rPr>
            </w:pPr>
          </w:p>
        </w:tc>
        <w:tc>
          <w:tcPr>
            <w:tcW w:w="1276"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243"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667"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4"/>
                <w:szCs w:val="24"/>
              </w:rPr>
            </w:pPr>
          </w:p>
        </w:tc>
        <w:tc>
          <w:tcPr>
            <w:tcW w:w="1276"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243"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667"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4"/>
                <w:szCs w:val="24"/>
              </w:rPr>
            </w:pPr>
          </w:p>
        </w:tc>
        <w:tc>
          <w:tcPr>
            <w:tcW w:w="1276"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243"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667"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4"/>
                <w:szCs w:val="24"/>
              </w:rPr>
            </w:pPr>
          </w:p>
        </w:tc>
        <w:tc>
          <w:tcPr>
            <w:tcW w:w="1276"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243"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667"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4"/>
                <w:szCs w:val="24"/>
              </w:rPr>
            </w:pPr>
          </w:p>
        </w:tc>
        <w:tc>
          <w:tcPr>
            <w:tcW w:w="1276"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243"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667"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4"/>
                <w:szCs w:val="24"/>
              </w:rPr>
            </w:pPr>
          </w:p>
        </w:tc>
        <w:tc>
          <w:tcPr>
            <w:tcW w:w="1276"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243"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667"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4"/>
                <w:szCs w:val="24"/>
              </w:rPr>
            </w:pPr>
          </w:p>
        </w:tc>
        <w:tc>
          <w:tcPr>
            <w:tcW w:w="1276"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243"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667"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4"/>
                <w:szCs w:val="24"/>
              </w:rPr>
            </w:pPr>
          </w:p>
        </w:tc>
        <w:tc>
          <w:tcPr>
            <w:tcW w:w="1276"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243" w:type="dxa"/>
            <w:noWrap w:val="0"/>
            <w:vAlign w:val="top"/>
          </w:tcPr>
          <w:p>
            <w:pPr>
              <w:rPr>
                <w:rFonts w:hint="eastAsia" w:ascii="宋体" w:hAnsi="宋体" w:eastAsia="宋体" w:cs="宋体"/>
                <w:color w:val="000000"/>
                <w:sz w:val="24"/>
                <w:szCs w:val="24"/>
              </w:rPr>
            </w:pPr>
          </w:p>
        </w:tc>
        <w:tc>
          <w:tcPr>
            <w:tcW w:w="1450" w:type="dxa"/>
            <w:noWrap w:val="0"/>
            <w:vAlign w:val="top"/>
          </w:tcPr>
          <w:p>
            <w:pPr>
              <w:rPr>
                <w:rFonts w:hint="eastAsia" w:ascii="宋体" w:hAnsi="宋体" w:eastAsia="宋体" w:cs="宋体"/>
                <w:color w:val="000000"/>
                <w:sz w:val="24"/>
                <w:szCs w:val="24"/>
              </w:rPr>
            </w:pPr>
          </w:p>
        </w:tc>
        <w:tc>
          <w:tcPr>
            <w:tcW w:w="1667" w:type="dxa"/>
            <w:noWrap w:val="0"/>
            <w:vAlign w:val="top"/>
          </w:tcPr>
          <w:p>
            <w:pPr>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1196" w:name="_Toc296503227"/>
      <w:bookmarkStart w:id="1197" w:name="_Toc296944566"/>
      <w:bookmarkStart w:id="1198" w:name="_Toc296891055"/>
      <w:bookmarkStart w:id="1199" w:name="_Toc267261698"/>
      <w:bookmarkStart w:id="1200" w:name="_Toc296891267"/>
      <w:bookmarkStart w:id="1201" w:name="_Toc296346728"/>
      <w:bookmarkStart w:id="1202" w:name="_Toc296347226"/>
      <w:r>
        <w:rPr>
          <w:rFonts w:hint="eastAsia" w:ascii="宋体" w:hAnsi="宋体" w:eastAsia="宋体" w:cs="宋体"/>
          <w:color w:val="000000"/>
          <w:sz w:val="24"/>
          <w:szCs w:val="24"/>
        </w:rPr>
        <w:t>件5：</w:t>
      </w:r>
    </w:p>
    <w:bookmarkEnd w:id="1196"/>
    <w:bookmarkEnd w:id="1197"/>
    <w:bookmarkEnd w:id="1198"/>
    <w:bookmarkEnd w:id="1199"/>
    <w:bookmarkEnd w:id="1200"/>
    <w:bookmarkEnd w:id="1201"/>
    <w:bookmarkEnd w:id="1202"/>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承包人用于本工程施工的机械设备表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418"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机械或设备名称</w:t>
            </w:r>
          </w:p>
        </w:tc>
        <w:tc>
          <w:tcPr>
            <w:tcW w:w="85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058"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88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c>
          <w:tcPr>
            <w:tcW w:w="102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制造年份</w:t>
            </w:r>
          </w:p>
        </w:tc>
        <w:tc>
          <w:tcPr>
            <w:tcW w:w="148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额定功率(kW)</w:t>
            </w:r>
          </w:p>
        </w:tc>
        <w:tc>
          <w:tcPr>
            <w:tcW w:w="1020"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生产能力</w:t>
            </w:r>
          </w:p>
        </w:tc>
        <w:tc>
          <w:tcPr>
            <w:tcW w:w="921"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58"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8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21" w:type="dxa"/>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58"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8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21"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5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21"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5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21"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5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21"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5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21"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5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21"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5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21"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4"/>
                <w:szCs w:val="24"/>
              </w:rPr>
            </w:pPr>
          </w:p>
        </w:tc>
        <w:tc>
          <w:tcPr>
            <w:tcW w:w="1418" w:type="dxa"/>
            <w:noWrap w:val="0"/>
            <w:vAlign w:val="top"/>
          </w:tcPr>
          <w:p>
            <w:pPr>
              <w:rPr>
                <w:rFonts w:hint="eastAsia" w:ascii="宋体" w:hAnsi="宋体" w:eastAsia="宋体" w:cs="宋体"/>
                <w:color w:val="000000"/>
                <w:sz w:val="24"/>
                <w:szCs w:val="24"/>
              </w:rPr>
            </w:pPr>
          </w:p>
        </w:tc>
        <w:tc>
          <w:tcPr>
            <w:tcW w:w="850" w:type="dxa"/>
            <w:noWrap w:val="0"/>
            <w:vAlign w:val="top"/>
          </w:tcPr>
          <w:p>
            <w:pPr>
              <w:rPr>
                <w:rFonts w:hint="eastAsia" w:ascii="宋体" w:hAnsi="宋体" w:eastAsia="宋体" w:cs="宋体"/>
                <w:color w:val="000000"/>
                <w:sz w:val="24"/>
                <w:szCs w:val="24"/>
              </w:rPr>
            </w:pPr>
          </w:p>
        </w:tc>
        <w:tc>
          <w:tcPr>
            <w:tcW w:w="1058" w:type="dxa"/>
            <w:noWrap w:val="0"/>
            <w:vAlign w:val="top"/>
          </w:tcPr>
          <w:p>
            <w:pPr>
              <w:rPr>
                <w:rFonts w:hint="eastAsia" w:ascii="宋体" w:hAnsi="宋体" w:eastAsia="宋体" w:cs="宋体"/>
                <w:color w:val="000000"/>
                <w:sz w:val="24"/>
                <w:szCs w:val="24"/>
              </w:rPr>
            </w:pPr>
          </w:p>
        </w:tc>
        <w:tc>
          <w:tcPr>
            <w:tcW w:w="8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14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921"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5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5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8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8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020"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921"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4"/>
                <w:szCs w:val="24"/>
              </w:rPr>
            </w:pPr>
          </w:p>
        </w:tc>
        <w:tc>
          <w:tcPr>
            <w:tcW w:w="1418" w:type="dxa"/>
            <w:noWrap w:val="0"/>
            <w:vAlign w:val="top"/>
          </w:tcPr>
          <w:p>
            <w:pPr>
              <w:rPr>
                <w:rFonts w:hint="eastAsia" w:ascii="宋体" w:hAnsi="宋体" w:eastAsia="宋体" w:cs="宋体"/>
                <w:color w:val="000000"/>
                <w:sz w:val="24"/>
                <w:szCs w:val="24"/>
              </w:rPr>
            </w:pPr>
          </w:p>
        </w:tc>
        <w:tc>
          <w:tcPr>
            <w:tcW w:w="850" w:type="dxa"/>
            <w:noWrap w:val="0"/>
            <w:vAlign w:val="top"/>
          </w:tcPr>
          <w:p>
            <w:pPr>
              <w:rPr>
                <w:rFonts w:hint="eastAsia" w:ascii="宋体" w:hAnsi="宋体" w:eastAsia="宋体" w:cs="宋体"/>
                <w:color w:val="000000"/>
                <w:sz w:val="24"/>
                <w:szCs w:val="24"/>
              </w:rPr>
            </w:pPr>
          </w:p>
        </w:tc>
        <w:tc>
          <w:tcPr>
            <w:tcW w:w="1058" w:type="dxa"/>
            <w:noWrap w:val="0"/>
            <w:vAlign w:val="top"/>
          </w:tcPr>
          <w:p>
            <w:pPr>
              <w:rPr>
                <w:rFonts w:hint="eastAsia" w:ascii="宋体" w:hAnsi="宋体" w:eastAsia="宋体" w:cs="宋体"/>
                <w:color w:val="000000"/>
                <w:sz w:val="24"/>
                <w:szCs w:val="24"/>
              </w:rPr>
            </w:pPr>
          </w:p>
        </w:tc>
        <w:tc>
          <w:tcPr>
            <w:tcW w:w="8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14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921"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4"/>
                <w:szCs w:val="24"/>
              </w:rPr>
            </w:pPr>
          </w:p>
        </w:tc>
        <w:tc>
          <w:tcPr>
            <w:tcW w:w="1418" w:type="dxa"/>
            <w:noWrap w:val="0"/>
            <w:vAlign w:val="top"/>
          </w:tcPr>
          <w:p>
            <w:pPr>
              <w:rPr>
                <w:rFonts w:hint="eastAsia" w:ascii="宋体" w:hAnsi="宋体" w:eastAsia="宋体" w:cs="宋体"/>
                <w:color w:val="000000"/>
                <w:sz w:val="24"/>
                <w:szCs w:val="24"/>
              </w:rPr>
            </w:pPr>
          </w:p>
        </w:tc>
        <w:tc>
          <w:tcPr>
            <w:tcW w:w="850" w:type="dxa"/>
            <w:noWrap w:val="0"/>
            <w:vAlign w:val="top"/>
          </w:tcPr>
          <w:p>
            <w:pPr>
              <w:rPr>
                <w:rFonts w:hint="eastAsia" w:ascii="宋体" w:hAnsi="宋体" w:eastAsia="宋体" w:cs="宋体"/>
                <w:color w:val="000000"/>
                <w:sz w:val="24"/>
                <w:szCs w:val="24"/>
              </w:rPr>
            </w:pPr>
          </w:p>
        </w:tc>
        <w:tc>
          <w:tcPr>
            <w:tcW w:w="1058" w:type="dxa"/>
            <w:noWrap w:val="0"/>
            <w:vAlign w:val="top"/>
          </w:tcPr>
          <w:p>
            <w:pPr>
              <w:rPr>
                <w:rFonts w:hint="eastAsia" w:ascii="宋体" w:hAnsi="宋体" w:eastAsia="宋体" w:cs="宋体"/>
                <w:color w:val="000000"/>
                <w:sz w:val="24"/>
                <w:szCs w:val="24"/>
              </w:rPr>
            </w:pPr>
          </w:p>
        </w:tc>
        <w:tc>
          <w:tcPr>
            <w:tcW w:w="8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14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921"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4"/>
                <w:szCs w:val="24"/>
              </w:rPr>
            </w:pPr>
          </w:p>
        </w:tc>
        <w:tc>
          <w:tcPr>
            <w:tcW w:w="1418" w:type="dxa"/>
            <w:noWrap w:val="0"/>
            <w:vAlign w:val="top"/>
          </w:tcPr>
          <w:p>
            <w:pPr>
              <w:rPr>
                <w:rFonts w:hint="eastAsia" w:ascii="宋体" w:hAnsi="宋体" w:eastAsia="宋体" w:cs="宋体"/>
                <w:color w:val="000000"/>
                <w:sz w:val="24"/>
                <w:szCs w:val="24"/>
              </w:rPr>
            </w:pPr>
          </w:p>
        </w:tc>
        <w:tc>
          <w:tcPr>
            <w:tcW w:w="850" w:type="dxa"/>
            <w:noWrap w:val="0"/>
            <w:vAlign w:val="top"/>
          </w:tcPr>
          <w:p>
            <w:pPr>
              <w:rPr>
                <w:rFonts w:hint="eastAsia" w:ascii="宋体" w:hAnsi="宋体" w:eastAsia="宋体" w:cs="宋体"/>
                <w:color w:val="000000"/>
                <w:sz w:val="24"/>
                <w:szCs w:val="24"/>
              </w:rPr>
            </w:pPr>
          </w:p>
        </w:tc>
        <w:tc>
          <w:tcPr>
            <w:tcW w:w="1058" w:type="dxa"/>
            <w:noWrap w:val="0"/>
            <w:vAlign w:val="top"/>
          </w:tcPr>
          <w:p>
            <w:pPr>
              <w:rPr>
                <w:rFonts w:hint="eastAsia" w:ascii="宋体" w:hAnsi="宋体" w:eastAsia="宋体" w:cs="宋体"/>
                <w:color w:val="000000"/>
                <w:sz w:val="24"/>
                <w:szCs w:val="24"/>
              </w:rPr>
            </w:pPr>
          </w:p>
        </w:tc>
        <w:tc>
          <w:tcPr>
            <w:tcW w:w="8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14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921"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4"/>
                <w:szCs w:val="24"/>
              </w:rPr>
            </w:pPr>
          </w:p>
        </w:tc>
        <w:tc>
          <w:tcPr>
            <w:tcW w:w="1418" w:type="dxa"/>
            <w:noWrap w:val="0"/>
            <w:vAlign w:val="top"/>
          </w:tcPr>
          <w:p>
            <w:pPr>
              <w:rPr>
                <w:rFonts w:hint="eastAsia" w:ascii="宋体" w:hAnsi="宋体" w:eastAsia="宋体" w:cs="宋体"/>
                <w:color w:val="000000"/>
                <w:sz w:val="24"/>
                <w:szCs w:val="24"/>
              </w:rPr>
            </w:pPr>
          </w:p>
        </w:tc>
        <w:tc>
          <w:tcPr>
            <w:tcW w:w="850" w:type="dxa"/>
            <w:noWrap w:val="0"/>
            <w:vAlign w:val="top"/>
          </w:tcPr>
          <w:p>
            <w:pPr>
              <w:rPr>
                <w:rFonts w:hint="eastAsia" w:ascii="宋体" w:hAnsi="宋体" w:eastAsia="宋体" w:cs="宋体"/>
                <w:color w:val="000000"/>
                <w:sz w:val="24"/>
                <w:szCs w:val="24"/>
              </w:rPr>
            </w:pPr>
          </w:p>
        </w:tc>
        <w:tc>
          <w:tcPr>
            <w:tcW w:w="1058" w:type="dxa"/>
            <w:noWrap w:val="0"/>
            <w:vAlign w:val="top"/>
          </w:tcPr>
          <w:p>
            <w:pPr>
              <w:rPr>
                <w:rFonts w:hint="eastAsia" w:ascii="宋体" w:hAnsi="宋体" w:eastAsia="宋体" w:cs="宋体"/>
                <w:color w:val="000000"/>
                <w:sz w:val="24"/>
                <w:szCs w:val="24"/>
              </w:rPr>
            </w:pPr>
          </w:p>
        </w:tc>
        <w:tc>
          <w:tcPr>
            <w:tcW w:w="8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14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921"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4"/>
                <w:szCs w:val="24"/>
              </w:rPr>
            </w:pPr>
          </w:p>
        </w:tc>
        <w:tc>
          <w:tcPr>
            <w:tcW w:w="1418" w:type="dxa"/>
            <w:noWrap w:val="0"/>
            <w:vAlign w:val="top"/>
          </w:tcPr>
          <w:p>
            <w:pPr>
              <w:rPr>
                <w:rFonts w:hint="eastAsia" w:ascii="宋体" w:hAnsi="宋体" w:eastAsia="宋体" w:cs="宋体"/>
                <w:color w:val="000000"/>
                <w:sz w:val="24"/>
                <w:szCs w:val="24"/>
              </w:rPr>
            </w:pPr>
          </w:p>
        </w:tc>
        <w:tc>
          <w:tcPr>
            <w:tcW w:w="850" w:type="dxa"/>
            <w:noWrap w:val="0"/>
            <w:vAlign w:val="top"/>
          </w:tcPr>
          <w:p>
            <w:pPr>
              <w:rPr>
                <w:rFonts w:hint="eastAsia" w:ascii="宋体" w:hAnsi="宋体" w:eastAsia="宋体" w:cs="宋体"/>
                <w:color w:val="000000"/>
                <w:sz w:val="24"/>
                <w:szCs w:val="24"/>
              </w:rPr>
            </w:pPr>
          </w:p>
        </w:tc>
        <w:tc>
          <w:tcPr>
            <w:tcW w:w="1058" w:type="dxa"/>
            <w:noWrap w:val="0"/>
            <w:vAlign w:val="top"/>
          </w:tcPr>
          <w:p>
            <w:pPr>
              <w:rPr>
                <w:rFonts w:hint="eastAsia" w:ascii="宋体" w:hAnsi="宋体" w:eastAsia="宋体" w:cs="宋体"/>
                <w:color w:val="000000"/>
                <w:sz w:val="24"/>
                <w:szCs w:val="24"/>
              </w:rPr>
            </w:pPr>
          </w:p>
        </w:tc>
        <w:tc>
          <w:tcPr>
            <w:tcW w:w="8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14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921"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4"/>
                <w:szCs w:val="24"/>
              </w:rPr>
            </w:pPr>
          </w:p>
        </w:tc>
        <w:tc>
          <w:tcPr>
            <w:tcW w:w="1418" w:type="dxa"/>
            <w:noWrap w:val="0"/>
            <w:vAlign w:val="top"/>
          </w:tcPr>
          <w:p>
            <w:pPr>
              <w:rPr>
                <w:rFonts w:hint="eastAsia" w:ascii="宋体" w:hAnsi="宋体" w:eastAsia="宋体" w:cs="宋体"/>
                <w:color w:val="000000"/>
                <w:sz w:val="24"/>
                <w:szCs w:val="24"/>
              </w:rPr>
            </w:pPr>
          </w:p>
        </w:tc>
        <w:tc>
          <w:tcPr>
            <w:tcW w:w="850" w:type="dxa"/>
            <w:noWrap w:val="0"/>
            <w:vAlign w:val="top"/>
          </w:tcPr>
          <w:p>
            <w:pPr>
              <w:rPr>
                <w:rFonts w:hint="eastAsia" w:ascii="宋体" w:hAnsi="宋体" w:eastAsia="宋体" w:cs="宋体"/>
                <w:color w:val="000000"/>
                <w:sz w:val="24"/>
                <w:szCs w:val="24"/>
              </w:rPr>
            </w:pPr>
          </w:p>
        </w:tc>
        <w:tc>
          <w:tcPr>
            <w:tcW w:w="1058" w:type="dxa"/>
            <w:noWrap w:val="0"/>
            <w:vAlign w:val="top"/>
          </w:tcPr>
          <w:p>
            <w:pPr>
              <w:rPr>
                <w:rFonts w:hint="eastAsia" w:ascii="宋体" w:hAnsi="宋体" w:eastAsia="宋体" w:cs="宋体"/>
                <w:color w:val="000000"/>
                <w:sz w:val="24"/>
                <w:szCs w:val="24"/>
              </w:rPr>
            </w:pPr>
          </w:p>
        </w:tc>
        <w:tc>
          <w:tcPr>
            <w:tcW w:w="8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14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921"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4"/>
                <w:szCs w:val="24"/>
              </w:rPr>
            </w:pPr>
          </w:p>
        </w:tc>
        <w:tc>
          <w:tcPr>
            <w:tcW w:w="1418" w:type="dxa"/>
            <w:noWrap w:val="0"/>
            <w:vAlign w:val="top"/>
          </w:tcPr>
          <w:p>
            <w:pPr>
              <w:rPr>
                <w:rFonts w:hint="eastAsia" w:ascii="宋体" w:hAnsi="宋体" w:eastAsia="宋体" w:cs="宋体"/>
                <w:color w:val="000000"/>
                <w:sz w:val="24"/>
                <w:szCs w:val="24"/>
              </w:rPr>
            </w:pPr>
          </w:p>
        </w:tc>
        <w:tc>
          <w:tcPr>
            <w:tcW w:w="850" w:type="dxa"/>
            <w:noWrap w:val="0"/>
            <w:vAlign w:val="top"/>
          </w:tcPr>
          <w:p>
            <w:pPr>
              <w:rPr>
                <w:rFonts w:hint="eastAsia" w:ascii="宋体" w:hAnsi="宋体" w:eastAsia="宋体" w:cs="宋体"/>
                <w:color w:val="000000"/>
                <w:sz w:val="24"/>
                <w:szCs w:val="24"/>
              </w:rPr>
            </w:pPr>
          </w:p>
        </w:tc>
        <w:tc>
          <w:tcPr>
            <w:tcW w:w="1058" w:type="dxa"/>
            <w:noWrap w:val="0"/>
            <w:vAlign w:val="top"/>
          </w:tcPr>
          <w:p>
            <w:pPr>
              <w:rPr>
                <w:rFonts w:hint="eastAsia" w:ascii="宋体" w:hAnsi="宋体" w:eastAsia="宋体" w:cs="宋体"/>
                <w:color w:val="000000"/>
                <w:sz w:val="24"/>
                <w:szCs w:val="24"/>
              </w:rPr>
            </w:pPr>
          </w:p>
        </w:tc>
        <w:tc>
          <w:tcPr>
            <w:tcW w:w="8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14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921"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4"/>
                <w:szCs w:val="24"/>
              </w:rPr>
            </w:pPr>
          </w:p>
        </w:tc>
        <w:tc>
          <w:tcPr>
            <w:tcW w:w="1418" w:type="dxa"/>
            <w:noWrap w:val="0"/>
            <w:vAlign w:val="top"/>
          </w:tcPr>
          <w:p>
            <w:pPr>
              <w:rPr>
                <w:rFonts w:hint="eastAsia" w:ascii="宋体" w:hAnsi="宋体" w:eastAsia="宋体" w:cs="宋体"/>
                <w:color w:val="000000"/>
                <w:sz w:val="24"/>
                <w:szCs w:val="24"/>
              </w:rPr>
            </w:pPr>
          </w:p>
        </w:tc>
        <w:tc>
          <w:tcPr>
            <w:tcW w:w="850" w:type="dxa"/>
            <w:noWrap w:val="0"/>
            <w:vAlign w:val="top"/>
          </w:tcPr>
          <w:p>
            <w:pPr>
              <w:rPr>
                <w:rFonts w:hint="eastAsia" w:ascii="宋体" w:hAnsi="宋体" w:eastAsia="宋体" w:cs="宋体"/>
                <w:color w:val="000000"/>
                <w:sz w:val="24"/>
                <w:szCs w:val="24"/>
              </w:rPr>
            </w:pPr>
          </w:p>
        </w:tc>
        <w:tc>
          <w:tcPr>
            <w:tcW w:w="1058" w:type="dxa"/>
            <w:noWrap w:val="0"/>
            <w:vAlign w:val="top"/>
          </w:tcPr>
          <w:p>
            <w:pPr>
              <w:rPr>
                <w:rFonts w:hint="eastAsia" w:ascii="宋体" w:hAnsi="宋体" w:eastAsia="宋体" w:cs="宋体"/>
                <w:color w:val="000000"/>
                <w:sz w:val="24"/>
                <w:szCs w:val="24"/>
              </w:rPr>
            </w:pPr>
          </w:p>
        </w:tc>
        <w:tc>
          <w:tcPr>
            <w:tcW w:w="8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14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921"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4"/>
                <w:szCs w:val="24"/>
              </w:rPr>
            </w:pPr>
          </w:p>
        </w:tc>
        <w:tc>
          <w:tcPr>
            <w:tcW w:w="1418" w:type="dxa"/>
            <w:noWrap w:val="0"/>
            <w:vAlign w:val="top"/>
          </w:tcPr>
          <w:p>
            <w:pPr>
              <w:rPr>
                <w:rFonts w:hint="eastAsia" w:ascii="宋体" w:hAnsi="宋体" w:eastAsia="宋体" w:cs="宋体"/>
                <w:color w:val="000000"/>
                <w:sz w:val="24"/>
                <w:szCs w:val="24"/>
              </w:rPr>
            </w:pPr>
          </w:p>
        </w:tc>
        <w:tc>
          <w:tcPr>
            <w:tcW w:w="850" w:type="dxa"/>
            <w:noWrap w:val="0"/>
            <w:vAlign w:val="top"/>
          </w:tcPr>
          <w:p>
            <w:pPr>
              <w:rPr>
                <w:rFonts w:hint="eastAsia" w:ascii="宋体" w:hAnsi="宋体" w:eastAsia="宋体" w:cs="宋体"/>
                <w:color w:val="000000"/>
                <w:sz w:val="24"/>
                <w:szCs w:val="24"/>
              </w:rPr>
            </w:pPr>
          </w:p>
        </w:tc>
        <w:tc>
          <w:tcPr>
            <w:tcW w:w="1058" w:type="dxa"/>
            <w:noWrap w:val="0"/>
            <w:vAlign w:val="top"/>
          </w:tcPr>
          <w:p>
            <w:pPr>
              <w:rPr>
                <w:rFonts w:hint="eastAsia" w:ascii="宋体" w:hAnsi="宋体" w:eastAsia="宋体" w:cs="宋体"/>
                <w:color w:val="000000"/>
                <w:sz w:val="24"/>
                <w:szCs w:val="24"/>
              </w:rPr>
            </w:pPr>
          </w:p>
        </w:tc>
        <w:tc>
          <w:tcPr>
            <w:tcW w:w="8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1480" w:type="dxa"/>
            <w:noWrap w:val="0"/>
            <w:vAlign w:val="top"/>
          </w:tcPr>
          <w:p>
            <w:pPr>
              <w:rPr>
                <w:rFonts w:hint="eastAsia" w:ascii="宋体" w:hAnsi="宋体" w:eastAsia="宋体" w:cs="宋体"/>
                <w:color w:val="000000"/>
                <w:sz w:val="24"/>
                <w:szCs w:val="24"/>
              </w:rPr>
            </w:pPr>
          </w:p>
        </w:tc>
        <w:tc>
          <w:tcPr>
            <w:tcW w:w="1020" w:type="dxa"/>
            <w:noWrap w:val="0"/>
            <w:vAlign w:val="top"/>
          </w:tcPr>
          <w:p>
            <w:pPr>
              <w:rPr>
                <w:rFonts w:hint="eastAsia" w:ascii="宋体" w:hAnsi="宋体" w:eastAsia="宋体" w:cs="宋体"/>
                <w:color w:val="000000"/>
                <w:sz w:val="24"/>
                <w:szCs w:val="24"/>
              </w:rPr>
            </w:pPr>
          </w:p>
        </w:tc>
        <w:tc>
          <w:tcPr>
            <w:tcW w:w="921" w:type="dxa"/>
            <w:noWrap w:val="0"/>
            <w:vAlign w:val="top"/>
          </w:tcPr>
          <w:p>
            <w:pPr>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203" w:name="_Toc296346729"/>
      <w:bookmarkStart w:id="1204" w:name="_Toc296891056"/>
      <w:bookmarkStart w:id="1205" w:name="_Toc296944567"/>
      <w:bookmarkStart w:id="1206" w:name="_Toc267261699"/>
      <w:bookmarkStart w:id="1207" w:name="_Toc296347227"/>
      <w:bookmarkStart w:id="1208" w:name="_Toc296503228"/>
      <w:bookmarkStart w:id="1209" w:name="_Toc296891268"/>
      <w:r>
        <w:rPr>
          <w:rFonts w:hint="eastAsia" w:ascii="宋体" w:hAnsi="宋体" w:eastAsia="宋体" w:cs="宋体"/>
          <w:color w:val="000000"/>
          <w:sz w:val="24"/>
          <w:szCs w:val="24"/>
        </w:rPr>
        <w:t>件6：</w:t>
      </w:r>
    </w:p>
    <w:bookmarkEnd w:id="1203"/>
    <w:bookmarkEnd w:id="1204"/>
    <w:bookmarkEnd w:id="1205"/>
    <w:bookmarkEnd w:id="1206"/>
    <w:bookmarkEnd w:id="1207"/>
    <w:bookmarkEnd w:id="1208"/>
    <w:bookmarkEnd w:id="1209"/>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1418"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134"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134"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252"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1418"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tcBorders>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tcBorders>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tcBorders>
              <w:bottom w:val="single" w:color="auto" w:sz="12"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tcBorders>
              <w:bottom w:val="single" w:color="auto" w:sz="12"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1210" w:name="_Toc296891269"/>
      <w:bookmarkStart w:id="1211" w:name="_Toc296503229"/>
      <w:bookmarkStart w:id="1212" w:name="_Toc296346730"/>
      <w:bookmarkStart w:id="1213" w:name="_Toc296944568"/>
      <w:bookmarkStart w:id="1214" w:name="_Toc296891057"/>
      <w:bookmarkStart w:id="1215" w:name="_Toc296347228"/>
      <w:r>
        <w:rPr>
          <w:rFonts w:hint="eastAsia" w:ascii="宋体" w:hAnsi="宋体" w:eastAsia="宋体" w:cs="宋体"/>
          <w:color w:val="000000"/>
          <w:sz w:val="24"/>
          <w:szCs w:val="24"/>
        </w:rPr>
        <w:t>件7：</w:t>
      </w:r>
    </w:p>
    <w:bookmarkEnd w:id="1210"/>
    <w:bookmarkEnd w:id="1211"/>
    <w:bookmarkEnd w:id="1212"/>
    <w:bookmarkEnd w:id="1213"/>
    <w:bookmarkEnd w:id="1214"/>
    <w:bookmarkEnd w:id="1215"/>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1418"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134"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134"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252" w:type="dxa"/>
            <w:tcBorders>
              <w:top w:val="single" w:color="auto" w:sz="12" w:space="0"/>
              <w:bottom w:val="doub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1418"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tcBorders>
              <w:top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tcBorders>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tcBorders>
              <w:bottom w:val="nil"/>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noWrap w:val="0"/>
            <w:vAlign w:val="center"/>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418" w:type="dxa"/>
            <w:tcBorders>
              <w:bottom w:val="single" w:color="auto" w:sz="12"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c>
          <w:tcPr>
            <w:tcW w:w="4252" w:type="dxa"/>
            <w:tcBorders>
              <w:bottom w:val="single" w:color="auto" w:sz="12" w:space="0"/>
            </w:tcBorders>
            <w:noWrap w:val="0"/>
            <w:vAlign w:val="center"/>
          </w:tcPr>
          <w:p>
            <w:pPr>
              <w:pStyle w:val="10"/>
              <w:keepNext/>
              <w:spacing w:line="440" w:lineRule="exact"/>
              <w:ind w:left="63" w:right="63"/>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bookmarkStart w:id="1216" w:name="_Toc267261701"/>
      <w:r>
        <w:rPr>
          <w:rFonts w:hint="eastAsia" w:ascii="宋体" w:hAnsi="宋体" w:eastAsia="宋体" w:cs="宋体"/>
          <w:color w:val="000000"/>
          <w:sz w:val="24"/>
          <w:szCs w:val="24"/>
        </w:rPr>
        <w:t>附</w:t>
      </w:r>
      <w:bookmarkStart w:id="1217" w:name="_Toc296503231"/>
      <w:bookmarkStart w:id="1218" w:name="_Toc296891271"/>
      <w:bookmarkStart w:id="1219" w:name="_Toc296346732"/>
      <w:bookmarkStart w:id="1220" w:name="_Toc296347230"/>
      <w:bookmarkStart w:id="1221" w:name="_Toc296944570"/>
      <w:bookmarkStart w:id="1222" w:name="_Toc296891059"/>
      <w:r>
        <w:rPr>
          <w:rFonts w:hint="eastAsia" w:ascii="宋体" w:hAnsi="宋体" w:eastAsia="宋体" w:cs="宋体"/>
          <w:color w:val="000000"/>
          <w:sz w:val="24"/>
          <w:szCs w:val="24"/>
        </w:rPr>
        <w:t>件8：</w:t>
      </w:r>
    </w:p>
    <w:bookmarkEnd w:id="1216"/>
    <w:bookmarkEnd w:id="1217"/>
    <w:bookmarkEnd w:id="1218"/>
    <w:bookmarkEnd w:id="1219"/>
    <w:bookmarkEnd w:id="1220"/>
    <w:bookmarkEnd w:id="1221"/>
    <w:bookmarkEnd w:id="1222"/>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履约担保</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（发包人名称）：</w:t>
      </w:r>
    </w:p>
    <w:p>
      <w:pPr>
        <w:spacing w:line="440" w:lineRule="exact"/>
        <w:rPr>
          <w:rFonts w:hint="eastAsia" w:ascii="宋体" w:hAnsi="宋体" w:eastAsia="宋体" w:cs="宋体"/>
          <w:color w:val="000000"/>
          <w:sz w:val="24"/>
          <w:szCs w:val="24"/>
        </w:rPr>
      </w:pP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（发包人名称，以下简称“发包人”）与</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担保有效期自你方与承包人签订的合同生效之日起至你方签发或应签发工程接收证书之日止。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你方和承包人按合同约定变更合同时，我方承担本担保规定的义务不变。</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 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 本保函自我方法定代表人（或其授权代理人）签字并加盖公章之日起生效。</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担 保 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u w:val="single"/>
        </w:rPr>
      </w:pPr>
    </w:p>
    <w:p>
      <w:pPr>
        <w:spacing w:line="360" w:lineRule="auto"/>
        <w:ind w:left="1899" w:hanging="1519" w:hangingChars="633"/>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223" w:name="_Toc296944571"/>
      <w:bookmarkStart w:id="1224" w:name="_Toc296347231"/>
      <w:bookmarkStart w:id="1225" w:name="_Toc296891060"/>
      <w:bookmarkStart w:id="1226" w:name="_Toc296503232"/>
      <w:bookmarkStart w:id="1227" w:name="_Toc267261702"/>
      <w:bookmarkStart w:id="1228" w:name="_Toc296346733"/>
      <w:bookmarkStart w:id="1229" w:name="_Toc296891272"/>
      <w:r>
        <w:rPr>
          <w:rFonts w:hint="eastAsia" w:ascii="宋体" w:hAnsi="宋体" w:eastAsia="宋体" w:cs="宋体"/>
          <w:color w:val="000000"/>
          <w:sz w:val="24"/>
          <w:szCs w:val="24"/>
        </w:rPr>
        <w:t>件9 ：</w:t>
      </w:r>
    </w:p>
    <w:bookmarkEnd w:id="1223"/>
    <w:bookmarkEnd w:id="1224"/>
    <w:bookmarkEnd w:id="1225"/>
    <w:bookmarkEnd w:id="1226"/>
    <w:bookmarkEnd w:id="1227"/>
    <w:bookmarkEnd w:id="1228"/>
    <w:bookmarkEnd w:id="1229"/>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预付款担保</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（发包人名称）：</w:t>
      </w:r>
    </w:p>
    <w:p>
      <w:pPr>
        <w:spacing w:line="360" w:lineRule="auto"/>
        <w:rPr>
          <w:rFonts w:hint="eastAsia" w:ascii="宋体" w:hAnsi="宋体" w:eastAsia="宋体" w:cs="宋体"/>
          <w:color w:val="000000"/>
          <w:sz w:val="24"/>
          <w:szCs w:val="24"/>
        </w:rPr>
      </w:pP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（承包人名称）（以下称“承包人”）与</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（发包人名称）（以下简称“发包人”）</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担保有效期自预付款支付给承包人起生效，至你方签发的进度款支付证书说明已完全扣清止。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你方和承包人按合同约定变更合同时，我方承担本保函规定的义务不变。</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 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 本保函自我方法定代表人（或其授权代理人）签字并加盖公章之日起生效。</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spacing w:line="360" w:lineRule="auto"/>
        <w:ind w:firstLine="4080" w:firstLineChars="17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4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color w:val="000000"/>
          <w:sz w:val="24"/>
          <w:szCs w:val="24"/>
        </w:rPr>
        <w:t>附</w:t>
      </w:r>
      <w:bookmarkStart w:id="1230" w:name="_Toc296891061"/>
      <w:bookmarkStart w:id="1231" w:name="_Toc296891273"/>
      <w:bookmarkStart w:id="1232" w:name="_Toc296944572"/>
      <w:bookmarkStart w:id="1233" w:name="_Toc296347232"/>
      <w:bookmarkStart w:id="1234" w:name="_Toc296346734"/>
      <w:bookmarkStart w:id="1235" w:name="_Toc296503233"/>
      <w:r>
        <w:rPr>
          <w:rFonts w:hint="eastAsia" w:ascii="宋体" w:hAnsi="宋体" w:eastAsia="宋体" w:cs="宋体"/>
          <w:color w:val="000000"/>
          <w:sz w:val="24"/>
          <w:szCs w:val="24"/>
        </w:rPr>
        <w:t xml:space="preserve">件10:  </w:t>
      </w:r>
    </w:p>
    <w:bookmarkEnd w:id="1230"/>
    <w:bookmarkEnd w:id="1231"/>
    <w:bookmarkEnd w:id="1232"/>
    <w:bookmarkEnd w:id="1233"/>
    <w:bookmarkEnd w:id="1234"/>
    <w:bookmarkEnd w:id="1235"/>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支付担保</w:t>
      </w:r>
    </w:p>
    <w:p>
      <w:pPr>
        <w:spacing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w:t>
      </w:r>
    </w:p>
    <w:p>
      <w:pPr>
        <w:spacing w:line="440" w:lineRule="exact"/>
        <w:jc w:val="left"/>
        <w:rPr>
          <w:rFonts w:hint="eastAsia" w:ascii="宋体" w:hAnsi="宋体" w:eastAsia="宋体" w:cs="宋体"/>
          <w:color w:val="000000"/>
          <w:sz w:val="24"/>
          <w:szCs w:val="24"/>
        </w:rPr>
      </w:pP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鉴于你方作为承包人已经与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（发包人名称）（以下称“发包人”）于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（工程名称）《建设工程施工合同》（以下称“主合同”），应发包人的申请，我方愿就发包人履行主合同约定的工程款支付义务以保证的方式向你方提供如下担保：</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一、保证的范围及保证金额</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我方的保证范围是主合同约定的工程款。</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本保函所称主合同约定的工程款是指主合同约定的除工程质量保证金以外的合同价款。</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我方保证的金额是主合同约定的工程款的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%，数额最高不超过人民币元（大写：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二、保证的方式及保证期间</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我方保证的方式为：连带责任保证。</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我方保证的期间为：自本合同生效之日起至主合同约定的工程款支付完毕之日后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你方与发包人协议变更工程款支付日期的，经我方书面同意后，保证期间按照变更后的支付日期做相应调整。</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三、承担保证责任的形式</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我方承担保证责任的形式是代为支付。发包人未按主合同约定向你方支付工程款的，由我方在保证金额内代为支付。</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四、代偿的安排</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我方收到你方的书面索赔通知及相应的证明材料后７天内无条件支付。</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五、保证责任的解除</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在本保函承诺的保证期间内，你方未书面向我方主张保证责任的，自保证期间届满次日起，我方保证责任解除。</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发包人按主合同约定履行了工程款的全部支付义务的，自本保函承诺的保证期间届满次日起，我方保证责任解除。</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我方按照本保函向你方履行保证责任所支付金额达到本保函保证金额时，自我方向你方支付（支付款项从我方账户划出）之日起，保证责任即解除。</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 按照法律法规的规定或出现应解除我方保证责任的其他情形的，我方在本保函项下的保证责任亦解除。</w:t>
      </w:r>
    </w:p>
    <w:p>
      <w:pPr>
        <w:spacing w:line="360" w:lineRule="auto"/>
        <w:jc w:val="left"/>
        <w:rPr>
          <w:rFonts w:hint="eastAsia" w:ascii="宋体" w:hAnsi="宋体" w:eastAsia="宋体" w:cs="宋体"/>
          <w:color w:val="000000"/>
          <w:sz w:val="24"/>
          <w:szCs w:val="24"/>
        </w:rPr>
      </w:pP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 我方解除保证责任后，你方应自我方保证责任解除之日起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个工作日内，将本保函原件返还我方。</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六、免责条款</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因你方违约致使发包人不能履行义务的，我方不承担保证责任。</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依照法律法规的规定或你方与发包人的另行约定，免除发包人部分或全部义务的，我方亦免除其相应的保证责任。</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 因不可抗力造成发包人不能履行义务的，我方不承担保证责任。</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七、争议解决</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因本保函或本保函相关事项发生的纠纷，可由双方协商解决，协商不成的，按下列第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八、保函的生效</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本保函自我方法定代表人（或其授权代理人）签字并加盖公章之日起生效。</w:t>
      </w:r>
    </w:p>
    <w:p>
      <w:pPr>
        <w:spacing w:line="360" w:lineRule="auto"/>
        <w:ind w:firstLine="480" w:firstLineChars="200"/>
        <w:jc w:val="left"/>
        <w:rPr>
          <w:rFonts w:hint="eastAsia" w:ascii="宋体" w:hAnsi="宋体" w:eastAsia="宋体" w:cs="宋体"/>
          <w:color w:val="000000"/>
          <w:sz w:val="24"/>
          <w:szCs w:val="24"/>
        </w:rPr>
      </w:pPr>
    </w:p>
    <w:p>
      <w:pPr>
        <w:spacing w:line="360" w:lineRule="auto"/>
        <w:ind w:right="600"/>
        <w:jc w:val="left"/>
        <w:rPr>
          <w:rFonts w:hint="eastAsia" w:ascii="宋体" w:hAnsi="宋体" w:eastAsia="宋体" w:cs="宋体"/>
          <w:color w:val="000000"/>
          <w:sz w:val="24"/>
          <w:szCs w:val="24"/>
        </w:rPr>
      </w:pPr>
    </w:p>
    <w:p>
      <w:pPr>
        <w:spacing w:line="360" w:lineRule="auto"/>
        <w:ind w:right="600"/>
        <w:jc w:val="left"/>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pPr>
        <w:spacing w:line="360" w:lineRule="auto"/>
        <w:ind w:right="1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spacing w:line="360" w:lineRule="auto"/>
        <w:ind w:right="150" w:firstLine="480" w:firstLineChars="200"/>
        <w:jc w:val="left"/>
        <w:rPr>
          <w:rFonts w:hint="eastAsia" w:ascii="宋体" w:hAnsi="宋体" w:eastAsia="宋体" w:cs="宋体"/>
          <w:color w:val="000000"/>
          <w:sz w:val="24"/>
          <w:szCs w:val="24"/>
          <w:u w:val="single"/>
        </w:rPr>
      </w:pPr>
    </w:p>
    <w:p>
      <w:pPr>
        <w:spacing w:line="360" w:lineRule="auto"/>
        <w:ind w:right="15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附件11：</w:t>
      </w:r>
    </w:p>
    <w:p>
      <w:pPr>
        <w:spacing w:before="156" w:beforeLines="50" w:after="156" w:afterLines="50" w:line="440" w:lineRule="exact"/>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11-1：材料暂估价表</w:t>
      </w:r>
    </w:p>
    <w:tbl>
      <w:tblPr>
        <w:tblStyle w:val="2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984"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851"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774"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352"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1418"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合价（元）</w:t>
            </w:r>
          </w:p>
        </w:tc>
        <w:tc>
          <w:tcPr>
            <w:tcW w:w="1701"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bl>
    <w:p>
      <w:pPr>
        <w:spacing w:before="156" w:beforeLines="50" w:after="156" w:afterLines="50" w:line="440" w:lineRule="exact"/>
        <w:rPr>
          <w:rFonts w:hint="eastAsia" w:ascii="宋体" w:hAnsi="宋体" w:eastAsia="宋体" w:cs="宋体"/>
          <w:color w:val="000000"/>
          <w:sz w:val="24"/>
          <w:szCs w:val="24"/>
        </w:rPr>
      </w:pPr>
    </w:p>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11-2：工程设备暂估价表</w:t>
      </w:r>
    </w:p>
    <w:tbl>
      <w:tblPr>
        <w:tblStyle w:val="2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984"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851"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774"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352"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1418"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合价（元）</w:t>
            </w:r>
          </w:p>
        </w:tc>
        <w:tc>
          <w:tcPr>
            <w:tcW w:w="1701"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98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851"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774"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52"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41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701" w:type="dxa"/>
            <w:noWrap w:val="0"/>
            <w:vAlign w:val="top"/>
          </w:tcPr>
          <w:p>
            <w:pPr>
              <w:pStyle w:val="10"/>
              <w:keepNext/>
              <w:spacing w:line="440" w:lineRule="exact"/>
              <w:ind w:left="63" w:right="63"/>
              <w:rPr>
                <w:rFonts w:hint="eastAsia" w:ascii="宋体" w:hAnsi="宋体" w:eastAsia="宋体" w:cs="宋体"/>
                <w:color w:val="000000"/>
                <w:sz w:val="24"/>
                <w:szCs w:val="24"/>
              </w:rPr>
            </w:pPr>
          </w:p>
        </w:tc>
      </w:tr>
    </w:tbl>
    <w:p>
      <w:pPr>
        <w:spacing w:line="440" w:lineRule="exact"/>
        <w:rPr>
          <w:rFonts w:hint="eastAsia" w:ascii="宋体" w:hAnsi="宋体" w:eastAsia="宋体" w:cs="宋体"/>
          <w:color w:val="000000"/>
          <w:sz w:val="24"/>
          <w:szCs w:val="24"/>
        </w:rPr>
      </w:pPr>
    </w:p>
    <w:p>
      <w:pPr>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11-3：专业工程暂估价表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98"/>
        <w:gridCol w:w="2029"/>
        <w:gridCol w:w="4787"/>
        <w:gridCol w:w="13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9" w:hRule="atLeast"/>
        </w:trPr>
        <w:tc>
          <w:tcPr>
            <w:tcW w:w="898"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029"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专业工程名称</w:t>
            </w:r>
          </w:p>
        </w:tc>
        <w:tc>
          <w:tcPr>
            <w:tcW w:w="4787"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工程内容</w:t>
            </w:r>
          </w:p>
        </w:tc>
        <w:tc>
          <w:tcPr>
            <w:tcW w:w="1304" w:type="dxa"/>
            <w:tcBorders>
              <w:top w:val="single" w:color="auto" w:sz="12" w:space="0"/>
              <w:bottom w:val="doub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898"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tcBorders>
              <w:top w:val="double" w:color="auto" w:sz="6" w:space="0"/>
              <w:bottom w:val="single" w:color="auto" w:sz="6" w:space="0"/>
            </w:tcBorders>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tcBorders>
              <w:top w:val="nil"/>
            </w:tcBorders>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2029"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4787" w:type="dxa"/>
            <w:noWrap w:val="0"/>
            <w:vAlign w:val="top"/>
          </w:tcPr>
          <w:p>
            <w:pPr>
              <w:pStyle w:val="10"/>
              <w:keepNext/>
              <w:spacing w:line="440" w:lineRule="exact"/>
              <w:ind w:left="63" w:right="63"/>
              <w:rPr>
                <w:rFonts w:hint="eastAsia" w:ascii="宋体" w:hAnsi="宋体" w:eastAsia="宋体" w:cs="宋体"/>
                <w:color w:val="000000"/>
                <w:sz w:val="24"/>
                <w:szCs w:val="24"/>
              </w:rPr>
            </w:pPr>
          </w:p>
        </w:tc>
        <w:tc>
          <w:tcPr>
            <w:tcW w:w="1304" w:type="dxa"/>
            <w:noWrap w:val="0"/>
            <w:vAlign w:val="top"/>
          </w:tcPr>
          <w:p>
            <w:pPr>
              <w:pStyle w:val="10"/>
              <w:keepNext/>
              <w:spacing w:line="440" w:lineRule="exact"/>
              <w:ind w:left="63" w:right="63"/>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018" w:type="dxa"/>
            <w:gridSpan w:val="4"/>
            <w:noWrap w:val="0"/>
            <w:vAlign w:val="top"/>
          </w:tcPr>
          <w:p>
            <w:pPr>
              <w:pStyle w:val="10"/>
              <w:keepNext/>
              <w:spacing w:line="440" w:lineRule="exact"/>
              <w:ind w:left="5250" w:right="63"/>
              <w:rPr>
                <w:rFonts w:hint="eastAsia" w:ascii="宋体" w:hAnsi="宋体" w:eastAsia="宋体" w:cs="宋体"/>
                <w:color w:val="000000"/>
                <w:sz w:val="24"/>
                <w:szCs w:val="24"/>
              </w:rPr>
            </w:pPr>
            <w:r>
              <w:rPr>
                <w:rFonts w:hint="eastAsia" w:ascii="宋体" w:hAnsi="宋体" w:eastAsia="宋体" w:cs="宋体"/>
                <w:color w:val="000000"/>
                <w:sz w:val="24"/>
                <w:szCs w:val="24"/>
              </w:rPr>
              <w:t>小计：</w:t>
            </w:r>
          </w:p>
        </w:tc>
      </w:tr>
    </w:tbl>
    <w:p>
      <w:pPr>
        <w:autoSpaceDE w:val="0"/>
        <w:autoSpaceDN w:val="0"/>
        <w:adjustRightInd w:val="0"/>
        <w:spacing w:line="440" w:lineRule="exact"/>
        <w:rPr>
          <w:rFonts w:hint="eastAsia" w:ascii="宋体" w:hAnsi="宋体" w:eastAsia="宋体" w:cs="宋体"/>
          <w:color w:val="auto"/>
          <w:sz w:val="24"/>
          <w:szCs w:val="24"/>
          <w:highlight w:val="none"/>
        </w:rPr>
      </w:pPr>
    </w:p>
    <w:p>
      <w:pPr>
        <w:autoSpaceDE w:val="0"/>
        <w:autoSpaceDN w:val="0"/>
        <w:adjustRightInd w:val="0"/>
        <w:spacing w:line="440" w:lineRule="exact"/>
        <w:ind w:firstLine="420"/>
        <w:jc w:val="center"/>
        <w:rPr>
          <w:rFonts w:hint="eastAsia" w:asciiTheme="minorEastAsia" w:hAnsiTheme="minorEastAsia" w:eastAsiaTheme="minorEastAsia" w:cstheme="minorEastAsia"/>
          <w:color w:val="auto"/>
          <w:sz w:val="32"/>
          <w:szCs w:val="32"/>
          <w:highlight w:val="none"/>
        </w:rPr>
      </w:pPr>
    </w:p>
    <w:p>
      <w:pPr>
        <w:autoSpaceDE w:val="0"/>
        <w:autoSpaceDN w:val="0"/>
        <w:adjustRightInd w:val="0"/>
        <w:spacing w:line="440" w:lineRule="exact"/>
        <w:ind w:firstLine="420"/>
        <w:jc w:val="center"/>
        <w:rPr>
          <w:rFonts w:hint="eastAsia" w:asciiTheme="minorEastAsia" w:hAnsiTheme="minorEastAsia" w:eastAsiaTheme="minorEastAsia" w:cstheme="minorEastAsia"/>
          <w:color w:val="auto"/>
          <w:sz w:val="32"/>
          <w:szCs w:val="32"/>
          <w:highlight w:val="none"/>
        </w:rPr>
      </w:pPr>
    </w:p>
    <w:p>
      <w:pPr>
        <w:autoSpaceDE w:val="0"/>
        <w:autoSpaceDN w:val="0"/>
        <w:adjustRightInd w:val="0"/>
        <w:spacing w:line="440" w:lineRule="exact"/>
        <w:ind w:firstLine="420"/>
        <w:jc w:val="center"/>
        <w:rPr>
          <w:rFonts w:hint="eastAsia" w:asciiTheme="minorEastAsia" w:hAnsiTheme="minorEastAsia" w:eastAsiaTheme="minorEastAsia" w:cstheme="minorEastAsia"/>
          <w:color w:val="auto"/>
          <w:sz w:val="32"/>
          <w:szCs w:val="32"/>
          <w:highlight w:val="none"/>
        </w:rPr>
      </w:pPr>
    </w:p>
    <w:p>
      <w:pPr>
        <w:autoSpaceDE w:val="0"/>
        <w:autoSpaceDN w:val="0"/>
        <w:adjustRightInd w:val="0"/>
        <w:spacing w:line="440" w:lineRule="exact"/>
        <w:ind w:firstLine="420"/>
        <w:jc w:val="center"/>
        <w:rPr>
          <w:rFonts w:hint="eastAsia" w:asciiTheme="minorEastAsia" w:hAnsiTheme="minorEastAsia" w:eastAsiaTheme="minorEastAsia" w:cstheme="minorEastAsia"/>
          <w:color w:val="auto"/>
          <w:sz w:val="32"/>
          <w:szCs w:val="32"/>
          <w:highlight w:val="none"/>
        </w:rPr>
      </w:pPr>
    </w:p>
    <w:p>
      <w:pPr>
        <w:autoSpaceDE w:val="0"/>
        <w:autoSpaceDN w:val="0"/>
        <w:adjustRightInd w:val="0"/>
        <w:spacing w:line="440" w:lineRule="exact"/>
        <w:ind w:firstLine="420"/>
        <w:jc w:val="center"/>
        <w:rPr>
          <w:rFonts w:hint="eastAsia" w:asciiTheme="minorEastAsia" w:hAnsiTheme="minorEastAsia" w:eastAsiaTheme="minorEastAsia" w:cstheme="minorEastAsia"/>
          <w:color w:val="auto"/>
          <w:sz w:val="32"/>
          <w:szCs w:val="32"/>
          <w:highlight w:val="none"/>
        </w:rPr>
      </w:pPr>
    </w:p>
    <w:p>
      <w:pPr>
        <w:autoSpaceDE w:val="0"/>
        <w:autoSpaceDN w:val="0"/>
        <w:adjustRightInd w:val="0"/>
        <w:spacing w:line="440" w:lineRule="exact"/>
        <w:ind w:firstLine="420"/>
        <w:jc w:val="center"/>
        <w:rPr>
          <w:rFonts w:hint="eastAsia" w:asciiTheme="minorEastAsia" w:hAnsiTheme="minorEastAsia" w:eastAsiaTheme="minorEastAsia" w:cstheme="minorEastAsia"/>
          <w:color w:val="auto"/>
          <w:sz w:val="32"/>
          <w:szCs w:val="32"/>
          <w:highlight w:val="none"/>
        </w:rPr>
      </w:pPr>
    </w:p>
    <w:p>
      <w:pPr>
        <w:autoSpaceDE w:val="0"/>
        <w:autoSpaceDN w:val="0"/>
        <w:adjustRightInd w:val="0"/>
        <w:spacing w:line="440" w:lineRule="exact"/>
        <w:ind w:firstLine="420"/>
        <w:jc w:val="center"/>
        <w:outlineLvl w:val="0"/>
        <w:rPr>
          <w:rFonts w:hint="eastAsia" w:asciiTheme="minorEastAsia" w:hAnsiTheme="minorEastAsia" w:eastAsiaTheme="minorEastAsia" w:cstheme="minorEastAsia"/>
          <w:b/>
          <w:bCs/>
          <w:color w:val="auto"/>
          <w:sz w:val="36"/>
          <w:szCs w:val="36"/>
          <w:highlight w:val="none"/>
          <w:lang w:val="zh-CN"/>
        </w:rPr>
      </w:pPr>
      <w:bookmarkStart w:id="1236" w:name="_Toc10698"/>
      <w:r>
        <w:rPr>
          <w:rFonts w:hint="eastAsia" w:asciiTheme="minorEastAsia" w:hAnsiTheme="minorEastAsia" w:eastAsiaTheme="minorEastAsia" w:cstheme="minorEastAsia"/>
          <w:color w:val="auto"/>
          <w:sz w:val="32"/>
          <w:szCs w:val="32"/>
          <w:highlight w:val="none"/>
        </w:rPr>
        <w:t>第五部分　</w:t>
      </w:r>
      <w:bookmarkEnd w:id="193"/>
      <w:bookmarkEnd w:id="194"/>
      <w:bookmarkEnd w:id="195"/>
      <w:bookmarkEnd w:id="196"/>
      <w:r>
        <w:rPr>
          <w:rFonts w:hint="eastAsia" w:asciiTheme="minorEastAsia" w:hAnsiTheme="minorEastAsia" w:eastAsiaTheme="minorEastAsia" w:cstheme="minorEastAsia"/>
          <w:color w:val="auto"/>
          <w:sz w:val="32"/>
          <w:szCs w:val="32"/>
          <w:highlight w:val="none"/>
          <w:lang w:val="zh-CN"/>
        </w:rPr>
        <w:t>响应文件格式</w:t>
      </w:r>
      <w:bookmarkEnd w:id="1236"/>
    </w:p>
    <w:p>
      <w:pPr>
        <w:spacing w:line="400" w:lineRule="atLeast"/>
        <w:jc w:val="center"/>
        <w:rPr>
          <w:rFonts w:hint="eastAsia" w:asciiTheme="minorEastAsia" w:hAnsiTheme="minorEastAsia" w:eastAsiaTheme="minorEastAsia" w:cstheme="minorEastAsia"/>
          <w:color w:val="auto"/>
          <w:sz w:val="32"/>
          <w:szCs w:val="32"/>
          <w:highlight w:val="none"/>
        </w:rPr>
      </w:pPr>
    </w:p>
    <w:p>
      <w:pPr>
        <w:autoSpaceDE w:val="0"/>
        <w:autoSpaceDN w:val="0"/>
        <w:adjustRightInd w:val="0"/>
        <w:spacing w:line="440" w:lineRule="exact"/>
        <w:ind w:firstLine="420"/>
        <w:rPr>
          <w:rFonts w:hint="eastAsia" w:asciiTheme="minorEastAsia" w:hAnsiTheme="minorEastAsia" w:eastAsiaTheme="minorEastAsia" w:cstheme="minorEastAsia"/>
          <w:b/>
          <w:bCs/>
          <w:color w:val="auto"/>
          <w:sz w:val="36"/>
          <w:szCs w:val="36"/>
          <w:highlight w:val="none"/>
          <w:lang w:val="zh-CN"/>
        </w:rPr>
      </w:pPr>
    </w:p>
    <w:p>
      <w:pPr>
        <w:autoSpaceDE w:val="0"/>
        <w:autoSpaceDN w:val="0"/>
        <w:adjustRightInd w:val="0"/>
        <w:spacing w:line="440" w:lineRule="exact"/>
        <w:ind w:firstLine="420"/>
        <w:rPr>
          <w:rFonts w:hint="eastAsia" w:asciiTheme="minorEastAsia" w:hAnsiTheme="minorEastAsia" w:eastAsiaTheme="minorEastAsia" w:cstheme="minorEastAsia"/>
          <w:b/>
          <w:bCs/>
          <w:color w:val="auto"/>
          <w:sz w:val="36"/>
          <w:szCs w:val="36"/>
          <w:highlight w:val="none"/>
          <w:lang w:val="zh-CN"/>
        </w:rPr>
      </w:pPr>
    </w:p>
    <w:p>
      <w:pPr>
        <w:autoSpaceDE w:val="0"/>
        <w:autoSpaceDN w:val="0"/>
        <w:adjustRightInd w:val="0"/>
        <w:spacing w:line="440" w:lineRule="exact"/>
        <w:jc w:val="center"/>
        <w:outlineLvl w:val="0"/>
        <w:rPr>
          <w:rFonts w:hint="eastAsia" w:asciiTheme="minorEastAsia" w:hAnsiTheme="minorEastAsia" w:eastAsiaTheme="minorEastAsia" w:cstheme="minorEastAsia"/>
          <w:b/>
          <w:bCs/>
          <w:color w:val="auto"/>
          <w:sz w:val="24"/>
          <w:szCs w:val="24"/>
          <w:highlight w:val="none"/>
          <w:lang w:val="zh-CN"/>
        </w:rPr>
      </w:pPr>
      <w:bookmarkStart w:id="1237" w:name="_Toc11998"/>
      <w:r>
        <w:rPr>
          <w:rFonts w:hint="eastAsia" w:asciiTheme="minorEastAsia" w:hAnsiTheme="minorEastAsia" w:eastAsiaTheme="minorEastAsia" w:cstheme="minorEastAsia"/>
          <w:color w:val="auto"/>
          <w:sz w:val="24"/>
          <w:szCs w:val="24"/>
          <w:highlight w:val="none"/>
          <w:lang w:val="zh-CN"/>
        </w:rPr>
        <w:t>注：为了便于查找，标注目录及页码</w:t>
      </w:r>
      <w:bookmarkEnd w:id="1237"/>
    </w:p>
    <w:p>
      <w:pPr>
        <w:autoSpaceDE w:val="0"/>
        <w:autoSpaceDN w:val="0"/>
        <w:adjustRightInd w:val="0"/>
        <w:spacing w:line="440" w:lineRule="exact"/>
        <w:jc w:val="center"/>
        <w:outlineLvl w:val="0"/>
        <w:rPr>
          <w:rFonts w:hint="eastAsia" w:asciiTheme="minorEastAsia" w:hAnsiTheme="minorEastAsia" w:eastAsiaTheme="minorEastAsia" w:cstheme="minorEastAsia"/>
          <w:color w:val="auto"/>
          <w:sz w:val="24"/>
          <w:szCs w:val="24"/>
          <w:highlight w:val="none"/>
          <w:lang w:val="zh-CN"/>
        </w:rPr>
      </w:pPr>
      <w:bookmarkStart w:id="1238" w:name="_Toc6667"/>
      <w:r>
        <w:rPr>
          <w:rFonts w:hint="eastAsia" w:asciiTheme="minorEastAsia" w:hAnsiTheme="minorEastAsia" w:eastAsiaTheme="minorEastAsia" w:cstheme="minorEastAsia"/>
          <w:color w:val="auto"/>
          <w:sz w:val="24"/>
          <w:szCs w:val="24"/>
          <w:highlight w:val="none"/>
          <w:lang w:val="zh-CN"/>
        </w:rPr>
        <w:t>（以下内容需按要求提供相应证明材料）</w:t>
      </w:r>
      <w:bookmarkEnd w:id="1238"/>
    </w:p>
    <w:p>
      <w:pPr>
        <w:autoSpaceDE w:val="0"/>
        <w:autoSpaceDN w:val="0"/>
        <w:adjustRightInd w:val="0"/>
        <w:spacing w:line="440" w:lineRule="exact"/>
        <w:jc w:val="center"/>
        <w:rPr>
          <w:rFonts w:hint="eastAsia" w:asciiTheme="minorEastAsia" w:hAnsiTheme="minorEastAsia" w:eastAsiaTheme="minorEastAsia" w:cstheme="minorEastAsia"/>
          <w:b/>
          <w:bCs/>
          <w:color w:val="auto"/>
          <w:sz w:val="32"/>
          <w:szCs w:val="32"/>
          <w:highlight w:val="none"/>
          <w:lang w:val="zh-CN"/>
        </w:rPr>
      </w:pPr>
    </w:p>
    <w:p>
      <w:pPr>
        <w:autoSpaceDE w:val="0"/>
        <w:autoSpaceDN w:val="0"/>
        <w:adjustRightInd w:val="0"/>
        <w:spacing w:line="440" w:lineRule="exact"/>
        <w:rPr>
          <w:rFonts w:hint="eastAsia" w:asciiTheme="minorEastAsia" w:hAnsiTheme="minorEastAsia" w:eastAsiaTheme="minorEastAsia" w:cstheme="minorEastAsia"/>
          <w:b/>
          <w:bCs/>
          <w:color w:val="auto"/>
          <w:sz w:val="32"/>
          <w:szCs w:val="32"/>
          <w:highlight w:val="none"/>
          <w:lang w:val="zh-CN"/>
        </w:rPr>
      </w:pPr>
    </w:p>
    <w:p>
      <w:pPr>
        <w:pStyle w:val="4"/>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color w:val="auto"/>
          <w:sz w:val="24"/>
          <w:szCs w:val="24"/>
          <w:highlight w:val="none"/>
          <w:lang w:val="zh-CN"/>
        </w:rPr>
        <w:br w:type="page"/>
      </w:r>
      <w:bookmarkStart w:id="1239" w:name="_Toc414108641"/>
      <w:bookmarkStart w:id="1240" w:name="_Toc383102810"/>
      <w:bookmarkStart w:id="1241" w:name="_Toc12288"/>
      <w:r>
        <w:rPr>
          <w:rFonts w:hint="eastAsia" w:asciiTheme="minorEastAsia" w:hAnsiTheme="minorEastAsia" w:eastAsiaTheme="minorEastAsia" w:cstheme="minorEastAsia"/>
          <w:color w:val="auto"/>
          <w:highlight w:val="none"/>
          <w:lang w:val="zh-CN"/>
        </w:rPr>
        <w:t>商</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务</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标</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格</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式</w:t>
      </w:r>
      <w:bookmarkEnd w:id="1239"/>
      <w:bookmarkEnd w:id="1240"/>
      <w:bookmarkEnd w:id="1241"/>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商务标封面示例</w:t>
      </w:r>
    </w:p>
    <w:p>
      <w:pPr>
        <w:autoSpaceDE w:val="0"/>
        <w:autoSpaceDN w:val="0"/>
        <w:adjustRightInd w:val="0"/>
        <w:ind w:firstLine="672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000000"/>
          <w:sz w:val="28"/>
          <w:lang w:val="en-US" w:eastAsia="zh-CN"/>
        </w:rPr>
        <w:t xml:space="preserve"> </w:t>
      </w:r>
      <w:r>
        <w:rPr>
          <w:rFonts w:hint="eastAsia" w:asciiTheme="minorEastAsia" w:hAnsiTheme="minorEastAsia" w:eastAsiaTheme="minorEastAsia" w:cstheme="minorEastAsia"/>
          <w:color w:val="000000"/>
          <w:sz w:val="28"/>
        </w:rPr>
        <w:t>正本/副本</w:t>
      </w:r>
    </w:p>
    <w:p>
      <w:pPr>
        <w:autoSpaceDE w:val="0"/>
        <w:autoSpaceDN w:val="0"/>
        <w:adjustRightInd w:val="0"/>
        <w:rPr>
          <w:rFonts w:hint="eastAsia" w:asciiTheme="minorEastAsia" w:hAnsiTheme="minorEastAsia" w:eastAsiaTheme="minorEastAsia" w:cstheme="minorEastAsia"/>
          <w:color w:val="auto"/>
          <w:szCs w:val="21"/>
          <w:highlight w:val="none"/>
        </w:rPr>
      </w:pPr>
    </w:p>
    <w:p>
      <w:pPr>
        <w:jc w:val="center"/>
        <w:rPr>
          <w:rFonts w:hint="eastAsia" w:asciiTheme="minorEastAsia" w:hAnsiTheme="minorEastAsia" w:eastAsiaTheme="minorEastAsia" w:cstheme="minorEastAsia"/>
          <w:b/>
          <w:bCs/>
          <w:color w:val="auto"/>
          <w:highlight w:val="none"/>
          <w:lang w:val="zh-CN"/>
        </w:rPr>
      </w:pPr>
    </w:p>
    <w:p>
      <w:pPr>
        <w:jc w:val="center"/>
        <w:rPr>
          <w:rFonts w:hint="eastAsia" w:asciiTheme="minorEastAsia" w:hAnsiTheme="minorEastAsia" w:eastAsiaTheme="minorEastAsia" w:cstheme="minorEastAsia"/>
          <w:b/>
          <w:bCs/>
          <w:color w:val="auto"/>
          <w:sz w:val="48"/>
          <w:szCs w:val="48"/>
          <w:highlight w:val="none"/>
        </w:rPr>
      </w:pPr>
      <w:r>
        <w:rPr>
          <w:rFonts w:hint="eastAsia" w:asciiTheme="minorEastAsia" w:hAnsiTheme="minorEastAsia" w:eastAsiaTheme="minorEastAsia" w:cstheme="minorEastAsia"/>
          <w:b/>
          <w:bCs/>
          <w:color w:val="auto"/>
          <w:sz w:val="48"/>
          <w:szCs w:val="48"/>
          <w:highlight w:val="none"/>
          <w:lang w:val="zh-CN"/>
        </w:rPr>
        <w:t>响应文件商务标</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供应商名称：（盖章）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法定代表人或被授权代理人：（</w:t>
      </w:r>
      <w:r>
        <w:rPr>
          <w:rFonts w:hint="eastAsia" w:asciiTheme="minorEastAsia" w:hAnsiTheme="minorEastAsia" w:eastAsiaTheme="minorEastAsia" w:cstheme="minorEastAsia"/>
          <w:color w:val="auto"/>
          <w:szCs w:val="21"/>
          <w:highlight w:val="none"/>
          <w:lang w:eastAsia="zh-CN"/>
        </w:rPr>
        <w:t>签字或</w:t>
      </w:r>
      <w:r>
        <w:rPr>
          <w:rFonts w:hint="eastAsia" w:asciiTheme="minorEastAsia" w:hAnsiTheme="minorEastAsia" w:eastAsiaTheme="minorEastAsia" w:cstheme="minorEastAsia"/>
          <w:color w:val="auto"/>
          <w:szCs w:val="21"/>
          <w:highlight w:val="none"/>
        </w:rPr>
        <w:t>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单位地址：</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p>
      <w:pPr>
        <w:autoSpaceDE w:val="0"/>
        <w:autoSpaceDN w:val="0"/>
        <w:adjustRightInd w:val="0"/>
        <w:jc w:val="left"/>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年      月       日</w:t>
      </w:r>
    </w:p>
    <w:p>
      <w:pPr>
        <w:autoSpaceDE w:val="0"/>
        <w:autoSpaceDN w:val="0"/>
        <w:adjustRightInd w:val="0"/>
        <w:jc w:val="left"/>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商务标目录</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ind w:left="210" w:left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1、投标承诺书（一）</w:t>
      </w:r>
    </w:p>
    <w:p>
      <w:pPr>
        <w:autoSpaceDE w:val="0"/>
        <w:autoSpaceDN w:val="0"/>
        <w:adjustRightInd w:val="0"/>
        <w:ind w:left="210" w:left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2、投标承诺书（二）</w:t>
      </w:r>
    </w:p>
    <w:p>
      <w:pPr>
        <w:autoSpaceDE w:val="0"/>
        <w:autoSpaceDN w:val="0"/>
        <w:adjustRightInd w:val="0"/>
        <w:ind w:left="210" w:leftChars="1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3、投标承诺书（三）</w:t>
      </w:r>
    </w:p>
    <w:p>
      <w:pPr>
        <w:autoSpaceDE w:val="0"/>
        <w:autoSpaceDN w:val="0"/>
        <w:adjustRightInd w:val="0"/>
        <w:ind w:left="210" w:left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、法定代表人身份证明书</w:t>
      </w:r>
    </w:p>
    <w:p>
      <w:pPr>
        <w:autoSpaceDE w:val="0"/>
        <w:autoSpaceDN w:val="0"/>
        <w:adjustRightInd w:val="0"/>
        <w:ind w:left="210" w:left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、法定代表人授权委托书</w:t>
      </w:r>
    </w:p>
    <w:p>
      <w:pPr>
        <w:autoSpaceDE w:val="0"/>
        <w:autoSpaceDN w:val="0"/>
        <w:adjustRightInd w:val="0"/>
        <w:ind w:left="420" w:leftChars="100" w:hanging="210" w:hanging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概况（企业营业执照副本复印件、资质证书副本复印件、安全生产许可证复印件、注册建造师证书</w:t>
      </w:r>
      <w:r>
        <w:rPr>
          <w:rFonts w:hint="eastAsia" w:asciiTheme="minorEastAsia" w:hAnsiTheme="minorEastAsia" w:eastAsiaTheme="minorEastAsia" w:cstheme="minorEastAsia"/>
          <w:color w:val="auto"/>
          <w:szCs w:val="21"/>
          <w:highlight w:val="none"/>
          <w:lang w:val="en-US" w:eastAsia="zh-CN"/>
        </w:rPr>
        <w:t>等</w:t>
      </w:r>
      <w:r>
        <w:rPr>
          <w:rFonts w:hint="eastAsia" w:asciiTheme="minorEastAsia" w:hAnsiTheme="minorEastAsia" w:eastAsiaTheme="minorEastAsia" w:cstheme="minorEastAsia"/>
          <w:color w:val="auto"/>
          <w:szCs w:val="21"/>
          <w:highlight w:val="none"/>
        </w:rPr>
        <w:t>复印件）；</w:t>
      </w:r>
    </w:p>
    <w:p>
      <w:pPr>
        <w:autoSpaceDE w:val="0"/>
        <w:autoSpaceDN w:val="0"/>
        <w:adjustRightInd w:val="0"/>
        <w:ind w:left="420" w:leftChars="100" w:hanging="210" w:hanging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近三年</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（201</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月—至今</w:t>
      </w:r>
      <w:r>
        <w:rPr>
          <w:rFonts w:hint="eastAsia" w:asciiTheme="minorEastAsia" w:hAnsiTheme="minorEastAsia" w:eastAsiaTheme="minorEastAsia" w:cstheme="minorEastAsia"/>
          <w:color w:val="auto"/>
          <w:szCs w:val="21"/>
          <w:highlight w:val="none"/>
        </w:rPr>
        <w:t>）类似工程业绩证明材料（附：中标通知书、施工合同</w:t>
      </w:r>
      <w:r>
        <w:rPr>
          <w:rFonts w:hint="eastAsia" w:asciiTheme="minorEastAsia" w:hAnsiTheme="minorEastAsia" w:eastAsiaTheme="minorEastAsia" w:cstheme="minorEastAsia"/>
          <w:color w:val="auto"/>
          <w:szCs w:val="21"/>
          <w:highlight w:val="none"/>
          <w:lang w:eastAsia="zh-CN"/>
        </w:rPr>
        <w:t>等</w:t>
      </w:r>
      <w:r>
        <w:rPr>
          <w:rFonts w:hint="eastAsia" w:asciiTheme="minorEastAsia" w:hAnsiTheme="minorEastAsia" w:eastAsiaTheme="minorEastAsia" w:cstheme="minorEastAsia"/>
          <w:color w:val="auto"/>
          <w:szCs w:val="21"/>
          <w:highlight w:val="none"/>
        </w:rPr>
        <w:t>）</w:t>
      </w:r>
    </w:p>
    <w:p>
      <w:pPr>
        <w:autoSpaceDE w:val="0"/>
        <w:autoSpaceDN w:val="0"/>
        <w:adjustRightInd w:val="0"/>
        <w:ind w:left="420" w:leftChars="100" w:hanging="210" w:hanging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、项目负责人简历【项目负责人近三年</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月—至今）类似</w:t>
      </w:r>
      <w:r>
        <w:rPr>
          <w:rFonts w:hint="eastAsia" w:asciiTheme="minorEastAsia" w:hAnsiTheme="minorEastAsia" w:eastAsiaTheme="minorEastAsia" w:cstheme="minorEastAsia"/>
          <w:color w:val="auto"/>
          <w:szCs w:val="21"/>
          <w:highlight w:val="none"/>
        </w:rPr>
        <w:t>工程业绩如有要求需附证明材料】（附：中标通知书、施工合同</w:t>
      </w:r>
      <w:r>
        <w:rPr>
          <w:rFonts w:hint="eastAsia" w:asciiTheme="minorEastAsia" w:hAnsiTheme="minorEastAsia" w:eastAsiaTheme="minorEastAsia" w:cstheme="minorEastAsia"/>
          <w:color w:val="auto"/>
          <w:szCs w:val="21"/>
          <w:highlight w:val="none"/>
          <w:lang w:eastAsia="zh-CN"/>
        </w:rPr>
        <w:t>等</w:t>
      </w:r>
      <w:r>
        <w:rPr>
          <w:rFonts w:hint="eastAsia" w:asciiTheme="minorEastAsia" w:hAnsiTheme="minorEastAsia" w:eastAsiaTheme="minorEastAsia" w:cstheme="minorEastAsia"/>
          <w:color w:val="auto"/>
          <w:szCs w:val="21"/>
          <w:highlight w:val="none"/>
        </w:rPr>
        <w:t>）</w:t>
      </w:r>
    </w:p>
    <w:p>
      <w:pPr>
        <w:autoSpaceDE w:val="0"/>
        <w:autoSpaceDN w:val="0"/>
        <w:adjustRightInd w:val="0"/>
        <w:ind w:left="210" w:leftChars="1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9、项目管理人员</w:t>
      </w:r>
    </w:p>
    <w:p>
      <w:pPr>
        <w:autoSpaceDE w:val="0"/>
        <w:autoSpaceDN w:val="0"/>
        <w:adjustRightInd w:val="0"/>
        <w:ind w:left="420" w:leftChars="100" w:hanging="210" w:hangingChars="1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磋商保证金（附保证金收据复印件或相关凭证复印件）</w:t>
      </w:r>
    </w:p>
    <w:p>
      <w:pPr>
        <w:autoSpaceDE w:val="0"/>
        <w:autoSpaceDN w:val="0"/>
        <w:adjustRightInd w:val="0"/>
        <w:ind w:left="210" w:leftChars="1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11、财务状况（2018、2019年近两年经会计师事务所审计的财务报告）</w:t>
      </w:r>
    </w:p>
    <w:p>
      <w:pPr>
        <w:autoSpaceDE w:val="0"/>
        <w:autoSpaceDN w:val="0"/>
        <w:adjustRightInd w:val="0"/>
        <w:ind w:left="210" w:leftChars="1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12、不参与围标串标承诺书</w:t>
      </w:r>
    </w:p>
    <w:p>
      <w:pPr>
        <w:autoSpaceDE w:val="0"/>
        <w:autoSpaceDN w:val="0"/>
        <w:adjustRightInd w:val="0"/>
        <w:ind w:left="210" w:leftChars="1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13、磋商文件要求的其他证明材料</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注：为了便于查找，请按上述顺序编排商务标内容，并在目录中标明每项内容的起始页码。</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ind w:left="210" w:leftChars="10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pPr>
        <w:pStyle w:val="5"/>
        <w:jc w:val="center"/>
        <w:rPr>
          <w:rFonts w:hint="eastAsia" w:asciiTheme="minorEastAsia" w:hAnsiTheme="minorEastAsia" w:eastAsiaTheme="minorEastAsia" w:cstheme="minorEastAsia"/>
          <w:color w:val="auto"/>
          <w:highlight w:val="none"/>
        </w:rPr>
      </w:pPr>
      <w:bookmarkStart w:id="1242" w:name="_Toc414108642"/>
      <w:r>
        <w:rPr>
          <w:rFonts w:hint="eastAsia" w:asciiTheme="minorEastAsia" w:hAnsiTheme="minorEastAsia" w:eastAsiaTheme="minorEastAsia" w:cstheme="minorEastAsia"/>
          <w:color w:val="auto"/>
          <w:highlight w:val="none"/>
          <w:lang w:val="zh-CN"/>
        </w:rPr>
        <w:t>投标承诺书（一）</w:t>
      </w:r>
      <w:bookmarkEnd w:id="1242"/>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采购人：</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highlight w:val="none"/>
          <w:lang w:val="zh-CN"/>
        </w:rPr>
        <w:t>、根据已收到的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工程的磋商文件，我单位经考察现场和研究贵方的磋商文件后，将接受该工程磋商文件中各条款内容并且以经济标中所报投标价格承包本招标范围内的工程。</w:t>
      </w:r>
    </w:p>
    <w:p>
      <w:pPr>
        <w:autoSpaceDE w:val="0"/>
        <w:autoSpaceDN w:val="0"/>
        <w:adjustRightInd w:val="0"/>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highlight w:val="none"/>
          <w:lang w:val="zh-CN"/>
        </w:rPr>
        <w:t>、如果我方中标，非业主原因，我方保证将在下列日期内组织施工。</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工期：</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w:t>
      </w:r>
    </w:p>
    <w:p>
      <w:pPr>
        <w:autoSpaceDE w:val="0"/>
        <w:autoSpaceDN w:val="0"/>
        <w:adjustRightInd w:val="0"/>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lang w:val="zh-CN"/>
        </w:rPr>
        <w:t>、如果我方中标，非业主原因，我方保证将按下列质量等级完成本工程。</w:t>
      </w: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质量等级：</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highlight w:val="none"/>
          <w:lang w:val="zh-CN"/>
        </w:rPr>
        <w:t>、如果我方中标，我方将按磋商文件规定的时间内签订承包合同。如果我方违约，除履约保证金外，我方还将以中标价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lang w:val="zh-CN"/>
        </w:rPr>
        <w:t>作为赔偿金，同时贵方有权终止我方中标并选择其它中标人。</w:t>
      </w:r>
    </w:p>
    <w:p>
      <w:pPr>
        <w:autoSpaceDE w:val="0"/>
        <w:autoSpaceDN w:val="0"/>
        <w:adjustRightInd w:val="0"/>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highlight w:val="none"/>
          <w:lang w:val="zh-CN"/>
        </w:rPr>
        <w:t>、贵方的磋商文件、中标通知书、我方的响应文件将构成约束双方的合同一部分。</w:t>
      </w:r>
    </w:p>
    <w:p>
      <w:pPr>
        <w:autoSpaceDE w:val="0"/>
        <w:autoSpaceDN w:val="0"/>
        <w:adjustRightInd w:val="0"/>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highlight w:val="none"/>
          <w:lang w:val="zh-CN"/>
        </w:rPr>
        <w:t>、如果我方未中标，贵方没有必要对我方做出任何解释和说明，我方将充分尊重和理解贵方的选择。</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供应商：</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（盖章）</w:t>
      </w: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法定代表人或委托代理人：</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（签字或盖章）</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日</w:t>
      </w:r>
      <w:r>
        <w:rPr>
          <w:rFonts w:hint="eastAsia" w:asciiTheme="minorEastAsia" w:hAnsiTheme="minorEastAsia" w:eastAsiaTheme="minorEastAsia" w:cstheme="minorEastAsia"/>
          <w:color w:val="auto"/>
          <w:szCs w:val="21"/>
          <w:highlight w:val="non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pStyle w:val="5"/>
        <w:jc w:val="center"/>
        <w:outlineLvl w:val="9"/>
        <w:rPr>
          <w:rFonts w:hint="eastAsia" w:asciiTheme="minorEastAsia" w:hAnsiTheme="minorEastAsia" w:eastAsiaTheme="minorEastAsia" w:cstheme="minorEastAsia"/>
          <w:color w:val="auto"/>
          <w:highlight w:val="none"/>
          <w:lang w:val="zh-CN"/>
        </w:rPr>
      </w:pPr>
      <w:bookmarkStart w:id="1243" w:name="_Toc414108643"/>
    </w:p>
    <w:p>
      <w:pPr>
        <w:rPr>
          <w:rFonts w:hint="eastAsia" w:asciiTheme="minorEastAsia" w:hAnsiTheme="minorEastAsia" w:eastAsiaTheme="minorEastAsia" w:cstheme="minorEastAsia"/>
          <w:color w:val="auto"/>
          <w:highlight w:val="none"/>
          <w:lang w:val="zh-CN"/>
        </w:rPr>
      </w:pPr>
    </w:p>
    <w:p>
      <w:pPr>
        <w:rPr>
          <w:rFonts w:hint="eastAsia" w:asciiTheme="minorEastAsia" w:hAnsiTheme="minorEastAsia" w:eastAsiaTheme="minorEastAsia" w:cstheme="minorEastAsia"/>
          <w:color w:val="auto"/>
          <w:highlight w:val="none"/>
          <w:lang w:val="zh-CN"/>
        </w:rPr>
      </w:pPr>
    </w:p>
    <w:p>
      <w:pPr>
        <w:pStyle w:val="33"/>
        <w:rPr>
          <w:rFonts w:hint="eastAsia" w:asciiTheme="minorEastAsia" w:hAnsiTheme="minorEastAsia" w:eastAsiaTheme="minorEastAsia" w:cstheme="minorEastAsia"/>
          <w:color w:val="auto"/>
          <w:highlight w:val="none"/>
          <w:lang w:val="zh-CN"/>
        </w:rPr>
      </w:pPr>
    </w:p>
    <w:p>
      <w:pPr>
        <w:pStyle w:val="33"/>
        <w:rPr>
          <w:rFonts w:hint="eastAsia" w:asciiTheme="minorEastAsia" w:hAnsiTheme="minorEastAsia" w:eastAsiaTheme="minorEastAsia" w:cstheme="minorEastAsia"/>
          <w:color w:val="auto"/>
          <w:highlight w:val="none"/>
          <w:lang w:val="zh-CN"/>
        </w:rPr>
      </w:pPr>
    </w:p>
    <w:p>
      <w:pPr>
        <w:rPr>
          <w:rFonts w:hint="eastAsia" w:asciiTheme="minorEastAsia" w:hAnsiTheme="minorEastAsia" w:eastAsiaTheme="minorEastAsia" w:cstheme="minorEastAsia"/>
          <w:color w:val="auto"/>
          <w:highlight w:val="none"/>
          <w:lang w:val="zh-CN"/>
        </w:rPr>
      </w:pPr>
    </w:p>
    <w:p>
      <w:pPr>
        <w:rPr>
          <w:rFonts w:hint="eastAsia" w:asciiTheme="minorEastAsia" w:hAnsiTheme="minorEastAsia" w:eastAsiaTheme="minorEastAsia" w:cstheme="minorEastAsia"/>
          <w:color w:val="auto"/>
          <w:highlight w:val="none"/>
          <w:lang w:val="zh-CN"/>
        </w:rPr>
      </w:pPr>
    </w:p>
    <w:p>
      <w:pPr>
        <w:pStyle w:val="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投标承诺书（二）</w:t>
      </w:r>
      <w:bookmarkEnd w:id="1243"/>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采购人：</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如果我方中标，施工项目负责人为：</w:t>
      </w:r>
    </w:p>
    <w:tbl>
      <w:tblPr>
        <w:tblStyle w:val="24"/>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auto"/>
                <w:szCs w:val="21"/>
                <w:highlight w:val="none"/>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职称</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auto"/>
                <w:szCs w:val="21"/>
                <w:highlight w:val="none"/>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注册建造师证书编号</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身份证号码</w:t>
            </w:r>
          </w:p>
        </w:tc>
        <w:tc>
          <w:tcPr>
            <w:tcW w:w="6827" w:type="dxa"/>
            <w:gridSpan w:val="3"/>
            <w:tcBorders>
              <w:top w:val="single" w:color="auto" w:sz="4" w:space="0"/>
              <w:left w:val="single" w:color="auto" w:sz="4" w:space="0"/>
              <w:bottom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color w:val="auto"/>
                <w:szCs w:val="21"/>
                <w:highlight w:val="none"/>
                <w:u w:val="single"/>
              </w:rPr>
            </w:pPr>
          </w:p>
        </w:tc>
      </w:tr>
    </w:tbl>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lang w:val="zh-CN"/>
        </w:rPr>
        <w:t>作为赔偿金。</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供应商：</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（盖章）</w:t>
      </w: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法定代表人或委托代理人：</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（签字或盖章）</w:t>
      </w:r>
    </w:p>
    <w:p>
      <w:pPr>
        <w:autoSpaceDE w:val="0"/>
        <w:autoSpaceDN w:val="0"/>
        <w:adjustRightInd w:val="0"/>
        <w:rPr>
          <w:rFonts w:hint="eastAsia" w:asciiTheme="minorEastAsia" w:hAnsiTheme="minorEastAsia" w:eastAsiaTheme="minorEastAsia" w:cstheme="minorEastAsia"/>
          <w:color w:val="auto"/>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日</w:t>
      </w:r>
      <w:r>
        <w:rPr>
          <w:rFonts w:hint="eastAsia" w:asciiTheme="minorEastAsia" w:hAnsiTheme="minorEastAsia" w:eastAsiaTheme="minorEastAsia" w:cstheme="minorEastAsia"/>
          <w:color w:val="auto"/>
          <w:szCs w:val="21"/>
          <w:highlight w:val="non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spacing w:line="360" w:lineRule="auto"/>
        <w:ind w:left="424"/>
        <w:jc w:val="center"/>
        <w:rPr>
          <w:rFonts w:hint="eastAsia" w:asciiTheme="minorEastAsia" w:hAnsiTheme="minorEastAsia" w:eastAsiaTheme="minorEastAsia" w:cstheme="minorEastAsia"/>
          <w:b/>
          <w:color w:val="auto"/>
          <w:kern w:val="1"/>
          <w:szCs w:val="21"/>
          <w:highlight w:val="none"/>
        </w:rPr>
      </w:pPr>
      <w:bookmarkStart w:id="1244" w:name="_Toc414108644"/>
    </w:p>
    <w:p>
      <w:pPr>
        <w:spacing w:line="360" w:lineRule="auto"/>
        <w:ind w:left="424"/>
        <w:jc w:val="center"/>
        <w:rPr>
          <w:rFonts w:hint="eastAsia" w:asciiTheme="minorEastAsia" w:hAnsiTheme="minorEastAsia" w:eastAsiaTheme="minorEastAsia" w:cstheme="minorEastAsia"/>
          <w:b/>
          <w:bCs/>
          <w:color w:val="auto"/>
          <w:kern w:val="2"/>
          <w:sz w:val="32"/>
          <w:szCs w:val="32"/>
          <w:highlight w:val="none"/>
          <w:lang w:val="zh-CN" w:eastAsia="zh-CN" w:bidi="ar-SA"/>
        </w:rPr>
      </w:pPr>
      <w:r>
        <w:rPr>
          <w:rFonts w:hint="eastAsia" w:asciiTheme="minorEastAsia" w:hAnsiTheme="minorEastAsia" w:eastAsiaTheme="minorEastAsia" w:cstheme="minorEastAsia"/>
          <w:b/>
          <w:bCs/>
          <w:color w:val="auto"/>
          <w:kern w:val="2"/>
          <w:sz w:val="32"/>
          <w:szCs w:val="32"/>
          <w:highlight w:val="none"/>
          <w:lang w:val="zh-CN" w:eastAsia="zh-CN" w:bidi="ar-SA"/>
        </w:rPr>
        <w:t>投标承诺书（三）</w:t>
      </w:r>
    </w:p>
    <w:p>
      <w:pPr>
        <w:spacing w:line="360" w:lineRule="auto"/>
        <w:ind w:left="424"/>
        <w:jc w:val="center"/>
        <w:rPr>
          <w:rFonts w:hint="eastAsia" w:asciiTheme="minorEastAsia" w:hAnsiTheme="minorEastAsia" w:eastAsiaTheme="minorEastAsia" w:cstheme="minorEastAsia"/>
          <w:b/>
          <w:color w:val="auto"/>
          <w:kern w:val="1"/>
          <w:szCs w:val="21"/>
          <w:highlight w:val="none"/>
        </w:rPr>
      </w:pPr>
    </w:p>
    <w:p>
      <w:pPr>
        <w:spacing w:line="48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eastAsia="zh-CN"/>
        </w:rPr>
        <w:t>采购人</w:t>
      </w:r>
      <w:r>
        <w:rPr>
          <w:rFonts w:hint="eastAsia" w:asciiTheme="minorEastAsia" w:hAnsiTheme="minorEastAsia" w:eastAsiaTheme="minorEastAsia" w:cstheme="minorEastAsia"/>
          <w:color w:val="auto"/>
          <w:szCs w:val="21"/>
          <w:highlight w:val="none"/>
          <w:u w:val="single"/>
        </w:rPr>
        <w:t xml:space="preserve">）     </w:t>
      </w:r>
    </w:p>
    <w:p>
      <w:pPr>
        <w:spacing w:line="480" w:lineRule="auto"/>
        <w:rPr>
          <w:rFonts w:hint="eastAsia" w:asciiTheme="minorEastAsia" w:hAnsiTheme="minorEastAsia" w:eastAsiaTheme="minorEastAsia" w:cstheme="minorEastAsia"/>
          <w:color w:val="auto"/>
          <w:szCs w:val="21"/>
          <w:highlight w:val="none"/>
          <w:u w:val="single"/>
        </w:rPr>
      </w:pPr>
    </w:p>
    <w:p>
      <w:pPr>
        <w:spacing w:line="480" w:lineRule="auto"/>
        <w:ind w:firstLine="403"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我公司</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eastAsia="zh-CN"/>
        </w:rPr>
        <w:t>供应商</w:t>
      </w:r>
      <w:r>
        <w:rPr>
          <w:rFonts w:hint="eastAsia" w:asciiTheme="minorEastAsia" w:hAnsiTheme="minorEastAsia" w:eastAsiaTheme="minorEastAsia" w:cstheme="minorEastAsia"/>
          <w:color w:val="auto"/>
          <w:szCs w:val="21"/>
          <w:highlight w:val="none"/>
          <w:u w:val="single"/>
        </w:rPr>
        <w:t xml:space="preserve">名称）       </w:t>
      </w:r>
      <w:r>
        <w:rPr>
          <w:rFonts w:hint="eastAsia" w:asciiTheme="minorEastAsia" w:hAnsiTheme="minorEastAsia" w:eastAsiaTheme="minorEastAsia" w:cstheme="minorEastAsia"/>
          <w:color w:val="auto"/>
          <w:szCs w:val="21"/>
          <w:highlight w:val="none"/>
        </w:rPr>
        <w:t>作为</w:t>
      </w:r>
      <w:r>
        <w:rPr>
          <w:rFonts w:hint="eastAsia" w:asciiTheme="minorEastAsia" w:hAnsiTheme="minorEastAsia" w:eastAsiaTheme="minorEastAsia" w:cstheme="minorEastAsia"/>
          <w:color w:val="auto"/>
          <w:szCs w:val="21"/>
          <w:highlight w:val="none"/>
          <w:u w:val="single"/>
        </w:rPr>
        <w:t xml:space="preserve">      （项目名称） </w:t>
      </w:r>
      <w:r>
        <w:rPr>
          <w:rFonts w:hint="eastAsia" w:asciiTheme="minorEastAsia" w:hAnsiTheme="minorEastAsia" w:eastAsiaTheme="minorEastAsia" w:cstheme="minorEastAsia"/>
          <w:i/>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项目（以下简称“本项目”）的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在此郑重承诺。</w:t>
      </w:r>
    </w:p>
    <w:p>
      <w:pPr>
        <w:spacing w:line="480" w:lineRule="auto"/>
        <w:ind w:firstLine="403"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480" w:lineRule="auto"/>
        <w:ind w:firstLine="403"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pPr>
        <w:spacing w:line="480" w:lineRule="auto"/>
        <w:rPr>
          <w:rFonts w:hint="eastAsia" w:asciiTheme="minorEastAsia" w:hAnsiTheme="minorEastAsia" w:eastAsiaTheme="minorEastAsia" w:cstheme="minorEastAsia"/>
          <w:color w:val="auto"/>
          <w:szCs w:val="21"/>
          <w:highlight w:val="none"/>
        </w:rPr>
      </w:pPr>
    </w:p>
    <w:p>
      <w:pPr>
        <w:spacing w:line="480" w:lineRule="auto"/>
        <w:ind w:firstLine="403"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名称：（公章）</w:t>
      </w:r>
    </w:p>
    <w:p>
      <w:pPr>
        <w:pStyle w:val="22"/>
        <w:tabs>
          <w:tab w:val="left" w:pos="630"/>
        </w:tabs>
        <w:ind w:firstLine="210"/>
        <w:rPr>
          <w:rFonts w:hint="eastAsia" w:asciiTheme="minorEastAsia" w:hAnsiTheme="minorEastAsia" w:eastAsiaTheme="minorEastAsia" w:cstheme="minorEastAsia"/>
          <w:color w:val="auto"/>
          <w:highlight w:val="none"/>
        </w:rPr>
      </w:pPr>
    </w:p>
    <w:p>
      <w:pPr>
        <w:spacing w:line="480" w:lineRule="auto"/>
        <w:ind w:firstLine="403"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szCs w:val="21"/>
          <w:highlight w:val="none"/>
          <w:lang w:eastAsia="zh-CN"/>
        </w:rPr>
        <w:t>签字或</w:t>
      </w:r>
      <w:r>
        <w:rPr>
          <w:rFonts w:hint="eastAsia" w:asciiTheme="minorEastAsia" w:hAnsiTheme="minorEastAsia" w:eastAsiaTheme="minorEastAsia" w:cstheme="minorEastAsia"/>
          <w:color w:val="auto"/>
          <w:szCs w:val="21"/>
          <w:highlight w:val="none"/>
        </w:rPr>
        <w:t>盖章）</w:t>
      </w:r>
    </w:p>
    <w:p>
      <w:pPr>
        <w:spacing w:line="480" w:lineRule="auto"/>
        <w:ind w:firstLine="403"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pPr>
        <w:spacing w:line="360" w:lineRule="auto"/>
        <w:jc w:val="right"/>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1"/>
          <w:szCs w:val="21"/>
          <w:highlight w:val="none"/>
        </w:rPr>
        <w:t>日期：</w:t>
      </w:r>
      <w:r>
        <w:rPr>
          <w:rFonts w:hint="eastAsia" w:asciiTheme="minorEastAsia" w:hAnsiTheme="minorEastAsia" w:eastAsiaTheme="minorEastAsia" w:cstheme="minorEastAsia"/>
          <w:color w:val="auto"/>
          <w:kern w:val="1"/>
          <w:szCs w:val="21"/>
          <w:highlight w:val="none"/>
          <w:u w:val="single"/>
        </w:rPr>
        <w:t xml:space="preserve">        </w:t>
      </w:r>
      <w:r>
        <w:rPr>
          <w:rFonts w:hint="eastAsia" w:asciiTheme="minorEastAsia" w:hAnsiTheme="minorEastAsia" w:eastAsiaTheme="minorEastAsia" w:cstheme="minorEastAsia"/>
          <w:color w:val="auto"/>
          <w:kern w:val="1"/>
          <w:szCs w:val="21"/>
          <w:highlight w:val="none"/>
        </w:rPr>
        <w:t>年</w:t>
      </w:r>
      <w:r>
        <w:rPr>
          <w:rFonts w:hint="eastAsia" w:asciiTheme="minorEastAsia" w:hAnsiTheme="minorEastAsia" w:eastAsiaTheme="minorEastAsia" w:cstheme="minorEastAsia"/>
          <w:color w:val="auto"/>
          <w:kern w:val="1"/>
          <w:szCs w:val="21"/>
          <w:highlight w:val="none"/>
          <w:u w:val="single"/>
        </w:rPr>
        <w:t xml:space="preserve">    </w:t>
      </w:r>
      <w:r>
        <w:rPr>
          <w:rFonts w:hint="eastAsia" w:asciiTheme="minorEastAsia" w:hAnsiTheme="minorEastAsia" w:eastAsiaTheme="minorEastAsia" w:cstheme="minorEastAsia"/>
          <w:color w:val="auto"/>
          <w:kern w:val="1"/>
          <w:szCs w:val="21"/>
          <w:highlight w:val="none"/>
        </w:rPr>
        <w:t>月</w:t>
      </w:r>
      <w:r>
        <w:rPr>
          <w:rFonts w:hint="eastAsia" w:asciiTheme="minorEastAsia" w:hAnsiTheme="minorEastAsia" w:eastAsiaTheme="minorEastAsia" w:cstheme="minorEastAsia"/>
          <w:color w:val="auto"/>
          <w:kern w:val="1"/>
          <w:szCs w:val="21"/>
          <w:highlight w:val="none"/>
          <w:u w:val="single"/>
        </w:rPr>
        <w:t xml:space="preserve">    </w:t>
      </w:r>
      <w:r>
        <w:rPr>
          <w:rFonts w:hint="eastAsia" w:asciiTheme="minorEastAsia" w:hAnsiTheme="minorEastAsia" w:eastAsiaTheme="minorEastAsia" w:cstheme="minorEastAsia"/>
          <w:color w:val="auto"/>
          <w:kern w:val="1"/>
          <w:szCs w:val="21"/>
          <w:highlight w:val="none"/>
        </w:rPr>
        <w:t>日</w:t>
      </w:r>
    </w:p>
    <w:p>
      <w:pPr>
        <w:pStyle w:val="5"/>
        <w:jc w:val="both"/>
        <w:outlineLvl w:val="9"/>
        <w:rPr>
          <w:rFonts w:hint="eastAsia" w:asciiTheme="minorEastAsia" w:hAnsiTheme="minorEastAsia" w:eastAsiaTheme="minorEastAsia" w:cstheme="minorEastAsia"/>
          <w:color w:val="auto"/>
          <w:highlight w:val="none"/>
          <w:lang w:val="zh-CN"/>
        </w:rPr>
      </w:pPr>
    </w:p>
    <w:p>
      <w:pPr>
        <w:rPr>
          <w:rFonts w:hint="eastAsia" w:asciiTheme="minorEastAsia" w:hAnsiTheme="minorEastAsia" w:eastAsiaTheme="minorEastAsia" w:cstheme="minorEastAsia"/>
          <w:lang w:val="zh-CN"/>
        </w:rPr>
      </w:pPr>
    </w:p>
    <w:p>
      <w:pPr>
        <w:pStyle w:val="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法定代表人身份证明书</w:t>
      </w:r>
      <w:bookmarkEnd w:id="1244"/>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企业名称：</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lang w:val="zh-CN"/>
        </w:rPr>
        <w:t>企业类型：</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地</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址：</w:t>
      </w:r>
      <w:r>
        <w:rPr>
          <w:rFonts w:hint="eastAsia" w:asciiTheme="minorEastAsia" w:hAnsiTheme="minorEastAsia" w:eastAsiaTheme="minorEastAsia" w:cstheme="minorEastAsia"/>
          <w:color w:val="auto"/>
          <w:szCs w:val="21"/>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营业期限：</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成立时间：</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姓名：</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性别：</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年龄：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职务：</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系</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（供应商名称）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的法定代表人。</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特此证明。</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供应商：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（盖章）</w:t>
      </w: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日</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日</w:t>
      </w: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（附法定代表人身份证复印件）</w:t>
      </w:r>
      <w:r>
        <w:rPr>
          <w:rFonts w:hint="eastAsia" w:asciiTheme="minorEastAsia" w:hAnsiTheme="minorEastAsia" w:eastAsiaTheme="minorEastAsia" w:cstheme="minorEastAsia"/>
          <w:color w:val="auto"/>
          <w:highlight w:val="none"/>
          <w:lang w:val="zh-CN"/>
        </w:rPr>
        <w:br w:type="page"/>
      </w:r>
    </w:p>
    <w:p>
      <w:pPr>
        <w:pStyle w:val="5"/>
        <w:jc w:val="center"/>
        <w:rPr>
          <w:rFonts w:hint="eastAsia" w:asciiTheme="minorEastAsia" w:hAnsiTheme="minorEastAsia" w:eastAsiaTheme="minorEastAsia" w:cstheme="minorEastAsia"/>
          <w:color w:val="auto"/>
          <w:szCs w:val="21"/>
          <w:highlight w:val="none"/>
        </w:rPr>
      </w:pPr>
      <w:bookmarkStart w:id="1245" w:name="_Toc414108645"/>
      <w:r>
        <w:rPr>
          <w:rFonts w:hint="eastAsia" w:asciiTheme="minorEastAsia" w:hAnsiTheme="minorEastAsia" w:eastAsiaTheme="minorEastAsia" w:cstheme="minorEastAsia"/>
          <w:color w:val="auto"/>
          <w:highlight w:val="none"/>
          <w:lang w:val="zh-CN"/>
        </w:rPr>
        <w:t>法定代表人授权委托书</w:t>
      </w:r>
      <w:bookmarkEnd w:id="1245"/>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本授权委托书声明：我</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（姓名）系</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（供应商名称）的法定代表人，现授权委托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（供应商名称）的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（姓名）为我公司代理人，以本公司的名义参加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（采购人）的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招标工程的投标活动。代理人签署的响应文件和参加整个工程招标投标活动中所签署的一切文件和处理与之有关的一切事物，我均予以承认。</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性别：</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年龄：</w:t>
      </w:r>
      <w:r>
        <w:rPr>
          <w:rFonts w:hint="eastAsia" w:asciiTheme="minorEastAsia" w:hAnsiTheme="minorEastAsia" w:eastAsiaTheme="minorEastAsia" w:cstheme="minorEastAsia"/>
          <w:color w:val="auto"/>
          <w:szCs w:val="21"/>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单</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位：</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部门：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职务：</w:t>
      </w:r>
      <w:r>
        <w:rPr>
          <w:rFonts w:hint="eastAsia" w:asciiTheme="minorEastAsia" w:hAnsiTheme="minorEastAsia" w:eastAsiaTheme="minorEastAsia" w:cstheme="minorEastAsia"/>
          <w:color w:val="auto"/>
          <w:szCs w:val="21"/>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代理人无转委权。特此委托。</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供应商：</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（盖章）</w:t>
      </w: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法定代表人：</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（签字或盖章）</w:t>
      </w: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日</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（附被授权人身份证复印件）</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pStyle w:val="5"/>
        <w:jc w:val="center"/>
        <w:outlineLvl w:val="9"/>
        <w:rPr>
          <w:rFonts w:hint="eastAsia" w:asciiTheme="minorEastAsia" w:hAnsiTheme="minorEastAsia" w:eastAsiaTheme="minorEastAsia" w:cstheme="minorEastAsia"/>
          <w:color w:val="auto"/>
          <w:highlight w:val="none"/>
          <w:lang w:val="zh-CN"/>
        </w:rPr>
      </w:pPr>
      <w:bookmarkStart w:id="1246" w:name="_Toc414108646"/>
    </w:p>
    <w:p>
      <w:pPr>
        <w:pStyle w:val="5"/>
        <w:jc w:val="both"/>
        <w:outlineLvl w:val="9"/>
        <w:rPr>
          <w:rFonts w:hint="eastAsia" w:asciiTheme="minorEastAsia" w:hAnsiTheme="minorEastAsia" w:eastAsiaTheme="minorEastAsia" w:cstheme="minorEastAsia"/>
          <w:color w:val="auto"/>
          <w:highlight w:val="none"/>
          <w:lang w:val="zh-CN"/>
        </w:rPr>
      </w:pPr>
    </w:p>
    <w:p>
      <w:pPr>
        <w:rPr>
          <w:rFonts w:hint="eastAsia" w:asciiTheme="minorEastAsia" w:hAnsiTheme="minorEastAsia" w:eastAsiaTheme="minorEastAsia" w:cstheme="minorEastAsia"/>
          <w:color w:val="auto"/>
          <w:highlight w:val="none"/>
          <w:lang w:val="zh-CN"/>
        </w:rPr>
      </w:pPr>
    </w:p>
    <w:p>
      <w:pPr>
        <w:rPr>
          <w:rFonts w:hint="eastAsia" w:asciiTheme="minorEastAsia" w:hAnsiTheme="minorEastAsia" w:eastAsiaTheme="minorEastAsia" w:cstheme="minorEastAsia"/>
          <w:color w:val="auto"/>
          <w:highlight w:val="none"/>
          <w:lang w:val="zh-CN"/>
        </w:rPr>
      </w:pPr>
    </w:p>
    <w:p>
      <w:pPr>
        <w:pStyle w:val="5"/>
        <w:jc w:val="center"/>
        <w:rPr>
          <w:rFonts w:hint="eastAsia" w:asciiTheme="minorEastAsia" w:hAnsiTheme="minorEastAsia" w:eastAsiaTheme="minorEastAsia" w:cstheme="minorEastAsia"/>
          <w:color w:val="auto"/>
          <w:highlight w:val="none"/>
          <w:lang w:val="zh-CN"/>
        </w:rPr>
      </w:pPr>
    </w:p>
    <w:p>
      <w:pPr>
        <w:pStyle w:val="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供应商概况</w:t>
      </w:r>
      <w:bookmarkEnd w:id="1246"/>
    </w:p>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eastAsia="zh-CN"/>
        </w:rPr>
        <w:t>供应商</w:t>
      </w:r>
      <w:r>
        <w:rPr>
          <w:rFonts w:hint="eastAsia" w:asciiTheme="minorEastAsia" w:hAnsiTheme="minorEastAsia" w:eastAsiaTheme="minorEastAsia" w:cstheme="minorEastAsia"/>
          <w:b/>
          <w:color w:val="auto"/>
          <w:highlight w:val="none"/>
        </w:rPr>
        <w:t>概况表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名称</w:t>
            </w:r>
          </w:p>
        </w:tc>
        <w:tc>
          <w:tcPr>
            <w:tcW w:w="6897" w:type="dxa"/>
            <w:gridSpan w:val="9"/>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注册地址</w:t>
            </w:r>
          </w:p>
        </w:tc>
        <w:tc>
          <w:tcPr>
            <w:tcW w:w="3385" w:type="dxa"/>
            <w:gridSpan w:val="5"/>
            <w:vAlign w:val="center"/>
          </w:tcPr>
          <w:p>
            <w:pPr>
              <w:jc w:val="center"/>
              <w:rPr>
                <w:rFonts w:hint="eastAsia" w:asciiTheme="minorEastAsia" w:hAnsiTheme="minorEastAsia" w:eastAsiaTheme="minorEastAsia" w:cstheme="minorEastAsia"/>
                <w:color w:val="auto"/>
                <w:szCs w:val="21"/>
                <w:highlight w:val="none"/>
              </w:rPr>
            </w:pPr>
          </w:p>
        </w:tc>
        <w:tc>
          <w:tcPr>
            <w:tcW w:w="124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c>
          <w:tcPr>
            <w:tcW w:w="2268" w:type="dxa"/>
            <w:gridSpan w:val="3"/>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p>
        </w:tc>
        <w:tc>
          <w:tcPr>
            <w:tcW w:w="897"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tc>
        <w:tc>
          <w:tcPr>
            <w:tcW w:w="2488" w:type="dxa"/>
            <w:gridSpan w:val="4"/>
            <w:vAlign w:val="center"/>
          </w:tcPr>
          <w:p>
            <w:pPr>
              <w:jc w:val="center"/>
              <w:rPr>
                <w:rFonts w:hint="eastAsia" w:asciiTheme="minorEastAsia" w:hAnsiTheme="minorEastAsia" w:eastAsiaTheme="minorEastAsia" w:cstheme="minorEastAsia"/>
                <w:color w:val="auto"/>
                <w:szCs w:val="21"/>
                <w:highlight w:val="none"/>
              </w:rPr>
            </w:pPr>
          </w:p>
        </w:tc>
        <w:tc>
          <w:tcPr>
            <w:tcW w:w="124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p>
        </w:tc>
        <w:tc>
          <w:tcPr>
            <w:tcW w:w="2268" w:type="dxa"/>
            <w:gridSpan w:val="3"/>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vAlign w:val="center"/>
          </w:tcPr>
          <w:p>
            <w:pPr>
              <w:jc w:val="center"/>
              <w:rPr>
                <w:rFonts w:hint="eastAsia" w:asciiTheme="minorEastAsia" w:hAnsiTheme="minorEastAsia" w:eastAsiaTheme="minorEastAsia" w:cstheme="minorEastAsia"/>
                <w:color w:val="auto"/>
                <w:szCs w:val="21"/>
                <w:highlight w:val="none"/>
              </w:rPr>
            </w:pPr>
          </w:p>
        </w:tc>
        <w:tc>
          <w:tcPr>
            <w:tcW w:w="897"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p>
        </w:tc>
        <w:tc>
          <w:tcPr>
            <w:tcW w:w="2488" w:type="dxa"/>
            <w:gridSpan w:val="4"/>
            <w:vAlign w:val="center"/>
          </w:tcPr>
          <w:p>
            <w:pPr>
              <w:jc w:val="center"/>
              <w:rPr>
                <w:rFonts w:hint="eastAsia" w:asciiTheme="minorEastAsia" w:hAnsiTheme="minorEastAsia" w:eastAsiaTheme="minorEastAsia" w:cstheme="minorEastAsia"/>
                <w:color w:val="auto"/>
                <w:szCs w:val="21"/>
                <w:highlight w:val="none"/>
              </w:rPr>
            </w:pPr>
          </w:p>
        </w:tc>
        <w:tc>
          <w:tcPr>
            <w:tcW w:w="124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  址</w:t>
            </w:r>
          </w:p>
        </w:tc>
        <w:tc>
          <w:tcPr>
            <w:tcW w:w="2268" w:type="dxa"/>
            <w:gridSpan w:val="3"/>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组织结构</w:t>
            </w:r>
          </w:p>
        </w:tc>
        <w:tc>
          <w:tcPr>
            <w:tcW w:w="6897" w:type="dxa"/>
            <w:gridSpan w:val="9"/>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tc>
        <w:tc>
          <w:tcPr>
            <w:tcW w:w="897"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019" w:type="dxa"/>
            <w:vAlign w:val="center"/>
          </w:tcPr>
          <w:p>
            <w:pPr>
              <w:jc w:val="center"/>
              <w:rPr>
                <w:rFonts w:hint="eastAsia" w:asciiTheme="minorEastAsia" w:hAnsiTheme="minorEastAsia" w:eastAsiaTheme="minorEastAsia" w:cstheme="minorEastAsia"/>
                <w:color w:val="auto"/>
                <w:szCs w:val="21"/>
                <w:highlight w:val="none"/>
              </w:rPr>
            </w:pPr>
          </w:p>
        </w:tc>
        <w:tc>
          <w:tcPr>
            <w:tcW w:w="1275" w:type="dxa"/>
            <w:gridSpan w:val="2"/>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699" w:type="dxa"/>
            <w:gridSpan w:val="3"/>
            <w:vAlign w:val="center"/>
          </w:tcPr>
          <w:p>
            <w:pPr>
              <w:jc w:val="center"/>
              <w:rPr>
                <w:rFonts w:hint="eastAsia" w:asciiTheme="minorEastAsia" w:hAnsiTheme="minorEastAsia" w:eastAsiaTheme="minorEastAsia" w:cstheme="minorEastAsia"/>
                <w:color w:val="auto"/>
                <w:szCs w:val="21"/>
                <w:highlight w:val="none"/>
              </w:rPr>
            </w:pPr>
          </w:p>
        </w:tc>
        <w:tc>
          <w:tcPr>
            <w:tcW w:w="707"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1300" w:type="dxa"/>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897"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019" w:type="dxa"/>
            <w:vAlign w:val="center"/>
          </w:tcPr>
          <w:p>
            <w:pPr>
              <w:jc w:val="center"/>
              <w:rPr>
                <w:rFonts w:hint="eastAsia" w:asciiTheme="minorEastAsia" w:hAnsiTheme="minorEastAsia" w:eastAsiaTheme="minorEastAsia" w:cstheme="minorEastAsia"/>
                <w:color w:val="auto"/>
                <w:szCs w:val="21"/>
                <w:highlight w:val="none"/>
              </w:rPr>
            </w:pPr>
          </w:p>
        </w:tc>
        <w:tc>
          <w:tcPr>
            <w:tcW w:w="1275" w:type="dxa"/>
            <w:gridSpan w:val="2"/>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699" w:type="dxa"/>
            <w:gridSpan w:val="3"/>
            <w:vAlign w:val="center"/>
          </w:tcPr>
          <w:p>
            <w:pPr>
              <w:jc w:val="center"/>
              <w:rPr>
                <w:rFonts w:hint="eastAsia" w:asciiTheme="minorEastAsia" w:hAnsiTheme="minorEastAsia" w:eastAsiaTheme="minorEastAsia" w:cstheme="minorEastAsia"/>
                <w:color w:val="auto"/>
                <w:szCs w:val="21"/>
                <w:highlight w:val="none"/>
              </w:rPr>
            </w:pPr>
          </w:p>
        </w:tc>
        <w:tc>
          <w:tcPr>
            <w:tcW w:w="707"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1300" w:type="dxa"/>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成立时间</w:t>
            </w:r>
          </w:p>
        </w:tc>
        <w:tc>
          <w:tcPr>
            <w:tcW w:w="1916" w:type="dxa"/>
            <w:gridSpan w:val="2"/>
            <w:vAlign w:val="center"/>
          </w:tcPr>
          <w:p>
            <w:pPr>
              <w:jc w:val="center"/>
              <w:rPr>
                <w:rFonts w:hint="eastAsia" w:asciiTheme="minorEastAsia" w:hAnsiTheme="minorEastAsia" w:eastAsiaTheme="minorEastAsia" w:cstheme="minorEastAsia"/>
                <w:color w:val="auto"/>
                <w:szCs w:val="21"/>
                <w:highlight w:val="none"/>
              </w:rPr>
            </w:pPr>
          </w:p>
        </w:tc>
        <w:tc>
          <w:tcPr>
            <w:tcW w:w="4981" w:type="dxa"/>
            <w:gridSpan w:val="7"/>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企业资质等级</w:t>
            </w:r>
          </w:p>
        </w:tc>
        <w:tc>
          <w:tcPr>
            <w:tcW w:w="1916" w:type="dxa"/>
            <w:gridSpan w:val="2"/>
            <w:vAlign w:val="center"/>
          </w:tcPr>
          <w:p>
            <w:pPr>
              <w:jc w:val="center"/>
              <w:rPr>
                <w:rFonts w:hint="eastAsia" w:asciiTheme="minorEastAsia" w:hAnsiTheme="minorEastAsia" w:eastAsiaTheme="minorEastAsia" w:cstheme="minorEastAsia"/>
                <w:color w:val="auto"/>
                <w:szCs w:val="21"/>
                <w:highlight w:val="none"/>
              </w:rPr>
            </w:pPr>
          </w:p>
        </w:tc>
        <w:tc>
          <w:tcPr>
            <w:tcW w:w="992" w:type="dxa"/>
            <w:vMerge w:val="restart"/>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p>
        </w:tc>
        <w:tc>
          <w:tcPr>
            <w:tcW w:w="1982" w:type="dxa"/>
            <w:gridSpan w:val="4"/>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项目负责人</w:t>
            </w:r>
          </w:p>
        </w:tc>
        <w:tc>
          <w:tcPr>
            <w:tcW w:w="2007" w:type="dxa"/>
            <w:gridSpan w:val="2"/>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营业执照号</w:t>
            </w:r>
          </w:p>
        </w:tc>
        <w:tc>
          <w:tcPr>
            <w:tcW w:w="1916" w:type="dxa"/>
            <w:gridSpan w:val="2"/>
            <w:vAlign w:val="center"/>
          </w:tcPr>
          <w:p>
            <w:pPr>
              <w:jc w:val="center"/>
              <w:rPr>
                <w:rFonts w:hint="eastAsia" w:asciiTheme="minorEastAsia" w:hAnsiTheme="minorEastAsia" w:eastAsiaTheme="minorEastAsia" w:cstheme="minorEastAsia"/>
                <w:color w:val="auto"/>
                <w:szCs w:val="21"/>
                <w:highlight w:val="none"/>
              </w:rPr>
            </w:pPr>
          </w:p>
        </w:tc>
        <w:tc>
          <w:tcPr>
            <w:tcW w:w="992" w:type="dxa"/>
            <w:vMerge w:val="continue"/>
            <w:vAlign w:val="center"/>
          </w:tcPr>
          <w:p>
            <w:pPr>
              <w:jc w:val="center"/>
              <w:rPr>
                <w:rFonts w:hint="eastAsia" w:asciiTheme="minorEastAsia" w:hAnsiTheme="minorEastAsia" w:eastAsiaTheme="minorEastAsia" w:cstheme="minorEastAsia"/>
                <w:color w:val="auto"/>
                <w:szCs w:val="21"/>
                <w:highlight w:val="none"/>
              </w:rPr>
            </w:pPr>
          </w:p>
        </w:tc>
        <w:tc>
          <w:tcPr>
            <w:tcW w:w="1982" w:type="dxa"/>
            <w:gridSpan w:val="4"/>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高级职称人员</w:t>
            </w:r>
          </w:p>
        </w:tc>
        <w:tc>
          <w:tcPr>
            <w:tcW w:w="2007" w:type="dxa"/>
            <w:gridSpan w:val="2"/>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注册资金</w:t>
            </w:r>
          </w:p>
        </w:tc>
        <w:tc>
          <w:tcPr>
            <w:tcW w:w="1916" w:type="dxa"/>
            <w:gridSpan w:val="2"/>
            <w:vAlign w:val="center"/>
          </w:tcPr>
          <w:p>
            <w:pPr>
              <w:jc w:val="center"/>
              <w:rPr>
                <w:rFonts w:hint="eastAsia" w:asciiTheme="minorEastAsia" w:hAnsiTheme="minorEastAsia" w:eastAsiaTheme="minorEastAsia" w:cstheme="minorEastAsia"/>
                <w:color w:val="auto"/>
                <w:szCs w:val="21"/>
                <w:highlight w:val="none"/>
              </w:rPr>
            </w:pPr>
          </w:p>
        </w:tc>
        <w:tc>
          <w:tcPr>
            <w:tcW w:w="992" w:type="dxa"/>
            <w:vMerge w:val="continue"/>
            <w:vAlign w:val="center"/>
          </w:tcPr>
          <w:p>
            <w:pPr>
              <w:jc w:val="center"/>
              <w:rPr>
                <w:rFonts w:hint="eastAsia" w:asciiTheme="minorEastAsia" w:hAnsiTheme="minorEastAsia" w:eastAsiaTheme="minorEastAsia" w:cstheme="minorEastAsia"/>
                <w:color w:val="auto"/>
                <w:szCs w:val="21"/>
                <w:highlight w:val="none"/>
              </w:rPr>
            </w:pPr>
          </w:p>
        </w:tc>
        <w:tc>
          <w:tcPr>
            <w:tcW w:w="1982" w:type="dxa"/>
            <w:gridSpan w:val="4"/>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中级职称人员</w:t>
            </w:r>
          </w:p>
        </w:tc>
        <w:tc>
          <w:tcPr>
            <w:tcW w:w="2007" w:type="dxa"/>
            <w:gridSpan w:val="2"/>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tc>
        <w:tc>
          <w:tcPr>
            <w:tcW w:w="1916" w:type="dxa"/>
            <w:gridSpan w:val="2"/>
            <w:vAlign w:val="center"/>
          </w:tcPr>
          <w:p>
            <w:pPr>
              <w:jc w:val="center"/>
              <w:rPr>
                <w:rFonts w:hint="eastAsia" w:asciiTheme="minorEastAsia" w:hAnsiTheme="minorEastAsia" w:eastAsiaTheme="minorEastAsia" w:cstheme="minorEastAsia"/>
                <w:color w:val="auto"/>
                <w:szCs w:val="21"/>
                <w:highlight w:val="none"/>
              </w:rPr>
            </w:pPr>
          </w:p>
        </w:tc>
        <w:tc>
          <w:tcPr>
            <w:tcW w:w="992" w:type="dxa"/>
            <w:vMerge w:val="continue"/>
            <w:vAlign w:val="center"/>
          </w:tcPr>
          <w:p>
            <w:pPr>
              <w:jc w:val="center"/>
              <w:rPr>
                <w:rFonts w:hint="eastAsia" w:asciiTheme="minorEastAsia" w:hAnsiTheme="minorEastAsia" w:eastAsiaTheme="minorEastAsia" w:cstheme="minorEastAsia"/>
                <w:color w:val="auto"/>
                <w:szCs w:val="21"/>
                <w:highlight w:val="none"/>
              </w:rPr>
            </w:pPr>
          </w:p>
        </w:tc>
        <w:tc>
          <w:tcPr>
            <w:tcW w:w="1982" w:type="dxa"/>
            <w:gridSpan w:val="4"/>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初级职称人员</w:t>
            </w:r>
          </w:p>
        </w:tc>
        <w:tc>
          <w:tcPr>
            <w:tcW w:w="2007" w:type="dxa"/>
            <w:gridSpan w:val="2"/>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tc>
        <w:tc>
          <w:tcPr>
            <w:tcW w:w="1916" w:type="dxa"/>
            <w:gridSpan w:val="2"/>
            <w:vAlign w:val="center"/>
          </w:tcPr>
          <w:p>
            <w:pPr>
              <w:jc w:val="center"/>
              <w:rPr>
                <w:rFonts w:hint="eastAsia" w:asciiTheme="minorEastAsia" w:hAnsiTheme="minorEastAsia" w:eastAsiaTheme="minorEastAsia" w:cstheme="minorEastAsia"/>
                <w:color w:val="auto"/>
                <w:szCs w:val="21"/>
                <w:highlight w:val="none"/>
              </w:rPr>
            </w:pPr>
          </w:p>
        </w:tc>
        <w:tc>
          <w:tcPr>
            <w:tcW w:w="992" w:type="dxa"/>
            <w:vMerge w:val="continue"/>
            <w:vAlign w:val="center"/>
          </w:tcPr>
          <w:p>
            <w:pPr>
              <w:jc w:val="center"/>
              <w:rPr>
                <w:rFonts w:hint="eastAsia" w:asciiTheme="minorEastAsia" w:hAnsiTheme="minorEastAsia" w:eastAsiaTheme="minorEastAsia" w:cstheme="minorEastAsia"/>
                <w:color w:val="auto"/>
                <w:szCs w:val="21"/>
                <w:highlight w:val="none"/>
              </w:rPr>
            </w:pPr>
          </w:p>
        </w:tc>
        <w:tc>
          <w:tcPr>
            <w:tcW w:w="1982" w:type="dxa"/>
            <w:gridSpan w:val="4"/>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  工</w:t>
            </w:r>
          </w:p>
        </w:tc>
        <w:tc>
          <w:tcPr>
            <w:tcW w:w="2007" w:type="dxa"/>
            <w:gridSpan w:val="2"/>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经营范围</w:t>
            </w:r>
          </w:p>
        </w:tc>
        <w:tc>
          <w:tcPr>
            <w:tcW w:w="6897" w:type="dxa"/>
            <w:gridSpan w:val="9"/>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6897" w:type="dxa"/>
            <w:gridSpan w:val="9"/>
            <w:vAlign w:val="center"/>
          </w:tcPr>
          <w:p>
            <w:pPr>
              <w:jc w:val="center"/>
              <w:rPr>
                <w:rFonts w:hint="eastAsia" w:asciiTheme="minorEastAsia" w:hAnsiTheme="minorEastAsia" w:eastAsiaTheme="minorEastAsia" w:cstheme="minorEastAsia"/>
                <w:color w:val="auto"/>
                <w:szCs w:val="21"/>
                <w:highlight w:val="none"/>
              </w:rPr>
            </w:pPr>
          </w:p>
        </w:tc>
      </w:tr>
    </w:tbl>
    <w:p>
      <w:pPr>
        <w:autoSpaceDE w:val="0"/>
        <w:autoSpaceDN w:val="0"/>
        <w:adjustRightInd w:val="0"/>
        <w:ind w:left="210" w:left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备注：本表后应附企业法人营业执照的证明材料、企业资质证书副本、安全生产许可证、等材料的复印件。</w:t>
      </w:r>
    </w:p>
    <w:p>
      <w:pPr>
        <w:autoSpaceDE w:val="0"/>
        <w:autoSpaceDN w:val="0"/>
        <w:adjustRightInd w:val="0"/>
        <w:ind w:left="210" w:left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pPr>
        <w:pStyle w:val="5"/>
        <w:jc w:val="center"/>
        <w:rPr>
          <w:rFonts w:hint="eastAsia" w:asciiTheme="minorEastAsia" w:hAnsiTheme="minorEastAsia" w:eastAsiaTheme="minorEastAsia" w:cstheme="minorEastAsia"/>
          <w:color w:val="auto"/>
          <w:highlight w:val="none"/>
          <w:lang w:val="zh-CN"/>
        </w:rPr>
      </w:pPr>
      <w:bookmarkStart w:id="1247" w:name="_Toc414108647"/>
      <w:r>
        <w:rPr>
          <w:rFonts w:hint="eastAsia" w:asciiTheme="minorEastAsia" w:hAnsiTheme="minorEastAsia" w:eastAsiaTheme="minorEastAsia" w:cstheme="minorEastAsia"/>
          <w:color w:val="auto"/>
          <w:highlight w:val="none"/>
          <w:lang w:val="zh-CN"/>
        </w:rPr>
        <w:t>供应商近三年</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（201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年9月-至今）</w:t>
      </w:r>
      <w:r>
        <w:rPr>
          <w:rFonts w:hint="eastAsia" w:asciiTheme="minorEastAsia" w:hAnsiTheme="minorEastAsia" w:eastAsiaTheme="minorEastAsia" w:cstheme="minorEastAsia"/>
          <w:color w:val="auto"/>
          <w:highlight w:val="none"/>
          <w:lang w:val="zh-CN"/>
        </w:rPr>
        <w:t>类似工程业绩证明材料</w:t>
      </w:r>
      <w:bookmarkEnd w:id="1247"/>
    </w:p>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eastAsia="zh-CN"/>
        </w:rPr>
        <w:t>供应商近三年</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highlight w:val="none"/>
          <w:lang w:eastAsia="zh-CN"/>
        </w:rPr>
        <w:t>201</w:t>
      </w:r>
      <w:r>
        <w:rPr>
          <w:rFonts w:hint="eastAsia" w:asciiTheme="minorEastAsia" w:hAnsiTheme="minorEastAsia" w:eastAsiaTheme="minorEastAsia" w:cstheme="minorEastAsia"/>
          <w:b/>
          <w:color w:val="auto"/>
          <w:highlight w:val="none"/>
          <w:lang w:val="en-US" w:eastAsia="zh-CN"/>
        </w:rPr>
        <w:t>8</w:t>
      </w:r>
      <w:r>
        <w:rPr>
          <w:rFonts w:hint="eastAsia" w:asciiTheme="minorEastAsia" w:hAnsiTheme="minorEastAsia" w:eastAsiaTheme="minorEastAsia" w:cstheme="minorEastAsia"/>
          <w:b/>
          <w:color w:val="auto"/>
          <w:highlight w:val="none"/>
          <w:lang w:eastAsia="zh-CN"/>
        </w:rPr>
        <w:t>年9月-至今</w:t>
      </w:r>
      <w:r>
        <w:rPr>
          <w:rFonts w:hint="eastAsia" w:asciiTheme="minorEastAsia" w:hAnsiTheme="minorEastAsia" w:eastAsiaTheme="minorEastAsia" w:cstheme="minorEastAsia"/>
          <w:b/>
          <w:color w:val="auto"/>
          <w:highlight w:val="none"/>
        </w:rPr>
        <w:t>）类似业绩表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项目所在地</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发包人名称</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发包人地址</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发包人联系人及电话</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合同价格</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开工日期</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竣工日期</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承担的工作</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工程质量</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项目负责人</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技术负责人</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项目描述</w:t>
            </w:r>
          </w:p>
        </w:tc>
        <w:tc>
          <w:tcPr>
            <w:tcW w:w="6005" w:type="dxa"/>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c>
          <w:tcPr>
            <w:tcW w:w="6005" w:type="dxa"/>
            <w:vAlign w:val="center"/>
          </w:tcPr>
          <w:p>
            <w:pPr>
              <w:rPr>
                <w:rFonts w:hint="eastAsia" w:asciiTheme="minorEastAsia" w:hAnsiTheme="minorEastAsia" w:eastAsiaTheme="minorEastAsia" w:cstheme="minorEastAsia"/>
                <w:color w:val="auto"/>
                <w:highlight w:val="none"/>
              </w:rPr>
            </w:pPr>
          </w:p>
        </w:tc>
      </w:tr>
    </w:tbl>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pPr>
        <w:autoSpaceDE w:val="0"/>
        <w:autoSpaceDN w:val="0"/>
        <w:adjustRightInd w:val="0"/>
        <w:ind w:left="210" w:left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1、类似项目指规模、使用功能相似的工程。</w:t>
      </w:r>
    </w:p>
    <w:p>
      <w:pPr>
        <w:autoSpaceDE w:val="0"/>
        <w:autoSpaceDN w:val="0"/>
        <w:adjustRightInd w:val="0"/>
        <w:ind w:left="210" w:left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2、本表后附中标通知书、施工合同</w:t>
      </w:r>
      <w:r>
        <w:rPr>
          <w:rFonts w:hint="eastAsia" w:asciiTheme="minorEastAsia" w:hAnsiTheme="minorEastAsia" w:eastAsiaTheme="minorEastAsia" w:cstheme="minorEastAsia"/>
          <w:color w:val="auto"/>
          <w:highlight w:val="none"/>
          <w:lang w:val="en-US" w:eastAsia="zh-CN"/>
        </w:rPr>
        <w:t>等</w:t>
      </w:r>
      <w:r>
        <w:rPr>
          <w:rFonts w:hint="eastAsia" w:asciiTheme="minorEastAsia" w:hAnsiTheme="minorEastAsia" w:eastAsiaTheme="minorEastAsia" w:cstheme="minorEastAsia"/>
          <w:color w:val="auto"/>
          <w:highlight w:val="none"/>
        </w:rPr>
        <w:t>,具体年份要求见</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须知前附表。每张表格只填写一个项目，并标明序号。</w:t>
      </w:r>
    </w:p>
    <w:p>
      <w:pPr>
        <w:autoSpaceDE w:val="0"/>
        <w:autoSpaceDN w:val="0"/>
        <w:adjustRightInd w:val="0"/>
        <w:ind w:left="210" w:left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br w:type="page"/>
      </w:r>
    </w:p>
    <w:p>
      <w:pPr>
        <w:pStyle w:val="5"/>
        <w:jc w:val="center"/>
        <w:rPr>
          <w:rFonts w:hint="eastAsia" w:asciiTheme="minorEastAsia" w:hAnsiTheme="minorEastAsia" w:eastAsiaTheme="minorEastAsia" w:cstheme="minorEastAsia"/>
          <w:color w:val="auto"/>
          <w:highlight w:val="none"/>
        </w:rPr>
      </w:pPr>
      <w:bookmarkStart w:id="1248" w:name="_Toc414108648"/>
      <w:r>
        <w:rPr>
          <w:rFonts w:hint="eastAsia" w:asciiTheme="minorEastAsia" w:hAnsiTheme="minorEastAsia" w:eastAsiaTheme="minorEastAsia" w:cstheme="minorEastAsia"/>
          <w:color w:val="auto"/>
          <w:highlight w:val="none"/>
          <w:lang w:val="zh-CN"/>
        </w:rPr>
        <w:t>项目负责人简历</w:t>
      </w:r>
      <w:bookmarkEnd w:id="1248"/>
    </w:p>
    <w:p>
      <w:pPr>
        <w:ind w:left="210" w:hanging="210" w:hanging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项目负责人介绍应包括：姓名、性别、年龄、职称、学历、参加工作时间、从事项目管理年限、注册建造师（项目负责人）证书编号以及其他内容。</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2、项目负责人简历相关证明材料（注册建造师（项目负责人）证书、职称证书复印件）。</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3、项目负责人近</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eastAsia="zh-CN"/>
        </w:rPr>
        <w:t>20</w:t>
      </w:r>
      <w:r>
        <w:rPr>
          <w:rFonts w:hint="eastAsia" w:asciiTheme="minorEastAsia" w:hAnsiTheme="minorEastAsia" w:eastAsiaTheme="minorEastAsia" w:cstheme="minorEastAsia"/>
          <w:color w:val="auto"/>
          <w:highlight w:val="none"/>
          <w:lang w:val="en-US" w:eastAsia="zh-CN"/>
        </w:rPr>
        <w:t>18</w:t>
      </w:r>
      <w:r>
        <w:rPr>
          <w:rFonts w:hint="eastAsia" w:asciiTheme="minorEastAsia" w:hAnsiTheme="minorEastAsia" w:eastAsiaTheme="minorEastAsia" w:cstheme="minorEastAsia"/>
          <w:color w:val="auto"/>
          <w:highlight w:val="none"/>
          <w:lang w:eastAsia="zh-CN"/>
        </w:rPr>
        <w:t>年9月-至今</w:t>
      </w:r>
      <w:r>
        <w:rPr>
          <w:rFonts w:hint="eastAsia" w:asciiTheme="minorEastAsia" w:hAnsiTheme="minorEastAsia" w:eastAsiaTheme="minorEastAsia" w:cstheme="minorEastAsia"/>
          <w:color w:val="auto"/>
          <w:highlight w:val="none"/>
        </w:rPr>
        <w:t>）内类似工程经历应按下表提供。</w:t>
      </w:r>
    </w:p>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四、拟派项目负责人资格一览表</w:t>
      </w:r>
    </w:p>
    <w:tbl>
      <w:tblPr>
        <w:tblStyle w:val="2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姓  名</w:t>
            </w:r>
          </w:p>
        </w:tc>
        <w:tc>
          <w:tcPr>
            <w:tcW w:w="2123" w:type="dxa"/>
            <w:vAlign w:val="center"/>
          </w:tcPr>
          <w:p>
            <w:pPr>
              <w:pStyle w:val="12"/>
              <w:rPr>
                <w:rFonts w:hint="eastAsia" w:asciiTheme="minorEastAsia" w:hAnsiTheme="minorEastAsia" w:eastAsiaTheme="minorEastAsia" w:cstheme="minorEastAsia"/>
                <w:color w:val="auto"/>
                <w:szCs w:val="30"/>
                <w:highlight w:val="none"/>
                <w:lang w:val="en-US" w:eastAsia="zh-CN"/>
              </w:rPr>
            </w:pPr>
          </w:p>
        </w:tc>
        <w:tc>
          <w:tcPr>
            <w:tcW w:w="2141" w:type="dxa"/>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年  龄</w:t>
            </w:r>
          </w:p>
        </w:tc>
        <w:tc>
          <w:tcPr>
            <w:tcW w:w="2120" w:type="dxa"/>
            <w:vAlign w:val="center"/>
          </w:tcPr>
          <w:p>
            <w:pPr>
              <w:jc w:val="center"/>
              <w:rPr>
                <w:rFonts w:hint="eastAsia" w:asciiTheme="minorEastAsia" w:hAnsiTheme="minorEastAsia" w:eastAsiaTheme="minorEastAsia" w:cstheme="minorEastAsia"/>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学  历</w:t>
            </w:r>
          </w:p>
        </w:tc>
        <w:tc>
          <w:tcPr>
            <w:tcW w:w="2123" w:type="dxa"/>
            <w:vAlign w:val="center"/>
          </w:tcPr>
          <w:p>
            <w:pPr>
              <w:pStyle w:val="12"/>
              <w:rPr>
                <w:rFonts w:hint="eastAsia" w:asciiTheme="minorEastAsia" w:hAnsiTheme="minorEastAsia" w:eastAsiaTheme="minorEastAsia" w:cstheme="minorEastAsia"/>
                <w:color w:val="auto"/>
                <w:szCs w:val="30"/>
                <w:highlight w:val="none"/>
                <w:lang w:val="en-US" w:eastAsia="zh-CN"/>
              </w:rPr>
            </w:pPr>
          </w:p>
        </w:tc>
        <w:tc>
          <w:tcPr>
            <w:tcW w:w="2141" w:type="dxa"/>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职  务</w:t>
            </w:r>
          </w:p>
        </w:tc>
        <w:tc>
          <w:tcPr>
            <w:tcW w:w="2120" w:type="dxa"/>
            <w:vAlign w:val="center"/>
          </w:tcPr>
          <w:p>
            <w:pPr>
              <w:jc w:val="center"/>
              <w:rPr>
                <w:rFonts w:hint="eastAsia" w:asciiTheme="minorEastAsia" w:hAnsiTheme="minorEastAsia" w:eastAsiaTheme="minorEastAsia" w:cstheme="minorEastAsia"/>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从事相关工作年限</w:t>
            </w:r>
          </w:p>
        </w:tc>
        <w:tc>
          <w:tcPr>
            <w:tcW w:w="4261" w:type="dxa"/>
            <w:gridSpan w:val="2"/>
            <w:vAlign w:val="center"/>
          </w:tcPr>
          <w:p>
            <w:pPr>
              <w:pStyle w:val="12"/>
              <w:rPr>
                <w:rFonts w:hint="eastAsia" w:asciiTheme="minorEastAsia" w:hAnsiTheme="minorEastAsia" w:eastAsiaTheme="minorEastAsia" w:cstheme="minorEastAsia"/>
                <w:color w:val="auto"/>
                <w:szCs w:val="3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在本项目中拟担任的职务</w:t>
            </w:r>
          </w:p>
        </w:tc>
        <w:tc>
          <w:tcPr>
            <w:tcW w:w="4261" w:type="dxa"/>
            <w:gridSpan w:val="2"/>
            <w:vAlign w:val="center"/>
          </w:tcPr>
          <w:p>
            <w:pPr>
              <w:pStyle w:val="12"/>
              <w:rPr>
                <w:rFonts w:hint="eastAsia" w:asciiTheme="minorEastAsia" w:hAnsiTheme="minorEastAsia" w:eastAsiaTheme="minorEastAsia" w:cstheme="minorEastAsia"/>
                <w:color w:val="auto"/>
                <w:szCs w:val="3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联系方式</w:t>
            </w:r>
          </w:p>
        </w:tc>
        <w:tc>
          <w:tcPr>
            <w:tcW w:w="6384" w:type="dxa"/>
            <w:gridSpan w:val="3"/>
            <w:vAlign w:val="center"/>
          </w:tcPr>
          <w:p>
            <w:pPr>
              <w:pStyle w:val="12"/>
              <w:rPr>
                <w:rFonts w:hint="eastAsia" w:asciiTheme="minorEastAsia" w:hAnsiTheme="minorEastAsia" w:eastAsiaTheme="minorEastAsia" w:cstheme="minorEastAsia"/>
                <w:color w:val="auto"/>
                <w:szCs w:val="3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528" w:type="dxa"/>
            <w:gridSpan w:val="5"/>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12"/>
              <w:rPr>
                <w:rFonts w:hint="eastAsia" w:asciiTheme="minorEastAsia" w:hAnsiTheme="minorEastAsia" w:eastAsiaTheme="minorEastAsia" w:cstheme="minorEastAsia"/>
                <w:color w:val="auto"/>
                <w:szCs w:val="30"/>
                <w:highlight w:val="none"/>
                <w:lang w:val="en-US" w:eastAsia="zh-CN"/>
              </w:rPr>
            </w:pPr>
          </w:p>
        </w:tc>
        <w:tc>
          <w:tcPr>
            <w:tcW w:w="7414" w:type="dxa"/>
            <w:gridSpan w:val="4"/>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工作</w:t>
            </w:r>
          </w:p>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经历</w:t>
            </w:r>
          </w:p>
        </w:tc>
        <w:tc>
          <w:tcPr>
            <w:tcW w:w="7414" w:type="dxa"/>
            <w:gridSpan w:val="4"/>
            <w:vAlign w:val="top"/>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（单位、担任职务、工作时间）</w:t>
            </w:r>
          </w:p>
        </w:tc>
      </w:tr>
    </w:tbl>
    <w:p>
      <w:pPr>
        <w:pStyle w:val="12"/>
        <w:rPr>
          <w:rFonts w:hint="eastAsia" w:asciiTheme="minorEastAsia" w:hAnsiTheme="minorEastAsia" w:eastAsiaTheme="minorEastAsia" w:cstheme="minorEastAsia"/>
          <w:color w:val="auto"/>
          <w:szCs w:val="30"/>
          <w:highlight w:val="none"/>
        </w:rPr>
      </w:pPr>
      <w:r>
        <w:rPr>
          <w:rFonts w:hint="eastAsia" w:asciiTheme="minorEastAsia" w:hAnsiTheme="minorEastAsia" w:eastAsiaTheme="minorEastAsia" w:cstheme="minorEastAsia"/>
          <w:color w:val="auto"/>
          <w:szCs w:val="30"/>
          <w:highlight w:val="none"/>
          <w:lang w:eastAsia="zh-CN"/>
        </w:rPr>
        <w:t>投标</w:t>
      </w:r>
      <w:r>
        <w:rPr>
          <w:rFonts w:hint="eastAsia" w:asciiTheme="minorEastAsia" w:hAnsiTheme="minorEastAsia" w:eastAsiaTheme="minorEastAsia" w:cstheme="minorEastAsia"/>
          <w:color w:val="auto"/>
          <w:szCs w:val="30"/>
          <w:highlight w:val="none"/>
        </w:rPr>
        <w:t>单位：（盖章）</w:t>
      </w:r>
    </w:p>
    <w:p>
      <w:pPr>
        <w:pStyle w:val="12"/>
        <w:rPr>
          <w:rFonts w:hint="eastAsia" w:asciiTheme="minorEastAsia" w:hAnsiTheme="minorEastAsia" w:eastAsiaTheme="minorEastAsia" w:cstheme="minorEastAsia"/>
          <w:color w:val="auto"/>
          <w:szCs w:val="30"/>
          <w:highlight w:val="none"/>
        </w:rPr>
      </w:pPr>
      <w:r>
        <w:rPr>
          <w:rFonts w:hint="eastAsia" w:asciiTheme="minorEastAsia" w:hAnsiTheme="minorEastAsia" w:eastAsiaTheme="minorEastAsia" w:cstheme="minorEastAsia"/>
          <w:color w:val="auto"/>
          <w:szCs w:val="30"/>
          <w:highlight w:val="none"/>
        </w:rPr>
        <w:t>法定代表人或委托代理人：（签字</w:t>
      </w:r>
      <w:r>
        <w:rPr>
          <w:rFonts w:hint="eastAsia" w:asciiTheme="minorEastAsia" w:hAnsiTheme="minorEastAsia" w:eastAsiaTheme="minorEastAsia" w:cstheme="minorEastAsia"/>
          <w:color w:val="auto"/>
          <w:szCs w:val="30"/>
          <w:highlight w:val="none"/>
          <w:lang w:eastAsia="zh-CN"/>
        </w:rPr>
        <w:t>或盖章</w:t>
      </w:r>
      <w:r>
        <w:rPr>
          <w:rFonts w:hint="eastAsia" w:asciiTheme="minorEastAsia" w:hAnsiTheme="minorEastAsia" w:eastAsiaTheme="minorEastAsia" w:cstheme="minorEastAsia"/>
          <w:color w:val="auto"/>
          <w:szCs w:val="30"/>
          <w:highlight w:val="none"/>
        </w:rPr>
        <w:t>）</w:t>
      </w:r>
    </w:p>
    <w:p>
      <w:pPr>
        <w:jc w:val="right"/>
        <w:rPr>
          <w:rFonts w:hint="eastAsia" w:asciiTheme="minorEastAsia" w:hAnsiTheme="minorEastAsia" w:eastAsiaTheme="minorEastAsia" w:cstheme="minorEastAsia"/>
          <w:color w:val="auto"/>
          <w:kern w:val="2"/>
          <w:sz w:val="24"/>
          <w:szCs w:val="30"/>
          <w:highlight w:val="none"/>
          <w:lang w:val="en-US" w:eastAsia="zh-CN" w:bidi="ar-SA"/>
        </w:rPr>
      </w:pPr>
      <w:r>
        <w:rPr>
          <w:rFonts w:hint="eastAsia" w:asciiTheme="minorEastAsia" w:hAnsiTheme="minorEastAsia" w:eastAsiaTheme="minorEastAsia" w:cstheme="minorEastAsia"/>
          <w:color w:val="auto"/>
          <w:kern w:val="2"/>
          <w:sz w:val="24"/>
          <w:szCs w:val="30"/>
          <w:highlight w:val="none"/>
          <w:lang w:val="en-US" w:eastAsia="zh-CN" w:bidi="ar-SA"/>
        </w:rPr>
        <w:t>日期：     年  月  日</w:t>
      </w:r>
    </w:p>
    <w:p>
      <w:pPr>
        <w:jc w:val="right"/>
        <w:rPr>
          <w:rFonts w:hint="eastAsia" w:asciiTheme="minorEastAsia" w:hAnsiTheme="minorEastAsia" w:eastAsiaTheme="minorEastAsia" w:cstheme="minorEastAsia"/>
          <w:color w:val="auto"/>
          <w:kern w:val="2"/>
          <w:sz w:val="24"/>
          <w:szCs w:val="30"/>
          <w:highlight w:val="none"/>
          <w:lang w:val="en-US" w:eastAsia="zh-CN" w:bidi="ar-SA"/>
        </w:rPr>
      </w:pPr>
    </w:p>
    <w:p>
      <w:pPr>
        <w:jc w:val="left"/>
        <w:rPr>
          <w:rFonts w:hint="eastAsia" w:asciiTheme="minorEastAsia" w:hAnsiTheme="minorEastAsia" w:eastAsiaTheme="minorEastAsia" w:cstheme="minorEastAsia"/>
          <w:color w:val="auto"/>
          <w:kern w:val="2"/>
          <w:sz w:val="24"/>
          <w:szCs w:val="30"/>
          <w:highlight w:val="none"/>
          <w:lang w:val="en-US" w:eastAsia="zh-CN" w:bidi="ar-SA"/>
        </w:rPr>
        <w:sectPr>
          <w:pgSz w:w="11906" w:h="16838"/>
          <w:pgMar w:top="1440" w:right="1797" w:bottom="1440" w:left="1797"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szCs w:val="21"/>
          <w:highlight w:val="none"/>
        </w:rPr>
        <w:t>备注：项目负责人近</w:t>
      </w:r>
      <w:r>
        <w:rPr>
          <w:rFonts w:hint="eastAsia" w:asciiTheme="minorEastAsia" w:hAnsiTheme="minorEastAsia" w:eastAsiaTheme="minorEastAsia" w:cstheme="minorEastAsia"/>
          <w:color w:val="auto"/>
          <w:szCs w:val="21"/>
          <w:highlight w:val="none"/>
          <w:lang w:val="en-US" w:eastAsia="zh-CN"/>
        </w:rPr>
        <w:t>三</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201</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lang w:eastAsia="zh-CN"/>
        </w:rPr>
        <w:t>年9月-至今</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类似业绩证明材料（附：中标通知书、施工合同</w:t>
      </w:r>
      <w:r>
        <w:rPr>
          <w:rFonts w:hint="eastAsia" w:asciiTheme="minorEastAsia" w:hAnsiTheme="minorEastAsia" w:eastAsiaTheme="minorEastAsia" w:cstheme="minorEastAsia"/>
          <w:color w:val="auto"/>
          <w:szCs w:val="21"/>
          <w:highlight w:val="none"/>
          <w:lang w:val="en-US" w:eastAsia="zh-CN"/>
        </w:rPr>
        <w:t>等</w:t>
      </w:r>
      <w:r>
        <w:rPr>
          <w:rFonts w:hint="eastAsia" w:asciiTheme="minorEastAsia" w:hAnsiTheme="minorEastAsia" w:eastAsiaTheme="minorEastAsia" w:cstheme="minorEastAsia"/>
          <w:color w:val="auto"/>
          <w:szCs w:val="21"/>
          <w:highlight w:val="none"/>
          <w:lang w:eastAsia="zh-CN"/>
        </w:rPr>
        <w:t>）</w:t>
      </w:r>
    </w:p>
    <w:p>
      <w:pPr>
        <w:pStyle w:val="5"/>
        <w:jc w:val="center"/>
        <w:rPr>
          <w:rFonts w:hint="eastAsia" w:asciiTheme="minorEastAsia" w:hAnsiTheme="minorEastAsia" w:eastAsiaTheme="minorEastAsia" w:cstheme="minorEastAsia"/>
          <w:color w:val="auto"/>
          <w:szCs w:val="21"/>
          <w:highlight w:val="none"/>
        </w:rPr>
      </w:pPr>
      <w:bookmarkStart w:id="1249" w:name="_Toc414108649"/>
      <w:r>
        <w:rPr>
          <w:rFonts w:hint="eastAsia" w:asciiTheme="minorEastAsia" w:hAnsiTheme="minorEastAsia" w:eastAsiaTheme="minorEastAsia" w:cstheme="minorEastAsia"/>
          <w:color w:val="auto"/>
          <w:highlight w:val="none"/>
          <w:lang w:val="zh-CN"/>
        </w:rPr>
        <w:t>项目管理人员</w:t>
      </w:r>
      <w:bookmarkEnd w:id="1249"/>
    </w:p>
    <w:p>
      <w:pPr>
        <w:autoSpaceDE w:val="0"/>
        <w:autoSpaceDN w:val="0"/>
        <w:adjustRightInd w:val="0"/>
        <w:ind w:left="630" w:leftChars="200" w:hanging="210" w:hanging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highlight w:val="none"/>
          <w:lang w:val="zh-CN"/>
        </w:rPr>
        <w:t>、项目管理人员应包括：项目工程师、质量管理员、材料管理员、安全管理员、计划管理员、资料员和项目项目负责人需要配备的其他关键人员</w:t>
      </w:r>
    </w:p>
    <w:p>
      <w:pPr>
        <w:autoSpaceDE w:val="0"/>
        <w:autoSpaceDN w:val="0"/>
        <w:adjustRightInd w:val="0"/>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highlight w:val="none"/>
          <w:lang w:val="zh-CN"/>
        </w:rPr>
        <w:t>、上述人员简历介绍应包括姓名、职称等基本信息</w:t>
      </w:r>
    </w:p>
    <w:p>
      <w:pPr>
        <w:autoSpaceDE w:val="0"/>
        <w:autoSpaceDN w:val="0"/>
        <w:adjustRightInd w:val="0"/>
        <w:ind w:firstLine="42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lang w:val="zh-CN"/>
        </w:rPr>
        <w:t>、项目管理人员简历中应付职称证书或上岗证书复印件</w:t>
      </w:r>
    </w:p>
    <w:p>
      <w:pPr>
        <w:widowControl/>
        <w:spacing w:line="408" w:lineRule="auto"/>
        <w:ind w:firstLine="600"/>
        <w:jc w:val="cente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拟派项目作业人员一览表</w:t>
      </w:r>
    </w:p>
    <w:tbl>
      <w:tblPr>
        <w:tblStyle w:val="24"/>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12"/>
              <w:ind w:left="0" w:leftChars="0" w:firstLine="0" w:firstLineChars="0"/>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姓 名</w:t>
            </w:r>
          </w:p>
        </w:tc>
        <w:tc>
          <w:tcPr>
            <w:tcW w:w="1709" w:type="dxa"/>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职 称</w:t>
            </w:r>
          </w:p>
        </w:tc>
        <w:tc>
          <w:tcPr>
            <w:tcW w:w="1875" w:type="dxa"/>
            <w:vAlign w:val="center"/>
          </w:tcPr>
          <w:p>
            <w:pPr>
              <w:pStyle w:val="12"/>
              <w:rPr>
                <w:rFonts w:hint="eastAsia" w:asciiTheme="minorEastAsia" w:hAnsiTheme="minorEastAsia" w:eastAsiaTheme="minorEastAsia" w:cstheme="minorEastAsia"/>
                <w:color w:val="auto"/>
                <w:szCs w:val="30"/>
                <w:highlight w:val="none"/>
                <w:lang w:val="en-US" w:eastAsia="zh-CN"/>
              </w:rPr>
            </w:pPr>
            <w:r>
              <w:rPr>
                <w:rFonts w:hint="eastAsia" w:asciiTheme="minorEastAsia" w:hAnsiTheme="minorEastAsia" w:eastAsiaTheme="minorEastAsia" w:cstheme="minorEastAsia"/>
                <w:color w:val="auto"/>
                <w:szCs w:val="30"/>
                <w:highlight w:val="none"/>
                <w:lang w:val="en-US" w:eastAsia="zh-CN"/>
              </w:rPr>
              <w:t>建议职务</w:t>
            </w:r>
          </w:p>
        </w:tc>
        <w:tc>
          <w:tcPr>
            <w:tcW w:w="2475" w:type="dxa"/>
            <w:vAlign w:val="center"/>
          </w:tcPr>
          <w:p>
            <w:pPr>
              <w:pStyle w:val="12"/>
              <w:ind w:left="-128" w:leftChars="-61" w:firstLine="22" w:firstLineChars="11"/>
              <w:jc w:val="center"/>
              <w:rPr>
                <w:rFonts w:hint="eastAsia" w:asciiTheme="minorEastAsia" w:hAnsiTheme="minorEastAsia" w:eastAsiaTheme="minorEastAsia" w:cstheme="minorEastAsia"/>
                <w:color w:val="auto"/>
                <w:spacing w:val="-20"/>
                <w:szCs w:val="30"/>
                <w:highlight w:val="none"/>
                <w:lang w:val="en-US" w:eastAsia="zh-CN"/>
              </w:rPr>
            </w:pPr>
            <w:r>
              <w:rPr>
                <w:rFonts w:hint="eastAsia" w:asciiTheme="minorEastAsia" w:hAnsiTheme="minorEastAsia" w:eastAsiaTheme="minorEastAsia" w:cstheme="minorEastAsia"/>
                <w:color w:val="auto"/>
                <w:spacing w:val="-20"/>
                <w:szCs w:val="30"/>
                <w:highlight w:val="none"/>
                <w:lang w:val="en-US" w:eastAsia="zh-CN"/>
              </w:rPr>
              <w:t>从事相关工作年限</w:t>
            </w:r>
          </w:p>
        </w:tc>
        <w:tc>
          <w:tcPr>
            <w:tcW w:w="3075" w:type="dxa"/>
            <w:vAlign w:val="center"/>
          </w:tcPr>
          <w:p>
            <w:pPr>
              <w:pStyle w:val="12"/>
              <w:ind w:left="-128" w:leftChars="-61" w:firstLine="22" w:firstLineChars="11"/>
              <w:jc w:val="center"/>
              <w:rPr>
                <w:rFonts w:hint="eastAsia" w:asciiTheme="minorEastAsia" w:hAnsiTheme="minorEastAsia" w:eastAsiaTheme="minorEastAsia" w:cstheme="minorEastAsia"/>
                <w:color w:val="auto"/>
                <w:spacing w:val="-20"/>
                <w:szCs w:val="30"/>
                <w:highlight w:val="none"/>
                <w:lang w:val="en-US" w:eastAsia="zh-CN"/>
              </w:rPr>
            </w:pPr>
            <w:r>
              <w:rPr>
                <w:rFonts w:hint="eastAsia" w:asciiTheme="minorEastAsia" w:hAnsiTheme="minorEastAsia" w:eastAsiaTheme="minorEastAsia" w:cstheme="minorEastAsia"/>
                <w:color w:val="auto"/>
                <w:spacing w:val="-20"/>
                <w:szCs w:val="30"/>
                <w:highlight w:val="none"/>
                <w:lang w:val="en-US" w:eastAsia="zh-CN"/>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12"/>
              <w:jc w:val="center"/>
              <w:rPr>
                <w:rFonts w:hint="eastAsia" w:asciiTheme="minorEastAsia" w:hAnsiTheme="minorEastAsia" w:eastAsiaTheme="minorEastAsia" w:cstheme="minorEastAsia"/>
                <w:color w:val="auto"/>
                <w:szCs w:val="30"/>
                <w:highlight w:val="none"/>
                <w:lang w:val="en-US" w:eastAsia="zh-CN"/>
              </w:rPr>
            </w:pPr>
          </w:p>
        </w:tc>
        <w:tc>
          <w:tcPr>
            <w:tcW w:w="1709" w:type="dxa"/>
            <w:vAlign w:val="center"/>
          </w:tcPr>
          <w:p>
            <w:pPr>
              <w:pStyle w:val="12"/>
              <w:jc w:val="center"/>
              <w:rPr>
                <w:rFonts w:hint="eastAsia" w:asciiTheme="minorEastAsia" w:hAnsiTheme="minorEastAsia" w:eastAsiaTheme="minorEastAsia" w:cstheme="minorEastAsia"/>
                <w:color w:val="auto"/>
                <w:szCs w:val="30"/>
                <w:highlight w:val="none"/>
                <w:lang w:val="en-US" w:eastAsia="zh-CN"/>
              </w:rPr>
            </w:pPr>
          </w:p>
        </w:tc>
        <w:tc>
          <w:tcPr>
            <w:tcW w:w="1875" w:type="dxa"/>
            <w:vAlign w:val="center"/>
          </w:tcPr>
          <w:p>
            <w:pPr>
              <w:pStyle w:val="12"/>
              <w:jc w:val="center"/>
              <w:rPr>
                <w:rFonts w:hint="eastAsia" w:asciiTheme="minorEastAsia" w:hAnsiTheme="minorEastAsia" w:eastAsiaTheme="minorEastAsia" w:cstheme="minorEastAsia"/>
                <w:color w:val="auto"/>
                <w:szCs w:val="30"/>
                <w:highlight w:val="none"/>
                <w:lang w:val="en-US" w:eastAsia="zh-CN"/>
              </w:rPr>
            </w:pPr>
          </w:p>
        </w:tc>
        <w:tc>
          <w:tcPr>
            <w:tcW w:w="2475" w:type="dxa"/>
            <w:vAlign w:val="center"/>
          </w:tcPr>
          <w:p>
            <w:pPr>
              <w:pStyle w:val="12"/>
              <w:jc w:val="center"/>
              <w:rPr>
                <w:rFonts w:hint="eastAsia" w:asciiTheme="minorEastAsia" w:hAnsiTheme="minorEastAsia" w:eastAsiaTheme="minorEastAsia" w:cstheme="minorEastAsia"/>
                <w:color w:val="auto"/>
                <w:szCs w:val="30"/>
                <w:highlight w:val="none"/>
                <w:lang w:val="en-US" w:eastAsia="zh-CN"/>
              </w:rPr>
            </w:pPr>
          </w:p>
        </w:tc>
        <w:tc>
          <w:tcPr>
            <w:tcW w:w="3075" w:type="dxa"/>
            <w:vAlign w:val="center"/>
          </w:tcPr>
          <w:p>
            <w:pPr>
              <w:pStyle w:val="12"/>
              <w:jc w:val="center"/>
              <w:rPr>
                <w:rFonts w:hint="eastAsia" w:asciiTheme="minorEastAsia" w:hAnsiTheme="minorEastAsia" w:eastAsiaTheme="minorEastAsia" w:cstheme="minorEastAsia"/>
                <w:color w:val="auto"/>
                <w:szCs w:val="3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jc w:val="center"/>
              <w:rPr>
                <w:rFonts w:hint="eastAsia" w:asciiTheme="minorEastAsia" w:hAnsiTheme="minorEastAsia" w:eastAsiaTheme="minorEastAsia" w:cstheme="minorEastAsia"/>
                <w:color w:val="auto"/>
                <w:sz w:val="30"/>
                <w:szCs w:val="30"/>
                <w:highlight w:val="none"/>
              </w:rPr>
            </w:pPr>
          </w:p>
        </w:tc>
        <w:tc>
          <w:tcPr>
            <w:tcW w:w="1709" w:type="dxa"/>
            <w:vAlign w:val="center"/>
          </w:tcPr>
          <w:p>
            <w:pPr>
              <w:pStyle w:val="16"/>
              <w:jc w:val="center"/>
              <w:rPr>
                <w:rFonts w:hint="eastAsia" w:asciiTheme="minorEastAsia" w:hAnsiTheme="minorEastAsia" w:eastAsiaTheme="minorEastAsia" w:cstheme="minorEastAsia"/>
                <w:color w:val="auto"/>
                <w:sz w:val="30"/>
                <w:szCs w:val="30"/>
                <w:highlight w:val="none"/>
                <w:lang w:val="en-US" w:eastAsia="zh-CN"/>
              </w:rPr>
            </w:pPr>
          </w:p>
        </w:tc>
        <w:tc>
          <w:tcPr>
            <w:tcW w:w="1875" w:type="dxa"/>
            <w:vAlign w:val="center"/>
          </w:tcPr>
          <w:p>
            <w:pPr>
              <w:pStyle w:val="16"/>
              <w:ind w:left="-5" w:leftChars="-22" w:hanging="41" w:hangingChars="15"/>
              <w:jc w:val="center"/>
              <w:rPr>
                <w:rFonts w:hint="eastAsia" w:asciiTheme="minorEastAsia" w:hAnsiTheme="minorEastAsia" w:eastAsiaTheme="minorEastAsia" w:cstheme="minorEastAsia"/>
                <w:color w:val="auto"/>
                <w:spacing w:val="-12"/>
                <w:sz w:val="30"/>
                <w:szCs w:val="30"/>
                <w:highlight w:val="none"/>
                <w:lang w:val="en-US" w:eastAsia="zh-CN"/>
              </w:rPr>
            </w:pPr>
          </w:p>
        </w:tc>
        <w:tc>
          <w:tcPr>
            <w:tcW w:w="2475" w:type="dxa"/>
            <w:vAlign w:val="center"/>
          </w:tcPr>
          <w:p>
            <w:pPr>
              <w:jc w:val="center"/>
              <w:rPr>
                <w:rFonts w:hint="eastAsia" w:asciiTheme="minorEastAsia" w:hAnsiTheme="minorEastAsia" w:eastAsiaTheme="minorEastAsia" w:cstheme="minorEastAsia"/>
                <w:color w:val="auto"/>
                <w:sz w:val="30"/>
                <w:szCs w:val="30"/>
                <w:highlight w:val="none"/>
              </w:rPr>
            </w:pPr>
          </w:p>
        </w:tc>
        <w:tc>
          <w:tcPr>
            <w:tcW w:w="3075" w:type="dxa"/>
            <w:vAlign w:val="center"/>
          </w:tcPr>
          <w:p>
            <w:pPr>
              <w:jc w:val="center"/>
              <w:rPr>
                <w:rFonts w:hint="eastAsia" w:asciiTheme="minorEastAsia" w:hAnsiTheme="minorEastAsia" w:eastAsiaTheme="minorEastAsia" w:cstheme="minorEastAsia"/>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jc w:val="center"/>
              <w:rPr>
                <w:rFonts w:hint="eastAsia" w:asciiTheme="minorEastAsia" w:hAnsiTheme="minorEastAsia" w:eastAsiaTheme="minorEastAsia" w:cstheme="minorEastAsia"/>
                <w:color w:val="auto"/>
                <w:sz w:val="30"/>
                <w:szCs w:val="30"/>
                <w:highlight w:val="none"/>
              </w:rPr>
            </w:pPr>
          </w:p>
        </w:tc>
        <w:tc>
          <w:tcPr>
            <w:tcW w:w="1709" w:type="dxa"/>
            <w:vAlign w:val="center"/>
          </w:tcPr>
          <w:p>
            <w:pPr>
              <w:pStyle w:val="16"/>
              <w:jc w:val="center"/>
              <w:rPr>
                <w:rFonts w:hint="eastAsia" w:asciiTheme="minorEastAsia" w:hAnsiTheme="minorEastAsia" w:eastAsiaTheme="minorEastAsia" w:cstheme="minorEastAsia"/>
                <w:color w:val="auto"/>
                <w:sz w:val="30"/>
                <w:szCs w:val="30"/>
                <w:highlight w:val="none"/>
                <w:lang w:val="en-US" w:eastAsia="zh-CN"/>
              </w:rPr>
            </w:pPr>
          </w:p>
        </w:tc>
        <w:tc>
          <w:tcPr>
            <w:tcW w:w="1875" w:type="dxa"/>
            <w:vAlign w:val="center"/>
          </w:tcPr>
          <w:p>
            <w:pPr>
              <w:pStyle w:val="16"/>
              <w:jc w:val="center"/>
              <w:rPr>
                <w:rFonts w:hint="eastAsia" w:asciiTheme="minorEastAsia" w:hAnsiTheme="minorEastAsia" w:eastAsiaTheme="minorEastAsia" w:cstheme="minorEastAsia"/>
                <w:color w:val="auto"/>
                <w:sz w:val="30"/>
                <w:szCs w:val="30"/>
                <w:highlight w:val="none"/>
                <w:lang w:val="en-US" w:eastAsia="zh-CN"/>
              </w:rPr>
            </w:pPr>
          </w:p>
        </w:tc>
        <w:tc>
          <w:tcPr>
            <w:tcW w:w="2475" w:type="dxa"/>
            <w:vAlign w:val="center"/>
          </w:tcPr>
          <w:p>
            <w:pPr>
              <w:jc w:val="center"/>
              <w:rPr>
                <w:rFonts w:hint="eastAsia" w:asciiTheme="minorEastAsia" w:hAnsiTheme="minorEastAsia" w:eastAsiaTheme="minorEastAsia" w:cstheme="minorEastAsia"/>
                <w:color w:val="auto"/>
                <w:sz w:val="30"/>
                <w:szCs w:val="30"/>
                <w:highlight w:val="none"/>
              </w:rPr>
            </w:pPr>
          </w:p>
        </w:tc>
        <w:tc>
          <w:tcPr>
            <w:tcW w:w="3075" w:type="dxa"/>
            <w:vAlign w:val="center"/>
          </w:tcPr>
          <w:p>
            <w:pPr>
              <w:jc w:val="center"/>
              <w:rPr>
                <w:rFonts w:hint="eastAsia" w:asciiTheme="minorEastAsia" w:hAnsiTheme="minorEastAsia" w:eastAsiaTheme="minorEastAsia" w:cstheme="minorEastAsia"/>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jc w:val="center"/>
              <w:rPr>
                <w:rFonts w:hint="eastAsia" w:asciiTheme="minorEastAsia" w:hAnsiTheme="minorEastAsia" w:eastAsiaTheme="minorEastAsia" w:cstheme="minorEastAsia"/>
                <w:color w:val="auto"/>
                <w:sz w:val="30"/>
                <w:szCs w:val="30"/>
                <w:highlight w:val="none"/>
              </w:rPr>
            </w:pPr>
          </w:p>
        </w:tc>
        <w:tc>
          <w:tcPr>
            <w:tcW w:w="1709" w:type="dxa"/>
            <w:vAlign w:val="center"/>
          </w:tcPr>
          <w:p>
            <w:pPr>
              <w:pStyle w:val="16"/>
              <w:jc w:val="center"/>
              <w:rPr>
                <w:rFonts w:hint="eastAsia" w:asciiTheme="minorEastAsia" w:hAnsiTheme="minorEastAsia" w:eastAsiaTheme="minorEastAsia" w:cstheme="minorEastAsia"/>
                <w:color w:val="auto"/>
                <w:sz w:val="30"/>
                <w:szCs w:val="30"/>
                <w:highlight w:val="none"/>
                <w:lang w:val="en-US" w:eastAsia="zh-CN"/>
              </w:rPr>
            </w:pPr>
          </w:p>
        </w:tc>
        <w:tc>
          <w:tcPr>
            <w:tcW w:w="1875" w:type="dxa"/>
            <w:vAlign w:val="center"/>
          </w:tcPr>
          <w:p>
            <w:pPr>
              <w:pStyle w:val="12"/>
              <w:jc w:val="center"/>
              <w:rPr>
                <w:rFonts w:hint="eastAsia" w:asciiTheme="minorEastAsia" w:hAnsiTheme="minorEastAsia" w:eastAsiaTheme="minorEastAsia" w:cstheme="minorEastAsia"/>
                <w:color w:val="auto"/>
                <w:szCs w:val="30"/>
                <w:highlight w:val="none"/>
                <w:lang w:val="en-US" w:eastAsia="zh-CN"/>
              </w:rPr>
            </w:pPr>
          </w:p>
        </w:tc>
        <w:tc>
          <w:tcPr>
            <w:tcW w:w="2475" w:type="dxa"/>
            <w:vAlign w:val="center"/>
          </w:tcPr>
          <w:p>
            <w:pPr>
              <w:jc w:val="center"/>
              <w:rPr>
                <w:rFonts w:hint="eastAsia" w:asciiTheme="minorEastAsia" w:hAnsiTheme="minorEastAsia" w:eastAsiaTheme="minorEastAsia" w:cstheme="minorEastAsia"/>
                <w:color w:val="auto"/>
                <w:sz w:val="30"/>
                <w:szCs w:val="30"/>
                <w:highlight w:val="none"/>
              </w:rPr>
            </w:pPr>
          </w:p>
        </w:tc>
        <w:tc>
          <w:tcPr>
            <w:tcW w:w="3075" w:type="dxa"/>
            <w:vAlign w:val="center"/>
          </w:tcPr>
          <w:p>
            <w:pPr>
              <w:jc w:val="center"/>
              <w:rPr>
                <w:rFonts w:hint="eastAsia" w:asciiTheme="minorEastAsia" w:hAnsiTheme="minorEastAsia" w:eastAsiaTheme="minorEastAsia" w:cstheme="minorEastAsia"/>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jc w:val="center"/>
              <w:rPr>
                <w:rFonts w:hint="eastAsia" w:asciiTheme="minorEastAsia" w:hAnsiTheme="minorEastAsia" w:eastAsiaTheme="minorEastAsia" w:cstheme="minorEastAsia"/>
                <w:color w:val="auto"/>
                <w:sz w:val="30"/>
                <w:szCs w:val="30"/>
                <w:highlight w:val="none"/>
              </w:rPr>
            </w:pPr>
          </w:p>
        </w:tc>
        <w:tc>
          <w:tcPr>
            <w:tcW w:w="1709" w:type="dxa"/>
            <w:vAlign w:val="center"/>
          </w:tcPr>
          <w:p>
            <w:pPr>
              <w:pStyle w:val="16"/>
              <w:jc w:val="center"/>
              <w:rPr>
                <w:rFonts w:hint="eastAsia" w:asciiTheme="minorEastAsia" w:hAnsiTheme="minorEastAsia" w:eastAsiaTheme="minorEastAsia" w:cstheme="minorEastAsia"/>
                <w:color w:val="auto"/>
                <w:sz w:val="30"/>
                <w:szCs w:val="30"/>
                <w:highlight w:val="none"/>
                <w:lang w:val="en-US" w:eastAsia="zh-CN"/>
              </w:rPr>
            </w:pPr>
          </w:p>
        </w:tc>
        <w:tc>
          <w:tcPr>
            <w:tcW w:w="1875" w:type="dxa"/>
            <w:vAlign w:val="center"/>
          </w:tcPr>
          <w:p>
            <w:pPr>
              <w:pStyle w:val="12"/>
              <w:jc w:val="center"/>
              <w:rPr>
                <w:rFonts w:hint="eastAsia" w:asciiTheme="minorEastAsia" w:hAnsiTheme="minorEastAsia" w:eastAsiaTheme="minorEastAsia" w:cstheme="minorEastAsia"/>
                <w:color w:val="auto"/>
                <w:szCs w:val="30"/>
                <w:highlight w:val="none"/>
                <w:lang w:val="en-US" w:eastAsia="zh-CN"/>
              </w:rPr>
            </w:pPr>
          </w:p>
        </w:tc>
        <w:tc>
          <w:tcPr>
            <w:tcW w:w="2475" w:type="dxa"/>
            <w:vAlign w:val="center"/>
          </w:tcPr>
          <w:p>
            <w:pPr>
              <w:jc w:val="center"/>
              <w:rPr>
                <w:rFonts w:hint="eastAsia" w:asciiTheme="minorEastAsia" w:hAnsiTheme="minorEastAsia" w:eastAsiaTheme="minorEastAsia" w:cstheme="minorEastAsia"/>
                <w:color w:val="auto"/>
                <w:sz w:val="30"/>
                <w:szCs w:val="30"/>
                <w:highlight w:val="none"/>
              </w:rPr>
            </w:pPr>
          </w:p>
        </w:tc>
        <w:tc>
          <w:tcPr>
            <w:tcW w:w="3075" w:type="dxa"/>
            <w:vAlign w:val="center"/>
          </w:tcPr>
          <w:p>
            <w:pPr>
              <w:jc w:val="center"/>
              <w:rPr>
                <w:rFonts w:hint="eastAsia" w:asciiTheme="minorEastAsia" w:hAnsiTheme="minorEastAsia" w:eastAsiaTheme="minorEastAsia" w:cstheme="minorEastAsia"/>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jc w:val="center"/>
              <w:rPr>
                <w:rFonts w:hint="eastAsia" w:asciiTheme="minorEastAsia" w:hAnsiTheme="minorEastAsia" w:eastAsiaTheme="minorEastAsia" w:cstheme="minorEastAsia"/>
                <w:color w:val="auto"/>
                <w:sz w:val="30"/>
                <w:szCs w:val="30"/>
                <w:highlight w:val="none"/>
              </w:rPr>
            </w:pPr>
          </w:p>
        </w:tc>
        <w:tc>
          <w:tcPr>
            <w:tcW w:w="1709" w:type="dxa"/>
            <w:vAlign w:val="center"/>
          </w:tcPr>
          <w:p>
            <w:pPr>
              <w:pStyle w:val="16"/>
              <w:jc w:val="center"/>
              <w:rPr>
                <w:rFonts w:hint="eastAsia" w:asciiTheme="minorEastAsia" w:hAnsiTheme="minorEastAsia" w:eastAsiaTheme="minorEastAsia" w:cstheme="minorEastAsia"/>
                <w:color w:val="auto"/>
                <w:sz w:val="30"/>
                <w:szCs w:val="30"/>
                <w:highlight w:val="none"/>
                <w:lang w:val="en-US" w:eastAsia="zh-CN"/>
              </w:rPr>
            </w:pPr>
          </w:p>
        </w:tc>
        <w:tc>
          <w:tcPr>
            <w:tcW w:w="1875" w:type="dxa"/>
            <w:vAlign w:val="center"/>
          </w:tcPr>
          <w:p>
            <w:pPr>
              <w:pStyle w:val="12"/>
              <w:jc w:val="center"/>
              <w:rPr>
                <w:rFonts w:hint="eastAsia" w:asciiTheme="minorEastAsia" w:hAnsiTheme="minorEastAsia" w:eastAsiaTheme="minorEastAsia" w:cstheme="minorEastAsia"/>
                <w:color w:val="auto"/>
                <w:szCs w:val="30"/>
                <w:highlight w:val="none"/>
                <w:lang w:val="en-US" w:eastAsia="zh-CN"/>
              </w:rPr>
            </w:pPr>
          </w:p>
        </w:tc>
        <w:tc>
          <w:tcPr>
            <w:tcW w:w="2475" w:type="dxa"/>
            <w:vAlign w:val="center"/>
          </w:tcPr>
          <w:p>
            <w:pPr>
              <w:jc w:val="center"/>
              <w:rPr>
                <w:rFonts w:hint="eastAsia" w:asciiTheme="minorEastAsia" w:hAnsiTheme="minorEastAsia" w:eastAsiaTheme="minorEastAsia" w:cstheme="minorEastAsia"/>
                <w:color w:val="auto"/>
                <w:sz w:val="30"/>
                <w:szCs w:val="30"/>
                <w:highlight w:val="none"/>
              </w:rPr>
            </w:pPr>
          </w:p>
        </w:tc>
        <w:tc>
          <w:tcPr>
            <w:tcW w:w="3075" w:type="dxa"/>
            <w:vAlign w:val="center"/>
          </w:tcPr>
          <w:p>
            <w:pPr>
              <w:jc w:val="center"/>
              <w:rPr>
                <w:rFonts w:hint="eastAsia" w:asciiTheme="minorEastAsia" w:hAnsiTheme="minorEastAsia" w:eastAsiaTheme="minorEastAsia" w:cstheme="minorEastAsia"/>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jc w:val="center"/>
              <w:rPr>
                <w:rFonts w:hint="eastAsia" w:asciiTheme="minorEastAsia" w:hAnsiTheme="minorEastAsia" w:eastAsiaTheme="minorEastAsia" w:cstheme="minorEastAsia"/>
                <w:color w:val="auto"/>
                <w:sz w:val="30"/>
                <w:szCs w:val="30"/>
                <w:highlight w:val="none"/>
              </w:rPr>
            </w:pPr>
          </w:p>
        </w:tc>
        <w:tc>
          <w:tcPr>
            <w:tcW w:w="1709" w:type="dxa"/>
            <w:vAlign w:val="center"/>
          </w:tcPr>
          <w:p>
            <w:pPr>
              <w:pStyle w:val="16"/>
              <w:jc w:val="center"/>
              <w:rPr>
                <w:rFonts w:hint="eastAsia" w:asciiTheme="minorEastAsia" w:hAnsiTheme="minorEastAsia" w:eastAsiaTheme="minorEastAsia" w:cstheme="minorEastAsia"/>
                <w:color w:val="auto"/>
                <w:sz w:val="30"/>
                <w:szCs w:val="30"/>
                <w:highlight w:val="none"/>
                <w:lang w:val="en-US" w:eastAsia="zh-CN"/>
              </w:rPr>
            </w:pPr>
          </w:p>
        </w:tc>
        <w:tc>
          <w:tcPr>
            <w:tcW w:w="1875" w:type="dxa"/>
            <w:vAlign w:val="center"/>
          </w:tcPr>
          <w:p>
            <w:pPr>
              <w:pStyle w:val="12"/>
              <w:jc w:val="center"/>
              <w:rPr>
                <w:rFonts w:hint="eastAsia" w:asciiTheme="minorEastAsia" w:hAnsiTheme="minorEastAsia" w:eastAsiaTheme="minorEastAsia" w:cstheme="minorEastAsia"/>
                <w:color w:val="auto"/>
                <w:szCs w:val="30"/>
                <w:highlight w:val="none"/>
                <w:lang w:val="en-US" w:eastAsia="zh-CN"/>
              </w:rPr>
            </w:pPr>
          </w:p>
        </w:tc>
        <w:tc>
          <w:tcPr>
            <w:tcW w:w="2475" w:type="dxa"/>
            <w:vAlign w:val="center"/>
          </w:tcPr>
          <w:p>
            <w:pPr>
              <w:jc w:val="center"/>
              <w:rPr>
                <w:rFonts w:hint="eastAsia" w:asciiTheme="minorEastAsia" w:hAnsiTheme="minorEastAsia" w:eastAsiaTheme="minorEastAsia" w:cstheme="minorEastAsia"/>
                <w:color w:val="auto"/>
                <w:sz w:val="30"/>
                <w:szCs w:val="30"/>
                <w:highlight w:val="none"/>
              </w:rPr>
            </w:pPr>
          </w:p>
        </w:tc>
        <w:tc>
          <w:tcPr>
            <w:tcW w:w="3075" w:type="dxa"/>
            <w:vAlign w:val="center"/>
          </w:tcPr>
          <w:p>
            <w:pPr>
              <w:jc w:val="center"/>
              <w:rPr>
                <w:rFonts w:hint="eastAsia" w:asciiTheme="minorEastAsia" w:hAnsiTheme="minorEastAsia" w:eastAsiaTheme="minorEastAsia" w:cstheme="minorEastAsia"/>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jc w:val="center"/>
              <w:rPr>
                <w:rFonts w:hint="eastAsia" w:asciiTheme="minorEastAsia" w:hAnsiTheme="minorEastAsia" w:eastAsiaTheme="minorEastAsia" w:cstheme="minorEastAsia"/>
                <w:color w:val="auto"/>
                <w:sz w:val="30"/>
                <w:szCs w:val="30"/>
                <w:highlight w:val="none"/>
              </w:rPr>
            </w:pPr>
          </w:p>
        </w:tc>
        <w:tc>
          <w:tcPr>
            <w:tcW w:w="1709" w:type="dxa"/>
            <w:vAlign w:val="center"/>
          </w:tcPr>
          <w:p>
            <w:pPr>
              <w:pStyle w:val="16"/>
              <w:jc w:val="center"/>
              <w:rPr>
                <w:rFonts w:hint="eastAsia" w:asciiTheme="minorEastAsia" w:hAnsiTheme="minorEastAsia" w:eastAsiaTheme="minorEastAsia" w:cstheme="minorEastAsia"/>
                <w:color w:val="auto"/>
                <w:sz w:val="30"/>
                <w:szCs w:val="30"/>
                <w:highlight w:val="none"/>
                <w:lang w:val="en-US" w:eastAsia="zh-CN"/>
              </w:rPr>
            </w:pPr>
          </w:p>
        </w:tc>
        <w:tc>
          <w:tcPr>
            <w:tcW w:w="1875" w:type="dxa"/>
            <w:vAlign w:val="center"/>
          </w:tcPr>
          <w:p>
            <w:pPr>
              <w:pStyle w:val="12"/>
              <w:jc w:val="center"/>
              <w:rPr>
                <w:rFonts w:hint="eastAsia" w:asciiTheme="minorEastAsia" w:hAnsiTheme="minorEastAsia" w:eastAsiaTheme="minorEastAsia" w:cstheme="minorEastAsia"/>
                <w:color w:val="auto"/>
                <w:szCs w:val="30"/>
                <w:highlight w:val="none"/>
                <w:lang w:val="en-US" w:eastAsia="zh-CN"/>
              </w:rPr>
            </w:pPr>
          </w:p>
        </w:tc>
        <w:tc>
          <w:tcPr>
            <w:tcW w:w="2475" w:type="dxa"/>
            <w:vAlign w:val="center"/>
          </w:tcPr>
          <w:p>
            <w:pPr>
              <w:jc w:val="center"/>
              <w:rPr>
                <w:rFonts w:hint="eastAsia" w:asciiTheme="minorEastAsia" w:hAnsiTheme="minorEastAsia" w:eastAsiaTheme="minorEastAsia" w:cstheme="minorEastAsia"/>
                <w:color w:val="auto"/>
                <w:sz w:val="30"/>
                <w:szCs w:val="30"/>
                <w:highlight w:val="none"/>
              </w:rPr>
            </w:pPr>
          </w:p>
        </w:tc>
        <w:tc>
          <w:tcPr>
            <w:tcW w:w="3075" w:type="dxa"/>
            <w:vAlign w:val="center"/>
          </w:tcPr>
          <w:p>
            <w:pPr>
              <w:jc w:val="center"/>
              <w:rPr>
                <w:rFonts w:hint="eastAsia" w:asciiTheme="minorEastAsia" w:hAnsiTheme="minorEastAsia" w:eastAsiaTheme="minorEastAsia" w:cstheme="minorEastAsia"/>
                <w:color w:val="auto"/>
                <w:sz w:val="30"/>
                <w:szCs w:val="30"/>
                <w:highlight w:val="none"/>
              </w:rPr>
            </w:pPr>
          </w:p>
        </w:tc>
      </w:tr>
    </w:tbl>
    <w:p>
      <w:pPr>
        <w:pStyle w:val="12"/>
        <w:jc w:val="left"/>
        <w:rPr>
          <w:rFonts w:hint="eastAsia" w:asciiTheme="minorEastAsia" w:hAnsiTheme="minorEastAsia" w:eastAsiaTheme="minorEastAsia" w:cstheme="minorEastAsia"/>
          <w:color w:val="auto"/>
          <w:szCs w:val="30"/>
          <w:highlight w:val="none"/>
        </w:rPr>
      </w:pPr>
      <w:r>
        <w:rPr>
          <w:rFonts w:hint="eastAsia" w:asciiTheme="minorEastAsia" w:hAnsiTheme="minorEastAsia" w:eastAsiaTheme="minorEastAsia" w:cstheme="minorEastAsia"/>
          <w:color w:val="auto"/>
          <w:szCs w:val="30"/>
          <w:highlight w:val="none"/>
        </w:rPr>
        <w:t>供应商：（盖章）</w:t>
      </w:r>
    </w:p>
    <w:p>
      <w:pPr>
        <w:pStyle w:val="12"/>
        <w:wordWrap w:val="0"/>
        <w:ind w:firstLine="511" w:firstLineChars="213"/>
        <w:jc w:val="center"/>
        <w:outlineLvl w:val="0"/>
        <w:rPr>
          <w:rFonts w:hint="eastAsia" w:asciiTheme="minorEastAsia" w:hAnsiTheme="minorEastAsia" w:eastAsiaTheme="minorEastAsia" w:cstheme="minorEastAsia"/>
          <w:color w:val="auto"/>
          <w:szCs w:val="30"/>
          <w:highlight w:val="none"/>
        </w:rPr>
      </w:pPr>
      <w:bookmarkStart w:id="1250" w:name="_Toc25144"/>
      <w:r>
        <w:rPr>
          <w:rFonts w:hint="eastAsia" w:asciiTheme="minorEastAsia" w:hAnsiTheme="minorEastAsia" w:eastAsiaTheme="minorEastAsia" w:cstheme="minorEastAsia"/>
          <w:color w:val="auto"/>
          <w:szCs w:val="30"/>
          <w:highlight w:val="none"/>
        </w:rPr>
        <w:t xml:space="preserve">法定代表人或委托代理人：（签字或盖章）                             </w:t>
      </w:r>
      <w:r>
        <w:rPr>
          <w:rFonts w:hint="eastAsia" w:asciiTheme="minorEastAsia" w:hAnsiTheme="minorEastAsia" w:eastAsiaTheme="minorEastAsia" w:cstheme="minorEastAsia"/>
          <w:color w:val="auto"/>
          <w:szCs w:val="30"/>
          <w:highlight w:val="none"/>
          <w:lang w:val="en-US" w:eastAsia="zh-CN"/>
        </w:rPr>
        <w:t xml:space="preserve">            </w:t>
      </w:r>
      <w:r>
        <w:rPr>
          <w:rFonts w:hint="eastAsia" w:asciiTheme="minorEastAsia" w:hAnsiTheme="minorEastAsia" w:eastAsiaTheme="minorEastAsia" w:cstheme="minorEastAsia"/>
          <w:color w:val="auto"/>
          <w:szCs w:val="30"/>
          <w:highlight w:val="none"/>
        </w:rPr>
        <w:t xml:space="preserve">  日期：    年  月   日</w:t>
      </w:r>
      <w:bookmarkEnd w:id="1250"/>
    </w:p>
    <w:p>
      <w:pPr>
        <w:autoSpaceDE w:val="0"/>
        <w:autoSpaceDN w:val="0"/>
        <w:adjustRightInd w:val="0"/>
        <w:ind w:firstLine="42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br w:type="page"/>
      </w:r>
    </w:p>
    <w:p>
      <w:pPr>
        <w:pStyle w:val="15"/>
        <w:spacing w:line="440" w:lineRule="exact"/>
        <w:jc w:val="center"/>
        <w:rPr>
          <w:rFonts w:hint="eastAsia" w:asciiTheme="minorEastAsia" w:hAnsiTheme="minorEastAsia" w:eastAsiaTheme="minorEastAsia" w:cstheme="minorEastAsia"/>
          <w:b/>
          <w:bCs/>
          <w:color w:val="auto"/>
          <w:sz w:val="24"/>
          <w:szCs w:val="24"/>
          <w:highlight w:val="none"/>
        </w:rPr>
      </w:pPr>
      <w:bookmarkStart w:id="1251" w:name="_Toc414108650"/>
    </w:p>
    <w:p>
      <w:pPr>
        <w:pStyle w:val="15"/>
        <w:numPr>
          <w:ilvl w:val="0"/>
          <w:numId w:val="8"/>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2018-2019</w:t>
      </w:r>
      <w:r>
        <w:rPr>
          <w:rFonts w:hint="eastAsia" w:asciiTheme="minorEastAsia" w:hAnsiTheme="minorEastAsia" w:eastAsiaTheme="minorEastAsia" w:cstheme="minorEastAsia"/>
          <w:b/>
          <w:bCs/>
          <w:color w:val="auto"/>
          <w:sz w:val="30"/>
          <w:szCs w:val="30"/>
          <w:highlight w:val="none"/>
          <w:lang w:val="zh-CN" w:eastAsia="zh-CN"/>
        </w:rPr>
        <w:t>年度经审计财务会计报告</w:t>
      </w: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zh-CN" w:eastAsia="zh-CN"/>
        </w:rPr>
      </w:pP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en-US" w:eastAsia="zh-CN"/>
        </w:rPr>
      </w:pPr>
    </w:p>
    <w:p>
      <w:pPr>
        <w:pStyle w:val="15"/>
        <w:numPr>
          <w:ilvl w:val="0"/>
          <w:numId w:val="8"/>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zh-CN" w:eastAsia="zh-CN"/>
        </w:rPr>
        <w:t>拟派建造师在本单位近半年(202</w:t>
      </w:r>
      <w:r>
        <w:rPr>
          <w:rFonts w:hint="eastAsia" w:asciiTheme="minorEastAsia" w:hAnsiTheme="minorEastAsia" w:eastAsiaTheme="minorEastAsia" w:cstheme="minorEastAsia"/>
          <w:b/>
          <w:bCs/>
          <w:color w:val="auto"/>
          <w:sz w:val="30"/>
          <w:szCs w:val="30"/>
          <w:highlight w:val="none"/>
          <w:lang w:val="en-US" w:eastAsia="zh-CN"/>
        </w:rPr>
        <w:t>1</w:t>
      </w:r>
      <w:r>
        <w:rPr>
          <w:rFonts w:hint="eastAsia" w:asciiTheme="minorEastAsia" w:hAnsiTheme="minorEastAsia" w:eastAsiaTheme="minorEastAsia" w:cstheme="minorEastAsia"/>
          <w:b/>
          <w:bCs/>
          <w:color w:val="auto"/>
          <w:sz w:val="30"/>
          <w:szCs w:val="30"/>
          <w:highlight w:val="none"/>
          <w:lang w:val="zh-CN" w:eastAsia="zh-CN"/>
        </w:rPr>
        <w:t>年</w:t>
      </w:r>
      <w:r>
        <w:rPr>
          <w:rFonts w:hint="eastAsia" w:asciiTheme="minorEastAsia" w:hAnsiTheme="minorEastAsia" w:eastAsiaTheme="minorEastAsia" w:cstheme="minorEastAsia"/>
          <w:b/>
          <w:bCs/>
          <w:color w:val="auto"/>
          <w:sz w:val="30"/>
          <w:szCs w:val="30"/>
          <w:highlight w:val="none"/>
          <w:lang w:val="en-US" w:eastAsia="zh-CN"/>
        </w:rPr>
        <w:t>6</w:t>
      </w:r>
      <w:r>
        <w:rPr>
          <w:rFonts w:hint="eastAsia" w:asciiTheme="minorEastAsia" w:hAnsiTheme="minorEastAsia" w:eastAsiaTheme="minorEastAsia" w:cstheme="minorEastAsia"/>
          <w:b/>
          <w:bCs/>
          <w:color w:val="auto"/>
          <w:sz w:val="30"/>
          <w:szCs w:val="30"/>
          <w:highlight w:val="none"/>
          <w:lang w:val="zh-CN" w:eastAsia="zh-CN"/>
        </w:rPr>
        <w:t>月-2021年</w:t>
      </w:r>
      <w:r>
        <w:rPr>
          <w:rFonts w:hint="eastAsia" w:asciiTheme="minorEastAsia" w:hAnsiTheme="minorEastAsia" w:eastAsiaTheme="minorEastAsia" w:cstheme="minorEastAsia"/>
          <w:b/>
          <w:bCs/>
          <w:color w:val="auto"/>
          <w:sz w:val="30"/>
          <w:szCs w:val="30"/>
          <w:highlight w:val="none"/>
          <w:lang w:val="en-US" w:eastAsia="zh-CN"/>
        </w:rPr>
        <w:t>11</w:t>
      </w:r>
      <w:r>
        <w:rPr>
          <w:rFonts w:hint="eastAsia" w:asciiTheme="minorEastAsia" w:hAnsiTheme="minorEastAsia" w:eastAsiaTheme="minorEastAsia" w:cstheme="minorEastAsia"/>
          <w:b/>
          <w:bCs/>
          <w:color w:val="auto"/>
          <w:sz w:val="30"/>
          <w:szCs w:val="30"/>
          <w:highlight w:val="none"/>
          <w:lang w:val="zh-CN" w:eastAsia="zh-CN"/>
        </w:rPr>
        <w:t>月)缴纳社保证明文件</w:t>
      </w: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numPr>
          <w:ilvl w:val="0"/>
          <w:numId w:val="8"/>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“信用中国”网（www.creditchina.gov.cn）、中国政府采购网（www.ccgp.gov.cn）无违法违规行为的查询记录结果截图。</w:t>
      </w:r>
    </w:p>
    <w:p>
      <w:pPr>
        <w:pStyle w:val="45"/>
        <w:outlineLvl w:val="1"/>
        <w:rPr>
          <w:rFonts w:hint="eastAsia"/>
          <w:highlight w:val="white"/>
          <w:lang w:val="en-US" w:eastAsia="zh-CN"/>
        </w:rPr>
      </w:pPr>
      <w:bookmarkStart w:id="1252" w:name="_Toc256000209"/>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45"/>
        <w:outlineLvl w:val="1"/>
        <w:rPr>
          <w:rFonts w:hint="eastAsia"/>
          <w:highlight w:val="white"/>
          <w:lang w:val="en-US" w:eastAsia="zh-CN"/>
        </w:rPr>
      </w:pPr>
    </w:p>
    <w:p>
      <w:pPr>
        <w:pStyle w:val="15"/>
        <w:numPr>
          <w:ilvl w:val="0"/>
          <w:numId w:val="8"/>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不参与围标串标承诺书</w:t>
      </w:r>
      <w:bookmarkEnd w:id="1252"/>
    </w:p>
    <w:p>
      <w:pPr>
        <w:pStyle w:val="15"/>
        <w:numPr>
          <w:ilvl w:val="0"/>
          <w:numId w:val="0"/>
        </w:numPr>
        <w:spacing w:line="440" w:lineRule="exact"/>
        <w:jc w:val="both"/>
        <w:rPr>
          <w:rFonts w:ascii="华文中宋" w:hAnsi="华文中宋" w:eastAsia="华文中宋"/>
          <w:sz w:val="36"/>
          <w:szCs w:val="36"/>
        </w:rPr>
      </w:pPr>
    </w:p>
    <w:p>
      <w:pPr>
        <w:pStyle w:val="46"/>
        <w:spacing w:line="640" w:lineRule="exact"/>
        <w:ind w:firstLine="640" w:firstLineChars="177"/>
        <w:jc w:val="center"/>
        <w:rPr>
          <w:rFonts w:ascii="华文中宋" w:hAnsi="华文中宋" w:eastAsia="华文中宋"/>
          <w:sz w:val="36"/>
          <w:szCs w:val="36"/>
        </w:rPr>
      </w:pPr>
      <w:r>
        <w:rPr>
          <w:rFonts w:hint="eastAsia" w:ascii="宋体" w:hAnsi="宋体" w:cs="宋体"/>
          <w:b/>
          <w:bCs/>
          <w:sz w:val="36"/>
          <w:szCs w:val="36"/>
          <w:highlight w:val="white"/>
        </w:rPr>
        <w:t>不参与围标串标承诺书</w:t>
      </w:r>
    </w:p>
    <w:p>
      <w:pPr>
        <w:pStyle w:val="46"/>
        <w:spacing w:line="640" w:lineRule="exact"/>
        <w:jc w:val="left"/>
        <w:rPr>
          <w:rFonts w:ascii="仿宋_GB2312" w:hAnsi="华文中宋" w:eastAsia="仿宋_GB2312"/>
          <w:sz w:val="24"/>
        </w:rPr>
      </w:pPr>
    </w:p>
    <w:p>
      <w:pPr>
        <w:pStyle w:val="46"/>
        <w:spacing w:line="640" w:lineRule="exact"/>
        <w:ind w:firstLine="640" w:firstLineChars="200"/>
        <w:rPr>
          <w:rFonts w:ascii="仿宋" w:hAnsi="仿宋" w:eastAsia="仿宋" w:cs="仿宋"/>
          <w:sz w:val="32"/>
          <w:szCs w:val="32"/>
        </w:rPr>
      </w:pPr>
      <w:r>
        <w:rPr>
          <w:rFonts w:hint="eastAsia" w:ascii="仿宋" w:hAnsi="仿宋" w:eastAsia="仿宋" w:cs="仿宋"/>
          <w:sz w:val="32"/>
          <w:szCs w:val="32"/>
          <w:highlight w:val="white"/>
        </w:rPr>
        <w:t>本人作为</w:t>
      </w:r>
      <w:r>
        <w:rPr>
          <w:rFonts w:hint="eastAsia" w:ascii="仿宋" w:hAnsi="仿宋" w:eastAsia="仿宋" w:cs="仿宋"/>
          <w:sz w:val="32"/>
          <w:szCs w:val="32"/>
          <w:highlight w:val="white"/>
          <w:u w:val="single"/>
        </w:rPr>
        <w:t xml:space="preserve">（单位名称）                    </w:t>
      </w:r>
      <w:r>
        <w:rPr>
          <w:rFonts w:hint="eastAsia" w:ascii="仿宋" w:hAnsi="仿宋" w:eastAsia="仿宋" w:cs="仿宋"/>
          <w:sz w:val="32"/>
          <w:szCs w:val="32"/>
          <w:highlight w:val="white"/>
        </w:rPr>
        <w:t>的法人，清楚知晓我公司本项目投标活动，对以下事项作出承诺：</w:t>
      </w:r>
    </w:p>
    <w:p>
      <w:pPr>
        <w:pStyle w:val="46"/>
        <w:spacing w:line="640" w:lineRule="exact"/>
        <w:ind w:firstLine="640" w:firstLineChars="200"/>
        <w:rPr>
          <w:rFonts w:ascii="仿宋" w:hAnsi="仿宋" w:eastAsia="仿宋" w:cs="仿宋"/>
          <w:sz w:val="32"/>
          <w:szCs w:val="32"/>
        </w:rPr>
      </w:pPr>
      <w:r>
        <w:rPr>
          <w:rFonts w:hint="eastAsia" w:ascii="仿宋" w:hAnsi="仿宋" w:eastAsia="仿宋" w:cs="仿宋"/>
          <w:sz w:val="32"/>
          <w:szCs w:val="32"/>
          <w:highlight w:val="white"/>
        </w:rPr>
        <w:t>一、我单位遵循公开、公平、公正、诚实守信的原则，依法依规参与本项目竞标。</w:t>
      </w:r>
    </w:p>
    <w:p>
      <w:pPr>
        <w:pStyle w:val="46"/>
        <w:spacing w:line="640" w:lineRule="exact"/>
        <w:ind w:firstLine="640" w:firstLineChars="200"/>
        <w:rPr>
          <w:rFonts w:ascii="仿宋" w:hAnsi="仿宋" w:eastAsia="仿宋" w:cs="仿宋"/>
          <w:sz w:val="32"/>
          <w:szCs w:val="32"/>
        </w:rPr>
      </w:pPr>
      <w:r>
        <w:rPr>
          <w:rFonts w:hint="eastAsia" w:ascii="仿宋" w:hAnsi="仿宋" w:eastAsia="仿宋" w:cs="仿宋"/>
          <w:sz w:val="32"/>
          <w:szCs w:val="32"/>
          <w:highlight w:val="white"/>
        </w:rPr>
        <w:t>二、我单位在本项目招标投标活动中，未参与围标串标。</w:t>
      </w:r>
    </w:p>
    <w:p>
      <w:pPr>
        <w:pStyle w:val="46"/>
        <w:spacing w:line="640" w:lineRule="exact"/>
        <w:ind w:firstLine="640" w:firstLineChars="200"/>
        <w:rPr>
          <w:rFonts w:ascii="仿宋_GB2312" w:hAnsi="华文中宋" w:eastAsia="仿宋_GB2312"/>
          <w:b/>
          <w:sz w:val="32"/>
          <w:szCs w:val="32"/>
        </w:rPr>
      </w:pPr>
      <w:r>
        <w:rPr>
          <w:rFonts w:hint="eastAsia" w:ascii="仿宋" w:hAnsi="仿宋" w:eastAsia="仿宋" w:cs="仿宋"/>
          <w:sz w:val="32"/>
          <w:szCs w:val="32"/>
          <w:highlight w:val="white"/>
        </w:rPr>
        <w:t>三、我单位如被查实在本项目招标投标活动中存在围标串标的，递交投标文件行为作为实施串通投标违法行为的关键环节，本人承担直接责任人员法律责任，接受相应行政处罚和失信惩戒。</w:t>
      </w:r>
    </w:p>
    <w:p>
      <w:pPr>
        <w:pStyle w:val="46"/>
        <w:spacing w:line="640" w:lineRule="exact"/>
        <w:rPr>
          <w:rFonts w:ascii="仿宋" w:hAnsi="仿宋" w:eastAsia="仿宋"/>
          <w:sz w:val="32"/>
          <w:szCs w:val="32"/>
        </w:rPr>
      </w:pPr>
      <w:r>
        <w:rPr>
          <w:rFonts w:hint="eastAsia" w:ascii="仿宋" w:hAnsi="仿宋" w:eastAsia="仿宋"/>
          <w:sz w:val="32"/>
          <w:szCs w:val="32"/>
          <w:highlight w:val="white"/>
        </w:rPr>
        <w:t>项目编号</w:t>
      </w:r>
      <w:r>
        <w:rPr>
          <w:rFonts w:ascii="仿宋" w:hAnsi="仿宋" w:eastAsia="仿宋"/>
          <w:sz w:val="32"/>
          <w:szCs w:val="32"/>
          <w:highlight w:val="white"/>
        </w:rPr>
        <w:t xml:space="preserve">：    </w:t>
      </w:r>
    </w:p>
    <w:p>
      <w:pPr>
        <w:pStyle w:val="46"/>
        <w:spacing w:line="640" w:lineRule="exact"/>
        <w:rPr>
          <w:rFonts w:ascii="仿宋" w:hAnsi="仿宋" w:eastAsia="仿宋"/>
          <w:sz w:val="32"/>
          <w:szCs w:val="32"/>
        </w:rPr>
      </w:pPr>
      <w:r>
        <w:rPr>
          <w:rFonts w:ascii="仿宋" w:hAnsi="仿宋" w:eastAsia="仿宋"/>
          <w:sz w:val="32"/>
          <w:szCs w:val="32"/>
          <w:highlight w:val="white"/>
        </w:rPr>
        <w:t>标段号：</w:t>
      </w:r>
      <w:r>
        <w:rPr>
          <w:rFonts w:hint="eastAsia" w:ascii="仿宋" w:hAnsi="仿宋" w:eastAsia="仿宋"/>
          <w:sz w:val="32"/>
          <w:szCs w:val="32"/>
          <w:highlight w:val="white"/>
        </w:rPr>
        <w:t xml:space="preserve">    </w:t>
      </w:r>
    </w:p>
    <w:p>
      <w:pPr>
        <w:pStyle w:val="46"/>
        <w:spacing w:line="640" w:lineRule="exact"/>
        <w:rPr>
          <w:rFonts w:ascii="仿宋_GB2312" w:hAnsi="华文中宋" w:eastAsia="仿宋_GB2312"/>
          <w:sz w:val="32"/>
          <w:szCs w:val="32"/>
        </w:rPr>
      </w:pPr>
      <w:r>
        <w:rPr>
          <w:rFonts w:hint="eastAsia" w:ascii="仿宋_GB2312" w:hAnsi="华文中宋" w:eastAsia="仿宋_GB2312"/>
          <w:sz w:val="32"/>
          <w:szCs w:val="32"/>
          <w:highlight w:val="white"/>
        </w:rPr>
        <w:t>投标单位名称：</w:t>
      </w:r>
    </w:p>
    <w:p>
      <w:pPr>
        <w:pStyle w:val="46"/>
        <w:spacing w:line="640" w:lineRule="exact"/>
        <w:rPr>
          <w:rFonts w:ascii="仿宋_GB2312" w:hAnsi="华文中宋" w:eastAsia="仿宋_GB2312"/>
          <w:sz w:val="32"/>
          <w:szCs w:val="32"/>
        </w:rPr>
      </w:pPr>
      <w:r>
        <w:rPr>
          <w:rFonts w:hint="eastAsia" w:ascii="仿宋_GB2312" w:hAnsi="华文中宋" w:eastAsia="仿宋_GB2312"/>
          <w:sz w:val="32"/>
          <w:szCs w:val="32"/>
          <w:highlight w:val="white"/>
        </w:rPr>
        <w:t>投</w:t>
      </w:r>
      <w:r>
        <w:rPr>
          <w:rFonts w:ascii="仿宋_GB2312" w:hAnsi="华文中宋" w:eastAsia="仿宋_GB2312"/>
          <w:sz w:val="32"/>
          <w:szCs w:val="32"/>
          <w:highlight w:val="white"/>
        </w:rPr>
        <w:t>标</w:t>
      </w:r>
      <w:r>
        <w:rPr>
          <w:rFonts w:hint="eastAsia" w:ascii="仿宋_GB2312" w:hAnsi="华文中宋" w:eastAsia="仿宋_GB2312"/>
          <w:sz w:val="32"/>
          <w:szCs w:val="32"/>
          <w:highlight w:val="white"/>
        </w:rPr>
        <w:t>单位法人签名：</w:t>
      </w:r>
    </w:p>
    <w:p>
      <w:pPr>
        <w:pStyle w:val="46"/>
        <w:spacing w:line="640" w:lineRule="exact"/>
        <w:jc w:val="left"/>
        <w:rPr>
          <w:rFonts w:ascii="仿宋_GB2312" w:hAnsi="华文中宋" w:eastAsia="仿宋_GB2312"/>
          <w:sz w:val="32"/>
          <w:szCs w:val="32"/>
        </w:rPr>
      </w:pPr>
      <w:r>
        <w:rPr>
          <w:rFonts w:hint="eastAsia" w:ascii="仿宋_GB2312" w:hAnsi="华文中宋" w:eastAsia="仿宋_GB2312"/>
          <w:sz w:val="32"/>
          <w:szCs w:val="32"/>
          <w:highlight w:val="white"/>
        </w:rPr>
        <w:t xml:space="preserve">                                  </w:t>
      </w:r>
    </w:p>
    <w:p>
      <w:pPr>
        <w:pStyle w:val="46"/>
        <w:spacing w:line="640" w:lineRule="exact"/>
        <w:jc w:val="left"/>
        <w:rPr>
          <w:rFonts w:ascii="仿宋_GB2312" w:hAnsi="华文中宋" w:eastAsia="仿宋_GB2312"/>
          <w:sz w:val="32"/>
          <w:szCs w:val="32"/>
        </w:rPr>
      </w:pPr>
    </w:p>
    <w:p>
      <w:pPr>
        <w:pStyle w:val="46"/>
        <w:spacing w:line="640" w:lineRule="exact"/>
        <w:ind w:firstLine="5440" w:firstLineChars="1700"/>
        <w:jc w:val="left"/>
        <w:rPr>
          <w:rFonts w:ascii="仿宋_GB2312" w:hAnsi="华文中宋" w:eastAsia="仿宋_GB2312"/>
          <w:sz w:val="32"/>
          <w:szCs w:val="32"/>
        </w:rPr>
      </w:pPr>
      <w:r>
        <w:rPr>
          <w:rFonts w:hint="eastAsia" w:ascii="仿宋_GB2312" w:hAnsi="华文中宋" w:eastAsia="仿宋_GB2312"/>
          <w:sz w:val="32"/>
          <w:szCs w:val="32"/>
          <w:highlight w:val="white"/>
        </w:rPr>
        <w:t xml:space="preserve">      盖  章</w:t>
      </w:r>
    </w:p>
    <w:p>
      <w:pPr>
        <w:pStyle w:val="46"/>
        <w:spacing w:line="640" w:lineRule="exact"/>
        <w:ind w:firstLine="5760" w:firstLineChars="1800"/>
        <w:jc w:val="left"/>
        <w:rPr>
          <w:rFonts w:ascii="仿宋_GB2312" w:hAnsi="华文中宋" w:eastAsia="仿宋_GB2312"/>
          <w:sz w:val="32"/>
          <w:szCs w:val="32"/>
        </w:rPr>
      </w:pPr>
      <w:r>
        <w:rPr>
          <w:rFonts w:hint="eastAsia" w:ascii="仿宋_GB2312" w:hAnsi="华文中宋" w:eastAsia="仿宋_GB2312"/>
          <w:sz w:val="32"/>
          <w:szCs w:val="32"/>
          <w:highlight w:val="white"/>
        </w:rPr>
        <w:t xml:space="preserve"> 年   月   日</w:t>
      </w:r>
    </w:p>
    <w:p>
      <w:pPr>
        <w:pStyle w:val="15"/>
        <w:numPr>
          <w:ilvl w:val="0"/>
          <w:numId w:val="0"/>
        </w:numPr>
        <w:spacing w:line="440" w:lineRule="exact"/>
        <w:jc w:val="both"/>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5"/>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4"/>
        <w:jc w:val="center"/>
        <w:rPr>
          <w:rFonts w:hint="eastAsia" w:asciiTheme="minorEastAsia" w:hAnsiTheme="minorEastAsia" w:eastAsiaTheme="minorEastAsia" w:cstheme="minorEastAsia"/>
          <w:color w:val="auto"/>
          <w:szCs w:val="21"/>
          <w:highlight w:val="none"/>
        </w:rPr>
      </w:pPr>
      <w:bookmarkStart w:id="1253" w:name="_Toc17870"/>
      <w:r>
        <w:rPr>
          <w:rFonts w:hint="eastAsia" w:asciiTheme="minorEastAsia" w:hAnsiTheme="minorEastAsia" w:eastAsiaTheme="minorEastAsia" w:cstheme="minorEastAsia"/>
          <w:color w:val="auto"/>
          <w:highlight w:val="none"/>
          <w:lang w:val="en-US" w:eastAsia="zh-CN"/>
        </w:rPr>
        <w:t>九、</w:t>
      </w:r>
      <w:r>
        <w:rPr>
          <w:rFonts w:hint="eastAsia" w:asciiTheme="minorEastAsia" w:hAnsiTheme="minorEastAsia" w:eastAsiaTheme="minorEastAsia" w:cstheme="minorEastAsia"/>
          <w:color w:val="auto"/>
          <w:highlight w:val="none"/>
          <w:lang w:val="zh-CN"/>
        </w:rPr>
        <w:t>磋商文件要求的其他证明材料</w:t>
      </w:r>
      <w:bookmarkEnd w:id="1251"/>
      <w:r>
        <w:rPr>
          <w:rFonts w:hint="eastAsia" w:asciiTheme="minorEastAsia" w:hAnsiTheme="minorEastAsia" w:eastAsiaTheme="minorEastAsia" w:cstheme="minorEastAsia"/>
          <w:color w:val="auto"/>
          <w:highlight w:val="none"/>
          <w:lang w:val="zh-CN"/>
        </w:rPr>
        <w:br w:type="page"/>
      </w:r>
      <w:r>
        <w:rPr>
          <w:rFonts w:hint="eastAsia" w:asciiTheme="minorEastAsia" w:hAnsiTheme="minorEastAsia" w:eastAsiaTheme="minorEastAsia" w:cstheme="minorEastAsia"/>
          <w:color w:val="auto"/>
          <w:highlight w:val="none"/>
          <w:lang w:val="zh-CN"/>
        </w:rPr>
        <w:t>技</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lang w:val="zh-CN"/>
        </w:rPr>
        <w:t>术</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标</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格</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式</w:t>
      </w:r>
      <w:bookmarkEnd w:id="1253"/>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技术标封面示例</w:t>
      </w:r>
    </w:p>
    <w:p>
      <w:pPr>
        <w:autoSpaceDE w:val="0"/>
        <w:autoSpaceDN w:val="0"/>
        <w:adjustRightInd w:val="0"/>
        <w:ind w:firstLine="672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000000"/>
          <w:sz w:val="28"/>
          <w:lang w:val="en-US" w:eastAsia="zh-CN"/>
        </w:rPr>
        <w:t xml:space="preserve"> </w:t>
      </w:r>
      <w:r>
        <w:rPr>
          <w:rFonts w:hint="eastAsia" w:asciiTheme="minorEastAsia" w:hAnsiTheme="minorEastAsia" w:eastAsiaTheme="minorEastAsia" w:cstheme="minorEastAsia"/>
          <w:color w:val="000000"/>
          <w:sz w:val="28"/>
        </w:rPr>
        <w:t>正本/副本</w:t>
      </w:r>
    </w:p>
    <w:p>
      <w:pPr>
        <w:autoSpaceDE w:val="0"/>
        <w:autoSpaceDN w:val="0"/>
        <w:adjustRightInd w:val="0"/>
        <w:rPr>
          <w:rFonts w:hint="eastAsia" w:asciiTheme="minorEastAsia" w:hAnsiTheme="minorEastAsia" w:eastAsiaTheme="minorEastAsia" w:cstheme="minorEastAsia"/>
          <w:color w:val="auto"/>
          <w:szCs w:val="21"/>
          <w:highlight w:val="none"/>
        </w:rPr>
      </w:pPr>
    </w:p>
    <w:p>
      <w:pPr>
        <w:jc w:val="center"/>
        <w:rPr>
          <w:rFonts w:hint="eastAsia" w:asciiTheme="minorEastAsia" w:hAnsiTheme="minorEastAsia" w:eastAsiaTheme="minorEastAsia" w:cstheme="minorEastAsia"/>
          <w:b/>
          <w:bCs/>
          <w:color w:val="auto"/>
          <w:highlight w:val="none"/>
          <w:lang w:val="zh-CN"/>
        </w:rPr>
      </w:pPr>
    </w:p>
    <w:p>
      <w:pPr>
        <w:jc w:val="center"/>
        <w:rPr>
          <w:rFonts w:hint="eastAsia" w:asciiTheme="minorEastAsia" w:hAnsiTheme="minorEastAsia" w:eastAsiaTheme="minorEastAsia" w:cstheme="minorEastAsia"/>
          <w:b/>
          <w:bCs/>
          <w:color w:val="auto"/>
          <w:sz w:val="48"/>
          <w:szCs w:val="48"/>
          <w:highlight w:val="none"/>
        </w:rPr>
      </w:pPr>
      <w:r>
        <w:rPr>
          <w:rFonts w:hint="eastAsia" w:asciiTheme="minorEastAsia" w:hAnsiTheme="minorEastAsia" w:eastAsiaTheme="minorEastAsia" w:cstheme="minorEastAsia"/>
          <w:b/>
          <w:bCs/>
          <w:color w:val="auto"/>
          <w:sz w:val="48"/>
          <w:szCs w:val="48"/>
          <w:highlight w:val="none"/>
          <w:lang w:val="zh-CN"/>
        </w:rPr>
        <w:t>响应文件技术标</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供应商名称：（盖章）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法定代表人或被授权代理人：（</w:t>
      </w:r>
      <w:r>
        <w:rPr>
          <w:rFonts w:hint="eastAsia" w:asciiTheme="minorEastAsia" w:hAnsiTheme="minorEastAsia" w:eastAsiaTheme="minorEastAsia" w:cstheme="minorEastAsia"/>
          <w:color w:val="auto"/>
          <w:szCs w:val="21"/>
          <w:highlight w:val="none"/>
          <w:lang w:eastAsia="zh-CN"/>
        </w:rPr>
        <w:t>签字或</w:t>
      </w:r>
      <w:r>
        <w:rPr>
          <w:rFonts w:hint="eastAsia" w:asciiTheme="minorEastAsia" w:hAnsiTheme="minorEastAsia" w:eastAsiaTheme="minorEastAsia" w:cstheme="minorEastAsia"/>
          <w:color w:val="auto"/>
          <w:szCs w:val="21"/>
          <w:highlight w:val="none"/>
        </w:rPr>
        <w:t>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单位地址：</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p>
      <w:pPr>
        <w:autoSpaceDE w:val="0"/>
        <w:autoSpaceDN w:val="0"/>
        <w:adjustRightInd w:val="0"/>
        <w:jc w:val="left"/>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年      月       日</w:t>
      </w:r>
    </w:p>
    <w:p>
      <w:pPr>
        <w:autoSpaceDE w:val="0"/>
        <w:autoSpaceDN w:val="0"/>
        <w:adjustRightInd w:val="0"/>
        <w:jc w:val="left"/>
        <w:rPr>
          <w:rFonts w:hint="eastAsia" w:asciiTheme="minorEastAsia" w:hAnsiTheme="minorEastAsia" w:eastAsiaTheme="minorEastAsia" w:cstheme="minorEastAsia"/>
          <w:color w:val="auto"/>
          <w:highlight w:val="none"/>
          <w:lang w:val="zh-CN"/>
        </w:rPr>
      </w:pPr>
    </w:p>
    <w:p>
      <w:pPr>
        <w:pStyle w:val="5"/>
        <w:outlineLvl w:val="9"/>
        <w:rPr>
          <w:rFonts w:hint="eastAsia" w:asciiTheme="minorEastAsia" w:hAnsiTheme="minorEastAsia" w:eastAsiaTheme="minorEastAsia" w:cstheme="minorEastAsia"/>
          <w:color w:val="auto"/>
          <w:highlight w:val="none"/>
          <w:lang w:val="zh-CN"/>
        </w:rPr>
      </w:pPr>
      <w:bookmarkStart w:id="1254" w:name="_Toc414108652"/>
    </w:p>
    <w:p>
      <w:pPr>
        <w:rPr>
          <w:rFonts w:hint="eastAsia" w:asciiTheme="minorEastAsia" w:hAnsiTheme="minorEastAsia" w:eastAsiaTheme="minorEastAsia" w:cstheme="minorEastAsia"/>
          <w:color w:val="auto"/>
          <w:highlight w:val="none"/>
          <w:lang w:val="zh-CN"/>
        </w:rPr>
      </w:pPr>
    </w:p>
    <w:p>
      <w:pPr>
        <w:pStyle w:val="23"/>
        <w:rPr>
          <w:rFonts w:hint="eastAsia" w:asciiTheme="minorEastAsia" w:hAnsiTheme="minorEastAsia" w:eastAsiaTheme="minorEastAsia" w:cstheme="minorEastAsia"/>
          <w:lang w:val="zh-CN"/>
        </w:rPr>
      </w:pPr>
    </w:p>
    <w:bookmarkEnd w:id="1254"/>
    <w:p>
      <w:pPr>
        <w:spacing w:line="400" w:lineRule="exact"/>
        <w:jc w:val="center"/>
        <w:rPr>
          <w:rFonts w:hint="eastAsia" w:asciiTheme="minorEastAsia" w:hAnsiTheme="minorEastAsia" w:eastAsiaTheme="minorEastAsia" w:cstheme="minorEastAsia"/>
          <w:b/>
          <w:bCs/>
          <w:color w:val="auto"/>
          <w:sz w:val="24"/>
          <w:lang w:eastAsia="zh-CN"/>
        </w:rPr>
      </w:pPr>
      <w:r>
        <w:rPr>
          <w:rFonts w:hint="eastAsia" w:asciiTheme="minorEastAsia" w:hAnsiTheme="minorEastAsia" w:eastAsiaTheme="minorEastAsia" w:cstheme="minorEastAsia"/>
          <w:b/>
          <w:bCs/>
          <w:color w:val="auto"/>
          <w:sz w:val="24"/>
          <w:lang w:eastAsia="zh-CN"/>
        </w:rPr>
        <w:t>目</w:t>
      </w:r>
      <w:r>
        <w:rPr>
          <w:rFonts w:hint="eastAsia" w:asciiTheme="minorEastAsia" w:hAnsiTheme="minorEastAsia" w:eastAsiaTheme="minorEastAsia" w:cstheme="minorEastAsia"/>
          <w:b/>
          <w:bCs/>
          <w:color w:val="auto"/>
          <w:sz w:val="24"/>
          <w:lang w:val="en-US" w:eastAsia="zh-CN"/>
        </w:rPr>
        <w:t xml:space="preserve"> </w:t>
      </w:r>
      <w:r>
        <w:rPr>
          <w:rFonts w:hint="eastAsia" w:asciiTheme="minorEastAsia" w:hAnsiTheme="minorEastAsia" w:eastAsiaTheme="minorEastAsia" w:cstheme="minorEastAsia"/>
          <w:b/>
          <w:bCs/>
          <w:color w:val="auto"/>
          <w:sz w:val="24"/>
          <w:lang w:eastAsia="zh-CN"/>
        </w:rPr>
        <w:t>录</w:t>
      </w:r>
    </w:p>
    <w:p>
      <w:pPr>
        <w:topLinePunct/>
        <w:spacing w:line="400" w:lineRule="exact"/>
        <w:rPr>
          <w:rFonts w:hint="eastAsia" w:asciiTheme="minorEastAsia" w:hAnsiTheme="minorEastAsia" w:eastAsiaTheme="minorEastAsia" w:cstheme="minorEastAsia"/>
          <w:color w:val="auto"/>
          <w:kern w:val="0"/>
          <w:sz w:val="24"/>
        </w:rPr>
      </w:pPr>
      <w:bookmarkStart w:id="1255" w:name="_Toc414108653"/>
      <w:r>
        <w:rPr>
          <w:rFonts w:hint="eastAsia" w:asciiTheme="minorEastAsia" w:hAnsiTheme="minorEastAsia" w:eastAsiaTheme="minorEastAsia" w:cstheme="minorEastAsia"/>
          <w:color w:val="auto"/>
          <w:kern w:val="0"/>
          <w:sz w:val="24"/>
        </w:rPr>
        <w:t>1、工程概况及特点</w:t>
      </w:r>
    </w:p>
    <w:p>
      <w:pPr>
        <w:topLinePunct/>
        <w:spacing w:line="4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2、施工准备计划</w:t>
      </w:r>
    </w:p>
    <w:p>
      <w:pPr>
        <w:topLinePunct/>
        <w:spacing w:line="4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3、施工方案</w:t>
      </w:r>
    </w:p>
    <w:p>
      <w:pPr>
        <w:topLinePunct/>
        <w:spacing w:line="4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4、施工进度计划</w:t>
      </w:r>
    </w:p>
    <w:p>
      <w:pPr>
        <w:topLinePunct/>
        <w:spacing w:line="4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5、施工平面图</w:t>
      </w:r>
    </w:p>
    <w:p>
      <w:pPr>
        <w:topLinePunct/>
        <w:spacing w:line="4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6、劳动力需用量计划</w:t>
      </w:r>
    </w:p>
    <w:p>
      <w:pPr>
        <w:topLinePunct/>
        <w:spacing w:line="4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7、质量保证措施和体系</w:t>
      </w:r>
    </w:p>
    <w:p>
      <w:pPr>
        <w:topLinePunct/>
        <w:spacing w:line="4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8、工期保证措施和体系</w:t>
      </w:r>
    </w:p>
    <w:p>
      <w:pPr>
        <w:topLinePunct/>
        <w:spacing w:line="4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9、安全保证措施和体系</w:t>
      </w:r>
    </w:p>
    <w:p>
      <w:pPr>
        <w:topLinePunct/>
        <w:spacing w:line="4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10、现场文明施工措施</w:t>
      </w:r>
    </w:p>
    <w:p>
      <w:pPr>
        <w:topLinePunct/>
        <w:spacing w:line="4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11、承诺</w:t>
      </w:r>
    </w:p>
    <w:p>
      <w:pPr>
        <w:topLinePunct/>
        <w:spacing w:line="400" w:lineRule="exact"/>
        <w:rPr>
          <w:rFonts w:hint="eastAsia" w:asciiTheme="minorEastAsia" w:hAnsiTheme="minorEastAsia" w:eastAsiaTheme="minorEastAsia" w:cstheme="minorEastAsia"/>
          <w:color w:val="auto"/>
          <w:kern w:val="0"/>
          <w:sz w:val="24"/>
          <w:szCs w:val="28"/>
        </w:rPr>
      </w:pPr>
      <w:r>
        <w:rPr>
          <w:rFonts w:hint="eastAsia" w:asciiTheme="minorEastAsia" w:hAnsiTheme="minorEastAsia" w:eastAsiaTheme="minorEastAsia" w:cstheme="minorEastAsia"/>
          <w:color w:val="auto"/>
          <w:sz w:val="24"/>
        </w:rPr>
        <w:t>注：</w:t>
      </w:r>
      <w:r>
        <w:rPr>
          <w:rFonts w:hint="eastAsia" w:asciiTheme="minorEastAsia" w:hAnsiTheme="minorEastAsia" w:eastAsiaTheme="minorEastAsia" w:cstheme="minorEastAsia"/>
          <w:color w:val="auto"/>
          <w:kern w:val="0"/>
          <w:sz w:val="24"/>
        </w:rPr>
        <w:t>投标文件须按技术标格式目录顺序编写</w:t>
      </w:r>
    </w:p>
    <w:p>
      <w:pPr>
        <w:topLinePunct/>
        <w:spacing w:line="400" w:lineRule="exact"/>
        <w:rPr>
          <w:rFonts w:hint="eastAsia" w:asciiTheme="minorEastAsia" w:hAnsiTheme="minorEastAsia" w:eastAsiaTheme="minorEastAsia" w:cstheme="minorEastAsia"/>
          <w:b/>
          <w:color w:val="auto"/>
          <w:sz w:val="21"/>
          <w:highlight w:val="none"/>
          <w:lang w:val="zh-CN"/>
        </w:rPr>
      </w:pPr>
    </w:p>
    <w:p>
      <w:pPr>
        <w:pStyle w:val="5"/>
        <w:outlineLvl w:val="9"/>
        <w:rPr>
          <w:rFonts w:hint="eastAsia" w:asciiTheme="minorEastAsia" w:hAnsiTheme="minorEastAsia" w:eastAsiaTheme="minorEastAsia" w:cstheme="minorEastAsia"/>
          <w:b/>
          <w:color w:val="auto"/>
          <w:sz w:val="21"/>
          <w:highlight w:val="none"/>
          <w:lang w:val="zh-CN"/>
        </w:rPr>
      </w:pPr>
    </w:p>
    <w:p>
      <w:pPr>
        <w:rPr>
          <w:rFonts w:hint="eastAsia" w:asciiTheme="minorEastAsia" w:hAnsiTheme="minorEastAsia" w:eastAsiaTheme="minorEastAsia" w:cstheme="minorEastAsia"/>
          <w:b/>
          <w:color w:val="auto"/>
          <w:sz w:val="21"/>
          <w:highlight w:val="none"/>
          <w:lang w:val="zh-CN"/>
        </w:rPr>
      </w:pPr>
    </w:p>
    <w:p>
      <w:pPr>
        <w:pStyle w:val="5"/>
        <w:outlineLvl w:val="9"/>
        <w:rPr>
          <w:rFonts w:hint="eastAsia" w:asciiTheme="minorEastAsia" w:hAnsiTheme="minorEastAsia" w:eastAsiaTheme="minorEastAsia" w:cstheme="minorEastAsia"/>
          <w:b/>
          <w:color w:val="auto"/>
          <w:sz w:val="21"/>
          <w:highlight w:val="none"/>
          <w:lang w:val="zh-CN"/>
        </w:rPr>
      </w:pPr>
    </w:p>
    <w:p>
      <w:pPr>
        <w:rPr>
          <w:rFonts w:hint="eastAsia" w:asciiTheme="minorEastAsia" w:hAnsiTheme="minorEastAsia" w:eastAsiaTheme="minorEastAsia" w:cstheme="minorEastAsia"/>
          <w:b/>
          <w:color w:val="auto"/>
          <w:sz w:val="21"/>
          <w:highlight w:val="none"/>
          <w:lang w:val="zh-CN"/>
        </w:rPr>
      </w:pPr>
    </w:p>
    <w:p>
      <w:pPr>
        <w:pStyle w:val="5"/>
        <w:outlineLvl w:val="9"/>
        <w:rPr>
          <w:rFonts w:hint="eastAsia" w:asciiTheme="minorEastAsia" w:hAnsiTheme="minorEastAsia" w:eastAsiaTheme="minorEastAsia" w:cstheme="minorEastAsia"/>
          <w:b/>
          <w:color w:val="auto"/>
          <w:sz w:val="21"/>
          <w:highlight w:val="none"/>
          <w:lang w:val="zh-CN"/>
        </w:rPr>
      </w:pPr>
    </w:p>
    <w:p>
      <w:pPr>
        <w:rPr>
          <w:rFonts w:hint="eastAsia" w:asciiTheme="minorEastAsia" w:hAnsiTheme="minorEastAsia" w:eastAsiaTheme="minorEastAsia" w:cstheme="minorEastAsia"/>
          <w:b/>
          <w:color w:val="auto"/>
          <w:sz w:val="21"/>
          <w:highlight w:val="none"/>
          <w:lang w:val="zh-CN"/>
        </w:rPr>
      </w:pPr>
    </w:p>
    <w:p>
      <w:pPr>
        <w:pStyle w:val="5"/>
        <w:outlineLvl w:val="9"/>
        <w:rPr>
          <w:rFonts w:hint="eastAsia" w:asciiTheme="minorEastAsia" w:hAnsiTheme="minorEastAsia" w:eastAsiaTheme="minorEastAsia" w:cstheme="minorEastAsia"/>
          <w:lang w:val="zh-CN"/>
        </w:rPr>
      </w:pPr>
    </w:p>
    <w:p>
      <w:pPr>
        <w:pStyle w:val="8"/>
        <w:rPr>
          <w:rFonts w:hint="eastAsia" w:asciiTheme="minorEastAsia" w:hAnsiTheme="minorEastAsia" w:eastAsiaTheme="minorEastAsia" w:cstheme="minorEastAsia"/>
          <w:b/>
          <w:color w:val="auto"/>
          <w:sz w:val="21"/>
          <w:highlight w:val="none"/>
          <w:lang w:val="zh-CN"/>
        </w:rPr>
      </w:pPr>
    </w:p>
    <w:p>
      <w:pPr>
        <w:pStyle w:val="8"/>
        <w:rPr>
          <w:rFonts w:hint="eastAsia" w:asciiTheme="minorEastAsia" w:hAnsiTheme="minorEastAsia" w:eastAsiaTheme="minorEastAsia" w:cstheme="minorEastAsia"/>
          <w:b/>
          <w:color w:val="auto"/>
          <w:sz w:val="21"/>
          <w:highlight w:val="none"/>
          <w:lang w:val="zh-CN"/>
        </w:rPr>
      </w:pPr>
    </w:p>
    <w:p>
      <w:pPr>
        <w:pStyle w:val="8"/>
        <w:rPr>
          <w:rFonts w:hint="eastAsia" w:asciiTheme="minorEastAsia" w:hAnsiTheme="minorEastAsia" w:eastAsiaTheme="minorEastAsia" w:cstheme="minorEastAsia"/>
          <w:color w:val="auto"/>
          <w:highlight w:val="none"/>
          <w:lang w:val="zh-CN"/>
        </w:rPr>
      </w:pPr>
    </w:p>
    <w:p>
      <w:pPr>
        <w:pStyle w:val="4"/>
        <w:jc w:val="center"/>
        <w:rPr>
          <w:rFonts w:hint="eastAsia" w:asciiTheme="minorEastAsia" w:hAnsiTheme="minorEastAsia" w:eastAsiaTheme="minorEastAsia" w:cstheme="minorEastAsia"/>
          <w:color w:val="auto"/>
          <w:szCs w:val="21"/>
          <w:highlight w:val="none"/>
        </w:rPr>
      </w:pPr>
      <w:bookmarkStart w:id="1256" w:name="_Toc15697"/>
      <w:r>
        <w:rPr>
          <w:rFonts w:hint="eastAsia" w:asciiTheme="minorEastAsia" w:hAnsiTheme="minorEastAsia" w:eastAsiaTheme="minorEastAsia" w:cstheme="minorEastAsia"/>
          <w:color w:val="auto"/>
          <w:highlight w:val="none"/>
          <w:lang w:val="zh-CN"/>
        </w:rPr>
        <w:t>经</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济</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标</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格</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式</w:t>
      </w:r>
      <w:bookmarkEnd w:id="1255"/>
      <w:bookmarkEnd w:id="1256"/>
    </w:p>
    <w:p>
      <w:pPr>
        <w:autoSpaceDE w:val="0"/>
        <w:autoSpaceDN w:val="0"/>
        <w:adjustRightInd w:val="0"/>
        <w:rPr>
          <w:rFonts w:hint="eastAsia" w:asciiTheme="minorEastAsia" w:hAnsiTheme="minorEastAsia" w:eastAsiaTheme="minorEastAsia" w:cstheme="minorEastAsia"/>
          <w:color w:val="000000"/>
          <w:sz w:val="28"/>
          <w:lang w:val="en-US" w:eastAsia="zh-CN"/>
        </w:rPr>
      </w:pPr>
      <w:r>
        <w:rPr>
          <w:rFonts w:hint="eastAsia" w:asciiTheme="minorEastAsia" w:hAnsiTheme="minorEastAsia" w:eastAsiaTheme="minorEastAsia" w:cstheme="minorEastAsia"/>
          <w:color w:val="auto"/>
          <w:highlight w:val="none"/>
        </w:rPr>
        <w:t>经济标封面示例</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000000"/>
          <w:sz w:val="28"/>
          <w:lang w:val="en-US" w:eastAsia="zh-CN"/>
        </w:rPr>
        <w:t xml:space="preserve"> </w:t>
      </w:r>
    </w:p>
    <w:p>
      <w:pPr>
        <w:autoSpaceDE w:val="0"/>
        <w:autoSpaceDN w:val="0"/>
        <w:adjustRightInd w:val="0"/>
        <w:ind w:firstLine="7560" w:firstLineChars="27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000000"/>
          <w:sz w:val="28"/>
        </w:rPr>
        <w:t>正本/副本</w:t>
      </w: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jc w:val="center"/>
        <w:outlineLvl w:val="0"/>
        <w:rPr>
          <w:rFonts w:hint="eastAsia" w:asciiTheme="minorEastAsia" w:hAnsiTheme="minorEastAsia" w:eastAsiaTheme="minorEastAsia" w:cstheme="minorEastAsia"/>
          <w:b/>
          <w:color w:val="auto"/>
          <w:sz w:val="44"/>
          <w:szCs w:val="44"/>
          <w:highlight w:val="none"/>
        </w:rPr>
      </w:pPr>
      <w:bookmarkStart w:id="1257" w:name="_Toc16838"/>
      <w:r>
        <w:rPr>
          <w:rFonts w:hint="eastAsia" w:asciiTheme="minorEastAsia" w:hAnsiTheme="minorEastAsia" w:eastAsiaTheme="minorEastAsia" w:cstheme="minorEastAsia"/>
          <w:b/>
          <w:color w:val="auto"/>
          <w:sz w:val="44"/>
          <w:szCs w:val="44"/>
          <w:highlight w:val="none"/>
          <w:lang w:eastAsia="zh-CN"/>
        </w:rPr>
        <w:t>响应文件</w:t>
      </w:r>
      <w:r>
        <w:rPr>
          <w:rFonts w:hint="eastAsia" w:asciiTheme="minorEastAsia" w:hAnsiTheme="minorEastAsia" w:eastAsiaTheme="minorEastAsia" w:cstheme="minorEastAsia"/>
          <w:b/>
          <w:color w:val="auto"/>
          <w:sz w:val="44"/>
          <w:szCs w:val="44"/>
          <w:highlight w:val="none"/>
        </w:rPr>
        <w:t>经济标</w:t>
      </w:r>
      <w:bookmarkEnd w:id="1257"/>
    </w:p>
    <w:p>
      <w:pPr>
        <w:rPr>
          <w:rFonts w:hint="eastAsia" w:asciiTheme="minorEastAsia" w:hAnsiTheme="minorEastAsia" w:eastAsiaTheme="minorEastAsia" w:cstheme="minorEastAsia"/>
          <w:color w:val="auto"/>
          <w:sz w:val="28"/>
          <w:szCs w:val="28"/>
          <w:highlight w:val="none"/>
        </w:rPr>
      </w:pPr>
    </w:p>
    <w:p>
      <w:pPr>
        <w:pStyle w:val="38"/>
        <w:ind w:firstLine="0" w:firstLineChars="0"/>
        <w:rPr>
          <w:rFonts w:hint="eastAsia" w:asciiTheme="minorEastAsia" w:hAnsiTheme="minorEastAsia" w:eastAsiaTheme="minorEastAsia" w:cstheme="minorEastAsia"/>
          <w:color w:val="auto"/>
          <w:sz w:val="28"/>
          <w:szCs w:val="28"/>
          <w:highlight w:val="none"/>
        </w:rPr>
      </w:pPr>
    </w:p>
    <w:p>
      <w:pPr>
        <w:pStyle w:val="38"/>
        <w:ind w:firstLine="0" w:firstLineChars="0"/>
        <w:rPr>
          <w:rFonts w:hint="eastAsia" w:asciiTheme="minorEastAsia" w:hAnsiTheme="minorEastAsia" w:eastAsiaTheme="minorEastAsia" w:cstheme="minorEastAsia"/>
          <w:color w:val="auto"/>
          <w:sz w:val="28"/>
          <w:szCs w:val="28"/>
          <w:highlight w:val="none"/>
        </w:rPr>
      </w:pPr>
    </w:p>
    <w:p>
      <w:pPr>
        <w:pStyle w:val="38"/>
        <w:ind w:firstLine="0" w:firstLineChars="0"/>
        <w:rPr>
          <w:rFonts w:hint="eastAsia" w:asciiTheme="minorEastAsia" w:hAnsiTheme="minorEastAsia" w:eastAsiaTheme="minorEastAsia" w:cstheme="minorEastAsia"/>
          <w:color w:val="auto"/>
          <w:sz w:val="28"/>
          <w:szCs w:val="28"/>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供应商名称：（盖章）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法定代表人或被授权代理人：（</w:t>
      </w:r>
      <w:r>
        <w:rPr>
          <w:rFonts w:hint="eastAsia" w:asciiTheme="minorEastAsia" w:hAnsiTheme="minorEastAsia" w:eastAsiaTheme="minorEastAsia" w:cstheme="minorEastAsia"/>
          <w:color w:val="auto"/>
          <w:szCs w:val="21"/>
          <w:highlight w:val="none"/>
          <w:lang w:eastAsia="zh-CN"/>
        </w:rPr>
        <w:t>签字或</w:t>
      </w:r>
      <w:r>
        <w:rPr>
          <w:rFonts w:hint="eastAsia" w:asciiTheme="minorEastAsia" w:hAnsiTheme="minorEastAsia" w:eastAsiaTheme="minorEastAsia" w:cstheme="minorEastAsia"/>
          <w:color w:val="auto"/>
          <w:szCs w:val="21"/>
          <w:highlight w:val="none"/>
        </w:rPr>
        <w:t>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单位地址：</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p>
      <w:pPr>
        <w:autoSpaceDE w:val="0"/>
        <w:autoSpaceDN w:val="0"/>
        <w:adjustRightInd w:val="0"/>
        <w:jc w:val="left"/>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年      月       日</w:t>
      </w:r>
    </w:p>
    <w:p>
      <w:pPr>
        <w:autoSpaceDE w:val="0"/>
        <w:autoSpaceDN w:val="0"/>
        <w:adjustRightInd w:val="0"/>
        <w:jc w:val="left"/>
        <w:rPr>
          <w:rFonts w:hint="eastAsia" w:asciiTheme="minorEastAsia" w:hAnsiTheme="minorEastAsia" w:eastAsiaTheme="minorEastAsia" w:cstheme="minorEastAsia"/>
          <w:color w:val="auto"/>
          <w:highlight w:val="none"/>
          <w:lang w:val="zh-CN"/>
        </w:rPr>
      </w:pPr>
    </w:p>
    <w:p>
      <w:pPr>
        <w:pStyle w:val="38"/>
        <w:ind w:firstLine="0" w:firstLineChars="0"/>
        <w:rPr>
          <w:rFonts w:hint="eastAsia" w:asciiTheme="minorEastAsia" w:hAnsiTheme="minorEastAsia" w:eastAsiaTheme="minorEastAsia" w:cstheme="minorEastAsia"/>
          <w:color w:val="auto"/>
          <w:sz w:val="28"/>
          <w:szCs w:val="28"/>
          <w:highlight w:val="none"/>
        </w:rPr>
      </w:pPr>
    </w:p>
    <w:p>
      <w:pPr>
        <w:pStyle w:val="38"/>
        <w:ind w:firstLine="0" w:firstLineChars="0"/>
        <w:rPr>
          <w:rFonts w:hint="eastAsia" w:asciiTheme="minorEastAsia" w:hAnsiTheme="minorEastAsia" w:eastAsiaTheme="minorEastAsia" w:cstheme="minorEastAsia"/>
          <w:color w:val="auto"/>
          <w:sz w:val="28"/>
          <w:szCs w:val="28"/>
          <w:highlight w:val="none"/>
        </w:rPr>
      </w:pPr>
    </w:p>
    <w:p>
      <w:pPr>
        <w:pStyle w:val="38"/>
        <w:ind w:firstLine="0" w:firstLineChars="0"/>
        <w:rPr>
          <w:rFonts w:hint="eastAsia" w:asciiTheme="minorEastAsia" w:hAnsiTheme="minorEastAsia" w:eastAsiaTheme="minorEastAsia" w:cstheme="minorEastAsia"/>
          <w:color w:val="auto"/>
          <w:sz w:val="28"/>
          <w:szCs w:val="28"/>
          <w:highlight w:val="none"/>
        </w:rPr>
      </w:pPr>
    </w:p>
    <w:p>
      <w:pPr>
        <w:pStyle w:val="38"/>
        <w:ind w:firstLine="0" w:firstLineChars="0"/>
        <w:rPr>
          <w:rFonts w:hint="eastAsia" w:asciiTheme="minorEastAsia" w:hAnsiTheme="minorEastAsia" w:eastAsiaTheme="minorEastAsia" w:cstheme="minorEastAsia"/>
          <w:color w:val="auto"/>
          <w:sz w:val="28"/>
          <w:szCs w:val="28"/>
          <w:highlight w:val="none"/>
        </w:rPr>
      </w:pPr>
    </w:p>
    <w:p>
      <w:pPr>
        <w:pStyle w:val="38"/>
        <w:ind w:firstLine="0" w:firstLineChars="0"/>
        <w:rPr>
          <w:rFonts w:hint="eastAsia" w:asciiTheme="minorEastAsia" w:hAnsiTheme="minorEastAsia" w:eastAsiaTheme="minorEastAsia" w:cstheme="minorEastAsia"/>
          <w:color w:val="auto"/>
          <w:sz w:val="28"/>
          <w:szCs w:val="28"/>
          <w:highlight w:val="none"/>
        </w:rPr>
      </w:pPr>
    </w:p>
    <w:p>
      <w:pPr>
        <w:pStyle w:val="38"/>
        <w:ind w:firstLine="0" w:firstLineChars="0"/>
        <w:jc w:val="center"/>
        <w:outlineLvl w:val="0"/>
        <w:rPr>
          <w:rFonts w:hint="eastAsia" w:asciiTheme="minorEastAsia" w:hAnsiTheme="minorEastAsia" w:eastAsiaTheme="minorEastAsia" w:cstheme="minorEastAsia"/>
          <w:b/>
          <w:color w:val="auto"/>
          <w:highlight w:val="none"/>
        </w:rPr>
      </w:pPr>
      <w:bookmarkStart w:id="1258" w:name="_Toc15179"/>
      <w:r>
        <w:rPr>
          <w:rFonts w:hint="eastAsia" w:asciiTheme="minorEastAsia" w:hAnsiTheme="minorEastAsia" w:eastAsiaTheme="minorEastAsia" w:cstheme="minorEastAsia"/>
          <w:b/>
          <w:color w:val="auto"/>
          <w:highlight w:val="none"/>
        </w:rPr>
        <w:t>经济标目录</w:t>
      </w:r>
      <w:bookmarkEnd w:id="1258"/>
    </w:p>
    <w:p>
      <w:pPr>
        <w:pStyle w:val="38"/>
        <w:ind w:firstLine="0" w:firstLineChars="0"/>
        <w:jc w:val="center"/>
        <w:rPr>
          <w:rFonts w:hint="eastAsia" w:asciiTheme="minorEastAsia" w:hAnsiTheme="minorEastAsia" w:eastAsiaTheme="minorEastAsia" w:cstheme="minorEastAsia"/>
          <w:b/>
          <w:color w:val="auto"/>
          <w:highlight w:val="none"/>
        </w:rPr>
      </w:pPr>
    </w:p>
    <w:p>
      <w:pPr>
        <w:pStyle w:val="38"/>
        <w:ind w:firstLine="0" w:firstLineChars="0"/>
        <w:jc w:val="center"/>
        <w:rPr>
          <w:rFonts w:hint="eastAsia" w:asciiTheme="minorEastAsia" w:hAnsiTheme="minorEastAsia" w:eastAsiaTheme="minorEastAsia" w:cstheme="minorEastAsia"/>
          <w:b/>
          <w:color w:val="auto"/>
          <w:highlight w:val="none"/>
        </w:rPr>
      </w:pPr>
    </w:p>
    <w:p>
      <w:pPr>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注：以工程量清单为依据编制</w:t>
      </w:r>
    </w:p>
    <w:p>
      <w:pPr>
        <w:pStyle w:val="38"/>
        <w:ind w:firstLine="0" w:firstLineChars="0"/>
        <w:jc w:val="center"/>
        <w:outlineLvl w:val="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page"/>
      </w:r>
      <w:bookmarkStart w:id="1259" w:name="_Toc1246"/>
      <w:r>
        <w:rPr>
          <w:rFonts w:hint="eastAsia" w:asciiTheme="minorEastAsia" w:hAnsiTheme="minorEastAsia" w:eastAsiaTheme="minorEastAsia" w:cstheme="minorEastAsia"/>
          <w:b/>
          <w:color w:val="auto"/>
          <w:highlight w:val="none"/>
        </w:rPr>
        <w:t>投 标 总 价</w:t>
      </w:r>
      <w:bookmarkEnd w:id="1259"/>
    </w:p>
    <w:p>
      <w:pPr>
        <w:pStyle w:val="38"/>
        <w:rPr>
          <w:rFonts w:hint="eastAsia" w:asciiTheme="minorEastAsia" w:hAnsiTheme="minorEastAsia" w:eastAsiaTheme="minorEastAsia" w:cstheme="minorEastAsia"/>
          <w:color w:val="auto"/>
          <w:highlight w:val="none"/>
        </w:rPr>
      </w:pPr>
    </w:p>
    <w:p>
      <w:pPr>
        <w:pStyle w:val="3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     标    人：</w:t>
      </w:r>
      <w:r>
        <w:rPr>
          <w:rFonts w:hint="eastAsia" w:asciiTheme="minorEastAsia" w:hAnsiTheme="minorEastAsia" w:eastAsiaTheme="minorEastAsia" w:cstheme="minorEastAsia"/>
          <w:color w:val="auto"/>
          <w:highlight w:val="none"/>
          <w:u w:val="single"/>
        </w:rPr>
        <w:t xml:space="preserve">                                                         </w:t>
      </w:r>
    </w:p>
    <w:p>
      <w:pPr>
        <w:pStyle w:val="3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   程  名  称：</w:t>
      </w:r>
      <w:r>
        <w:rPr>
          <w:rFonts w:hint="eastAsia" w:asciiTheme="minorEastAsia" w:hAnsiTheme="minorEastAsia" w:eastAsiaTheme="minorEastAsia" w:cstheme="minorEastAsia"/>
          <w:color w:val="auto"/>
          <w:highlight w:val="none"/>
          <w:u w:val="single"/>
        </w:rPr>
        <w:t xml:space="preserve">                                                         </w:t>
      </w:r>
    </w:p>
    <w:p>
      <w:pPr>
        <w:pStyle w:val="3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投标总价（小写）：</w:t>
      </w:r>
      <w:r>
        <w:rPr>
          <w:rFonts w:hint="eastAsia" w:asciiTheme="minorEastAsia" w:hAnsiTheme="minorEastAsia" w:eastAsiaTheme="minorEastAsia" w:cstheme="minorEastAsia"/>
          <w:color w:val="auto"/>
          <w:highlight w:val="none"/>
          <w:u w:val="single"/>
        </w:rPr>
        <w:t xml:space="preserve">                                                         </w:t>
      </w:r>
    </w:p>
    <w:p>
      <w:pPr>
        <w:pStyle w:val="38"/>
        <w:ind w:left="8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（大写） </w:t>
      </w:r>
      <w:r>
        <w:rPr>
          <w:rFonts w:hint="eastAsia" w:asciiTheme="minorEastAsia" w:hAnsiTheme="minorEastAsia" w:eastAsiaTheme="minorEastAsia" w:cstheme="minorEastAsia"/>
          <w:color w:val="auto"/>
          <w:highlight w:val="none"/>
          <w:u w:val="single"/>
        </w:rPr>
        <w:t xml:space="preserve">                                                         </w:t>
      </w:r>
    </w:p>
    <w:p>
      <w:pPr>
        <w:pStyle w:val="38"/>
        <w:rPr>
          <w:rFonts w:hint="eastAsia" w:asciiTheme="minorEastAsia" w:hAnsiTheme="minorEastAsia" w:eastAsiaTheme="minorEastAsia" w:cstheme="minorEastAsia"/>
          <w:color w:val="auto"/>
          <w:highlight w:val="none"/>
        </w:rPr>
      </w:pPr>
    </w:p>
    <w:p>
      <w:pPr>
        <w:pStyle w:val="3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    标    人：</w:t>
      </w:r>
      <w:r>
        <w:rPr>
          <w:rFonts w:hint="eastAsia" w:asciiTheme="minorEastAsia" w:hAnsiTheme="minorEastAsia" w:eastAsiaTheme="minorEastAsia" w:cstheme="minorEastAsia"/>
          <w:color w:val="auto"/>
          <w:highlight w:val="none"/>
          <w:u w:val="single"/>
        </w:rPr>
        <w:t xml:space="preserve">                                                          </w:t>
      </w:r>
    </w:p>
    <w:p>
      <w:pPr>
        <w:ind w:firstLine="525" w:firstLineChars="25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（单位盖章）</w:t>
      </w:r>
    </w:p>
    <w:p>
      <w:pPr>
        <w:pStyle w:val="38"/>
        <w:rPr>
          <w:rFonts w:hint="eastAsia" w:asciiTheme="minorEastAsia" w:hAnsiTheme="minorEastAsia" w:eastAsiaTheme="minorEastAsia" w:cstheme="minorEastAsia"/>
          <w:color w:val="auto"/>
          <w:highlight w:val="none"/>
        </w:rPr>
      </w:pPr>
    </w:p>
    <w:p>
      <w:pPr>
        <w:pStyle w:val="3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法定代表人或其授权人：</w:t>
      </w:r>
      <w:r>
        <w:rPr>
          <w:rFonts w:hint="eastAsia" w:asciiTheme="minorEastAsia" w:hAnsiTheme="minorEastAsia" w:eastAsiaTheme="minorEastAsia" w:cstheme="minorEastAsia"/>
          <w:color w:val="auto"/>
          <w:highlight w:val="none"/>
          <w:u w:val="single"/>
        </w:rPr>
        <w:t xml:space="preserve">                                                    </w:t>
      </w:r>
    </w:p>
    <w:p>
      <w:pPr>
        <w:pStyle w:val="38"/>
        <w:ind w:firstLine="525"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（签字或盖章）</w:t>
      </w:r>
    </w:p>
    <w:p>
      <w:pPr>
        <w:pStyle w:val="38"/>
        <w:rPr>
          <w:rFonts w:hint="eastAsia" w:asciiTheme="minorEastAsia" w:hAnsiTheme="minorEastAsia" w:eastAsiaTheme="minorEastAsia" w:cstheme="minorEastAsia"/>
          <w:color w:val="auto"/>
          <w:highlight w:val="none"/>
        </w:rPr>
      </w:pPr>
    </w:p>
    <w:p>
      <w:pPr>
        <w:pStyle w:val="3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    制    人：</w:t>
      </w:r>
      <w:r>
        <w:rPr>
          <w:rFonts w:hint="eastAsia" w:asciiTheme="minorEastAsia" w:hAnsiTheme="minorEastAsia" w:eastAsiaTheme="minorEastAsia" w:cstheme="minorEastAsia"/>
          <w:color w:val="auto"/>
          <w:highlight w:val="none"/>
          <w:u w:val="single"/>
        </w:rPr>
        <w:t xml:space="preserve">                                                          </w:t>
      </w:r>
    </w:p>
    <w:p>
      <w:pPr>
        <w:pStyle w:val="38"/>
        <w:ind w:firstLine="525"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（造价人员签字并盖专用章）</w:t>
      </w:r>
    </w:p>
    <w:p>
      <w:pPr>
        <w:pStyle w:val="38"/>
        <w:rPr>
          <w:rFonts w:hint="eastAsia" w:asciiTheme="minorEastAsia" w:hAnsiTheme="minorEastAsia" w:eastAsiaTheme="minorEastAsia" w:cstheme="minorEastAsia"/>
          <w:color w:val="auto"/>
          <w:highlight w:val="none"/>
        </w:rPr>
      </w:pPr>
    </w:p>
    <w:p>
      <w:pPr>
        <w:pStyle w:val="38"/>
        <w:rPr>
          <w:rFonts w:hint="eastAsia" w:asciiTheme="minorEastAsia" w:hAnsiTheme="minorEastAsia" w:eastAsiaTheme="minorEastAsia" w:cstheme="minorEastAsia"/>
          <w:color w:val="auto"/>
          <w:highlight w:val="none"/>
        </w:rPr>
      </w:pPr>
    </w:p>
    <w:p>
      <w:pPr>
        <w:pStyle w:val="38"/>
        <w:rPr>
          <w:rFonts w:hint="eastAsia" w:asciiTheme="minorEastAsia" w:hAnsiTheme="minorEastAsia" w:eastAsiaTheme="minorEastAsia" w:cstheme="minorEastAsia"/>
          <w:color w:val="auto"/>
          <w:highlight w:val="none"/>
        </w:rPr>
      </w:pPr>
    </w:p>
    <w:p>
      <w:pPr>
        <w:pStyle w:val="3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编 制 时 间: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pPr>
        <w:autoSpaceDE w:val="0"/>
        <w:autoSpaceDN w:val="0"/>
        <w:adjustRightInd w:val="0"/>
        <w:spacing w:line="440" w:lineRule="exact"/>
        <w:ind w:firstLine="630" w:firstLineChars="300"/>
        <w:jc w:val="center"/>
        <w:outlineLvl w:val="0"/>
        <w:rPr>
          <w:rFonts w:hint="eastAsia" w:asciiTheme="minorEastAsia" w:hAnsiTheme="minorEastAsia" w:eastAsiaTheme="minorEastAsia" w:cstheme="minorEastAsia"/>
          <w:b/>
          <w:bCs/>
          <w:color w:val="auto"/>
          <w:sz w:val="44"/>
          <w:szCs w:val="44"/>
          <w:highlight w:val="none"/>
          <w:lang w:val="zh-CN"/>
        </w:rPr>
      </w:pPr>
      <w:r>
        <w:rPr>
          <w:rFonts w:hint="eastAsia" w:asciiTheme="minorEastAsia" w:hAnsiTheme="minorEastAsia" w:eastAsiaTheme="minorEastAsia" w:cstheme="minorEastAsia"/>
          <w:color w:val="auto"/>
          <w:highlight w:val="none"/>
        </w:rPr>
        <w:br w:type="page"/>
      </w:r>
      <w:bookmarkStart w:id="1260" w:name="_Toc18867"/>
      <w:r>
        <w:rPr>
          <w:rFonts w:hint="eastAsia" w:asciiTheme="minorEastAsia" w:hAnsiTheme="minorEastAsia" w:eastAsiaTheme="minorEastAsia" w:cstheme="minorEastAsia"/>
          <w:b/>
          <w:bCs/>
          <w:color w:val="auto"/>
          <w:sz w:val="32"/>
          <w:szCs w:val="32"/>
          <w:highlight w:val="none"/>
        </w:rPr>
        <w:t>第六</w:t>
      </w:r>
      <w:r>
        <w:rPr>
          <w:rFonts w:hint="eastAsia" w:asciiTheme="minorEastAsia" w:hAnsiTheme="minorEastAsia" w:eastAsiaTheme="minorEastAsia" w:cstheme="minorEastAsia"/>
          <w:b/>
          <w:bCs/>
          <w:color w:val="auto"/>
          <w:sz w:val="32"/>
          <w:szCs w:val="32"/>
          <w:highlight w:val="none"/>
          <w:lang w:val="en-US" w:eastAsia="zh-CN"/>
        </w:rPr>
        <w:t>部分</w:t>
      </w:r>
      <w:r>
        <w:rPr>
          <w:rFonts w:hint="eastAsia" w:asciiTheme="minorEastAsia" w:hAnsiTheme="minorEastAsia" w:eastAsiaTheme="minorEastAsia" w:cstheme="minorEastAsia"/>
          <w:b/>
          <w:bCs/>
          <w:color w:val="auto"/>
          <w:sz w:val="32"/>
          <w:szCs w:val="32"/>
          <w:highlight w:val="none"/>
        </w:rPr>
        <w:t xml:space="preserve">  补充条款</w:t>
      </w:r>
      <w:bookmarkEnd w:id="1260"/>
    </w:p>
    <w:p>
      <w:pPr>
        <w:spacing w:line="400" w:lineRule="atLeast"/>
        <w:jc w:val="center"/>
        <w:rPr>
          <w:rFonts w:hint="eastAsia" w:asciiTheme="minorEastAsia" w:hAnsiTheme="minorEastAsia" w:eastAsiaTheme="minorEastAsia" w:cstheme="minorEastAsia"/>
          <w:color w:val="auto"/>
          <w:sz w:val="32"/>
          <w:szCs w:val="32"/>
          <w:highlight w:val="none"/>
        </w:rPr>
      </w:pPr>
    </w:p>
    <w:p>
      <w:pPr>
        <w:spacing w:line="360" w:lineRule="auto"/>
        <w:jc w:val="left"/>
        <w:outlineLvl w:val="0"/>
        <w:rPr>
          <w:rFonts w:hint="eastAsia" w:asciiTheme="minorEastAsia" w:hAnsiTheme="minorEastAsia" w:eastAsiaTheme="minorEastAsia" w:cstheme="minorEastAsia"/>
          <w:kern w:val="0"/>
          <w:sz w:val="24"/>
        </w:rPr>
      </w:pPr>
      <w:bookmarkStart w:id="1261" w:name="_Toc2744"/>
      <w:r>
        <w:rPr>
          <w:rFonts w:hint="eastAsia" w:asciiTheme="minorEastAsia" w:hAnsiTheme="minorEastAsia" w:eastAsiaTheme="minorEastAsia" w:cstheme="minorEastAsia"/>
          <w:kern w:val="0"/>
          <w:sz w:val="24"/>
        </w:rPr>
        <w:t>附件1：</w:t>
      </w:r>
      <w:bookmarkEnd w:id="1261"/>
    </w:p>
    <w:p>
      <w:pPr>
        <w:jc w:val="center"/>
        <w:outlineLvl w:val="0"/>
        <w:rPr>
          <w:rFonts w:hint="eastAsia" w:asciiTheme="minorEastAsia" w:hAnsiTheme="minorEastAsia" w:eastAsiaTheme="minorEastAsia" w:cstheme="minorEastAsia"/>
          <w:sz w:val="28"/>
          <w:szCs w:val="28"/>
        </w:rPr>
      </w:pPr>
      <w:bookmarkStart w:id="1262" w:name="_Toc31890"/>
      <w:r>
        <w:rPr>
          <w:rFonts w:hint="eastAsia" w:asciiTheme="minorEastAsia" w:hAnsiTheme="minorEastAsia" w:eastAsiaTheme="minorEastAsia" w:cstheme="minorEastAsia"/>
          <w:sz w:val="28"/>
          <w:szCs w:val="28"/>
        </w:rPr>
        <w:t>二次报价单</w:t>
      </w:r>
      <w:bookmarkEnd w:id="1262"/>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致</w:t>
      </w:r>
      <w:r>
        <w:rPr>
          <w:rFonts w:hint="eastAsia" w:asciiTheme="minorEastAsia" w:hAnsiTheme="minorEastAsia" w:eastAsiaTheme="minorEastAsia" w:cstheme="minorEastAsia"/>
          <w:sz w:val="28"/>
          <w:szCs w:val="28"/>
          <w:lang w:eastAsia="zh-CN"/>
        </w:rPr>
        <w:t>采购人</w:t>
      </w:r>
      <w:r>
        <w:rPr>
          <w:rFonts w:hint="eastAsia" w:asciiTheme="minorEastAsia" w:hAnsiTheme="minorEastAsia" w:eastAsiaTheme="minorEastAsia" w:cstheme="minorEastAsia"/>
          <w:sz w:val="28"/>
          <w:szCs w:val="28"/>
        </w:rPr>
        <w:t>：</w:t>
      </w:r>
    </w:p>
    <w:p>
      <w:pPr>
        <w:ind w:left="666" w:leftChars="184" w:hanging="280" w:hanging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u w:val="single"/>
        </w:rPr>
        <w:t xml:space="preserve">                      （项目名称）</w:t>
      </w:r>
      <w:r>
        <w:rPr>
          <w:rFonts w:hint="eastAsia" w:asciiTheme="minorEastAsia" w:hAnsiTheme="minorEastAsia" w:eastAsiaTheme="minorEastAsia" w:cstheme="minorEastAsia"/>
          <w:sz w:val="28"/>
          <w:szCs w:val="28"/>
        </w:rPr>
        <w:t>的二次报价为：</w:t>
      </w:r>
    </w:p>
    <w:p>
      <w:pPr>
        <w:ind w:firstLine="63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小写：</w:t>
      </w:r>
      <w:r>
        <w:rPr>
          <w:rFonts w:hint="eastAsia" w:asciiTheme="minorEastAsia" w:hAnsiTheme="minorEastAsia" w:eastAsiaTheme="minorEastAsia" w:cstheme="minorEastAsia"/>
          <w:sz w:val="28"/>
          <w:szCs w:val="28"/>
          <w:u w:val="single"/>
        </w:rPr>
        <w:t xml:space="preserve">                      </w:t>
      </w:r>
    </w:p>
    <w:p>
      <w:pPr>
        <w:ind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大写：</w:t>
      </w:r>
      <w:r>
        <w:rPr>
          <w:rFonts w:hint="eastAsia" w:asciiTheme="minorEastAsia" w:hAnsiTheme="minorEastAsia" w:eastAsiaTheme="minorEastAsia" w:cstheme="minorEastAsia"/>
          <w:sz w:val="28"/>
          <w:szCs w:val="28"/>
          <w:u w:val="single"/>
        </w:rPr>
        <w:t xml:space="preserve">                      </w:t>
      </w: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并承诺：</w:t>
      </w:r>
      <w:r>
        <w:rPr>
          <w:rFonts w:hint="eastAsia" w:asciiTheme="minorEastAsia" w:hAnsiTheme="minorEastAsia" w:eastAsiaTheme="minorEastAsia" w:cstheme="minorEastAsia"/>
          <w:sz w:val="28"/>
          <w:szCs w:val="28"/>
          <w:u w:val="single"/>
        </w:rPr>
        <w:t xml:space="preserve"> 本次报价为最终报价。                                     </w:t>
      </w:r>
    </w:p>
    <w:p>
      <w:pPr>
        <w:ind w:right="560" w:firstLine="4480" w:firstLineChars="1600"/>
        <w:rPr>
          <w:rFonts w:hint="eastAsia" w:asciiTheme="minorEastAsia" w:hAnsiTheme="minorEastAsia" w:eastAsiaTheme="minorEastAsia" w:cstheme="minorEastAsia"/>
          <w:sz w:val="28"/>
          <w:szCs w:val="28"/>
        </w:rPr>
      </w:pPr>
    </w:p>
    <w:p>
      <w:pPr>
        <w:ind w:right="560" w:firstLine="4480" w:firstLineChars="1600"/>
        <w:rPr>
          <w:rFonts w:hint="eastAsia" w:asciiTheme="minorEastAsia" w:hAnsiTheme="minorEastAsia" w:eastAsiaTheme="minorEastAsia" w:cstheme="minorEastAsia"/>
          <w:sz w:val="28"/>
          <w:szCs w:val="28"/>
        </w:rPr>
      </w:pPr>
    </w:p>
    <w:p>
      <w:pPr>
        <w:ind w:right="560" w:firstLine="4480" w:firstLineChars="1600"/>
        <w:rPr>
          <w:rFonts w:hint="eastAsia" w:asciiTheme="minorEastAsia" w:hAnsiTheme="minorEastAsia" w:eastAsiaTheme="minorEastAsia" w:cstheme="minorEastAsia"/>
          <w:sz w:val="28"/>
          <w:szCs w:val="28"/>
        </w:rPr>
      </w:pPr>
    </w:p>
    <w:p>
      <w:pPr>
        <w:pStyle w:val="23"/>
        <w:rPr>
          <w:rFonts w:hint="eastAsia" w:asciiTheme="minorEastAsia" w:hAnsiTheme="minorEastAsia" w:eastAsiaTheme="minorEastAsia" w:cstheme="minorEastAsia"/>
          <w:sz w:val="28"/>
          <w:szCs w:val="28"/>
        </w:rPr>
      </w:pPr>
    </w:p>
    <w:p>
      <w:pPr>
        <w:pStyle w:val="23"/>
        <w:rPr>
          <w:rFonts w:hint="eastAsia" w:asciiTheme="minorEastAsia" w:hAnsiTheme="minorEastAsia" w:eastAsiaTheme="minorEastAsia" w:cstheme="minorEastAsia"/>
          <w:sz w:val="28"/>
          <w:szCs w:val="28"/>
        </w:rPr>
      </w:pPr>
    </w:p>
    <w:p>
      <w:pPr>
        <w:ind w:right="560" w:firstLine="4480" w:firstLineChars="1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投标单位（盖章）：</w:t>
      </w:r>
    </w:p>
    <w:p>
      <w:pPr>
        <w:ind w:firstLine="5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投标单位授权代表签字：</w:t>
      </w:r>
    </w:p>
    <w:p>
      <w:pPr>
        <w:ind w:firstLine="5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pPr>
        <w:spacing w:line="360" w:lineRule="auto"/>
        <w:jc w:val="left"/>
        <w:rPr>
          <w:rFonts w:hint="eastAsia" w:asciiTheme="minorEastAsia" w:hAnsiTheme="minorEastAsia" w:eastAsiaTheme="minorEastAsia" w:cstheme="minorEastAsia"/>
          <w:kern w:val="0"/>
          <w:szCs w:val="21"/>
        </w:rPr>
      </w:pPr>
    </w:p>
    <w:p>
      <w:pPr>
        <w:spacing w:line="360" w:lineRule="auto"/>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注：各</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将此表内容填写（报价大小写除外），加盖单位公章后，一式两份带到开标地点，现场进行手写二次报价。</w:t>
      </w:r>
    </w:p>
    <w:p>
      <w:pPr>
        <w:rPr>
          <w:rFonts w:hint="eastAsia" w:asciiTheme="minorEastAsia" w:hAnsiTheme="minorEastAsia" w:eastAsiaTheme="minorEastAsia" w:cstheme="minorEastAsia"/>
          <w:b/>
          <w:bCs/>
          <w:color w:val="FF0000"/>
        </w:rPr>
      </w:pPr>
    </w:p>
    <w:p>
      <w:pPr>
        <w:autoSpaceDE w:val="0"/>
        <w:autoSpaceDN w:val="0"/>
        <w:adjustRightInd w:val="0"/>
        <w:spacing w:line="440" w:lineRule="exact"/>
        <w:rPr>
          <w:rFonts w:hint="eastAsia" w:asciiTheme="minorEastAsia" w:hAnsiTheme="minorEastAsia" w:eastAsiaTheme="minorEastAsia" w:cstheme="minorEastAsia"/>
          <w:lang w:val="zh-CN"/>
        </w:rPr>
      </w:pPr>
    </w:p>
    <w:p>
      <w:pPr>
        <w:rPr>
          <w:rFonts w:hint="eastAsia" w:asciiTheme="minorEastAsia" w:hAnsiTheme="minorEastAsia" w:eastAsiaTheme="minorEastAsia" w:cstheme="minorEastAsia"/>
        </w:rPr>
      </w:pPr>
    </w:p>
    <w:sectPr>
      <w:headerReference r:id="rId7" w:type="default"/>
      <w:footerReference r:id="rId8" w:type="default"/>
      <w:pgSz w:w="11907" w:h="16840"/>
      <w:pgMar w:top="1440" w:right="1080" w:bottom="1440" w:left="1080" w:header="851" w:footer="68" w:gutter="0"/>
      <w:pgNumType w:fmt="decimal"/>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70"/>
        <w:tab w:val="left" w:pos="5337"/>
        <w:tab w:val="clear" w:pos="4153"/>
      </w:tabs>
      <w:rPr>
        <w:rFonts w:hint="eastAsia"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180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180</w:t>
                    </w:r>
                    <w:r>
                      <w:rPr>
                        <w:rFonts w:hint="eastAsia"/>
                      </w:rPr>
                      <w:fldChar w:fldCharType="end"/>
                    </w:r>
                  </w:p>
                </w:txbxContent>
              </v:textbox>
            </v:shape>
          </w:pict>
        </mc:Fallback>
      </mc:AlternateContent>
    </w:r>
    <w:r>
      <w:rPr>
        <w:rFonts w:hint="eastAsia" w:eastAsia="仿宋_GB2312"/>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181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181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lang w:val="zh-CN"/>
      </w:rPr>
      <w:t xml:space="preserve">  </w: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400" w:lineRule="atLeast"/>
      <w:jc w:val="left"/>
      <w:rPr>
        <w:rFonts w:hint="default" w:asciiTheme="minorEastAsia" w:hAnsiTheme="minorEastAsia" w:eastAsiaTheme="minorEastAsia" w:cstheme="minorEastAsia"/>
        <w:b w:val="0"/>
        <w:bCs/>
        <w:color w:val="auto"/>
        <w:sz w:val="11"/>
        <w:szCs w:val="11"/>
        <w:highlight w:val="none"/>
        <w:u w:val="double" w:color="5B9BD5" w:themeColor="accent1"/>
        <w:lang w:val="en-US"/>
      </w:rPr>
    </w:pPr>
    <w:r>
      <w:rPr>
        <w:rFonts w:hint="eastAsia" w:asciiTheme="minorEastAsia" w:hAnsiTheme="minorEastAsia" w:eastAsiaTheme="minorEastAsia" w:cstheme="minorEastAsia"/>
        <w:b w:val="0"/>
        <w:bCs/>
        <w:color w:val="auto"/>
        <w:sz w:val="20"/>
        <w:szCs w:val="20"/>
        <w:highlight w:val="none"/>
        <w:u w:val="double" w:color="5B9BD5" w:themeColor="accent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49FEC"/>
    <w:multiLevelType w:val="singleLevel"/>
    <w:tmpl w:val="A5F49FEC"/>
    <w:lvl w:ilvl="0" w:tentative="0">
      <w:start w:val="5"/>
      <w:numFmt w:val="chineseCounting"/>
      <w:suff w:val="nothing"/>
      <w:lvlText w:val="%1、"/>
      <w:lvlJc w:val="left"/>
      <w:rPr>
        <w:rFonts w:hint="eastAsia"/>
      </w:rPr>
    </w:lvl>
  </w:abstractNum>
  <w:abstractNum w:abstractNumId="1">
    <w:nsid w:val="AD374131"/>
    <w:multiLevelType w:val="singleLevel"/>
    <w:tmpl w:val="AD374131"/>
    <w:lvl w:ilvl="0" w:tentative="0">
      <w:start w:val="1"/>
      <w:numFmt w:val="chineseCounting"/>
      <w:suff w:val="space"/>
      <w:lvlText w:val="第%1部分"/>
      <w:lvlJc w:val="left"/>
      <w:rPr>
        <w:rFonts w:hint="eastAsia"/>
      </w:rPr>
    </w:lvl>
  </w:abstractNum>
  <w:abstractNum w:abstractNumId="2">
    <w:nsid w:val="BE827D51"/>
    <w:multiLevelType w:val="singleLevel"/>
    <w:tmpl w:val="BE827D51"/>
    <w:lvl w:ilvl="0" w:tentative="0">
      <w:start w:val="2"/>
      <w:numFmt w:val="chineseCounting"/>
      <w:suff w:val="nothing"/>
      <w:lvlText w:val="%1、"/>
      <w:lvlJc w:val="left"/>
      <w:rPr>
        <w:rFonts w:hint="eastAsia"/>
      </w:r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E3E972"/>
    <w:multiLevelType w:val="multilevel"/>
    <w:tmpl w:val="25E3E972"/>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6">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44503749"/>
    <w:multiLevelType w:val="singleLevel"/>
    <w:tmpl w:val="44503749"/>
    <w:lvl w:ilvl="0" w:tentative="0">
      <w:start w:val="20"/>
      <w:numFmt w:val="decimal"/>
      <w:suff w:val="space"/>
      <w:lvlText w:val="%1."/>
      <w:lvlJc w:val="left"/>
    </w:lvl>
  </w:abstractNum>
  <w:num w:numId="1">
    <w:abstractNumId w:val="4"/>
  </w:num>
  <w:num w:numId="2">
    <w:abstractNumId w:val="1"/>
  </w:num>
  <w:num w:numId="3">
    <w:abstractNumId w:val="2"/>
  </w:num>
  <w:num w:numId="4">
    <w:abstractNumId w:val="6"/>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40A01"/>
    <w:rsid w:val="00166C17"/>
    <w:rsid w:val="006109E6"/>
    <w:rsid w:val="006144BC"/>
    <w:rsid w:val="006E256D"/>
    <w:rsid w:val="00D22FF1"/>
    <w:rsid w:val="01064031"/>
    <w:rsid w:val="011C15FF"/>
    <w:rsid w:val="012A2737"/>
    <w:rsid w:val="01E06C7B"/>
    <w:rsid w:val="022A1FF5"/>
    <w:rsid w:val="0295339B"/>
    <w:rsid w:val="02FE10F4"/>
    <w:rsid w:val="039E3BFD"/>
    <w:rsid w:val="03A52186"/>
    <w:rsid w:val="03B87C77"/>
    <w:rsid w:val="041E2AE7"/>
    <w:rsid w:val="04D37A8E"/>
    <w:rsid w:val="05CE1001"/>
    <w:rsid w:val="060D5993"/>
    <w:rsid w:val="060D6622"/>
    <w:rsid w:val="06194D53"/>
    <w:rsid w:val="069F5E3F"/>
    <w:rsid w:val="0732065F"/>
    <w:rsid w:val="07387A0A"/>
    <w:rsid w:val="075050AD"/>
    <w:rsid w:val="07D80920"/>
    <w:rsid w:val="07EF76F4"/>
    <w:rsid w:val="08770014"/>
    <w:rsid w:val="08A00F84"/>
    <w:rsid w:val="08B60D54"/>
    <w:rsid w:val="08D12032"/>
    <w:rsid w:val="097F75FA"/>
    <w:rsid w:val="099C3004"/>
    <w:rsid w:val="09AC411F"/>
    <w:rsid w:val="0A051BCB"/>
    <w:rsid w:val="0A174A55"/>
    <w:rsid w:val="0A186249"/>
    <w:rsid w:val="0A385CC9"/>
    <w:rsid w:val="0AA64689"/>
    <w:rsid w:val="0B3176B9"/>
    <w:rsid w:val="0B953281"/>
    <w:rsid w:val="0BA41FA6"/>
    <w:rsid w:val="0C236395"/>
    <w:rsid w:val="0CBB34A8"/>
    <w:rsid w:val="0CC00331"/>
    <w:rsid w:val="0CC31C91"/>
    <w:rsid w:val="0CD365FD"/>
    <w:rsid w:val="0D3268FE"/>
    <w:rsid w:val="0D8F6D83"/>
    <w:rsid w:val="0DE13467"/>
    <w:rsid w:val="0E05260E"/>
    <w:rsid w:val="0E8129BA"/>
    <w:rsid w:val="0E87446B"/>
    <w:rsid w:val="0EB951BB"/>
    <w:rsid w:val="0EC65BD7"/>
    <w:rsid w:val="0ED629B1"/>
    <w:rsid w:val="0F40543D"/>
    <w:rsid w:val="0FEB4555"/>
    <w:rsid w:val="10497C64"/>
    <w:rsid w:val="104B2256"/>
    <w:rsid w:val="11A46024"/>
    <w:rsid w:val="11D66CA8"/>
    <w:rsid w:val="1217025A"/>
    <w:rsid w:val="1240233E"/>
    <w:rsid w:val="12A3464C"/>
    <w:rsid w:val="12F309E3"/>
    <w:rsid w:val="134D71BB"/>
    <w:rsid w:val="13503D9B"/>
    <w:rsid w:val="136D66AD"/>
    <w:rsid w:val="138B6BBE"/>
    <w:rsid w:val="13A45622"/>
    <w:rsid w:val="13E75E9B"/>
    <w:rsid w:val="140B68B3"/>
    <w:rsid w:val="14335138"/>
    <w:rsid w:val="14B51C4C"/>
    <w:rsid w:val="150C7153"/>
    <w:rsid w:val="15140D51"/>
    <w:rsid w:val="151C5E23"/>
    <w:rsid w:val="15BA132B"/>
    <w:rsid w:val="15CC3834"/>
    <w:rsid w:val="168A146A"/>
    <w:rsid w:val="16C94170"/>
    <w:rsid w:val="1704325F"/>
    <w:rsid w:val="171777EB"/>
    <w:rsid w:val="172401DC"/>
    <w:rsid w:val="176A242F"/>
    <w:rsid w:val="1774756B"/>
    <w:rsid w:val="178A2C08"/>
    <w:rsid w:val="179E2345"/>
    <w:rsid w:val="17A10E21"/>
    <w:rsid w:val="17C26BEE"/>
    <w:rsid w:val="17D70A8F"/>
    <w:rsid w:val="18556366"/>
    <w:rsid w:val="185D37F7"/>
    <w:rsid w:val="19197971"/>
    <w:rsid w:val="195C43D0"/>
    <w:rsid w:val="19F17461"/>
    <w:rsid w:val="1A392464"/>
    <w:rsid w:val="1A4A267C"/>
    <w:rsid w:val="1AD52046"/>
    <w:rsid w:val="1B276D1E"/>
    <w:rsid w:val="1BB06AD1"/>
    <w:rsid w:val="1BBC5B17"/>
    <w:rsid w:val="1BE415A1"/>
    <w:rsid w:val="1C014D39"/>
    <w:rsid w:val="1C770C0E"/>
    <w:rsid w:val="1CA25773"/>
    <w:rsid w:val="1CED332D"/>
    <w:rsid w:val="1DF96D28"/>
    <w:rsid w:val="1E4A4CDF"/>
    <w:rsid w:val="1EC54BFD"/>
    <w:rsid w:val="1F042CCF"/>
    <w:rsid w:val="1F4E321D"/>
    <w:rsid w:val="1F7711FF"/>
    <w:rsid w:val="1F9B1328"/>
    <w:rsid w:val="20F2495A"/>
    <w:rsid w:val="212119CC"/>
    <w:rsid w:val="21474729"/>
    <w:rsid w:val="215C1D4B"/>
    <w:rsid w:val="22750D23"/>
    <w:rsid w:val="229720A1"/>
    <w:rsid w:val="22E03145"/>
    <w:rsid w:val="234B43FE"/>
    <w:rsid w:val="236433EB"/>
    <w:rsid w:val="23CD508A"/>
    <w:rsid w:val="23D03546"/>
    <w:rsid w:val="24151771"/>
    <w:rsid w:val="24287D53"/>
    <w:rsid w:val="249675D0"/>
    <w:rsid w:val="24EB5465"/>
    <w:rsid w:val="25107448"/>
    <w:rsid w:val="252A3AB2"/>
    <w:rsid w:val="253C5C51"/>
    <w:rsid w:val="258E56AF"/>
    <w:rsid w:val="260E35AD"/>
    <w:rsid w:val="268C5F0D"/>
    <w:rsid w:val="27445A3E"/>
    <w:rsid w:val="274A4CBD"/>
    <w:rsid w:val="27E56B08"/>
    <w:rsid w:val="27EF13A5"/>
    <w:rsid w:val="284D0F45"/>
    <w:rsid w:val="28C4457E"/>
    <w:rsid w:val="29181A0C"/>
    <w:rsid w:val="296E1A34"/>
    <w:rsid w:val="29B132C6"/>
    <w:rsid w:val="29BA192D"/>
    <w:rsid w:val="29C56885"/>
    <w:rsid w:val="2A614DAD"/>
    <w:rsid w:val="2A80666C"/>
    <w:rsid w:val="2ACC6B24"/>
    <w:rsid w:val="2ADF6F88"/>
    <w:rsid w:val="2AED247E"/>
    <w:rsid w:val="2B084FE7"/>
    <w:rsid w:val="2B326109"/>
    <w:rsid w:val="2B5F3CE4"/>
    <w:rsid w:val="2BA94B67"/>
    <w:rsid w:val="2BCC61F0"/>
    <w:rsid w:val="2BF97111"/>
    <w:rsid w:val="2CC07D0B"/>
    <w:rsid w:val="2D35143B"/>
    <w:rsid w:val="2D6C4D84"/>
    <w:rsid w:val="2DFB0019"/>
    <w:rsid w:val="2E442A83"/>
    <w:rsid w:val="2E52151F"/>
    <w:rsid w:val="2E641BA9"/>
    <w:rsid w:val="2F3A44FB"/>
    <w:rsid w:val="2F4A283C"/>
    <w:rsid w:val="2F724E02"/>
    <w:rsid w:val="2FA90670"/>
    <w:rsid w:val="2FF855BE"/>
    <w:rsid w:val="2FFB13F7"/>
    <w:rsid w:val="301624FD"/>
    <w:rsid w:val="30694D22"/>
    <w:rsid w:val="30C7073F"/>
    <w:rsid w:val="30D727F8"/>
    <w:rsid w:val="30EA2F55"/>
    <w:rsid w:val="31321EB4"/>
    <w:rsid w:val="31C33B6F"/>
    <w:rsid w:val="31C5622D"/>
    <w:rsid w:val="31C97775"/>
    <w:rsid w:val="321668FF"/>
    <w:rsid w:val="321D11F8"/>
    <w:rsid w:val="32C57240"/>
    <w:rsid w:val="3354659A"/>
    <w:rsid w:val="336C7696"/>
    <w:rsid w:val="33C822F5"/>
    <w:rsid w:val="341A1BAC"/>
    <w:rsid w:val="35C414BB"/>
    <w:rsid w:val="35DC1A92"/>
    <w:rsid w:val="36C36A3A"/>
    <w:rsid w:val="36E43AC6"/>
    <w:rsid w:val="37583033"/>
    <w:rsid w:val="37640A01"/>
    <w:rsid w:val="37E6175E"/>
    <w:rsid w:val="380F2E63"/>
    <w:rsid w:val="3844292D"/>
    <w:rsid w:val="388D7FC8"/>
    <w:rsid w:val="38B32E97"/>
    <w:rsid w:val="38D6385B"/>
    <w:rsid w:val="38E459D8"/>
    <w:rsid w:val="39882BD9"/>
    <w:rsid w:val="39934369"/>
    <w:rsid w:val="39A95BD8"/>
    <w:rsid w:val="3AE179FC"/>
    <w:rsid w:val="3B455DE4"/>
    <w:rsid w:val="3B7F031A"/>
    <w:rsid w:val="3B953C7B"/>
    <w:rsid w:val="3BB30BD2"/>
    <w:rsid w:val="3BE330AA"/>
    <w:rsid w:val="3C31449D"/>
    <w:rsid w:val="3CD013FC"/>
    <w:rsid w:val="3CFC4A0B"/>
    <w:rsid w:val="3D403136"/>
    <w:rsid w:val="3D4923D4"/>
    <w:rsid w:val="3D49754A"/>
    <w:rsid w:val="3E10100B"/>
    <w:rsid w:val="3E1D5F57"/>
    <w:rsid w:val="3E390A09"/>
    <w:rsid w:val="3E783065"/>
    <w:rsid w:val="3F726814"/>
    <w:rsid w:val="3FED439E"/>
    <w:rsid w:val="401C475C"/>
    <w:rsid w:val="402D6E55"/>
    <w:rsid w:val="40407623"/>
    <w:rsid w:val="406532C0"/>
    <w:rsid w:val="40851F7D"/>
    <w:rsid w:val="408875D3"/>
    <w:rsid w:val="40C35254"/>
    <w:rsid w:val="40DC6726"/>
    <w:rsid w:val="4134048C"/>
    <w:rsid w:val="414E1E87"/>
    <w:rsid w:val="417458EE"/>
    <w:rsid w:val="41A60B8F"/>
    <w:rsid w:val="41CA32F6"/>
    <w:rsid w:val="41D57677"/>
    <w:rsid w:val="42101C88"/>
    <w:rsid w:val="4298407F"/>
    <w:rsid w:val="42CD04D9"/>
    <w:rsid w:val="43302ED5"/>
    <w:rsid w:val="44540307"/>
    <w:rsid w:val="44C2631E"/>
    <w:rsid w:val="45AC77B2"/>
    <w:rsid w:val="45B847F7"/>
    <w:rsid w:val="469F5988"/>
    <w:rsid w:val="46E02FE5"/>
    <w:rsid w:val="46EF338D"/>
    <w:rsid w:val="473D37F0"/>
    <w:rsid w:val="47B75973"/>
    <w:rsid w:val="47CA116B"/>
    <w:rsid w:val="48063950"/>
    <w:rsid w:val="48A203D1"/>
    <w:rsid w:val="48A6719A"/>
    <w:rsid w:val="48F11B33"/>
    <w:rsid w:val="49061CFA"/>
    <w:rsid w:val="493D3155"/>
    <w:rsid w:val="49873A4F"/>
    <w:rsid w:val="49883A0D"/>
    <w:rsid w:val="49A275F1"/>
    <w:rsid w:val="4A1579DE"/>
    <w:rsid w:val="4A302A8D"/>
    <w:rsid w:val="4A3F43A6"/>
    <w:rsid w:val="4A790916"/>
    <w:rsid w:val="4A956FBC"/>
    <w:rsid w:val="4AC45C39"/>
    <w:rsid w:val="4AD373DB"/>
    <w:rsid w:val="4B737593"/>
    <w:rsid w:val="4B7D79C2"/>
    <w:rsid w:val="4C135CB5"/>
    <w:rsid w:val="4C181F0E"/>
    <w:rsid w:val="4C2B1311"/>
    <w:rsid w:val="4C9222E8"/>
    <w:rsid w:val="4CA63CA0"/>
    <w:rsid w:val="4CE128E3"/>
    <w:rsid w:val="4D355221"/>
    <w:rsid w:val="4DF92B80"/>
    <w:rsid w:val="4E324336"/>
    <w:rsid w:val="4E327DD4"/>
    <w:rsid w:val="4EAE3EAF"/>
    <w:rsid w:val="4EE74093"/>
    <w:rsid w:val="4F373F83"/>
    <w:rsid w:val="4F4913D6"/>
    <w:rsid w:val="4FCB4436"/>
    <w:rsid w:val="50746AF7"/>
    <w:rsid w:val="51283CB8"/>
    <w:rsid w:val="516823BA"/>
    <w:rsid w:val="516F70A0"/>
    <w:rsid w:val="518F0B84"/>
    <w:rsid w:val="51A650B5"/>
    <w:rsid w:val="51E77834"/>
    <w:rsid w:val="525A2F72"/>
    <w:rsid w:val="5311442C"/>
    <w:rsid w:val="53BE2437"/>
    <w:rsid w:val="53C54838"/>
    <w:rsid w:val="53DF249A"/>
    <w:rsid w:val="54AB18E9"/>
    <w:rsid w:val="54FF57F9"/>
    <w:rsid w:val="558843A1"/>
    <w:rsid w:val="55B521B7"/>
    <w:rsid w:val="562F5BB8"/>
    <w:rsid w:val="56A24453"/>
    <w:rsid w:val="56F634C4"/>
    <w:rsid w:val="58111424"/>
    <w:rsid w:val="5863097C"/>
    <w:rsid w:val="589A78EC"/>
    <w:rsid w:val="58D77F83"/>
    <w:rsid w:val="58EB3947"/>
    <w:rsid w:val="59294DA0"/>
    <w:rsid w:val="59952A8F"/>
    <w:rsid w:val="59AA2DF6"/>
    <w:rsid w:val="59BE007D"/>
    <w:rsid w:val="5A2669C9"/>
    <w:rsid w:val="5A870DC9"/>
    <w:rsid w:val="5BCE4174"/>
    <w:rsid w:val="5BEE5078"/>
    <w:rsid w:val="5BF63D5E"/>
    <w:rsid w:val="5BFD71F5"/>
    <w:rsid w:val="5C255148"/>
    <w:rsid w:val="5C2D5837"/>
    <w:rsid w:val="5C4F04B8"/>
    <w:rsid w:val="5CF41F11"/>
    <w:rsid w:val="5D90321B"/>
    <w:rsid w:val="5DE22F17"/>
    <w:rsid w:val="5E1561C1"/>
    <w:rsid w:val="5E5A4AB5"/>
    <w:rsid w:val="5ED30E8D"/>
    <w:rsid w:val="5F182745"/>
    <w:rsid w:val="5F345ECE"/>
    <w:rsid w:val="5F714404"/>
    <w:rsid w:val="5F925BF4"/>
    <w:rsid w:val="5FB104C8"/>
    <w:rsid w:val="602A4BEC"/>
    <w:rsid w:val="603E67DA"/>
    <w:rsid w:val="60767BD1"/>
    <w:rsid w:val="60A854CC"/>
    <w:rsid w:val="610C6F6C"/>
    <w:rsid w:val="610D7F16"/>
    <w:rsid w:val="61195425"/>
    <w:rsid w:val="61503FD2"/>
    <w:rsid w:val="616575B2"/>
    <w:rsid w:val="61966F55"/>
    <w:rsid w:val="61D948CF"/>
    <w:rsid w:val="6220516F"/>
    <w:rsid w:val="624C3A1E"/>
    <w:rsid w:val="627C7FFC"/>
    <w:rsid w:val="62E96ED1"/>
    <w:rsid w:val="6322476F"/>
    <w:rsid w:val="63536D70"/>
    <w:rsid w:val="646A6B9B"/>
    <w:rsid w:val="6486074F"/>
    <w:rsid w:val="648F075D"/>
    <w:rsid w:val="64C8746C"/>
    <w:rsid w:val="64D3636B"/>
    <w:rsid w:val="65210EE0"/>
    <w:rsid w:val="656B0B1F"/>
    <w:rsid w:val="657949F8"/>
    <w:rsid w:val="65841133"/>
    <w:rsid w:val="65880AB6"/>
    <w:rsid w:val="65A86F6F"/>
    <w:rsid w:val="662C3F75"/>
    <w:rsid w:val="66A91304"/>
    <w:rsid w:val="66E8749F"/>
    <w:rsid w:val="66EA47BB"/>
    <w:rsid w:val="66F61CA6"/>
    <w:rsid w:val="67351044"/>
    <w:rsid w:val="67573B25"/>
    <w:rsid w:val="67AA5D95"/>
    <w:rsid w:val="67DE3899"/>
    <w:rsid w:val="67DF0C5E"/>
    <w:rsid w:val="680653BB"/>
    <w:rsid w:val="68C81EE7"/>
    <w:rsid w:val="69F848E2"/>
    <w:rsid w:val="6AC553A1"/>
    <w:rsid w:val="6AF21074"/>
    <w:rsid w:val="6BCB2EA1"/>
    <w:rsid w:val="6C6C5709"/>
    <w:rsid w:val="6CA36169"/>
    <w:rsid w:val="6CC87B57"/>
    <w:rsid w:val="6CDA2E69"/>
    <w:rsid w:val="6D657450"/>
    <w:rsid w:val="6DC05CAB"/>
    <w:rsid w:val="6E01231F"/>
    <w:rsid w:val="6E7B61C5"/>
    <w:rsid w:val="6ED73CE9"/>
    <w:rsid w:val="6EE32384"/>
    <w:rsid w:val="6EFD1F14"/>
    <w:rsid w:val="6F2717A5"/>
    <w:rsid w:val="6F6B0CBA"/>
    <w:rsid w:val="6FCF1326"/>
    <w:rsid w:val="6FEE5049"/>
    <w:rsid w:val="7044489E"/>
    <w:rsid w:val="70FB6624"/>
    <w:rsid w:val="71902C0D"/>
    <w:rsid w:val="71E17F11"/>
    <w:rsid w:val="72033806"/>
    <w:rsid w:val="720F711F"/>
    <w:rsid w:val="72DC140E"/>
    <w:rsid w:val="732D2749"/>
    <w:rsid w:val="738A2CF5"/>
    <w:rsid w:val="750D5350"/>
    <w:rsid w:val="75F426FD"/>
    <w:rsid w:val="760E7286"/>
    <w:rsid w:val="76447F99"/>
    <w:rsid w:val="76BF7F2A"/>
    <w:rsid w:val="76FA2AE5"/>
    <w:rsid w:val="773442C9"/>
    <w:rsid w:val="77A71FBB"/>
    <w:rsid w:val="782B441E"/>
    <w:rsid w:val="7839455A"/>
    <w:rsid w:val="789F3597"/>
    <w:rsid w:val="799305FE"/>
    <w:rsid w:val="79E444D4"/>
    <w:rsid w:val="7AF523E6"/>
    <w:rsid w:val="7B4F5D59"/>
    <w:rsid w:val="7C3C0CAD"/>
    <w:rsid w:val="7D0E7A53"/>
    <w:rsid w:val="7D1B3655"/>
    <w:rsid w:val="7D6B0779"/>
    <w:rsid w:val="7DA96E5C"/>
    <w:rsid w:val="7DAF26CA"/>
    <w:rsid w:val="7DB427A3"/>
    <w:rsid w:val="7DD83F60"/>
    <w:rsid w:val="7DED539E"/>
    <w:rsid w:val="7E272ECE"/>
    <w:rsid w:val="7E365DA1"/>
    <w:rsid w:val="7ED67B81"/>
    <w:rsid w:val="7EE34AC2"/>
    <w:rsid w:val="7EE43E45"/>
    <w:rsid w:val="7F3070B7"/>
    <w:rsid w:val="7F537842"/>
    <w:rsid w:val="7F627A08"/>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2" w:lineRule="auto"/>
      <w:outlineLvl w:val="4"/>
    </w:pPr>
    <w:rPr>
      <w:rFonts w:ascii="Calibri" w:hAnsi="Calibri"/>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List"/>
    <w:basedOn w:val="1"/>
    <w:qFormat/>
    <w:uiPriority w:val="99"/>
    <w:pPr>
      <w:adjustRightInd w:val="0"/>
      <w:spacing w:line="360" w:lineRule="atLeast"/>
      <w:ind w:left="420" w:hanging="420"/>
      <w:jc w:val="left"/>
    </w:pPr>
    <w:rPr>
      <w:rFonts w:ascii="宋体"/>
      <w:kern w:val="0"/>
      <w:sz w:val="24"/>
    </w:rPr>
  </w:style>
  <w:style w:type="paragraph" w:styleId="8">
    <w:name w:val="Normal Indent"/>
    <w:basedOn w:val="1"/>
    <w:qFormat/>
    <w:uiPriority w:val="0"/>
    <w:pPr>
      <w:ind w:firstLine="420" w:firstLineChars="200"/>
    </w:pPr>
    <w:rPr>
      <w:szCs w:val="24"/>
    </w:rPr>
  </w:style>
  <w:style w:type="paragraph" w:styleId="9">
    <w:name w:val="Body Text 3"/>
    <w:basedOn w:val="1"/>
    <w:qFormat/>
    <w:uiPriority w:val="0"/>
    <w:pPr>
      <w:spacing w:line="440" w:lineRule="exact"/>
    </w:pPr>
    <w:rPr>
      <w:color w:val="000000"/>
      <w:szCs w:val="18"/>
    </w:rPr>
  </w:style>
  <w:style w:type="paragraph" w:styleId="10">
    <w:name w:val="Body Text"/>
    <w:basedOn w:val="1"/>
    <w:next w:val="11"/>
    <w:qFormat/>
    <w:uiPriority w:val="0"/>
    <w:rPr>
      <w:rFonts w:ascii="Arial" w:hAnsi="Arial"/>
      <w:sz w:val="24"/>
    </w:rPr>
  </w:style>
  <w:style w:type="paragraph" w:styleId="11">
    <w:name w:val="Date"/>
    <w:basedOn w:val="1"/>
    <w:next w:val="1"/>
    <w:unhideWhenUsed/>
    <w:qFormat/>
    <w:uiPriority w:val="99"/>
    <w:pPr>
      <w:ind w:left="100" w:leftChars="2500"/>
    </w:pPr>
  </w:style>
  <w:style w:type="paragraph" w:styleId="12">
    <w:name w:val="Body Text Indent"/>
    <w:basedOn w:val="1"/>
    <w:next w:val="6"/>
    <w:qFormat/>
    <w:uiPriority w:val="0"/>
    <w:pPr>
      <w:ind w:firstLine="480"/>
    </w:pPr>
    <w:rPr>
      <w:rFonts w:ascii="宋体" w:hAnsi="宋体"/>
      <w:sz w:val="24"/>
    </w:rPr>
  </w:style>
  <w:style w:type="paragraph" w:styleId="13">
    <w:name w:val="toc 5"/>
    <w:basedOn w:val="1"/>
    <w:next w:val="1"/>
    <w:qFormat/>
    <w:uiPriority w:val="0"/>
    <w:pPr>
      <w:tabs>
        <w:tab w:val="right" w:leader="dot" w:pos="8296"/>
      </w:tabs>
      <w:ind w:left="1050" w:leftChars="500"/>
    </w:pPr>
    <w:rPr>
      <w:rFonts w:ascii="Calibri" w:hAnsi="Calibri"/>
      <w:szCs w:val="22"/>
    </w:rPr>
  </w:style>
  <w:style w:type="paragraph" w:styleId="14">
    <w:name w:val="toc 3"/>
    <w:basedOn w:val="1"/>
    <w:next w:val="1"/>
    <w:qFormat/>
    <w:uiPriority w:val="0"/>
    <w:pPr>
      <w:ind w:left="840" w:leftChars="400"/>
    </w:pPr>
    <w:rPr>
      <w:rFonts w:ascii="Calibri" w:hAnsi="Calibri"/>
      <w:szCs w:val="22"/>
    </w:rPr>
  </w:style>
  <w:style w:type="paragraph" w:styleId="15">
    <w:name w:val="Plain Text"/>
    <w:basedOn w:val="1"/>
    <w:qFormat/>
    <w:uiPriority w:val="0"/>
    <w:rPr>
      <w:rFonts w:ascii="宋体" w:hAnsi="Courier New"/>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link w:val="42"/>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link w:val="43"/>
    <w:qFormat/>
    <w:uiPriority w:val="39"/>
  </w:style>
  <w:style w:type="paragraph" w:styleId="19">
    <w:name w:val="toc 4"/>
    <w:basedOn w:val="1"/>
    <w:next w:val="1"/>
    <w:qFormat/>
    <w:uiPriority w:val="0"/>
    <w:pPr>
      <w:tabs>
        <w:tab w:val="left" w:pos="1890"/>
        <w:tab w:val="right" w:leader="dot" w:pos="8296"/>
      </w:tabs>
      <w:ind w:left="630" w:leftChars="300"/>
    </w:pPr>
    <w:rPr>
      <w:rFonts w:ascii="Calibri" w:hAnsi="Calibri"/>
      <w:szCs w:val="22"/>
    </w:rPr>
  </w:style>
  <w:style w:type="paragraph" w:styleId="20">
    <w:name w:val="toc 2"/>
    <w:basedOn w:val="1"/>
    <w:next w:val="1"/>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2">
    <w:name w:val="Body Text First Indent"/>
    <w:basedOn w:val="10"/>
    <w:qFormat/>
    <w:uiPriority w:val="0"/>
    <w:pPr>
      <w:spacing w:after="120"/>
      <w:ind w:firstLine="420" w:firstLineChars="100"/>
    </w:pPr>
    <w:rPr>
      <w:rFonts w:ascii="Times New Roman" w:hAnsi="Times New Roman" w:cs="Times New Roman"/>
      <w:sz w:val="21"/>
    </w:rPr>
  </w:style>
  <w:style w:type="paragraph" w:styleId="23">
    <w:name w:val="Body Text First Indent 2"/>
    <w:basedOn w:val="12"/>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7"/>
    <w:rPr>
      <w:color w:val="0000FF"/>
      <w:u w:val="single"/>
    </w:rPr>
  </w:style>
  <w:style w:type="character" w:styleId="30">
    <w:name w:val="HTML Sample"/>
    <w:basedOn w:val="26"/>
    <w:qFormat/>
    <w:uiPriority w:val="0"/>
    <w:rPr>
      <w:rFonts w:ascii="Courier New" w:hAnsi="Courier New"/>
    </w:rPr>
  </w:style>
  <w:style w:type="paragraph" w:customStyle="1" w:styleId="31">
    <w:name w:val="首行缩进"/>
    <w:basedOn w:val="1"/>
    <w:qFormat/>
    <w:uiPriority w:val="99"/>
    <w:pPr>
      <w:ind w:firstLine="480" w:firstLineChars="200"/>
    </w:pPr>
    <w:rPr>
      <w:lang w:val="zh-CN"/>
    </w:rPr>
  </w:style>
  <w:style w:type="paragraph" w:customStyle="1" w:styleId="32">
    <w:name w:val="样式 首行缩进:  2 字符"/>
    <w:basedOn w:val="1"/>
    <w:qFormat/>
    <w:uiPriority w:val="0"/>
    <w:rPr>
      <w:rFonts w:cs="宋体"/>
      <w:sz w:val="28"/>
      <w:szCs w:val="20"/>
    </w:rPr>
  </w:style>
  <w:style w:type="paragraph" w:customStyle="1" w:styleId="3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
    <w:name w:val="Blockquote_0"/>
    <w:basedOn w:val="36"/>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GZTB表格样式"/>
    <w:basedOn w:val="1"/>
    <w:qFormat/>
    <w:uiPriority w:val="0"/>
    <w:pPr>
      <w:spacing w:after="200" w:line="440" w:lineRule="exact"/>
    </w:pPr>
    <w:rPr>
      <w:rFonts w:ascii="新宋体" w:hAnsi="新宋体" w:eastAsia="新宋体"/>
      <w:szCs w:val="22"/>
    </w:rPr>
  </w:style>
  <w:style w:type="paragraph" w:customStyle="1" w:styleId="38">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39">
    <w:name w:val="WPS Plain"/>
    <w:qFormat/>
    <w:uiPriority w:val="0"/>
    <w:rPr>
      <w:rFonts w:ascii="Times New Roman" w:hAnsi="Times New Roman" w:eastAsia="宋体" w:cs="Times New Roman"/>
      <w:lang w:val="en-US" w:eastAsia="zh-CN" w:bidi="ar-SA"/>
    </w:rPr>
  </w:style>
  <w:style w:type="paragraph" w:customStyle="1" w:styleId="40">
    <w:name w:val="样式 标题 2 + Times New Roman 四号 非加粗 段前: 5 磅 段后: 0 磅 行距: 固定值 20..."/>
    <w:basedOn w:val="4"/>
    <w:qFormat/>
    <w:uiPriority w:val="0"/>
    <w:pPr>
      <w:keepNext/>
      <w:keepLines/>
      <w:widowControl w:val="0"/>
      <w:suppressLineNumbers w:val="0"/>
      <w:spacing w:before="100" w:beforeAutospacing="0" w:after="0" w:afterAutospacing="0" w:line="400" w:lineRule="exact"/>
      <w:ind w:left="0" w:right="0"/>
      <w:jc w:val="both"/>
      <w:outlineLvl w:val="1"/>
    </w:pPr>
    <w:rPr>
      <w:rFonts w:hint="default" w:ascii="Times New Roman" w:hAnsi="Times New Roman" w:eastAsia="黑体" w:cs="宋体"/>
      <w:kern w:val="2"/>
      <w:sz w:val="28"/>
      <w:szCs w:val="20"/>
      <w:lang w:val="en-US" w:eastAsia="zh-CN" w:bidi="ar-SA"/>
    </w:rPr>
  </w:style>
  <w:style w:type="paragraph" w:customStyle="1" w:styleId="41">
    <w:name w:val="样式 标题 3 + (中文) 黑体 小四 非加粗 段前: 7.8 磅 段后: 0 磅 行距: 固定值 20 磅"/>
    <w:basedOn w:val="5"/>
    <w:qFormat/>
    <w:uiPriority w:val="0"/>
    <w:pPr>
      <w:keepNext/>
      <w:keepLines/>
      <w:widowControl w:val="0"/>
      <w:suppressLineNumbers w:val="0"/>
      <w:spacing w:before="0" w:beforeAutospacing="0" w:after="0" w:afterAutospacing="0" w:line="400" w:lineRule="exact"/>
      <w:ind w:left="0" w:right="0"/>
      <w:jc w:val="both"/>
      <w:outlineLvl w:val="2"/>
    </w:pPr>
    <w:rPr>
      <w:rFonts w:hint="default" w:ascii="Times New Roman" w:hAnsi="Times New Roman" w:eastAsia="黑体" w:cs="宋体"/>
      <w:kern w:val="2"/>
      <w:sz w:val="24"/>
      <w:szCs w:val="20"/>
      <w:lang w:val="en-US" w:eastAsia="zh-CN" w:bidi="ar-SA"/>
    </w:rPr>
  </w:style>
  <w:style w:type="character" w:customStyle="1" w:styleId="42">
    <w:name w:val="页眉 Char"/>
    <w:link w:val="17"/>
    <w:qFormat/>
    <w:uiPriority w:val="0"/>
    <w:rPr>
      <w:sz w:val="18"/>
    </w:rPr>
  </w:style>
  <w:style w:type="character" w:customStyle="1" w:styleId="43">
    <w:name w:val="目录 1 Char"/>
    <w:link w:val="18"/>
    <w:qFormat/>
    <w:uiPriority w:val="39"/>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Normal_16"/>
    <w:qFormat/>
    <w:uiPriority w:val="0"/>
    <w:rPr>
      <w:rFonts w:ascii="宋体" w:hAnsi="宋体" w:eastAsia="宋体" w:cs="Times New Roman"/>
      <w:sz w:val="24"/>
      <w:szCs w:val="24"/>
      <w:lang w:bidi="ar-SA"/>
    </w:rPr>
  </w:style>
  <w:style w:type="paragraph" w:customStyle="1" w:styleId="46">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_Style 6"/>
    <w:basedOn w:val="3"/>
    <w:next w:val="1"/>
    <w:qFormat/>
    <w:uiPriority w:val="0"/>
    <w:pPr>
      <w:outlineLvl w:val="9"/>
    </w:pPr>
  </w:style>
  <w:style w:type="paragraph" w:customStyle="1" w:styleId="4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23984</Words>
  <Characters>25768</Characters>
  <Lines>0</Lines>
  <Paragraphs>0</Paragraphs>
  <TotalTime>0</TotalTime>
  <ScaleCrop>false</ScaleCrop>
  <LinksUpToDate>false</LinksUpToDate>
  <CharactersWithSpaces>31710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windoss</cp:lastModifiedBy>
  <cp:lastPrinted>2021-12-04T06:16:00Z</cp:lastPrinted>
  <dcterms:modified xsi:type="dcterms:W3CDTF">2021-12-05T08:08:56Z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592D8893AF054757BD81FE0292962BC1</vt:lpwstr>
  </property>
</Properties>
</file>