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宋体" w:hAnsi="宋体" w:eastAsia="宋体" w:cs="宋体"/>
          <w:bCs/>
          <w:sz w:val="32"/>
          <w:szCs w:val="32"/>
        </w:rPr>
      </w:pPr>
    </w:p>
    <w:p>
      <w:pPr>
        <w:spacing w:line="900" w:lineRule="exact"/>
        <w:rPr>
          <w:rFonts w:hint="eastAsia" w:ascii="宋体" w:hAnsi="宋体" w:eastAsia="宋体" w:cs="宋体"/>
        </w:rPr>
      </w:pPr>
    </w:p>
    <w:p>
      <w:pPr>
        <w:keepNext w:val="0"/>
        <w:keepLines w:val="0"/>
        <w:widowControl/>
        <w:suppressLineNumbers w:val="0"/>
        <w:jc w:val="center"/>
        <w:rPr>
          <w:rFonts w:hint="eastAsia" w:ascii="宋体" w:hAnsi="宋体" w:eastAsia="宋体" w:cs="宋体"/>
          <w:sz w:val="84"/>
          <w:szCs w:val="84"/>
        </w:rPr>
      </w:pPr>
      <w:r>
        <w:rPr>
          <w:rFonts w:hint="eastAsia" w:ascii="宋体" w:hAnsi="宋体" w:eastAsia="宋体" w:cs="宋体"/>
          <w:b/>
          <w:bCs/>
          <w:color w:val="000000"/>
          <w:kern w:val="0"/>
          <w:sz w:val="84"/>
          <w:szCs w:val="84"/>
          <w:lang w:val="en-US" w:eastAsia="zh-CN" w:bidi="ar"/>
        </w:rPr>
        <w:t>招</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件</w:t>
      </w:r>
    </w:p>
    <w:p>
      <w:pPr>
        <w:adjustRightInd w:val="0"/>
        <w:snapToGrid w:val="0"/>
        <w:spacing w:line="480" w:lineRule="auto"/>
        <w:ind w:firstLine="562" w:firstLineChars="200"/>
        <w:rPr>
          <w:rFonts w:hint="eastAsia" w:ascii="宋体" w:hAnsi="宋体" w:eastAsia="宋体" w:cs="宋体"/>
          <w:b/>
          <w:sz w:val="28"/>
          <w:szCs w:val="28"/>
        </w:rPr>
      </w:pPr>
    </w:p>
    <w:p>
      <w:pPr>
        <w:pStyle w:val="2"/>
        <w:rPr>
          <w:rFonts w:hint="eastAsia"/>
        </w:rPr>
      </w:pPr>
    </w:p>
    <w:p>
      <w:pPr>
        <w:adjustRightInd w:val="0"/>
        <w:snapToGrid w:val="0"/>
        <w:spacing w:line="360" w:lineRule="auto"/>
        <w:ind w:firstLine="1285" w:firstLineChars="400"/>
        <w:jc w:val="left"/>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：阿勒泰地区疾病预防控制中心能力提升</w:t>
      </w:r>
    </w:p>
    <w:p>
      <w:pPr>
        <w:adjustRightInd w:val="0"/>
        <w:snapToGrid w:val="0"/>
        <w:spacing w:line="360" w:lineRule="auto"/>
        <w:ind w:firstLine="2891" w:firstLineChars="900"/>
        <w:jc w:val="left"/>
        <w:rPr>
          <w:rFonts w:hint="default" w:ascii="宋体" w:hAnsi="宋体" w:eastAsia="宋体" w:cs="宋体"/>
          <w:b/>
          <w:sz w:val="32"/>
          <w:szCs w:val="32"/>
          <w:lang w:val="en-US" w:eastAsia="zh-CN"/>
        </w:rPr>
      </w:pPr>
      <w:r>
        <w:rPr>
          <w:rFonts w:hint="eastAsia" w:ascii="宋体" w:hAnsi="宋体" w:eastAsia="宋体" w:cs="宋体"/>
          <w:b/>
          <w:sz w:val="32"/>
          <w:szCs w:val="32"/>
          <w:lang w:eastAsia="zh-CN"/>
        </w:rPr>
        <w:t>建设</w:t>
      </w:r>
      <w:r>
        <w:rPr>
          <w:rFonts w:hint="eastAsia" w:ascii="宋体" w:hAnsi="宋体" w:cs="宋体"/>
          <w:b/>
          <w:sz w:val="32"/>
          <w:szCs w:val="32"/>
          <w:lang w:val="en-US" w:eastAsia="zh-CN"/>
        </w:rPr>
        <w:t>七标段采购项目</w:t>
      </w:r>
    </w:p>
    <w:p>
      <w:pPr>
        <w:adjustRightInd w:val="0"/>
        <w:snapToGrid w:val="0"/>
        <w:spacing w:line="360" w:lineRule="auto"/>
        <w:ind w:firstLine="1285" w:firstLineChars="400"/>
        <w:jc w:val="left"/>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项目</w:t>
      </w:r>
      <w:r>
        <w:rPr>
          <w:rFonts w:hint="eastAsia" w:ascii="宋体" w:hAnsi="宋体" w:eastAsia="宋体" w:cs="宋体"/>
          <w:b/>
          <w:sz w:val="32"/>
          <w:szCs w:val="32"/>
          <w:lang w:eastAsia="zh-CN"/>
        </w:rPr>
        <w:t>编号：</w:t>
      </w:r>
      <w:r>
        <w:rPr>
          <w:rFonts w:hint="eastAsia" w:ascii="宋体" w:hAnsi="宋体" w:cs="宋体"/>
          <w:b/>
          <w:sz w:val="32"/>
          <w:szCs w:val="32"/>
          <w:lang w:val="en-US" w:eastAsia="zh-CN"/>
        </w:rPr>
        <w:t>ZRYHXJ-JKZX-07</w:t>
      </w:r>
    </w:p>
    <w:p>
      <w:pPr>
        <w:keepNext w:val="0"/>
        <w:keepLines w:val="0"/>
        <w:pageBreakBefore w:val="0"/>
        <w:kinsoku/>
        <w:wordWrap/>
        <w:overflowPunct/>
        <w:topLinePunct w:val="0"/>
        <w:autoSpaceDE/>
        <w:autoSpaceDN/>
        <w:bidi w:val="0"/>
        <w:adjustRightInd w:val="0"/>
        <w:snapToGrid w:val="0"/>
        <w:spacing w:line="480" w:lineRule="auto"/>
        <w:ind w:left="2470" w:leftChars="0" w:hanging="2470" w:hangingChars="769"/>
        <w:textAlignment w:val="auto"/>
        <w:rPr>
          <w:rFonts w:hint="eastAsia" w:ascii="宋体" w:hAnsi="宋体" w:eastAsia="宋体" w:cs="宋体"/>
          <w:b/>
          <w:sz w:val="32"/>
          <w:szCs w:val="32"/>
          <w:lang w:val="en-US" w:eastAsia="zh-CN"/>
        </w:rPr>
      </w:pPr>
    </w:p>
    <w:p>
      <w:pPr>
        <w:spacing w:line="480" w:lineRule="auto"/>
        <w:ind w:firstLine="675" w:firstLineChars="224"/>
        <w:rPr>
          <w:rFonts w:hint="eastAsia" w:ascii="宋体" w:hAnsi="宋体" w:eastAsia="宋体" w:cs="宋体"/>
          <w:b/>
          <w:sz w:val="30"/>
          <w:szCs w:val="30"/>
        </w:rPr>
      </w:pPr>
    </w:p>
    <w:p>
      <w:pPr>
        <w:spacing w:line="480" w:lineRule="auto"/>
        <w:ind w:firstLine="720" w:firstLineChars="224"/>
        <w:rPr>
          <w:rFonts w:hint="eastAsia" w:ascii="宋体" w:hAnsi="宋体" w:eastAsia="宋体" w:cs="宋体"/>
          <w:b/>
          <w:sz w:val="32"/>
          <w:szCs w:val="32"/>
        </w:rPr>
      </w:pPr>
    </w:p>
    <w:p>
      <w:pPr>
        <w:pStyle w:val="28"/>
        <w:rPr>
          <w:rFonts w:hint="eastAsia" w:ascii="宋体" w:hAnsi="宋体" w:eastAsia="宋体" w:cs="宋体"/>
          <w:b/>
          <w:sz w:val="32"/>
          <w:szCs w:val="32"/>
        </w:rPr>
      </w:pPr>
    </w:p>
    <w:p>
      <w:pPr>
        <w:pStyle w:val="28"/>
        <w:rPr>
          <w:rFonts w:hint="eastAsia" w:ascii="宋体" w:hAnsi="宋体" w:eastAsia="宋体" w:cs="宋体"/>
          <w:b/>
          <w:sz w:val="32"/>
          <w:szCs w:val="32"/>
        </w:rPr>
      </w:pPr>
    </w:p>
    <w:p>
      <w:pPr>
        <w:adjustRightInd w:val="0"/>
        <w:snapToGrid w:val="0"/>
        <w:spacing w:line="720" w:lineRule="auto"/>
        <w:ind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cs="宋体"/>
          <w:b/>
          <w:sz w:val="32"/>
          <w:szCs w:val="32"/>
          <w:lang w:val="en-US" w:eastAsia="zh-CN"/>
        </w:rPr>
        <w:t xml:space="preserve"> </w:t>
      </w:r>
      <w:r>
        <w:rPr>
          <w:rFonts w:hint="eastAsia" w:ascii="宋体" w:hAnsi="宋体" w:eastAsia="宋体" w:cs="宋体"/>
          <w:b/>
          <w:sz w:val="32"/>
          <w:szCs w:val="32"/>
          <w:lang w:eastAsia="zh-CN"/>
        </w:rPr>
        <w:t>阿勒泰地区疾病预防控制中心</w:t>
      </w:r>
    </w:p>
    <w:p>
      <w:pPr>
        <w:adjustRightInd w:val="0"/>
        <w:snapToGrid w:val="0"/>
        <w:spacing w:line="720" w:lineRule="auto"/>
        <w:ind w:firstLine="964" w:firstLineChars="300"/>
        <w:rPr>
          <w:rFonts w:hint="eastAsia" w:ascii="宋体" w:hAnsi="宋体" w:eastAsia="宋体" w:cs="宋体"/>
          <w:sz w:val="32"/>
          <w:szCs w:val="32"/>
          <w:lang w:val="en-US" w:eastAsia="zh-CN"/>
        </w:rPr>
      </w:pPr>
      <w:r>
        <w:rPr>
          <w:rFonts w:hint="eastAsia" w:ascii="宋体" w:hAnsi="宋体" w:eastAsia="宋体" w:cs="宋体"/>
          <w:b/>
          <w:sz w:val="32"/>
          <w:szCs w:val="32"/>
        </w:rPr>
        <w:t>代理机构：</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eastAsia="宋体" w:cs="宋体"/>
          <w:b/>
          <w:sz w:val="32"/>
          <w:szCs w:val="32"/>
          <w:lang w:val="en-US" w:eastAsia="zh-CN"/>
        </w:rPr>
        <w:t>中瑞岳华（上海）项目管理有限公司</w:t>
      </w:r>
    </w:p>
    <w:p>
      <w:pPr>
        <w:adjustRightInd w:val="0"/>
        <w:snapToGrid w:val="0"/>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cs="宋体"/>
          <w:b/>
          <w:sz w:val="32"/>
          <w:szCs w:val="32"/>
          <w:lang w:val="en-US" w:eastAsia="zh-CN"/>
        </w:rPr>
        <w:t>12</w:t>
      </w:r>
      <w:r>
        <w:rPr>
          <w:rFonts w:hint="eastAsia" w:ascii="宋体" w:hAnsi="宋体" w:eastAsia="宋体" w:cs="宋体"/>
          <w:b/>
          <w:sz w:val="32"/>
          <w:szCs w:val="32"/>
        </w:rPr>
        <w:t>月</w:t>
      </w:r>
    </w:p>
    <w:p>
      <w:pPr>
        <w:adjustRightInd w:val="0"/>
        <w:snapToGrid w:val="0"/>
        <w:jc w:val="center"/>
        <w:rPr>
          <w:rFonts w:hint="eastAsia" w:ascii="宋体" w:hAnsi="宋体" w:eastAsia="宋体" w:cs="宋体"/>
          <w:b/>
          <w:sz w:val="32"/>
          <w:szCs w:val="32"/>
        </w:rPr>
        <w:sectPr>
          <w:footerReference r:id="rId5" w:type="first"/>
          <w:footerReference r:id="rId4" w:type="default"/>
          <w:pgSz w:w="11906" w:h="16838"/>
          <w:pgMar w:top="1440" w:right="1080" w:bottom="1440" w:left="1080" w:header="851" w:footer="992" w:gutter="0"/>
          <w:pgNumType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目</w:t>
      </w:r>
      <w:r>
        <w:rPr>
          <w:rFonts w:hint="eastAsia" w:ascii="宋体" w:hAnsi="宋体" w:cs="宋体"/>
          <w:sz w:val="32"/>
          <w:szCs w:val="32"/>
          <w:lang w:val="en-US" w:eastAsia="zh-CN"/>
        </w:rPr>
        <w:t xml:space="preserve"> </w:t>
      </w:r>
      <w:r>
        <w:rPr>
          <w:rFonts w:hint="eastAsia" w:ascii="宋体" w:hAnsi="宋体" w:eastAsia="宋体" w:cs="宋体"/>
          <w:sz w:val="32"/>
          <w:szCs w:val="32"/>
          <w:lang w:eastAsia="zh-CN"/>
        </w:rPr>
        <w:t>录</w:t>
      </w:r>
    </w:p>
    <w:p>
      <w:pPr>
        <w:pStyle w:val="15"/>
        <w:tabs>
          <w:tab w:val="right" w:leader="dot" w:pos="9746"/>
        </w:tabs>
        <w:rPr>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"1-2"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_Toc2621 </w:instrText>
      </w:r>
      <w:r>
        <w:rPr>
          <w:rFonts w:hint="eastAsia" w:ascii="宋体" w:hAnsi="宋体" w:eastAsia="宋体" w:cs="宋体"/>
          <w:bCs w:val="0"/>
          <w:sz w:val="24"/>
          <w:szCs w:val="24"/>
        </w:rPr>
        <w:fldChar w:fldCharType="separate"/>
      </w:r>
      <w:r>
        <w:rPr>
          <w:rFonts w:hint="eastAsia"/>
          <w:sz w:val="24"/>
          <w:szCs w:val="24"/>
          <w:lang w:eastAsia="zh-CN"/>
        </w:rPr>
        <w:t>第一章</w:t>
      </w:r>
      <w:r>
        <w:rPr>
          <w:rFonts w:hint="eastAsia"/>
          <w:sz w:val="24"/>
          <w:szCs w:val="24"/>
          <w:lang w:val="en-US" w:eastAsia="zh-CN"/>
        </w:rPr>
        <w:t xml:space="preserve"> 投标邀请</w:t>
      </w:r>
      <w:r>
        <w:rPr>
          <w:sz w:val="24"/>
          <w:szCs w:val="24"/>
        </w:rPr>
        <w:tab/>
      </w:r>
      <w:r>
        <w:rPr>
          <w:sz w:val="24"/>
          <w:szCs w:val="24"/>
        </w:rPr>
        <w:fldChar w:fldCharType="begin"/>
      </w:r>
      <w:r>
        <w:rPr>
          <w:sz w:val="24"/>
          <w:szCs w:val="24"/>
        </w:rPr>
        <w:instrText xml:space="preserve"> PAGEREF _Toc2621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val="0"/>
          <w:color w:val="auto"/>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_Toc8318 </w:instrText>
      </w:r>
      <w:r>
        <w:rPr>
          <w:rFonts w:hint="eastAsia" w:ascii="宋体" w:hAnsi="宋体" w:cs="宋体"/>
          <w:bCs/>
          <w:caps/>
          <w:sz w:val="24"/>
          <w:szCs w:val="24"/>
        </w:rPr>
        <w:fldChar w:fldCharType="separate"/>
      </w:r>
      <w:r>
        <w:rPr>
          <w:rFonts w:hint="eastAsia"/>
          <w:sz w:val="24"/>
          <w:szCs w:val="24"/>
          <w:lang w:val="en-US" w:eastAsia="zh-CN"/>
        </w:rPr>
        <w:t>第二章 供应商须知前附表</w:t>
      </w:r>
      <w:r>
        <w:rPr>
          <w:sz w:val="24"/>
          <w:szCs w:val="24"/>
        </w:rPr>
        <w:tab/>
      </w:r>
      <w:r>
        <w:rPr>
          <w:sz w:val="24"/>
          <w:szCs w:val="24"/>
        </w:rPr>
        <w:fldChar w:fldCharType="begin"/>
      </w:r>
      <w:r>
        <w:rPr>
          <w:sz w:val="24"/>
          <w:szCs w:val="24"/>
        </w:rPr>
        <w:instrText xml:space="preserve"> PAGEREF _Toc8318 \h </w:instrText>
      </w:r>
      <w:r>
        <w:rPr>
          <w:sz w:val="24"/>
          <w:szCs w:val="24"/>
        </w:rPr>
        <w:fldChar w:fldCharType="separate"/>
      </w:r>
      <w:r>
        <w:rPr>
          <w:sz w:val="24"/>
          <w:szCs w:val="24"/>
        </w:rPr>
        <w:t>5</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_Toc13051 </w:instrText>
      </w:r>
      <w:r>
        <w:rPr>
          <w:rFonts w:hint="eastAsia" w:ascii="宋体" w:hAnsi="宋体" w:cs="宋体"/>
          <w:bCs/>
          <w:caps/>
          <w:sz w:val="24"/>
          <w:szCs w:val="24"/>
        </w:rPr>
        <w:fldChar w:fldCharType="separate"/>
      </w:r>
      <w:r>
        <w:rPr>
          <w:rFonts w:hint="eastAsia"/>
          <w:sz w:val="24"/>
          <w:szCs w:val="24"/>
          <w:lang w:val="en-US" w:eastAsia="zh-CN"/>
        </w:rPr>
        <w:t>第三章 供应商须知</w:t>
      </w:r>
      <w:r>
        <w:rPr>
          <w:sz w:val="24"/>
          <w:szCs w:val="24"/>
        </w:rPr>
        <w:tab/>
      </w:r>
      <w:r>
        <w:rPr>
          <w:sz w:val="24"/>
          <w:szCs w:val="24"/>
        </w:rPr>
        <w:fldChar w:fldCharType="begin"/>
      </w:r>
      <w:r>
        <w:rPr>
          <w:sz w:val="24"/>
          <w:szCs w:val="24"/>
        </w:rPr>
        <w:instrText xml:space="preserve"> PAGEREF _Toc13051 \h </w:instrText>
      </w:r>
      <w:r>
        <w:rPr>
          <w:sz w:val="24"/>
          <w:szCs w:val="24"/>
        </w:rPr>
        <w:fldChar w:fldCharType="separate"/>
      </w:r>
      <w:r>
        <w:rPr>
          <w:sz w:val="24"/>
          <w:szCs w:val="24"/>
        </w:rPr>
        <w:t>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_Toc22967 </w:instrText>
      </w:r>
      <w:r>
        <w:rPr>
          <w:rFonts w:hint="eastAsia" w:ascii="宋体" w:hAnsi="宋体" w:cs="宋体"/>
          <w:bCs/>
          <w:caps/>
          <w:sz w:val="24"/>
          <w:szCs w:val="24"/>
        </w:rPr>
        <w:fldChar w:fldCharType="separate"/>
      </w:r>
      <w:r>
        <w:rPr>
          <w:rFonts w:hint="eastAsia"/>
          <w:sz w:val="24"/>
          <w:szCs w:val="24"/>
          <w:lang w:eastAsia="zh-CN"/>
        </w:rPr>
        <w:t>（一）</w:t>
      </w:r>
      <w:r>
        <w:rPr>
          <w:rFonts w:hint="eastAsia"/>
          <w:sz w:val="24"/>
          <w:szCs w:val="24"/>
        </w:rPr>
        <w:t>总则</w:t>
      </w:r>
      <w:r>
        <w:rPr>
          <w:sz w:val="24"/>
          <w:szCs w:val="24"/>
        </w:rPr>
        <w:tab/>
      </w:r>
      <w:r>
        <w:rPr>
          <w:sz w:val="24"/>
          <w:szCs w:val="24"/>
        </w:rPr>
        <w:fldChar w:fldCharType="begin"/>
      </w:r>
      <w:r>
        <w:rPr>
          <w:sz w:val="24"/>
          <w:szCs w:val="24"/>
        </w:rPr>
        <w:instrText xml:space="preserve"> PAGEREF _Toc22967 \h </w:instrText>
      </w:r>
      <w:r>
        <w:rPr>
          <w:sz w:val="24"/>
          <w:szCs w:val="24"/>
        </w:rPr>
        <w:fldChar w:fldCharType="separate"/>
      </w:r>
      <w:r>
        <w:rPr>
          <w:sz w:val="24"/>
          <w:szCs w:val="24"/>
        </w:rPr>
        <w:t>10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_Toc28953 </w:instrText>
      </w:r>
      <w:r>
        <w:rPr>
          <w:rFonts w:hint="eastAsia" w:ascii="宋体" w:hAnsi="宋体" w:cs="宋体"/>
          <w:bCs/>
          <w:caps/>
          <w:sz w:val="24"/>
          <w:szCs w:val="24"/>
        </w:rPr>
        <w:fldChar w:fldCharType="separate"/>
      </w:r>
      <w:r>
        <w:rPr>
          <w:rFonts w:hint="eastAsia"/>
          <w:sz w:val="24"/>
          <w:szCs w:val="24"/>
          <w:lang w:eastAsia="zh-CN"/>
        </w:rPr>
        <w:t>（二）</w:t>
      </w:r>
      <w:r>
        <w:rPr>
          <w:rFonts w:hint="eastAsia"/>
          <w:sz w:val="24"/>
          <w:szCs w:val="24"/>
        </w:rPr>
        <w:t>招标文件</w:t>
      </w:r>
      <w:r>
        <w:rPr>
          <w:sz w:val="24"/>
          <w:szCs w:val="24"/>
        </w:rPr>
        <w:tab/>
      </w:r>
      <w:r>
        <w:rPr>
          <w:sz w:val="24"/>
          <w:szCs w:val="24"/>
        </w:rPr>
        <w:fldChar w:fldCharType="begin"/>
      </w:r>
      <w:r>
        <w:rPr>
          <w:sz w:val="24"/>
          <w:szCs w:val="24"/>
        </w:rPr>
        <w:instrText xml:space="preserve"> PAGEREF _Toc28953 \h </w:instrText>
      </w:r>
      <w:r>
        <w:rPr>
          <w:sz w:val="24"/>
          <w:szCs w:val="24"/>
        </w:rPr>
        <w:fldChar w:fldCharType="separate"/>
      </w:r>
      <w:r>
        <w:rPr>
          <w:sz w:val="24"/>
          <w:szCs w:val="24"/>
        </w:rPr>
        <w:t>12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_Toc5639 </w:instrText>
      </w:r>
      <w:r>
        <w:rPr>
          <w:rFonts w:hint="eastAsia" w:ascii="宋体" w:hAnsi="宋体" w:cs="宋体"/>
          <w:bCs/>
          <w:caps/>
          <w:sz w:val="24"/>
          <w:szCs w:val="24"/>
        </w:rPr>
        <w:fldChar w:fldCharType="separate"/>
      </w:r>
      <w:r>
        <w:rPr>
          <w:rFonts w:hint="eastAsia"/>
          <w:sz w:val="24"/>
          <w:szCs w:val="24"/>
          <w:lang w:eastAsia="zh-CN"/>
        </w:rPr>
        <w:t>（三）</w:t>
      </w:r>
      <w:r>
        <w:rPr>
          <w:rFonts w:hint="eastAsia"/>
          <w:sz w:val="24"/>
          <w:szCs w:val="24"/>
        </w:rPr>
        <w:t>投标文件的编制</w:t>
      </w:r>
      <w:r>
        <w:rPr>
          <w:sz w:val="24"/>
          <w:szCs w:val="24"/>
        </w:rPr>
        <w:tab/>
      </w:r>
      <w:r>
        <w:rPr>
          <w:sz w:val="24"/>
          <w:szCs w:val="24"/>
        </w:rPr>
        <w:fldChar w:fldCharType="begin"/>
      </w:r>
      <w:r>
        <w:rPr>
          <w:sz w:val="24"/>
          <w:szCs w:val="24"/>
        </w:rPr>
        <w:instrText xml:space="preserve"> PAGEREF _Toc5639 \h </w:instrText>
      </w:r>
      <w:r>
        <w:rPr>
          <w:sz w:val="24"/>
          <w:szCs w:val="24"/>
        </w:rPr>
        <w:fldChar w:fldCharType="separate"/>
      </w:r>
      <w:r>
        <w:rPr>
          <w:sz w:val="24"/>
          <w:szCs w:val="24"/>
        </w:rPr>
        <w:t>13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_Toc11420 </w:instrText>
      </w:r>
      <w:r>
        <w:rPr>
          <w:rFonts w:hint="eastAsia" w:ascii="宋体" w:hAnsi="宋体" w:cs="宋体"/>
          <w:bCs/>
          <w:caps/>
          <w:sz w:val="24"/>
          <w:szCs w:val="24"/>
        </w:rPr>
        <w:fldChar w:fldCharType="separate"/>
      </w:r>
      <w:r>
        <w:rPr>
          <w:rFonts w:hint="eastAsia"/>
          <w:sz w:val="24"/>
          <w:szCs w:val="24"/>
          <w:lang w:eastAsia="zh-CN"/>
        </w:rPr>
        <w:t>（四）</w:t>
      </w:r>
      <w:r>
        <w:rPr>
          <w:rFonts w:hint="eastAsia"/>
          <w:sz w:val="24"/>
          <w:szCs w:val="24"/>
        </w:rPr>
        <w:t>投标文件的递交</w:t>
      </w:r>
      <w:r>
        <w:rPr>
          <w:sz w:val="24"/>
          <w:szCs w:val="24"/>
        </w:rPr>
        <w:tab/>
      </w:r>
      <w:r>
        <w:rPr>
          <w:sz w:val="24"/>
          <w:szCs w:val="24"/>
        </w:rPr>
        <w:fldChar w:fldCharType="begin"/>
      </w:r>
      <w:r>
        <w:rPr>
          <w:sz w:val="24"/>
          <w:szCs w:val="24"/>
        </w:rPr>
        <w:instrText xml:space="preserve"> PAGEREF _Toc11420 \h </w:instrText>
      </w:r>
      <w:r>
        <w:rPr>
          <w:sz w:val="24"/>
          <w:szCs w:val="24"/>
        </w:rPr>
        <w:fldChar w:fldCharType="separate"/>
      </w:r>
      <w:r>
        <w:rPr>
          <w:sz w:val="24"/>
          <w:szCs w:val="24"/>
        </w:rPr>
        <w:t>15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_Toc15422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开标及评标</w:t>
      </w:r>
      <w:r>
        <w:rPr>
          <w:sz w:val="24"/>
          <w:szCs w:val="24"/>
        </w:rPr>
        <w:tab/>
      </w:r>
      <w:r>
        <w:rPr>
          <w:sz w:val="24"/>
          <w:szCs w:val="24"/>
        </w:rPr>
        <w:fldChar w:fldCharType="begin"/>
      </w:r>
      <w:r>
        <w:rPr>
          <w:sz w:val="24"/>
          <w:szCs w:val="24"/>
        </w:rPr>
        <w:instrText xml:space="preserve"> PAGEREF _Toc15422 \h </w:instrText>
      </w:r>
      <w:r>
        <w:rPr>
          <w:sz w:val="24"/>
          <w:szCs w:val="24"/>
        </w:rPr>
        <w:fldChar w:fldCharType="separate"/>
      </w:r>
      <w:r>
        <w:rPr>
          <w:sz w:val="24"/>
          <w:szCs w:val="24"/>
        </w:rPr>
        <w:t>16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_Toc12467 </w:instrText>
      </w:r>
      <w:r>
        <w:rPr>
          <w:rFonts w:hint="eastAsia" w:ascii="宋体" w:hAnsi="宋体" w:cs="宋体"/>
          <w:bCs/>
          <w:caps/>
          <w:sz w:val="24"/>
          <w:szCs w:val="24"/>
        </w:rPr>
        <w:fldChar w:fldCharType="separate"/>
      </w:r>
      <w:r>
        <w:rPr>
          <w:rFonts w:hint="eastAsia"/>
          <w:sz w:val="24"/>
          <w:szCs w:val="24"/>
          <w:lang w:eastAsia="zh-CN"/>
        </w:rPr>
        <w:t>（六）</w:t>
      </w:r>
      <w:r>
        <w:rPr>
          <w:rFonts w:hint="eastAsia"/>
          <w:sz w:val="24"/>
          <w:szCs w:val="24"/>
        </w:rPr>
        <w:t>确定中标</w:t>
      </w:r>
      <w:r>
        <w:rPr>
          <w:sz w:val="24"/>
          <w:szCs w:val="24"/>
        </w:rPr>
        <w:tab/>
      </w:r>
      <w:r>
        <w:rPr>
          <w:sz w:val="24"/>
          <w:szCs w:val="24"/>
        </w:rPr>
        <w:fldChar w:fldCharType="begin"/>
      </w:r>
      <w:r>
        <w:rPr>
          <w:sz w:val="24"/>
          <w:szCs w:val="24"/>
        </w:rPr>
        <w:instrText xml:space="preserve"> PAGEREF _Toc12467 \h </w:instrText>
      </w:r>
      <w:r>
        <w:rPr>
          <w:sz w:val="24"/>
          <w:szCs w:val="24"/>
        </w:rPr>
        <w:fldChar w:fldCharType="separate"/>
      </w:r>
      <w:r>
        <w:rPr>
          <w:sz w:val="24"/>
          <w:szCs w:val="24"/>
        </w:rPr>
        <w:t>20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_Toc18871 </w:instrText>
      </w:r>
      <w:r>
        <w:rPr>
          <w:rFonts w:hint="eastAsia" w:ascii="宋体" w:hAnsi="宋体" w:cs="宋体"/>
          <w:bCs/>
          <w:caps/>
          <w:sz w:val="24"/>
          <w:szCs w:val="24"/>
        </w:rPr>
        <w:fldChar w:fldCharType="separate"/>
      </w:r>
      <w:r>
        <w:rPr>
          <w:rFonts w:hint="eastAsia"/>
          <w:sz w:val="24"/>
          <w:szCs w:val="24"/>
          <w:lang w:eastAsia="zh-CN"/>
        </w:rPr>
        <w:t>（七）合同及履约验收</w:t>
      </w:r>
      <w:r>
        <w:rPr>
          <w:sz w:val="24"/>
          <w:szCs w:val="24"/>
        </w:rPr>
        <w:tab/>
      </w:r>
      <w:r>
        <w:rPr>
          <w:sz w:val="24"/>
          <w:szCs w:val="24"/>
        </w:rPr>
        <w:fldChar w:fldCharType="begin"/>
      </w:r>
      <w:r>
        <w:rPr>
          <w:sz w:val="24"/>
          <w:szCs w:val="24"/>
        </w:rPr>
        <w:instrText xml:space="preserve"> PAGEREF _Toc18871 \h </w:instrText>
      </w:r>
      <w:r>
        <w:rPr>
          <w:sz w:val="24"/>
          <w:szCs w:val="24"/>
        </w:rPr>
        <w:fldChar w:fldCharType="separate"/>
      </w:r>
      <w:r>
        <w:rPr>
          <w:sz w:val="24"/>
          <w:szCs w:val="24"/>
        </w:rPr>
        <w:t>21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_Toc26859 </w:instrText>
      </w:r>
      <w:r>
        <w:rPr>
          <w:rFonts w:hint="eastAsia" w:ascii="宋体" w:hAnsi="宋体" w:cs="宋体"/>
          <w:bCs/>
          <w:caps/>
          <w:sz w:val="24"/>
          <w:szCs w:val="24"/>
        </w:rPr>
        <w:fldChar w:fldCharType="separate"/>
      </w:r>
      <w:r>
        <w:rPr>
          <w:rFonts w:hint="eastAsia"/>
          <w:sz w:val="24"/>
          <w:szCs w:val="24"/>
          <w:lang w:eastAsia="zh-CN"/>
        </w:rPr>
        <w:t>（八）质疑和投诉</w:t>
      </w:r>
      <w:r>
        <w:rPr>
          <w:sz w:val="24"/>
          <w:szCs w:val="24"/>
        </w:rPr>
        <w:tab/>
      </w:r>
      <w:r>
        <w:rPr>
          <w:sz w:val="24"/>
          <w:szCs w:val="24"/>
        </w:rPr>
        <w:fldChar w:fldCharType="begin"/>
      </w:r>
      <w:r>
        <w:rPr>
          <w:sz w:val="24"/>
          <w:szCs w:val="24"/>
        </w:rPr>
        <w:instrText xml:space="preserve"> PAGEREF _Toc26859 \h </w:instrText>
      </w:r>
      <w:r>
        <w:rPr>
          <w:sz w:val="24"/>
          <w:szCs w:val="24"/>
        </w:rPr>
        <w:fldChar w:fldCharType="separate"/>
      </w:r>
      <w:r>
        <w:rPr>
          <w:sz w:val="24"/>
          <w:szCs w:val="24"/>
        </w:rPr>
        <w:t>22</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_Toc10760 </w:instrText>
      </w:r>
      <w:r>
        <w:rPr>
          <w:rFonts w:hint="eastAsia" w:ascii="宋体" w:hAnsi="宋体" w:cs="宋体"/>
          <w:bCs/>
          <w:caps/>
          <w:sz w:val="24"/>
          <w:szCs w:val="24"/>
        </w:rPr>
        <w:fldChar w:fldCharType="separate"/>
      </w:r>
      <w:r>
        <w:rPr>
          <w:rFonts w:hint="eastAsia"/>
          <w:sz w:val="24"/>
          <w:szCs w:val="24"/>
          <w:lang w:val="en-US" w:eastAsia="zh-CN"/>
        </w:rPr>
        <w:t>第四章 项目说明和采购需求</w:t>
      </w:r>
      <w:r>
        <w:rPr>
          <w:sz w:val="24"/>
          <w:szCs w:val="24"/>
        </w:rPr>
        <w:tab/>
      </w:r>
      <w:r>
        <w:rPr>
          <w:sz w:val="24"/>
          <w:szCs w:val="24"/>
        </w:rPr>
        <w:fldChar w:fldCharType="begin"/>
      </w:r>
      <w:r>
        <w:rPr>
          <w:sz w:val="24"/>
          <w:szCs w:val="24"/>
        </w:rPr>
        <w:instrText xml:space="preserve"> PAGEREF _Toc10760 \h </w:instrText>
      </w:r>
      <w:r>
        <w:rPr>
          <w:sz w:val="24"/>
          <w:szCs w:val="24"/>
        </w:rPr>
        <w:fldChar w:fldCharType="separate"/>
      </w:r>
      <w:r>
        <w:rPr>
          <w:sz w:val="24"/>
          <w:szCs w:val="24"/>
        </w:rPr>
        <w:t>24</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_Toc1037 </w:instrText>
      </w:r>
      <w:r>
        <w:rPr>
          <w:rFonts w:hint="eastAsia" w:ascii="宋体" w:hAnsi="宋体" w:cs="宋体"/>
          <w:bCs/>
          <w:caps/>
          <w:sz w:val="24"/>
          <w:szCs w:val="24"/>
        </w:rPr>
        <w:fldChar w:fldCharType="separate"/>
      </w:r>
      <w:r>
        <w:rPr>
          <w:rFonts w:hint="eastAsia"/>
          <w:sz w:val="24"/>
          <w:szCs w:val="24"/>
          <w:lang w:val="en-US" w:eastAsia="zh-CN"/>
        </w:rPr>
        <w:t>第五章 评标方法和标准</w:t>
      </w:r>
      <w:r>
        <w:rPr>
          <w:sz w:val="24"/>
          <w:szCs w:val="24"/>
        </w:rPr>
        <w:tab/>
      </w:r>
      <w:r>
        <w:rPr>
          <w:sz w:val="24"/>
          <w:szCs w:val="24"/>
        </w:rPr>
        <w:fldChar w:fldCharType="begin"/>
      </w:r>
      <w:r>
        <w:rPr>
          <w:sz w:val="24"/>
          <w:szCs w:val="24"/>
        </w:rPr>
        <w:instrText xml:space="preserve"> PAGEREF _Toc1037 \h </w:instrText>
      </w:r>
      <w:r>
        <w:rPr>
          <w:sz w:val="24"/>
          <w:szCs w:val="24"/>
        </w:rPr>
        <w:fldChar w:fldCharType="separate"/>
      </w:r>
      <w:r>
        <w:rPr>
          <w:sz w:val="24"/>
          <w:szCs w:val="24"/>
        </w:rPr>
        <w:t>36</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_Toc22606 </w:instrText>
      </w:r>
      <w:r>
        <w:rPr>
          <w:rFonts w:hint="eastAsia" w:ascii="宋体" w:hAnsi="宋体" w:cs="宋体"/>
          <w:bCs/>
          <w:caps/>
          <w:sz w:val="24"/>
          <w:szCs w:val="24"/>
        </w:rPr>
        <w:fldChar w:fldCharType="separate"/>
      </w:r>
      <w:r>
        <w:rPr>
          <w:rFonts w:hint="eastAsia"/>
          <w:sz w:val="24"/>
          <w:szCs w:val="24"/>
          <w:lang w:val="en-US" w:eastAsia="zh-CN"/>
        </w:rPr>
        <w:t>第六章 政府采购合同范本（仅供参考）</w:t>
      </w:r>
      <w:r>
        <w:rPr>
          <w:sz w:val="24"/>
          <w:szCs w:val="24"/>
        </w:rPr>
        <w:tab/>
      </w:r>
      <w:r>
        <w:rPr>
          <w:sz w:val="24"/>
          <w:szCs w:val="24"/>
        </w:rPr>
        <w:fldChar w:fldCharType="begin"/>
      </w:r>
      <w:r>
        <w:rPr>
          <w:sz w:val="24"/>
          <w:szCs w:val="24"/>
        </w:rPr>
        <w:instrText xml:space="preserve"> PAGEREF _Toc22606 \h </w:instrText>
      </w:r>
      <w:r>
        <w:rPr>
          <w:sz w:val="24"/>
          <w:szCs w:val="24"/>
        </w:rPr>
        <w:fldChar w:fldCharType="separate"/>
      </w:r>
      <w:r>
        <w:rPr>
          <w:sz w:val="24"/>
          <w:szCs w:val="24"/>
        </w:rPr>
        <w:t>39</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_Toc28494 </w:instrText>
      </w:r>
      <w:r>
        <w:rPr>
          <w:rFonts w:hint="eastAsia" w:ascii="宋体" w:hAnsi="宋体" w:cs="宋体"/>
          <w:bCs/>
          <w:caps/>
          <w:sz w:val="24"/>
          <w:szCs w:val="24"/>
        </w:rPr>
        <w:fldChar w:fldCharType="separate"/>
      </w:r>
      <w:r>
        <w:rPr>
          <w:rFonts w:hint="eastAsia"/>
          <w:sz w:val="24"/>
          <w:szCs w:val="24"/>
          <w:lang w:val="en-US" w:eastAsia="zh-CN"/>
        </w:rPr>
        <w:t>第七章 投标文件格式</w:t>
      </w:r>
      <w:r>
        <w:rPr>
          <w:sz w:val="24"/>
          <w:szCs w:val="24"/>
        </w:rPr>
        <w:tab/>
      </w:r>
      <w:r>
        <w:rPr>
          <w:sz w:val="24"/>
          <w:szCs w:val="24"/>
        </w:rPr>
        <w:fldChar w:fldCharType="begin"/>
      </w:r>
      <w:r>
        <w:rPr>
          <w:sz w:val="24"/>
          <w:szCs w:val="24"/>
        </w:rPr>
        <w:instrText xml:space="preserve"> PAGEREF _Toc28494 \h </w:instrText>
      </w:r>
      <w:r>
        <w:rPr>
          <w:sz w:val="24"/>
          <w:szCs w:val="24"/>
        </w:rPr>
        <w:fldChar w:fldCharType="separate"/>
      </w:r>
      <w:r>
        <w:rPr>
          <w:sz w:val="24"/>
          <w:szCs w:val="24"/>
        </w:rPr>
        <w:t>46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_Toc32502 </w:instrText>
      </w:r>
      <w:r>
        <w:rPr>
          <w:rFonts w:hint="eastAsia" w:ascii="宋体" w:hAnsi="宋体" w:cs="宋体"/>
          <w:bCs/>
          <w:caps/>
          <w:sz w:val="24"/>
          <w:szCs w:val="24"/>
        </w:rPr>
        <w:fldChar w:fldCharType="separate"/>
      </w:r>
      <w:r>
        <w:rPr>
          <w:rFonts w:hint="eastAsia"/>
          <w:sz w:val="24"/>
          <w:szCs w:val="24"/>
          <w:lang w:val="en-US" w:eastAsia="zh-CN"/>
        </w:rPr>
        <w:t>一、投标函</w:t>
      </w:r>
      <w:r>
        <w:rPr>
          <w:sz w:val="24"/>
          <w:szCs w:val="24"/>
        </w:rPr>
        <w:tab/>
      </w:r>
      <w:r>
        <w:rPr>
          <w:sz w:val="24"/>
          <w:szCs w:val="24"/>
        </w:rPr>
        <w:fldChar w:fldCharType="begin"/>
      </w:r>
      <w:r>
        <w:rPr>
          <w:sz w:val="24"/>
          <w:szCs w:val="24"/>
        </w:rPr>
        <w:instrText xml:space="preserve"> PAGEREF _Toc32502 \h </w:instrText>
      </w:r>
      <w:r>
        <w:rPr>
          <w:sz w:val="24"/>
          <w:szCs w:val="24"/>
        </w:rPr>
        <w:fldChar w:fldCharType="separate"/>
      </w:r>
      <w:r>
        <w:rPr>
          <w:sz w:val="24"/>
          <w:szCs w:val="24"/>
        </w:rPr>
        <w:t>48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_Toc4387 </w:instrText>
      </w:r>
      <w:r>
        <w:rPr>
          <w:rFonts w:hint="eastAsia" w:ascii="宋体" w:hAnsi="宋体" w:cs="宋体"/>
          <w:bCs/>
          <w:caps/>
          <w:sz w:val="24"/>
          <w:szCs w:val="24"/>
        </w:rPr>
        <w:fldChar w:fldCharType="separate"/>
      </w:r>
      <w:r>
        <w:rPr>
          <w:rFonts w:hint="eastAsia"/>
          <w:sz w:val="24"/>
          <w:szCs w:val="24"/>
          <w:lang w:val="en-US" w:eastAsia="zh-CN"/>
        </w:rPr>
        <w:t xml:space="preserve">二、开标一览表   </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_Toc4387 \h </w:instrText>
      </w:r>
      <w:r>
        <w:rPr>
          <w:sz w:val="24"/>
          <w:szCs w:val="24"/>
        </w:rPr>
        <w:fldChar w:fldCharType="separate"/>
      </w:r>
      <w:r>
        <w:rPr>
          <w:sz w:val="24"/>
          <w:szCs w:val="24"/>
        </w:rPr>
        <w:t>49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_Toc3057 </w:instrText>
      </w:r>
      <w:r>
        <w:rPr>
          <w:rFonts w:hint="eastAsia" w:ascii="宋体" w:hAnsi="宋体" w:cs="宋体"/>
          <w:bCs/>
          <w:caps/>
          <w:sz w:val="24"/>
          <w:szCs w:val="24"/>
        </w:rPr>
        <w:fldChar w:fldCharType="separate"/>
      </w:r>
      <w:r>
        <w:rPr>
          <w:rFonts w:hint="eastAsia"/>
          <w:sz w:val="24"/>
          <w:szCs w:val="24"/>
          <w:lang w:val="en-US" w:eastAsia="zh-CN"/>
        </w:rPr>
        <w:t>三、投标价格明细表（可根据实际情况修改）</w:t>
      </w:r>
      <w:r>
        <w:rPr>
          <w:sz w:val="24"/>
          <w:szCs w:val="24"/>
        </w:rPr>
        <w:tab/>
      </w:r>
      <w:r>
        <w:rPr>
          <w:sz w:val="24"/>
          <w:szCs w:val="24"/>
        </w:rPr>
        <w:fldChar w:fldCharType="begin"/>
      </w:r>
      <w:r>
        <w:rPr>
          <w:sz w:val="24"/>
          <w:szCs w:val="24"/>
        </w:rPr>
        <w:instrText xml:space="preserve"> PAGEREF _Toc3057 \h </w:instrText>
      </w:r>
      <w:r>
        <w:rPr>
          <w:sz w:val="24"/>
          <w:szCs w:val="24"/>
        </w:rPr>
        <w:fldChar w:fldCharType="separate"/>
      </w:r>
      <w:r>
        <w:rPr>
          <w:sz w:val="24"/>
          <w:szCs w:val="24"/>
        </w:rPr>
        <w:t>50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_Toc4068 </w:instrText>
      </w:r>
      <w:r>
        <w:rPr>
          <w:rFonts w:hint="eastAsia" w:ascii="宋体" w:hAnsi="宋体" w:cs="宋体"/>
          <w:bCs/>
          <w:caps/>
          <w:sz w:val="24"/>
          <w:szCs w:val="24"/>
        </w:rPr>
        <w:fldChar w:fldCharType="separate"/>
      </w: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采购需求响应表（可根据实际情况修改）</w:t>
      </w:r>
      <w:r>
        <w:rPr>
          <w:sz w:val="24"/>
          <w:szCs w:val="24"/>
        </w:rPr>
        <w:tab/>
      </w:r>
      <w:r>
        <w:rPr>
          <w:sz w:val="24"/>
          <w:szCs w:val="24"/>
        </w:rPr>
        <w:fldChar w:fldCharType="begin"/>
      </w:r>
      <w:r>
        <w:rPr>
          <w:sz w:val="24"/>
          <w:szCs w:val="24"/>
        </w:rPr>
        <w:instrText xml:space="preserve"> PAGEREF _Toc4068 \h </w:instrText>
      </w:r>
      <w:r>
        <w:rPr>
          <w:sz w:val="24"/>
          <w:szCs w:val="24"/>
        </w:rPr>
        <w:fldChar w:fldCharType="separate"/>
      </w:r>
      <w:r>
        <w:rPr>
          <w:sz w:val="24"/>
          <w:szCs w:val="24"/>
        </w:rPr>
        <w:t>51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_Toc17954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采购需求及相关要求响应详情</w:t>
      </w:r>
      <w:r>
        <w:rPr>
          <w:sz w:val="24"/>
          <w:szCs w:val="24"/>
        </w:rPr>
        <w:tab/>
      </w:r>
      <w:r>
        <w:rPr>
          <w:sz w:val="24"/>
          <w:szCs w:val="24"/>
        </w:rPr>
        <w:fldChar w:fldCharType="begin"/>
      </w:r>
      <w:r>
        <w:rPr>
          <w:sz w:val="24"/>
          <w:szCs w:val="24"/>
        </w:rPr>
        <w:instrText xml:space="preserve"> PAGEREF _Toc17954 \h </w:instrText>
      </w:r>
      <w:r>
        <w:rPr>
          <w:sz w:val="24"/>
          <w:szCs w:val="24"/>
        </w:rPr>
        <w:fldChar w:fldCharType="separate"/>
      </w:r>
      <w:r>
        <w:rPr>
          <w:sz w:val="24"/>
          <w:szCs w:val="24"/>
        </w:rPr>
        <w:t>52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_Toc16277 </w:instrText>
      </w:r>
      <w:r>
        <w:rPr>
          <w:rFonts w:hint="eastAsia" w:ascii="宋体" w:hAnsi="宋体" w:cs="宋体"/>
          <w:bCs/>
          <w:caps/>
          <w:sz w:val="24"/>
          <w:szCs w:val="24"/>
        </w:rPr>
        <w:fldChar w:fldCharType="separate"/>
      </w:r>
      <w:r>
        <w:rPr>
          <w:rFonts w:hint="eastAsia"/>
          <w:sz w:val="24"/>
          <w:szCs w:val="24"/>
          <w:lang w:eastAsia="zh-CN"/>
        </w:rPr>
        <w:t>六、资格证明文件</w:t>
      </w:r>
      <w:r>
        <w:rPr>
          <w:sz w:val="24"/>
          <w:szCs w:val="24"/>
        </w:rPr>
        <w:tab/>
      </w:r>
      <w:r>
        <w:rPr>
          <w:sz w:val="24"/>
          <w:szCs w:val="24"/>
        </w:rPr>
        <w:fldChar w:fldCharType="begin"/>
      </w:r>
      <w:r>
        <w:rPr>
          <w:sz w:val="24"/>
          <w:szCs w:val="24"/>
        </w:rPr>
        <w:instrText xml:space="preserve"> PAGEREF _Toc16277 \h </w:instrText>
      </w:r>
      <w:r>
        <w:rPr>
          <w:sz w:val="24"/>
          <w:szCs w:val="24"/>
        </w:rPr>
        <w:fldChar w:fldCharType="separate"/>
      </w:r>
      <w:r>
        <w:rPr>
          <w:sz w:val="24"/>
          <w:szCs w:val="24"/>
        </w:rPr>
        <w:t>53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_Toc5985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法人或者非法人组织的营业执照等证明文件或自然人的身份证明</w:t>
      </w:r>
      <w:r>
        <w:rPr>
          <w:sz w:val="24"/>
          <w:szCs w:val="24"/>
        </w:rPr>
        <w:tab/>
      </w:r>
      <w:r>
        <w:rPr>
          <w:sz w:val="24"/>
          <w:szCs w:val="24"/>
        </w:rPr>
        <w:fldChar w:fldCharType="begin"/>
      </w:r>
      <w:r>
        <w:rPr>
          <w:sz w:val="24"/>
          <w:szCs w:val="24"/>
        </w:rPr>
        <w:instrText xml:space="preserve"> PAGEREF _Toc5985 \h </w:instrText>
      </w:r>
      <w:r>
        <w:rPr>
          <w:sz w:val="24"/>
          <w:szCs w:val="24"/>
        </w:rPr>
        <w:fldChar w:fldCharType="separate"/>
      </w:r>
      <w:r>
        <w:rPr>
          <w:sz w:val="24"/>
          <w:szCs w:val="24"/>
        </w:rPr>
        <w:t>53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_Toc14719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r>
        <w:rPr>
          <w:sz w:val="24"/>
          <w:szCs w:val="24"/>
        </w:rPr>
        <w:tab/>
      </w:r>
      <w:r>
        <w:rPr>
          <w:sz w:val="24"/>
          <w:szCs w:val="24"/>
        </w:rPr>
        <w:fldChar w:fldCharType="begin"/>
      </w:r>
      <w:r>
        <w:rPr>
          <w:sz w:val="24"/>
          <w:szCs w:val="24"/>
        </w:rPr>
        <w:instrText xml:space="preserve"> PAGEREF _Toc14719 \h </w:instrText>
      </w:r>
      <w:r>
        <w:rPr>
          <w:sz w:val="24"/>
          <w:szCs w:val="24"/>
        </w:rPr>
        <w:fldChar w:fldCharType="separate"/>
      </w:r>
      <w:r>
        <w:rPr>
          <w:sz w:val="24"/>
          <w:szCs w:val="24"/>
        </w:rPr>
        <w:t>54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_Toc13520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r>
        <w:rPr>
          <w:sz w:val="24"/>
          <w:szCs w:val="24"/>
        </w:rPr>
        <w:tab/>
      </w:r>
      <w:r>
        <w:rPr>
          <w:sz w:val="24"/>
          <w:szCs w:val="24"/>
        </w:rPr>
        <w:fldChar w:fldCharType="begin"/>
      </w:r>
      <w:r>
        <w:rPr>
          <w:sz w:val="24"/>
          <w:szCs w:val="24"/>
        </w:rPr>
        <w:instrText xml:space="preserve"> PAGEREF _Toc13520 \h </w:instrText>
      </w:r>
      <w:r>
        <w:rPr>
          <w:sz w:val="24"/>
          <w:szCs w:val="24"/>
        </w:rPr>
        <w:fldChar w:fldCharType="separate"/>
      </w:r>
      <w:r>
        <w:rPr>
          <w:sz w:val="24"/>
          <w:szCs w:val="24"/>
        </w:rPr>
        <w:t>55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_Toc17229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r>
        <w:rPr>
          <w:sz w:val="24"/>
          <w:szCs w:val="24"/>
        </w:rPr>
        <w:tab/>
      </w:r>
      <w:r>
        <w:rPr>
          <w:sz w:val="24"/>
          <w:szCs w:val="24"/>
        </w:rPr>
        <w:fldChar w:fldCharType="begin"/>
      </w:r>
      <w:r>
        <w:rPr>
          <w:sz w:val="24"/>
          <w:szCs w:val="24"/>
        </w:rPr>
        <w:instrText xml:space="preserve"> PAGEREF _Toc17229 \h </w:instrText>
      </w:r>
      <w:r>
        <w:rPr>
          <w:sz w:val="24"/>
          <w:szCs w:val="24"/>
        </w:rPr>
        <w:fldChar w:fldCharType="separate"/>
      </w:r>
      <w:r>
        <w:rPr>
          <w:sz w:val="24"/>
          <w:szCs w:val="24"/>
        </w:rPr>
        <w:t>56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_Toc26166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参加政府采购活动前3年内在经营活动中没有重大违法记录的承诺书</w:t>
      </w:r>
      <w:r>
        <w:rPr>
          <w:sz w:val="24"/>
          <w:szCs w:val="24"/>
        </w:rPr>
        <w:tab/>
      </w:r>
      <w:r>
        <w:rPr>
          <w:sz w:val="24"/>
          <w:szCs w:val="24"/>
        </w:rPr>
        <w:fldChar w:fldCharType="begin"/>
      </w:r>
      <w:r>
        <w:rPr>
          <w:sz w:val="24"/>
          <w:szCs w:val="24"/>
        </w:rPr>
        <w:instrText xml:space="preserve"> PAGEREF _Toc26166 \h </w:instrText>
      </w:r>
      <w:r>
        <w:rPr>
          <w:sz w:val="24"/>
          <w:szCs w:val="24"/>
        </w:rPr>
        <w:fldChar w:fldCharType="separate"/>
      </w:r>
      <w:r>
        <w:rPr>
          <w:sz w:val="24"/>
          <w:szCs w:val="24"/>
        </w:rPr>
        <w:t>57</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_Toc25420 </w:instrText>
      </w:r>
      <w:r>
        <w:rPr>
          <w:rFonts w:hint="eastAsia" w:ascii="宋体" w:hAnsi="宋体" w:cs="宋体"/>
          <w:bCs/>
          <w:caps/>
          <w:sz w:val="24"/>
          <w:szCs w:val="24"/>
        </w:rPr>
        <w:fldChar w:fldCharType="separate"/>
      </w:r>
      <w:r>
        <w:rPr>
          <w:rFonts w:hint="eastAsia" w:ascii="宋体" w:hAnsi="宋体" w:eastAsia="宋体" w:cs="宋体"/>
          <w:sz w:val="24"/>
          <w:szCs w:val="24"/>
          <w:lang w:val="en-US" w:eastAsia="zh-CN"/>
        </w:rPr>
        <w:t>（六）落实政府采购政策要求的资格证明文件</w:t>
      </w:r>
      <w:r>
        <w:rPr>
          <w:sz w:val="24"/>
          <w:szCs w:val="24"/>
        </w:rPr>
        <w:tab/>
      </w:r>
      <w:r>
        <w:rPr>
          <w:sz w:val="24"/>
          <w:szCs w:val="24"/>
        </w:rPr>
        <w:fldChar w:fldCharType="begin"/>
      </w:r>
      <w:r>
        <w:rPr>
          <w:sz w:val="24"/>
          <w:szCs w:val="24"/>
        </w:rPr>
        <w:instrText xml:space="preserve"> PAGEREF _Toc25420 \h </w:instrText>
      </w:r>
      <w:r>
        <w:rPr>
          <w:sz w:val="24"/>
          <w:szCs w:val="24"/>
        </w:rPr>
        <w:fldChar w:fldCharType="separate"/>
      </w:r>
      <w:r>
        <w:rPr>
          <w:sz w:val="24"/>
          <w:szCs w:val="24"/>
        </w:rPr>
        <w:t>58</w:t>
      </w:r>
      <w:r>
        <w:rPr>
          <w:sz w:val="24"/>
          <w:szCs w:val="24"/>
        </w:rPr>
        <w:fldChar w:fldCharType="end"/>
      </w: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aps/>
          <w:szCs w:val="24"/>
        </w:rPr>
      </w:pP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sz w:val="28"/>
          <w:szCs w:val="28"/>
          <w:lang w:val="en-US" w:eastAsia="zh-CN"/>
        </w:rPr>
      </w:pPr>
      <w:bookmarkStart w:id="0" w:name="_Toc2621"/>
      <w:r>
        <w:rPr>
          <w:rStyle w:val="33"/>
          <w:rFonts w:hint="eastAsia"/>
          <w:sz w:val="28"/>
          <w:szCs w:val="28"/>
          <w:lang w:eastAsia="zh-CN"/>
        </w:rPr>
        <w:t>第一章</w:t>
      </w:r>
      <w:r>
        <w:rPr>
          <w:rStyle w:val="33"/>
          <w:rFonts w:hint="eastAsia"/>
          <w:sz w:val="28"/>
          <w:szCs w:val="28"/>
          <w:lang w:val="en-US" w:eastAsia="zh-CN"/>
        </w:rPr>
        <w:t xml:space="preserve"> 投标邀请</w:t>
      </w:r>
    </w:p>
    <w:bookmarkEnd w:id="0"/>
    <w:p>
      <w:pPr>
        <w:adjustRightInd w:val="0"/>
        <w:snapToGrid w:val="0"/>
        <w:spacing w:line="360" w:lineRule="auto"/>
        <w:jc w:val="center"/>
        <w:rPr>
          <w:rFonts w:hint="eastAsia" w:ascii="宋体" w:hAnsi="宋体" w:cs="Times New Roman"/>
          <w:b/>
          <w:bCs w:val="0"/>
          <w:sz w:val="24"/>
          <w:szCs w:val="24"/>
          <w:u w:val="none"/>
          <w:lang w:val="en-US" w:eastAsia="zh-CN"/>
        </w:rPr>
      </w:pPr>
    </w:p>
    <w:p>
      <w:pPr>
        <w:adjustRightInd w:val="0"/>
        <w:snapToGrid w:val="0"/>
        <w:spacing w:line="360" w:lineRule="auto"/>
        <w:jc w:val="center"/>
        <w:rPr>
          <w:rStyle w:val="25"/>
          <w:rFonts w:hint="eastAsia" w:ascii="宋体" w:hAnsi="宋体" w:eastAsia="宋体" w:cs="宋体"/>
          <w:b/>
          <w:bCs w:val="0"/>
          <w:color w:val="auto"/>
          <w:sz w:val="24"/>
          <w:szCs w:val="24"/>
          <w:highlight w:val="none"/>
          <w:u w:val="none"/>
        </w:rPr>
      </w:pPr>
      <w:r>
        <w:rPr>
          <w:rStyle w:val="25"/>
          <w:rFonts w:hint="eastAsia" w:ascii="宋体" w:hAnsi="宋体" w:cs="宋体"/>
          <w:b/>
          <w:bCs w:val="0"/>
          <w:color w:val="auto"/>
          <w:sz w:val="24"/>
          <w:szCs w:val="24"/>
          <w:highlight w:val="none"/>
          <w:u w:val="none"/>
          <w:lang w:val="en-US" w:eastAsia="zh-CN"/>
        </w:rPr>
        <w:t>阿勒泰地区疾病预防控制中心能力提升建设七标段</w:t>
      </w:r>
      <w:r>
        <w:rPr>
          <w:rStyle w:val="25"/>
          <w:rFonts w:hint="eastAsia" w:ascii="宋体" w:hAnsi="宋体" w:eastAsia="宋体" w:cs="宋体"/>
          <w:b/>
          <w:bCs w:val="0"/>
          <w:color w:val="auto"/>
          <w:kern w:val="0"/>
          <w:sz w:val="24"/>
          <w:szCs w:val="24"/>
          <w:highlight w:val="none"/>
          <w:u w:val="none"/>
          <w:lang w:val="en-US" w:eastAsia="zh-CN" w:bidi="ar"/>
        </w:rPr>
        <w:t>采购</w:t>
      </w:r>
      <w:r>
        <w:rPr>
          <w:rFonts w:hint="eastAsia" w:ascii="宋体" w:hAnsi="宋体" w:eastAsia="宋体" w:cs="Times New Roman"/>
          <w:b/>
          <w:sz w:val="24"/>
          <w:szCs w:val="24"/>
          <w:u w:val="none"/>
          <w:lang w:eastAsia="zh-CN"/>
        </w:rPr>
        <w:t>项</w:t>
      </w:r>
      <w:r>
        <w:rPr>
          <w:rFonts w:hint="eastAsia" w:ascii="宋体" w:hAnsi="宋体" w:cs="Times New Roman"/>
          <w:b/>
          <w:sz w:val="24"/>
          <w:szCs w:val="24"/>
          <w:u w:val="none"/>
          <w:lang w:val="en-US" w:eastAsia="zh-CN"/>
        </w:rPr>
        <w:t>目</w:t>
      </w:r>
      <w:r>
        <w:rPr>
          <w:rStyle w:val="25"/>
          <w:rFonts w:hint="eastAsia" w:ascii="宋体" w:hAnsi="宋体" w:eastAsia="宋体" w:cs="宋体"/>
          <w:b/>
          <w:bCs w:val="0"/>
          <w:color w:val="auto"/>
          <w:sz w:val="24"/>
          <w:szCs w:val="24"/>
          <w:highlight w:val="none"/>
          <w:u w:val="none"/>
        </w:rPr>
        <w:t>招标公告</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rPr>
        <w:t>项目概况</w:t>
      </w:r>
      <w:r>
        <w:rPr>
          <w:rStyle w:val="25"/>
          <w:rFonts w:hint="eastAsia" w:ascii="宋体" w:hAnsi="宋体" w:eastAsia="宋体" w:cs="宋体"/>
          <w:b w:val="0"/>
          <w:bCs/>
          <w:color w:val="auto"/>
          <w:sz w:val="24"/>
          <w:szCs w:val="24"/>
          <w:highlight w:val="none"/>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cs="宋体"/>
          <w:b w:val="0"/>
          <w:bCs/>
          <w:color w:val="auto"/>
          <w:sz w:val="24"/>
          <w:szCs w:val="24"/>
          <w:highlight w:val="none"/>
          <w:u w:val="single"/>
          <w:lang w:val="en-US" w:eastAsia="zh-CN"/>
        </w:rPr>
        <w:t>阿勒泰地区疾病预防控制中心能力提升建设七标段</w:t>
      </w:r>
      <w:r>
        <w:rPr>
          <w:rStyle w:val="25"/>
          <w:rFonts w:hint="eastAsia" w:ascii="宋体" w:hAnsi="宋体" w:eastAsia="宋体" w:cs="宋体"/>
          <w:b w:val="0"/>
          <w:bCs/>
          <w:color w:val="auto"/>
          <w:kern w:val="0"/>
          <w:sz w:val="24"/>
          <w:szCs w:val="24"/>
          <w:highlight w:val="none"/>
          <w:u w:val="single"/>
          <w:lang w:val="en-US" w:eastAsia="zh-CN" w:bidi="ar"/>
        </w:rPr>
        <w:t>采购</w:t>
      </w:r>
      <w:r>
        <w:rPr>
          <w:rStyle w:val="25"/>
          <w:rFonts w:hint="eastAsia" w:ascii="宋体" w:hAnsi="宋体" w:eastAsia="宋体" w:cs="宋体"/>
          <w:b w:val="0"/>
          <w:bCs/>
          <w:color w:val="auto"/>
          <w:kern w:val="0"/>
          <w:sz w:val="24"/>
          <w:szCs w:val="24"/>
          <w:highlight w:val="none"/>
          <w:lang w:val="en-US" w:eastAsia="zh-CN" w:bidi="ar"/>
        </w:rPr>
        <w:t>项目</w:t>
      </w:r>
      <w:r>
        <w:rPr>
          <w:rStyle w:val="25"/>
          <w:rFonts w:hint="eastAsia" w:ascii="宋体" w:hAnsi="宋体" w:eastAsia="宋体" w:cs="宋体"/>
          <w:b w:val="0"/>
          <w:bCs/>
          <w:color w:val="auto"/>
          <w:sz w:val="24"/>
          <w:szCs w:val="24"/>
          <w:highlight w:val="none"/>
        </w:rPr>
        <w:t>的潜在供应</w:t>
      </w:r>
      <w:r>
        <w:rPr>
          <w:rStyle w:val="25"/>
          <w:rFonts w:hint="eastAsia" w:ascii="宋体" w:hAnsi="宋体" w:eastAsia="宋体" w:cs="宋体"/>
          <w:b w:val="0"/>
          <w:bCs/>
          <w:color w:val="auto"/>
          <w:sz w:val="24"/>
          <w:szCs w:val="24"/>
          <w:highlight w:val="none"/>
          <w:lang w:eastAsia="zh-CN"/>
        </w:rPr>
        <w:t>商应在前往中瑞岳华（上海）项目管理有限公司</w:t>
      </w:r>
      <w:r>
        <w:rPr>
          <w:rStyle w:val="25"/>
          <w:rFonts w:hint="eastAsia" w:ascii="宋体" w:hAnsi="宋体" w:eastAsia="宋体" w:cs="宋体"/>
          <w:b w:val="0"/>
          <w:bCs/>
          <w:color w:val="auto"/>
          <w:sz w:val="24"/>
          <w:szCs w:val="24"/>
          <w:highlight w:val="none"/>
          <w:lang w:val="en-US" w:eastAsia="zh-CN"/>
        </w:rPr>
        <w:t>新疆分公司</w:t>
      </w:r>
      <w:r>
        <w:rPr>
          <w:rStyle w:val="25"/>
          <w:rFonts w:hint="eastAsia" w:ascii="宋体" w:hAnsi="宋体" w:eastAsia="宋体" w:cs="宋体"/>
          <w:b w:val="0"/>
          <w:bCs/>
          <w:color w:val="auto"/>
          <w:sz w:val="24"/>
          <w:szCs w:val="24"/>
          <w:highlight w:val="none"/>
          <w:lang w:eastAsia="zh-CN"/>
        </w:rPr>
        <w:t>（新疆乌鲁木齐经济技术开发区庐山街696号丝绸之路交易中心1604室）获取采购文件，并于2021年</w:t>
      </w:r>
      <w:r>
        <w:rPr>
          <w:rStyle w:val="25"/>
          <w:rFonts w:hint="eastAsia" w:ascii="宋体" w:hAnsi="宋体" w:cs="宋体"/>
          <w:b w:val="0"/>
          <w:bCs/>
          <w:color w:val="auto"/>
          <w:sz w:val="24"/>
          <w:szCs w:val="24"/>
          <w:highlight w:val="none"/>
          <w:lang w:val="en-US" w:eastAsia="zh-CN"/>
        </w:rPr>
        <w:t>12</w:t>
      </w:r>
      <w:r>
        <w:rPr>
          <w:rStyle w:val="25"/>
          <w:rFonts w:hint="eastAsia" w:ascii="宋体" w:hAnsi="宋体" w:eastAsia="宋体" w:cs="宋体"/>
          <w:b w:val="0"/>
          <w:bCs/>
          <w:color w:val="auto"/>
          <w:sz w:val="24"/>
          <w:szCs w:val="24"/>
          <w:highlight w:val="none"/>
          <w:lang w:eastAsia="zh-CN"/>
        </w:rPr>
        <w:t>月</w:t>
      </w:r>
      <w:r>
        <w:rPr>
          <w:rStyle w:val="25"/>
          <w:rFonts w:hint="eastAsia" w:ascii="宋体" w:hAnsi="宋体" w:cs="宋体"/>
          <w:b w:val="0"/>
          <w:bCs/>
          <w:color w:val="auto"/>
          <w:sz w:val="24"/>
          <w:szCs w:val="24"/>
          <w:highlight w:val="none"/>
          <w:lang w:val="en-US" w:eastAsia="zh-CN"/>
        </w:rPr>
        <w:t>23</w:t>
      </w:r>
      <w:r>
        <w:rPr>
          <w:rStyle w:val="25"/>
          <w:rFonts w:hint="eastAsia" w:ascii="宋体" w:hAnsi="宋体" w:eastAsia="宋体" w:cs="宋体"/>
          <w:b w:val="0"/>
          <w:bCs/>
          <w:color w:val="auto"/>
          <w:sz w:val="24"/>
          <w:szCs w:val="24"/>
          <w:highlight w:val="none"/>
          <w:lang w:eastAsia="zh-CN"/>
        </w:rPr>
        <w:t xml:space="preserve">日11:00（北京时间）前提交响应文件。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一、项目基本情况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项目编号：</w:t>
      </w:r>
      <w:r>
        <w:rPr>
          <w:rStyle w:val="25"/>
          <w:rFonts w:hint="eastAsia" w:ascii="宋体" w:hAnsi="宋体" w:cs="宋体"/>
          <w:b w:val="0"/>
          <w:bCs/>
          <w:color w:val="auto"/>
          <w:sz w:val="24"/>
          <w:szCs w:val="24"/>
          <w:highlight w:val="none"/>
          <w:lang w:val="en-US" w:eastAsia="zh-CN"/>
        </w:rPr>
        <w:t xml:space="preserve">ZRYHXJ-JKZX-07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项目名称：</w:t>
      </w:r>
      <w:r>
        <w:rPr>
          <w:rStyle w:val="25"/>
          <w:rFonts w:hint="eastAsia" w:ascii="宋体" w:hAnsi="宋体" w:cs="宋体"/>
          <w:b w:val="0"/>
          <w:bCs/>
          <w:color w:val="auto"/>
          <w:sz w:val="24"/>
          <w:szCs w:val="24"/>
          <w:highlight w:val="none"/>
          <w:u w:val="none"/>
          <w:lang w:val="en-US" w:eastAsia="zh-CN"/>
        </w:rPr>
        <w:t>阿勒泰地区疾病预防控制中心能力提升建设七标段</w:t>
      </w:r>
      <w:r>
        <w:rPr>
          <w:rStyle w:val="25"/>
          <w:rFonts w:hint="eastAsia" w:ascii="宋体" w:hAnsi="宋体" w:eastAsia="宋体" w:cs="宋体"/>
          <w:b w:val="0"/>
          <w:bCs/>
          <w:color w:val="auto"/>
          <w:kern w:val="0"/>
          <w:sz w:val="24"/>
          <w:szCs w:val="24"/>
          <w:highlight w:val="none"/>
          <w:u w:val="none"/>
          <w:lang w:val="en-US" w:eastAsia="zh-CN" w:bidi="ar"/>
        </w:rPr>
        <w:t>采购项目</w:t>
      </w:r>
      <w:r>
        <w:rPr>
          <w:rStyle w:val="25"/>
          <w:rFonts w:hint="eastAsia" w:ascii="宋体" w:hAnsi="宋体" w:cs="宋体"/>
          <w:b w:val="0"/>
          <w:bCs/>
          <w:color w:val="auto"/>
          <w:sz w:val="24"/>
          <w:szCs w:val="24"/>
          <w:highlight w:val="none"/>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预算金额（元）：</w:t>
      </w:r>
      <w:r>
        <w:rPr>
          <w:rStyle w:val="25"/>
          <w:rFonts w:hint="eastAsia" w:ascii="宋体" w:hAnsi="宋体" w:cs="宋体"/>
          <w:b w:val="0"/>
          <w:bCs/>
          <w:color w:val="auto"/>
          <w:sz w:val="24"/>
          <w:szCs w:val="24"/>
          <w:highlight w:val="none"/>
          <w:lang w:val="en-US" w:eastAsia="zh-CN"/>
        </w:rPr>
        <w:t>1620000.00元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最高限价（元）：</w:t>
      </w:r>
      <w:r>
        <w:rPr>
          <w:rStyle w:val="25"/>
          <w:rFonts w:hint="eastAsia" w:ascii="宋体" w:hAnsi="宋体" w:cs="宋体"/>
          <w:b w:val="0"/>
          <w:bCs/>
          <w:color w:val="auto"/>
          <w:sz w:val="24"/>
          <w:szCs w:val="24"/>
          <w:highlight w:val="none"/>
          <w:lang w:val="en-US" w:eastAsia="zh-CN"/>
        </w:rPr>
        <w:t>1620000.00元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采购内容：全自动吹扫捕集浓缩仪1台，快速溶剂萃取仪1台，低本底αβ测量仪1台，旋转蒸发仪1台，全自动真菌毒素浓缩器1台，微波消解仪（带赶酸器）1台，高速组织匀浆机1台</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采购需求：详见《招标</w:t>
      </w:r>
      <w:r>
        <w:rPr>
          <w:rStyle w:val="25"/>
          <w:rFonts w:hint="eastAsia" w:ascii="宋体" w:hAnsi="宋体" w:eastAsia="宋体" w:cs="宋体"/>
          <w:b w:val="0"/>
          <w:bCs/>
          <w:color w:val="auto"/>
          <w:sz w:val="24"/>
          <w:szCs w:val="24"/>
          <w:highlight w:val="none"/>
          <w:lang w:val="en-US" w:eastAsia="zh-CN"/>
        </w:rPr>
        <w:t>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备注：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合同履约期限：按合同约定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本项目（否）接受联合体投标</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Style w:val="25"/>
          <w:rFonts w:hint="eastAsia" w:ascii="宋体" w:hAnsi="宋体" w:eastAsia="宋体" w:cs="宋体"/>
          <w:b/>
          <w:bCs w:val="0"/>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二、申请人的资格要求：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（2）法定代表人授权委托书（法人直接参与仅提供身份证明、非法人直接参与须同时提供法人及本授权人身份证明）；</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（4）具备国家有关行政主管部门核发的医疗器械经营许可二类备案；</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三、获取招标文件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时间：2021年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1</w:t>
      </w:r>
      <w:r>
        <w:rPr>
          <w:rStyle w:val="25"/>
          <w:rFonts w:hint="eastAsia" w:ascii="宋体" w:hAnsi="宋体" w:cs="宋体"/>
          <w:b w:val="0"/>
          <w:bCs/>
          <w:color w:val="auto"/>
          <w:sz w:val="24"/>
          <w:szCs w:val="24"/>
          <w:highlight w:val="none"/>
          <w:lang w:val="en-US" w:eastAsia="zh-CN"/>
        </w:rPr>
        <w:t>日至2021年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8</w:t>
      </w:r>
      <w:r>
        <w:rPr>
          <w:rStyle w:val="25"/>
          <w:rFonts w:hint="eastAsia" w:ascii="宋体" w:hAnsi="宋体" w:cs="宋体"/>
          <w:b w:val="0"/>
          <w:bCs/>
          <w:color w:val="auto"/>
          <w:sz w:val="24"/>
          <w:szCs w:val="24"/>
          <w:highlight w:val="none"/>
          <w:lang w:val="en-US" w:eastAsia="zh-CN"/>
        </w:rPr>
        <w:t>日，每天上午10:30至13:30，下午15:30至18:30（法定节假日除外）；</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方式：线下购买。购买采购文件时需携带法定代表人证明书和身份证原件或者法人授权委托书和被授权人身份证原件；三证合一的《营业执照》原件；</w:t>
      </w:r>
      <w:r>
        <w:rPr>
          <w:rStyle w:val="25"/>
          <w:rFonts w:hint="eastAsia" w:ascii="宋体" w:hAnsi="宋体" w:eastAsia="宋体" w:cs="宋体"/>
          <w:b w:val="0"/>
          <w:bCs/>
          <w:color w:val="000000"/>
          <w:sz w:val="24"/>
          <w:szCs w:val="24"/>
          <w:lang w:val="en-US" w:eastAsia="zh-CN"/>
        </w:rPr>
        <w:t>具备国家有关行政主管部门核</w:t>
      </w:r>
      <w:r>
        <w:rPr>
          <w:rFonts w:hint="eastAsia" w:ascii="宋体" w:hAnsi="宋体" w:eastAsia="宋体" w:cs="宋体"/>
          <w:b w:val="0"/>
          <w:bCs/>
          <w:color w:val="000000"/>
          <w:sz w:val="24"/>
          <w:lang w:val="en-US" w:eastAsia="zh-CN"/>
        </w:rPr>
        <w:t>发的医疗器械经营许可二类备案</w:t>
      </w:r>
      <w:r>
        <w:rPr>
          <w:rFonts w:hint="eastAsia" w:ascii="宋体" w:hAnsi="宋体" w:cs="宋体"/>
          <w:b w:val="0"/>
          <w:bCs/>
          <w:color w:val="000000"/>
          <w:sz w:val="24"/>
          <w:lang w:val="en-US" w:eastAsia="zh-CN"/>
        </w:rPr>
        <w:t>；</w:t>
      </w:r>
      <w:r>
        <w:rPr>
          <w:rStyle w:val="25"/>
          <w:rFonts w:hint="eastAsia" w:ascii="宋体" w:hAnsi="宋体" w:cs="宋体"/>
          <w:b w:val="0"/>
          <w:bCs/>
          <w:color w:val="auto"/>
          <w:sz w:val="24"/>
          <w:szCs w:val="24"/>
          <w:highlight w:val="none"/>
          <w:lang w:val="en-US" w:eastAsia="zh-CN"/>
        </w:rPr>
        <w:t>“信用中国”未被列入失信被执行人、重大税收违法案件当事人名单、政府采购严重违法失信名单和“中国政府采购网”未被列入政府采购严重违法失信行为记录名单查询的网页截图，以上复印件加盖投标单位公章一套，资料不齐不予受理。</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售价（元）：300元/份（现金缴款，售后不退）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四、提交投标文件截止时间、开标时间和地点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提交投标文件截止时间：2021年12月23日11:00时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投标地点：中瑞岳华（上海）项目管理有限公司新疆分公司（新疆乌鲁木齐经济技术开发区庐山街696号丝绸之路交易中心1604室）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开标时间：2021年12月23日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开标地点：中瑞岳华（上海）项目管理有限公司新疆分公司（新疆乌鲁木齐经济技术开发区庐山街696号丝绸之路交易中心1604室）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五、公告期限</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自本公告发布之日起5个工作日。</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六、其他补充事宜</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无</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七、对本次采购提出询问，请按以下方式联系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1.采购人信息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称：</w:t>
      </w:r>
      <w:r>
        <w:rPr>
          <w:rStyle w:val="25"/>
          <w:rFonts w:hint="eastAsia" w:ascii="宋体" w:hAnsi="宋体" w:cs="宋体"/>
          <w:b w:val="0"/>
          <w:bCs/>
          <w:color w:val="auto"/>
          <w:sz w:val="24"/>
          <w:szCs w:val="24"/>
          <w:highlight w:val="none"/>
          <w:u w:val="none"/>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联系方式：0906-2156741</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名    称：中瑞岳华（上海）项目管理有限公司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联系方式：13999190399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Style w:val="25"/>
          <w:rFonts w:hint="default" w:ascii="宋体" w:hAnsi="宋体" w:cs="宋体"/>
          <w:b w:val="0"/>
          <w:bCs/>
          <w:color w:val="auto"/>
          <w:sz w:val="24"/>
          <w:szCs w:val="24"/>
          <w:highlight w:val="none"/>
          <w:u w:val="none"/>
          <w:lang w:val="en-US" w:eastAsia="zh-CN"/>
        </w:rPr>
      </w:pPr>
      <w:r>
        <w:rPr>
          <w:rStyle w:val="25"/>
          <w:rFonts w:hint="default" w:ascii="宋体" w:hAnsi="宋体" w:cs="宋体"/>
          <w:b w:val="0"/>
          <w:bCs/>
          <w:color w:val="auto"/>
          <w:sz w:val="24"/>
          <w:szCs w:val="24"/>
          <w:highlight w:val="none"/>
          <w:u w:val="none"/>
          <w:lang w:val="en-US"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 系 人：令文君、燕翃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联系方式：15160968614、13999190399 </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ind w:firstLine="480" w:firstLineChars="200"/>
        <w:textAlignment w:val="auto"/>
        <w:rPr>
          <w:rFonts w:hint="default" w:ascii="宋体" w:hAnsi="宋体" w:eastAsia="宋体" w:cs="宋体"/>
          <w:b w:val="0"/>
          <w:bCs/>
          <w:color w:val="auto"/>
          <w:sz w:val="24"/>
          <w:szCs w:val="24"/>
          <w:highlight w:val="none"/>
          <w:lang w:val="en-US" w:eastAsia="zh-CN"/>
        </w:rPr>
      </w:pPr>
    </w:p>
    <w:p>
      <w:pPr>
        <w:pageBreakBefore w:val="0"/>
        <w:widowControl w:val="0"/>
        <w:kinsoku/>
        <w:wordWrap/>
        <w:overflowPunct/>
        <w:topLinePunct w:val="0"/>
        <w:bidi w:val="0"/>
        <w:adjustRightInd w:val="0"/>
        <w:snapToGrid w:val="0"/>
        <w:spacing w:line="560" w:lineRule="exact"/>
        <w:jc w:val="center"/>
        <w:textAlignment w:val="auto"/>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sz w:val="28"/>
          <w:szCs w:val="28"/>
          <w:lang w:val="en-US" w:eastAsia="zh-CN"/>
        </w:rPr>
      </w:pPr>
      <w:bookmarkStart w:id="1" w:name="_Toc8318"/>
      <w:r>
        <w:rPr>
          <w:rFonts w:hint="eastAsia"/>
          <w:sz w:val="28"/>
          <w:szCs w:val="28"/>
          <w:lang w:val="en-US" w:eastAsia="zh-CN"/>
        </w:rPr>
        <w:t>第二章 供应商须知前附表</w:t>
      </w:r>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24"/>
          <w:szCs w:val="24"/>
        </w:rPr>
        <w:t>本表是本招标项目的具体资料，是对投标人须知的具体补充和修改，如有矛盾，应以本表为准。</w:t>
      </w:r>
    </w:p>
    <w:tbl>
      <w:tblPr>
        <w:tblStyle w:val="22"/>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9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序号</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48" w:leftChars="-23" w:firstLine="5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阿勒泰地区疾病预防控制中心能力提升建设</w:t>
            </w:r>
            <w:r>
              <w:rPr>
                <w:rFonts w:hint="eastAsia" w:ascii="宋体" w:hAnsi="宋体" w:cs="宋体"/>
                <w:sz w:val="24"/>
                <w:szCs w:val="24"/>
                <w:lang w:val="en-US" w:eastAsia="zh-CN"/>
              </w:rPr>
              <w:t>七</w:t>
            </w:r>
            <w:r>
              <w:rPr>
                <w:rFonts w:hint="eastAsia" w:ascii="宋体" w:hAnsi="宋体" w:eastAsia="宋体" w:cs="宋体"/>
                <w:sz w:val="24"/>
                <w:szCs w:val="24"/>
                <w:lang w:val="en-US" w:eastAsia="zh-CN"/>
              </w:rPr>
              <w:t xml:space="preserve">标段采购项目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项目编号：ZRYH</w:t>
            </w:r>
            <w:r>
              <w:rPr>
                <w:rFonts w:hint="eastAsia" w:ascii="宋体" w:hAnsi="宋体" w:cs="宋体"/>
                <w:sz w:val="24"/>
                <w:szCs w:val="24"/>
                <w:lang w:val="en-US" w:eastAsia="zh-CN"/>
              </w:rPr>
              <w:t>XJ</w:t>
            </w:r>
            <w:r>
              <w:rPr>
                <w:rFonts w:hint="eastAsia" w:ascii="宋体" w:hAnsi="宋体" w:eastAsia="宋体" w:cs="宋体"/>
                <w:sz w:val="24"/>
                <w:szCs w:val="24"/>
                <w:lang w:val="en-US" w:eastAsia="zh-CN"/>
              </w:rPr>
              <w:t>-JKZX-0</w:t>
            </w:r>
            <w:r>
              <w:rPr>
                <w:rFonts w:hint="eastAsia" w:ascii="宋体" w:hAnsi="宋体" w:cs="宋体"/>
                <w:sz w:val="24"/>
                <w:szCs w:val="24"/>
                <w:lang w:val="en-US" w:eastAsia="zh-CN"/>
              </w:rPr>
              <w:t>7</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lang w:val="en-US" w:eastAsia="zh-CN"/>
              </w:rPr>
            </w:pPr>
            <w:r>
              <w:rPr>
                <w:rFonts w:hint="eastAsia" w:ascii="宋体" w:hAnsi="宋体" w:eastAsia="宋体" w:cs="宋体"/>
                <w:sz w:val="24"/>
                <w:szCs w:val="24"/>
                <w:lang w:val="en-US" w:eastAsia="zh-CN"/>
              </w:rPr>
              <w:t>采购内容：全自动吹扫捕集浓缩仪1台，快速溶剂萃取仪1台，低本底αβ测量仪1台，旋转蒸发仪1台，全自动真菌毒素浓缩器1台，微波消解仪（带赶酸器）1台，高速组织匀浆机1台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联系地址：</w:t>
            </w:r>
            <w:r>
              <w:rPr>
                <w:rFonts w:hint="eastAsia" w:ascii="宋体" w:hAnsi="宋体" w:cs="宋体"/>
                <w:sz w:val="24"/>
                <w:szCs w:val="24"/>
                <w:lang w:eastAsia="zh-CN"/>
              </w:rPr>
              <w:t>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耿虎</w:t>
            </w:r>
          </w:p>
          <w:p>
            <w:pPr>
              <w:widowControl w:val="0"/>
              <w:spacing w:before="15" w:line="360" w:lineRule="auto"/>
              <w:ind w:right="-20" w:righ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lang w:eastAsia="zh-CN"/>
              </w:rPr>
              <w:t>：</w:t>
            </w:r>
            <w:r>
              <w:rPr>
                <w:rStyle w:val="25"/>
                <w:rFonts w:hint="eastAsia" w:ascii="宋体" w:hAnsi="宋体" w:cs="宋体"/>
                <w:b w:val="0"/>
                <w:bCs/>
                <w:color w:val="auto"/>
                <w:sz w:val="24"/>
                <w:szCs w:val="24"/>
                <w:highlight w:val="none"/>
                <w:u w:val="none"/>
                <w:lang w:val="en-US" w:eastAsia="zh-CN"/>
              </w:rPr>
              <w:t>0906-2156741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代理机构：中瑞岳华（上海）项目管理有限公司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Style w:val="25"/>
                <w:rFonts w:hint="eastAsia" w:ascii="宋体" w:hAnsi="宋体" w:cs="宋体"/>
                <w:b w:val="0"/>
                <w:bCs/>
                <w:color w:val="auto"/>
                <w:sz w:val="24"/>
                <w:szCs w:val="24"/>
                <w:highlight w:val="none"/>
                <w:u w:val="none"/>
                <w:lang w:val="en-US" w:eastAsia="zh-CN"/>
              </w:rPr>
              <w:t>令文君</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w:t>
            </w:r>
            <w:r>
              <w:rPr>
                <w:rStyle w:val="25"/>
                <w:rFonts w:hint="eastAsia" w:ascii="宋体" w:hAnsi="宋体" w:cs="宋体"/>
                <w:b w:val="0"/>
                <w:bCs/>
                <w:color w:val="auto"/>
                <w:sz w:val="24"/>
                <w:szCs w:val="24"/>
                <w:highlight w:val="none"/>
                <w:u w:val="none"/>
                <w:lang w:val="en-US" w:eastAsia="zh-CN"/>
              </w:rPr>
              <w:t>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21" w:type="dxa"/>
            <w:vAlign w:val="center"/>
          </w:tcPr>
          <w:p>
            <w:pPr>
              <w:widowControl w:val="0"/>
              <w:spacing w:before="15" w:line="360" w:lineRule="auto"/>
              <w:ind w:left="103" w:right="-20"/>
              <w:rPr>
                <w:rFonts w:hint="eastAsia" w:ascii="宋体" w:hAnsi="宋体" w:eastAsia="宋体" w:cs="宋体"/>
                <w:sz w:val="24"/>
                <w:szCs w:val="24"/>
                <w:lang w:eastAsia="zh-CN"/>
              </w:rPr>
            </w:pPr>
            <w:r>
              <w:rPr>
                <w:rFonts w:hint="eastAsia" w:ascii="宋体" w:hAnsi="宋体" w:eastAsia="宋体" w:cs="宋体"/>
                <w:sz w:val="24"/>
                <w:szCs w:val="24"/>
                <w:lang w:eastAsia="zh-CN"/>
              </w:rPr>
              <w:t>合格投标人的资格要求：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w:t>
            </w:r>
            <w:r>
              <w:rPr>
                <w:rFonts w:hint="eastAsia" w:ascii="宋体" w:hAnsi="宋体" w:eastAsia="宋体" w:cs="宋体"/>
                <w:sz w:val="24"/>
                <w:szCs w:val="24"/>
                <w:lang w:val="en-US" w:eastAsia="zh-CN"/>
              </w:rPr>
              <w:t>参与仅提供身份证明、非法人直接参与须同时提供法人及本授权人身份证明）</w:t>
            </w:r>
            <w:r>
              <w:rPr>
                <w:rStyle w:val="25"/>
                <w:rFonts w:hint="eastAsia" w:ascii="宋体" w:hAnsi="宋体" w:eastAsia="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（4）具备国家有关行政主管部门核</w:t>
            </w:r>
            <w:r>
              <w:rPr>
                <w:rFonts w:hint="eastAsia" w:ascii="宋体" w:hAnsi="宋体" w:eastAsia="宋体" w:cs="宋体"/>
                <w:b w:val="0"/>
                <w:bCs/>
                <w:color w:val="000000"/>
                <w:sz w:val="24"/>
                <w:lang w:val="en-US" w:eastAsia="zh-CN"/>
              </w:rPr>
              <w:t>发的医疗器械经营许可二类备案；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lang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21"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合格投标人的其他资格要求：</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是否允许采购进口产品：</w:t>
            </w:r>
            <w:r>
              <w:rPr>
                <w:rFonts w:hint="eastAsia" w:ascii="宋体" w:hAnsi="宋体" w:cs="宋体"/>
                <w:sz w:val="24"/>
                <w:szCs w:val="24"/>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是否为专门面向中小企业采购：</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（1）小型、微型企业应出具《中小企业声明函》（投标文件正副本均为投标人鲜章），对报价给予8%的扣除，用扣除后的价格参与评审；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（2）监狱企业应出具《监狱企业声明函》（投标文件正副本均为投标人鲜章），对报价给予8%的扣除，用扣除后的价格参与评审；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（3）残疾人福利性单位应出具《残疾人福利性单位声明函》（投标文件正副本均为投标人鲜章），对报价给予8%的扣除，用扣除后的价格参与评审；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lang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是否允许联合体投标：</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联合体的其他资格要求：</w:t>
            </w:r>
            <w:r>
              <w:rPr>
                <w:rFonts w:hint="eastAsia" w:ascii="宋体" w:hAnsi="宋体" w:eastAsia="宋体" w:cs="宋体"/>
                <w:sz w:val="24"/>
                <w:szCs w:val="24"/>
                <w:lang w:eastAsia="zh-CN"/>
              </w:rPr>
              <w:t>（如不允许联合体投标，不填写）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项目预算金额：</w:t>
            </w:r>
            <w:r>
              <w:rPr>
                <w:rFonts w:hint="eastAsia" w:ascii="宋体" w:hAnsi="宋体" w:cs="宋体"/>
                <w:sz w:val="24"/>
                <w:szCs w:val="24"/>
                <w:u w:val="single"/>
                <w:lang w:val="en-US" w:eastAsia="zh-CN"/>
              </w:rPr>
              <w:t xml:space="preserve">1620000.00 </w:t>
            </w:r>
            <w:r>
              <w:rPr>
                <w:rFonts w:hint="eastAsia" w:ascii="宋体" w:hAnsi="宋体" w:eastAsia="宋体" w:cs="宋体"/>
                <w:sz w:val="24"/>
                <w:szCs w:val="24"/>
              </w:rPr>
              <w:t>元；最高限价：</w:t>
            </w:r>
            <w:r>
              <w:rPr>
                <w:rFonts w:hint="eastAsia" w:ascii="宋体" w:hAnsi="宋体" w:cs="宋体"/>
                <w:sz w:val="24"/>
                <w:szCs w:val="24"/>
                <w:u w:val="single"/>
                <w:lang w:val="en-US" w:eastAsia="zh-CN"/>
              </w:rPr>
              <w:t>1620000.00</w:t>
            </w: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r>
              <w:rPr>
                <w:rFonts w:hint="eastAsia" w:ascii="宋体" w:hAnsi="宋体" w:cs="宋体"/>
                <w:sz w:val="24"/>
                <w:szCs w:val="24"/>
                <w:u w:val="single"/>
                <w:lang w:val="en-US" w:eastAsia="zh-CN"/>
              </w:rPr>
              <w:t xml:space="preserve"> 20000.00元</w:t>
            </w:r>
            <w:r>
              <w:rPr>
                <w:rFonts w:hint="eastAsia" w:ascii="宋体" w:hAnsi="宋体" w:eastAsia="宋体" w:cs="宋体"/>
                <w:sz w:val="24"/>
                <w:szCs w:val="24"/>
                <w:lang w:val="en-US" w:eastAsia="zh-CN"/>
              </w:rPr>
              <w:t>（大写：</w:t>
            </w:r>
            <w:r>
              <w:rPr>
                <w:rFonts w:hint="eastAsia" w:ascii="宋体" w:hAnsi="宋体" w:cs="宋体"/>
                <w:sz w:val="24"/>
                <w:szCs w:val="24"/>
                <w:u w:val="single"/>
                <w:lang w:val="en-US" w:eastAsia="zh-CN"/>
              </w:rPr>
              <w:t>贰万元整</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账户名称：中瑞岳华(上海)项目管理有限公司新疆分公司</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开户银行：交通银行股份有限公司乌鲁木齐幸福路支行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号：651651030013000629209</w:t>
            </w:r>
          </w:p>
          <w:p>
            <w:pPr>
              <w:pStyle w:val="2"/>
              <w:ind w:left="0" w:leftChars="0" w:firstLine="0" w:firstLineChars="0"/>
              <w:rPr>
                <w:rFonts w:hint="eastAsia"/>
                <w:b/>
                <w:bCs/>
                <w:lang w:val="en-US" w:eastAsia="zh-CN"/>
              </w:rPr>
            </w:pPr>
            <w:r>
              <w:rPr>
                <w:rFonts w:hint="eastAsia"/>
                <w:b/>
                <w:bCs/>
                <w:lang w:val="en-US" w:eastAsia="zh-CN"/>
              </w:rPr>
              <w:t>备注：</w:t>
            </w:r>
          </w:p>
          <w:p>
            <w:pPr>
              <w:spacing w:line="44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招标方因投标人的违规行为而受到损害时将不予退还投标人的投标保证金，将其作为所受损害的补偿。</w:t>
            </w:r>
          </w:p>
          <w:p>
            <w:pPr>
              <w:pStyle w:val="12"/>
              <w:spacing w:line="440" w:lineRule="exact"/>
              <w:ind w:firstLine="480" w:firstLineChars="200"/>
              <w:rPr>
                <w:rFonts w:hAnsi="宋体"/>
                <w:sz w:val="24"/>
              </w:rPr>
            </w:pPr>
            <w:r>
              <w:rPr>
                <w:rFonts w:hint="eastAsia" w:hAnsi="宋体"/>
                <w:sz w:val="24"/>
                <w:lang w:val="en-US" w:eastAsia="zh-CN"/>
              </w:rPr>
              <w:t>2、</w:t>
            </w:r>
            <w:r>
              <w:rPr>
                <w:rFonts w:hint="eastAsia" w:hAnsi="宋体"/>
                <w:sz w:val="24"/>
              </w:rPr>
              <w:t>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hint="eastAsia" w:ascii="宋体" w:hAnsi="宋体" w:eastAsia="宋体" w:cs="宋体"/>
                <w:sz w:val="24"/>
                <w:szCs w:val="24"/>
                <w:lang w:eastAsia="zh-CN"/>
              </w:rPr>
            </w:pPr>
            <w:r>
              <w:rPr>
                <w:rFonts w:hint="eastAsia" w:hAnsi="宋体"/>
                <w:sz w:val="24"/>
                <w:lang w:val="en-US" w:eastAsia="zh-CN"/>
              </w:rPr>
              <w:t>3、</w:t>
            </w:r>
            <w:r>
              <w:rPr>
                <w:rFonts w:hint="eastAsia" w:hAnsi="宋体"/>
                <w:sz w:val="24"/>
              </w:rPr>
              <w:t>投标人</w:t>
            </w:r>
            <w:r>
              <w:rPr>
                <w:rFonts w:hint="eastAsia" w:hAnsi="宋体"/>
                <w:sz w:val="24"/>
                <w:lang w:val="en-US" w:eastAsia="zh-CN"/>
              </w:rPr>
              <w:t>提交的投标保证金</w:t>
            </w:r>
            <w:r>
              <w:rPr>
                <w:rFonts w:hint="eastAsia" w:hAnsi="宋体"/>
                <w:sz w:val="24"/>
              </w:rPr>
              <w:t>应于</w:t>
            </w:r>
            <w:r>
              <w:rPr>
                <w:rFonts w:hint="eastAsia" w:ascii="宋体" w:hAnsi="宋体" w:eastAsia="宋体"/>
                <w:sz w:val="24"/>
                <w:lang w:val="en-US" w:eastAsia="zh-CN"/>
              </w:rPr>
              <w:t>投标截止时间前一天18:00时（北京时间）前到达中瑞岳华（上海）项目管理有限公司新疆分公司指定账户（人民币）。如是本地转</w:t>
            </w:r>
            <w:r>
              <w:rPr>
                <w:rFonts w:hint="eastAsia" w:hAnsi="宋体"/>
                <w:sz w:val="24"/>
              </w:rPr>
              <w:t>账支票需于投标保证金缴纳截止时间三个工作日前向</w:t>
            </w:r>
            <w:r>
              <w:rPr>
                <w:rFonts w:hint="eastAsia" w:hAnsi="宋体"/>
                <w:sz w:val="24"/>
                <w:lang w:val="en-US" w:eastAsia="zh-CN"/>
              </w:rPr>
              <w:t>中瑞岳华（上海）项目管理有限公司新疆分公司</w:t>
            </w:r>
            <w:r>
              <w:rPr>
                <w:rFonts w:hint="eastAsia" w:hAnsi="宋体"/>
                <w:sz w:val="24"/>
              </w:rPr>
              <w:t>送达，如投标保证金为汇款形式的</w:t>
            </w:r>
            <w:r>
              <w:rPr>
                <w:rFonts w:hint="eastAsia" w:hAnsi="宋体"/>
                <w:sz w:val="24"/>
                <w:lang w:eastAsia="zh-CN"/>
              </w:rPr>
              <w:t>，</w:t>
            </w:r>
            <w:r>
              <w:rPr>
                <w:rFonts w:hint="eastAsia" w:hAnsi="宋体"/>
                <w:sz w:val="24"/>
              </w:rPr>
              <w:t>汇款时汇款单填写内容须备注投标企业名称、项目名称及项目编号及包号）。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是否组织现场考察或者召开答疑会：</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是否需要提供样品：</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投标有效期：提交投标文件截止之日起</w:t>
            </w:r>
            <w:r>
              <w:rPr>
                <w:rFonts w:hint="eastAsia" w:ascii="宋体" w:hAnsi="宋体" w:cs="宋体"/>
                <w:sz w:val="24"/>
                <w:szCs w:val="24"/>
                <w:u w:val="single"/>
                <w:lang w:val="en-US" w:eastAsia="zh-CN"/>
              </w:rPr>
              <w:t>60</w:t>
            </w:r>
            <w:r>
              <w:rPr>
                <w:rFonts w:hint="eastAsia" w:ascii="宋体" w:hAnsi="宋体" w:eastAsia="宋体" w:cs="宋体"/>
                <w:sz w:val="24"/>
                <w:szCs w:val="24"/>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021" w:type="dxa"/>
            <w:vAlign w:val="center"/>
          </w:tcPr>
          <w:p>
            <w:pPr>
              <w:pStyle w:val="12"/>
              <w:spacing w:line="440" w:lineRule="exact"/>
              <w:rPr>
                <w:rFonts w:hint="default" w:ascii="宋体" w:hAnsi="宋体" w:eastAsia="宋体"/>
                <w:sz w:val="24"/>
                <w:lang w:val="en-US" w:eastAsia="zh-CN"/>
              </w:rPr>
            </w:pPr>
            <w:r>
              <w:rPr>
                <w:rFonts w:hint="eastAsia" w:ascii="宋体" w:hAnsi="宋体" w:cs="宋体"/>
                <w:sz w:val="24"/>
                <w:szCs w:val="24"/>
                <w:lang w:val="en-US" w:eastAsia="zh-CN"/>
              </w:rPr>
              <w:t>（</w:t>
            </w:r>
            <w:r>
              <w:rPr>
                <w:rFonts w:hint="eastAsia" w:ascii="宋体" w:hAnsi="宋体" w:eastAsia="宋体"/>
                <w:sz w:val="24"/>
                <w:lang w:val="en-US" w:eastAsia="zh-CN"/>
              </w:rPr>
              <w:t>1）投标文件（纸质/电子）提交截止时间：2021年</w:t>
            </w:r>
            <w:r>
              <w:rPr>
                <w:rFonts w:hint="eastAsia" w:ascii="宋体" w:hAnsi="宋体" w:eastAsia="宋体"/>
                <w:sz w:val="24"/>
                <w:u w:val="single"/>
                <w:lang w:val="en-US" w:eastAsia="zh-CN"/>
              </w:rPr>
              <w:t xml:space="preserve"> </w:t>
            </w:r>
            <w:r>
              <w:rPr>
                <w:rFonts w:hint="eastAsia" w:hAnsi="宋体"/>
                <w:sz w:val="24"/>
                <w:u w:val="single"/>
                <w:lang w:val="en-US" w:eastAsia="zh-CN"/>
              </w:rPr>
              <w:t xml:space="preserve">12 </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分</w:t>
            </w:r>
            <w:r>
              <w:rPr>
                <w:rFonts w:hint="eastAsia" w:hAnsi="宋体"/>
                <w:sz w:val="24"/>
                <w:lang w:val="en-US" w:eastAsia="zh-CN"/>
              </w:rPr>
              <w:t>之前；</w:t>
            </w:r>
          </w:p>
          <w:p>
            <w:pPr>
              <w:pStyle w:val="12"/>
              <w:spacing w:line="440" w:lineRule="exact"/>
              <w:rPr>
                <w:rFonts w:hint="eastAsia" w:ascii="宋体" w:hAnsi="宋体" w:eastAsia="宋体"/>
                <w:sz w:val="24"/>
                <w:lang w:val="en-US" w:eastAsia="zh-CN"/>
              </w:rPr>
            </w:pPr>
            <w:r>
              <w:rPr>
                <w:rFonts w:hint="eastAsia" w:ascii="宋体" w:hAnsi="宋体" w:eastAsia="宋体"/>
                <w:sz w:val="24"/>
                <w:lang w:val="en-US" w:eastAsia="zh-CN"/>
              </w:rPr>
              <w:t>（2）投标文件份数：正本一份，副本四份，电子版两份（以U盘为存储介质，须为投标文件正本签字盖章后的PDF扫描件，每份单独密封）；开标一览表一份（单独密封），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val="en-US" w:eastAsia="zh-CN"/>
              </w:rPr>
              <w:t>阿勒泰地区疾病预防控制中心能力提升建设</w:t>
            </w:r>
            <w:r>
              <w:rPr>
                <w:rFonts w:hint="eastAsia" w:ascii="宋体" w:hAnsi="宋体" w:cs="宋体"/>
                <w:sz w:val="24"/>
                <w:szCs w:val="24"/>
                <w:u w:val="single"/>
                <w:lang w:val="en-US" w:eastAsia="zh-CN"/>
              </w:rPr>
              <w:t>七</w:t>
            </w:r>
            <w:r>
              <w:rPr>
                <w:rFonts w:hint="eastAsia" w:ascii="宋体" w:hAnsi="宋体" w:eastAsia="宋体" w:cs="宋体"/>
                <w:sz w:val="24"/>
                <w:szCs w:val="24"/>
                <w:u w:val="single"/>
                <w:lang w:val="en-US" w:eastAsia="zh-CN"/>
              </w:rPr>
              <w:t xml:space="preserve">标段采购项目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ZRYH</w:t>
            </w:r>
            <w:r>
              <w:rPr>
                <w:rFonts w:hint="eastAsia" w:ascii="宋体" w:hAnsi="宋体" w:cs="宋体"/>
                <w:sz w:val="24"/>
                <w:szCs w:val="24"/>
                <w:u w:val="single"/>
                <w:lang w:val="en-US" w:eastAsia="zh-CN"/>
              </w:rPr>
              <w:t>XJ</w:t>
            </w:r>
            <w:r>
              <w:rPr>
                <w:rFonts w:hint="eastAsia" w:ascii="宋体" w:hAnsi="宋体" w:eastAsia="宋体" w:cs="宋体"/>
                <w:sz w:val="24"/>
                <w:szCs w:val="24"/>
                <w:u w:val="single"/>
                <w:lang w:val="en-US" w:eastAsia="zh-CN"/>
              </w:rPr>
              <w:t>-JKZX-</w:t>
            </w:r>
            <w:r>
              <w:rPr>
                <w:rFonts w:hint="eastAsia" w:ascii="宋体" w:hAnsi="宋体" w:cs="宋体"/>
                <w:sz w:val="24"/>
                <w:szCs w:val="24"/>
                <w:u w:val="single"/>
                <w:lang w:val="en-US" w:eastAsia="zh-CN"/>
              </w:rPr>
              <w:t>07</w:t>
            </w:r>
            <w:r>
              <w:rPr>
                <w:rFonts w:hint="eastAsia" w:ascii="宋体" w:hAnsi="宋体" w:eastAsia="宋体" w:cs="宋体"/>
                <w:sz w:val="24"/>
                <w:szCs w:val="24"/>
                <w:u w:val="single"/>
                <w:lang w:val="en-US" w:eastAsia="zh-CN"/>
              </w:rPr>
              <w:t xml:space="preserve">                                              </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在 2021 年</w:t>
            </w:r>
            <w:r>
              <w:rPr>
                <w:rFonts w:hint="eastAsia" w:hAnsi="宋体"/>
                <w:sz w:val="24"/>
                <w:u w:val="single"/>
                <w:lang w:val="en-US" w:eastAsia="zh-CN"/>
              </w:rPr>
              <w:t>12</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 xml:space="preserve"> 时之前不得启封</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投标人名称：</w:t>
            </w:r>
            <w:r>
              <w:rPr>
                <w:rFonts w:hint="eastAsia" w:hAnsi="宋体"/>
                <w:sz w:val="24"/>
                <w:u w:val="single"/>
                <w:lang w:val="en-US" w:eastAsia="zh-CN"/>
              </w:rPr>
              <w:t xml:space="preserve">                                                           </w:t>
            </w:r>
          </w:p>
          <w:p>
            <w:pPr>
              <w:pStyle w:val="12"/>
              <w:spacing w:line="44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其</w:t>
            </w:r>
            <w:r>
              <w:rPr>
                <w:rFonts w:hint="eastAsia" w:hAnsi="宋体"/>
                <w:sz w:val="24"/>
                <w:lang w:val="en-US" w:eastAsia="zh-CN"/>
              </w:rPr>
              <w:t xml:space="preserve">    </w:t>
            </w:r>
            <w:r>
              <w:rPr>
                <w:rFonts w:hint="eastAsia" w:ascii="宋体" w:hAnsi="宋体" w:eastAsia="宋体"/>
                <w:sz w:val="24"/>
                <w:lang w:val="en-US" w:eastAsia="zh-CN"/>
              </w:rPr>
              <w:t>他</w:t>
            </w:r>
            <w:r>
              <w:rPr>
                <w:rFonts w:hint="eastAsia" w:hAnsi="宋体"/>
                <w:sz w:val="24"/>
                <w:lang w:val="en-US" w:eastAsia="zh-CN"/>
              </w:rPr>
              <w:t>：</w:t>
            </w:r>
            <w:r>
              <w:rPr>
                <w:rFonts w:hint="eastAsia"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80" w:hanging="2880" w:hangingChars="1200"/>
              <w:jc w:val="both"/>
              <w:textAlignment w:val="auto"/>
              <w:rPr>
                <w:rFonts w:hint="default"/>
                <w:lang w:val="en-US" w:eastAsia="zh-CN"/>
              </w:rPr>
            </w:pPr>
            <w:r>
              <w:rPr>
                <w:rFonts w:hint="eastAsia" w:ascii="宋体" w:hAnsi="宋体" w:eastAsia="宋体"/>
                <w:sz w:val="24"/>
                <w:lang w:val="en-US" w:eastAsia="zh-CN"/>
              </w:rPr>
              <w:t>（4）投标文件提交地点：</w:t>
            </w:r>
            <w:r>
              <w:rPr>
                <w:rFonts w:hint="eastAsia" w:ascii="宋体" w:hAnsi="宋体" w:eastAsia="宋体" w:cs="宋体"/>
                <w:sz w:val="24"/>
                <w:szCs w:val="24"/>
                <w:u w:val="none"/>
                <w:lang w:val="en-US" w:eastAsia="zh-CN"/>
              </w:rPr>
              <w:t>新疆乌鲁木齐经济技术开发区庐山街696号丝绸之路交易中心1604室</w:t>
            </w:r>
            <w:r>
              <w:rPr>
                <w:rFonts w:hint="eastAsia" w:hAnsi="宋体" w:cs="宋体"/>
                <w:sz w:val="24"/>
                <w:szCs w:val="24"/>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开标时间：</w:t>
            </w:r>
            <w:r>
              <w:rPr>
                <w:rFonts w:hint="eastAsia" w:ascii="宋体" w:hAnsi="宋体" w:cs="宋体"/>
                <w:sz w:val="24"/>
                <w:szCs w:val="24"/>
                <w:u w:val="none"/>
                <w:lang w:val="en-US" w:eastAsia="zh-CN"/>
              </w:rPr>
              <w:t>2021年12月23 日上午11:00时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开标地点：</w:t>
            </w:r>
            <w:r>
              <w:rPr>
                <w:rStyle w:val="25"/>
                <w:rFonts w:hint="eastAsia" w:ascii="宋体" w:hAnsi="宋体" w:cs="宋体"/>
                <w:b w:val="0"/>
                <w:bCs/>
                <w:color w:val="auto"/>
                <w:sz w:val="24"/>
                <w:szCs w:val="24"/>
                <w:highlight w:val="none"/>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s="宋体"/>
                <w:bCs/>
                <w:color w:val="auto"/>
                <w:sz w:val="24"/>
              </w:rPr>
            </w:pPr>
            <w:r>
              <w:rPr>
                <w:rFonts w:hint="eastAsia" w:cs="宋体"/>
                <w:b/>
                <w:bCs w:val="0"/>
                <w:color w:val="auto"/>
                <w:sz w:val="24"/>
              </w:rPr>
              <w:t>开标现场需提供的资格审查证明文件</w:t>
            </w:r>
            <w:r>
              <w:rPr>
                <w:rFonts w:hint="eastAsia" w:cs="宋体"/>
                <w:bCs/>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（1）有效的“一证一码”或“三证合一”的营业执照副本原件；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（2）法定代表人授权委托书</w:t>
            </w:r>
            <w:r>
              <w:rPr>
                <w:rFonts w:hint="eastAsia" w:ascii="宋体" w:hAnsi="宋体" w:cs="宋体"/>
                <w:sz w:val="24"/>
                <w:szCs w:val="24"/>
                <w:lang w:val="en-US" w:eastAsia="zh-CN"/>
              </w:rPr>
              <w:t>原件</w:t>
            </w:r>
            <w:r>
              <w:rPr>
                <w:rFonts w:hint="eastAsia" w:ascii="宋体" w:hAnsi="宋体" w:eastAsia="宋体" w:cs="宋体"/>
                <w:sz w:val="24"/>
                <w:szCs w:val="24"/>
                <w:lang w:val="en-US" w:eastAsia="zh-CN"/>
              </w:rPr>
              <w:t xml:space="preserve">（法人直接参与仅提供身份证明、非法人直接参与须同时提供法人及本授权人身份证明）；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投标文件中附投标文件递交截止之日前 10 日内信用查询记录截图并加盖公章）；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（4）具备国家有关行政主管部门核发的医疗器械经营许可二类备案凭证；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）依法缴纳社会保障资金的缴纳记录和税收的承诺书（如不提供本承诺书须提供近三个月的依法纳税、养老和医疗缴费证明）；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）参加政府采购活动前</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lang w:val="en-US" w:eastAsia="zh-CN"/>
              </w:rPr>
              <w:t xml:space="preserve">年内在经营活动中没有重大违法记录的承诺书；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color w:val="auto"/>
                <w:sz w:val="24"/>
                <w:highlight w:val="none"/>
              </w:rPr>
              <w:t>投标保证金</w:t>
            </w:r>
            <w:r>
              <w:rPr>
                <w:rFonts w:hint="eastAsia"/>
                <w:color w:val="auto"/>
                <w:sz w:val="24"/>
                <w:highlight w:val="none"/>
                <w:lang w:eastAsia="zh-CN"/>
              </w:rPr>
              <w:t>汇款凭证</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cs="宋体"/>
                <w:b/>
                <w:bCs/>
                <w:color w:val="auto"/>
                <w:sz w:val="24"/>
                <w:lang w:val="zh-CN"/>
              </w:rPr>
              <w:t>注：以上文件在开标现场需按照以上内容提供，投标文件中附复印件。代理机构一次性统一收取后送交评审委员会评审，不符合要求的资格审查不予通过。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核心产品：</w:t>
            </w:r>
            <w:r>
              <w:rPr>
                <w:rFonts w:hint="eastAsia" w:ascii="宋体" w:hAnsi="宋体" w:eastAsia="宋体" w:cs="宋体"/>
                <w:sz w:val="24"/>
                <w:szCs w:val="24"/>
                <w:lang w:val="en-US" w:eastAsia="zh-CN"/>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sz w:val="24"/>
                <w:szCs w:val="24"/>
                <w:u w:val="none"/>
              </w:rPr>
            </w:pPr>
            <w:r>
              <w:rPr>
                <w:rFonts w:hint="eastAsia" w:ascii="宋体" w:hAnsi="宋体" w:eastAsia="宋体" w:cs="宋体"/>
                <w:sz w:val="24"/>
                <w:szCs w:val="24"/>
                <w:u w:val="none"/>
              </w:rPr>
              <w:t>评标方法：</w:t>
            </w:r>
            <w:r>
              <w:rPr>
                <w:rFonts w:hint="eastAsia" w:ascii="宋体" w:hAnsi="宋体" w:cs="宋体"/>
                <w:sz w:val="24"/>
                <w:szCs w:val="24"/>
                <w:u w:val="none"/>
                <w:lang w:eastAsia="zh-CN"/>
              </w:rPr>
              <w:t>综合评分法</w:t>
            </w:r>
            <w:r>
              <w:rPr>
                <w:rFonts w:hint="eastAsia" w:ascii="宋体" w:hAnsi="宋体" w:eastAsia="宋体" w:cs="宋体"/>
                <w:sz w:val="24"/>
                <w:szCs w:val="24"/>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color w:val="auto"/>
                <w:position w:val="-1"/>
                <w:sz w:val="24"/>
                <w:highlight w:val="none"/>
              </w:rPr>
              <w:t>评</w:t>
            </w:r>
            <w:r>
              <w:rPr>
                <w:color w:val="auto"/>
                <w:spacing w:val="2"/>
                <w:position w:val="-1"/>
                <w:sz w:val="24"/>
                <w:highlight w:val="none"/>
              </w:rPr>
              <w:t>标</w:t>
            </w:r>
            <w:r>
              <w:rPr>
                <w:color w:val="auto"/>
                <w:position w:val="-1"/>
                <w:sz w:val="24"/>
                <w:highlight w:val="none"/>
              </w:rPr>
              <w:t>委</w:t>
            </w:r>
            <w:r>
              <w:rPr>
                <w:color w:val="auto"/>
                <w:spacing w:val="2"/>
                <w:position w:val="-1"/>
                <w:sz w:val="24"/>
                <w:highlight w:val="none"/>
              </w:rPr>
              <w:t>员</w:t>
            </w:r>
            <w:r>
              <w:rPr>
                <w:color w:val="auto"/>
                <w:position w:val="-1"/>
                <w:sz w:val="24"/>
                <w:highlight w:val="none"/>
              </w:rPr>
              <w:t>会组</w:t>
            </w:r>
            <w:r>
              <w:rPr>
                <w:color w:val="auto"/>
                <w:spacing w:val="2"/>
                <w:position w:val="-1"/>
                <w:sz w:val="24"/>
                <w:highlight w:val="none"/>
              </w:rPr>
              <w:t>成</w:t>
            </w:r>
            <w:r>
              <w:rPr>
                <w:color w:val="auto"/>
                <w:position w:val="-1"/>
                <w:sz w:val="24"/>
                <w:szCs w:val="22"/>
                <w:highlight w:val="none"/>
              </w:rPr>
              <w:t>：</w:t>
            </w:r>
            <w:r>
              <w:rPr>
                <w:rFonts w:hint="eastAsia"/>
                <w:color w:val="auto"/>
                <w:position w:val="-1"/>
                <w:sz w:val="24"/>
                <w:szCs w:val="22"/>
                <w:highlight w:val="none"/>
                <w:u w:val="single"/>
                <w:lang w:val="en-US" w:eastAsia="zh-CN"/>
              </w:rPr>
              <w:t>7</w:t>
            </w:r>
            <w:r>
              <w:rPr>
                <w:color w:val="auto"/>
                <w:position w:val="-1"/>
                <w:sz w:val="24"/>
                <w:szCs w:val="22"/>
                <w:highlight w:val="none"/>
              </w:rPr>
              <w:t>人，</w:t>
            </w:r>
            <w:r>
              <w:rPr>
                <w:rFonts w:hint="eastAsia"/>
                <w:color w:val="auto"/>
                <w:position w:val="-1"/>
                <w:sz w:val="24"/>
                <w:szCs w:val="22"/>
                <w:highlight w:val="none"/>
                <w:u w:val="single"/>
                <w:lang w:val="en-US" w:eastAsia="zh-CN"/>
              </w:rPr>
              <w:t xml:space="preserve"> 2</w:t>
            </w:r>
            <w:r>
              <w:rPr>
                <w:color w:val="auto"/>
                <w:position w:val="-1"/>
                <w:sz w:val="24"/>
                <w:szCs w:val="22"/>
                <w:highlight w:val="none"/>
              </w:rPr>
              <w:t>名招标人代表，</w:t>
            </w:r>
            <w:r>
              <w:rPr>
                <w:rFonts w:hint="eastAsia"/>
                <w:color w:val="auto"/>
                <w:w w:val="97"/>
                <w:position w:val="-1"/>
                <w:sz w:val="24"/>
                <w:highlight w:val="none"/>
                <w:u w:val="single"/>
                <w:lang w:val="en-US" w:eastAsia="zh-CN"/>
              </w:rPr>
              <w:t>5</w:t>
            </w:r>
            <w:r>
              <w:rPr>
                <w:color w:val="auto"/>
                <w:position w:val="-1"/>
                <w:sz w:val="24"/>
                <w:szCs w:val="22"/>
                <w:highlight w:val="none"/>
              </w:rPr>
              <w:t>名评标委员采用随机抽取的方式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cs="Times New Roman"/>
                <w:color w:val="auto"/>
                <w:sz w:val="24"/>
                <w:szCs w:val="24"/>
              </w:rPr>
              <w:t>招标人是否委托评标委员会直接确定</w:t>
            </w:r>
            <w:r>
              <w:rPr>
                <w:rFonts w:hint="eastAsia" w:ascii="宋体" w:hAnsi="宋体" w:cs="Times New Roman"/>
                <w:color w:val="auto"/>
                <w:sz w:val="24"/>
                <w:szCs w:val="24"/>
                <w:lang w:eastAsia="zh-CN"/>
              </w:rPr>
              <w:t>中标供应商</w:t>
            </w: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u w:val="single"/>
              </w:rPr>
              <w:t>是</w:t>
            </w:r>
            <w:r>
              <w:rPr>
                <w:rFonts w:hint="eastAsia" w:ascii="宋体" w:hAnsi="宋体" w:cs="Times New Roman"/>
                <w:color w:val="auto"/>
                <w:sz w:val="24"/>
                <w:szCs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是否提交履约保证金：</w:t>
            </w:r>
            <w:r>
              <w:rPr>
                <w:rFonts w:hint="eastAsia" w:ascii="宋体" w:hAnsi="宋体" w:eastAsia="宋体" w:cs="宋体"/>
                <w:sz w:val="24"/>
                <w:szCs w:val="24"/>
                <w:u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交货期：</w:t>
            </w:r>
            <w:r>
              <w:rPr>
                <w:rFonts w:hint="eastAsia" w:ascii="宋体" w:hAnsi="宋体" w:cs="宋体"/>
                <w:sz w:val="24"/>
                <w:szCs w:val="24"/>
                <w:u w:val="none"/>
                <w:lang w:val="en-US" w:eastAsia="zh-CN"/>
              </w:rPr>
              <w:t xml:space="preserve">7日历天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24</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质保期服务要求：</w:t>
            </w:r>
            <w:r>
              <w:rPr>
                <w:rFonts w:hint="eastAsia" w:ascii="宋体" w:hAnsi="宋体" w:cs="宋体"/>
                <w:sz w:val="24"/>
                <w:szCs w:val="24"/>
                <w:u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中标服务费：根据计价格【2002】1980号文件由中标人支付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针对同一采购程序环节的质疑次数及形式：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■一次性提出；质疑供应商应在法定质疑期内提出质疑。</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接受质疑方式：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联系单位：中瑞岳华（上海）项目管理有限公司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r>
              <w:rPr>
                <w:rFonts w:hint="eastAsia" w:ascii="宋体" w:hAnsi="宋体" w:cs="宋体"/>
                <w:sz w:val="24"/>
                <w:szCs w:val="24"/>
                <w:lang w:val="en-US" w:eastAsia="zh-CN"/>
              </w:rPr>
              <w:t xml:space="preserve">13999190399 </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宋体" w:hAnsi="宋体" w:eastAsia="宋体" w:cs="宋体"/>
                <w:sz w:val="24"/>
                <w:szCs w:val="24"/>
                <w:lang w:val="en-US" w:eastAsia="zh-CN"/>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其他政府采购政策</w:t>
            </w:r>
            <w:r>
              <w:rPr>
                <w:rFonts w:hint="eastAsia" w:ascii="宋体" w:hAnsi="宋体" w:cs="宋体"/>
                <w:sz w:val="24"/>
                <w:szCs w:val="24"/>
                <w:lang w:eastAsia="zh-CN"/>
              </w:rPr>
              <w:t>：</w:t>
            </w:r>
            <w:r>
              <w:rPr>
                <w:rFonts w:hint="eastAsia" w:ascii="宋体" w:hAnsi="宋体" w:eastAsia="宋体" w:cs="宋体"/>
                <w:sz w:val="24"/>
                <w:szCs w:val="24"/>
                <w:lang w:val="en-US" w:eastAsia="zh-CN"/>
              </w:rPr>
              <w:t>（1）澄清或者修改时间：不影响投标文件编制的在提交投标文件截止时间前；可能影响投标文件编制的在提交首次投标文件截止时间15日前。</w:t>
            </w:r>
            <w:r>
              <w:rPr>
                <w:rFonts w:hint="eastAsia" w:ascii="宋体" w:hAnsi="宋体" w:cs="宋体"/>
                <w:sz w:val="24"/>
                <w:szCs w:val="24"/>
                <w:lang w:val="en-US" w:eastAsia="zh-CN"/>
              </w:rPr>
              <w:t>（2）根据财库【2017】141号、财库【2020】46号文落实政府采购政策,供应商可面向中小企业/小微企业、</w:t>
            </w:r>
            <w:r>
              <w:rPr>
                <w:rFonts w:hint="eastAsia" w:ascii="宋体" w:hAnsi="宋体" w:eastAsia="宋体" w:cs="宋体"/>
                <w:sz w:val="24"/>
                <w:szCs w:val="24"/>
                <w:lang w:val="en-US" w:eastAsia="zh-CN"/>
              </w:rPr>
              <w:t>监狱企业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残疾人福利性单位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对报价给予8%的扣除，用扣除后的价格参与评审</w:t>
            </w:r>
            <w:r>
              <w:rPr>
                <w:rFonts w:hint="eastAsia" w:ascii="宋体" w:hAnsi="宋体" w:cs="宋体"/>
                <w:sz w:val="24"/>
                <w:szCs w:val="24"/>
                <w:lang w:val="en-US" w:eastAsia="zh-CN"/>
              </w:rPr>
              <w:t>（注：1、以上政策不重复享受。2、如属于上述企业需按本须知前附表第7条提供相关资料）。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723" w:type="dxa"/>
            <w:gridSpan w:val="2"/>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bookmarkStart w:id="2" w:name="_Toc13051"/>
            <w:r>
              <w:rPr>
                <w:rFonts w:hint="eastAsia" w:ascii="宋体" w:hAnsi="宋体" w:eastAsia="宋体" w:cs="宋体"/>
                <w:b/>
                <w:bCs/>
                <w:sz w:val="24"/>
                <w:szCs w:val="24"/>
              </w:rPr>
              <w:t>适用于本投标人须知的额外增加的变动：</w:t>
            </w:r>
          </w:p>
        </w:tc>
      </w:tr>
    </w:tbl>
    <w:p>
      <w:pPr>
        <w:rPr>
          <w:rFonts w:hint="eastAsia"/>
          <w:sz w:val="28"/>
          <w:szCs w:val="28"/>
          <w:lang w:val="en-US" w:eastAsia="zh-CN"/>
        </w:rPr>
      </w:pPr>
      <w:bookmarkStart w:id="324" w:name="_GoBack"/>
      <w:bookmarkEnd w:id="324"/>
      <w:r>
        <w:rPr>
          <w:rFonts w:hint="eastAsia"/>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szCs w:val="28"/>
          <w:lang w:val="en-US" w:eastAsia="zh-CN"/>
        </w:rPr>
      </w:pPr>
      <w:r>
        <w:rPr>
          <w:rFonts w:hint="eastAsia"/>
          <w:sz w:val="28"/>
          <w:szCs w:val="28"/>
          <w:lang w:val="en-US" w:eastAsia="zh-CN"/>
        </w:rPr>
        <w:t>第三章 供应商须知</w:t>
      </w:r>
      <w:bookmarkEnd w:id="2"/>
    </w:p>
    <w:p>
      <w:pPr>
        <w:pStyle w:val="5"/>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4"/>
        </w:rPr>
      </w:pPr>
      <w:bookmarkStart w:id="3" w:name="_Toc532473449"/>
      <w:bookmarkStart w:id="4" w:name="_Toc2582263"/>
      <w:bookmarkStart w:id="5" w:name="_Toc21215"/>
      <w:bookmarkStart w:id="6" w:name="_Toc22967"/>
      <w:bookmarkStart w:id="7" w:name="_Toc21015"/>
      <w:r>
        <w:rPr>
          <w:rFonts w:hint="eastAsia"/>
          <w:sz w:val="24"/>
          <w:szCs w:val="24"/>
          <w:lang w:eastAsia="zh-CN"/>
        </w:rPr>
        <w:t>（一）</w:t>
      </w:r>
      <w:r>
        <w:rPr>
          <w:rFonts w:hint="eastAsia"/>
          <w:sz w:val="24"/>
          <w:szCs w:val="24"/>
        </w:rPr>
        <w:t>总则</w:t>
      </w:r>
      <w:bookmarkEnd w:id="3"/>
      <w:bookmarkEnd w:id="4"/>
      <w:bookmarkEnd w:id="5"/>
      <w:bookmarkEnd w:id="6"/>
      <w:bookmarkEnd w:id="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 w:name="_Toc520356144"/>
      <w:bookmarkStart w:id="9" w:name="_Toc515647758"/>
      <w:bookmarkStart w:id="10" w:name="_Toc532473450"/>
      <w:bookmarkStart w:id="11" w:name="_Toc2582264"/>
      <w:bookmarkStart w:id="12" w:name="_Toc32189"/>
      <w:bookmarkStart w:id="13" w:name="_Toc32623"/>
      <w:r>
        <w:rPr>
          <w:rFonts w:hint="eastAsia" w:ascii="宋体" w:hAnsi="宋体" w:eastAsia="宋体" w:cs="宋体"/>
          <w:sz w:val="24"/>
          <w:szCs w:val="24"/>
          <w:u w:val="none"/>
        </w:rPr>
        <w:t>1.采购人、采购代理机构及</w:t>
      </w:r>
      <w:bookmarkEnd w:id="8"/>
      <w:r>
        <w:rPr>
          <w:rFonts w:hint="eastAsia" w:ascii="宋体" w:hAnsi="宋体" w:eastAsia="宋体" w:cs="宋体"/>
          <w:sz w:val="24"/>
          <w:szCs w:val="24"/>
          <w:u w:val="none"/>
        </w:rPr>
        <w:t>投标人</w:t>
      </w:r>
      <w:bookmarkEnd w:id="9"/>
      <w:bookmarkEnd w:id="10"/>
      <w:bookmarkEnd w:id="11"/>
      <w:bookmarkEnd w:id="12"/>
      <w:bookmarkEnd w:id="13"/>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1 </w:t>
      </w:r>
      <w:r>
        <w:rPr>
          <w:rFonts w:hint="eastAsia" w:ascii="宋体" w:hAnsi="宋体" w:cs="宋体"/>
          <w:sz w:val="24"/>
          <w:szCs w:val="24"/>
          <w:lang w:val="en-US" w:eastAsia="zh-CN"/>
        </w:rPr>
        <w:t xml:space="preserve">  </w:t>
      </w:r>
      <w:r>
        <w:rPr>
          <w:rFonts w:hint="eastAsia" w:ascii="宋体" w:hAnsi="宋体" w:eastAsia="宋体" w:cs="宋体"/>
          <w:sz w:val="24"/>
          <w:szCs w:val="24"/>
        </w:rPr>
        <w:t>采购人：</w:t>
      </w:r>
      <w:r>
        <w:rPr>
          <w:rStyle w:val="25"/>
          <w:rFonts w:hint="eastAsia" w:ascii="宋体" w:hAnsi="宋体" w:cs="宋体"/>
          <w:b w:val="0"/>
          <w:bCs/>
          <w:color w:val="auto"/>
          <w:sz w:val="24"/>
          <w:szCs w:val="24"/>
          <w:highlight w:val="none"/>
          <w:u w:val="none"/>
          <w:lang w:val="en-US" w:eastAsia="zh-CN"/>
        </w:rPr>
        <w:t>阿勒泰地区疾病预防控制中心</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 xml:space="preserve">1.2 </w:t>
      </w:r>
      <w:r>
        <w:rPr>
          <w:rFonts w:hint="eastAsia" w:ascii="宋体" w:hAnsi="宋体" w:cs="宋体"/>
          <w:sz w:val="24"/>
          <w:szCs w:val="24"/>
          <w:lang w:val="en-US" w:eastAsia="zh-CN"/>
        </w:rPr>
        <w:t xml:space="preserve">  </w:t>
      </w:r>
      <w:r>
        <w:rPr>
          <w:rFonts w:hint="eastAsia" w:ascii="宋体" w:hAnsi="宋体" w:eastAsia="宋体" w:cs="宋体"/>
          <w:sz w:val="24"/>
          <w:szCs w:val="24"/>
        </w:rPr>
        <w:t>采购代理机构：</w:t>
      </w:r>
      <w:r>
        <w:rPr>
          <w:rFonts w:hint="eastAsia" w:ascii="宋体" w:hAnsi="宋体" w:cs="宋体"/>
          <w:sz w:val="24"/>
          <w:szCs w:val="24"/>
          <w:lang w:val="en-US" w:eastAsia="zh-CN"/>
        </w:rPr>
        <w:t>中瑞岳华（上海）项目管理有限公司</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投标人：是指响应招标、参加投标竞争的法人、非法人组织或者自然人。潜在投标人：</w:t>
      </w:r>
    </w:p>
    <w:p>
      <w:pPr>
        <w:pageBreakBefore w:val="0"/>
        <w:widowControl w:val="0"/>
        <w:tabs>
          <w:tab w:val="left" w:pos="142"/>
        </w:tabs>
        <w:kinsoku/>
        <w:wordWrap/>
        <w:overflowPunct/>
        <w:topLinePunct w:val="0"/>
        <w:bidi w:val="0"/>
        <w:snapToGrid/>
        <w:spacing w:line="560" w:lineRule="exact"/>
        <w:ind w:left="718" w:leftChars="342" w:firstLine="12" w:firstLineChars="5"/>
        <w:textAlignment w:val="auto"/>
        <w:rPr>
          <w:rFonts w:hint="eastAsia" w:ascii="宋体" w:hAnsi="宋体" w:eastAsia="宋体" w:cs="宋体"/>
          <w:sz w:val="24"/>
          <w:szCs w:val="24"/>
        </w:rPr>
      </w:pPr>
      <w:r>
        <w:rPr>
          <w:rFonts w:hint="eastAsia" w:ascii="宋体" w:hAnsi="宋体" w:eastAsia="宋体" w:cs="宋体"/>
          <w:sz w:val="24"/>
          <w:szCs w:val="24"/>
        </w:rPr>
        <w:t>以招标文件规定的方式获取本项目招标文件的法人、非法人组织或者自然人。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投标人</w:t>
      </w:r>
      <w:r>
        <w:rPr>
          <w:rFonts w:hint="eastAsia" w:ascii="宋体" w:hAnsi="宋体" w:eastAsia="宋体" w:cs="宋体"/>
          <w:sz w:val="24"/>
          <w:szCs w:val="24"/>
        </w:rPr>
        <w:t>及其投标货物须满足以下条件：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具备《中华人民共和国政府采购法》第二十二条关</w:t>
      </w:r>
      <w:r>
        <w:rPr>
          <w:rFonts w:hint="eastAsia" w:ascii="宋体" w:hAnsi="宋体" w:eastAsia="宋体" w:cs="宋体"/>
          <w:sz w:val="24"/>
          <w:szCs w:val="24"/>
          <w:lang w:eastAsia="zh-CN"/>
        </w:rPr>
        <w:t>于</w:t>
      </w:r>
      <w:r>
        <w:rPr>
          <w:rFonts w:hint="eastAsia" w:ascii="宋体" w:hAnsi="宋体" w:eastAsia="宋体" w:cs="宋体"/>
          <w:sz w:val="24"/>
          <w:szCs w:val="24"/>
        </w:rPr>
        <w:t>供应商条件的规定。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以招标文件规定的方式获得了本项目的招标文件。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符合</w:t>
      </w:r>
      <w:r>
        <w:rPr>
          <w:rFonts w:hint="eastAsia" w:ascii="宋体" w:hAnsi="宋体" w:eastAsia="宋体" w:cs="宋体"/>
          <w:sz w:val="24"/>
          <w:szCs w:val="24"/>
          <w:lang w:eastAsia="zh-CN"/>
        </w:rPr>
        <w:t>本项目</w:t>
      </w:r>
      <w:r>
        <w:rPr>
          <w:rFonts w:hint="eastAsia" w:ascii="宋体" w:hAnsi="宋体" w:eastAsia="宋体" w:cs="宋体"/>
          <w:sz w:val="24"/>
          <w:szCs w:val="24"/>
        </w:rPr>
        <w:t>合格投标人的其他资格要求</w:t>
      </w:r>
    </w:p>
    <w:p>
      <w:pPr>
        <w:pageBreakBefore w:val="0"/>
        <w:widowControl w:val="0"/>
        <w:kinsoku/>
        <w:wordWrap/>
        <w:overflowPunct/>
        <w:topLinePunct w:val="0"/>
        <w:bidi w:val="0"/>
        <w:snapToGrid/>
        <w:spacing w:line="560" w:lineRule="exact"/>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允许采购进口产品，投标人应保证所投产品可履行合法报通关手续进入中国</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关境内。若</w:t>
      </w:r>
      <w:r>
        <w:rPr>
          <w:rFonts w:hint="eastAsia" w:ascii="宋体" w:hAnsi="宋体" w:eastAsia="宋体" w:cs="宋体"/>
          <w:sz w:val="24"/>
          <w:szCs w:val="24"/>
          <w:u w:val="none"/>
          <w:lang w:eastAsia="zh-CN"/>
        </w:rPr>
        <w:t>本项目不</w:t>
      </w:r>
      <w:r>
        <w:rPr>
          <w:rFonts w:hint="eastAsia" w:ascii="宋体" w:hAnsi="宋体" w:eastAsia="宋体" w:cs="宋体"/>
          <w:sz w:val="24"/>
          <w:szCs w:val="24"/>
          <w:u w:val="none"/>
        </w:rPr>
        <w:t>允</w:t>
      </w:r>
      <w:r>
        <w:rPr>
          <w:rFonts w:hint="eastAsia" w:ascii="宋体" w:hAnsi="宋体" w:eastAsia="宋体" w:cs="宋体"/>
          <w:sz w:val="24"/>
          <w:szCs w:val="24"/>
        </w:rPr>
        <w:t>许采购进口产品，如投标人所投产品为进口产品，其投标将被</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72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专门面向中小企业采购的，如投标人所投产品为非中小企业</w:t>
      </w:r>
      <w:r>
        <w:rPr>
          <w:rFonts w:hint="eastAsia" w:ascii="宋体" w:hAnsi="宋体" w:eastAsia="宋体" w:cs="宋体"/>
          <w:sz w:val="24"/>
          <w:szCs w:val="24"/>
          <w:lang w:eastAsia="zh-CN"/>
        </w:rPr>
        <w:t>制造</w:t>
      </w:r>
      <w:r>
        <w:rPr>
          <w:rFonts w:hint="eastAsia" w:ascii="宋体" w:hAnsi="宋体" w:eastAsia="宋体" w:cs="宋体"/>
          <w:sz w:val="24"/>
          <w:szCs w:val="24"/>
        </w:rPr>
        <w:t>，其投标将被认定为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如</w:t>
      </w:r>
      <w:r>
        <w:rPr>
          <w:rFonts w:hint="eastAsia" w:ascii="宋体" w:hAnsi="宋体" w:eastAsia="宋体" w:cs="宋体"/>
          <w:sz w:val="24"/>
          <w:szCs w:val="24"/>
          <w:lang w:eastAsia="zh-CN"/>
        </w:rPr>
        <w:t>本项目</w:t>
      </w:r>
      <w:r>
        <w:rPr>
          <w:rFonts w:hint="eastAsia" w:ascii="宋体" w:hAnsi="宋体" w:eastAsia="宋体" w:cs="宋体"/>
          <w:sz w:val="24"/>
          <w:szCs w:val="24"/>
        </w:rPr>
        <w:t>允许联合体投标，对联合体规定如下：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两个及以上供应商可以组成一个投标联合体，以一个投标人的身份投标。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联合体各方均应符合本须知</w:t>
      </w:r>
      <w:r>
        <w:rPr>
          <w:rFonts w:hint="eastAsia" w:ascii="宋体" w:hAnsi="宋体" w:eastAsia="宋体" w:cs="宋体"/>
          <w:sz w:val="24"/>
          <w:szCs w:val="24"/>
          <w:lang w:val="en-US" w:eastAsia="zh-CN"/>
        </w:rPr>
        <w:t>1.4.1的</w:t>
      </w:r>
      <w:r>
        <w:rPr>
          <w:rFonts w:hint="eastAsia" w:ascii="宋体" w:hAnsi="宋体" w:eastAsia="宋体" w:cs="宋体"/>
          <w:sz w:val="24"/>
          <w:szCs w:val="24"/>
        </w:rPr>
        <w:t>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采购人根据采购项目对投标人的特殊要求，联合体中至少应当有一方符合</w:t>
      </w:r>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相关规定。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联合体各方应签订共同投标协议，明确约定联合体各方承担的工作和相应</w:t>
      </w:r>
    </w:p>
    <w:p>
      <w:pPr>
        <w:pageBreakBefore w:val="0"/>
        <w:widowControl w:val="0"/>
        <w:kinsoku/>
        <w:wordWrap/>
        <w:overflowPunct/>
        <w:topLinePunct w:val="0"/>
        <w:bidi w:val="0"/>
        <w:snapToGrid/>
        <w:spacing w:line="560" w:lineRule="exact"/>
        <w:ind w:left="1017" w:leftChars="399"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的责任，并将共同投标协议作为投标文件的内容提交。</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大中型企业、其他自然人、法人或者非法人组织与小型、微型企业组成联</w:t>
      </w:r>
    </w:p>
    <w:p>
      <w:pPr>
        <w:pageBreakBefore w:val="0"/>
        <w:widowControl w:val="0"/>
        <w:kinsoku/>
        <w:wordWrap/>
        <w:overflowPunct/>
        <w:topLinePunct w:val="0"/>
        <w:bidi w:val="0"/>
        <w:snapToGrid/>
        <w:spacing w:line="560" w:lineRule="exact"/>
        <w:ind w:left="837" w:leftChars="399"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以联合体形式参加政府采购活动的，联合体各方不得再单独参加或者与其他供应商另</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外组成联合体参加本项目同一合同项下的投标，否则相关投标将被认定为</w:t>
      </w:r>
      <w:r>
        <w:rPr>
          <w:rFonts w:hint="eastAsia" w:ascii="宋体" w:hAnsi="宋体" w:eastAsia="宋体" w:cs="宋体"/>
          <w:b/>
          <w:sz w:val="24"/>
          <w:szCs w:val="24"/>
        </w:rPr>
        <w:t>投标无效</w:t>
      </w:r>
      <w:r>
        <w:rPr>
          <w:rFonts w:hint="eastAsia" w:ascii="宋体" w:hAnsi="宋体" w:eastAsia="宋体" w:cs="宋体"/>
          <w:b/>
          <w:sz w:val="24"/>
          <w:szCs w:val="24"/>
          <w:lang w:eastAsia="zh-CN"/>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单位负责人为同一人或者存在直接控股、管理关系的不同供应商参与本项目同一合同</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项下的投标的，其相关投标将被认定为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为本项目提供过整体设计、规范编制或者项目管理、监理、检测等服务的供应商，不</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得再参加本项目上述服务以外的其他采购活动。否则其投标将被认定为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bCs/>
          <w:sz w:val="24"/>
          <w:szCs w:val="24"/>
        </w:rPr>
        <w:t>在政府采购活动中，采购人员及相关人员与供应商有下列利害关系之一的，应当回避：</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1.8.1 </w:t>
      </w:r>
      <w:r>
        <w:rPr>
          <w:rFonts w:hint="eastAsia" w:ascii="宋体" w:hAnsi="宋体" w:eastAsia="宋体" w:cs="宋体"/>
          <w:bCs/>
          <w:sz w:val="24"/>
          <w:szCs w:val="24"/>
        </w:rPr>
        <w:t>参加采购活动前3年内与供应商存在劳动关系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1.8.2 </w:t>
      </w:r>
      <w:r>
        <w:rPr>
          <w:rFonts w:hint="eastAsia" w:ascii="宋体" w:hAnsi="宋体" w:eastAsia="宋体" w:cs="宋体"/>
          <w:bCs/>
          <w:sz w:val="24"/>
          <w:szCs w:val="24"/>
        </w:rPr>
        <w:t>参加采购活动前3年内担任供应商的董事、监事</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1.8.3 </w:t>
      </w:r>
      <w:r>
        <w:rPr>
          <w:rFonts w:hint="eastAsia" w:ascii="宋体" w:hAnsi="宋体" w:eastAsia="宋体" w:cs="宋体"/>
          <w:bCs/>
          <w:sz w:val="24"/>
          <w:szCs w:val="24"/>
        </w:rPr>
        <w:t>参加采购活动前3年内是供应商的控股股东或者实际控制人</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1.8.4 </w:t>
      </w:r>
      <w:r>
        <w:rPr>
          <w:rFonts w:hint="eastAsia" w:ascii="宋体" w:hAnsi="宋体" w:eastAsia="宋体" w:cs="宋体"/>
          <w:bCs/>
          <w:sz w:val="24"/>
          <w:szCs w:val="24"/>
        </w:rPr>
        <w:t>与供应商的法定代表人或者负责人有夫妻、直系血亲、三代以内旁系血亲或者近姻亲关系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1.8.5 </w:t>
      </w:r>
      <w:r>
        <w:rPr>
          <w:rFonts w:hint="eastAsia" w:ascii="宋体" w:hAnsi="宋体" w:eastAsia="宋体" w:cs="宋体"/>
          <w:bCs/>
          <w:sz w:val="24"/>
          <w:szCs w:val="24"/>
        </w:rPr>
        <w:t>与供应商有其他可能影响政府采购活动公平、公正进行的关系。</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 xml:space="preserve">1.8.6 </w:t>
      </w:r>
      <w:r>
        <w:rPr>
          <w:rFonts w:hint="eastAsia" w:ascii="宋体" w:hAnsi="宋体" w:eastAsia="宋体" w:cs="宋体"/>
          <w:bCs/>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4" w:name="_Toc12139"/>
      <w:bookmarkStart w:id="15" w:name="_Toc2582265"/>
      <w:bookmarkStart w:id="16" w:name="_Toc5286"/>
      <w:bookmarkStart w:id="17" w:name="_Toc532473451"/>
      <w:bookmarkStart w:id="18" w:name="_Toc515647759"/>
      <w:r>
        <w:rPr>
          <w:rFonts w:hint="eastAsia" w:ascii="宋体" w:hAnsi="宋体" w:eastAsia="宋体" w:cs="宋体"/>
          <w:sz w:val="24"/>
          <w:szCs w:val="24"/>
          <w:u w:val="none"/>
        </w:rPr>
        <w:t>2.资金来源</w:t>
      </w:r>
      <w:bookmarkEnd w:id="14"/>
      <w:bookmarkEnd w:id="15"/>
      <w:bookmarkEnd w:id="16"/>
      <w:bookmarkEnd w:id="17"/>
      <w:bookmarkEnd w:id="1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投标人报价超过招标文件规定的预算金额或者最高限价的，其投标将被认定为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 w:name="_Toc520356145"/>
      <w:bookmarkStart w:id="20" w:name="_Toc532473452"/>
      <w:bookmarkStart w:id="21" w:name="_Toc20526"/>
      <w:bookmarkStart w:id="22" w:name="_Toc15936"/>
      <w:bookmarkStart w:id="23" w:name="_Toc515647760"/>
      <w:bookmarkStart w:id="24" w:name="_Toc2582266"/>
      <w:r>
        <w:rPr>
          <w:rFonts w:hint="eastAsia" w:ascii="宋体" w:hAnsi="宋体" w:eastAsia="宋体" w:cs="宋体"/>
          <w:sz w:val="24"/>
          <w:szCs w:val="24"/>
          <w:u w:val="none"/>
        </w:rPr>
        <w:t>3.投标费用</w:t>
      </w:r>
      <w:bookmarkEnd w:id="19"/>
      <w:bookmarkEnd w:id="20"/>
      <w:bookmarkEnd w:id="21"/>
      <w:bookmarkEnd w:id="22"/>
      <w:bookmarkEnd w:id="23"/>
      <w:bookmarkEnd w:id="24"/>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不论投标结果如何，投标人应承担所有与投标有关的费用。</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25" w:name="_Toc532473454"/>
      <w:bookmarkStart w:id="26" w:name="_Toc28953"/>
      <w:bookmarkStart w:id="27" w:name="_Toc216582806"/>
      <w:bookmarkStart w:id="28" w:name="_Toc4365"/>
      <w:bookmarkStart w:id="29" w:name="_Toc2582268"/>
      <w:bookmarkStart w:id="30" w:name="_Toc21566"/>
      <w:bookmarkStart w:id="31" w:name="_Toc515647762"/>
      <w:bookmarkStart w:id="32" w:name="_Toc520356146"/>
      <w:r>
        <w:rPr>
          <w:rFonts w:hint="eastAsia"/>
          <w:sz w:val="24"/>
          <w:szCs w:val="24"/>
          <w:lang w:eastAsia="zh-CN"/>
        </w:rPr>
        <w:t>（二）</w:t>
      </w:r>
      <w:r>
        <w:rPr>
          <w:rFonts w:hint="eastAsia"/>
          <w:sz w:val="24"/>
          <w:szCs w:val="24"/>
        </w:rPr>
        <w:t>招标文件</w:t>
      </w:r>
      <w:bookmarkEnd w:id="25"/>
      <w:bookmarkEnd w:id="26"/>
      <w:bookmarkEnd w:id="27"/>
      <w:bookmarkEnd w:id="28"/>
      <w:bookmarkEnd w:id="29"/>
      <w:bookmarkEnd w:id="30"/>
      <w:bookmarkEnd w:id="31"/>
      <w:bookmarkEnd w:id="32"/>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33" w:name="_Toc25743"/>
      <w:bookmarkStart w:id="34" w:name="_Toc515647763"/>
      <w:bookmarkStart w:id="35" w:name="_Toc532473455"/>
      <w:bookmarkStart w:id="36" w:name="_Toc14084"/>
      <w:bookmarkStart w:id="37" w:name="_Toc2582269"/>
      <w:bookmarkStart w:id="38" w:name="_Toc520356147"/>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.招标文件构成</w:t>
      </w:r>
      <w:bookmarkEnd w:id="33"/>
      <w:bookmarkEnd w:id="34"/>
      <w:bookmarkEnd w:id="35"/>
      <w:bookmarkEnd w:id="36"/>
      <w:bookmarkEnd w:id="37"/>
      <w:bookmarkEnd w:id="38"/>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投标邀请</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lang w:eastAsia="zh-CN"/>
        </w:rPr>
        <w:t>前附表</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供应商须知</w:t>
      </w:r>
    </w:p>
    <w:p>
      <w:pPr>
        <w:pStyle w:val="5"/>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b w:val="0"/>
          <w:bCs w:val="0"/>
          <w:sz w:val="24"/>
          <w:szCs w:val="24"/>
          <w:lang w:val="en-US" w:eastAsia="zh-CN"/>
        </w:rPr>
      </w:pPr>
      <w:bookmarkStart w:id="39" w:name="_Toc26129"/>
      <w:bookmarkStart w:id="40" w:name="_Toc21923"/>
      <w:r>
        <w:rPr>
          <w:rFonts w:hint="eastAsia" w:ascii="宋体" w:hAnsi="宋体" w:eastAsia="宋体" w:cs="宋体"/>
          <w:b w:val="0"/>
          <w:bCs w:val="0"/>
          <w:sz w:val="24"/>
          <w:szCs w:val="24"/>
          <w:lang w:val="en-US" w:eastAsia="zh-CN"/>
        </w:rPr>
        <w:t>4.4   项目说明和采购需求</w:t>
      </w:r>
      <w:bookmarkEnd w:id="39"/>
      <w:bookmarkEnd w:id="4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评标方法和标准</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政府采购合同范本</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投标文件格式</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1" w:name="_Toc520356148"/>
      <w:bookmarkStart w:id="42" w:name="_Toc515904805"/>
      <w:bookmarkStart w:id="43" w:name="_Toc532473456"/>
      <w:bookmarkStart w:id="44" w:name="_Toc9232"/>
      <w:bookmarkStart w:id="45" w:name="_Toc2582270"/>
      <w:bookmarkStart w:id="46" w:name="_Toc26044"/>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.招标文件的澄清</w:t>
      </w:r>
      <w:bookmarkEnd w:id="41"/>
      <w:bookmarkEnd w:id="42"/>
      <w:r>
        <w:rPr>
          <w:rFonts w:hint="eastAsia" w:ascii="宋体" w:hAnsi="宋体" w:eastAsia="宋体" w:cs="宋体"/>
          <w:sz w:val="24"/>
          <w:szCs w:val="24"/>
          <w:u w:val="none"/>
        </w:rPr>
        <w:t>与修改</w:t>
      </w:r>
      <w:bookmarkEnd w:id="43"/>
      <w:bookmarkEnd w:id="44"/>
      <w:bookmarkEnd w:id="45"/>
      <w:bookmarkEnd w:id="4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   采购人、采购代理机构可以对已发出的招标文件等进行必要的澄清或者修改，但不得</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改变采购标的和资格条件。澄清或者修改应当在原公告发布媒体上发布澄清公告。澄</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清或者修改的内容为招标文件的组成部分。</w:t>
      </w:r>
    </w:p>
    <w:p>
      <w:pPr>
        <w:pageBreakBefore w:val="0"/>
        <w:widowControl w:val="0"/>
        <w:kinsoku/>
        <w:wordWrap/>
        <w:overflowPunct/>
        <w:topLinePunct w:val="0"/>
        <w:autoSpaceDE/>
        <w:autoSpaceDN/>
        <w:bidi w:val="0"/>
        <w:adjustRightInd/>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   招标文件中有不一致的，有澄清的部分以最终的澄清更正内容为准；未澄清的，以供应商须知前附表为准；供应商须知前附表不</w:t>
      </w:r>
      <w:r>
        <w:rPr>
          <w:rFonts w:hint="eastAsia" w:ascii="宋体" w:hAnsi="宋体" w:eastAsia="宋体" w:cs="宋体"/>
          <w:sz w:val="24"/>
          <w:szCs w:val="24"/>
        </w:rPr>
        <w:t>涉及的内容，以编排在后的最后描述为准。</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47" w:name="_Toc10156"/>
      <w:bookmarkStart w:id="48" w:name="_Toc32671"/>
      <w:r>
        <w:rPr>
          <w:rFonts w:hint="eastAsia" w:ascii="宋体" w:hAnsi="宋体" w:eastAsia="宋体" w:cs="宋体"/>
          <w:b w:val="0"/>
          <w:bCs w:val="0"/>
          <w:kern w:val="2"/>
          <w:sz w:val="24"/>
          <w:szCs w:val="24"/>
          <w:lang w:val="en-US" w:eastAsia="zh-CN" w:bidi="ar-SA"/>
        </w:rPr>
        <w:t>5.3   投标人应及时关注本项目原公告发布媒体上发布的澄清公告或修改内容并自行下载，采购人、采购代理机构不再另行通知。</w:t>
      </w:r>
      <w:bookmarkEnd w:id="47"/>
      <w:bookmarkEnd w:id="48"/>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9" w:name="_Toc25635"/>
      <w:bookmarkStart w:id="50" w:name="_Toc532473457"/>
      <w:bookmarkStart w:id="51" w:name="_Toc14569"/>
      <w:bookmarkStart w:id="52" w:name="_Toc2582271"/>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.投标截止时间的顺延</w:t>
      </w:r>
      <w:bookmarkEnd w:id="49"/>
      <w:bookmarkEnd w:id="50"/>
      <w:bookmarkEnd w:id="51"/>
      <w:bookmarkEnd w:id="5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 xml:space="preserve">6.1   </w:t>
      </w:r>
      <w:r>
        <w:rPr>
          <w:rFonts w:hint="eastAsia" w:ascii="宋体" w:hAnsi="宋体" w:eastAsia="宋体" w:cs="宋体"/>
          <w:b w:val="0"/>
          <w:bCs w:val="0"/>
          <w:kern w:val="2"/>
          <w:sz w:val="24"/>
          <w:szCs w:val="24"/>
          <w:lang w:val="en-US" w:eastAsia="zh-CN" w:bidi="ar-SA"/>
        </w:rPr>
        <w:t>为使投标人有足够的时间对招标文件的澄清或者修改部分进行研究而准备投标或因其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他原因，采购人将依法决定是否顺延投标截止时间。顺延变更公告应当在原公告发布</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媒体上发布。</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53" w:name="_Toc22048"/>
      <w:bookmarkStart w:id="54" w:name="_Toc13262"/>
      <w:r>
        <w:rPr>
          <w:rFonts w:hint="eastAsia" w:ascii="宋体" w:hAnsi="宋体" w:eastAsia="宋体" w:cs="宋体"/>
          <w:b w:val="0"/>
          <w:bCs w:val="0"/>
          <w:sz w:val="24"/>
          <w:szCs w:val="24"/>
          <w:lang w:val="en-US" w:eastAsia="zh-CN"/>
        </w:rPr>
        <w:t xml:space="preserve">6.2  </w:t>
      </w: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投标人应及时关注本项目原公告发布媒体上发布的变更公告，采购人、采购代理机构不再另行通知。</w:t>
      </w:r>
      <w:bookmarkEnd w:id="53"/>
      <w:bookmarkEnd w:id="54"/>
    </w:p>
    <w:p>
      <w:pPr>
        <w:pStyle w:val="7"/>
        <w:pageBreakBefore w:val="0"/>
        <w:widowControl w:val="0"/>
        <w:kinsoku/>
        <w:wordWrap/>
        <w:overflowPunct/>
        <w:topLinePunct w:val="0"/>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7.其他投标事项</w:t>
      </w:r>
    </w:p>
    <w:p>
      <w:pPr>
        <w:pageBreakBefore w:val="0"/>
        <w:widowControl w:val="0"/>
        <w:kinsoku/>
        <w:wordWrap/>
        <w:overflowPunct/>
        <w:topLinePunct w:val="0"/>
        <w:autoSpaceDE/>
        <w:autoSpaceDN/>
        <w:bidi w:val="0"/>
        <w:adjustRightInd/>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投标人应认真阅读招标文件所有的事项、格式、条款</w:t>
      </w:r>
      <w:r>
        <w:rPr>
          <w:rFonts w:hint="eastAsia" w:ascii="宋体" w:hAnsi="宋体" w:eastAsia="宋体" w:cs="宋体"/>
          <w:b w:val="0"/>
          <w:bCs w:val="0"/>
          <w:kern w:val="2"/>
          <w:sz w:val="24"/>
          <w:szCs w:val="24"/>
          <w:lang w:val="en-US" w:eastAsia="zh-CN" w:bidi="ar-SA"/>
        </w:rPr>
        <w:t>和技术规范等。如投标人没有按</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照招标文件要求提交全部资料，或者投标文件没有对招标文件的实质性要求做出响应，</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其投标将被认定为投标无效。</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   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b w:val="0"/>
          <w:bCs w:val="0"/>
          <w:kern w:val="2"/>
          <w:sz w:val="24"/>
          <w:szCs w:val="24"/>
          <w:u w:val="single"/>
          <w:lang w:val="en-US" w:eastAsia="zh-CN" w:bidi="ar-SA"/>
        </w:rPr>
        <w:t>供应商须知前附表</w:t>
      </w:r>
      <w:r>
        <w:rPr>
          <w:rFonts w:hint="eastAsia" w:ascii="宋体" w:hAnsi="宋体" w:eastAsia="宋体" w:cs="宋体"/>
          <w:b w:val="0"/>
          <w:bCs w:val="0"/>
          <w:kern w:val="2"/>
          <w:sz w:val="24"/>
          <w:szCs w:val="24"/>
          <w:lang w:val="en-US" w:eastAsia="zh-CN" w:bidi="ar-SA"/>
        </w:rPr>
        <w:t>。</w:t>
      </w:r>
    </w:p>
    <w:p>
      <w:pPr>
        <w:pStyle w:val="5"/>
        <w:bidi w:val="0"/>
        <w:jc w:val="center"/>
        <w:rPr>
          <w:rFonts w:hint="eastAsia" w:ascii="宋体" w:hAnsi="宋体" w:eastAsia="宋体" w:cs="宋体"/>
          <w:szCs w:val="24"/>
        </w:rPr>
      </w:pPr>
      <w:bookmarkStart w:id="55" w:name="_Toc516367020"/>
      <w:bookmarkStart w:id="56" w:name="_Toc216582807"/>
      <w:bookmarkStart w:id="57" w:name="_Toc2582272"/>
      <w:bookmarkStart w:id="58" w:name="_Toc30808"/>
      <w:bookmarkStart w:id="59" w:name="_Toc5639"/>
      <w:bookmarkStart w:id="60" w:name="_Toc532473458"/>
      <w:bookmarkStart w:id="61" w:name="_Toc520356150"/>
      <w:bookmarkStart w:id="62" w:name="_Toc515647766"/>
      <w:bookmarkStart w:id="63" w:name="_Toc7636"/>
      <w:r>
        <w:rPr>
          <w:rFonts w:hint="eastAsia"/>
          <w:sz w:val="24"/>
          <w:szCs w:val="24"/>
          <w:lang w:eastAsia="zh-CN"/>
        </w:rPr>
        <w:t>（三）</w:t>
      </w:r>
      <w:r>
        <w:rPr>
          <w:rFonts w:hint="eastAsia"/>
          <w:sz w:val="24"/>
          <w:szCs w:val="24"/>
        </w:rPr>
        <w:t>投标文件</w:t>
      </w:r>
      <w:bookmarkEnd w:id="55"/>
      <w:r>
        <w:rPr>
          <w:rFonts w:hint="eastAsia"/>
          <w:sz w:val="24"/>
          <w:szCs w:val="24"/>
        </w:rPr>
        <w:t>的编制</w:t>
      </w:r>
      <w:bookmarkEnd w:id="56"/>
      <w:bookmarkEnd w:id="57"/>
      <w:bookmarkEnd w:id="58"/>
      <w:bookmarkEnd w:id="59"/>
      <w:bookmarkEnd w:id="60"/>
      <w:bookmarkEnd w:id="61"/>
      <w:bookmarkEnd w:id="62"/>
      <w:bookmarkEnd w:id="63"/>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64" w:name="_Toc516367021"/>
      <w:bookmarkStart w:id="65" w:name="_Toc2582273"/>
      <w:bookmarkStart w:id="66" w:name="_Toc515647767"/>
      <w:bookmarkStart w:id="67" w:name="_Toc3553"/>
      <w:bookmarkStart w:id="68" w:name="_Toc7786"/>
      <w:bookmarkStart w:id="69" w:name="_Toc520356151"/>
      <w:bookmarkStart w:id="70" w:name="_Toc532473459"/>
      <w:r>
        <w:rPr>
          <w:rFonts w:hint="eastAsia" w:ascii="宋体" w:hAnsi="宋体" w:eastAsia="宋体" w:cs="宋体"/>
          <w:sz w:val="24"/>
          <w:szCs w:val="24"/>
          <w:u w:val="none"/>
        </w:rPr>
        <w:t>8.投标</w:t>
      </w:r>
      <w:bookmarkEnd w:id="64"/>
      <w:bookmarkEnd w:id="65"/>
      <w:bookmarkEnd w:id="66"/>
      <w:bookmarkEnd w:id="67"/>
      <w:bookmarkEnd w:id="68"/>
      <w:bookmarkEnd w:id="69"/>
      <w:bookmarkEnd w:id="70"/>
      <w:r>
        <w:rPr>
          <w:rFonts w:hint="eastAsia" w:ascii="宋体" w:hAnsi="宋体" w:eastAsia="宋体" w:cs="宋体"/>
          <w:sz w:val="24"/>
          <w:szCs w:val="24"/>
          <w:u w:val="none"/>
          <w:lang w:eastAsia="zh-CN"/>
        </w:rPr>
        <w:t>范围及文字、计量单位要求</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投标人应当对招标文件中所列的所有内容进行投标，如仅响应部分内容，其投标将被认定为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8.</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无论招标文件中是否要求，投标人所投货物及伴随的服务和工程均应符合国</w:t>
      </w:r>
      <w:r>
        <w:rPr>
          <w:rFonts w:hint="eastAsia" w:ascii="宋体" w:hAnsi="宋体" w:eastAsia="宋体" w:cs="宋体"/>
          <w:b w:val="0"/>
          <w:bCs w:val="0"/>
          <w:kern w:val="2"/>
          <w:sz w:val="24"/>
          <w:szCs w:val="24"/>
          <w:lang w:val="en-US" w:eastAsia="zh-CN" w:bidi="ar-SA"/>
        </w:rPr>
        <w:t>家强制性标准。</w:t>
      </w:r>
    </w:p>
    <w:p>
      <w:pPr>
        <w:pStyle w:val="5"/>
        <w:pageBreakBefore w:val="0"/>
        <w:widowControl w:val="0"/>
        <w:kinsoku/>
        <w:wordWrap/>
        <w:overflowPunct/>
        <w:topLinePunct w:val="0"/>
        <w:bidi w:val="0"/>
        <w:snapToGrid/>
        <w:spacing w:before="0" w:beforeLines="0" w:after="0" w:afterLines="0" w:line="560" w:lineRule="exact"/>
        <w:ind w:left="840" w:hanging="720" w:hangingChars="300"/>
        <w:textAlignment w:val="auto"/>
        <w:rPr>
          <w:rFonts w:hint="eastAsia" w:ascii="宋体" w:hAnsi="宋体" w:eastAsia="宋体" w:cs="宋体"/>
          <w:b w:val="0"/>
          <w:bCs w:val="0"/>
          <w:kern w:val="2"/>
          <w:sz w:val="24"/>
          <w:szCs w:val="24"/>
          <w:lang w:val="en-US" w:eastAsia="zh-CN" w:bidi="ar-SA"/>
        </w:rPr>
      </w:pPr>
      <w:bookmarkStart w:id="71" w:name="_Toc5219"/>
      <w:bookmarkStart w:id="72" w:name="_Toc29565"/>
      <w:r>
        <w:rPr>
          <w:rFonts w:hint="eastAsia" w:ascii="宋体" w:hAnsi="宋体" w:eastAsia="宋体" w:cs="宋体"/>
          <w:b w:val="0"/>
          <w:bCs w:val="0"/>
          <w:kern w:val="2"/>
          <w:sz w:val="24"/>
          <w:szCs w:val="24"/>
          <w:lang w:val="en-US" w:eastAsia="zh-CN" w:bidi="ar-SA"/>
        </w:rPr>
        <w:t>8.3   投标文件应使用规范汉字书写(专有名词须加注中文解释)，并采用通用的图形符号，不得出现与常规书写格式不符的内容。</w:t>
      </w:r>
      <w:bookmarkEnd w:id="71"/>
      <w:bookmarkEnd w:id="7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8.4   除招标文件中有特殊要求外，投标文</w:t>
      </w:r>
      <w:r>
        <w:rPr>
          <w:rFonts w:hint="eastAsia" w:ascii="宋体" w:hAnsi="宋体" w:eastAsia="宋体" w:cs="宋体"/>
          <w:sz w:val="24"/>
          <w:szCs w:val="24"/>
        </w:rPr>
        <w:t>件中所使用的计量单位，应采用中华人民共和国</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法定计量单位。</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73" w:name="_Ref467306676"/>
      <w:bookmarkStart w:id="74" w:name="_Toc516367022"/>
      <w:bookmarkStart w:id="75" w:name="_Ref467306195"/>
      <w:bookmarkStart w:id="76" w:name="_Toc10364"/>
      <w:bookmarkStart w:id="77" w:name="_Toc515647768"/>
      <w:bookmarkStart w:id="78" w:name="_Toc28307"/>
      <w:bookmarkStart w:id="79" w:name="_Toc2582274"/>
      <w:bookmarkStart w:id="80" w:name="_Toc520356152"/>
      <w:bookmarkStart w:id="81" w:name="_Toc532473460"/>
      <w:r>
        <w:rPr>
          <w:rFonts w:hint="eastAsia" w:ascii="宋体" w:hAnsi="宋体" w:eastAsia="宋体" w:cs="宋体"/>
          <w:sz w:val="24"/>
          <w:szCs w:val="24"/>
          <w:u w:val="none"/>
        </w:rPr>
        <w:t>9.投标文件</w:t>
      </w:r>
      <w:bookmarkEnd w:id="73"/>
      <w:bookmarkEnd w:id="74"/>
      <w:bookmarkEnd w:id="75"/>
      <w:r>
        <w:rPr>
          <w:rFonts w:hint="eastAsia" w:ascii="宋体" w:hAnsi="宋体" w:eastAsia="宋体" w:cs="宋体"/>
          <w:sz w:val="24"/>
          <w:szCs w:val="24"/>
          <w:u w:val="none"/>
          <w:lang w:eastAsia="zh-CN"/>
        </w:rPr>
        <w:t>的</w:t>
      </w:r>
      <w:r>
        <w:rPr>
          <w:rFonts w:hint="eastAsia" w:ascii="宋体" w:hAnsi="宋体" w:eastAsia="宋体" w:cs="宋体"/>
          <w:sz w:val="24"/>
          <w:szCs w:val="24"/>
          <w:u w:val="none"/>
        </w:rPr>
        <w:t>组成</w:t>
      </w:r>
      <w:bookmarkEnd w:id="76"/>
      <w:bookmarkEnd w:id="77"/>
      <w:bookmarkEnd w:id="78"/>
      <w:bookmarkEnd w:id="79"/>
      <w:bookmarkEnd w:id="80"/>
      <w:bookmarkEnd w:id="81"/>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bookmarkStart w:id="82" w:name="_Ref467052588"/>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投标人应完整地按照招标文件提供的投标文件格式及要求编写投标文件</w:t>
      </w:r>
      <w:r>
        <w:rPr>
          <w:rFonts w:hint="eastAsia" w:ascii="宋体" w:hAnsi="宋体" w:eastAsia="宋体" w:cs="宋体"/>
          <w:sz w:val="24"/>
          <w:szCs w:val="24"/>
          <w:lang w:eastAsia="zh-CN"/>
        </w:rPr>
        <w:t>，</w:t>
      </w:r>
      <w:r>
        <w:rPr>
          <w:rFonts w:hint="eastAsia" w:ascii="宋体" w:hAnsi="宋体" w:eastAsia="宋体" w:cs="宋体"/>
          <w:sz w:val="24"/>
          <w:szCs w:val="24"/>
        </w:rPr>
        <w:t>对其投标文</w:t>
      </w:r>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件的真实性与准确性负责，</w:t>
      </w:r>
      <w:r>
        <w:rPr>
          <w:rFonts w:hint="eastAsia" w:ascii="宋体" w:hAnsi="宋体" w:eastAsia="宋体" w:cs="宋体"/>
          <w:sz w:val="24"/>
          <w:szCs w:val="24"/>
          <w:lang w:eastAsia="zh-CN"/>
        </w:rPr>
        <w:t>投标人</w:t>
      </w:r>
      <w:r>
        <w:rPr>
          <w:rFonts w:hint="eastAsia" w:ascii="宋体" w:hAnsi="宋体" w:eastAsia="宋体" w:cs="宋体"/>
          <w:sz w:val="24"/>
          <w:szCs w:val="24"/>
        </w:rPr>
        <w:t>中标后，其投标文件将作为合同的组成部分。</w:t>
      </w:r>
    </w:p>
    <w:bookmarkEnd w:id="82"/>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3" w:name="_Toc4601"/>
      <w:bookmarkStart w:id="84" w:name="_Toc10379"/>
      <w:bookmarkStart w:id="85" w:name="_Toc520356153"/>
      <w:bookmarkStart w:id="86" w:name="_Toc516367023"/>
      <w:bookmarkStart w:id="87" w:name="_Toc515647769"/>
      <w:bookmarkStart w:id="88" w:name="_Toc2582275"/>
      <w:bookmarkStart w:id="89" w:name="_Toc532473461"/>
      <w:r>
        <w:rPr>
          <w:rFonts w:hint="eastAsia" w:ascii="宋体" w:hAnsi="宋体" w:eastAsia="宋体" w:cs="宋体"/>
          <w:sz w:val="24"/>
          <w:szCs w:val="24"/>
          <w:u w:val="none"/>
        </w:rPr>
        <w:t>10.证明投标标的的合格性和符合招标文件规定的技术文件</w:t>
      </w:r>
      <w:bookmarkEnd w:id="83"/>
      <w:bookmarkEnd w:id="84"/>
      <w:bookmarkEnd w:id="85"/>
      <w:bookmarkEnd w:id="86"/>
      <w:bookmarkEnd w:id="87"/>
      <w:bookmarkEnd w:id="88"/>
      <w:bookmarkEnd w:id="8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投标人应提交证明文件，证明其投标标的符合招标文件规定。该证明文件是投标文件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的技术文件。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bookmarkStart w:id="90" w:name="_Ref467306244"/>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上款所述的证明文件，可以是文字资料、图纸和数据，</w:t>
      </w:r>
      <w:bookmarkEnd w:id="90"/>
      <w:r>
        <w:rPr>
          <w:rFonts w:hint="eastAsia" w:ascii="宋体" w:hAnsi="宋体" w:eastAsia="宋体" w:cs="宋体"/>
          <w:sz w:val="24"/>
          <w:szCs w:val="24"/>
        </w:rPr>
        <w:t>包括：</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货物主要技术指标和性能的详细说明及实现的功能或者目标；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rPr>
        <w:tab/>
      </w:r>
      <w:r>
        <w:rPr>
          <w:rFonts w:hint="eastAsia" w:ascii="宋体" w:hAnsi="宋体" w:eastAsia="宋体" w:cs="宋体"/>
          <w:sz w:val="24"/>
          <w:szCs w:val="24"/>
        </w:rPr>
        <w:t>货物从买方开始使用至招标文件规定的保质期内正常、连续地使用所必须的备件和专用工具清单，包括备件和专用工具的货源及现行价格；</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rPr>
        <w:tab/>
      </w:r>
      <w:r>
        <w:rPr>
          <w:rFonts w:hint="eastAsia" w:ascii="宋体" w:hAnsi="宋体" w:eastAsia="宋体" w:cs="宋体"/>
          <w:sz w:val="24"/>
          <w:szCs w:val="24"/>
        </w:rPr>
        <w:t>对照招标文件技术规格，逐条说明所提供货物及伴随的工程和服务已对招标文件的技术规格做出了实质性的响应，或申明与技术规格条文的偏差和例外。</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10.4   本条所指证明文件不包括对招标文件相关部分的文字、图标的复制。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1" w:name="_Toc515647770"/>
      <w:bookmarkStart w:id="92" w:name="_Toc520356155"/>
      <w:bookmarkStart w:id="93" w:name="_Toc23231"/>
      <w:bookmarkStart w:id="94" w:name="_Toc532473462"/>
      <w:bookmarkStart w:id="95" w:name="_Toc2582276"/>
      <w:bookmarkStart w:id="96" w:name="_Toc2248"/>
      <w:r>
        <w:rPr>
          <w:rFonts w:hint="eastAsia" w:ascii="宋体" w:hAnsi="宋体" w:eastAsia="宋体" w:cs="宋体"/>
          <w:sz w:val="24"/>
          <w:szCs w:val="24"/>
          <w:u w:val="none"/>
        </w:rPr>
        <w:t>11.投标报价</w:t>
      </w:r>
      <w:bookmarkEnd w:id="91"/>
      <w:bookmarkEnd w:id="92"/>
      <w:bookmarkEnd w:id="93"/>
      <w:bookmarkEnd w:id="94"/>
      <w:bookmarkEnd w:id="95"/>
      <w:bookmarkEnd w:id="9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投标人的报价应当包括满足本次招标全部采购需求所应提供的货物，以及伴随的服务和工程。所有投标均应以人民币报价。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lang w:eastAsia="zh-CN"/>
        </w:rPr>
        <w:t>价格明细表</w:t>
      </w:r>
      <w:r>
        <w:rPr>
          <w:rFonts w:hint="eastAsia" w:ascii="宋体" w:hAnsi="宋体" w:eastAsia="宋体" w:cs="宋体"/>
          <w:sz w:val="24"/>
          <w:szCs w:val="24"/>
        </w:rPr>
        <w:t>上标明投标货物及相关服务的单价（如适用）和总价，并由法定代表人或其授权代表签署。</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lang w:eastAsia="zh-CN"/>
        </w:rPr>
        <w:t>价格明细表</w:t>
      </w:r>
      <w:r>
        <w:rPr>
          <w:rFonts w:hint="eastAsia" w:ascii="宋体" w:hAnsi="宋体" w:eastAsia="宋体" w:cs="宋体"/>
          <w:sz w:val="24"/>
          <w:szCs w:val="24"/>
        </w:rPr>
        <w:t>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投标人所报的</w:t>
      </w:r>
      <w:r>
        <w:rPr>
          <w:rFonts w:hint="eastAsia" w:ascii="宋体" w:hAnsi="宋体" w:eastAsia="宋体" w:cs="宋体"/>
          <w:sz w:val="24"/>
          <w:szCs w:val="24"/>
          <w:lang w:eastAsia="zh-CN"/>
        </w:rPr>
        <w:t>价格明细</w:t>
      </w:r>
      <w:r>
        <w:rPr>
          <w:rFonts w:hint="eastAsia" w:ascii="宋体" w:hAnsi="宋体" w:eastAsia="宋体" w:cs="宋体"/>
          <w:sz w:val="24"/>
          <w:szCs w:val="24"/>
        </w:rPr>
        <w:t>在合同履行过程中是固定不变的，不得以任何理由予以变更。任何包含价格调整要求的投标，其投标将被认定为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采购人不接受具有附加条件的报价或多个方案的报价。</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7" w:name="_Ref467306513"/>
      <w:bookmarkStart w:id="98" w:name="_Toc515647771"/>
      <w:bookmarkStart w:id="99" w:name="_Toc2582277"/>
      <w:bookmarkStart w:id="100" w:name="_Toc17788"/>
      <w:bookmarkStart w:id="101" w:name="_Toc520356156"/>
      <w:bookmarkStart w:id="102" w:name="_Toc11514"/>
      <w:bookmarkStart w:id="103" w:name="_Toc532473463"/>
      <w:r>
        <w:rPr>
          <w:rFonts w:hint="eastAsia" w:ascii="宋体" w:hAnsi="宋体" w:eastAsia="宋体" w:cs="宋体"/>
          <w:sz w:val="24"/>
          <w:szCs w:val="24"/>
          <w:u w:val="none"/>
        </w:rPr>
        <w:t>12.投标保证金</w:t>
      </w:r>
      <w:bookmarkEnd w:id="97"/>
      <w:bookmarkEnd w:id="98"/>
      <w:bookmarkEnd w:id="99"/>
      <w:bookmarkEnd w:id="100"/>
      <w:bookmarkEnd w:id="101"/>
      <w:bookmarkEnd w:id="102"/>
      <w:bookmarkEnd w:id="103"/>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eastAsia="zh-CN"/>
        </w:rPr>
      </w:pPr>
      <w:bookmarkStart w:id="104" w:name="_Ref467306302"/>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lang w:val="en-US" w:eastAsia="zh-CN"/>
        </w:rPr>
        <w:t>保</w:t>
      </w:r>
      <w:r>
        <w:rPr>
          <w:rFonts w:hint="eastAsia" w:ascii="宋体" w:hAnsi="宋体" w:eastAsia="宋体" w:cs="宋体"/>
          <w:sz w:val="24"/>
          <w:szCs w:val="24"/>
        </w:rPr>
        <w:t>证金是投标文件的组成部分</w:t>
      </w:r>
      <w:r>
        <w:rPr>
          <w:rFonts w:hint="eastAsia" w:ascii="宋体" w:hAnsi="宋体" w:eastAsia="宋体" w:cs="宋体"/>
          <w:sz w:val="24"/>
          <w:szCs w:val="24"/>
          <w:lang w:eastAsia="zh-CN"/>
        </w:rPr>
        <w:t>。本项目要求投标人提交投标保证金的，应当在招标文件中明确保证金的数额及缴纳形式。</w:t>
      </w:r>
    </w:p>
    <w:p>
      <w:pPr>
        <w:pStyle w:val="5"/>
        <w:pageBreakBefore w:val="0"/>
        <w:widowControl w:val="0"/>
        <w:kinsoku/>
        <w:wordWrap/>
        <w:overflowPunct/>
        <w:topLinePunct w:val="0"/>
        <w:bidi w:val="0"/>
        <w:snapToGrid/>
        <w:spacing w:before="0" w:beforeLines="0" w:after="0" w:afterLines="0" w:line="560" w:lineRule="exact"/>
        <w:ind w:left="1120" w:hanging="960" w:hangingChars="400"/>
        <w:textAlignment w:val="auto"/>
        <w:rPr>
          <w:rFonts w:hint="eastAsia" w:ascii="宋体" w:hAnsi="宋体" w:eastAsia="宋体" w:cs="宋体"/>
          <w:sz w:val="24"/>
          <w:szCs w:val="24"/>
        </w:rPr>
      </w:pPr>
      <w:bookmarkStart w:id="105" w:name="_Toc12660"/>
      <w:bookmarkStart w:id="106" w:name="_Toc3436"/>
      <w:r>
        <w:rPr>
          <w:rFonts w:hint="eastAsia" w:ascii="宋体" w:hAnsi="宋体" w:eastAsia="宋体" w:cs="宋体"/>
          <w:b w:val="0"/>
          <w:bCs w:val="0"/>
          <w:sz w:val="24"/>
          <w:szCs w:val="24"/>
          <w:lang w:val="en-US" w:eastAsia="zh-CN"/>
        </w:rPr>
        <w:t>12.2    投标人</w:t>
      </w:r>
      <w:r>
        <w:rPr>
          <w:rFonts w:hint="eastAsia" w:ascii="宋体" w:hAnsi="宋体" w:eastAsia="宋体" w:cs="宋体"/>
          <w:b w:val="0"/>
          <w:bCs w:val="0"/>
          <w:sz w:val="24"/>
          <w:szCs w:val="24"/>
        </w:rPr>
        <w:t>未在规定时间内缴纳保证金或保证金数额不足以及未按招标文件规定交纳保证金的，</w:t>
      </w:r>
      <w:r>
        <w:rPr>
          <w:rFonts w:hint="eastAsia" w:ascii="宋体" w:hAnsi="宋体" w:eastAsia="宋体" w:cs="宋体"/>
          <w:b w:val="0"/>
          <w:bCs w:val="0"/>
          <w:sz w:val="24"/>
          <w:szCs w:val="24"/>
          <w:lang w:eastAsia="zh-CN"/>
        </w:rPr>
        <w:t>其投标将被认定</w:t>
      </w:r>
      <w:r>
        <w:rPr>
          <w:rFonts w:hint="eastAsia" w:ascii="宋体" w:hAnsi="宋体" w:eastAsia="宋体" w:cs="宋体"/>
          <w:sz w:val="24"/>
          <w:szCs w:val="24"/>
          <w:lang w:eastAsia="zh-CN"/>
        </w:rPr>
        <w:t>为投标无效</w:t>
      </w:r>
      <w:r>
        <w:rPr>
          <w:rFonts w:hint="eastAsia" w:ascii="宋体" w:hAnsi="宋体" w:eastAsia="宋体" w:cs="宋体"/>
          <w:sz w:val="24"/>
          <w:szCs w:val="24"/>
        </w:rPr>
        <w:t>。</w:t>
      </w:r>
      <w:bookmarkEnd w:id="105"/>
      <w:bookmarkEnd w:id="106"/>
    </w:p>
    <w:p>
      <w:pPr>
        <w:pageBreakBefore w:val="0"/>
        <w:widowControl w:val="0"/>
        <w:kinsoku/>
        <w:wordWrap/>
        <w:overflowPunct/>
        <w:topLinePunct w:val="0"/>
        <w:bidi w:val="0"/>
        <w:spacing w:line="560" w:lineRule="exact"/>
        <w:ind w:left="1120" w:hanging="960" w:hanging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Cs w:val="0"/>
          <w:sz w:val="24"/>
          <w:szCs w:val="24"/>
        </w:rPr>
        <w:t xml:space="preserve">12.3 </w:t>
      </w:r>
      <w:r>
        <w:rPr>
          <w:rFonts w:hint="eastAsia" w:ascii="宋体" w:hAnsi="宋体" w:eastAsia="宋体" w:cs="宋体"/>
          <w:bCs w:val="0"/>
          <w:sz w:val="24"/>
          <w:szCs w:val="24"/>
          <w:lang w:val="en-US" w:eastAsia="zh-CN"/>
        </w:rPr>
        <w:t xml:space="preserve">   </w:t>
      </w:r>
      <w:r>
        <w:rPr>
          <w:rFonts w:hint="eastAsia" w:ascii="宋体" w:hAnsi="宋体" w:eastAsia="宋体" w:cs="宋体"/>
          <w:b w:val="0"/>
          <w:bCs w:val="0"/>
          <w:kern w:val="2"/>
          <w:sz w:val="24"/>
          <w:szCs w:val="24"/>
          <w:lang w:val="en-US" w:eastAsia="zh-CN" w:bidi="ar-SA"/>
        </w:rPr>
        <w:t>采购人或者采购代理机构应当自中标通知书发出之日起5个工作日内退还未中标人的投标保证金；自采购合同签订之日起5个工作日内退还中标人的投标保证金。</w:t>
      </w:r>
    </w:p>
    <w:bookmarkEnd w:id="104"/>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07" w:name="_Toc23590"/>
      <w:bookmarkStart w:id="108" w:name="_Toc2582278"/>
      <w:bookmarkStart w:id="109" w:name="_Toc520356157"/>
      <w:bookmarkStart w:id="110" w:name="_Toc32569"/>
      <w:bookmarkStart w:id="111" w:name="_Toc532473464"/>
      <w:bookmarkStart w:id="112" w:name="_Toc515647772"/>
      <w:r>
        <w:rPr>
          <w:rFonts w:hint="eastAsia" w:ascii="宋体" w:hAnsi="宋体" w:eastAsia="宋体" w:cs="宋体"/>
          <w:sz w:val="24"/>
          <w:szCs w:val="24"/>
          <w:u w:val="none"/>
        </w:rPr>
        <w:t>13.投标有效期</w:t>
      </w:r>
      <w:bookmarkEnd w:id="107"/>
      <w:bookmarkEnd w:id="108"/>
      <w:bookmarkEnd w:id="109"/>
      <w:bookmarkEnd w:id="110"/>
      <w:bookmarkEnd w:id="111"/>
      <w:bookmarkEnd w:id="11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中规定时间内保持有效。投标有效期不满足要求的投标，其投标将被认定为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rPr>
        <w:tab/>
      </w:r>
      <w:r>
        <w:rPr>
          <w:rFonts w:hint="eastAsia" w:ascii="宋体" w:hAnsi="宋体" w:eastAsia="宋体" w:cs="宋体"/>
          <w:sz w:val="24"/>
          <w:szCs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13" w:name="_Toc493"/>
      <w:bookmarkStart w:id="114" w:name="_Toc520356158"/>
      <w:bookmarkStart w:id="115" w:name="_Toc515647773"/>
      <w:bookmarkStart w:id="116" w:name="_Toc532473465"/>
      <w:bookmarkStart w:id="117" w:name="_Toc17074"/>
      <w:bookmarkStart w:id="118" w:name="_Toc2582279"/>
      <w:r>
        <w:rPr>
          <w:rFonts w:hint="eastAsia" w:ascii="宋体" w:hAnsi="宋体" w:eastAsia="宋体" w:cs="宋体"/>
          <w:sz w:val="24"/>
          <w:szCs w:val="24"/>
          <w:u w:val="none"/>
        </w:rPr>
        <w:t>14.投标文件的</w:t>
      </w:r>
      <w:bookmarkEnd w:id="113"/>
      <w:bookmarkEnd w:id="114"/>
      <w:bookmarkEnd w:id="115"/>
      <w:bookmarkEnd w:id="116"/>
      <w:bookmarkEnd w:id="117"/>
      <w:r>
        <w:rPr>
          <w:rFonts w:hint="eastAsia" w:ascii="宋体" w:hAnsi="宋体" w:eastAsia="宋体" w:cs="宋体"/>
          <w:sz w:val="24"/>
          <w:szCs w:val="24"/>
          <w:u w:val="none"/>
        </w:rPr>
        <w:t>制作</w:t>
      </w:r>
      <w:bookmarkEnd w:id="118"/>
    </w:p>
    <w:p>
      <w:pPr>
        <w:keepNext w:val="0"/>
        <w:keepLines w:val="0"/>
        <w:widowControl/>
        <w:suppressLineNumbers w:val="0"/>
        <w:spacing w:line="360" w:lineRule="auto"/>
        <w:ind w:left="840" w:hanging="720" w:hangingChars="300"/>
        <w:jc w:val="left"/>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rPr>
        <w:tab/>
      </w:r>
      <w:r>
        <w:rPr>
          <w:rFonts w:hint="eastAsia" w:ascii="宋体" w:hAnsi="宋体" w:eastAsia="宋体" w:cs="宋体"/>
          <w:sz w:val="24"/>
          <w:szCs w:val="24"/>
          <w:lang w:val="en-US" w:eastAsia="zh-CN"/>
        </w:rPr>
        <w:t>投标人应按</w:t>
      </w:r>
      <w:r>
        <w:rPr>
          <w:rFonts w:hint="eastAsia" w:ascii="宋体" w:hAnsi="宋体" w:eastAsia="宋体" w:cs="宋体"/>
          <w:sz w:val="24"/>
          <w:szCs w:val="24"/>
          <w:u w:val="single"/>
          <w:lang w:val="en-US" w:eastAsia="zh-CN"/>
        </w:rPr>
        <w:t>供应商须知前附表</w:t>
      </w:r>
      <w:r>
        <w:rPr>
          <w:rFonts w:hint="eastAsia" w:ascii="宋体" w:hAnsi="宋体" w:eastAsia="宋体" w:cs="宋体"/>
          <w:sz w:val="24"/>
          <w:szCs w:val="24"/>
          <w:lang w:val="en-US" w:eastAsia="zh-CN"/>
        </w:rPr>
        <w:t xml:space="preserve">中的规定，准备和递交投标文件。纸质文件的正本和副本应装订成册。正本和副本的封面应注明“正本”或“副本”的字样，当正本和副本不一致时，以正本为准。电子投标文件需符合以下要求：U 盘，须为投标文件正本签字盖章后的 PDF 扫描件。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投标文件需由投标人的法定代表人或经其正式委托代理人按招标文件规定在投标文件</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上签字盖章。委托代理人须持有书面的“法定代表人授权委托书”，并将其附在投标</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文件中。未按招标文件要求签署和盖章的投标文件，其投标将被认定为投标无效。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投标文件应用不褪色的材料打印或书写，并按招标文件要求签字盖章。投标文件中的</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任何行间插字、涂改和增删，应加盖单位鲜章或由投标人的法定代表人或其授权的代</w:t>
      </w:r>
    </w:p>
    <w:p>
      <w:pPr>
        <w:pageBreakBefore w:val="0"/>
        <w:widowControl w:val="0"/>
        <w:kinsoku/>
        <w:wordWrap/>
        <w:overflowPunct/>
        <w:topLinePunct w:val="0"/>
        <w:bidi w:val="0"/>
        <w:snapToGrid/>
        <w:spacing w:line="360" w:lineRule="auto"/>
        <w:ind w:left="898" w:leftChars="342" w:hanging="180" w:hangingChars="75"/>
        <w:textAlignment w:val="auto"/>
        <w:rPr>
          <w:rFonts w:hint="eastAsia"/>
        </w:rPr>
      </w:pPr>
      <w:r>
        <w:rPr>
          <w:rFonts w:hint="eastAsia" w:ascii="宋体" w:hAnsi="宋体" w:eastAsia="宋体" w:cs="宋体"/>
          <w:sz w:val="24"/>
          <w:szCs w:val="24"/>
          <w:lang w:val="en-US" w:eastAsia="zh-CN"/>
        </w:rPr>
        <w:t xml:space="preserve">理人签字确认。否则，在评标时将其视为无效投标。 </w:t>
      </w:r>
    </w:p>
    <w:p>
      <w:pPr>
        <w:pStyle w:val="5"/>
        <w:keepNext/>
        <w:keepLines/>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119" w:name="_Toc216582808"/>
      <w:bookmarkStart w:id="120" w:name="_Toc532473466"/>
      <w:bookmarkStart w:id="121" w:name="_Toc520356159"/>
      <w:bookmarkStart w:id="122" w:name="_Toc11420"/>
      <w:bookmarkStart w:id="123" w:name="_Toc11179"/>
      <w:bookmarkStart w:id="124" w:name="_Toc16865"/>
      <w:bookmarkStart w:id="125" w:name="_Toc515647774"/>
      <w:bookmarkStart w:id="126" w:name="_Toc2582280"/>
      <w:r>
        <w:rPr>
          <w:rFonts w:hint="eastAsia"/>
          <w:sz w:val="24"/>
          <w:szCs w:val="24"/>
          <w:lang w:eastAsia="zh-CN"/>
        </w:rPr>
        <w:t>（四）</w:t>
      </w:r>
      <w:r>
        <w:rPr>
          <w:rFonts w:hint="eastAsia"/>
          <w:sz w:val="24"/>
          <w:szCs w:val="24"/>
        </w:rPr>
        <w:t>投标文件的递交</w:t>
      </w:r>
      <w:bookmarkEnd w:id="119"/>
      <w:bookmarkEnd w:id="120"/>
      <w:bookmarkEnd w:id="121"/>
      <w:bookmarkEnd w:id="122"/>
      <w:bookmarkEnd w:id="123"/>
      <w:bookmarkEnd w:id="124"/>
      <w:bookmarkEnd w:id="125"/>
      <w:bookmarkEnd w:id="126"/>
    </w:p>
    <w:p>
      <w:pPr>
        <w:pStyle w:val="6"/>
        <w:keepNext/>
        <w:keepLines/>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27" w:name="_Toc515647775"/>
      <w:bookmarkStart w:id="128" w:name="_Toc32337"/>
      <w:bookmarkStart w:id="129" w:name="_Toc2582281"/>
      <w:bookmarkStart w:id="130" w:name="_Toc21645"/>
      <w:bookmarkStart w:id="131" w:name="_Toc532473467"/>
      <w:bookmarkStart w:id="132" w:name="_Toc520356160"/>
      <w:r>
        <w:rPr>
          <w:rFonts w:hint="eastAsia" w:ascii="宋体" w:hAnsi="宋体" w:eastAsia="宋体" w:cs="宋体"/>
          <w:sz w:val="24"/>
          <w:szCs w:val="24"/>
          <w:u w:val="none"/>
        </w:rPr>
        <w:t>15.投标文件的密封和标记</w:t>
      </w:r>
      <w:bookmarkEnd w:id="127"/>
      <w:bookmarkEnd w:id="128"/>
      <w:bookmarkEnd w:id="129"/>
      <w:bookmarkEnd w:id="130"/>
      <w:bookmarkEnd w:id="131"/>
      <w:bookmarkEnd w:id="13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投标文件的制作应按照招标文件的要求进行制作并递交。投标文件应当用不能被他人</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知悉或更换投标文件内容的方式密封。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纸质投标文件密封和递交要求：投标文件应注明“正本”、“副本”，“正本和“副</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本”统一装入一包并加贴“密封”封条，并在封条的封口处加盖投标人单位鲜章或由</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  电子投标文件密封和递交要求：“电子版”单独装入一包并加贴“密封”封条，并在</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封条的封口处加盖投标人单位鲜章或由法定代表人或其授权的代理人签字。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  投标文件及电子版文件封套或外包装上应载明的内容见</w:t>
      </w:r>
      <w:r>
        <w:rPr>
          <w:rFonts w:hint="eastAsia" w:ascii="宋体" w:hAnsi="宋体" w:eastAsia="宋体" w:cs="宋体"/>
          <w:sz w:val="24"/>
          <w:szCs w:val="24"/>
          <w:u w:val="single"/>
          <w:lang w:val="en-US" w:eastAsia="zh-CN"/>
        </w:rPr>
        <w:t>投标人须知前附表</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3" w:name="_Toc2582282"/>
      <w:bookmarkStart w:id="134" w:name="_Toc12751"/>
      <w:bookmarkStart w:id="135" w:name="_Toc9840"/>
      <w:bookmarkStart w:id="136" w:name="_Toc532473468"/>
      <w:bookmarkStart w:id="137" w:name="_Toc520356161"/>
      <w:bookmarkStart w:id="138" w:name="_Toc515647776"/>
      <w:r>
        <w:rPr>
          <w:rFonts w:hint="eastAsia" w:ascii="宋体" w:hAnsi="宋体" w:eastAsia="宋体" w:cs="宋体"/>
          <w:sz w:val="24"/>
          <w:szCs w:val="24"/>
          <w:u w:val="none"/>
        </w:rPr>
        <w:t>16.投标截止</w:t>
      </w:r>
      <w:bookmarkEnd w:id="133"/>
      <w:bookmarkEnd w:id="134"/>
      <w:bookmarkEnd w:id="135"/>
      <w:bookmarkEnd w:id="136"/>
      <w:bookmarkEnd w:id="137"/>
      <w:bookmarkEnd w:id="13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须知前附表中</w:t>
      </w:r>
      <w:r>
        <w:rPr>
          <w:rFonts w:hint="eastAsia" w:ascii="宋体" w:hAnsi="宋体" w:eastAsia="宋体" w:cs="宋体"/>
          <w:sz w:val="24"/>
          <w:szCs w:val="24"/>
        </w:rPr>
        <w:t>规定的截止时间前，将投标文件递交到招标公告中规定的地点。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采购人和采购代理机构将拒绝接收在投标截止时间后送达投标文件。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9" w:name="_Toc532473469"/>
      <w:bookmarkStart w:id="140" w:name="_Toc520356162"/>
      <w:bookmarkStart w:id="141" w:name="_Toc24275"/>
      <w:bookmarkStart w:id="142" w:name="_Toc515647777"/>
      <w:bookmarkStart w:id="143" w:name="_Toc2582283"/>
      <w:bookmarkStart w:id="144" w:name="_Toc18537"/>
      <w:r>
        <w:rPr>
          <w:rFonts w:hint="eastAsia" w:ascii="宋体" w:hAnsi="宋体" w:eastAsia="宋体" w:cs="宋体"/>
          <w:sz w:val="24"/>
          <w:szCs w:val="24"/>
          <w:u w:val="none"/>
        </w:rPr>
        <w:t>17.投标文件的接收、修改与撤回</w:t>
      </w:r>
      <w:bookmarkEnd w:id="139"/>
      <w:bookmarkEnd w:id="140"/>
      <w:bookmarkEnd w:id="141"/>
      <w:bookmarkEnd w:id="142"/>
      <w:bookmarkEnd w:id="143"/>
      <w:bookmarkEnd w:id="14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cs="宋体"/>
          <w:sz w:val="24"/>
          <w:szCs w:val="24"/>
          <w:lang w:val="en-US" w:eastAsia="zh-CN"/>
        </w:rPr>
        <w:t xml:space="preserve">   </w:t>
      </w:r>
      <w:r>
        <w:rPr>
          <w:rFonts w:hint="eastAsia" w:ascii="宋体" w:hAnsi="宋体" w:eastAsia="宋体" w:cs="宋体"/>
          <w:sz w:val="24"/>
          <w:szCs w:val="24"/>
        </w:rPr>
        <w:t>采购人和采购代理机构将按招标文件规定的时间和地点接收投标文件。</w:t>
      </w:r>
    </w:p>
    <w:p>
      <w:pPr>
        <w:pageBreakBefore w:val="0"/>
        <w:widowControl w:val="0"/>
        <w:kinsoku/>
        <w:wordWrap/>
        <w:overflowPunct/>
        <w:topLinePunct w:val="0"/>
        <w:bidi w:val="0"/>
        <w:snapToGrid/>
        <w:spacing w:line="560" w:lineRule="exact"/>
        <w:ind w:left="840" w:hanging="840" w:hangingChars="35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2</w:t>
      </w:r>
      <w:r>
        <w:rPr>
          <w:rFonts w:hint="eastAsia" w:ascii="宋体" w:hAnsi="宋体" w:eastAsia="宋体" w:cs="宋体"/>
          <w:sz w:val="24"/>
          <w:szCs w:val="24"/>
        </w:rPr>
        <w:tab/>
      </w:r>
      <w:r>
        <w:rPr>
          <w:rFonts w:hint="eastAsia" w:ascii="宋体" w:hAnsi="宋体" w:eastAsia="宋体" w:cs="宋体"/>
          <w:sz w:val="24"/>
          <w:szCs w:val="24"/>
        </w:rPr>
        <w:t>递交投标文件以后，如果投标人要进行修改，须在投标截止时间前提出申请，投标人对投标文件的修改申请应按本须知规定编制、签署、密封。采购人和采购代理机构将予以接收，并视为投标文件的组成部分。递交投标文件以后，如果投标人要进行撤回的，须在投标截止时间前提出申请，采购人和采购代理机构将予以接受。</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3</w:t>
      </w:r>
      <w:r>
        <w:rPr>
          <w:rFonts w:hint="eastAsia" w:ascii="宋体" w:hAnsi="宋体" w:eastAsia="宋体" w:cs="宋体"/>
          <w:sz w:val="24"/>
          <w:szCs w:val="24"/>
        </w:rPr>
        <w:tab/>
      </w:r>
      <w:r>
        <w:rPr>
          <w:rFonts w:hint="eastAsia" w:ascii="宋体" w:hAnsi="宋体" w:eastAsia="宋体" w:cs="宋体"/>
          <w:sz w:val="24"/>
          <w:szCs w:val="24"/>
        </w:rPr>
        <w:t>在投标截止时间之后，投标人不得对其投标文件做任何修改。</w:t>
      </w:r>
    </w:p>
    <w:p>
      <w:pPr>
        <w:pageBreakBefore w:val="0"/>
        <w:widowControl w:val="0"/>
        <w:kinsoku/>
        <w:wordWrap/>
        <w:overflowPunct/>
        <w:topLinePunct w:val="0"/>
        <w:bidi w:val="0"/>
        <w:snapToGrid/>
        <w:spacing w:line="560" w:lineRule="exact"/>
        <w:ind w:left="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4</w:t>
      </w:r>
      <w:r>
        <w:rPr>
          <w:rFonts w:hint="eastAsia" w:ascii="宋体" w:hAnsi="宋体" w:eastAsia="宋体" w:cs="宋体"/>
          <w:sz w:val="24"/>
          <w:szCs w:val="24"/>
        </w:rPr>
        <w:tab/>
      </w:r>
      <w:r>
        <w:rPr>
          <w:rFonts w:hint="eastAsia" w:ascii="宋体" w:hAnsi="宋体" w:eastAsia="宋体" w:cs="宋体"/>
          <w:sz w:val="24"/>
          <w:szCs w:val="24"/>
        </w:rPr>
        <w:t>除投标人不足3家未开标外，采购人和采购代理机构对所接收投标文件概不退回。</w:t>
      </w:r>
    </w:p>
    <w:p>
      <w:pPr>
        <w:pStyle w:val="5"/>
        <w:pageBreakBefore w:val="0"/>
        <w:widowControl w:val="0"/>
        <w:kinsoku/>
        <w:wordWrap/>
        <w:overflowPunct/>
        <w:topLinePunct w:val="0"/>
        <w:bidi w:val="0"/>
        <w:snapToGrid/>
        <w:spacing w:before="0" w:beforeLines="0" w:after="0" w:afterLines="0"/>
        <w:ind w:left="0"/>
        <w:jc w:val="center"/>
        <w:textAlignment w:val="auto"/>
        <w:rPr>
          <w:rFonts w:hint="eastAsia"/>
          <w:sz w:val="24"/>
          <w:szCs w:val="24"/>
        </w:rPr>
      </w:pPr>
      <w:bookmarkStart w:id="145" w:name="_Toc216582809"/>
      <w:bookmarkStart w:id="146" w:name="_Toc520356163"/>
      <w:bookmarkStart w:id="147" w:name="_Toc515647778"/>
      <w:bookmarkStart w:id="148" w:name="_Toc532473470"/>
      <w:bookmarkStart w:id="149" w:name="_Toc28398"/>
      <w:bookmarkStart w:id="150" w:name="_Toc2582284"/>
      <w:bookmarkStart w:id="151" w:name="_Toc15422"/>
      <w:bookmarkStart w:id="152" w:name="_Toc12436"/>
      <w:r>
        <w:rPr>
          <w:rFonts w:hint="eastAsia"/>
          <w:sz w:val="24"/>
          <w:szCs w:val="24"/>
          <w:lang w:eastAsia="zh-CN"/>
        </w:rPr>
        <w:t>（五）</w:t>
      </w:r>
      <w:r>
        <w:rPr>
          <w:rFonts w:hint="eastAsia"/>
          <w:sz w:val="24"/>
          <w:szCs w:val="24"/>
        </w:rPr>
        <w:t>开标及评标</w:t>
      </w:r>
      <w:bookmarkEnd w:id="145"/>
      <w:bookmarkEnd w:id="146"/>
      <w:bookmarkEnd w:id="147"/>
      <w:bookmarkEnd w:id="148"/>
      <w:bookmarkEnd w:id="149"/>
      <w:bookmarkEnd w:id="150"/>
      <w:bookmarkEnd w:id="151"/>
      <w:bookmarkEnd w:id="152"/>
    </w:p>
    <w:p>
      <w:pPr>
        <w:pStyle w:val="6"/>
        <w:pageBreakBefore w:val="0"/>
        <w:widowControl w:val="0"/>
        <w:numPr>
          <w:ilvl w:val="0"/>
          <w:numId w:val="0"/>
        </w:numPr>
        <w:kinsoku/>
        <w:wordWrap/>
        <w:overflowPunct/>
        <w:topLinePunct w:val="0"/>
        <w:bidi w:val="0"/>
        <w:snapToGrid/>
        <w:spacing w:before="0" w:after="0" w:line="560" w:lineRule="exact"/>
        <w:ind w:left="0"/>
        <w:textAlignment w:val="auto"/>
        <w:rPr>
          <w:rFonts w:hint="eastAsia" w:ascii="宋体" w:hAnsi="宋体" w:eastAsia="宋体" w:cs="宋体"/>
          <w:sz w:val="24"/>
          <w:szCs w:val="24"/>
        </w:rPr>
      </w:pPr>
      <w:bookmarkStart w:id="153" w:name="_Toc7186"/>
      <w:bookmarkStart w:id="154" w:name="_Toc25345"/>
      <w:bookmarkStart w:id="155" w:name="_Toc515647779"/>
      <w:bookmarkStart w:id="156" w:name="_Toc532473471"/>
      <w:bookmarkStart w:id="157" w:name="_Toc2582285"/>
      <w:bookmarkStart w:id="158" w:name="_Toc520356164"/>
      <w:r>
        <w:rPr>
          <w:rFonts w:hint="eastAsia" w:ascii="宋体" w:hAnsi="宋体" w:eastAsia="宋体" w:cs="宋体"/>
          <w:sz w:val="24"/>
          <w:szCs w:val="24"/>
          <w:u w:val="none"/>
          <w:lang w:val="en-US" w:eastAsia="zh-CN"/>
        </w:rPr>
        <w:t>18.</w:t>
      </w:r>
      <w:r>
        <w:rPr>
          <w:rFonts w:hint="eastAsia" w:ascii="宋体" w:hAnsi="宋体" w:eastAsia="宋体" w:cs="宋体"/>
          <w:sz w:val="24"/>
          <w:szCs w:val="24"/>
          <w:u w:val="none"/>
        </w:rPr>
        <w:t>开标</w:t>
      </w:r>
      <w:bookmarkEnd w:id="153"/>
      <w:bookmarkEnd w:id="154"/>
      <w:bookmarkEnd w:id="155"/>
      <w:bookmarkEnd w:id="156"/>
      <w:bookmarkEnd w:id="157"/>
      <w:bookmarkEnd w:id="158"/>
    </w:p>
    <w:p>
      <w:pPr>
        <w:pageBreakBefore w:val="0"/>
        <w:widowControl w:val="0"/>
        <w:numPr>
          <w:ilvl w:val="0"/>
          <w:numId w:val="0"/>
        </w:numPr>
        <w:kinsoku/>
        <w:wordWrap/>
        <w:overflowPunct/>
        <w:topLinePunct w:val="0"/>
        <w:bidi w:val="0"/>
        <w:snapToGrid/>
        <w:spacing w:line="560" w:lineRule="exact"/>
        <w:ind w:left="128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rPr>
        <w:t>采购人和采购代理机构将按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中规定的开标时间和地点组织开标，并邀请所有投标人代表参加。投标人不足3家的，不予开标。</w:t>
      </w:r>
      <w:r>
        <w:rPr>
          <w:rFonts w:hint="eastAsia" w:ascii="宋体" w:hAnsi="宋体" w:eastAsia="宋体" w:cs="宋体"/>
          <w:sz w:val="24"/>
          <w:szCs w:val="24"/>
          <w:lang w:eastAsia="zh-CN"/>
        </w:rPr>
        <w:t>评</w:t>
      </w:r>
      <w:r>
        <w:rPr>
          <w:rFonts w:hint="eastAsia" w:ascii="宋体" w:hAnsi="宋体" w:eastAsia="宋体" w:cs="宋体"/>
          <w:sz w:val="24"/>
          <w:szCs w:val="24"/>
        </w:rPr>
        <w:t>标委员会成员不得参加开标活动。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18.2   开标时，</w:t>
      </w:r>
      <w:r>
        <w:rPr>
          <w:rFonts w:hint="eastAsia" w:ascii="宋体" w:hAnsi="宋体" w:eastAsia="宋体" w:cs="宋体"/>
          <w:sz w:val="24"/>
          <w:szCs w:val="24"/>
          <w:lang w:eastAsia="zh-CN"/>
        </w:rPr>
        <w:t>采购人或者采购代理机构公布投标人名单，介绍参加开标的人员，宣布工作人员，</w:t>
      </w:r>
      <w:r>
        <w:rPr>
          <w:rFonts w:hint="eastAsia" w:ascii="宋体" w:hAnsi="宋体" w:eastAsia="宋体" w:cs="宋体"/>
          <w:sz w:val="24"/>
          <w:szCs w:val="24"/>
        </w:rPr>
        <w:t>宣读投标人在开标一览表中所填写的全部内容。未宣读的投标价格、价格折扣等实质内容，评标时不予承认。</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18.3  采购人或采购代理机构将对开标过程进行记录</w:t>
      </w:r>
      <w:bookmarkStart w:id="159" w:name="_Toc520356165"/>
      <w:r>
        <w:rPr>
          <w:rFonts w:hint="eastAsia" w:ascii="宋体" w:hAnsi="宋体" w:eastAsia="宋体" w:cs="宋体"/>
          <w:sz w:val="24"/>
          <w:szCs w:val="24"/>
        </w:rPr>
        <w:t>，由参加开标的各投标人代表和相关作人员签字确认，并存档备查。投标人未派代表参加开标的，视同投标人认可开标结果。</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18.4   投标人代表对开标过程和开标记录有疑义，以及认为开标现场采购人、采购代理机构相关工作人员有需要回避的情形的，应当场提出询问或者回避申请。</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160" w:name="_Toc19123"/>
      <w:bookmarkStart w:id="161" w:name="_Toc26930"/>
      <w:r>
        <w:rPr>
          <w:rFonts w:hint="eastAsia" w:ascii="宋体" w:hAnsi="宋体" w:eastAsia="宋体" w:cs="宋体"/>
          <w:b w:val="0"/>
          <w:bCs w:val="0"/>
          <w:kern w:val="2"/>
          <w:sz w:val="24"/>
          <w:szCs w:val="24"/>
          <w:lang w:val="en-US" w:eastAsia="zh-CN" w:bidi="ar-SA"/>
        </w:rPr>
        <w:t>18.5   其他开标要求：</w:t>
      </w:r>
      <w:r>
        <w:rPr>
          <w:rFonts w:hint="eastAsia" w:ascii="宋体" w:hAnsi="宋体" w:eastAsia="宋体" w:cs="宋体"/>
          <w:b w:val="0"/>
          <w:bCs w:val="0"/>
          <w:kern w:val="2"/>
          <w:sz w:val="24"/>
          <w:szCs w:val="24"/>
          <w:u w:val="single"/>
          <w:lang w:val="en-US" w:eastAsia="zh-CN" w:bidi="ar-SA"/>
        </w:rPr>
        <w:t>无</w:t>
      </w:r>
      <w:bookmarkEnd w:id="160"/>
      <w:bookmarkEnd w:id="161"/>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62" w:name="_Toc19296"/>
      <w:bookmarkStart w:id="163" w:name="_Toc21372"/>
      <w:bookmarkStart w:id="164" w:name="_Toc532473472"/>
      <w:bookmarkStart w:id="165" w:name="_Toc2582286"/>
      <w:bookmarkStart w:id="166" w:name="_Toc515647780"/>
      <w:r>
        <w:rPr>
          <w:rFonts w:hint="eastAsia" w:ascii="宋体" w:hAnsi="宋体" w:eastAsia="宋体" w:cs="宋体"/>
          <w:sz w:val="24"/>
          <w:szCs w:val="24"/>
          <w:u w:val="none"/>
        </w:rPr>
        <w:t>19.</w:t>
      </w:r>
      <w:bookmarkEnd w:id="159"/>
      <w:r>
        <w:rPr>
          <w:rFonts w:hint="eastAsia" w:ascii="宋体" w:hAnsi="宋体" w:eastAsia="宋体" w:cs="宋体"/>
          <w:sz w:val="24"/>
          <w:szCs w:val="24"/>
          <w:u w:val="none"/>
        </w:rPr>
        <w:t>资格审查及组建评标委员会</w:t>
      </w:r>
      <w:bookmarkEnd w:id="162"/>
      <w:bookmarkEnd w:id="163"/>
      <w:bookmarkEnd w:id="164"/>
      <w:bookmarkEnd w:id="165"/>
      <w:bookmarkEnd w:id="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19.1   采购人或采购代理机构依据法律法规和招标文件中规定的内容，对投标人及其投标货物的资格进行审查，未通过资格审查的投标人不进入评标</w:t>
      </w:r>
      <w:r>
        <w:rPr>
          <w:rFonts w:hint="eastAsia" w:ascii="宋体" w:hAnsi="宋体" w:eastAsia="宋体" w:cs="宋体"/>
          <w:sz w:val="24"/>
          <w:szCs w:val="24"/>
          <w:lang w:eastAsia="zh-CN"/>
        </w:rPr>
        <w:t>。合格投标</w:t>
      </w:r>
      <w:r>
        <w:rPr>
          <w:rFonts w:hint="eastAsia" w:ascii="宋体" w:hAnsi="宋体" w:eastAsia="宋体" w:cs="宋体"/>
          <w:sz w:val="24"/>
          <w:szCs w:val="24"/>
        </w:rPr>
        <w:t>人不足三家的，不得评标。</w:t>
      </w:r>
    </w:p>
    <w:p>
      <w:pPr>
        <w:pageBreakBefore w:val="0"/>
        <w:widowControl w:val="0"/>
        <w:kinsoku/>
        <w:wordWrap/>
        <w:overflowPunct/>
        <w:topLinePunct w:val="0"/>
        <w:bidi w:val="0"/>
        <w:snapToGrid/>
        <w:spacing w:line="560" w:lineRule="exact"/>
        <w:ind w:left="1218" w:leftChars="2" w:hanging="1214" w:hangingChars="506"/>
        <w:textAlignment w:val="auto"/>
        <w:rPr>
          <w:rFonts w:hint="eastAsia" w:ascii="宋体" w:hAnsi="宋体" w:eastAsia="宋体" w:cs="宋体"/>
          <w:sz w:val="24"/>
          <w:szCs w:val="24"/>
        </w:rPr>
      </w:pPr>
      <w:r>
        <w:rPr>
          <w:rFonts w:hint="eastAsia" w:ascii="宋体" w:hAnsi="宋体" w:eastAsia="宋体" w:cs="宋体"/>
          <w:sz w:val="24"/>
          <w:szCs w:val="24"/>
        </w:rPr>
        <w:t>19.2   采购人或采购代理机构将按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中规定的时间查询投标人的信用记录。</w:t>
      </w:r>
    </w:p>
    <w:p>
      <w:pPr>
        <w:pageBreakBefore w:val="0"/>
        <w:widowControl w:val="0"/>
        <w:kinsoku/>
        <w:wordWrap/>
        <w:overflowPunct/>
        <w:topLinePunct w:val="0"/>
        <w:bidi w:val="0"/>
        <w:snapToGrid/>
        <w:spacing w:line="560" w:lineRule="exact"/>
        <w:ind w:left="857" w:leftChars="2" w:hanging="853"/>
        <w:textAlignment w:val="auto"/>
        <w:rPr>
          <w:rFonts w:hint="eastAsia" w:ascii="宋体" w:hAnsi="宋体" w:eastAsia="宋体" w:cs="宋体"/>
          <w:sz w:val="24"/>
          <w:szCs w:val="24"/>
        </w:rPr>
      </w:pPr>
      <w:r>
        <w:rPr>
          <w:rFonts w:hint="eastAsia" w:ascii="宋体" w:hAnsi="宋体" w:eastAsia="宋体" w:cs="宋体"/>
          <w:sz w:val="24"/>
          <w:szCs w:val="24"/>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9" w:leftChars="401" w:hanging="7" w:hangingChars="3"/>
        <w:textAlignment w:val="auto"/>
        <w:rPr>
          <w:rFonts w:hint="eastAsia" w:ascii="宋体" w:hAnsi="宋体" w:eastAsia="宋体" w:cs="宋体"/>
          <w:sz w:val="24"/>
          <w:szCs w:val="24"/>
        </w:rPr>
      </w:pPr>
      <w:r>
        <w:rPr>
          <w:rFonts w:hint="eastAsia" w:ascii="宋体" w:hAnsi="宋体" w:eastAsia="宋体" w:cs="宋体"/>
          <w:sz w:val="24"/>
          <w:szCs w:val="24"/>
        </w:rPr>
        <w:t>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按照《中华人民共和国政府采购法》、《中华人民共和国政府采购法实施条例》及本项目本级和上级财政部门的有关规定依法组建的评标委员会，负责评标工作。</w:t>
      </w:r>
      <w:bookmarkStart w:id="167" w:name="_Toc9338"/>
      <w:bookmarkStart w:id="168" w:name="_Toc690"/>
      <w:bookmarkStart w:id="169" w:name="_Toc520356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19.3.1 评标委员会由采购人代表和评审专家组成，成员人数应当为</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人以上单数，其中评审</w:t>
      </w:r>
      <w:bookmarkEnd w:id="167"/>
    </w:p>
    <w:p>
      <w:pPr>
        <w:pStyle w:val="5"/>
        <w:pageBreakBefore w:val="0"/>
        <w:widowControl w:val="0"/>
        <w:kinsoku/>
        <w:wordWrap/>
        <w:overflowPunct/>
        <w:topLinePunct w:val="0"/>
        <w:bidi w:val="0"/>
        <w:snapToGrid/>
        <w:spacing w:before="0" w:beforeLines="0" w:after="0" w:afterLines="0" w:line="560" w:lineRule="exact"/>
        <w:ind w:left="958" w:leftChars="342" w:hanging="240" w:hangingChars="100"/>
        <w:textAlignment w:val="auto"/>
        <w:rPr>
          <w:rFonts w:hint="eastAsia" w:ascii="宋体" w:hAnsi="宋体" w:eastAsia="宋体" w:cs="宋体"/>
          <w:b w:val="0"/>
          <w:bCs w:val="0"/>
          <w:kern w:val="2"/>
          <w:sz w:val="24"/>
          <w:szCs w:val="24"/>
          <w:lang w:val="en-US" w:eastAsia="zh-CN" w:bidi="ar-SA"/>
        </w:rPr>
      </w:pPr>
      <w:bookmarkStart w:id="170" w:name="_Toc27434"/>
      <w:r>
        <w:rPr>
          <w:rFonts w:hint="eastAsia" w:ascii="宋体" w:hAnsi="宋体" w:eastAsia="宋体" w:cs="宋体"/>
          <w:b w:val="0"/>
          <w:bCs w:val="0"/>
          <w:kern w:val="2"/>
          <w:sz w:val="24"/>
          <w:szCs w:val="24"/>
          <w:lang w:val="en-US" w:eastAsia="zh-CN" w:bidi="ar-SA"/>
        </w:rPr>
        <w:t>专家不得少于成员总数的三分之二。</w:t>
      </w:r>
      <w:bookmarkEnd w:id="168"/>
      <w:bookmarkEnd w:id="17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19.3.2  评标委员会成员名称在评标结果公告前应当保密。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b w:val="0"/>
          <w:bCs/>
          <w:sz w:val="24"/>
          <w:szCs w:val="24"/>
          <w:bdr w:val="single" w:color="auto" w:sz="4" w:space="0"/>
        </w:rPr>
      </w:pPr>
      <w:bookmarkStart w:id="171" w:name="_Toc515647781"/>
      <w:bookmarkStart w:id="172" w:name="_Toc2582287"/>
      <w:bookmarkStart w:id="173" w:name="_Toc19949"/>
      <w:bookmarkStart w:id="174" w:name="_Toc532473473"/>
      <w:bookmarkStart w:id="175" w:name="_Toc28479"/>
      <w:r>
        <w:rPr>
          <w:rFonts w:hint="eastAsia" w:ascii="宋体" w:hAnsi="宋体" w:eastAsia="宋体" w:cs="宋体"/>
          <w:sz w:val="24"/>
          <w:szCs w:val="24"/>
          <w:u w:val="none"/>
        </w:rPr>
        <w:t>20.投标文件</w:t>
      </w:r>
      <w:bookmarkEnd w:id="169"/>
      <w:r>
        <w:rPr>
          <w:rFonts w:hint="eastAsia" w:ascii="宋体" w:hAnsi="宋体" w:eastAsia="宋体" w:cs="宋体"/>
          <w:sz w:val="24"/>
          <w:szCs w:val="24"/>
          <w:u w:val="none"/>
        </w:rPr>
        <w:t>符合性审查与澄清</w:t>
      </w:r>
      <w:bookmarkEnd w:id="171"/>
      <w:bookmarkEnd w:id="172"/>
      <w:bookmarkEnd w:id="173"/>
      <w:bookmarkEnd w:id="174"/>
      <w:bookmarkEnd w:id="175"/>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xml:space="preserve">20.1   </w:t>
      </w:r>
      <w:bookmarkStart w:id="176" w:name="_Hlt522424701"/>
      <w:bookmarkEnd w:id="176"/>
      <w:bookmarkStart w:id="177" w:name="_Toc520356167"/>
      <w:r>
        <w:rPr>
          <w:rFonts w:hint="eastAsia" w:ascii="宋体" w:hAnsi="宋体" w:eastAsia="宋体" w:cs="宋体"/>
          <w:sz w:val="24"/>
          <w:szCs w:val="24"/>
        </w:rPr>
        <w:t>符合性审查是指依据招标文件的规定，从商务和技术角度对投标文件的有效性和完整性进行审查，以确定是否对招标文件的实质性要求做出响应。</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rPr>
        <w:tab/>
      </w:r>
      <w:r>
        <w:rPr>
          <w:rFonts w:hint="eastAsia" w:ascii="宋体" w:hAnsi="宋体" w:eastAsia="宋体" w:cs="宋体"/>
          <w:sz w:val="24"/>
          <w:szCs w:val="24"/>
        </w:rPr>
        <w:t>投标文件的澄清</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20.2.2 投标人的澄清、说明或补正将作为投标文件的一部分。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20.3   投标文件报价出现前后不一致的，按照下列规定修正：</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（1）投标文件中开标一览表（报价表）内容与投标文件中相应内容不一致的，以开标一览表（报价表）为准；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（2）大写金额和小写金额不一致的，以大写金额为准；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（3）单价金额小数点或者百分比有明显错位的，以开标一览表的总价为准，并修改单价；</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（4）总价金额与按单价汇总金额不一致的，以单价金额计算结果为准。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同时出现两种以上不一致的，按照前款规定的顺序修正。</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   如</w:t>
      </w:r>
      <w:r>
        <w:rPr>
          <w:rFonts w:hint="eastAsia" w:ascii="宋体" w:hAnsi="宋体" w:eastAsia="宋体" w:cs="宋体"/>
          <w:sz w:val="24"/>
          <w:szCs w:val="24"/>
          <w:lang w:eastAsia="zh-CN"/>
        </w:rPr>
        <w:t>本项目</w:t>
      </w:r>
      <w:r>
        <w:rPr>
          <w:rFonts w:hint="eastAsia" w:ascii="宋体" w:hAnsi="宋体" w:eastAsia="宋体" w:cs="宋体"/>
          <w:sz w:val="24"/>
          <w:szCs w:val="24"/>
        </w:rPr>
        <w:t>只有一种产品，不同投标人所投产品为同一品牌的，按如下方式处理：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20.4.2  如本项目使用综合评分法，提供相同品牌产品且通过资格审查、符合性审查的不同投标人，按一家投标人计算，评审后得分最高的同品牌投标人获得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推荐资格；评审得分相同的，由采购人或者采购人委托评标委员会按照招标文件中评标办法规定的方式确定一个投标人获得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推荐资格；未规定的采取随机抽取方式确定，其他同品牌投标人不作为中标候选人。</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20.5   如</w:t>
      </w:r>
      <w:r>
        <w:rPr>
          <w:rFonts w:hint="eastAsia" w:ascii="宋体" w:hAnsi="宋体" w:eastAsia="宋体" w:cs="宋体"/>
          <w:sz w:val="24"/>
          <w:szCs w:val="24"/>
          <w:lang w:eastAsia="zh-CN"/>
        </w:rPr>
        <w:t>本项目</w:t>
      </w:r>
      <w:r>
        <w:rPr>
          <w:rFonts w:hint="eastAsia" w:ascii="宋体" w:hAnsi="宋体" w:eastAsia="宋体" w:cs="宋体"/>
          <w:sz w:val="24"/>
          <w:szCs w:val="24"/>
        </w:rPr>
        <w:t>包含多种产品的，采购人或采购代理机构</w:t>
      </w:r>
      <w:r>
        <w:rPr>
          <w:rFonts w:hint="eastAsia" w:ascii="宋体" w:hAnsi="宋体" w:eastAsia="宋体" w:cs="宋体"/>
          <w:sz w:val="24"/>
          <w:szCs w:val="24"/>
          <w:lang w:eastAsia="zh-CN"/>
        </w:rPr>
        <w:t>应当</w:t>
      </w:r>
      <w:r>
        <w:rPr>
          <w:rFonts w:hint="eastAsia" w:ascii="宋体" w:hAnsi="宋体" w:eastAsia="宋体" w:cs="宋体"/>
          <w:sz w:val="24"/>
          <w:szCs w:val="24"/>
        </w:rPr>
        <w:t>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中载明核心产品，</w:t>
      </w:r>
      <w:r>
        <w:rPr>
          <w:rFonts w:hint="eastAsia" w:ascii="宋体" w:hAnsi="宋体" w:eastAsia="宋体" w:cs="宋体"/>
          <w:sz w:val="24"/>
          <w:szCs w:val="24"/>
          <w:lang w:eastAsia="zh-CN"/>
        </w:rPr>
        <w:t>若投标人提供的</w:t>
      </w:r>
      <w:r>
        <w:rPr>
          <w:rFonts w:hint="eastAsia" w:ascii="宋体" w:hAnsi="宋体" w:eastAsia="宋体" w:cs="宋体"/>
          <w:sz w:val="24"/>
          <w:szCs w:val="24"/>
        </w:rPr>
        <w:t>核心产品的品牌相同，相关投标人将被认定为属于提供相同品牌产品，按第20.4条规定处理。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78" w:name="_Toc515647783"/>
      <w:bookmarkStart w:id="179" w:name="_Toc532473475"/>
      <w:bookmarkStart w:id="180" w:name="_Toc4950"/>
      <w:bookmarkStart w:id="181" w:name="_Toc6092"/>
      <w:bookmarkStart w:id="182" w:name="_Toc2582289"/>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.投标</w:t>
      </w:r>
      <w:bookmarkEnd w:id="178"/>
      <w:r>
        <w:rPr>
          <w:rFonts w:hint="eastAsia" w:ascii="宋体" w:hAnsi="宋体" w:eastAsia="宋体" w:cs="宋体"/>
          <w:sz w:val="24"/>
          <w:szCs w:val="24"/>
          <w:u w:val="none"/>
        </w:rPr>
        <w:t>无效</w:t>
      </w:r>
      <w:bookmarkEnd w:id="179"/>
      <w:bookmarkEnd w:id="180"/>
      <w:bookmarkEnd w:id="181"/>
      <w:bookmarkEnd w:id="18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如发现下列情况之一的，其投标将被认定为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21.1.1</w:t>
      </w:r>
      <w:r>
        <w:rPr>
          <w:rFonts w:hint="eastAsia" w:ascii="宋体" w:hAnsi="宋体" w:eastAsia="宋体" w:cs="宋体"/>
          <w:sz w:val="24"/>
          <w:szCs w:val="24"/>
        </w:rPr>
        <w:t>未按照招标文件规定要求签署、盖章的；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21.1.2</w:t>
      </w:r>
      <w:r>
        <w:rPr>
          <w:rFonts w:hint="eastAsia" w:ascii="宋体" w:hAnsi="宋体" w:eastAsia="宋体" w:cs="宋体"/>
          <w:sz w:val="24"/>
          <w:szCs w:val="24"/>
        </w:rPr>
        <w:t>未满足招标文件中的实质性要求；</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21.1.3</w:t>
      </w:r>
      <w:r>
        <w:rPr>
          <w:rFonts w:hint="eastAsia" w:ascii="宋体" w:hAnsi="宋体" w:eastAsia="宋体" w:cs="宋体"/>
          <w:sz w:val="24"/>
          <w:szCs w:val="24"/>
        </w:rPr>
        <w:t>属于串通投标，或者依法被视为串通投标；</w:t>
      </w:r>
    </w:p>
    <w:p>
      <w:pPr>
        <w:pageBreakBefore w:val="0"/>
        <w:widowControl w:val="0"/>
        <w:numPr>
          <w:ilvl w:val="0"/>
          <w:numId w:val="0"/>
        </w:numPr>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21.1.4</w:t>
      </w:r>
      <w:r>
        <w:rPr>
          <w:rFonts w:hint="eastAsia" w:ascii="宋体" w:hAnsi="宋体" w:eastAsia="宋体" w:cs="宋体"/>
          <w:sz w:val="24"/>
          <w:szCs w:val="24"/>
        </w:rPr>
        <w:t>评标委员会认为投标人的报价明显低于其他通过符合性审查投标人的报价，有可能影响履约的，且投标人未按照规定证明其报价合理性的；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21.1.5</w:t>
      </w:r>
      <w:r>
        <w:rPr>
          <w:rFonts w:hint="eastAsia" w:ascii="宋体" w:hAnsi="宋体" w:eastAsia="宋体" w:cs="宋体"/>
          <w:sz w:val="24"/>
          <w:szCs w:val="24"/>
        </w:rPr>
        <w:t>投标文件含有采购人不能接受的附加条件的；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21.1.6</w:t>
      </w:r>
      <w:r>
        <w:rPr>
          <w:rFonts w:hint="eastAsia" w:ascii="宋体" w:hAnsi="宋体" w:eastAsia="宋体" w:cs="宋体"/>
          <w:sz w:val="24"/>
          <w:szCs w:val="24"/>
        </w:rPr>
        <w:t>属于招标文件规定的其他</w:t>
      </w:r>
      <w:r>
        <w:rPr>
          <w:rFonts w:hint="eastAsia" w:ascii="宋体" w:hAnsi="宋体" w:eastAsia="宋体" w:cs="宋体"/>
          <w:bCs/>
          <w:sz w:val="24"/>
          <w:szCs w:val="24"/>
        </w:rPr>
        <w:t>投标无效</w:t>
      </w:r>
      <w:r>
        <w:rPr>
          <w:rFonts w:hint="eastAsia" w:ascii="宋体" w:hAnsi="宋体" w:eastAsia="宋体" w:cs="宋体"/>
          <w:sz w:val="24"/>
          <w:szCs w:val="24"/>
        </w:rPr>
        <w:t>情形；</w:t>
      </w:r>
    </w:p>
    <w:p>
      <w:pPr>
        <w:pageBreakBefore w:val="0"/>
        <w:widowControl w:val="0"/>
        <w:numPr>
          <w:ilvl w:val="0"/>
          <w:numId w:val="0"/>
        </w:numPr>
        <w:tabs>
          <w:tab w:val="left" w:pos="0"/>
        </w:tabs>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21.1.7</w:t>
      </w:r>
      <w:r>
        <w:rPr>
          <w:rFonts w:hint="eastAsia" w:ascii="宋体" w:hAnsi="宋体" w:eastAsia="宋体" w:cs="宋体"/>
          <w:sz w:val="24"/>
          <w:szCs w:val="24"/>
        </w:rPr>
        <w:t>不符合</w:t>
      </w:r>
      <w:r>
        <w:rPr>
          <w:rFonts w:hint="eastAsia" w:ascii="宋体" w:hAnsi="宋体" w:eastAsia="宋体" w:cs="宋体"/>
          <w:sz w:val="24"/>
          <w:szCs w:val="24"/>
          <w:lang w:eastAsia="zh-CN"/>
        </w:rPr>
        <w:t>政府采购法律</w:t>
      </w:r>
      <w:r>
        <w:rPr>
          <w:rFonts w:hint="eastAsia" w:ascii="宋体" w:hAnsi="宋体" w:eastAsia="宋体" w:cs="宋体"/>
          <w:sz w:val="24"/>
          <w:szCs w:val="24"/>
        </w:rPr>
        <w:t>法规和招标文件中规定的其他实质性要求的。</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3" w:name="_Toc515647784"/>
      <w:bookmarkStart w:id="184" w:name="_Toc532473476"/>
      <w:bookmarkStart w:id="185" w:name="_Toc2582290"/>
      <w:bookmarkStart w:id="186" w:name="_Toc22941"/>
      <w:bookmarkStart w:id="187" w:name="_Toc13652"/>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bookmarkEnd w:id="177"/>
      <w:r>
        <w:rPr>
          <w:rFonts w:hint="eastAsia" w:ascii="宋体" w:hAnsi="宋体" w:eastAsia="宋体" w:cs="宋体"/>
          <w:sz w:val="24"/>
          <w:szCs w:val="24"/>
          <w:u w:val="none"/>
        </w:rPr>
        <w:t>比较与评价</w:t>
      </w:r>
      <w:bookmarkEnd w:id="183"/>
      <w:bookmarkEnd w:id="184"/>
      <w:bookmarkEnd w:id="185"/>
      <w:bookmarkEnd w:id="186"/>
      <w:bookmarkEnd w:id="18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rPr>
        <w:tab/>
      </w:r>
      <w:r>
        <w:rPr>
          <w:rFonts w:hint="eastAsia" w:ascii="宋体" w:hAnsi="宋体" w:eastAsia="宋体" w:cs="宋体"/>
          <w:sz w:val="24"/>
          <w:szCs w:val="24"/>
        </w:rPr>
        <w:t>评标严格按照招标文件的要求和条件进行。根据实际情况，在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中规定采用下列一种评标方法：</w:t>
      </w:r>
    </w:p>
    <w:p>
      <w:pPr>
        <w:pStyle w:val="12"/>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22.2.1  </w:t>
      </w:r>
      <w:r>
        <w:rPr>
          <w:rFonts w:hint="eastAsia" w:ascii="宋体" w:hAnsi="宋体" w:eastAsia="宋体" w:cs="宋体"/>
          <w:sz w:val="24"/>
          <w:szCs w:val="24"/>
        </w:rPr>
        <w:t>综合评分法，是指投标文件满足招标文件全部要求，且按照评审因素的量化指标评审得分最高的投标人为中标候选人的评标方法。</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.3   根据《政府采购促进中小企业发展</w:t>
      </w:r>
      <w:r>
        <w:rPr>
          <w:rFonts w:hint="eastAsia" w:ascii="宋体" w:hAnsi="宋体" w:eastAsia="宋体" w:cs="宋体"/>
          <w:sz w:val="24"/>
          <w:szCs w:val="24"/>
          <w:lang w:eastAsia="zh-CN"/>
        </w:rPr>
        <w:t>管理</w:t>
      </w:r>
      <w:r>
        <w:rPr>
          <w:rFonts w:hint="eastAsia" w:ascii="宋体" w:hAnsi="宋体" w:eastAsia="宋体" w:cs="宋体"/>
          <w:sz w:val="24"/>
          <w:szCs w:val="24"/>
        </w:rPr>
        <w:t>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w:t>
      </w:r>
      <w:r>
        <w:rPr>
          <w:rFonts w:hint="eastAsia" w:hAnsi="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《财政部司法部关于政府采购支持监狱企业发展有关问题的通知》（财库〔2014〕68号）和《三部门联合发布关于促进残疾人就业政府采购政策的通知》（</w:t>
      </w:r>
      <w:bookmarkStart w:id="188" w:name="sendNo"/>
      <w:r>
        <w:rPr>
          <w:rFonts w:hint="eastAsia" w:ascii="宋体" w:hAnsi="宋体" w:eastAsia="宋体" w:cs="宋体"/>
          <w:bCs/>
          <w:sz w:val="24"/>
          <w:szCs w:val="24"/>
        </w:rPr>
        <w:t>财库〔</w:t>
      </w:r>
      <w:bookmarkEnd w:id="188"/>
      <w:r>
        <w:rPr>
          <w:rFonts w:hint="eastAsia" w:ascii="宋体" w:hAnsi="宋体" w:eastAsia="宋体" w:cs="宋体"/>
          <w:bCs/>
          <w:sz w:val="24"/>
          <w:szCs w:val="24"/>
        </w:rPr>
        <w:t>2017〕141号</w:t>
      </w:r>
      <w:r>
        <w:rPr>
          <w:rFonts w:hint="eastAsia" w:ascii="宋体" w:hAnsi="宋体" w:eastAsia="宋体" w:cs="宋体"/>
          <w:sz w:val="24"/>
          <w:szCs w:val="24"/>
        </w:rPr>
        <w:t>）的规定，对满足价格扣除条件且在投标文件中提交了《</w:t>
      </w:r>
      <w:r>
        <w:rPr>
          <w:rFonts w:hint="eastAsia" w:ascii="宋体" w:hAnsi="宋体" w:eastAsia="宋体" w:cs="宋体"/>
          <w:sz w:val="24"/>
          <w:szCs w:val="24"/>
          <w:lang w:eastAsia="zh-CN"/>
        </w:rPr>
        <w:t>中小企业声明函</w:t>
      </w:r>
      <w:r>
        <w:rPr>
          <w:rFonts w:hint="eastAsia" w:ascii="宋体" w:hAnsi="宋体" w:eastAsia="宋体" w:cs="宋体"/>
          <w:sz w:val="24"/>
          <w:szCs w:val="24"/>
        </w:rPr>
        <w:t>》、《残疾人福利性单位声明函》</w:t>
      </w:r>
      <w:r>
        <w:rPr>
          <w:rFonts w:hint="eastAsia" w:ascii="宋体" w:hAnsi="宋体" w:eastAsia="宋体" w:cs="宋体"/>
          <w:sz w:val="24"/>
          <w:szCs w:val="24"/>
          <w:lang w:eastAsia="zh-CN"/>
        </w:rPr>
        <w:t>相关</w:t>
      </w:r>
      <w:r>
        <w:rPr>
          <w:rFonts w:hint="eastAsia" w:ascii="宋体" w:hAnsi="宋体" w:eastAsia="宋体" w:cs="宋体"/>
          <w:sz w:val="24"/>
          <w:szCs w:val="24"/>
        </w:rPr>
        <w:t>属于监狱企业的证明文件的投标人，</w:t>
      </w:r>
      <w:r>
        <w:rPr>
          <w:rFonts w:hint="eastAsia" w:ascii="宋体" w:hAnsi="宋体" w:eastAsia="宋体" w:cs="宋体"/>
          <w:sz w:val="24"/>
          <w:szCs w:val="24"/>
          <w:lang w:eastAsia="zh-CN"/>
        </w:rPr>
        <w:t>按照相关价格扣除规定和</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u w:val="none"/>
          <w:lang w:eastAsia="zh-CN"/>
        </w:rPr>
        <w:t>要求执行</w:t>
      </w:r>
      <w:r>
        <w:rPr>
          <w:rFonts w:hint="eastAsia" w:ascii="宋体" w:hAnsi="宋体" w:eastAsia="宋体" w:cs="宋体"/>
          <w:sz w:val="24"/>
          <w:szCs w:val="24"/>
        </w:rPr>
        <w:t>。</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.4   落实其他政府采购政策条款</w:t>
      </w:r>
      <w:r>
        <w:rPr>
          <w:rFonts w:hint="eastAsia" w:ascii="宋体" w:hAnsi="宋体" w:eastAsia="宋体" w:cs="宋体"/>
          <w:sz w:val="24"/>
          <w:szCs w:val="24"/>
          <w:lang w:eastAsia="zh-CN"/>
        </w:rPr>
        <w:t>，</w:t>
      </w:r>
      <w:r>
        <w:rPr>
          <w:rFonts w:hint="eastAsia" w:ascii="宋体" w:hAnsi="宋体" w:eastAsia="宋体" w:cs="宋体"/>
          <w:sz w:val="24"/>
          <w:szCs w:val="24"/>
        </w:rPr>
        <w:t>具体详见</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9" w:name="_Toc520356168"/>
      <w:bookmarkStart w:id="190" w:name="_Toc515647785"/>
      <w:bookmarkStart w:id="191" w:name="_Toc20227"/>
      <w:bookmarkStart w:id="192" w:name="_Toc9378"/>
      <w:bookmarkStart w:id="193" w:name="_Toc2582291"/>
      <w:bookmarkStart w:id="194" w:name="_Toc532473477"/>
      <w:r>
        <w:rPr>
          <w:rFonts w:hint="eastAsia" w:ascii="宋体" w:hAnsi="宋体" w:eastAsia="宋体" w:cs="宋体"/>
          <w:sz w:val="24"/>
          <w:szCs w:val="24"/>
          <w:u w:val="none"/>
        </w:rPr>
        <w:t>2</w:t>
      </w:r>
      <w:bookmarkEnd w:id="189"/>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.废标</w:t>
      </w:r>
      <w:bookmarkEnd w:id="190"/>
      <w:bookmarkEnd w:id="191"/>
      <w:bookmarkEnd w:id="192"/>
      <w:bookmarkEnd w:id="193"/>
      <w:bookmarkEnd w:id="194"/>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   </w:t>
      </w:r>
      <w:r>
        <w:rPr>
          <w:rFonts w:hint="eastAsia" w:ascii="宋体" w:hAnsi="宋体" w:eastAsia="宋体" w:cs="宋体"/>
          <w:sz w:val="24"/>
          <w:szCs w:val="24"/>
        </w:rPr>
        <w:t xml:space="preserve">出现下列情形之一，将导致项目废标：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23.1.1 </w:t>
      </w:r>
      <w:r>
        <w:rPr>
          <w:rFonts w:hint="eastAsia" w:ascii="宋体" w:hAnsi="宋体" w:eastAsia="宋体" w:cs="宋体"/>
          <w:sz w:val="24"/>
          <w:szCs w:val="24"/>
        </w:rPr>
        <w:t>符合专业条件的供应商或者对招标文件做实质性响应的供应商不足三家；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23.1.2 </w:t>
      </w:r>
      <w:r>
        <w:rPr>
          <w:rFonts w:hint="eastAsia" w:ascii="宋体" w:hAnsi="宋体" w:eastAsia="宋体" w:cs="宋体"/>
          <w:sz w:val="24"/>
          <w:szCs w:val="24"/>
        </w:rPr>
        <w:t>出现影响采购公正的违法、违规行为的；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23.1.3 </w:t>
      </w:r>
      <w:r>
        <w:rPr>
          <w:rFonts w:hint="eastAsia" w:ascii="宋体" w:hAnsi="宋体" w:eastAsia="宋体" w:cs="宋体"/>
          <w:sz w:val="24"/>
          <w:szCs w:val="24"/>
        </w:rPr>
        <w:t>投标人的报价均超过了采购预算，采购人不能支付的；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23.1.4 </w:t>
      </w:r>
      <w:r>
        <w:rPr>
          <w:rFonts w:hint="eastAsia" w:ascii="宋体" w:hAnsi="宋体" w:eastAsia="宋体" w:cs="宋体"/>
          <w:sz w:val="24"/>
          <w:szCs w:val="24"/>
        </w:rPr>
        <w:t xml:space="preserve">因重大变故，采购任务取消的。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5" w:name="_Toc31289"/>
      <w:bookmarkStart w:id="196" w:name="_Toc24972"/>
      <w:bookmarkStart w:id="197" w:name="_Toc515647786"/>
      <w:bookmarkStart w:id="198" w:name="_Toc532473478"/>
      <w:bookmarkStart w:id="199" w:name="_Toc2582292"/>
      <w:bookmarkStart w:id="200" w:name="_Toc520356169"/>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.保密</w:t>
      </w:r>
      <w:bookmarkEnd w:id="195"/>
      <w:bookmarkEnd w:id="196"/>
      <w:bookmarkEnd w:id="197"/>
      <w:r>
        <w:rPr>
          <w:rFonts w:hint="eastAsia" w:ascii="宋体" w:hAnsi="宋体" w:eastAsia="宋体" w:cs="宋体"/>
          <w:sz w:val="24"/>
          <w:szCs w:val="24"/>
          <w:u w:val="none"/>
        </w:rPr>
        <w:t>要求</w:t>
      </w:r>
      <w:bookmarkEnd w:id="198"/>
      <w:bookmarkEnd w:id="19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有关人员应当遵守评标工作纪律，不得泄露评标文件评标情况和评标中获悉的国家秘</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密、商业秘密。</w:t>
      </w:r>
      <w:bookmarkEnd w:id="200"/>
      <w:bookmarkStart w:id="201" w:name="_Toc12143"/>
      <w:bookmarkStart w:id="202" w:name="_Toc23904"/>
      <w:bookmarkStart w:id="203" w:name="_Toc2582293"/>
      <w:bookmarkStart w:id="204" w:name="_Toc216582810"/>
      <w:bookmarkStart w:id="205" w:name="_Toc515647787"/>
      <w:bookmarkStart w:id="206" w:name="_Toc532473479"/>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07" w:name="_Toc12467"/>
      <w:r>
        <w:rPr>
          <w:rFonts w:hint="eastAsia"/>
          <w:sz w:val="24"/>
          <w:szCs w:val="24"/>
          <w:lang w:eastAsia="zh-CN"/>
        </w:rPr>
        <w:t>（六）</w:t>
      </w:r>
      <w:r>
        <w:rPr>
          <w:rFonts w:hint="eastAsia"/>
          <w:sz w:val="24"/>
          <w:szCs w:val="24"/>
        </w:rPr>
        <w:t>确定中标</w:t>
      </w:r>
      <w:bookmarkEnd w:id="201"/>
      <w:bookmarkEnd w:id="202"/>
      <w:bookmarkEnd w:id="203"/>
      <w:bookmarkEnd w:id="204"/>
      <w:bookmarkEnd w:id="205"/>
      <w:bookmarkEnd w:id="206"/>
      <w:bookmarkEnd w:id="207"/>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bookmarkStart w:id="208" w:name="_Toc515647788"/>
      <w:bookmarkStart w:id="209" w:name="_Toc23762"/>
      <w:bookmarkStart w:id="210" w:name="_Toc23617"/>
      <w:bookmarkStart w:id="211" w:name="_Toc520356170"/>
      <w:bookmarkStart w:id="212" w:name="_Toc532473480"/>
      <w:bookmarkStart w:id="213" w:name="_Toc2582294"/>
      <w:bookmarkStart w:id="214" w:name="_Ref46730701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.中标候选人的确定原则及标准</w:t>
      </w:r>
      <w:bookmarkEnd w:id="208"/>
      <w:bookmarkEnd w:id="209"/>
      <w:bookmarkEnd w:id="210"/>
      <w:bookmarkEnd w:id="211"/>
      <w:bookmarkEnd w:id="212"/>
      <w:bookmarkEnd w:id="213"/>
      <w:bookmarkEnd w:id="21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   </w:t>
      </w:r>
      <w:r>
        <w:rPr>
          <w:rFonts w:hint="eastAsia" w:ascii="宋体" w:hAnsi="宋体" w:eastAsia="宋体" w:cs="宋体"/>
          <w:sz w:val="24"/>
          <w:szCs w:val="24"/>
        </w:rPr>
        <w:t>除评标委员会受采购人委托直接确定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的情形外，对实质上响应招标文件的投标人按下列方法进行排序，确定中标候选人：</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u w:val="single"/>
          <w:lang w:val="en-US" w:eastAsia="zh-CN"/>
        </w:rPr>
      </w:pPr>
      <w:bookmarkStart w:id="215" w:name="_Toc520356171"/>
      <w:bookmarkStart w:id="216" w:name="_Toc515647789"/>
      <w:r>
        <w:rPr>
          <w:rFonts w:hint="eastAsia" w:ascii="宋体" w:hAnsi="宋体" w:eastAsia="宋体" w:cs="宋体"/>
          <w:sz w:val="24"/>
          <w:szCs w:val="24"/>
          <w:lang w:val="en-US" w:eastAsia="zh-CN"/>
        </w:rPr>
        <w:t xml:space="preserve">25.1.1  </w:t>
      </w:r>
      <w:r>
        <w:rPr>
          <w:rFonts w:hint="eastAsia" w:ascii="宋体" w:hAnsi="宋体" w:eastAsia="宋体" w:cs="宋体"/>
          <w:sz w:val="24"/>
          <w:szCs w:val="24"/>
        </w:rPr>
        <w:t>采用最低评标价法的，除了算术修正和落实政府采购政策需进行的价格扣除外，不对投标人的投标价格进行任何调整。评标结果按修正和扣除后的投标报价由低到高顺序排列。得分与投标报价均相同的处理方式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本项目不适用</w:t>
      </w:r>
      <w:r>
        <w:rPr>
          <w:rFonts w:hint="eastAsia" w:ascii="宋体" w:hAnsi="宋体" w:eastAsia="宋体" w:cs="宋体"/>
          <w:sz w:val="24"/>
          <w:szCs w:val="24"/>
          <w:u w:val="none"/>
          <w:lang w:val="en-US" w:eastAsia="zh-CN"/>
        </w:rPr>
        <w:t>。</w:t>
      </w:r>
    </w:p>
    <w:p>
      <w:pPr>
        <w:pageBreakBefore w:val="0"/>
        <w:widowControl w:val="0"/>
        <w:kinsoku/>
        <w:wordWrap/>
        <w:overflowPunct/>
        <w:topLinePunct w:val="0"/>
        <w:bidi w:val="0"/>
        <w:snapToGrid/>
        <w:spacing w:line="560" w:lineRule="exact"/>
        <w:ind w:left="96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25.1.2  </w:t>
      </w:r>
      <w:r>
        <w:rPr>
          <w:rFonts w:hint="eastAsia" w:ascii="宋体" w:hAnsi="宋体" w:eastAsia="宋体" w:cs="宋体"/>
          <w:sz w:val="24"/>
          <w:szCs w:val="24"/>
        </w:rPr>
        <w:t>采用综合评分法的，评标结果按评审后得分由高到低顺序排列。得分相同的，按修正和扣除后的投标报价由低到高顺序排列。得分与投标报价均相同的处理方式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随机抽取</w:t>
      </w:r>
      <w:r>
        <w:rPr>
          <w:rFonts w:hint="eastAsia" w:ascii="宋体" w:hAnsi="宋体" w:eastAsia="宋体" w:cs="宋体"/>
          <w:sz w:val="24"/>
          <w:szCs w:val="24"/>
          <w:u w:val="none"/>
          <w:lang w:val="en-US" w:eastAsia="zh-CN"/>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lang w:eastAsia="zh-CN"/>
        </w:rPr>
      </w:pPr>
      <w:bookmarkStart w:id="217" w:name="_Toc2582295"/>
      <w:bookmarkStart w:id="218" w:name="_Toc23951"/>
      <w:bookmarkStart w:id="219" w:name="_Toc9653"/>
      <w:bookmarkStart w:id="220" w:name="_Toc532473481"/>
      <w:r>
        <w:rPr>
          <w:rFonts w:hint="eastAsia" w:ascii="宋体" w:hAnsi="宋体" w:eastAsia="宋体" w:cs="宋体"/>
          <w:sz w:val="24"/>
          <w:szCs w:val="24"/>
          <w:u w:val="none"/>
        </w:rPr>
        <w:t>2</w:t>
      </w:r>
      <w:bookmarkEnd w:id="21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.确定中标候选人和</w:t>
      </w:r>
      <w:bookmarkEnd w:id="216"/>
      <w:bookmarkEnd w:id="217"/>
      <w:bookmarkEnd w:id="218"/>
      <w:bookmarkEnd w:id="219"/>
      <w:bookmarkEnd w:id="220"/>
      <w:r>
        <w:rPr>
          <w:rFonts w:hint="eastAsia" w:ascii="宋体" w:hAnsi="宋体" w:eastAsia="宋体" w:cs="宋体"/>
          <w:sz w:val="24"/>
          <w:szCs w:val="24"/>
          <w:u w:val="none"/>
          <w:lang w:eastAsia="zh-CN"/>
        </w:rPr>
        <w:t>中标供应商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评标委员会将根据评标标准，按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中规定数量推荐中标候选人。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中规定，由评标委员会直接确定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221" w:name="_Toc2582296"/>
      <w:bookmarkStart w:id="222" w:name="_Toc532473483"/>
      <w:bookmarkStart w:id="223" w:name="_Toc30170"/>
      <w:bookmarkStart w:id="224" w:name="_Toc520356174"/>
      <w:bookmarkStart w:id="225" w:name="_Toc31099"/>
      <w:bookmarkStart w:id="226" w:name="_Toc515647791"/>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.发出中标通知书</w:t>
      </w:r>
      <w:bookmarkEnd w:id="221"/>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在投标有效期内，</w:t>
      </w:r>
      <w:r>
        <w:rPr>
          <w:rFonts w:hint="eastAsia" w:ascii="宋体" w:hAnsi="宋体" w:eastAsia="宋体" w:cs="宋体"/>
          <w:sz w:val="24"/>
          <w:szCs w:val="24"/>
          <w:lang w:eastAsia="zh-CN"/>
        </w:rPr>
        <w:t>中标供应商</w:t>
      </w:r>
      <w:r>
        <w:rPr>
          <w:rFonts w:hint="eastAsia" w:ascii="宋体" w:hAnsi="宋体" w:eastAsia="宋体" w:cs="宋体"/>
          <w:sz w:val="24"/>
          <w:szCs w:val="24"/>
        </w:rPr>
        <w:t>确定后，采购人或者采购代理机构发布中标公告。在公告中标结果的同时，向</w:t>
      </w:r>
      <w:r>
        <w:rPr>
          <w:rFonts w:hint="eastAsia" w:ascii="宋体" w:hAnsi="宋体" w:eastAsia="宋体" w:cs="宋体"/>
          <w:sz w:val="24"/>
          <w:szCs w:val="24"/>
          <w:lang w:eastAsia="zh-CN"/>
        </w:rPr>
        <w:t>中标供应商</w:t>
      </w:r>
      <w:r>
        <w:rPr>
          <w:rFonts w:hint="eastAsia" w:ascii="宋体" w:hAnsi="宋体" w:eastAsia="宋体" w:cs="宋体"/>
          <w:sz w:val="24"/>
          <w:szCs w:val="24"/>
        </w:rPr>
        <w:t>发出中标通知书，中标通知书是合同的组成部分。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227" w:name="_Toc2582297"/>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 告知招标结果</w:t>
      </w:r>
      <w:bookmarkEnd w:id="227"/>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在公告中标结果的同时，告知未通过资格审查投标人未通过的原因；采用综合评分法评审的，还将告知未</w:t>
      </w:r>
      <w:r>
        <w:rPr>
          <w:rFonts w:hint="eastAsia" w:ascii="宋体" w:hAnsi="宋体" w:eastAsia="宋体" w:cs="宋体"/>
          <w:sz w:val="24"/>
          <w:szCs w:val="24"/>
          <w:lang w:eastAsia="zh-CN"/>
        </w:rPr>
        <w:t>中标供应商</w:t>
      </w:r>
      <w:r>
        <w:rPr>
          <w:rFonts w:hint="eastAsia" w:ascii="宋体" w:hAnsi="宋体" w:eastAsia="宋体" w:cs="宋体"/>
          <w:sz w:val="24"/>
          <w:szCs w:val="24"/>
        </w:rPr>
        <w:t>本人的评审得分和排序。</w:t>
      </w:r>
      <w:bookmarkEnd w:id="222"/>
      <w:bookmarkEnd w:id="223"/>
      <w:bookmarkEnd w:id="224"/>
      <w:bookmarkEnd w:id="225"/>
      <w:bookmarkEnd w:id="226"/>
      <w:bookmarkStart w:id="228" w:name="_Ref467306978"/>
      <w:bookmarkStart w:id="229" w:name="_Toc790"/>
      <w:bookmarkStart w:id="230" w:name="_Toc7779"/>
      <w:bookmarkStart w:id="231" w:name="_Toc515647792"/>
      <w:bookmarkStart w:id="232" w:name="_Ref467306377"/>
      <w:bookmarkStart w:id="233" w:name="_Toc520356175"/>
      <w:bookmarkStart w:id="234" w:name="_Toc2582298"/>
      <w:bookmarkStart w:id="235" w:name="_Toc532473484"/>
      <w:bookmarkStart w:id="236" w:name="_Ref467307204"/>
      <w:bookmarkStart w:id="237" w:name="_Ref467307062"/>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38" w:name="_Toc18871"/>
      <w:r>
        <w:rPr>
          <w:rFonts w:hint="eastAsia"/>
          <w:sz w:val="24"/>
          <w:szCs w:val="24"/>
          <w:lang w:eastAsia="zh-CN"/>
        </w:rPr>
        <w:t>（七）合同及履约验收</w:t>
      </w:r>
      <w:bookmarkEnd w:id="238"/>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29</w:t>
      </w:r>
      <w:r>
        <w:rPr>
          <w:rFonts w:hint="eastAsia" w:ascii="宋体" w:hAnsi="宋体" w:eastAsia="宋体" w:cs="宋体"/>
          <w:sz w:val="24"/>
          <w:szCs w:val="24"/>
          <w:u w:val="none"/>
        </w:rPr>
        <w:t>.签订合同</w:t>
      </w:r>
      <w:bookmarkEnd w:id="228"/>
      <w:bookmarkEnd w:id="229"/>
      <w:bookmarkEnd w:id="230"/>
      <w:bookmarkEnd w:id="231"/>
      <w:bookmarkEnd w:id="232"/>
      <w:bookmarkEnd w:id="233"/>
      <w:bookmarkEnd w:id="234"/>
      <w:bookmarkEnd w:id="235"/>
      <w:bookmarkEnd w:id="236"/>
      <w:bookmarkEnd w:id="23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采购人与</w:t>
      </w:r>
      <w:r>
        <w:rPr>
          <w:rFonts w:hint="eastAsia" w:ascii="宋体" w:hAnsi="宋体" w:eastAsia="宋体" w:cs="宋体"/>
          <w:sz w:val="24"/>
          <w:szCs w:val="24"/>
          <w:lang w:eastAsia="zh-CN"/>
        </w:rPr>
        <w:t>中标供应商</w:t>
      </w:r>
      <w:r>
        <w:rPr>
          <w:rFonts w:hint="eastAsia" w:ascii="宋体" w:hAnsi="宋体" w:eastAsia="宋体" w:cs="宋体"/>
          <w:sz w:val="24"/>
          <w:szCs w:val="24"/>
        </w:rPr>
        <w:t>应当</w:t>
      </w:r>
      <w:r>
        <w:rPr>
          <w:rFonts w:hint="eastAsia" w:ascii="宋体" w:hAnsi="宋体" w:eastAsia="宋体" w:cs="宋体"/>
          <w:sz w:val="24"/>
          <w:szCs w:val="24"/>
          <w:lang w:eastAsia="zh-CN"/>
        </w:rPr>
        <w:t>在</w:t>
      </w:r>
      <w:r>
        <w:rPr>
          <w:rFonts w:hint="eastAsia" w:ascii="宋体" w:hAnsi="宋体" w:eastAsia="宋体" w:cs="宋体"/>
          <w:sz w:val="24"/>
          <w:szCs w:val="24"/>
        </w:rPr>
        <w:t>中标通知书</w:t>
      </w:r>
      <w:r>
        <w:rPr>
          <w:rFonts w:hint="eastAsia" w:ascii="宋体" w:hAnsi="宋体" w:eastAsia="宋体" w:cs="宋体"/>
          <w:sz w:val="24"/>
          <w:szCs w:val="24"/>
          <w:lang w:eastAsia="zh-CN"/>
        </w:rPr>
        <w:t>发出之日</w:t>
      </w:r>
      <w:r>
        <w:rPr>
          <w:rFonts w:hint="eastAsia" w:ascii="宋体" w:hAnsi="宋体" w:eastAsia="宋体" w:cs="宋体"/>
          <w:sz w:val="24"/>
          <w:szCs w:val="24"/>
        </w:rPr>
        <w:t>起</w:t>
      </w:r>
      <w:r>
        <w:rPr>
          <w:rFonts w:hint="eastAsia" w:ascii="宋体" w:hAnsi="宋体" w:eastAsia="宋体" w:cs="宋体"/>
          <w:sz w:val="24"/>
          <w:szCs w:val="24"/>
          <w:lang w:eastAsia="zh-CN"/>
        </w:rPr>
        <w:t>三十</w:t>
      </w:r>
      <w:r>
        <w:rPr>
          <w:rFonts w:hint="eastAsia" w:ascii="宋体" w:hAnsi="宋体" w:eastAsia="宋体" w:cs="宋体"/>
          <w:sz w:val="24"/>
          <w:szCs w:val="24"/>
        </w:rPr>
        <w:t>日内，签订</w:t>
      </w:r>
      <w:r>
        <w:rPr>
          <w:rFonts w:hint="eastAsia" w:ascii="宋体" w:hAnsi="宋体" w:eastAsia="宋体" w:cs="宋体"/>
          <w:sz w:val="24"/>
          <w:szCs w:val="24"/>
          <w:lang w:eastAsia="zh-CN"/>
        </w:rPr>
        <w:t>政府采购</w:t>
      </w:r>
      <w:r>
        <w:rPr>
          <w:rFonts w:hint="eastAsia" w:ascii="宋体" w:hAnsi="宋体" w:eastAsia="宋体" w:cs="宋体"/>
          <w:sz w:val="24"/>
          <w:szCs w:val="24"/>
        </w:rPr>
        <w:t>合同。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29.2</w:t>
      </w:r>
      <w:r>
        <w:rPr>
          <w:rFonts w:hint="eastAsia" w:ascii="宋体" w:hAnsi="宋体" w:eastAsia="宋体" w:cs="宋体"/>
          <w:sz w:val="24"/>
          <w:szCs w:val="24"/>
        </w:rPr>
        <w:tab/>
      </w:r>
      <w:bookmarkStart w:id="239" w:name="_Ref467307090"/>
      <w:bookmarkStart w:id="240" w:name="_Toc520356176"/>
      <w:bookmarkStart w:id="241" w:name="_Ref467306425"/>
      <w:r>
        <w:rPr>
          <w:rFonts w:hint="eastAsia" w:ascii="宋体" w:hAnsi="宋体" w:eastAsia="宋体" w:cs="宋体"/>
          <w:sz w:val="24"/>
          <w:szCs w:val="24"/>
        </w:rPr>
        <w:t>招标文件、</w:t>
      </w:r>
      <w:r>
        <w:rPr>
          <w:rFonts w:hint="eastAsia" w:ascii="宋体" w:hAnsi="宋体" w:eastAsia="宋体" w:cs="宋体"/>
          <w:sz w:val="24"/>
          <w:szCs w:val="24"/>
          <w:lang w:eastAsia="zh-CN"/>
        </w:rPr>
        <w:t>中标供应商</w:t>
      </w:r>
      <w:r>
        <w:rPr>
          <w:rFonts w:hint="eastAsia" w:ascii="宋体" w:hAnsi="宋体" w:eastAsia="宋体" w:cs="宋体"/>
          <w:sz w:val="24"/>
          <w:szCs w:val="24"/>
        </w:rPr>
        <w:t>的投标文件及其澄清文件等，均为签订合同的依据。所签订的合同不得对招标文件确定的事项和中标人投标文件作实质性修改</w:t>
      </w:r>
      <w:r>
        <w:rPr>
          <w:rFonts w:hint="eastAsia" w:ascii="宋体" w:hAnsi="宋体" w:eastAsia="宋体" w:cs="宋体"/>
          <w:sz w:val="24"/>
          <w:szCs w:val="24"/>
          <w:lang w:eastAsia="zh-CN"/>
        </w:rPr>
        <w:t>。</w:t>
      </w:r>
      <w:r>
        <w:rPr>
          <w:rFonts w:hint="eastAsia" w:ascii="宋体" w:hAnsi="宋体" w:eastAsia="宋体" w:cs="宋体"/>
          <w:sz w:val="24"/>
          <w:szCs w:val="24"/>
        </w:rPr>
        <w:t>采购人不得向中标人提出任何不合理的要求作为签订合同的条件。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29.3</w:t>
      </w:r>
      <w:r>
        <w:rPr>
          <w:rFonts w:hint="eastAsia" w:ascii="宋体" w:hAnsi="宋体" w:eastAsia="宋体" w:cs="宋体"/>
          <w:sz w:val="24"/>
          <w:szCs w:val="24"/>
        </w:rPr>
        <w:t xml:space="preserve">   如</w:t>
      </w:r>
      <w:r>
        <w:rPr>
          <w:rFonts w:hint="eastAsia" w:ascii="宋体" w:hAnsi="宋体" w:eastAsia="宋体" w:cs="宋体"/>
          <w:sz w:val="24"/>
          <w:szCs w:val="24"/>
          <w:lang w:eastAsia="zh-CN"/>
        </w:rPr>
        <w:t>中标供应商</w:t>
      </w:r>
      <w:r>
        <w:rPr>
          <w:rFonts w:hint="eastAsia" w:ascii="宋体" w:hAnsi="宋体" w:eastAsia="宋体" w:cs="宋体"/>
          <w:sz w:val="24"/>
          <w:szCs w:val="24"/>
        </w:rPr>
        <w:t>拒绝与采购人签订合同的，</w:t>
      </w:r>
      <w:r>
        <w:rPr>
          <w:rFonts w:hint="eastAsia" w:ascii="宋体" w:hAnsi="宋体" w:eastAsia="宋体" w:cs="宋体"/>
          <w:sz w:val="24"/>
          <w:szCs w:val="24"/>
          <w:lang w:eastAsia="zh-CN"/>
        </w:rPr>
        <w:t>中标供应商</w:t>
      </w:r>
      <w:r>
        <w:rPr>
          <w:rFonts w:hint="eastAsia" w:ascii="宋体" w:hAnsi="宋体" w:eastAsia="宋体" w:cs="宋体"/>
          <w:sz w:val="24"/>
          <w:szCs w:val="24"/>
        </w:rPr>
        <w:t>须按投标</w:t>
      </w:r>
      <w:r>
        <w:rPr>
          <w:rFonts w:hint="eastAsia" w:ascii="宋体" w:hAnsi="宋体" w:eastAsia="宋体" w:cs="宋体"/>
          <w:sz w:val="24"/>
          <w:szCs w:val="24"/>
          <w:lang w:eastAsia="zh-CN"/>
        </w:rPr>
        <w:t>函</w:t>
      </w:r>
      <w:r>
        <w:rPr>
          <w:rFonts w:hint="eastAsia" w:ascii="宋体" w:hAnsi="宋体" w:eastAsia="宋体" w:cs="宋体"/>
          <w:sz w:val="24"/>
          <w:szCs w:val="24"/>
        </w:rPr>
        <w:t>内容向采购人和采购代理机构支付赔偿；采购人可以按照评标报告推荐的中标候选人排序，确定下一中标候选人为</w:t>
      </w:r>
      <w:r>
        <w:rPr>
          <w:rFonts w:hint="eastAsia" w:ascii="宋体" w:hAnsi="宋体" w:eastAsia="宋体" w:cs="宋体"/>
          <w:sz w:val="24"/>
          <w:szCs w:val="24"/>
          <w:lang w:eastAsia="zh-CN"/>
        </w:rPr>
        <w:t>中标供应商</w:t>
      </w:r>
      <w:r>
        <w:rPr>
          <w:rFonts w:hint="eastAsia" w:ascii="宋体" w:hAnsi="宋体" w:eastAsia="宋体" w:cs="宋体"/>
          <w:sz w:val="24"/>
          <w:szCs w:val="24"/>
        </w:rPr>
        <w:t>，也可以重新开展采购活动。</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29.4</w:t>
      </w:r>
      <w:r>
        <w:rPr>
          <w:rFonts w:hint="eastAsia" w:ascii="宋体" w:hAnsi="宋体" w:eastAsia="宋体" w:cs="宋体"/>
          <w:sz w:val="24"/>
          <w:szCs w:val="24"/>
        </w:rPr>
        <w:t xml:space="preserve">   当出现</w:t>
      </w:r>
      <w:r>
        <w:rPr>
          <w:rFonts w:hint="eastAsia" w:ascii="宋体" w:hAnsi="宋体" w:eastAsia="宋体" w:cs="宋体"/>
          <w:sz w:val="24"/>
          <w:szCs w:val="24"/>
          <w:lang w:eastAsia="zh-CN"/>
        </w:rPr>
        <w:t>法律</w:t>
      </w:r>
      <w:r>
        <w:rPr>
          <w:rFonts w:hint="eastAsia" w:ascii="宋体" w:hAnsi="宋体" w:eastAsia="宋体" w:cs="宋体"/>
          <w:sz w:val="24"/>
          <w:szCs w:val="24"/>
        </w:rPr>
        <w:t>法规规定的中标无效或中标结果无效情形时，</w:t>
      </w:r>
      <w:bookmarkStart w:id="242" w:name="_Hlk73948372"/>
      <w:r>
        <w:rPr>
          <w:rFonts w:hint="eastAsia" w:ascii="宋体" w:hAnsi="宋体" w:eastAsia="宋体" w:cs="宋体"/>
          <w:sz w:val="24"/>
          <w:szCs w:val="24"/>
          <w:lang w:eastAsia="zh-CN"/>
        </w:rPr>
        <w:t>且</w:t>
      </w:r>
      <w:r>
        <w:rPr>
          <w:rFonts w:hint="eastAsia" w:ascii="宋体" w:hAnsi="宋体" w:eastAsia="宋体" w:cs="宋体"/>
          <w:sz w:val="24"/>
          <w:szCs w:val="24"/>
        </w:rPr>
        <w:t>合格的供应商数量符合规定，</w:t>
      </w:r>
      <w:bookmarkEnd w:id="242"/>
      <w:r>
        <w:rPr>
          <w:rFonts w:hint="eastAsia" w:ascii="宋体" w:hAnsi="宋体" w:eastAsia="宋体" w:cs="宋体"/>
          <w:sz w:val="24"/>
          <w:szCs w:val="24"/>
        </w:rPr>
        <w:t>采购人可与排名下一位的中标候选人另行签订合同，或依法重新开展采购活动。</w:t>
      </w:r>
    </w:p>
    <w:p>
      <w:pPr>
        <w:pStyle w:val="6"/>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sz w:val="24"/>
          <w:szCs w:val="24"/>
          <w:u w:val="none"/>
        </w:rPr>
      </w:pPr>
      <w:bookmarkStart w:id="243" w:name="_Toc14080"/>
      <w:bookmarkStart w:id="244" w:name="_Toc532473485"/>
      <w:bookmarkStart w:id="245" w:name="_Toc22555"/>
      <w:bookmarkStart w:id="246" w:name="_Toc2582299"/>
      <w:bookmarkStart w:id="247" w:name="_Toc515647793"/>
      <w:r>
        <w:rPr>
          <w:rFonts w:hint="eastAsia" w:ascii="宋体" w:hAnsi="宋体" w:eastAsia="宋体" w:cs="宋体"/>
          <w:sz w:val="24"/>
          <w:szCs w:val="24"/>
          <w:u w:val="none"/>
        </w:rPr>
        <w:t>3</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.履约保证金</w:t>
      </w:r>
      <w:bookmarkEnd w:id="239"/>
      <w:bookmarkEnd w:id="240"/>
      <w:bookmarkEnd w:id="241"/>
      <w:bookmarkEnd w:id="243"/>
      <w:bookmarkEnd w:id="244"/>
      <w:bookmarkEnd w:id="245"/>
      <w:bookmarkEnd w:id="246"/>
      <w:bookmarkEnd w:id="247"/>
    </w:p>
    <w:p>
      <w:pPr>
        <w:pageBreakBefore w:val="0"/>
        <w:widowControl w:val="0"/>
        <w:kinsoku/>
        <w:wordWrap/>
        <w:overflowPunct/>
        <w:topLinePunct w:val="0"/>
        <w:bidi w:val="0"/>
        <w:snapToGrid/>
        <w:spacing w:beforeLines="0" w:afterLines="0" w:line="560" w:lineRule="exact"/>
        <w:ind w:left="957" w:leftChars="456"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如果需要履约保证金，</w:t>
      </w:r>
      <w:r>
        <w:rPr>
          <w:rFonts w:hint="eastAsia" w:ascii="宋体" w:hAnsi="宋体" w:eastAsia="宋体" w:cs="宋体"/>
          <w:sz w:val="24"/>
          <w:szCs w:val="24"/>
          <w:lang w:eastAsia="zh-CN"/>
        </w:rPr>
        <w:t>中标供应商</w:t>
      </w:r>
      <w:r>
        <w:rPr>
          <w:rFonts w:hint="eastAsia" w:ascii="宋体" w:hAnsi="宋体" w:eastAsia="宋体" w:cs="宋体"/>
          <w:sz w:val="24"/>
          <w:szCs w:val="24"/>
        </w:rPr>
        <w:t>应按照</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规定</w:t>
      </w:r>
      <w:r>
        <w:rPr>
          <w:rFonts w:hint="eastAsia" w:ascii="宋体" w:hAnsi="宋体" w:eastAsia="宋体" w:cs="宋体"/>
          <w:sz w:val="24"/>
          <w:szCs w:val="24"/>
          <w:lang w:eastAsia="zh-CN"/>
        </w:rPr>
        <w:t>向</w:t>
      </w:r>
      <w:r>
        <w:rPr>
          <w:rFonts w:hint="eastAsia" w:ascii="宋体" w:hAnsi="宋体" w:eastAsia="宋体" w:cs="宋体"/>
          <w:sz w:val="24"/>
          <w:szCs w:val="24"/>
        </w:rPr>
        <w:t>采购人</w:t>
      </w:r>
      <w:r>
        <w:rPr>
          <w:rFonts w:hint="eastAsia" w:ascii="宋体" w:hAnsi="宋体" w:eastAsia="宋体" w:cs="宋体"/>
          <w:sz w:val="24"/>
          <w:szCs w:val="24"/>
          <w:lang w:eastAsia="zh-CN"/>
        </w:rPr>
        <w:t>提交</w:t>
      </w:r>
      <w:r>
        <w:rPr>
          <w:rFonts w:hint="eastAsia" w:ascii="宋体" w:hAnsi="宋体" w:eastAsia="宋体" w:cs="宋体"/>
          <w:sz w:val="24"/>
          <w:szCs w:val="24"/>
        </w:rPr>
        <w:t>履约保证金。</w:t>
      </w:r>
    </w:p>
    <w:p>
      <w:pPr>
        <w:pStyle w:val="5"/>
        <w:numPr>
          <w:ilvl w:val="0"/>
          <w:numId w:val="1"/>
        </w:numPr>
        <w:spacing w:before="0" w:after="0" w:line="560" w:lineRule="exact"/>
        <w:rPr>
          <w:rFonts w:hint="eastAsia" w:ascii="宋体" w:hAnsi="宋体" w:eastAsia="宋体" w:cs="宋体"/>
          <w:sz w:val="24"/>
          <w:szCs w:val="24"/>
          <w:u w:val="none"/>
        </w:rPr>
      </w:pPr>
      <w:bookmarkStart w:id="248" w:name="_Toc31603"/>
      <w:bookmarkStart w:id="249" w:name="_Toc24189"/>
      <w:r>
        <w:rPr>
          <w:rFonts w:hint="eastAsia" w:ascii="宋体" w:hAnsi="宋体" w:eastAsia="宋体" w:cs="宋体"/>
          <w:sz w:val="24"/>
          <w:szCs w:val="24"/>
          <w:lang w:val="en-US" w:eastAsia="zh-CN"/>
        </w:rPr>
        <w:t>履约验收</w:t>
      </w:r>
      <w:bookmarkEnd w:id="248"/>
      <w:bookmarkStart w:id="250" w:name="_Toc2583659"/>
      <w:bookmarkStart w:id="251" w:name="_Toc532473486"/>
      <w:bookmarkStart w:id="252" w:name="_Toc515647794"/>
      <w:bookmarkStart w:id="253" w:name="_Toc29408"/>
      <w:bookmarkStart w:id="254" w:name="_Toc3090"/>
      <w:bookmarkStart w:id="255" w:name="_Toc2582300"/>
      <w:r>
        <w:rPr>
          <w:rFonts w:hint="eastAsia" w:ascii="宋体" w:hAnsi="宋体" w:eastAsia="宋体" w:cs="宋体"/>
          <w:sz w:val="24"/>
          <w:szCs w:val="24"/>
          <w:lang w:val="en-US" w:eastAsia="zh-CN"/>
        </w:rPr>
        <w:t>：</w:t>
      </w:r>
      <w:bookmarkEnd w:id="249"/>
      <w:bookmarkStart w:id="256" w:name="_Toc27302"/>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采购单位组建验收小组，按采购合同约定的时间组织验收，并出具验收报告。</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rPr>
      </w:pPr>
      <w:r>
        <w:rPr>
          <w:rFonts w:hint="eastAsia" w:ascii="宋体" w:hAnsi="宋体" w:eastAsia="宋体" w:cs="宋体"/>
          <w:sz w:val="24"/>
          <w:szCs w:val="24"/>
          <w:lang w:val="en-US" w:eastAsia="zh-CN"/>
        </w:rPr>
        <w:t>31.2  由采购单位组织本单位纪检及相关人员验收。</w:t>
      </w:r>
    </w:p>
    <w:p>
      <w:pPr>
        <w:pStyle w:val="5"/>
        <w:numPr>
          <w:ilvl w:val="0"/>
          <w:numId w:val="1"/>
        </w:numPr>
        <w:spacing w:before="0" w:after="0" w:line="560" w:lineRule="exact"/>
        <w:rPr>
          <w:rFonts w:hint="eastAsia" w:ascii="宋体" w:hAnsi="宋体" w:eastAsia="宋体" w:cs="宋体"/>
          <w:sz w:val="24"/>
          <w:szCs w:val="24"/>
          <w:u w:val="none"/>
        </w:rPr>
      </w:pPr>
      <w:r>
        <w:rPr>
          <w:rFonts w:hint="eastAsia" w:ascii="宋体" w:hAnsi="宋体" w:eastAsia="宋体" w:cs="宋体"/>
          <w:sz w:val="24"/>
          <w:szCs w:val="24"/>
          <w:u w:val="none"/>
        </w:rPr>
        <w:t>招标代理费</w:t>
      </w:r>
      <w:bookmarkEnd w:id="250"/>
      <w:bookmarkEnd w:id="256"/>
    </w:p>
    <w:p>
      <w:pPr>
        <w:pageBreakBefore w:val="0"/>
        <w:widowControl w:val="0"/>
        <w:kinsoku/>
        <w:wordWrap/>
        <w:overflowPunct/>
        <w:topLinePunct w:val="0"/>
        <w:bidi w:val="0"/>
        <w:snapToGrid/>
        <w:spacing w:beforeLines="0" w:afterLines="0" w:line="560" w:lineRule="exact"/>
        <w:ind w:left="840" w:leftChars="200" w:hanging="420" w:hangingChars="175"/>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本项目是否由</w:t>
      </w:r>
      <w:r>
        <w:rPr>
          <w:rFonts w:hint="eastAsia" w:ascii="宋体" w:hAnsi="宋体" w:eastAsia="宋体" w:cs="宋体"/>
          <w:sz w:val="24"/>
          <w:szCs w:val="24"/>
          <w:lang w:eastAsia="zh-CN"/>
        </w:rPr>
        <w:t>中标供应商</w:t>
      </w:r>
      <w:r>
        <w:rPr>
          <w:rFonts w:hint="eastAsia" w:ascii="宋体" w:hAnsi="宋体" w:eastAsia="宋体" w:cs="宋体"/>
          <w:sz w:val="24"/>
          <w:szCs w:val="24"/>
        </w:rPr>
        <w:t>向采购代理机构支付招标代理费</w:t>
      </w:r>
      <w:r>
        <w:rPr>
          <w:rFonts w:hint="eastAsia" w:ascii="宋体" w:hAnsi="宋体" w:eastAsia="宋体" w:cs="宋体"/>
          <w:sz w:val="24"/>
          <w:szCs w:val="24"/>
          <w:lang w:eastAsia="zh-CN"/>
        </w:rPr>
        <w:t>及招标代理费标准</w:t>
      </w:r>
      <w:r>
        <w:rPr>
          <w:rFonts w:hint="eastAsia" w:ascii="宋体" w:hAnsi="宋体" w:eastAsia="宋体" w:cs="宋体"/>
          <w:sz w:val="24"/>
          <w:szCs w:val="24"/>
        </w:rPr>
        <w:t>，按照</w:t>
      </w:r>
      <w:r>
        <w:rPr>
          <w:rFonts w:hint="eastAsia" w:ascii="宋体" w:hAnsi="宋体" w:eastAsia="宋体" w:cs="宋体"/>
          <w:sz w:val="24"/>
          <w:szCs w:val="24"/>
          <w:u w:val="single"/>
          <w:lang w:eastAsia="zh-CN"/>
        </w:rPr>
        <w:t>供应商</w:t>
      </w:r>
    </w:p>
    <w:p>
      <w:pPr>
        <w:pageBreakBefore w:val="0"/>
        <w:widowControl w:val="0"/>
        <w:kinsoku/>
        <w:wordWrap/>
        <w:overflowPunct/>
        <w:topLinePunct w:val="0"/>
        <w:bidi w:val="0"/>
        <w:snapToGrid/>
        <w:spacing w:beforeLines="0" w:afterLines="0" w:line="560" w:lineRule="exac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须知前附表</w:t>
      </w:r>
      <w:r>
        <w:rPr>
          <w:rFonts w:hint="eastAsia" w:ascii="宋体" w:hAnsi="宋体" w:eastAsia="宋体" w:cs="宋体"/>
          <w:sz w:val="24"/>
          <w:szCs w:val="24"/>
        </w:rPr>
        <w:t>规定执行。</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lang w:eastAsia="zh-CN"/>
        </w:rPr>
      </w:pPr>
      <w:bookmarkStart w:id="257" w:name="_Toc26859"/>
      <w:bookmarkStart w:id="258" w:name="_Toc518923102"/>
      <w:bookmarkStart w:id="259" w:name="_Toc2583663"/>
      <w:r>
        <w:rPr>
          <w:rFonts w:hint="eastAsia"/>
          <w:sz w:val="24"/>
          <w:szCs w:val="24"/>
          <w:lang w:eastAsia="zh-CN"/>
        </w:rPr>
        <w:t>（八）质疑和投诉</w:t>
      </w:r>
      <w:bookmarkEnd w:id="25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r>
        <w:rPr>
          <w:rFonts w:hint="eastAsia" w:hAnsi="宋体" w:cs="宋体"/>
          <w:sz w:val="24"/>
          <w:szCs w:val="24"/>
          <w:u w:val="none"/>
          <w:lang w:val="en-US" w:eastAsia="zh-CN"/>
        </w:rPr>
        <w:t>33</w:t>
      </w:r>
      <w:r>
        <w:rPr>
          <w:rFonts w:hint="eastAsia" w:ascii="宋体" w:hAnsi="宋体" w:eastAsia="宋体" w:cs="宋体"/>
          <w:sz w:val="24"/>
          <w:szCs w:val="24"/>
          <w:u w:val="none"/>
        </w:rPr>
        <w:t>.质疑</w:t>
      </w:r>
      <w:bookmarkEnd w:id="258"/>
      <w:bookmarkEnd w:id="259"/>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color w:val="auto"/>
          <w:sz w:val="24"/>
          <w:szCs w:val="22"/>
          <w:highlight w:val="none"/>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  投标人认为</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采购</w:t>
      </w:r>
      <w:r>
        <w:rPr>
          <w:rFonts w:hint="eastAsia" w:ascii="宋体" w:hAnsi="宋体" w:eastAsia="宋体" w:cs="宋体"/>
          <w:sz w:val="24"/>
          <w:szCs w:val="24"/>
        </w:rPr>
        <w:t>过程和中标结果使自己的权益受到损害的，可以根据《中华人民共和国政府采购法》、《中华人民共和国政府采购法实施条例》和《政府采购质疑和投诉办法》的有关规定，</w:t>
      </w:r>
      <w:r>
        <w:rPr>
          <w:rFonts w:hint="eastAsia" w:ascii="宋体" w:hAnsi="宋体" w:eastAsia="宋体" w:cs="宋体"/>
          <w:sz w:val="24"/>
          <w:szCs w:val="24"/>
          <w:lang w:eastAsia="zh-CN"/>
        </w:rPr>
        <w:t>在知道或者应知其权益受到损害之日起</w:t>
      </w:r>
      <w:r>
        <w:rPr>
          <w:rFonts w:hint="eastAsia" w:ascii="宋体" w:hAnsi="宋体" w:eastAsia="宋体" w:cs="宋体"/>
          <w:sz w:val="24"/>
          <w:szCs w:val="24"/>
          <w:lang w:val="en-US" w:eastAsia="zh-CN"/>
        </w:rPr>
        <w:t>7个工作日内，</w:t>
      </w:r>
      <w:r>
        <w:rPr>
          <w:rFonts w:hint="eastAsia" w:ascii="宋体" w:hAnsi="宋体" w:eastAsia="宋体" w:cs="宋体"/>
          <w:sz w:val="24"/>
          <w:szCs w:val="24"/>
        </w:rPr>
        <w:t>依法向采购人或其委托的采购代理机构提出质疑。</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  对可以质疑的招标文件提出质疑的，为收到招标文件之日或者招标文件公告期限届满之日；</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  对采购过程提出质疑的，为各采购程序环节结束之日；</w:t>
      </w:r>
    </w:p>
    <w:p>
      <w:pPr>
        <w:pageBreakBefore w:val="0"/>
        <w:widowControl w:val="0"/>
        <w:kinsoku/>
        <w:wordWrap/>
        <w:overflowPunct/>
        <w:topLinePunct w:val="0"/>
        <w:bidi w:val="0"/>
        <w:snapToGrid/>
        <w:spacing w:line="560" w:lineRule="exact"/>
        <w:ind w:left="1120" w:hanging="960" w:hangingChars="400"/>
        <w:textAlignment w:val="auto"/>
        <w:rPr>
          <w:rFonts w:hint="eastAsia"/>
        </w:rPr>
      </w:pPr>
      <w:r>
        <w:rPr>
          <w:rFonts w:hint="eastAsia" w:ascii="宋体" w:hAnsi="宋体" w:eastAsia="宋体" w:cs="宋体"/>
          <w:sz w:val="24"/>
          <w:szCs w:val="24"/>
          <w:lang w:val="en-US" w:eastAsia="zh-CN"/>
        </w:rPr>
        <w:t>33.1.3</w:t>
      </w:r>
      <w:r>
        <w:rPr>
          <w:rFonts w:hint="eastAsia"/>
          <w:color w:val="auto"/>
          <w:sz w:val="24"/>
          <w:szCs w:val="22"/>
          <w:highlight w:val="none"/>
          <w:lang w:val="en-US" w:eastAsia="zh-CN"/>
        </w:rPr>
        <w:t xml:space="preserve">  </w:t>
      </w:r>
      <w:r>
        <w:rPr>
          <w:color w:val="auto"/>
          <w:sz w:val="24"/>
          <w:szCs w:val="22"/>
          <w:highlight w:val="none"/>
        </w:rPr>
        <w:t>对中标结果提出质疑的，为中标结果公告期限届满之日。</w:t>
      </w:r>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rFonts w:hint="eastAsia" w:ascii="宋体" w:hAnsi="宋体" w:cs="宋体"/>
          <w:b w:val="0"/>
          <w:bCs w:val="0"/>
          <w:kern w:val="2"/>
          <w:sz w:val="24"/>
          <w:szCs w:val="24"/>
          <w:lang w:val="en-US" w:eastAsia="zh-CN" w:bidi="ar-SA"/>
        </w:rPr>
      </w:pPr>
      <w:bookmarkStart w:id="260" w:name="_Toc16207"/>
      <w:bookmarkStart w:id="261" w:name="_Toc11408"/>
      <w:r>
        <w:rPr>
          <w:rFonts w:hint="eastAsia" w:ascii="宋体" w:hAnsi="宋体" w:eastAsia="宋体" w:cs="宋体"/>
          <w:b w:val="0"/>
          <w:bCs w:val="0"/>
          <w:kern w:val="2"/>
          <w:sz w:val="24"/>
          <w:szCs w:val="24"/>
          <w:lang w:val="en-US" w:eastAsia="zh-CN" w:bidi="ar-SA"/>
        </w:rPr>
        <w:t>33.2  提出质疑的供应商应当是参加所本项目采购活动的供应商</w:t>
      </w:r>
      <w:bookmarkEnd w:id="260"/>
      <w:bookmarkEnd w:id="261"/>
      <w:r>
        <w:rPr>
          <w:rFonts w:hint="eastAsia" w:ascii="宋体" w:hAnsi="宋体" w:cs="宋体"/>
          <w:b w:val="0"/>
          <w:bCs w:val="0"/>
          <w:kern w:val="2"/>
          <w:sz w:val="24"/>
          <w:szCs w:val="24"/>
          <w:lang w:val="en-US" w:eastAsia="zh-CN" w:bidi="ar-SA"/>
        </w:rPr>
        <w:t>。</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33.2.1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质疑必须以参加投标供应商法定代表人或授权委托人（被授权人）（投标文件中所确定的）原件送达的方式提交，未按上述要求提交的质疑函（含传真、电子邮件等）招标公司有权不予受理。</w:t>
      </w:r>
    </w:p>
    <w:p>
      <w:pPr>
        <w:pageBreakBefore w:val="0"/>
        <w:widowControl w:val="0"/>
        <w:kinsoku/>
        <w:wordWrap/>
        <w:overflowPunct/>
        <w:topLinePunct w:val="0"/>
        <w:bidi w:val="0"/>
        <w:snapToGrid/>
        <w:spacing w:line="560" w:lineRule="exact"/>
        <w:ind w:left="1120" w:hanging="960" w:hangingChars="400"/>
        <w:textAlignment w:val="auto"/>
        <w:rPr>
          <w:rFonts w:hint="default" w:eastAsia="宋体"/>
          <w:color w:val="auto"/>
          <w:sz w:val="24"/>
          <w:szCs w:val="22"/>
          <w:highlight w:val="none"/>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3.2.2  </w:t>
      </w:r>
      <w:r>
        <w:rPr>
          <w:rFonts w:hint="eastAsia" w:ascii="宋体" w:hAnsi="宋体" w:eastAsia="宋体" w:cs="宋体"/>
          <w:sz w:val="24"/>
          <w:szCs w:val="24"/>
          <w:lang w:val="en-US" w:eastAsia="zh-CN"/>
        </w:rPr>
        <w:t>未参加投标活动的供应商或在投标活动中自身权益未受到损害的供应商所提出的质疑</w:t>
      </w:r>
      <w:r>
        <w:rPr>
          <w:color w:val="auto"/>
          <w:sz w:val="24"/>
          <w:szCs w:val="22"/>
          <w:highlight w:val="none"/>
        </w:rPr>
        <w:t>不予受理。</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262" w:name="_Toc23615"/>
      <w:bookmarkStart w:id="263" w:name="_Toc1655"/>
      <w:r>
        <w:rPr>
          <w:rFonts w:hint="eastAsia" w:ascii="宋体" w:hAnsi="宋体" w:eastAsia="宋体" w:cs="宋体"/>
          <w:b w:val="0"/>
          <w:bCs w:val="0"/>
          <w:kern w:val="2"/>
          <w:sz w:val="24"/>
          <w:szCs w:val="24"/>
          <w:lang w:val="en-US" w:eastAsia="zh-CN" w:bidi="ar-SA"/>
        </w:rPr>
        <w:t>33.3  采购人、采购代理机构不得拒收质疑供应商在法定质疑期内发出的质疑函，应当在收到质疑函7个工作日内作出答复，并通知质疑供应商和相关供应商。</w:t>
      </w:r>
      <w:bookmarkEnd w:id="262"/>
      <w:bookmarkEnd w:id="263"/>
    </w:p>
    <w:bookmarkEnd w:id="251"/>
    <w:bookmarkEnd w:id="252"/>
    <w:bookmarkEnd w:id="253"/>
    <w:bookmarkEnd w:id="254"/>
    <w:bookmarkEnd w:id="25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.投诉</w:t>
      </w:r>
    </w:p>
    <w:p>
      <w:pPr>
        <w:keepNext w:val="0"/>
        <w:keepLines w:val="0"/>
        <w:pageBreakBefore w:val="0"/>
        <w:widowControl w:val="0"/>
        <w:kinsoku/>
        <w:wordWrap/>
        <w:overflowPunct/>
        <w:topLinePunct w:val="0"/>
        <w:autoSpaceDE/>
        <w:autoSpaceDN/>
        <w:bidi w:val="0"/>
        <w:adjustRightInd/>
        <w:snapToGrid/>
        <w:spacing w:line="560" w:lineRule="exact"/>
        <w:ind w:left="718" w:leftChars="342" w:firstLine="0" w:firstLineChars="0"/>
        <w:textAlignment w:val="auto"/>
        <w:rPr>
          <w:rFonts w:hint="eastAsia" w:ascii="宋体" w:hAnsi="宋体" w:eastAsia="宋体" w:cs="宋体"/>
          <w:sz w:val="28"/>
          <w:szCs w:val="28"/>
          <w:lang w:val="en-US" w:eastAsia="zh-CN"/>
        </w:rPr>
        <w:sectPr>
          <w:footerReference r:id="rId6"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.1  质疑供应商对采购人、采购代理机构的答复不满意，或者采购人、采购代理机构未在规定时间内作出答复的，可以在答复期满后15个工作日内向同级财政部门提起投诉。</w:t>
      </w:r>
    </w:p>
    <w:p>
      <w:pPr>
        <w:pStyle w:val="4"/>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sz w:val="28"/>
          <w:szCs w:val="28"/>
          <w:lang w:val="en-US" w:eastAsia="zh-CN"/>
        </w:rPr>
      </w:pPr>
      <w:bookmarkStart w:id="264" w:name="_Toc10760"/>
      <w:r>
        <w:rPr>
          <w:rFonts w:hint="eastAsia"/>
          <w:sz w:val="28"/>
          <w:szCs w:val="28"/>
          <w:lang w:val="en-US" w:eastAsia="zh-CN"/>
        </w:rPr>
        <w:t>第四章 项目说明和采购需求</w:t>
      </w:r>
      <w:bookmarkEnd w:id="264"/>
    </w:p>
    <w:p>
      <w:pPr>
        <w:keepNext w:val="0"/>
        <w:keepLines w:val="0"/>
        <w:pageBreakBefore w:val="0"/>
        <w:kinsoku/>
        <w:wordWrap/>
        <w:topLinePunct w:val="0"/>
        <w:bidi w:val="0"/>
        <w:adjustRightInd w:val="0"/>
        <w:snapToGrid w:val="0"/>
        <w:spacing w:line="360" w:lineRule="auto"/>
        <w:ind w:right="0" w:rightChars="0"/>
        <w:jc w:val="center"/>
        <w:outlineLvl w:val="9"/>
        <w:rPr>
          <w:rFonts w:ascii="新宋体" w:hAnsi="新宋体" w:eastAsia="新宋体" w:cs="宋体"/>
          <w:b/>
          <w:bCs/>
          <w:kern w:val="0"/>
          <w:sz w:val="24"/>
          <w:szCs w:val="24"/>
        </w:rPr>
      </w:pPr>
      <w:bookmarkStart w:id="265" w:name="_Hlk88232632"/>
      <w:r>
        <w:rPr>
          <w:rFonts w:hint="eastAsia" w:ascii="宋体" w:hAnsi="宋体" w:cs="宋体"/>
          <w:b/>
          <w:bCs/>
          <w:sz w:val="24"/>
          <w:szCs w:val="24"/>
        </w:rPr>
        <w:t>全自动吹扫捕集</w:t>
      </w:r>
      <w:r>
        <w:rPr>
          <w:rFonts w:hint="eastAsia" w:ascii="宋体" w:hAnsi="宋体" w:cs="宋体"/>
          <w:b/>
          <w:bCs/>
          <w:sz w:val="24"/>
          <w:szCs w:val="24"/>
          <w:lang w:val="en-US" w:eastAsia="zh-CN"/>
        </w:rPr>
        <w:t>浓缩</w:t>
      </w:r>
      <w:r>
        <w:rPr>
          <w:rFonts w:hint="eastAsia" w:ascii="宋体" w:hAnsi="宋体" w:cs="宋体"/>
          <w:b/>
          <w:bCs/>
          <w:sz w:val="24"/>
          <w:szCs w:val="24"/>
        </w:rPr>
        <w:t>仪</w:t>
      </w:r>
    </w:p>
    <w:p>
      <w:pPr>
        <w:keepNext w:val="0"/>
        <w:keepLines w:val="0"/>
        <w:pageBreakBefore w:val="0"/>
        <w:numPr>
          <w:ilvl w:val="0"/>
          <w:numId w:val="2"/>
        </w:numPr>
        <w:kinsoku/>
        <w:wordWrap/>
        <w:topLinePunct w:val="0"/>
        <w:bidi w:val="0"/>
        <w:adjustRightInd w:val="0"/>
        <w:snapToGrid w:val="0"/>
        <w:spacing w:line="360" w:lineRule="auto"/>
        <w:ind w:right="0" w:rightChars="0"/>
        <w:outlineLvl w:val="9"/>
        <w:rPr>
          <w:rFonts w:hint="eastAsia" w:ascii="新宋体" w:hAnsi="新宋体" w:eastAsia="新宋体" w:cs="宋体"/>
          <w:bCs w:val="0"/>
          <w:kern w:val="0"/>
          <w:sz w:val="24"/>
          <w:szCs w:val="24"/>
        </w:rPr>
      </w:pPr>
      <w:r>
        <w:rPr>
          <w:rFonts w:hint="eastAsia" w:ascii="新宋体" w:hAnsi="新宋体" w:eastAsia="新宋体" w:cs="宋体"/>
          <w:bCs w:val="0"/>
          <w:kern w:val="0"/>
          <w:sz w:val="24"/>
          <w:szCs w:val="24"/>
        </w:rPr>
        <w:t>用途</w:t>
      </w:r>
      <w:bookmarkStart w:id="266" w:name="_Hlk88231930"/>
      <w:r>
        <w:rPr>
          <w:rFonts w:hint="eastAsia" w:ascii="新宋体" w:hAnsi="新宋体" w:eastAsia="新宋体" w:cs="宋体"/>
          <w:bCs w:val="0"/>
          <w:kern w:val="0"/>
          <w:sz w:val="24"/>
          <w:szCs w:val="24"/>
        </w:rPr>
        <w:t>：</w:t>
      </w:r>
      <w:bookmarkEnd w:id="266"/>
    </w:p>
    <w:p>
      <w:pPr>
        <w:keepNext w:val="0"/>
        <w:keepLines w:val="0"/>
        <w:pageBreakBefore w:val="0"/>
        <w:numPr>
          <w:ilvl w:val="0"/>
          <w:numId w:val="0"/>
        </w:numPr>
        <w:kinsoku/>
        <w:wordWrap/>
        <w:topLinePunct w:val="0"/>
        <w:bidi w:val="0"/>
        <w:adjustRightInd w:val="0"/>
        <w:snapToGrid w:val="0"/>
        <w:spacing w:line="360" w:lineRule="auto"/>
        <w:ind w:right="0" w:rightChars="0" w:firstLine="480" w:firstLineChars="200"/>
        <w:outlineLvl w:val="9"/>
        <w:rPr>
          <w:rFonts w:ascii="宋体" w:hAnsi="宋体" w:eastAsia="宋体" w:cs="宋体"/>
          <w:bCs w:val="0"/>
          <w:color w:val="000000"/>
          <w:kern w:val="0"/>
          <w:sz w:val="24"/>
          <w:szCs w:val="24"/>
        </w:rPr>
      </w:pPr>
      <w:r>
        <w:rPr>
          <w:rFonts w:hint="eastAsia" w:ascii="宋体" w:hAnsi="宋体" w:eastAsia="宋体" w:cs="宋体"/>
          <w:bCs w:val="0"/>
          <w:color w:val="000000"/>
          <w:kern w:val="0"/>
          <w:sz w:val="24"/>
          <w:szCs w:val="24"/>
        </w:rPr>
        <w:t>适用于</w:t>
      </w:r>
      <w:r>
        <w:rPr>
          <w:rFonts w:hint="eastAsia" w:ascii="新宋体" w:hAnsi="新宋体" w:eastAsia="新宋体" w:cs="宋体"/>
          <w:bCs w:val="0"/>
          <w:kern w:val="0"/>
          <w:sz w:val="24"/>
          <w:szCs w:val="24"/>
        </w:rPr>
        <w:t>：</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1、生活饮用水标准检验方法，测定有机物指标；</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2、HJ605-2011 土壤和沉积物挥发性有机物的测定，吹扫捕集/气相色谱-质谱法；</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3、HJ639-2012 水质挥发性有机物的测定，吹扫捕集/气相色谱-质谱法；</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4、HJ686-2014 水质挥发性有机物的测定，吹扫捕集/气相色谱-质谱法；</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5、土壤和沉积物挥发性卤代烃的测定，吹扫捕集/气相色谱-质谱法；</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6、水质中乙腈的测定，吹扫捕集/气相色谱法等。</w:t>
      </w:r>
    </w:p>
    <w:p>
      <w:pPr>
        <w:keepNext w:val="0"/>
        <w:keepLines w:val="0"/>
        <w:pageBreakBefore w:val="0"/>
        <w:kinsoku/>
        <w:wordWrap/>
        <w:topLinePunct w:val="0"/>
        <w:bidi w:val="0"/>
        <w:spacing w:line="360" w:lineRule="auto"/>
        <w:ind w:left="240" w:right="0" w:rightChars="0" w:hanging="240" w:hangingChars="100"/>
        <w:outlineLvl w:val="9"/>
        <w:rPr>
          <w:rFonts w:ascii="宋体" w:hAnsi="宋体" w:eastAsia="宋体" w:cs="宋体"/>
          <w:bCs w:val="0"/>
          <w:sz w:val="24"/>
          <w:szCs w:val="24"/>
        </w:rPr>
      </w:pPr>
      <w:r>
        <w:rPr>
          <w:rFonts w:hint="eastAsia" w:ascii="新宋体" w:hAnsi="新宋体" w:eastAsia="新宋体" w:cs="宋体"/>
          <w:bCs w:val="0"/>
          <w:sz w:val="24"/>
          <w:szCs w:val="24"/>
        </w:rPr>
        <w:t>二</w:t>
      </w:r>
      <w:r>
        <w:rPr>
          <w:rFonts w:hint="eastAsia" w:ascii="新宋体" w:hAnsi="新宋体" w:eastAsia="新宋体" w:cs="宋体"/>
          <w:bCs w:val="0"/>
          <w:kern w:val="0"/>
          <w:sz w:val="24"/>
          <w:szCs w:val="24"/>
        </w:rPr>
        <w:t>、</w:t>
      </w:r>
      <w:r>
        <w:rPr>
          <w:rFonts w:hint="eastAsia" w:ascii="新宋体" w:hAnsi="新宋体" w:eastAsia="新宋体" w:cs="宋体"/>
          <w:bCs w:val="0"/>
          <w:sz w:val="24"/>
          <w:szCs w:val="24"/>
        </w:rPr>
        <w:t>主要技术规格及系统概述：</w:t>
      </w:r>
      <w:bookmarkEnd w:id="265"/>
      <w:r>
        <w:rPr>
          <w:rFonts w:hint="eastAsia" w:ascii="宋体" w:hAnsi="宋体" w:eastAsia="宋体" w:cs="宋体"/>
          <w:bCs w:val="0"/>
          <w:sz w:val="24"/>
          <w:szCs w:val="24"/>
        </w:rPr>
        <w:br w:type="textWrapping"/>
      </w:r>
      <w:r>
        <w:rPr>
          <w:rFonts w:hint="eastAsia" w:ascii="宋体" w:hAnsi="宋体" w:eastAsia="宋体" w:cs="宋体"/>
          <w:bCs w:val="0"/>
          <w:sz w:val="24"/>
          <w:szCs w:val="24"/>
        </w:rPr>
        <w:t>1、 样品位：</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80位，40mlVOA样品瓶；</w:t>
      </w:r>
      <w:r>
        <w:rPr>
          <w:rFonts w:hint="eastAsia" w:ascii="宋体" w:hAnsi="宋体" w:eastAsia="宋体" w:cs="宋体"/>
          <w:bCs w:val="0"/>
          <w:sz w:val="24"/>
          <w:szCs w:val="24"/>
        </w:rPr>
        <w:br w:type="textWrapping"/>
      </w:r>
      <w:r>
        <w:rPr>
          <w:rFonts w:hint="eastAsia" w:ascii="宋体" w:hAnsi="宋体" w:eastAsia="宋体" w:cs="宋体"/>
          <w:bCs w:val="0"/>
          <w:sz w:val="24"/>
          <w:szCs w:val="24"/>
        </w:rPr>
        <w:t>2、 吹扫管温度：室温～100℃，以增量1℃任设；</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3</w:t>
      </w:r>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 xml:space="preserve">冷阱（电子半导体制冷）温度控制范围：-40℃～室温，以增量1℃任设，无需液氮制冷； </w:t>
      </w:r>
      <w:r>
        <w:rPr>
          <w:rFonts w:ascii="宋体" w:hAnsi="宋体" w:eastAsia="宋体" w:cs="宋体"/>
          <w:bCs w:val="0"/>
          <w:sz w:val="24"/>
          <w:szCs w:val="24"/>
        </w:rPr>
        <w:t xml:space="preserve">        </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ascii="宋体" w:hAnsi="宋体" w:eastAsia="宋体" w:cs="宋体"/>
          <w:bCs w:val="0"/>
          <w:sz w:val="24"/>
          <w:szCs w:val="24"/>
        </w:rPr>
      </w:pPr>
      <w:r>
        <w:rPr>
          <w:rFonts w:hint="eastAsia" w:ascii="宋体" w:hAnsi="宋体" w:eastAsia="宋体" w:cs="宋体"/>
          <w:bCs w:val="0"/>
          <w:sz w:val="24"/>
          <w:szCs w:val="24"/>
        </w:rPr>
        <w:t>4、 捕集管解吸温度：室温～400℃，升温速率&gt;2000℃/min；90s内由250℃降至35℃；</w:t>
      </w:r>
    </w:p>
    <w:p>
      <w:pPr>
        <w:keepNext w:val="0"/>
        <w:keepLines w:val="0"/>
        <w:pageBreakBefore w:val="0"/>
        <w:kinsoku/>
        <w:wordWrap/>
        <w:topLinePunct w:val="0"/>
        <w:bidi w:val="0"/>
        <w:adjustRightInd w:val="0"/>
        <w:snapToGrid w:val="0"/>
        <w:spacing w:line="360" w:lineRule="auto"/>
        <w:ind w:left="239" w:leftChars="114" w:right="0" w:rightChars="0" w:firstLine="0" w:firstLineChars="0"/>
        <w:outlineLvl w:val="9"/>
        <w:rPr>
          <w:rFonts w:ascii="宋体" w:hAnsi="宋体" w:eastAsia="宋体" w:cs="宋体"/>
          <w:bCs w:val="0"/>
          <w:sz w:val="24"/>
          <w:szCs w:val="24"/>
        </w:rPr>
      </w:pPr>
      <w:r>
        <w:rPr>
          <w:rFonts w:hint="eastAsia" w:ascii="宋体" w:hAnsi="宋体" w:eastAsia="宋体" w:cs="宋体"/>
          <w:bCs w:val="0"/>
          <w:sz w:val="24"/>
          <w:szCs w:val="24"/>
        </w:rPr>
        <w:t>5 、管路加热温度：室温～220℃，以增量1℃任设；</w:t>
      </w:r>
      <w:r>
        <w:rPr>
          <w:rFonts w:hint="eastAsia" w:ascii="宋体" w:hAnsi="宋体" w:eastAsia="宋体" w:cs="宋体"/>
          <w:bCs w:val="0"/>
          <w:sz w:val="24"/>
          <w:szCs w:val="24"/>
        </w:rPr>
        <w:br w:type="textWrapping"/>
      </w:r>
      <w:r>
        <w:rPr>
          <w:rFonts w:hint="eastAsia" w:ascii="宋体" w:hAnsi="宋体" w:eastAsia="宋体" w:cs="宋体"/>
          <w:bCs w:val="0"/>
          <w:sz w:val="24"/>
          <w:szCs w:val="24"/>
        </w:rPr>
        <w:t>6、 除水器加热温度：室温～400℃；</w:t>
      </w:r>
      <w:r>
        <w:rPr>
          <w:rFonts w:hint="eastAsia" w:ascii="宋体" w:hAnsi="宋体" w:eastAsia="宋体" w:cs="宋体"/>
          <w:bCs w:val="0"/>
          <w:sz w:val="24"/>
          <w:szCs w:val="24"/>
        </w:rPr>
        <w:br w:type="textWrapping"/>
      </w:r>
      <w:r>
        <w:rPr>
          <w:rFonts w:hint="eastAsia" w:ascii="宋体" w:hAnsi="宋体" w:eastAsia="宋体" w:cs="宋体"/>
          <w:bCs w:val="0"/>
          <w:sz w:val="24"/>
          <w:szCs w:val="24"/>
        </w:rPr>
        <w:t>7、 清洗蒸馏水温度：室温～100℃，以增量1℃任设；</w:t>
      </w:r>
      <w:r>
        <w:rPr>
          <w:rFonts w:hint="eastAsia" w:ascii="宋体" w:hAnsi="宋体" w:eastAsia="宋体" w:cs="宋体"/>
          <w:bCs w:val="0"/>
          <w:sz w:val="24"/>
          <w:szCs w:val="24"/>
        </w:rPr>
        <w:br w:type="textWrapping"/>
      </w:r>
      <w:r>
        <w:rPr>
          <w:rFonts w:hint="eastAsia" w:ascii="宋体" w:hAnsi="宋体" w:eastAsia="宋体" w:cs="宋体"/>
          <w:bCs w:val="0"/>
          <w:sz w:val="24"/>
          <w:szCs w:val="24"/>
        </w:rPr>
        <w:t>8、 固体样品瓶加热：室温～100℃，以增量1℃任设；</w:t>
      </w:r>
      <w:r>
        <w:rPr>
          <w:rFonts w:hint="eastAsia" w:ascii="宋体" w:hAnsi="宋体" w:eastAsia="宋体" w:cs="宋体"/>
          <w:bCs w:val="0"/>
          <w:sz w:val="24"/>
          <w:szCs w:val="24"/>
        </w:rPr>
        <w:br w:type="textWrapping"/>
      </w:r>
      <w:r>
        <w:rPr>
          <w:rFonts w:hint="eastAsia" w:ascii="宋体" w:hAnsi="宋体" w:eastAsia="宋体" w:cs="宋体"/>
          <w:bCs w:val="0"/>
          <w:sz w:val="24"/>
          <w:szCs w:val="24"/>
        </w:rPr>
        <w:t>9 、固体样品混合：5ml蒸馏水，振荡混合；</w:t>
      </w:r>
      <w:r>
        <w:rPr>
          <w:rFonts w:hint="eastAsia" w:ascii="宋体" w:hAnsi="宋体" w:eastAsia="宋体" w:cs="宋体"/>
          <w:bCs w:val="0"/>
          <w:sz w:val="24"/>
          <w:szCs w:val="24"/>
        </w:rPr>
        <w:br w:type="textWrapping"/>
      </w:r>
      <w:r>
        <w:rPr>
          <w:rFonts w:hint="eastAsia" w:ascii="宋体" w:hAnsi="宋体" w:eastAsia="宋体" w:cs="宋体"/>
          <w:bCs w:val="0"/>
          <w:sz w:val="24"/>
          <w:szCs w:val="24"/>
        </w:rPr>
        <w:t>10 、玻璃吹扫管：5ml吹扫管；</w:t>
      </w:r>
      <w:r>
        <w:rPr>
          <w:rFonts w:hint="eastAsia" w:ascii="宋体" w:hAnsi="宋体" w:eastAsia="宋体" w:cs="宋体"/>
          <w:bCs w:val="0"/>
          <w:sz w:val="24"/>
          <w:szCs w:val="24"/>
        </w:rPr>
        <w:br w:type="textWrapping"/>
      </w:r>
      <w:r>
        <w:rPr>
          <w:rFonts w:hint="eastAsia" w:ascii="宋体" w:hAnsi="宋体" w:eastAsia="宋体" w:cs="宋体"/>
          <w:bCs w:val="0"/>
          <w:sz w:val="24"/>
          <w:szCs w:val="24"/>
        </w:rPr>
        <w:t>11、 捕集阱尺寸：石英材质Φ4mm×80mm×1mm；</w:t>
      </w:r>
    </w:p>
    <w:p>
      <w:pPr>
        <w:keepNext w:val="0"/>
        <w:keepLines w:val="0"/>
        <w:pageBreakBefore w:val="0"/>
        <w:kinsoku/>
        <w:wordWrap/>
        <w:topLinePunct w:val="0"/>
        <w:bidi w:val="0"/>
        <w:adjustRightInd w:val="0"/>
        <w:snapToGrid w:val="0"/>
        <w:spacing w:line="360" w:lineRule="auto"/>
        <w:ind w:left="239" w:leftChars="114" w:right="0" w:rightChars="0" w:firstLine="0" w:firstLineChars="0"/>
        <w:outlineLvl w:val="9"/>
        <w:rPr>
          <w:rFonts w:ascii="宋体" w:hAnsi="宋体" w:eastAsia="宋体" w:cs="宋体"/>
          <w:bCs w:val="0"/>
          <w:sz w:val="24"/>
          <w:szCs w:val="24"/>
        </w:rPr>
      </w:pPr>
      <w:r>
        <w:rPr>
          <w:rFonts w:hint="eastAsia" w:ascii="宋体" w:hAnsi="宋体" w:eastAsia="宋体" w:cs="宋体"/>
          <w:bCs w:val="0"/>
          <w:sz w:val="24"/>
          <w:szCs w:val="24"/>
        </w:rPr>
        <w:t>12 、吹扫流量：0ml/min～150ml/min；</w:t>
      </w:r>
      <w:r>
        <w:rPr>
          <w:rFonts w:hint="eastAsia" w:ascii="宋体" w:hAnsi="宋体" w:eastAsia="宋体" w:cs="宋体"/>
          <w:bCs w:val="0"/>
          <w:sz w:val="24"/>
          <w:szCs w:val="24"/>
        </w:rPr>
        <w:br w:type="textWrapping"/>
      </w:r>
      <w:r>
        <w:rPr>
          <w:rFonts w:hint="eastAsia" w:ascii="宋体" w:hAnsi="宋体" w:eastAsia="宋体" w:cs="宋体"/>
          <w:bCs w:val="0"/>
          <w:sz w:val="24"/>
          <w:szCs w:val="24"/>
        </w:rPr>
        <w:t>13、 定时范围：0.1s～100min；</w:t>
      </w:r>
      <w:r>
        <w:rPr>
          <w:rFonts w:hint="eastAsia" w:ascii="宋体" w:hAnsi="宋体" w:eastAsia="宋体" w:cs="宋体"/>
          <w:bCs w:val="0"/>
          <w:sz w:val="24"/>
          <w:szCs w:val="24"/>
        </w:rPr>
        <w:br w:type="textWrapping"/>
      </w:r>
      <w:r>
        <w:rPr>
          <w:rFonts w:hint="eastAsia" w:ascii="宋体" w:hAnsi="宋体" w:eastAsia="宋体" w:cs="宋体"/>
          <w:bCs w:val="0"/>
          <w:sz w:val="24"/>
          <w:szCs w:val="24"/>
        </w:rPr>
        <w:t>14、 定时误差：&lt;0.1S；</w:t>
      </w:r>
      <w:r>
        <w:rPr>
          <w:rFonts w:hint="eastAsia" w:ascii="宋体" w:hAnsi="宋体" w:eastAsia="宋体" w:cs="宋体"/>
          <w:bCs w:val="0"/>
          <w:sz w:val="24"/>
          <w:szCs w:val="24"/>
        </w:rPr>
        <w:br w:type="textWrapping"/>
      </w:r>
      <w:r>
        <w:rPr>
          <w:rFonts w:hint="eastAsia" w:ascii="宋体" w:hAnsi="宋体" w:eastAsia="宋体" w:cs="宋体"/>
          <w:bCs w:val="0"/>
          <w:sz w:val="24"/>
          <w:szCs w:val="24"/>
        </w:rPr>
        <w:t>15、 气路耐压：≦0.6MPa；</w:t>
      </w:r>
      <w:r>
        <w:rPr>
          <w:rFonts w:hint="eastAsia" w:ascii="宋体" w:hAnsi="宋体" w:eastAsia="宋体" w:cs="宋体"/>
          <w:bCs w:val="0"/>
          <w:sz w:val="24"/>
          <w:szCs w:val="24"/>
        </w:rPr>
        <w:br w:type="textWrapping"/>
      </w:r>
      <w:r>
        <w:rPr>
          <w:rFonts w:hint="eastAsia" w:ascii="宋体" w:hAnsi="宋体" w:eastAsia="宋体" w:cs="宋体"/>
          <w:bCs w:val="0"/>
          <w:sz w:val="24"/>
          <w:szCs w:val="24"/>
        </w:rPr>
        <w:t>16、 同步信号输出：2路开关量，联动开关时间为1～2秒；</w:t>
      </w:r>
    </w:p>
    <w:p>
      <w:pPr>
        <w:keepNext w:val="0"/>
        <w:keepLines w:val="0"/>
        <w:pageBreakBefore w:val="0"/>
        <w:kinsoku/>
        <w:wordWrap/>
        <w:topLinePunct w:val="0"/>
        <w:bidi w:val="0"/>
        <w:adjustRightInd w:val="0"/>
        <w:snapToGrid w:val="0"/>
        <w:spacing w:line="360" w:lineRule="auto"/>
        <w:ind w:right="0" w:rightChars="0" w:firstLine="240" w:firstLineChars="100"/>
        <w:outlineLvl w:val="9"/>
        <w:rPr>
          <w:rFonts w:hint="eastAsia" w:ascii="宋体" w:hAnsi="宋体" w:eastAsia="宋体" w:cs="宋体"/>
          <w:bCs w:val="0"/>
          <w:sz w:val="24"/>
          <w:szCs w:val="24"/>
        </w:rPr>
      </w:pPr>
      <w:r>
        <w:rPr>
          <w:rFonts w:hint="eastAsia" w:ascii="宋体" w:hAnsi="宋体" w:eastAsia="宋体" w:cs="宋体"/>
          <w:bCs w:val="0"/>
          <w:sz w:val="24"/>
          <w:szCs w:val="24"/>
        </w:rPr>
        <w:t>17 、电源：AC220V 50Hz；</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18 、最大功率：800W；</w:t>
      </w:r>
    </w:p>
    <w:p>
      <w:pPr>
        <w:keepNext w:val="0"/>
        <w:keepLines w:val="0"/>
        <w:pageBreakBefore w:val="0"/>
        <w:numPr>
          <w:ilvl w:val="0"/>
          <w:numId w:val="3"/>
        </w:numPr>
        <w:kinsoku/>
        <w:wordWrap/>
        <w:topLinePunct w:val="0"/>
        <w:bidi w:val="0"/>
        <w:adjustRightInd w:val="0"/>
        <w:snapToGrid w:val="0"/>
        <w:spacing w:line="360" w:lineRule="auto"/>
        <w:ind w:left="239" w:leftChars="114" w:right="0" w:rightChars="0" w:firstLine="0" w:firstLineChars="0"/>
        <w:outlineLvl w:val="9"/>
        <w:rPr>
          <w:rFonts w:hint="eastAsia" w:ascii="宋体" w:hAnsi="宋体" w:eastAsia="宋体" w:cs="宋体"/>
          <w:bCs w:val="0"/>
          <w:sz w:val="24"/>
          <w:szCs w:val="24"/>
        </w:rPr>
      </w:pPr>
      <w:r>
        <w:rPr>
          <w:rFonts w:hint="eastAsia" w:ascii="宋体" w:hAnsi="宋体" w:eastAsia="宋体" w:cs="宋体"/>
          <w:bCs w:val="0"/>
          <w:sz w:val="24"/>
          <w:szCs w:val="24"/>
        </w:rPr>
        <w:t>通用性能强：可与任意品牌气相色谱仪（GC）和（GC-MS）联用；</w:t>
      </w:r>
      <w:r>
        <w:rPr>
          <w:rFonts w:hint="eastAsia" w:ascii="宋体" w:hAnsi="宋体" w:eastAsia="宋体" w:cs="宋体"/>
          <w:bCs w:val="0"/>
          <w:sz w:val="24"/>
          <w:szCs w:val="24"/>
        </w:rPr>
        <w:br w:type="textWrapping"/>
      </w:r>
      <w:r>
        <w:rPr>
          <w:rFonts w:hint="eastAsia" w:ascii="宋体" w:hAnsi="宋体" w:eastAsia="宋体" w:cs="宋体"/>
          <w:bCs w:val="0"/>
          <w:sz w:val="24"/>
          <w:szCs w:val="24"/>
        </w:rPr>
        <w:t>2</w:t>
      </w:r>
      <w:r>
        <w:rPr>
          <w:rFonts w:ascii="宋体" w:hAnsi="宋体" w:eastAsia="宋体" w:cs="宋体"/>
          <w:bCs w:val="0"/>
          <w:sz w:val="24"/>
          <w:szCs w:val="24"/>
        </w:rPr>
        <w:t>0</w:t>
      </w:r>
      <w:r>
        <w:rPr>
          <w:rFonts w:hint="eastAsia" w:ascii="宋体" w:hAnsi="宋体" w:eastAsia="宋体" w:cs="宋体"/>
          <w:bCs w:val="0"/>
          <w:sz w:val="24"/>
          <w:szCs w:val="24"/>
        </w:rPr>
        <w:t>、 操作简单，使用方便，全程软件控制，高自动化：只需将样品 管放入样品盘中，操作</w:t>
      </w:r>
    </w:p>
    <w:p>
      <w:pPr>
        <w:keepNext w:val="0"/>
        <w:keepLines w:val="0"/>
        <w:pageBreakBefore w:val="0"/>
        <w:numPr>
          <w:ilvl w:val="0"/>
          <w:numId w:val="0"/>
        </w:numPr>
        <w:kinsoku/>
        <w:wordWrap/>
        <w:topLinePunct w:val="0"/>
        <w:bidi w:val="0"/>
        <w:adjustRightInd w:val="0"/>
        <w:snapToGrid w:val="0"/>
        <w:spacing w:line="360" w:lineRule="auto"/>
        <w:ind w:right="0" w:rightChars="0"/>
        <w:outlineLvl w:val="9"/>
        <w:rPr>
          <w:rFonts w:hint="default" w:ascii="宋体" w:hAnsi="宋体" w:eastAsia="宋体" w:cs="宋体"/>
          <w:bCs w:val="0"/>
          <w:sz w:val="24"/>
          <w:szCs w:val="24"/>
          <w:lang w:val="en-US" w:eastAsia="zh-CN"/>
        </w:rPr>
      </w:pPr>
      <w:r>
        <w:rPr>
          <w:rFonts w:hint="eastAsia" w:ascii="宋体" w:hAnsi="宋体" w:eastAsia="宋体" w:cs="宋体"/>
          <w:bCs w:val="0"/>
          <w:sz w:val="24"/>
          <w:szCs w:val="24"/>
        </w:rPr>
        <w:t>和控制均由控制软件完成，样品重复性好；超大触摸液晶板设计，可全程跟踪温度、操作命令，所有参数均可在PC端完成设置，反控仪器主机；</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21</w:t>
      </w:r>
      <w:r>
        <w:rPr>
          <w:rFonts w:hint="eastAsia" w:ascii="宋体" w:hAnsi="宋体" w:eastAsia="宋体" w:cs="宋体"/>
          <w:bCs w:val="0"/>
          <w:sz w:val="24"/>
          <w:szCs w:val="24"/>
        </w:rPr>
        <w:t xml:space="preserve"> </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冷阱采用半导体制冷+风冷，最低制冷温度可达-40℃（室温20℃时），可满足大部分低温富集需求；</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22</w:t>
      </w:r>
      <w:r>
        <w:rPr>
          <w:rFonts w:hint="eastAsia" w:ascii="宋体" w:hAnsi="宋体" w:eastAsia="宋体" w:cs="宋体"/>
          <w:bCs w:val="0"/>
          <w:sz w:val="24"/>
          <w:szCs w:val="24"/>
        </w:rPr>
        <w:t xml:space="preserve"> 、捕集阱升温采用直接电阻加热，升温速率&gt;2000℃/min；</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23</w:t>
      </w:r>
      <w:r>
        <w:rPr>
          <w:rFonts w:hint="eastAsia" w:ascii="宋体" w:hAnsi="宋体" w:eastAsia="宋体" w:cs="宋体"/>
          <w:bCs w:val="0"/>
          <w:sz w:val="24"/>
          <w:szCs w:val="24"/>
        </w:rPr>
        <w:t xml:space="preserve"> 、内置泡沫传感器，可检测到吹扫管内的泡沫，以防止污染样品的途 </w:t>
      </w:r>
      <w:r>
        <w:rPr>
          <w:rFonts w:ascii="宋体" w:hAnsi="宋体" w:eastAsia="宋体" w:cs="宋体"/>
          <w:bCs w:val="0"/>
          <w:sz w:val="24"/>
          <w:szCs w:val="24"/>
        </w:rPr>
        <w:t xml:space="preserve"> </w:t>
      </w:r>
      <w:r>
        <w:rPr>
          <w:rFonts w:hint="eastAsia" w:ascii="宋体" w:hAnsi="宋体" w:eastAsia="宋体" w:cs="宋体"/>
          <w:bCs w:val="0"/>
          <w:sz w:val="24"/>
          <w:szCs w:val="24"/>
        </w:rPr>
        <w:t>径，保护整个分析系统；</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24</w:t>
      </w:r>
      <w:r>
        <w:rPr>
          <w:rFonts w:hint="eastAsia" w:ascii="宋体" w:hAnsi="宋体" w:eastAsia="宋体" w:cs="宋体"/>
          <w:bCs w:val="0"/>
          <w:sz w:val="24"/>
          <w:szCs w:val="24"/>
        </w:rPr>
        <w:t xml:space="preserve"> 、用户可自定义取样针和吹扫管的清洗次数；</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25</w:t>
      </w:r>
      <w:r>
        <w:rPr>
          <w:rFonts w:hint="eastAsia" w:ascii="宋体" w:hAnsi="宋体" w:eastAsia="宋体" w:cs="宋体"/>
          <w:bCs w:val="0"/>
          <w:sz w:val="24"/>
          <w:szCs w:val="24"/>
        </w:rPr>
        <w:t xml:space="preserve"> 、固体样品瓶可加热，可直接注入蒸馏水振荡混合吹扫；</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26</w:t>
      </w:r>
      <w:r>
        <w:rPr>
          <w:rFonts w:hint="eastAsia" w:ascii="宋体" w:hAnsi="宋体" w:eastAsia="宋体" w:cs="宋体"/>
          <w:bCs w:val="0"/>
          <w:sz w:val="24"/>
          <w:szCs w:val="24"/>
        </w:rPr>
        <w:t>、捕集阱与吹扫管反吹气体分离，减少样品间的交叉污染。在反吹循环中，从捕集阱中吹出的化合物不会流进吹扫管中；</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27</w:t>
      </w:r>
      <w:r>
        <w:rPr>
          <w:rFonts w:hint="eastAsia" w:ascii="宋体" w:hAnsi="宋体" w:eastAsia="宋体" w:cs="宋体"/>
          <w:bCs w:val="0"/>
          <w:sz w:val="24"/>
          <w:szCs w:val="24"/>
        </w:rPr>
        <w:t>、 除水阱在吹扫端去除水汽，极大减少水蒸气对GC和GC/MS的影响；</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28</w:t>
      </w:r>
      <w:r>
        <w:rPr>
          <w:rFonts w:hint="eastAsia" w:ascii="宋体" w:hAnsi="宋体" w:eastAsia="宋体" w:cs="宋体"/>
          <w:bCs w:val="0"/>
          <w:sz w:val="24"/>
          <w:szCs w:val="24"/>
        </w:rPr>
        <w:t xml:space="preserve"> 、样品管路采用PEEK材料和硅烷化惰性处理不锈钢管，减少污染残留；</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29</w:t>
      </w:r>
      <w:r>
        <w:rPr>
          <w:rFonts w:hint="eastAsia" w:ascii="宋体" w:hAnsi="宋体" w:eastAsia="宋体" w:cs="宋体"/>
          <w:bCs w:val="0"/>
          <w:sz w:val="24"/>
          <w:szCs w:val="24"/>
        </w:rPr>
        <w:t xml:space="preserve"> 、可以用热水冲洗管道和吹扫管，减少残留；</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30</w:t>
      </w:r>
      <w:r>
        <w:rPr>
          <w:rFonts w:hint="eastAsia" w:ascii="宋体" w:hAnsi="宋体" w:eastAsia="宋体" w:cs="宋体"/>
          <w:bCs w:val="0"/>
          <w:sz w:val="24"/>
          <w:szCs w:val="24"/>
        </w:rPr>
        <w:t xml:space="preserve"> 、所有管路和六通阀可控温加热</w:t>
      </w:r>
      <w:r>
        <w:rPr>
          <w:rFonts w:hint="eastAsia" w:ascii="宋体" w:hAnsi="宋体" w:eastAsia="宋体" w:cs="宋体"/>
          <w:bCs w:val="0"/>
          <w:sz w:val="24"/>
          <w:szCs w:val="24"/>
        </w:rPr>
        <w:br w:type="textWrapping"/>
      </w:r>
      <w:r>
        <w:rPr>
          <w:rFonts w:hint="eastAsia" w:ascii="宋体" w:hAnsi="宋体" w:eastAsia="宋体" w:cs="宋体"/>
          <w:bCs w:val="0"/>
          <w:sz w:val="24"/>
          <w:szCs w:val="24"/>
          <w:lang w:val="en-US" w:eastAsia="zh-CN"/>
        </w:rPr>
        <w:t xml:space="preserve">  </w:t>
      </w:r>
      <w:r>
        <w:rPr>
          <w:rFonts w:ascii="宋体" w:hAnsi="宋体" w:eastAsia="宋体" w:cs="宋体"/>
          <w:bCs w:val="0"/>
          <w:sz w:val="24"/>
          <w:szCs w:val="24"/>
        </w:rPr>
        <w:t>31</w:t>
      </w:r>
      <w:r>
        <w:rPr>
          <w:rFonts w:hint="eastAsia" w:ascii="宋体" w:hAnsi="宋体" w:eastAsia="宋体" w:cs="宋体"/>
          <w:bCs w:val="0"/>
          <w:sz w:val="24"/>
          <w:szCs w:val="24"/>
        </w:rPr>
        <w:t>、 提供同步接口，在进样的同时可以同时启动色谱和工作站。</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default" w:cs="宋体" w:asciiTheme="minorEastAsia" w:hAnsiTheme="minorEastAsia" w:eastAsiaTheme="minorEastAsia"/>
          <w:bCs w:val="0"/>
          <w:sz w:val="24"/>
          <w:szCs w:val="24"/>
          <w:lang w:val="en-US" w:eastAsia="zh-CN"/>
        </w:rPr>
      </w:pPr>
      <w:r>
        <w:rPr>
          <w:rFonts w:hint="eastAsia" w:ascii="宋体" w:hAnsi="宋体" w:eastAsia="宋体" w:cs="宋体"/>
          <w:bCs w:val="0"/>
          <w:sz w:val="24"/>
          <w:szCs w:val="24"/>
          <w:lang w:val="en-US" w:eastAsia="zh-CN"/>
        </w:rPr>
        <w:t>32、</w:t>
      </w:r>
      <w:r>
        <w:rPr>
          <w:rFonts w:hint="eastAsia" w:cs="宋体" w:asciiTheme="minorEastAsia" w:hAnsiTheme="minorEastAsia"/>
          <w:bCs w:val="0"/>
          <w:sz w:val="24"/>
          <w:szCs w:val="24"/>
          <w:lang w:val="en-US" w:eastAsia="zh-CN"/>
        </w:rPr>
        <w:t>如属医疗器械</w:t>
      </w:r>
      <w:r>
        <w:rPr>
          <w:rFonts w:hint="eastAsia" w:cs="宋体"/>
          <w:bC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numPr>
          <w:ilvl w:val="0"/>
          <w:numId w:val="0"/>
        </w:numPr>
        <w:kinsoku/>
        <w:wordWrap/>
        <w:topLinePunct w:val="0"/>
        <w:bidi w:val="0"/>
        <w:adjustRightInd w:val="0"/>
        <w:snapToGrid w:val="0"/>
        <w:spacing w:line="360" w:lineRule="auto"/>
        <w:ind w:leftChars="300" w:right="0" w:rightChars="0"/>
        <w:outlineLvl w:val="9"/>
        <w:rPr>
          <w:rFonts w:hint="default" w:ascii="宋体" w:hAnsi="宋体" w:eastAsia="宋体" w:cs="宋体"/>
          <w:bCs w:val="0"/>
          <w:sz w:val="24"/>
          <w:szCs w:val="24"/>
          <w:lang w:val="en-US" w:eastAsia="zh-CN"/>
        </w:rPr>
      </w:pPr>
    </w:p>
    <w:p>
      <w:pPr>
        <w:keepNext w:val="0"/>
        <w:keepLines w:val="0"/>
        <w:pageBreakBefore w:val="0"/>
        <w:kinsoku/>
        <w:wordWrap/>
        <w:topLinePunct w:val="0"/>
        <w:bidi w:val="0"/>
        <w:adjustRightInd w:val="0"/>
        <w:snapToGrid w:val="0"/>
        <w:spacing w:line="360" w:lineRule="auto"/>
        <w:ind w:right="0" w:rightChars="0"/>
        <w:outlineLvl w:val="9"/>
        <w:rPr>
          <w:rFonts w:cs="宋体" w:asciiTheme="majorEastAsia" w:hAnsiTheme="majorEastAsia" w:eastAsiaTheme="majorEastAsia"/>
          <w:bCs w:val="0"/>
          <w:sz w:val="24"/>
          <w:szCs w:val="24"/>
        </w:rPr>
      </w:pPr>
    </w:p>
    <w:p>
      <w:pPr>
        <w:keepNext w:val="0"/>
        <w:keepLines w:val="0"/>
        <w:pageBreakBefore w:val="0"/>
        <w:kinsoku/>
        <w:wordWrap/>
        <w:topLinePunct w:val="0"/>
        <w:bidi w:val="0"/>
        <w:adjustRightInd w:val="0"/>
        <w:snapToGrid w:val="0"/>
        <w:spacing w:line="360" w:lineRule="auto"/>
        <w:ind w:right="0" w:rightChars="0"/>
        <w:outlineLvl w:val="9"/>
        <w:rPr>
          <w:rFonts w:cs="宋体" w:asciiTheme="majorEastAsia" w:hAnsiTheme="majorEastAsia" w:eastAsiaTheme="majorEastAsia"/>
          <w:bCs w:val="0"/>
          <w:sz w:val="24"/>
          <w:szCs w:val="24"/>
        </w:rPr>
      </w:pPr>
    </w:p>
    <w:p>
      <w:pPr>
        <w:keepNext w:val="0"/>
        <w:keepLines w:val="0"/>
        <w:pageBreakBefore w:val="0"/>
        <w:kinsoku/>
        <w:wordWrap/>
        <w:topLinePunct w:val="0"/>
        <w:bidi w:val="0"/>
        <w:adjustRightInd w:val="0"/>
        <w:snapToGrid w:val="0"/>
        <w:spacing w:line="360" w:lineRule="auto"/>
        <w:ind w:right="0" w:rightChars="0"/>
        <w:outlineLvl w:val="9"/>
        <w:rPr>
          <w:rFonts w:cs="宋体" w:asciiTheme="majorEastAsia" w:hAnsiTheme="majorEastAsia" w:eastAsiaTheme="majorEastAsia"/>
          <w:bCs w:val="0"/>
          <w:sz w:val="24"/>
          <w:szCs w:val="24"/>
        </w:rPr>
      </w:pPr>
    </w:p>
    <w:p>
      <w:pPr>
        <w:pStyle w:val="2"/>
        <w:rPr>
          <w:rFonts w:cs="宋体" w:asciiTheme="majorEastAsia" w:hAnsiTheme="majorEastAsia" w:eastAsiaTheme="majorEastAsia"/>
          <w:bCs w:val="0"/>
          <w:sz w:val="24"/>
          <w:szCs w:val="24"/>
        </w:rPr>
      </w:pPr>
    </w:p>
    <w:p>
      <w:pPr>
        <w:pStyle w:val="2"/>
        <w:rPr>
          <w:rFonts w:cs="宋体" w:asciiTheme="majorEastAsia" w:hAnsiTheme="majorEastAsia" w:eastAsiaTheme="majorEastAsia"/>
          <w:bCs w:val="0"/>
          <w:sz w:val="24"/>
          <w:szCs w:val="24"/>
        </w:rPr>
      </w:pPr>
    </w:p>
    <w:p>
      <w:pPr>
        <w:pStyle w:val="2"/>
        <w:rPr>
          <w:rFonts w:cs="宋体" w:asciiTheme="majorEastAsia" w:hAnsiTheme="majorEastAsia" w:eastAsiaTheme="majorEastAsia"/>
          <w:bCs w:val="0"/>
          <w:sz w:val="24"/>
          <w:szCs w:val="24"/>
        </w:rPr>
      </w:pPr>
    </w:p>
    <w:p>
      <w:pPr>
        <w:pStyle w:val="2"/>
        <w:rPr>
          <w:rFonts w:cs="宋体" w:asciiTheme="majorEastAsia" w:hAnsiTheme="majorEastAsia" w:eastAsiaTheme="majorEastAsia"/>
          <w:bCs w:val="0"/>
          <w:sz w:val="24"/>
          <w:szCs w:val="24"/>
        </w:rPr>
      </w:pPr>
    </w:p>
    <w:p>
      <w:pPr>
        <w:pStyle w:val="2"/>
        <w:rPr>
          <w:rFonts w:cs="宋体" w:asciiTheme="majorEastAsia" w:hAnsiTheme="majorEastAsia" w:eastAsiaTheme="majorEastAsia"/>
          <w:bCs w:val="0"/>
          <w:sz w:val="24"/>
          <w:szCs w:val="24"/>
        </w:rPr>
      </w:pPr>
    </w:p>
    <w:p>
      <w:pPr>
        <w:keepNext w:val="0"/>
        <w:keepLines w:val="0"/>
        <w:pageBreakBefore w:val="0"/>
        <w:kinsoku/>
        <w:wordWrap/>
        <w:topLinePunct w:val="0"/>
        <w:bidi w:val="0"/>
        <w:adjustRightInd w:val="0"/>
        <w:snapToGrid w:val="0"/>
        <w:spacing w:line="360" w:lineRule="auto"/>
        <w:ind w:right="0" w:rightChars="0" w:firstLine="3000" w:firstLineChars="1250"/>
        <w:outlineLvl w:val="9"/>
        <w:rPr>
          <w:rFonts w:hint="eastAsia" w:ascii="宋体" w:hAnsi="宋体" w:eastAsia="宋体" w:cs="宋体"/>
          <w:bCs w:val="0"/>
          <w:sz w:val="24"/>
          <w:szCs w:val="24"/>
        </w:rPr>
      </w:pPr>
      <w:bookmarkStart w:id="267" w:name="_Hlk88232648"/>
      <w:r>
        <w:rPr>
          <w:rFonts w:hint="eastAsia" w:ascii="宋体" w:hAnsi="宋体" w:eastAsia="宋体" w:cs="宋体"/>
          <w:b/>
          <w:bCs/>
          <w:sz w:val="24"/>
          <w:szCs w:val="24"/>
          <w:lang w:eastAsia="zh-CN"/>
        </w:rPr>
        <w:t>全自动</w:t>
      </w:r>
      <w:r>
        <w:rPr>
          <w:rFonts w:hint="eastAsia" w:ascii="宋体" w:hAnsi="宋体" w:eastAsia="宋体" w:cs="宋体"/>
          <w:b/>
          <w:bCs/>
          <w:sz w:val="24"/>
          <w:szCs w:val="24"/>
        </w:rPr>
        <w:t>快速溶剂萃取仪</w:t>
      </w:r>
      <w:bookmarkEnd w:id="267"/>
    </w:p>
    <w:p>
      <w:pPr>
        <w:keepNext w:val="0"/>
        <w:keepLines w:val="0"/>
        <w:pageBreakBefore w:val="0"/>
        <w:numPr>
          <w:ilvl w:val="0"/>
          <w:numId w:val="4"/>
        </w:numPr>
        <w:kinsoku/>
        <w:wordWrap/>
        <w:topLinePunct w:val="0"/>
        <w:bidi w:val="0"/>
        <w:adjustRightInd w:val="0"/>
        <w:snapToGrid w:val="0"/>
        <w:spacing w:line="360" w:lineRule="auto"/>
        <w:ind w:left="480" w:right="0" w:rightChars="0" w:hanging="480" w:hangingChars="200"/>
        <w:jc w:val="left"/>
        <w:outlineLvl w:val="9"/>
        <w:rPr>
          <w:rFonts w:hint="eastAsia" w:cs="宋体" w:asciiTheme="minorEastAsia" w:hAnsiTheme="minorEastAsia"/>
          <w:bCs w:val="0"/>
          <w:kern w:val="0"/>
          <w:sz w:val="24"/>
          <w:szCs w:val="24"/>
        </w:rPr>
      </w:pPr>
      <w:bookmarkStart w:id="268" w:name="_Hlk88233438"/>
      <w:r>
        <w:rPr>
          <w:rFonts w:hint="eastAsia" w:cs="宋体" w:asciiTheme="minorEastAsia" w:hAnsiTheme="minorEastAsia"/>
          <w:bCs w:val="0"/>
          <w:kern w:val="0"/>
          <w:sz w:val="24"/>
          <w:szCs w:val="24"/>
        </w:rPr>
        <w:t>用途：</w:t>
      </w:r>
    </w:p>
    <w:p>
      <w:pPr>
        <w:keepNext w:val="0"/>
        <w:keepLines w:val="0"/>
        <w:pageBreakBefore w:val="0"/>
        <w:numPr>
          <w:ilvl w:val="0"/>
          <w:numId w:val="0"/>
        </w:numPr>
        <w:kinsoku/>
        <w:wordWrap/>
        <w:topLinePunct w:val="0"/>
        <w:bidi w:val="0"/>
        <w:adjustRightInd w:val="0"/>
        <w:snapToGrid w:val="0"/>
        <w:spacing w:line="360" w:lineRule="auto"/>
        <w:ind w:left="-178" w:leftChars="-85"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color w:val="000000"/>
          <w:kern w:val="0"/>
          <w:sz w:val="24"/>
          <w:szCs w:val="24"/>
        </w:rPr>
        <w:t>适用于</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环境样品分析、食品检测、农产品安全、土壤检测、中药提取、制药、食品营养学、爆炸物分析、石油化工、天然产物、电子产品、海产品等领域，可以为GC、GC/MS、 LC、LC／MS、UV/VIS等检测仪器提供完善的样品前处理过程。符合国标和U.S. EPA3545A，HJ783-2016，HJ782-2016等标准方法。</w:t>
      </w:r>
    </w:p>
    <w:p>
      <w:pPr>
        <w:keepNext w:val="0"/>
        <w:keepLines w:val="0"/>
        <w:pageBreakBefore w:val="0"/>
        <w:numPr>
          <w:ilvl w:val="0"/>
          <w:numId w:val="0"/>
        </w:numPr>
        <w:kinsoku/>
        <w:wordWrap/>
        <w:topLinePunct w:val="0"/>
        <w:bidi w:val="0"/>
        <w:adjustRightInd w:val="0"/>
        <w:snapToGrid w:val="0"/>
        <w:spacing w:line="360" w:lineRule="auto"/>
        <w:ind w:right="0" w:rightChars="0"/>
        <w:jc w:val="left"/>
        <w:outlineLvl w:val="9"/>
        <w:rPr>
          <w:rFonts w:cs="宋体" w:asciiTheme="minorEastAsia" w:hAnsiTheme="minorEastAsia"/>
          <w:bCs w:val="0"/>
          <w:color w:val="030303"/>
          <w:sz w:val="24"/>
          <w:szCs w:val="24"/>
        </w:rPr>
      </w:pPr>
      <w:r>
        <w:rPr>
          <w:rFonts w:hint="eastAsia" w:cs="宋体" w:asciiTheme="minorEastAsia" w:hAnsiTheme="minorEastAsia"/>
          <w:bCs w:val="0"/>
          <w:sz w:val="24"/>
          <w:szCs w:val="24"/>
        </w:rPr>
        <w:t>二</w:t>
      </w:r>
      <w:r>
        <w:rPr>
          <w:rFonts w:hint="eastAsia" w:cs="宋体" w:asciiTheme="minorEastAsia" w:hAnsiTheme="minorEastAsia"/>
          <w:bCs w:val="0"/>
          <w:kern w:val="0"/>
          <w:sz w:val="24"/>
          <w:szCs w:val="24"/>
        </w:rPr>
        <w:t>、</w:t>
      </w:r>
      <w:r>
        <w:rPr>
          <w:rFonts w:hint="eastAsia" w:cs="宋体" w:asciiTheme="minorEastAsia" w:hAnsiTheme="minorEastAsia"/>
          <w:bCs w:val="0"/>
          <w:sz w:val="24"/>
          <w:szCs w:val="24"/>
        </w:rPr>
        <w:t>主要技术规格及系统概述：</w:t>
      </w:r>
    </w:p>
    <w:bookmarkEnd w:id="268"/>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仪器具有采用多种有机溶剂进行加压、加热快速萃取目标物和目标组分的功能。</w:t>
      </w:r>
      <w:r>
        <w:rPr>
          <w:rFonts w:hint="eastAsia" w:cs="宋体" w:asciiTheme="minorEastAsia" w:hAnsiTheme="minorEastAsia"/>
          <w:bCs w:val="0"/>
          <w:sz w:val="24"/>
          <w:szCs w:val="24"/>
        </w:rPr>
        <w:tab/>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2</w:t>
      </w:r>
      <w:r>
        <w:rPr>
          <w:rFonts w:hint="eastAsia" w:cs="宋体" w:asciiTheme="minorEastAsia" w:hAnsiTheme="minorEastAsia"/>
          <w:bCs w:val="0"/>
          <w:sz w:val="24"/>
          <w:szCs w:val="24"/>
        </w:rPr>
        <w:t>、萃取位不少于26位，可提供24个萃取池，以同时实现1~24个样品的连续萃取。</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3</w:t>
      </w:r>
      <w:r>
        <w:rPr>
          <w:rFonts w:hint="eastAsia" w:cs="宋体" w:asciiTheme="minorEastAsia" w:hAnsiTheme="minorEastAsia"/>
          <w:bCs w:val="0"/>
          <w:sz w:val="24"/>
          <w:szCs w:val="24"/>
        </w:rPr>
        <w:t>、工作温度范围：室温～200℃；加热炉控温精度≤±1℃。</w:t>
      </w:r>
      <w:r>
        <w:rPr>
          <w:rFonts w:hint="eastAsia" w:cs="宋体" w:asciiTheme="minorEastAsia" w:hAnsiTheme="minorEastAsia"/>
          <w:bCs w:val="0"/>
          <w:sz w:val="24"/>
          <w:szCs w:val="24"/>
        </w:rPr>
        <w:tab/>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4</w:t>
      </w:r>
      <w:r>
        <w:rPr>
          <w:rFonts w:hint="eastAsia" w:cs="宋体" w:asciiTheme="minorEastAsia" w:hAnsiTheme="minorEastAsia"/>
          <w:bCs w:val="0"/>
          <w:sz w:val="24"/>
          <w:szCs w:val="24"/>
        </w:rPr>
        <w:t>、最大工作压力：18MPa。</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5</w:t>
      </w:r>
      <w:r>
        <w:rPr>
          <w:rFonts w:hint="eastAsia" w:cs="宋体" w:asciiTheme="minorEastAsia" w:hAnsiTheme="minorEastAsia"/>
          <w:bCs w:val="0"/>
          <w:sz w:val="24"/>
          <w:szCs w:val="24"/>
        </w:rPr>
        <w:t>、加热炉体：双加热炉设计，实现全周加热，保证样品均匀受热，同时确保加热炉与萃取池之间的热平衡。具有降温功能设计，有效缩短不同方法之间的控温时间。</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6</w:t>
      </w:r>
      <w:r>
        <w:rPr>
          <w:rFonts w:hint="eastAsia" w:cs="宋体" w:asciiTheme="minorEastAsia" w:hAnsiTheme="minorEastAsia"/>
          <w:bCs w:val="0"/>
          <w:sz w:val="24"/>
          <w:szCs w:val="24"/>
        </w:rPr>
        <w:t>、触摸屏：控制面板使用高清触摸屏设计，方便用户设置萃取参数或选择萃取方法，以及执行其他控制功能。</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7</w:t>
      </w:r>
      <w:r>
        <w:rPr>
          <w:rFonts w:hint="eastAsia" w:cs="宋体" w:asciiTheme="minorEastAsia" w:hAnsiTheme="minorEastAsia"/>
          <w:bCs w:val="0"/>
          <w:sz w:val="24"/>
          <w:szCs w:val="24"/>
        </w:rPr>
        <w:t>、萃取池：可提供多种不同体积的样品萃取池：11ml、22ml、34ml、66ml、100ml，且萃取池规格仪器可自动识别。</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8</w:t>
      </w:r>
      <w:r>
        <w:rPr>
          <w:rFonts w:hint="eastAsia" w:cs="宋体" w:asciiTheme="minorEastAsia" w:hAnsiTheme="minorEastAsia"/>
          <w:bCs w:val="0"/>
          <w:sz w:val="24"/>
          <w:szCs w:val="24"/>
        </w:rPr>
        <w:t>、收集瓶：可提供240mL规格的样品收集瓶，每一个收集瓶均配有耐压耐腐蚀PTFE/乳胶隔垫。收集位：不少于27个（240mL，含3个废液位）</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9</w:t>
      </w:r>
      <w:r>
        <w:rPr>
          <w:rFonts w:hint="eastAsia" w:cs="宋体" w:asciiTheme="minorEastAsia" w:hAnsiTheme="minorEastAsia"/>
          <w:bCs w:val="0"/>
          <w:sz w:val="24"/>
          <w:szCs w:val="24"/>
        </w:rPr>
        <w:t>、输液泵流速≤100mL/min，可根据萃取池的不同体积自动调节泵速，缩短加液时间并且有效降低过压情况，提高了系统运行的稳定性。</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cs="宋体" w:asciiTheme="minorEastAsia" w:hAnsiTheme="minorEastAsia"/>
          <w:bCs w:val="0"/>
          <w:sz w:val="24"/>
          <w:szCs w:val="24"/>
        </w:rPr>
        <w:t>10</w:t>
      </w:r>
      <w:r>
        <w:rPr>
          <w:rFonts w:hint="eastAsia" w:cs="宋体" w:asciiTheme="minorEastAsia" w:hAnsiTheme="minorEastAsia"/>
          <w:bCs w:val="0"/>
          <w:sz w:val="24"/>
          <w:szCs w:val="24"/>
        </w:rPr>
        <w:t xml:space="preserve">、压力控制单元：内置压力控制单元和过压保护系统，可确保仪器运行安全可靠。自适应压力调节，平衡式控压，确保萃取压力的稳定性。 </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1</w:t>
      </w:r>
      <w:r>
        <w:rPr>
          <w:rFonts w:hint="eastAsia" w:cs="宋体" w:asciiTheme="minorEastAsia" w:hAnsiTheme="minorEastAsia"/>
          <w:bCs w:val="0"/>
          <w:sz w:val="24"/>
          <w:szCs w:val="24"/>
        </w:rPr>
        <w:t>、操作界面人性化设计，可根据用户需求存储至少100种方法以供调用。</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2</w:t>
      </w:r>
      <w:r>
        <w:rPr>
          <w:rFonts w:hint="eastAsia" w:cs="宋体" w:asciiTheme="minorEastAsia" w:hAnsiTheme="minorEastAsia"/>
          <w:bCs w:val="0"/>
          <w:sz w:val="24"/>
          <w:szCs w:val="24"/>
        </w:rPr>
        <w:t>、序列运行模式，可实现在同一批次中对任一萃取池设置对应方法和选择收集位置，每个萃取池可最多对应3个收集瓶，方便实验比对和新方法开发。即可完成不同样品同批次萃取。</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3</w:t>
      </w:r>
      <w:r>
        <w:rPr>
          <w:rFonts w:hint="eastAsia" w:cs="宋体" w:asciiTheme="minorEastAsia" w:hAnsiTheme="minorEastAsia"/>
          <w:bCs w:val="0"/>
          <w:sz w:val="24"/>
          <w:szCs w:val="24"/>
        </w:rPr>
        <w:t>、安全环保设计，仪器在萃取结束后1小时内无操作时进入待机状态，加热模块自动降至室温，保证无人值守下实验安全。</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4</w:t>
      </w:r>
      <w:r>
        <w:rPr>
          <w:rFonts w:hint="eastAsia" w:cs="宋体" w:asciiTheme="minorEastAsia" w:hAnsiTheme="minorEastAsia"/>
          <w:bCs w:val="0"/>
          <w:sz w:val="24"/>
          <w:szCs w:val="24"/>
        </w:rPr>
        <w:t>、检测传感器：动态液位检测技术，防止收集液溢出；气压/液压监控；温度监控及过温保护；断电保护机制；收集瓶有无判断。</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5</w:t>
      </w:r>
      <w:r>
        <w:rPr>
          <w:rFonts w:hint="eastAsia" w:cs="宋体" w:asciiTheme="minorEastAsia" w:hAnsiTheme="minorEastAsia"/>
          <w:bCs w:val="0"/>
          <w:sz w:val="24"/>
          <w:szCs w:val="24"/>
        </w:rPr>
        <w:t>、有四元溶剂混合装置，各溶剂管路独立控制，可自动按比例（1%递进）实现1~4种混合萃取溶剂，适用于方法开发，以及复杂物质的有效萃取。</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6</w:t>
      </w:r>
      <w:r>
        <w:rPr>
          <w:rFonts w:hint="eastAsia" w:cs="宋体" w:asciiTheme="minorEastAsia" w:hAnsiTheme="minorEastAsia"/>
          <w:bCs w:val="0"/>
          <w:sz w:val="24"/>
          <w:szCs w:val="24"/>
        </w:rPr>
        <w:t>、扩展功能：采用“基质固相分散（MSPD）”技术以及“固相萃取（SPE）”技术，在萃取样品时使用吸附型净化填料，可实现样品萃取的在线净化，样品萃取液可直接上机分析。</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7</w:t>
      </w:r>
      <w:r>
        <w:rPr>
          <w:rFonts w:hint="eastAsia" w:cs="宋体" w:asciiTheme="minorEastAsia" w:hAnsiTheme="minorEastAsia"/>
          <w:bCs w:val="0"/>
          <w:sz w:val="24"/>
          <w:szCs w:val="24"/>
        </w:rPr>
        <w:t>、自动化程度：全自动化式设计，无人值守可连续自动萃取24个样品，整个萃取过程包含预热、加载溶剂、萃取、淋洗、过滤、净化、吹扫全部自动完成。萃取过程中如某一个环节发生异常仪器即能自动停止运行并给出提示。</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8</w:t>
      </w:r>
      <w:r>
        <w:rPr>
          <w:rFonts w:hint="eastAsia" w:cs="宋体" w:asciiTheme="minorEastAsia" w:hAnsiTheme="minorEastAsia"/>
          <w:bCs w:val="0"/>
          <w:sz w:val="24"/>
          <w:szCs w:val="24"/>
        </w:rPr>
        <w:t>、萃取时间：≤8-20min/个样品（单循环）。</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1</w:t>
      </w:r>
      <w:r>
        <w:rPr>
          <w:rFonts w:cs="宋体" w:asciiTheme="minorEastAsia" w:hAnsiTheme="minorEastAsia"/>
          <w:bCs w:val="0"/>
          <w:sz w:val="24"/>
          <w:szCs w:val="24"/>
        </w:rPr>
        <w:t>9</w:t>
      </w:r>
      <w:r>
        <w:rPr>
          <w:rFonts w:hint="eastAsia" w:cs="宋体" w:asciiTheme="minorEastAsia" w:hAnsiTheme="minorEastAsia"/>
          <w:bCs w:val="0"/>
          <w:sz w:val="24"/>
          <w:szCs w:val="24"/>
        </w:rPr>
        <w:t>、电源要求：50～60Hz，220V AC。</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cs="宋体" w:asciiTheme="minorEastAsia" w:hAnsiTheme="minorEastAsia"/>
          <w:bCs w:val="0"/>
          <w:sz w:val="24"/>
          <w:szCs w:val="24"/>
        </w:rPr>
        <w:t>20</w:t>
      </w:r>
      <w:bookmarkStart w:id="269" w:name="_Hlk88233212"/>
      <w:r>
        <w:rPr>
          <w:rFonts w:hint="eastAsia" w:cs="宋体" w:asciiTheme="minorEastAsia" w:hAnsiTheme="minorEastAsia"/>
          <w:bCs w:val="0"/>
          <w:sz w:val="24"/>
          <w:szCs w:val="24"/>
        </w:rPr>
        <w:t>、</w:t>
      </w:r>
      <w:bookmarkEnd w:id="269"/>
      <w:r>
        <w:rPr>
          <w:rFonts w:hint="eastAsia" w:cs="宋体" w:asciiTheme="minorEastAsia" w:hAnsiTheme="minorEastAsia"/>
          <w:bCs w:val="0"/>
          <w:sz w:val="24"/>
          <w:szCs w:val="24"/>
        </w:rPr>
        <w:t>整机功耗：≤600W。</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default" w:cs="宋体" w:asciiTheme="minorEastAsia" w:hAnsiTheme="minorEastAsia" w:eastAsiaTheme="minorEastAsia"/>
          <w:bCs w:val="0"/>
          <w:sz w:val="24"/>
          <w:szCs w:val="24"/>
          <w:lang w:val="en-US" w:eastAsia="zh-CN"/>
        </w:rPr>
      </w:pPr>
      <w:r>
        <w:rPr>
          <w:rFonts w:hint="eastAsia" w:cs="宋体" w:asciiTheme="minorEastAsia" w:hAnsiTheme="minorEastAsia"/>
          <w:bCs w:val="0"/>
          <w:sz w:val="24"/>
          <w:szCs w:val="24"/>
          <w:lang w:val="en-US" w:eastAsia="zh-CN"/>
        </w:rPr>
        <w:t>21、如属医疗器械</w:t>
      </w:r>
      <w:r>
        <w:rPr>
          <w:rFonts w:hint="eastAsia" w:cs="宋体"/>
          <w:bC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2</w:t>
      </w:r>
      <w:r>
        <w:rPr>
          <w:rFonts w:hint="eastAsia" w:cs="宋体" w:asciiTheme="minorEastAsia" w:hAnsiTheme="minorEastAsia"/>
          <w:bCs w:val="0"/>
          <w:sz w:val="24"/>
          <w:szCs w:val="24"/>
          <w:lang w:val="en-US" w:eastAsia="zh-CN"/>
        </w:rPr>
        <w:t>2</w:t>
      </w:r>
      <w:r>
        <w:rPr>
          <w:rFonts w:hint="eastAsia" w:cs="宋体" w:asciiTheme="minorEastAsia" w:hAnsiTheme="minorEastAsia"/>
          <w:bCs w:val="0"/>
          <w:sz w:val="24"/>
          <w:szCs w:val="24"/>
        </w:rPr>
        <w:t>、产品配置</w:t>
      </w:r>
      <w:r>
        <w:rPr>
          <w:rFonts w:hint="eastAsia" w:cs="宋体" w:asciiTheme="minorEastAsia" w:hAnsiTheme="minorEastAsia"/>
          <w:bCs w:val="0"/>
          <w:sz w:val="24"/>
          <w:szCs w:val="24"/>
        </w:rPr>
        <w:tab/>
      </w:r>
      <w:r>
        <w:rPr>
          <w:rFonts w:hint="eastAsia" w:cs="宋体" w:asciiTheme="minorEastAsia" w:hAnsiTheme="minorEastAsia"/>
          <w:bCs w:val="0"/>
          <w:sz w:val="24"/>
          <w:szCs w:val="24"/>
        </w:rPr>
        <w:tab/>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1、主机一台，包括高压输液泵、加热炉体、萃取池转盘、收集瓶转盘、高清触摸屏温控单元、压力控制单元、清洗池、废液池、气液检测传感器及实时操作软件平台。</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2、萃取池：（选配）24个萃取池，11mL、22mL、34mL、66mL、100mL规格可任选。</w:t>
      </w:r>
    </w:p>
    <w:p>
      <w:pPr>
        <w:keepNext w:val="0"/>
        <w:keepLines w:val="0"/>
        <w:pageBreakBefore w:val="0"/>
        <w:kinsoku/>
        <w:wordWrap/>
        <w:topLinePunct w:val="0"/>
        <w:bidi w:val="0"/>
        <w:adjustRightInd w:val="0"/>
        <w:snapToGrid w:val="0"/>
        <w:spacing w:line="360" w:lineRule="auto"/>
        <w:ind w:right="0" w:rightChars="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 xml:space="preserve">  </w:t>
      </w:r>
      <w:r>
        <w:rPr>
          <w:rFonts w:cs="宋体" w:asciiTheme="minorEastAsia" w:hAnsiTheme="minorEastAsia"/>
          <w:bCs w:val="0"/>
          <w:sz w:val="24"/>
          <w:szCs w:val="24"/>
        </w:rPr>
        <w:t xml:space="preserve"> </w:t>
      </w:r>
      <w:r>
        <w:rPr>
          <w:rFonts w:hint="eastAsia" w:cs="宋体" w:asciiTheme="minorEastAsia" w:hAnsiTheme="minorEastAsia"/>
          <w:bCs w:val="0"/>
          <w:sz w:val="24"/>
          <w:szCs w:val="24"/>
          <w:lang w:val="en-US" w:eastAsia="zh-CN"/>
        </w:rPr>
        <w:t xml:space="preserve"> </w:t>
      </w:r>
      <w:r>
        <w:rPr>
          <w:rFonts w:cs="宋体" w:asciiTheme="minorEastAsia" w:hAnsiTheme="minorEastAsia"/>
          <w:bCs w:val="0"/>
          <w:sz w:val="24"/>
          <w:szCs w:val="24"/>
        </w:rPr>
        <w:t>21.</w:t>
      </w:r>
      <w:r>
        <w:rPr>
          <w:rFonts w:hint="eastAsia" w:cs="宋体" w:asciiTheme="minorEastAsia" w:hAnsiTheme="minorEastAsia"/>
          <w:bCs w:val="0"/>
          <w:sz w:val="24"/>
          <w:szCs w:val="24"/>
        </w:rPr>
        <w:t>3、“O”型圈1包，1×50个。</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4、萃取池密封圈1包，1×50个。</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5、不锈钢筛板2个。</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6、滤膜1000片。</w:t>
      </w:r>
    </w:p>
    <w:p>
      <w:pPr>
        <w:keepNext w:val="0"/>
        <w:keepLines w:val="0"/>
        <w:pageBreakBefore w:val="0"/>
        <w:kinsoku/>
        <w:wordWrap/>
        <w:topLinePunct w:val="0"/>
        <w:bidi w:val="0"/>
        <w:adjustRightInd w:val="0"/>
        <w:snapToGrid w:val="0"/>
        <w:spacing w:line="360" w:lineRule="auto"/>
        <w:ind w:right="0" w:rightChars="0"/>
        <w:jc w:val="left"/>
        <w:outlineLvl w:val="9"/>
        <w:rPr>
          <w:rFonts w:cs="宋体" w:asciiTheme="minorEastAsia" w:hAnsiTheme="minorEastAsia"/>
          <w:bCs w:val="0"/>
          <w:sz w:val="24"/>
          <w:szCs w:val="24"/>
        </w:rPr>
      </w:pPr>
      <w:r>
        <w:rPr>
          <w:rFonts w:hint="eastAsia" w:cs="宋体" w:asciiTheme="minorEastAsia" w:hAnsiTheme="minorEastAsia"/>
          <w:bCs w:val="0"/>
          <w:sz w:val="24"/>
          <w:szCs w:val="24"/>
        </w:rPr>
        <w:tab/>
      </w:r>
      <w:r>
        <w:rPr>
          <w:rFonts w:cs="宋体" w:asciiTheme="minorEastAsia" w:hAnsiTheme="minorEastAsia"/>
          <w:bCs w:val="0"/>
          <w:sz w:val="24"/>
          <w:szCs w:val="24"/>
        </w:rPr>
        <w:t xml:space="preserve"> 21.</w:t>
      </w:r>
      <w:r>
        <w:rPr>
          <w:rFonts w:hint="eastAsia" w:cs="宋体" w:asciiTheme="minorEastAsia" w:hAnsiTheme="minorEastAsia"/>
          <w:bCs w:val="0"/>
          <w:sz w:val="24"/>
          <w:szCs w:val="24"/>
        </w:rPr>
        <w:t>7、收集瓶1套，（27个240mL）。</w:t>
      </w: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lang w:eastAsia="zh-CN"/>
        </w:rPr>
      </w:pPr>
      <w:r>
        <w:rPr>
          <w:rFonts w:hint="eastAsia" w:cs="宋体" w:asciiTheme="minorEastAsia" w:hAnsiTheme="minorEastAsia"/>
          <w:bCs w:val="0"/>
          <w:sz w:val="24"/>
          <w:szCs w:val="24"/>
        </w:rPr>
        <w:t xml:space="preserve">   </w:t>
      </w:r>
      <w:r>
        <w:rPr>
          <w:rFonts w:cs="宋体" w:asciiTheme="minorEastAsia" w:hAnsiTheme="minorEastAsia"/>
          <w:bCs w:val="0"/>
          <w:sz w:val="24"/>
          <w:szCs w:val="24"/>
        </w:rPr>
        <w:t xml:space="preserve"> 21.</w:t>
      </w:r>
      <w:r>
        <w:rPr>
          <w:rFonts w:hint="eastAsia" w:cs="宋体" w:asciiTheme="minorEastAsia" w:hAnsiTheme="minorEastAsia"/>
          <w:bCs w:val="0"/>
          <w:sz w:val="24"/>
          <w:szCs w:val="24"/>
        </w:rPr>
        <w:t xml:space="preserve"> 8、1000mL蓝盖瓶5个（4个溶剂瓶+1个废液瓶）</w:t>
      </w:r>
      <w:r>
        <w:rPr>
          <w:rFonts w:hint="eastAsia" w:cs="宋体" w:asciiTheme="minorEastAsia" w:hAnsiTheme="minorEastAsia"/>
          <w:bCs w:val="0"/>
          <w:sz w:val="24"/>
          <w:szCs w:val="24"/>
          <w:lang w:eastAsia="zh-CN"/>
        </w:rPr>
        <w:t>。</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cs="宋体" w:asciiTheme="minorEastAsia" w:hAnsiTheme="minorEastAsia"/>
          <w:bCs w:val="0"/>
          <w:sz w:val="24"/>
          <w:szCs w:val="24"/>
        </w:rPr>
      </w:pPr>
      <w:r>
        <w:rPr>
          <w:rFonts w:cs="宋体" w:asciiTheme="minorEastAsia" w:hAnsiTheme="minorEastAsia"/>
          <w:bCs w:val="0"/>
          <w:sz w:val="24"/>
          <w:szCs w:val="24"/>
        </w:rPr>
        <w:t>21.</w:t>
      </w:r>
      <w:r>
        <w:rPr>
          <w:rFonts w:hint="eastAsia" w:cs="宋体" w:asciiTheme="minorEastAsia" w:hAnsiTheme="minorEastAsia"/>
          <w:bCs w:val="0"/>
          <w:sz w:val="24"/>
          <w:szCs w:val="24"/>
        </w:rPr>
        <w:t>9、工具（包括专用工具）1套。</w:t>
      </w:r>
    </w:p>
    <w:p>
      <w:pPr>
        <w:keepNext w:val="0"/>
        <w:keepLines w:val="0"/>
        <w:pageBreakBefore w:val="0"/>
        <w:kinsoku/>
        <w:wordWrap/>
        <w:topLinePunct w:val="0"/>
        <w:bidi w:val="0"/>
        <w:adjustRightInd w:val="0"/>
        <w:snapToGrid w:val="0"/>
        <w:spacing w:line="360" w:lineRule="auto"/>
        <w:ind w:right="0" w:rightChars="0"/>
        <w:jc w:val="left"/>
        <w:outlineLvl w:val="9"/>
        <w:rPr>
          <w:rFonts w:cs="宋体" w:asciiTheme="minorEastAsia" w:hAnsiTheme="minorEastAsia"/>
          <w:bCs w:val="0"/>
          <w:sz w:val="24"/>
          <w:szCs w:val="24"/>
          <w:shd w:val="clear" w:color="auto" w:fill="FFFFFF"/>
        </w:rPr>
      </w:pPr>
    </w:p>
    <w:p>
      <w:pPr>
        <w:keepNext w:val="0"/>
        <w:keepLines w:val="0"/>
        <w:pageBreakBefore w:val="0"/>
        <w:kinsoku/>
        <w:wordWrap/>
        <w:topLinePunct w:val="0"/>
        <w:bidi w:val="0"/>
        <w:adjustRightInd w:val="0"/>
        <w:snapToGrid w:val="0"/>
        <w:spacing w:line="360" w:lineRule="auto"/>
        <w:ind w:right="0" w:rightChars="0"/>
        <w:outlineLvl w:val="9"/>
        <w:rPr>
          <w:rFonts w:cs="宋体" w:asciiTheme="majorEastAsia" w:hAnsiTheme="majorEastAsia" w:eastAsiaTheme="majorEastAsia"/>
          <w:bCs w:val="0"/>
          <w:sz w:val="24"/>
          <w:szCs w:val="24"/>
          <w:shd w:val="clear" w:color="auto" w:fill="FFFFFF"/>
        </w:rPr>
      </w:pPr>
    </w:p>
    <w:p>
      <w:pPr>
        <w:pStyle w:val="2"/>
        <w:rPr>
          <w:rFonts w:cs="宋体" w:asciiTheme="majorEastAsia" w:hAnsiTheme="majorEastAsia" w:eastAsiaTheme="majorEastAsia"/>
          <w:bCs w:val="0"/>
          <w:sz w:val="24"/>
          <w:szCs w:val="24"/>
          <w:shd w:val="clear" w:color="auto" w:fill="FFFFFF"/>
        </w:rPr>
      </w:pPr>
    </w:p>
    <w:p>
      <w:pPr>
        <w:pStyle w:val="2"/>
        <w:rPr>
          <w:rFonts w:cs="宋体" w:asciiTheme="majorEastAsia" w:hAnsiTheme="majorEastAsia" w:eastAsiaTheme="majorEastAsia"/>
          <w:bCs w:val="0"/>
          <w:sz w:val="24"/>
          <w:szCs w:val="24"/>
          <w:shd w:val="clear" w:color="auto" w:fill="FFFFFF"/>
        </w:rPr>
      </w:pPr>
    </w:p>
    <w:p>
      <w:pPr>
        <w:pStyle w:val="2"/>
        <w:rPr>
          <w:rFonts w:cs="宋体" w:asciiTheme="majorEastAsia" w:hAnsiTheme="majorEastAsia" w:eastAsiaTheme="majorEastAsia"/>
          <w:bCs w:val="0"/>
          <w:sz w:val="24"/>
          <w:szCs w:val="24"/>
          <w:shd w:val="clear" w:color="auto" w:fill="FFFFFF"/>
        </w:rPr>
      </w:pPr>
    </w:p>
    <w:p>
      <w:pPr>
        <w:pStyle w:val="2"/>
        <w:rPr>
          <w:rFonts w:cs="宋体" w:asciiTheme="majorEastAsia" w:hAnsiTheme="majorEastAsia" w:eastAsiaTheme="majorEastAsia"/>
          <w:bCs w:val="0"/>
          <w:sz w:val="24"/>
          <w:szCs w:val="24"/>
          <w:shd w:val="clear" w:color="auto" w:fill="FFFFFF"/>
        </w:rPr>
      </w:pPr>
    </w:p>
    <w:p>
      <w:pPr>
        <w:keepNext w:val="0"/>
        <w:keepLines w:val="0"/>
        <w:pageBreakBefore w:val="0"/>
        <w:kinsoku/>
        <w:wordWrap/>
        <w:topLinePunct w:val="0"/>
        <w:bidi w:val="0"/>
        <w:adjustRightInd w:val="0"/>
        <w:snapToGrid w:val="0"/>
        <w:spacing w:line="360" w:lineRule="auto"/>
        <w:ind w:right="0" w:rightChars="0"/>
        <w:jc w:val="both"/>
        <w:outlineLvl w:val="9"/>
        <w:rPr>
          <w:rFonts w:cs="宋体" w:asciiTheme="majorEastAsia" w:hAnsiTheme="majorEastAsia" w:eastAsiaTheme="majorEastAsia"/>
          <w:b/>
          <w:bCs/>
          <w:sz w:val="24"/>
          <w:szCs w:val="24"/>
          <w:shd w:val="clear" w:color="auto" w:fill="FFFFFF"/>
        </w:rPr>
      </w:pPr>
    </w:p>
    <w:p>
      <w:pPr>
        <w:keepNext w:val="0"/>
        <w:keepLines w:val="0"/>
        <w:pageBreakBefore w:val="0"/>
        <w:kinsoku/>
        <w:wordWrap/>
        <w:topLinePunct w:val="0"/>
        <w:bidi w:val="0"/>
        <w:adjustRightInd w:val="0"/>
        <w:snapToGrid w:val="0"/>
        <w:spacing w:line="360" w:lineRule="auto"/>
        <w:ind w:right="0" w:rightChars="0" w:firstLine="3720" w:firstLineChars="1550"/>
        <w:outlineLvl w:val="9"/>
        <w:rPr>
          <w:rFonts w:hint="eastAsia" w:ascii="宋体" w:hAnsi="宋体" w:eastAsia="宋体" w:cs="宋体"/>
          <w:b/>
          <w:bCs/>
          <w:sz w:val="24"/>
          <w:szCs w:val="24"/>
        </w:rPr>
      </w:pPr>
      <w:bookmarkStart w:id="270" w:name="_Hlk88233458"/>
      <w:r>
        <w:rPr>
          <w:rFonts w:hint="eastAsia" w:ascii="宋体" w:hAnsi="宋体" w:eastAsia="宋体" w:cs="宋体"/>
          <w:b/>
          <w:bCs/>
          <w:sz w:val="24"/>
          <w:szCs w:val="24"/>
        </w:rPr>
        <w:t>低本底αβ测量仪</w:t>
      </w:r>
      <w:bookmarkEnd w:id="270"/>
    </w:p>
    <w:p>
      <w:pPr>
        <w:keepNext w:val="0"/>
        <w:keepLines w:val="0"/>
        <w:pageBreakBefore w:val="0"/>
        <w:numPr>
          <w:ilvl w:val="0"/>
          <w:numId w:val="0"/>
        </w:numPr>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bookmarkStart w:id="271" w:name="_Hlk88234292"/>
      <w:r>
        <w:rPr>
          <w:rFonts w:hint="eastAsia" w:cs="宋体" w:asciiTheme="minorEastAsia" w:hAnsiTheme="minorEastAsia"/>
          <w:bCs w:val="0"/>
          <w:sz w:val="24"/>
          <w:szCs w:val="24"/>
          <w:lang w:eastAsia="zh-CN"/>
        </w:rPr>
        <w:t>一、</w:t>
      </w:r>
      <w:r>
        <w:rPr>
          <w:rFonts w:hint="eastAsia" w:cs="宋体" w:asciiTheme="minorEastAsia" w:hAnsiTheme="minorEastAsia"/>
          <w:bCs w:val="0"/>
          <w:sz w:val="24"/>
          <w:szCs w:val="24"/>
        </w:rPr>
        <w:t>用途：</w:t>
      </w:r>
    </w:p>
    <w:p>
      <w:pPr>
        <w:keepNext w:val="0"/>
        <w:keepLines w:val="0"/>
        <w:pageBreakBefore w:val="0"/>
        <w:numPr>
          <w:ilvl w:val="0"/>
          <w:numId w:val="0"/>
        </w:numPr>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适用于：辐射防护、环境样品、医药卫生、农业科学、进出口商品检验、地质勘探核电站、第三方检测及科研机构等领域中的总α总β的测量。</w:t>
      </w: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二、主要技术规格及系统概述：</w:t>
      </w:r>
    </w:p>
    <w:bookmarkEnd w:id="271"/>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1、每个通道都可以单独测量也可同时出具测量结果;分别给出各个样品中的总α、总β活度浓度测量。该仪器含测量软件，测量程序汉化，操作过程有中文提示，自动完成测量过程并可以打印测量结果。</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bookmarkStart w:id="272" w:name="_Hlk88233704"/>
      <w:r>
        <w:rPr>
          <w:rFonts w:hint="eastAsia" w:cs="宋体" w:asciiTheme="minorEastAsia" w:hAnsiTheme="minorEastAsia"/>
          <w:bCs w:val="0"/>
          <w:sz w:val="24"/>
          <w:szCs w:val="24"/>
        </w:rPr>
        <w:t>2</w:t>
      </w:r>
      <w:bookmarkStart w:id="273" w:name="_Hlk88233744"/>
      <w:r>
        <w:rPr>
          <w:rFonts w:hint="eastAsia" w:cs="宋体" w:asciiTheme="minorEastAsia" w:hAnsiTheme="minorEastAsia"/>
          <w:bCs w:val="0"/>
          <w:sz w:val="24"/>
          <w:szCs w:val="24"/>
        </w:rPr>
        <w:t>、</w:t>
      </w:r>
      <w:bookmarkEnd w:id="272"/>
      <w:bookmarkEnd w:id="273"/>
      <w:r>
        <w:rPr>
          <w:rFonts w:hint="eastAsia" w:cs="宋体" w:asciiTheme="minorEastAsia" w:hAnsiTheme="minorEastAsia"/>
          <w:bCs w:val="0"/>
          <w:sz w:val="24"/>
          <w:szCs w:val="24"/>
        </w:rPr>
        <w:t>仪器本底、探测效率</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2.1</w:t>
      </w:r>
      <w:bookmarkStart w:id="274" w:name="_Hlk88233762"/>
      <w:r>
        <w:rPr>
          <w:rFonts w:hint="eastAsia" w:cs="宋体" w:asciiTheme="minorEastAsia" w:hAnsiTheme="minorEastAsia"/>
          <w:bCs w:val="0"/>
          <w:sz w:val="24"/>
          <w:szCs w:val="24"/>
        </w:rPr>
        <w:t>、</w:t>
      </w:r>
      <w:bookmarkEnd w:id="274"/>
      <w:r>
        <w:rPr>
          <w:rFonts w:hint="eastAsia" w:cs="宋体" w:asciiTheme="minorEastAsia" w:hAnsiTheme="minorEastAsia"/>
          <w:bCs w:val="0"/>
          <w:sz w:val="24"/>
          <w:szCs w:val="24"/>
        </w:rPr>
        <w:t>对于90Sr-90Y β源（活性面直径Φ20mm）2π效率比≥50%时，本底≤0.15cm-2min-1;</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2.2、对于239Pu α源（活性面直径Φ30mm）2π效率比≥80%时，本底≤0.005cm-2min-1;</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w:t>
      </w:r>
      <w:bookmarkStart w:id="275" w:name="_Hlk88233797"/>
      <w:r>
        <w:rPr>
          <w:rFonts w:hint="eastAsia" w:cs="宋体" w:asciiTheme="minorEastAsia" w:hAnsiTheme="minorEastAsia"/>
          <w:bCs w:val="0"/>
          <w:sz w:val="24"/>
          <w:szCs w:val="24"/>
        </w:rPr>
        <w:t>、</w:t>
      </w:r>
      <w:bookmarkEnd w:id="275"/>
      <w:r>
        <w:rPr>
          <w:rFonts w:hint="eastAsia" w:cs="宋体" w:asciiTheme="minorEastAsia" w:hAnsiTheme="minorEastAsia"/>
          <w:bCs w:val="0"/>
          <w:sz w:val="24"/>
          <w:szCs w:val="24"/>
        </w:rPr>
        <w:t>串道比</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3.1、α进人β道的记数比&lt;1%(对239Pu)</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3.2、β进人α道的计数比&lt;0.3% (对于90Sr-90Y );</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4、效率稳定性:仪器连续测量24小时,探测效率变化α&lt;2%、β&lt;3%;</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5、探测范围</w:t>
      </w:r>
      <w:bookmarkStart w:id="276" w:name="_Hlk88233860"/>
      <w:r>
        <w:rPr>
          <w:rFonts w:hint="eastAsia" w:cs="宋体" w:asciiTheme="minorEastAsia" w:hAnsiTheme="minorEastAsia"/>
          <w:bCs w:val="0"/>
          <w:sz w:val="24"/>
          <w:szCs w:val="24"/>
        </w:rPr>
        <w:t>:</w:t>
      </w:r>
      <w:bookmarkEnd w:id="276"/>
      <w:r>
        <w:rPr>
          <w:rFonts w:hint="eastAsia" w:cs="宋体" w:asciiTheme="minorEastAsia" w:hAnsiTheme="minorEastAsia"/>
          <w:bCs w:val="0"/>
          <w:sz w:val="24"/>
          <w:szCs w:val="24"/>
        </w:rPr>
        <w:t>α≥5×10-4Bq  β≥1×10-6 Bq</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w:t>
      </w:r>
      <w:bookmarkStart w:id="277" w:name="_Hlk88233885"/>
      <w:r>
        <w:rPr>
          <w:rFonts w:hint="eastAsia" w:cs="宋体" w:asciiTheme="minorEastAsia" w:hAnsiTheme="minorEastAsia"/>
          <w:bCs w:val="0"/>
          <w:sz w:val="24"/>
          <w:szCs w:val="24"/>
        </w:rPr>
        <w:t>、</w:t>
      </w:r>
      <w:bookmarkEnd w:id="277"/>
      <w:r>
        <w:rPr>
          <w:rFonts w:hint="eastAsia" w:cs="宋体" w:asciiTheme="minorEastAsia" w:hAnsiTheme="minorEastAsia"/>
          <w:bCs w:val="0"/>
          <w:sz w:val="24"/>
          <w:szCs w:val="24"/>
        </w:rPr>
        <w:t>使用环境:</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6.1、环境温度：5℃～40 ℃（±2℃）；</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6.2、相对湿度：≤85%（+30℃）；</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7、电 源：交流220V（±10%），50Hz。</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8、仪器铅室材质采用老铅，高密度，屏蔽性能要高，本底低。</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9、双闪采用进口EJ</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10、系统升级为自动控压装置，在使用电流不稳定时，能良好保证仪器主要部件不损坏。</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11、仪器软硬件升级后，要兼容性好，测量数据稳定</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default" w:cs="宋体" w:asciiTheme="minorEastAsia" w:hAnsiTheme="minorEastAsia"/>
          <w:bCs w:val="0"/>
          <w:sz w:val="24"/>
          <w:szCs w:val="24"/>
          <w:lang w:val="en-US" w:eastAsia="zh-CN"/>
        </w:rPr>
      </w:pPr>
      <w:r>
        <w:rPr>
          <w:rFonts w:hint="eastAsia" w:cs="宋体" w:asciiTheme="minorEastAsia" w:hAnsiTheme="minorEastAsia"/>
          <w:bCs w:val="0"/>
          <w:sz w:val="24"/>
          <w:szCs w:val="24"/>
          <w:lang w:val="en-US" w:eastAsia="zh-CN"/>
        </w:rPr>
        <w:t>12、如属医疗器械</w:t>
      </w:r>
      <w:r>
        <w:rPr>
          <w:rFonts w:hint="eastAsia" w:cs="宋体" w:asciiTheme="minorEastAsia" w:hAnsiTheme="minorEastAsia"/>
          <w:bCs w:val="0"/>
          <w:sz w:val="24"/>
          <w:szCs w:val="24"/>
          <w:lang w:eastAsia="zh-CN"/>
        </w:rPr>
        <w:t>需提供</w:t>
      </w:r>
      <w:r>
        <w:rPr>
          <w:rFonts w:hint="eastAsia" w:cs="宋体" w:asciiTheme="minorEastAsia" w:hAnsiTheme="minorEastAsia"/>
          <w:bCs w:val="0"/>
          <w:sz w:val="24"/>
          <w:szCs w:val="24"/>
        </w:rPr>
        <w:t>国家食品药品监督管理局核发的</w:t>
      </w:r>
      <w:r>
        <w:rPr>
          <w:rFonts w:hint="eastAsia" w:cs="宋体" w:asciiTheme="minorEastAsia" w:hAnsiTheme="minorEastAsia"/>
          <w:bCs w:val="0"/>
          <w:sz w:val="24"/>
          <w:szCs w:val="24"/>
          <w:lang w:eastAsia="zh-CN"/>
        </w:rPr>
        <w:t>中华人民共和国医疗器械</w:t>
      </w:r>
      <w:r>
        <w:rPr>
          <w:rFonts w:hint="eastAsia" w:cs="宋体" w:asciiTheme="minorEastAsia" w:hAnsiTheme="minorEastAsia"/>
          <w:bCs w:val="0"/>
          <w:sz w:val="24"/>
          <w:szCs w:val="24"/>
        </w:rPr>
        <w:t>注册证</w:t>
      </w:r>
      <w:r>
        <w:rPr>
          <w:rFonts w:hint="eastAsia" w:cs="宋体" w:asciiTheme="minorEastAsia" w:hAnsiTheme="minorEastAsia"/>
          <w:bCs w:val="0"/>
          <w:sz w:val="24"/>
          <w:szCs w:val="24"/>
          <w:lang w:eastAsia="zh-CN"/>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pStyle w:val="2"/>
        <w:rPr>
          <w:rFonts w:hint="eastAsia"/>
        </w:rPr>
      </w:pPr>
    </w:p>
    <w:p>
      <w:pPr>
        <w:keepNext w:val="0"/>
        <w:keepLines w:val="0"/>
        <w:pageBreakBefore w:val="0"/>
        <w:kinsoku/>
        <w:wordWrap/>
        <w:topLinePunct w:val="0"/>
        <w:bidi w:val="0"/>
        <w:adjustRightInd w:val="0"/>
        <w:snapToGrid w:val="0"/>
        <w:spacing w:line="360" w:lineRule="auto"/>
        <w:ind w:right="0" w:rightChars="0" w:firstLine="3720" w:firstLineChars="1550"/>
        <w:outlineLvl w:val="9"/>
        <w:rPr>
          <w:rFonts w:hint="eastAsia" w:ascii="宋体" w:hAnsi="宋体" w:eastAsia="宋体" w:cs="宋体"/>
          <w:b/>
          <w:bCs/>
          <w:sz w:val="24"/>
          <w:szCs w:val="24"/>
        </w:rPr>
      </w:pPr>
    </w:p>
    <w:p>
      <w:pPr>
        <w:keepNext w:val="0"/>
        <w:keepLines w:val="0"/>
        <w:pageBreakBefore w:val="0"/>
        <w:kinsoku/>
        <w:wordWrap/>
        <w:topLinePunct w:val="0"/>
        <w:bidi w:val="0"/>
        <w:adjustRightInd w:val="0"/>
        <w:snapToGrid w:val="0"/>
        <w:spacing w:line="360" w:lineRule="auto"/>
        <w:ind w:right="0" w:rightChars="0" w:firstLine="3720" w:firstLineChars="1550"/>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旋转蒸发</w:t>
      </w:r>
      <w:r>
        <w:rPr>
          <w:rFonts w:hint="eastAsia" w:ascii="宋体" w:hAnsi="宋体" w:eastAsia="宋体" w:cs="宋体"/>
          <w:b/>
          <w:bCs/>
          <w:sz w:val="24"/>
          <w:szCs w:val="24"/>
          <w:lang w:eastAsia="zh-CN"/>
        </w:rPr>
        <w:t>器</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一、主要技术规格及系统概述：</w:t>
      </w: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（一）、主机：</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lang w:val="en-US" w:eastAsia="zh-CN"/>
        </w:rPr>
        <w:t>1</w:t>
      </w:r>
      <w:r>
        <w:rPr>
          <w:rFonts w:hint="eastAsia" w:cs="宋体" w:asciiTheme="minorEastAsia" w:hAnsiTheme="minorEastAsia"/>
          <w:bCs w:val="0"/>
          <w:sz w:val="24"/>
          <w:szCs w:val="24"/>
        </w:rPr>
        <w:t>.旋蒸瓶(L):2L 29#锥形接口</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2.接受瓶 (L)：1L 球磨口</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3.电机功率 (W)：40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4.转速(R/min)： 0-120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5.升降方式：电机自动升降</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6.升降高度(mm)：0-150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7.水油浴锅功率 (kw)：1.5</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8.冷凝器：双层蛇型冷凝器</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9.浴锅控温范围 (℃)：RT-99 控温精度 ±1℃</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10.水浴锅尺寸(mm)：Φ230*130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11.蒸发率 (L/H, H2O)：≥1</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12.大小 (mm)：</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550*420*780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13.电压(V/Hz)：220V 50/60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14.注意：可自定义配置</w:t>
      </w:r>
    </w:p>
    <w:p>
      <w:pPr>
        <w:keepNext w:val="0"/>
        <w:keepLines w:val="0"/>
        <w:pageBreakBefore w:val="0"/>
        <w:kinsoku/>
        <w:wordWrap/>
        <w:topLinePunct w:val="0"/>
        <w:bidi w:val="0"/>
        <w:adjustRightInd w:val="0"/>
        <w:snapToGrid w:val="0"/>
        <w:spacing w:line="360" w:lineRule="auto"/>
        <w:ind w:right="0" w:rightChars="0" w:firstLine="240" w:firstLineChars="1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（二）、配套1：循环水真空泵技术参数及功能需求</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1.功率(W)：</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180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2.电压(V/Hz）：22050/60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3.流量(L/min)：</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60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4.扬程(m)：</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8</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5.机体材质：防腐</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6.最大真空度(Mpa)：</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0.098</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7.单头抽气量(L/min)：</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8.抽气孔(Pcs)：</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2</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9.容积(L)：</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15</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10.备注：配备2L、5L玻璃反应器或旋转蒸发器。当水温在4℃至10℃之间时，真空度较好</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(三)、 配套2：循环泵技术参数及功能需求</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1.储液槽容积（L）：</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5</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2.空载最低温度（℃）：-15</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3.使用温度范围（℃）：室温—-10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4.最佳环境温度（℃）：5～25</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5.环境相对湿度(％)：≤70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6.工作电源（V/HZ）：单相220╱60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7.温度显示方式：液 晶</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8.温度稳定性（℃）：±2</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9.传感器分度号：Pt100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10.仪表调节范围（℃）：±150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11.设定方式：在使用范围内任意调节设定   </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12.安全保护：延时、漏电、过电流、过热</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13.输出制冷量（W）：10℃ 620,0℃460,-10℃280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14.整机功率（W）：420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15.整机电流（A）：2.1</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16.冷煤：134A</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17.循环泵：功率（W）100,流量（L/min）20,杨程(M）4~6</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18.外循环接口螺纹连接1\2寸</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19.开口尺寸（mm）</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160×160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20.储液槽形状四方形</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21.储液槽内经与高度（mm）170×170×170</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22.熔断体5A</w:t>
      </w:r>
    </w:p>
    <w:p>
      <w:pPr>
        <w:keepNext w:val="0"/>
        <w:keepLines w:val="0"/>
        <w:pageBreakBefore w:val="0"/>
        <w:kinsoku/>
        <w:wordWrap/>
        <w:topLinePunct w:val="0"/>
        <w:bidi w:val="0"/>
        <w:adjustRightInd w:val="0"/>
        <w:snapToGrid w:val="0"/>
        <w:spacing w:line="360" w:lineRule="auto"/>
        <w:ind w:right="0" w:rightChars="0" w:firstLine="720" w:firstLineChars="300"/>
        <w:jc w:val="left"/>
        <w:outlineLvl w:val="9"/>
        <w:rPr>
          <w:rFonts w:hint="default" w:cs="宋体" w:asciiTheme="minorEastAsia" w:hAnsiTheme="minorEastAsia"/>
          <w:bCs w:val="0"/>
          <w:sz w:val="24"/>
          <w:szCs w:val="24"/>
          <w:lang w:val="en-US" w:eastAsia="zh-CN"/>
        </w:rPr>
      </w:pPr>
      <w:r>
        <w:rPr>
          <w:rFonts w:hint="eastAsia" w:cs="宋体" w:asciiTheme="minorEastAsia" w:hAnsiTheme="minorEastAsia"/>
          <w:bCs w:val="0"/>
          <w:sz w:val="24"/>
          <w:szCs w:val="24"/>
          <w:lang w:val="en-US" w:eastAsia="zh-CN"/>
        </w:rPr>
        <w:t>23.如属医疗器械</w:t>
      </w:r>
      <w:r>
        <w:rPr>
          <w:rFonts w:hint="eastAsia" w:cs="宋体" w:asciiTheme="minorEastAsia" w:hAnsiTheme="minorEastAsia"/>
          <w:bCs w:val="0"/>
          <w:sz w:val="24"/>
          <w:szCs w:val="24"/>
          <w:lang w:eastAsia="zh-CN"/>
        </w:rPr>
        <w:t>需提供</w:t>
      </w:r>
      <w:r>
        <w:rPr>
          <w:rFonts w:hint="eastAsia" w:cs="宋体" w:asciiTheme="minorEastAsia" w:hAnsiTheme="minorEastAsia"/>
          <w:bCs w:val="0"/>
          <w:sz w:val="24"/>
          <w:szCs w:val="24"/>
        </w:rPr>
        <w:t>国家食品药品监督管理局核发的</w:t>
      </w:r>
      <w:r>
        <w:rPr>
          <w:rFonts w:hint="eastAsia" w:cs="宋体" w:asciiTheme="minorEastAsia" w:hAnsiTheme="minorEastAsia"/>
          <w:bCs w:val="0"/>
          <w:sz w:val="24"/>
          <w:szCs w:val="24"/>
          <w:lang w:eastAsia="zh-CN"/>
        </w:rPr>
        <w:t>中华人民共和国医疗器械</w:t>
      </w:r>
      <w:r>
        <w:rPr>
          <w:rFonts w:hint="eastAsia" w:cs="宋体" w:asciiTheme="minorEastAsia" w:hAnsiTheme="minorEastAsia"/>
          <w:bCs w:val="0"/>
          <w:sz w:val="24"/>
          <w:szCs w:val="24"/>
        </w:rPr>
        <w:t>注册证</w:t>
      </w:r>
      <w:r>
        <w:rPr>
          <w:rFonts w:hint="eastAsia" w:cs="宋体" w:asciiTheme="minorEastAsia" w:hAnsiTheme="minorEastAsia"/>
          <w:bCs w:val="0"/>
          <w:sz w:val="24"/>
          <w:szCs w:val="24"/>
          <w:lang w:eastAsia="zh-CN"/>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jc w:val="center"/>
        <w:outlineLvl w:val="9"/>
        <w:rPr>
          <w:rFonts w:hint="eastAsia" w:cs="宋体" w:asciiTheme="minorEastAsia" w:hAnsiTheme="minorEastAsia"/>
          <w:b/>
          <w:bCs/>
          <w:sz w:val="24"/>
          <w:szCs w:val="24"/>
        </w:rPr>
      </w:pPr>
      <w:bookmarkStart w:id="278" w:name="_Hlk88235266"/>
      <w:r>
        <w:rPr>
          <w:rFonts w:hint="eastAsia" w:cs="宋体" w:asciiTheme="minorEastAsia" w:hAnsiTheme="minorEastAsia"/>
          <w:b/>
          <w:bCs/>
          <w:sz w:val="24"/>
          <w:szCs w:val="24"/>
        </w:rPr>
        <w:t>全自动真菌毒素浓缩器</w:t>
      </w:r>
      <w:bookmarkEnd w:id="278"/>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一、主要技术规格及系统概述：</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1.模块化设计，离心腔/真空室、真空泵、冷阱均为独立体，可自由组装。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2. </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7英寸触摸屏操作模式，PLC控制，操作简单</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 内置</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11组不同程序，带预热功能，可根据不同样品，任意调用</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4.一键启动功能，高自动化程度。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5.内置式真空延迟功能，在转速达到预设值后再抽真空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6.交流变频免维护感应电机，电磁驱动离心系统，低噪声，免维护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7.温控：室温~100℃，确保安全有效地浓缩多种样品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8.快插式转子设计，能快速跟换不同转子，转子一体成型无焊点</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9.防腐蚀腔体为铝合金一体成型，R角圆弧设计，无死角，便于清洗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 要求原装进口减压阀自动真空释放，操作简便安全，具备自动开关功能</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11.实验安全：进气口配有HEPA高效空气过滤器，可充氮气，断电后自动泄真空，保护样品，</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12.透明的盖板，便于观察蒸发情况</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13.转子容量</w:t>
      </w:r>
      <w:r>
        <w:rPr>
          <w:rFonts w:hint="eastAsia" w:cs="宋体" w:asciiTheme="minorEastAsia" w:hAnsiTheme="minorEastAsia"/>
          <w:bCs w:val="0"/>
          <w:sz w:val="24"/>
          <w:szCs w:val="24"/>
        </w:rPr>
        <w:tab/>
      </w:r>
      <w:r>
        <w:rPr>
          <w:rFonts w:hint="eastAsia" w:cs="宋体" w:asciiTheme="minorEastAsia" w:hAnsiTheme="minorEastAsia"/>
          <w:bCs w:val="0"/>
          <w:sz w:val="24"/>
          <w:szCs w:val="24"/>
        </w:rPr>
        <w:t>标配</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15ml*24</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14.转速(r/min）:0~2000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15.温度范围: 室温 ～100℃，0.1℃递增</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16.浓缩时间： 0-99h59min或连续工作</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17.主机外形尺寸：</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520*350*240mm</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18.真空泵: 60L／min真空泵</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w:t>
      </w:r>
      <w:r>
        <w:rPr>
          <w:rFonts w:hint="eastAsia" w:cs="宋体" w:asciiTheme="minorEastAsia" w:hAnsiTheme="minorEastAsia"/>
          <w:bCs w:val="0"/>
          <w:sz w:val="24"/>
          <w:szCs w:val="24"/>
          <w:lang w:val="en-US" w:eastAsia="zh-CN"/>
        </w:rPr>
        <w:t>9</w:t>
      </w:r>
      <w:r>
        <w:rPr>
          <w:rFonts w:hint="eastAsia" w:cs="宋体" w:asciiTheme="minorEastAsia" w:hAnsiTheme="minorEastAsia"/>
          <w:bCs w:val="0"/>
          <w:sz w:val="24"/>
          <w:szCs w:val="24"/>
        </w:rPr>
        <w:t>.冷阱:</w:t>
      </w:r>
      <w:r>
        <w:rPr>
          <w:rFonts w:hint="eastAsia" w:cs="宋体" w:asciiTheme="minorEastAsia" w:hAnsiTheme="minorEastAsia"/>
          <w:bCs w:val="0"/>
          <w:sz w:val="24"/>
          <w:szCs w:val="24"/>
        </w:rPr>
        <w:tab/>
      </w:r>
      <w:r>
        <w:rPr>
          <w:rFonts w:hint="eastAsia" w:cs="宋体" w:asciiTheme="minorEastAsia" w:hAnsiTheme="minorEastAsia"/>
          <w:bCs w:val="0"/>
          <w:sz w:val="24"/>
          <w:szCs w:val="24"/>
        </w:rPr>
        <w:t>Bionoon-L，容量为</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4L，冷阱温度-50℃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lang w:val="en-US" w:eastAsia="zh-CN"/>
        </w:rPr>
        <w:t>20</w:t>
      </w:r>
      <w:r>
        <w:rPr>
          <w:rFonts w:hint="eastAsia" w:cs="宋体" w:asciiTheme="minorEastAsia" w:hAnsiTheme="minorEastAsia"/>
          <w:bCs w:val="0"/>
          <w:sz w:val="24"/>
          <w:szCs w:val="24"/>
        </w:rPr>
        <w:t>.冷阱，常温～－50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w:t>
      </w:r>
      <w:r>
        <w:rPr>
          <w:rFonts w:hint="eastAsia" w:cs="宋体" w:asciiTheme="minorEastAsia" w:hAnsiTheme="minorEastAsia"/>
          <w:bCs w:val="0"/>
          <w:sz w:val="24"/>
          <w:szCs w:val="24"/>
          <w:lang w:val="en-US" w:eastAsia="zh-CN"/>
        </w:rPr>
        <w:t>1</w:t>
      </w:r>
      <w:r>
        <w:rPr>
          <w:rFonts w:hint="eastAsia" w:cs="宋体" w:asciiTheme="minorEastAsia" w:hAnsiTheme="minorEastAsia"/>
          <w:bCs w:val="0"/>
          <w:sz w:val="24"/>
          <w:szCs w:val="24"/>
        </w:rPr>
        <w:t>.防化学腐蚀玻璃盖，便于跟浓缩仪相连；</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w:t>
      </w:r>
      <w:r>
        <w:rPr>
          <w:rFonts w:hint="eastAsia" w:cs="宋体" w:asciiTheme="minorEastAsia" w:hAnsiTheme="minorEastAsia"/>
          <w:bCs w:val="0"/>
          <w:sz w:val="24"/>
          <w:szCs w:val="24"/>
          <w:lang w:val="en-US" w:eastAsia="zh-CN"/>
        </w:rPr>
        <w:t>2</w:t>
      </w:r>
      <w:r>
        <w:rPr>
          <w:rFonts w:hint="eastAsia" w:cs="宋体" w:asciiTheme="minorEastAsia" w:hAnsiTheme="minorEastAsia"/>
          <w:bCs w:val="0"/>
          <w:sz w:val="24"/>
          <w:szCs w:val="24"/>
        </w:rPr>
        <w:t>. 要求原装进口压缩机，制冷速度快，标配电热化霜</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r>
        <w:rPr>
          <w:rFonts w:hint="eastAsia" w:cs="宋体" w:asciiTheme="minorEastAsia" w:hAnsiTheme="minorEastAsia"/>
          <w:bCs w:val="0"/>
          <w:sz w:val="24"/>
          <w:szCs w:val="24"/>
          <w:lang w:val="en-US" w:eastAsia="zh-CN"/>
        </w:rPr>
        <w:t>23.如属医疗器械</w:t>
      </w:r>
      <w:r>
        <w:rPr>
          <w:rFonts w:hint="eastAsia" w:cs="宋体" w:asciiTheme="minorEastAsia" w:hAnsiTheme="minorEastAsia"/>
          <w:bCs w:val="0"/>
          <w:sz w:val="24"/>
          <w:szCs w:val="24"/>
          <w:lang w:eastAsia="zh-CN"/>
        </w:rPr>
        <w:t>需提供</w:t>
      </w:r>
      <w:r>
        <w:rPr>
          <w:rFonts w:hint="eastAsia" w:cs="宋体" w:asciiTheme="minorEastAsia" w:hAnsiTheme="minorEastAsia"/>
          <w:bCs w:val="0"/>
          <w:sz w:val="24"/>
          <w:szCs w:val="24"/>
        </w:rPr>
        <w:t>国家食品药品监督管理局核发的</w:t>
      </w:r>
      <w:r>
        <w:rPr>
          <w:rFonts w:hint="eastAsia" w:cs="宋体" w:asciiTheme="minorEastAsia" w:hAnsiTheme="minorEastAsia"/>
          <w:bCs w:val="0"/>
          <w:sz w:val="24"/>
          <w:szCs w:val="24"/>
          <w:lang w:eastAsia="zh-CN"/>
        </w:rPr>
        <w:t>中华人民共和国医疗器械</w:t>
      </w:r>
      <w:r>
        <w:rPr>
          <w:rFonts w:hint="eastAsia" w:cs="宋体" w:asciiTheme="minorEastAsia" w:hAnsiTheme="minorEastAsia"/>
          <w:bCs w:val="0"/>
          <w:sz w:val="24"/>
          <w:szCs w:val="24"/>
        </w:rPr>
        <w:t>注册证</w:t>
      </w:r>
      <w:r>
        <w:rPr>
          <w:rFonts w:hint="eastAsia" w:cs="宋体" w:asciiTheme="minorEastAsia" w:hAnsiTheme="minorEastAsia"/>
          <w:bCs w:val="0"/>
          <w:sz w:val="24"/>
          <w:szCs w:val="24"/>
          <w:lang w:eastAsia="zh-CN"/>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jc w:val="center"/>
        <w:outlineLvl w:val="9"/>
        <w:rPr>
          <w:rFonts w:hint="eastAsia" w:eastAsia="宋体" w:cs="宋体" w:asciiTheme="minorEastAsia" w:hAnsiTheme="minorEastAsia"/>
          <w:b/>
          <w:bCs/>
          <w:sz w:val="24"/>
          <w:szCs w:val="24"/>
          <w:lang w:val="en-US" w:eastAsia="zh-CN"/>
        </w:rPr>
      </w:pPr>
      <w:bookmarkStart w:id="279" w:name="_Hlk88234337"/>
      <w:r>
        <w:rPr>
          <w:rFonts w:hint="eastAsia" w:cs="宋体" w:asciiTheme="minorEastAsia" w:hAnsiTheme="minorEastAsia"/>
          <w:b/>
          <w:bCs/>
          <w:sz w:val="24"/>
          <w:szCs w:val="24"/>
        </w:rPr>
        <w:t>微波消解仪</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带赶酸器</w:t>
      </w:r>
      <w:r>
        <w:rPr>
          <w:rFonts w:hint="eastAsia" w:cs="宋体" w:asciiTheme="minorEastAsia" w:hAnsiTheme="minorEastAsia"/>
          <w:b/>
          <w:bCs/>
          <w:sz w:val="24"/>
          <w:szCs w:val="24"/>
          <w:lang w:eastAsia="zh-CN"/>
        </w:rPr>
        <w:t>）</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bookmarkEnd w:id="279"/>
    <w:p>
      <w:pPr>
        <w:keepNext w:val="0"/>
        <w:keepLines w:val="0"/>
        <w:pageBreakBefore w:val="0"/>
        <w:numPr>
          <w:ilvl w:val="0"/>
          <w:numId w:val="5"/>
        </w:numPr>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bookmarkStart w:id="280" w:name="_Hlk88235221"/>
      <w:r>
        <w:rPr>
          <w:rFonts w:hint="eastAsia" w:cs="宋体" w:asciiTheme="minorEastAsia" w:hAnsiTheme="minorEastAsia"/>
          <w:bCs w:val="0"/>
          <w:sz w:val="24"/>
          <w:szCs w:val="24"/>
        </w:rPr>
        <w:t>用途：</w:t>
      </w:r>
    </w:p>
    <w:p>
      <w:pPr>
        <w:keepNext w:val="0"/>
        <w:keepLines w:val="0"/>
        <w:pageBreakBefore w:val="0"/>
        <w:numPr>
          <w:ilvl w:val="0"/>
          <w:numId w:val="0"/>
        </w:numPr>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适用于：原子光谱如原子吸收仪、ICP-发射光谱仪、原子荧光仪、ICP-质谱仪、以及阳极溶出仪等对各种试样中的微量、痕量及超痕量元素的准确测定。、</w:t>
      </w: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二、主要技术规格及系统概述：</w:t>
      </w:r>
    </w:p>
    <w:bookmarkEnd w:id="280"/>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w:t>
      </w:r>
      <w:bookmarkStart w:id="281" w:name="_Hlk88234618"/>
      <w:r>
        <w:rPr>
          <w:rFonts w:hint="eastAsia" w:cs="宋体" w:asciiTheme="minorEastAsia" w:hAnsiTheme="minorEastAsia"/>
          <w:bCs w:val="0"/>
          <w:sz w:val="24"/>
          <w:szCs w:val="24"/>
        </w:rPr>
        <w:t>、</w:t>
      </w:r>
      <w:bookmarkEnd w:id="281"/>
      <w:r>
        <w:rPr>
          <w:rFonts w:hint="eastAsia" w:cs="宋体" w:asciiTheme="minorEastAsia" w:hAnsiTheme="minorEastAsia"/>
          <w:bCs w:val="0"/>
          <w:sz w:val="24"/>
          <w:szCs w:val="24"/>
        </w:rPr>
        <w:t>一键启动自锁式安全平移门设计</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2、采用大炉腔设计，可同时放置1~10个100ml超高压消解罐；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3、采用进口磁控管（质保5年）和专业的均匀炉腔（微波谐振腔）；工业级1200W磁控管要保证仪器长时间稳定工作；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4 、温度、压力双重测控，精确控制，主动防止超温超压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5、高精度抗干扰导气压力传感器，采用理想气体控制方式，直接测量消解罐内实际反应压力，测压范围0~10MPa，测压精度达0.01MPa；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6、插入式高灵敏度铂金电阻温度传感器，直接测量消解罐内实际反应温度，测温范围0~300℃，测温精度±0.1℃；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7、可以测定与控制任意反应罐内压力和温度，精确显示化学反应过程；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8、多种材质和不同容量可以选择，可以配置全氟消解罐或者FT双层消解罐：FT消解罐内罐采用PTFE（聚四氟乙烯），护套由全进口材料PEEK一次性压铸制成，耐高温、高压、耐强酸腐蚀；拆装方便，冷却快；放气孔和密封碗双重泻压保护消解罐；一次性可同时摆放≧10个超高压消解罐； 炉腔通风采用耐酸蚀，大风量离心式风机，排风量6m3/min；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 、一键启动自锁式地动安全平移门，可抵御意外爆炸和微波泄露。</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10、触摸屏面板指示灯即时提示炉门安全功能，及时了解炉门关闭的可靠程度，确保仪器的安全运行，高清4K显示器运行状态。</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11、面板指示灯即时提示按键是否正常功能。按键操作采用最可靠的非接触传感操作方式，抗实验室酸气腐蚀，灵敏度高，反应快。避免了传统机械按键因频繁按触导致接触不良或按键的薄膜电路可靠性差等导致的故障。</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lang w:val="en-US" w:eastAsia="zh-CN"/>
        </w:rPr>
        <w:t>1</w:t>
      </w:r>
      <w:r>
        <w:rPr>
          <w:rFonts w:hint="eastAsia" w:cs="宋体" w:asciiTheme="minorEastAsia" w:hAnsiTheme="minorEastAsia"/>
          <w:bCs w:val="0"/>
          <w:sz w:val="24"/>
          <w:szCs w:val="24"/>
        </w:rPr>
        <w:t>2、面板指示灯即时提示仪器运行功能，微波信号运行状态，能及时了解仪器是否运行正常。</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13、面板指示灯监控转盘运转状态功能，如遇转盘异常即刻报警并终止仪器运行，停止微波发射和转盘转动，避免转盘不转仍继续输入微波导致罐体受热不均的现象。</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14 、电源输入要求：AC220V/50Hz/10A</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15 、微波频率：</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24</w:t>
      </w:r>
      <w:r>
        <w:rPr>
          <w:rFonts w:hint="eastAsia" w:cs="宋体" w:asciiTheme="minorEastAsia" w:hAnsiTheme="minorEastAsia"/>
          <w:bCs w:val="0"/>
          <w:sz w:val="24"/>
          <w:szCs w:val="24"/>
          <w:lang w:val="en-US" w:eastAsia="zh-CN"/>
        </w:rPr>
        <w:t>00</w:t>
      </w:r>
      <w:r>
        <w:rPr>
          <w:rFonts w:hint="eastAsia" w:cs="宋体" w:asciiTheme="minorEastAsia" w:hAnsiTheme="minorEastAsia"/>
          <w:bCs w:val="0"/>
          <w:sz w:val="24"/>
          <w:szCs w:val="24"/>
        </w:rPr>
        <w:t>（MHz）</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16 、微波输出功率：</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1200（W）</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17 、微波炉腔：</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45（L）</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18 、防护喷涂：PFA</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19 、控制加热方式：PID</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20</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升温斜率：1～50℃/min</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21 、冷却时间：≤25min</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 、微波泄漏：≤0.3mW/cm2</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23 、温控范围：0～300℃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24 、温控精度：0.1℃</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25 、控压范围：0～6Mpa</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26 、控压精度：0.01Mpa</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27 、外罐材料：PEEK</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28 、内罐材料：TFM1700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29 、最高耐温：300℃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30 、工作温度：250℃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r>
        <w:rPr>
          <w:rFonts w:hint="eastAsia" w:cs="宋体" w:asciiTheme="minorEastAsia" w:hAnsiTheme="minorEastAsia"/>
          <w:bCs w:val="0"/>
          <w:sz w:val="24"/>
          <w:szCs w:val="24"/>
          <w:lang w:val="en-US" w:eastAsia="zh-CN"/>
        </w:rPr>
        <w:t>31、如属医疗器械</w:t>
      </w:r>
      <w:r>
        <w:rPr>
          <w:rFonts w:hint="eastAsia" w:cs="宋体" w:asciiTheme="minorEastAsia" w:hAnsiTheme="minorEastAsia"/>
          <w:bCs w:val="0"/>
          <w:sz w:val="24"/>
          <w:szCs w:val="24"/>
          <w:lang w:eastAsia="zh-CN"/>
        </w:rPr>
        <w:t>需提供</w:t>
      </w:r>
      <w:r>
        <w:rPr>
          <w:rFonts w:hint="eastAsia" w:cs="宋体" w:asciiTheme="minorEastAsia" w:hAnsiTheme="minorEastAsia"/>
          <w:bCs w:val="0"/>
          <w:sz w:val="24"/>
          <w:szCs w:val="24"/>
        </w:rPr>
        <w:t>国家食品药品监督管理局核发的</w:t>
      </w:r>
      <w:r>
        <w:rPr>
          <w:rFonts w:hint="eastAsia" w:cs="宋体" w:asciiTheme="minorEastAsia" w:hAnsiTheme="minorEastAsia"/>
          <w:bCs w:val="0"/>
          <w:sz w:val="24"/>
          <w:szCs w:val="24"/>
          <w:lang w:eastAsia="zh-CN"/>
        </w:rPr>
        <w:t>中华人民共和国医疗器械</w:t>
      </w:r>
      <w:r>
        <w:rPr>
          <w:rFonts w:hint="eastAsia" w:cs="宋体" w:asciiTheme="minorEastAsia" w:hAnsiTheme="minorEastAsia"/>
          <w:bCs w:val="0"/>
          <w:sz w:val="24"/>
          <w:szCs w:val="24"/>
        </w:rPr>
        <w:t>注册证</w:t>
      </w:r>
      <w:r>
        <w:rPr>
          <w:rFonts w:hint="eastAsia" w:cs="宋体" w:asciiTheme="minorEastAsia" w:hAnsiTheme="minorEastAsia"/>
          <w:bCs w:val="0"/>
          <w:sz w:val="24"/>
          <w:szCs w:val="24"/>
          <w:lang w:eastAsia="zh-CN"/>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pStyle w:val="2"/>
        <w:rPr>
          <w:rFonts w:hint="eastAsia" w:cs="宋体" w:asciiTheme="minorEastAsia" w:hAnsiTheme="minorEastAsia"/>
          <w:bCs w:val="0"/>
          <w:sz w:val="24"/>
          <w:szCs w:val="24"/>
        </w:rPr>
      </w:pPr>
    </w:p>
    <w:p>
      <w:pPr>
        <w:keepNext w:val="0"/>
        <w:keepLines w:val="0"/>
        <w:pageBreakBefore w:val="0"/>
        <w:kinsoku/>
        <w:wordWrap/>
        <w:topLinePunct w:val="0"/>
        <w:bidi w:val="0"/>
        <w:adjustRightInd w:val="0"/>
        <w:snapToGrid w:val="0"/>
        <w:spacing w:line="360" w:lineRule="auto"/>
        <w:ind w:right="0" w:rightChars="0"/>
        <w:jc w:val="center"/>
        <w:outlineLvl w:val="9"/>
        <w:rPr>
          <w:rFonts w:hint="eastAsia" w:cs="宋体" w:asciiTheme="minorEastAsia" w:hAnsiTheme="minorEastAsia"/>
          <w:b/>
          <w:bCs/>
          <w:sz w:val="24"/>
          <w:szCs w:val="24"/>
        </w:rPr>
      </w:pPr>
      <w:bookmarkStart w:id="282" w:name="_Hlk88235537"/>
      <w:r>
        <w:rPr>
          <w:rFonts w:hint="eastAsia" w:cs="宋体" w:asciiTheme="minorEastAsia" w:hAnsiTheme="minorEastAsia"/>
          <w:b/>
          <w:bCs/>
          <w:sz w:val="24"/>
          <w:szCs w:val="24"/>
        </w:rPr>
        <w:t>高速组织匀浆仪</w:t>
      </w:r>
      <w:bookmarkEnd w:id="282"/>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p>
    <w:p>
      <w:pPr>
        <w:keepNext w:val="0"/>
        <w:keepLines w:val="0"/>
        <w:pageBreakBefore w:val="0"/>
        <w:numPr>
          <w:ilvl w:val="0"/>
          <w:numId w:val="6"/>
        </w:numPr>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bookmarkStart w:id="283" w:name="_Hlk88338233"/>
      <w:r>
        <w:rPr>
          <w:rFonts w:hint="eastAsia" w:cs="宋体" w:asciiTheme="minorEastAsia" w:hAnsiTheme="minorEastAsia"/>
          <w:bCs w:val="0"/>
          <w:sz w:val="24"/>
          <w:szCs w:val="24"/>
        </w:rPr>
        <w:t>用途：</w:t>
      </w:r>
    </w:p>
    <w:p>
      <w:pPr>
        <w:keepNext w:val="0"/>
        <w:keepLines w:val="0"/>
        <w:pageBreakBefore w:val="0"/>
        <w:numPr>
          <w:ilvl w:val="0"/>
          <w:numId w:val="0"/>
        </w:numPr>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lang w:eastAsia="zh-CN"/>
        </w:rPr>
        <w:t>主要</w:t>
      </w:r>
      <w:r>
        <w:rPr>
          <w:rFonts w:hint="eastAsia" w:cs="宋体" w:asciiTheme="minorEastAsia" w:hAnsiTheme="minorEastAsia"/>
          <w:bCs w:val="0"/>
          <w:sz w:val="24"/>
          <w:szCs w:val="24"/>
        </w:rPr>
        <w:t>用于粉碎、混合、均化以及细胞破碎，生物样品的样品前处理，大批量自动化快速抽提基因组</w:t>
      </w:r>
    </w:p>
    <w:p>
      <w:pPr>
        <w:keepNext w:val="0"/>
        <w:keepLines w:val="0"/>
        <w:pageBreakBefore w:val="0"/>
        <w:kinsoku/>
        <w:wordWrap/>
        <w:topLinePunct w:val="0"/>
        <w:bidi w:val="0"/>
        <w:adjustRightInd w:val="0"/>
        <w:snapToGrid w:val="0"/>
        <w:spacing w:line="360" w:lineRule="auto"/>
        <w:ind w:right="0" w:rightChars="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二、主要技术规格及系统概述：</w:t>
      </w:r>
    </w:p>
    <w:bookmarkEnd w:id="283"/>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1、粉碎原理及方式：垂直方向及左右径向振动产生的撞击力，摩擦力；湿磨，干磨，超低温研磨都可</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2、样品特征：硬的, 中硬性, 软性的, 脆性的, 弹性的, 含纤维的</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3、控制显示</w:t>
      </w:r>
      <w:r>
        <w:rPr>
          <w:rFonts w:hint="eastAsia" w:cs="宋体" w:asciiTheme="minorEastAsia" w:hAnsiTheme="minorEastAsia"/>
          <w:bCs w:val="0"/>
          <w:sz w:val="24"/>
          <w:szCs w:val="24"/>
        </w:rPr>
        <w:tab/>
      </w:r>
      <w:r>
        <w:rPr>
          <w:rFonts w:hint="eastAsia" w:cs="宋体" w:asciiTheme="minorEastAsia" w:hAnsiTheme="minorEastAsia"/>
          <w:bCs w:val="0"/>
          <w:sz w:val="24"/>
          <w:szCs w:val="24"/>
        </w:rPr>
        <w:t>7英寸触摸屏显示,可以方便直观的操作</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4、振动频率设置：0-70HZ ，0-2100R/M  可根据要求定做</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5、制冷功能：进口压缩机制冷，-50℃~室温（温度可调）</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6、</w:t>
      </w:r>
      <w:bookmarkStart w:id="284" w:name="_Hlk88235651"/>
      <w:r>
        <w:rPr>
          <w:rFonts w:hint="eastAsia" w:cs="宋体" w:asciiTheme="minorEastAsia" w:hAnsiTheme="minorEastAsia"/>
          <w:bCs w:val="0"/>
          <w:sz w:val="24"/>
          <w:szCs w:val="24"/>
        </w:rPr>
        <w:t>液氮预冻功能</w:t>
      </w:r>
      <w:bookmarkEnd w:id="284"/>
      <w:r>
        <w:rPr>
          <w:rFonts w:hint="eastAsia" w:cs="宋体" w:asciiTheme="minorEastAsia" w:hAnsiTheme="minorEastAsia"/>
          <w:bCs w:val="0"/>
          <w:sz w:val="24"/>
          <w:szCs w:val="24"/>
        </w:rPr>
        <w:t>：液氮预冻功能</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7、控温精度：+ 0.5℃</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8、处理样本量：96*2ML/48*5ml/24*(10-15)ML/ 4*25ML /4*50ML</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9、研磨罐材质：硬质刚, 不锈钢, 碳化钨, 玛瑙, 氧化锆, 聚四氟乙烯（PTFE）铝合金，可适用于任何材质的样品</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w:t>
      </w:r>
      <w:bookmarkStart w:id="285" w:name="_Hlk88235688"/>
      <w:r>
        <w:rPr>
          <w:rFonts w:hint="eastAsia" w:cs="宋体" w:asciiTheme="minorEastAsia" w:hAnsiTheme="minorEastAsia"/>
          <w:bCs w:val="0"/>
          <w:sz w:val="24"/>
          <w:szCs w:val="24"/>
        </w:rPr>
        <w:t>0、</w:t>
      </w:r>
      <w:bookmarkEnd w:id="285"/>
      <w:r>
        <w:rPr>
          <w:rFonts w:hint="eastAsia" w:cs="宋体" w:asciiTheme="minorEastAsia" w:hAnsiTheme="minorEastAsia"/>
          <w:bCs w:val="0"/>
          <w:sz w:val="24"/>
          <w:szCs w:val="24"/>
        </w:rPr>
        <w:t>研磨球材质/直径：硬质刚, 不锈钢, 碳化钨, 玛瑙, 氧化锆, 铬钢,氧化锆,石英砂/0.1-30mm根据实验需求</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11、研磨平台数：可接纳研磨罐数&gt;2</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12、进出料尺寸：最大进料尺寸：无要求，根据研磨罐调节；最终出料粒度：小于5µm</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13、夹具行程：</w:t>
      </w:r>
      <w:r>
        <w:rPr>
          <w:rFonts w:hint="eastAsia" w:cs="宋体" w:asciiTheme="minorEastAsia" w:hAnsiTheme="minorEastAsia"/>
          <w:bCs w:val="0"/>
          <w:sz w:val="24"/>
          <w:szCs w:val="24"/>
          <w:lang w:eastAsia="zh-CN"/>
        </w:rPr>
        <w:t>≥</w:t>
      </w:r>
      <w:r>
        <w:rPr>
          <w:rFonts w:hint="eastAsia" w:cs="宋体" w:asciiTheme="minorEastAsia" w:hAnsiTheme="minorEastAsia"/>
          <w:bCs w:val="0"/>
          <w:sz w:val="24"/>
          <w:szCs w:val="24"/>
        </w:rPr>
        <w:t>40mm（垂直）</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14、粉碎时间设定：0秒-9999分钟，用户可自行设定</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15、典型粉碎时间：15S-2Min</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16、加速/减速：在2秒内达到最大速度/在2秒内达到最低速度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17、噪音等级：＜50db</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18、开盖运行保护：电动开/关盖</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19、安全装置：电磁锁定，工作时有安全锁，全程保护  ；带自动中心定位的紧固装置</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20、防护类型：IP 30</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21、电源功率：220V/50HZ；</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22、配置要求：</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 xml:space="preserve">22.1、48*2ml液氮冷冻模块一套 </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22.2、12*10ml模块一套</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22.3、5mm进口不锈钢研磨球1000颗</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eastAsia" w:cs="宋体" w:asciiTheme="minorEastAsia" w:hAnsiTheme="minorEastAsia"/>
          <w:bCs w:val="0"/>
          <w:sz w:val="24"/>
          <w:szCs w:val="24"/>
        </w:rPr>
      </w:pPr>
      <w:r>
        <w:rPr>
          <w:rFonts w:hint="eastAsia" w:cs="宋体" w:asciiTheme="minorEastAsia" w:hAnsiTheme="minorEastAsia"/>
          <w:bCs w:val="0"/>
          <w:sz w:val="24"/>
          <w:szCs w:val="24"/>
        </w:rPr>
        <w:t>22.4、5mm进口陶瓷球1000颗</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r>
        <w:rPr>
          <w:rFonts w:hint="eastAsia" w:cs="宋体" w:asciiTheme="minorEastAsia" w:hAnsiTheme="minorEastAsia"/>
          <w:bCs w:val="0"/>
          <w:sz w:val="24"/>
          <w:szCs w:val="24"/>
          <w:lang w:val="en-US" w:eastAsia="zh-CN"/>
        </w:rPr>
        <w:t>22.5如属医疗器械</w:t>
      </w:r>
      <w:r>
        <w:rPr>
          <w:rFonts w:hint="eastAsia" w:cs="宋体" w:asciiTheme="minorEastAsia" w:hAnsiTheme="minorEastAsia"/>
          <w:bCs w:val="0"/>
          <w:sz w:val="24"/>
          <w:szCs w:val="24"/>
          <w:lang w:eastAsia="zh-CN"/>
        </w:rPr>
        <w:t>需提供</w:t>
      </w:r>
      <w:r>
        <w:rPr>
          <w:rFonts w:hint="eastAsia" w:cs="宋体" w:asciiTheme="minorEastAsia" w:hAnsiTheme="minorEastAsia"/>
          <w:bCs w:val="0"/>
          <w:sz w:val="24"/>
          <w:szCs w:val="24"/>
        </w:rPr>
        <w:t>国家食品药品监督管理局核发的</w:t>
      </w:r>
      <w:r>
        <w:rPr>
          <w:rFonts w:hint="eastAsia" w:cs="宋体" w:asciiTheme="minorEastAsia" w:hAnsiTheme="minorEastAsia"/>
          <w:bCs w:val="0"/>
          <w:sz w:val="24"/>
          <w:szCs w:val="24"/>
          <w:lang w:eastAsia="zh-CN"/>
        </w:rPr>
        <w:t>中华人民共和国医疗器械</w:t>
      </w:r>
      <w:r>
        <w:rPr>
          <w:rFonts w:hint="eastAsia" w:cs="宋体" w:asciiTheme="minorEastAsia" w:hAnsiTheme="minorEastAsia"/>
          <w:bCs w:val="0"/>
          <w:sz w:val="24"/>
          <w:szCs w:val="24"/>
        </w:rPr>
        <w:t>注册证</w:t>
      </w:r>
      <w:r>
        <w:rPr>
          <w:rFonts w:hint="eastAsia" w:cs="宋体" w:asciiTheme="minorEastAsia" w:hAnsiTheme="minorEastAsia"/>
          <w:bCs w:val="0"/>
          <w:sz w:val="24"/>
          <w:szCs w:val="24"/>
          <w:lang w:eastAsia="zh-CN"/>
        </w:rPr>
        <w:t>，且产品名称、型号、规格与注册证完全相符。</w:t>
      </w:r>
    </w:p>
    <w:p>
      <w:pPr>
        <w:keepNext w:val="0"/>
        <w:keepLines w:val="0"/>
        <w:pageBreakBefore w:val="0"/>
        <w:kinsoku/>
        <w:wordWrap/>
        <w:topLinePunct w:val="0"/>
        <w:bidi w:val="0"/>
        <w:adjustRightInd w:val="0"/>
        <w:snapToGrid w:val="0"/>
        <w:spacing w:line="360" w:lineRule="auto"/>
        <w:ind w:right="0" w:rightChars="0" w:firstLine="480" w:firstLineChars="200"/>
        <w:jc w:val="left"/>
        <w:outlineLvl w:val="9"/>
        <w:rPr>
          <w:rFonts w:hint="default" w:cs="宋体" w:asciiTheme="minorEastAsia" w:hAnsiTheme="minorEastAsia"/>
          <w:bCs w:val="0"/>
          <w:sz w:val="24"/>
          <w:szCs w:val="24"/>
          <w:lang w:val="en-US" w:eastAsia="zh-CN"/>
        </w:rPr>
      </w:pPr>
    </w:p>
    <w:p>
      <w:pPr>
        <w:keepNext w:val="0"/>
        <w:keepLines w:val="0"/>
        <w:pageBreakBefore w:val="0"/>
        <w:kinsoku/>
        <w:wordWrap/>
        <w:topLinePunct w:val="0"/>
        <w:autoSpaceDE w:val="0"/>
        <w:autoSpaceDN w:val="0"/>
        <w:bidi w:val="0"/>
        <w:adjustRightInd w:val="0"/>
        <w:snapToGrid w:val="0"/>
        <w:spacing w:line="360" w:lineRule="auto"/>
        <w:ind w:right="0" w:rightChars="0"/>
        <w:outlineLvl w:val="9"/>
        <w:rPr>
          <w:rFonts w:hint="eastAsia" w:ascii="宋体" w:hAnsi="宋体" w:eastAsia="宋体" w:cs="宋体"/>
          <w:bCs w:val="0"/>
          <w:sz w:val="24"/>
          <w:szCs w:val="24"/>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4"/>
        <w:bidi w:val="0"/>
        <w:jc w:val="center"/>
        <w:rPr>
          <w:rFonts w:hint="eastAsia" w:ascii="宋体" w:hAnsi="宋体" w:eastAsia="宋体" w:cs="宋体"/>
          <w:b/>
          <w:bCs/>
          <w:szCs w:val="30"/>
          <w:lang w:val="en-US" w:eastAsia="zh-CN"/>
        </w:rPr>
      </w:pPr>
      <w:bookmarkStart w:id="286" w:name="_Toc1037"/>
      <w:r>
        <w:rPr>
          <w:rFonts w:hint="eastAsia"/>
          <w:sz w:val="28"/>
          <w:szCs w:val="28"/>
          <w:lang w:val="en-US" w:eastAsia="zh-CN"/>
        </w:rPr>
        <w:t>第五章 评标方法和标准</w:t>
      </w:r>
      <w:bookmarkEnd w:id="286"/>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评标委员会将按照本项目招标文件进行评标工作，</w:t>
      </w:r>
      <w:r>
        <w:rPr>
          <w:rFonts w:hint="eastAsia" w:ascii="宋体" w:hAnsi="宋体" w:eastAsia="宋体" w:cs="宋体"/>
          <w:sz w:val="24"/>
          <w:szCs w:val="24"/>
          <w:lang w:eastAsia="zh-CN"/>
        </w:rPr>
        <w:t>采购人或者</w:t>
      </w:r>
      <w:r>
        <w:rPr>
          <w:rFonts w:hint="eastAsia" w:ascii="宋体" w:hAnsi="宋体" w:eastAsia="宋体" w:cs="宋体"/>
          <w:sz w:val="24"/>
          <w:szCs w:val="24"/>
        </w:rPr>
        <w:t>采购代理机构负责评标的组织工作。工作程序如下：</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评标准备工作，由</w:t>
      </w:r>
      <w:r>
        <w:rPr>
          <w:rFonts w:hint="eastAsia" w:ascii="宋体" w:hAnsi="宋体" w:eastAsia="宋体" w:cs="宋体"/>
          <w:b/>
          <w:bCs/>
          <w:sz w:val="24"/>
          <w:szCs w:val="24"/>
          <w:lang w:eastAsia="zh-CN"/>
        </w:rPr>
        <w:t>采购人或者</w:t>
      </w:r>
      <w:r>
        <w:rPr>
          <w:rFonts w:hint="eastAsia" w:ascii="宋体" w:hAnsi="宋体" w:eastAsia="宋体" w:cs="宋体"/>
          <w:b/>
          <w:bCs/>
          <w:sz w:val="24"/>
          <w:szCs w:val="24"/>
        </w:rPr>
        <w:t>采购代理机构负责</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核对评审专家身份和采购人代表授权函；</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宣布评标纪律，集中保管通讯工具；</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公布投标人名单，告知评审专家应当回避的情形；</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组织评标委员会推选评标组长</w:t>
      </w:r>
      <w:r>
        <w:rPr>
          <w:rFonts w:hint="eastAsia" w:ascii="宋体" w:hAnsi="宋体" w:eastAsia="宋体" w:cs="宋体"/>
          <w:sz w:val="24"/>
          <w:szCs w:val="24"/>
          <w:lang w:eastAsia="zh-CN"/>
        </w:rPr>
        <w:t>，采购人代表不得担任组长</w:t>
      </w:r>
      <w:r>
        <w:rPr>
          <w:rFonts w:hint="eastAsia" w:ascii="宋体" w:hAnsi="宋体" w:eastAsia="宋体" w:cs="宋体"/>
          <w:sz w:val="24"/>
          <w:szCs w:val="24"/>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5.根据评标委员会的要求介绍政府采购相关政策法律、招标文件。</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63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符合性审查工作</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color w:val="auto"/>
          <w:sz w:val="28"/>
          <w:highlight w:val="none"/>
        </w:rPr>
      </w:pPr>
      <w:r>
        <w:rPr>
          <w:rFonts w:hint="eastAsia" w:ascii="宋体" w:hAnsi="宋体" w:eastAsia="宋体" w:cs="宋体"/>
          <w:sz w:val="24"/>
          <w:szCs w:val="24"/>
          <w:lang w:eastAsia="zh-CN"/>
        </w:rPr>
        <w:t>评标委员会开展</w:t>
      </w:r>
      <w:r>
        <w:rPr>
          <w:rFonts w:hint="eastAsia" w:ascii="宋体" w:hAnsi="宋体" w:eastAsia="宋体" w:cs="宋体"/>
          <w:sz w:val="24"/>
          <w:szCs w:val="24"/>
        </w:rPr>
        <w:t>符合性审查</w:t>
      </w:r>
      <w:r>
        <w:rPr>
          <w:rFonts w:hint="eastAsia" w:ascii="宋体" w:hAnsi="宋体" w:eastAsia="宋体" w:cs="宋体"/>
          <w:sz w:val="24"/>
          <w:szCs w:val="24"/>
          <w:lang w:eastAsia="zh-CN"/>
        </w:rPr>
        <w:t>。符合性审查</w:t>
      </w:r>
      <w:r>
        <w:rPr>
          <w:rFonts w:hint="eastAsia" w:ascii="宋体" w:hAnsi="宋体" w:eastAsia="宋体" w:cs="宋体"/>
          <w:sz w:val="24"/>
          <w:szCs w:val="24"/>
        </w:rPr>
        <w:t>是指依据招标文件的规定，从商务和技术角度对投标文件的有效性和完整性进行审查，以确定是否对招标文件的实质性要求做出响应。</w:t>
      </w:r>
    </w:p>
    <w:tbl>
      <w:tblPr>
        <w:tblStyle w:val="22"/>
        <w:tblpPr w:leftFromText="180" w:rightFromText="180" w:vertAnchor="text" w:horzAnchor="page" w:tblpXSpec="center" w:tblpY="81"/>
        <w:tblOverlap w:val="never"/>
        <w:tblW w:w="9662" w:type="dxa"/>
        <w:jc w:val="center"/>
        <w:tblLayout w:type="fixed"/>
        <w:tblCellMar>
          <w:top w:w="0" w:type="dxa"/>
          <w:left w:w="108" w:type="dxa"/>
          <w:bottom w:w="0" w:type="dxa"/>
          <w:right w:w="108" w:type="dxa"/>
        </w:tblCellMar>
      </w:tblPr>
      <w:tblGrid>
        <w:gridCol w:w="984"/>
        <w:gridCol w:w="576"/>
        <w:gridCol w:w="8102"/>
      </w:tblGrid>
      <w:tr>
        <w:tblPrEx>
          <w:tblCellMar>
            <w:top w:w="0" w:type="dxa"/>
            <w:left w:w="108" w:type="dxa"/>
            <w:bottom w:w="0" w:type="dxa"/>
            <w:right w:w="108" w:type="dxa"/>
          </w:tblCellMar>
        </w:tblPrEx>
        <w:trPr>
          <w:trHeight w:val="910" w:hRule="exact"/>
          <w:jc w:val="center"/>
        </w:trPr>
        <w:tc>
          <w:tcPr>
            <w:tcW w:w="984" w:type="dxa"/>
            <w:vMerge w:val="restart"/>
            <w:tcBorders>
              <w:top w:val="single" w:color="000000" w:sz="4" w:space="0"/>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资</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格</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审</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查</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r>
              <w:t>资格性 审查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有效的“一证一码”或“三证合一”的营业执照副本是否和投标人名称一致且有效；</w:t>
            </w:r>
          </w:p>
        </w:tc>
      </w:tr>
      <w:tr>
        <w:tblPrEx>
          <w:tblCellMar>
            <w:top w:w="0" w:type="dxa"/>
            <w:left w:w="108" w:type="dxa"/>
            <w:bottom w:w="0" w:type="dxa"/>
            <w:right w:w="108" w:type="dxa"/>
          </w:tblCellMar>
        </w:tblPrEx>
        <w:trPr>
          <w:trHeight w:val="51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法定代表人身份证明或授权委托书及被授权人身份证是否提供且有效；</w:t>
            </w:r>
          </w:p>
        </w:tc>
      </w:tr>
      <w:tr>
        <w:tblPrEx>
          <w:tblCellMar>
            <w:top w:w="0" w:type="dxa"/>
            <w:left w:w="108" w:type="dxa"/>
            <w:bottom w:w="0" w:type="dxa"/>
            <w:right w:w="108" w:type="dxa"/>
          </w:tblCellMar>
        </w:tblPrEx>
        <w:trPr>
          <w:trHeight w:val="148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到投标截止时间止前，投标人未被列入“信用中国”和“中国政府采购网”的“失信被执行名单”</w:t>
            </w:r>
            <w:r>
              <w:rPr>
                <w:rFonts w:hint="eastAsia" w:cs="宋体"/>
                <w:sz w:val="24"/>
                <w:szCs w:val="24"/>
                <w:lang w:eastAsia="zh-CN"/>
              </w:rPr>
              <w:t>、</w:t>
            </w:r>
            <w:r>
              <w:rPr>
                <w:rFonts w:hint="eastAsia" w:ascii="宋体" w:hAnsi="宋体" w:eastAsia="宋体" w:cs="宋体"/>
                <w:sz w:val="24"/>
                <w:szCs w:val="24"/>
              </w:rPr>
              <w:t>“企业经营异常名录”、“重大税收违法案件当事人名单”</w:t>
            </w:r>
            <w:r>
              <w:rPr>
                <w:rFonts w:hint="eastAsia" w:ascii="宋体" w:hAnsi="宋体" w:eastAsia="宋体" w:cs="宋体"/>
                <w:sz w:val="24"/>
                <w:szCs w:val="24"/>
                <w:lang w:val="en-US" w:eastAsia="zh-CN"/>
              </w:rPr>
              <w:t>及</w:t>
            </w:r>
            <w:r>
              <w:rPr>
                <w:rFonts w:hint="eastAsia" w:ascii="宋体" w:hAnsi="宋体" w:eastAsia="宋体" w:cs="宋体"/>
                <w:sz w:val="24"/>
                <w:szCs w:val="24"/>
              </w:rPr>
              <w:t>“政府采购严重违法失信名单”其中之一。</w:t>
            </w:r>
          </w:p>
        </w:tc>
      </w:tr>
      <w:tr>
        <w:tblPrEx>
          <w:tblCellMar>
            <w:top w:w="0" w:type="dxa"/>
            <w:left w:w="108" w:type="dxa"/>
            <w:bottom w:w="0" w:type="dxa"/>
            <w:right w:w="108" w:type="dxa"/>
          </w:tblCellMar>
        </w:tblPrEx>
        <w:trPr>
          <w:trHeight w:val="600"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具备国家有关行政主管部门核发的医疗器械经营许可二类备案</w:t>
            </w:r>
          </w:p>
        </w:tc>
      </w:tr>
      <w:tr>
        <w:tblPrEx>
          <w:tblCellMar>
            <w:top w:w="0" w:type="dxa"/>
            <w:left w:w="108" w:type="dxa"/>
            <w:bottom w:w="0" w:type="dxa"/>
            <w:right w:w="108" w:type="dxa"/>
          </w:tblCellMar>
        </w:tblPrEx>
        <w:trPr>
          <w:trHeight w:val="577"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投标保证金是否足额交纳；</w:t>
            </w:r>
          </w:p>
        </w:tc>
      </w:tr>
      <w:tr>
        <w:tblPrEx>
          <w:tblCellMar>
            <w:top w:w="0" w:type="dxa"/>
            <w:left w:w="108" w:type="dxa"/>
            <w:bottom w:w="0" w:type="dxa"/>
            <w:right w:w="108" w:type="dxa"/>
          </w:tblCellMar>
        </w:tblPrEx>
        <w:trPr>
          <w:trHeight w:val="486" w:hRule="exact"/>
          <w:jc w:val="center"/>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报价是唯一的；</w:t>
            </w:r>
          </w:p>
        </w:tc>
      </w:tr>
      <w:tr>
        <w:tblPrEx>
          <w:tblCellMar>
            <w:top w:w="0" w:type="dxa"/>
            <w:left w:w="108" w:type="dxa"/>
            <w:bottom w:w="0" w:type="dxa"/>
            <w:right w:w="108" w:type="dxa"/>
          </w:tblCellMar>
        </w:tblPrEx>
        <w:trPr>
          <w:trHeight w:val="534"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投标文件注明“正本”或“副本”字样；</w:t>
            </w:r>
          </w:p>
        </w:tc>
      </w:tr>
      <w:tr>
        <w:tblPrEx>
          <w:tblCellMar>
            <w:top w:w="0" w:type="dxa"/>
            <w:left w:w="108" w:type="dxa"/>
            <w:bottom w:w="0" w:type="dxa"/>
            <w:right w:w="108" w:type="dxa"/>
          </w:tblCellMar>
        </w:tblPrEx>
        <w:trPr>
          <w:trHeight w:val="527"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投标文件有投标人法定代表人或其授权代表签字，并加盖了投标人的公章；</w:t>
            </w:r>
          </w:p>
        </w:tc>
      </w:tr>
      <w:tr>
        <w:tblPrEx>
          <w:tblCellMar>
            <w:top w:w="0" w:type="dxa"/>
            <w:left w:w="108" w:type="dxa"/>
            <w:bottom w:w="0" w:type="dxa"/>
            <w:right w:w="108" w:type="dxa"/>
          </w:tblCellMar>
        </w:tblPrEx>
        <w:trPr>
          <w:trHeight w:val="480"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交货期符合招标文件要求；</w:t>
            </w:r>
          </w:p>
        </w:tc>
      </w:tr>
      <w:tr>
        <w:tblPrEx>
          <w:tblCellMar>
            <w:top w:w="0" w:type="dxa"/>
            <w:left w:w="108" w:type="dxa"/>
            <w:bottom w:w="0" w:type="dxa"/>
            <w:right w:w="108" w:type="dxa"/>
          </w:tblCellMar>
        </w:tblPrEx>
        <w:trPr>
          <w:trHeight w:val="568"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投标文件未含有招标人不能接受的条件。</w:t>
            </w:r>
          </w:p>
        </w:tc>
      </w:tr>
      <w:tr>
        <w:tblPrEx>
          <w:tblCellMar>
            <w:top w:w="0" w:type="dxa"/>
            <w:left w:w="108" w:type="dxa"/>
            <w:bottom w:w="0" w:type="dxa"/>
            <w:right w:w="108" w:type="dxa"/>
          </w:tblCellMar>
        </w:tblPrEx>
        <w:trPr>
          <w:trHeight w:val="897" w:hRule="exact"/>
          <w:jc w:val="center"/>
        </w:trPr>
        <w:tc>
          <w:tcPr>
            <w:tcW w:w="984" w:type="dxa"/>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rPr>
              <w:t>审查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lang w:val="en-US" w:eastAsia="zh-CN"/>
              </w:rPr>
              <w:t>结果</w:t>
            </w:r>
          </w:p>
        </w:tc>
        <w:tc>
          <w:tcPr>
            <w:tcW w:w="8678" w:type="dxa"/>
            <w:gridSpan w:val="2"/>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 xml:space="preserve">通过：√ </w:t>
            </w:r>
            <w:r>
              <w:rPr>
                <w:rFonts w:hint="eastAsia"/>
                <w:lang w:val="en-US" w:eastAsia="zh-CN"/>
              </w:rPr>
              <w:t xml:space="preserve">  </w:t>
            </w:r>
            <w:r>
              <w:rPr>
                <w:rFonts w:hint="eastAsia"/>
              </w:rPr>
              <w:t xml:space="preserve"> 不通过：×</w:t>
            </w:r>
          </w:p>
        </w:tc>
      </w:tr>
    </w:tbl>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bCs w:val="0"/>
          <w:i w:val="0"/>
          <w:iCs w:val="0"/>
          <w:sz w:val="24"/>
          <w:szCs w:val="24"/>
        </w:rPr>
      </w:pPr>
      <w:r>
        <w:rPr>
          <w:b/>
          <w:bCs/>
          <w:i w:val="0"/>
          <w:iCs w:val="0"/>
          <w:color w:val="auto"/>
          <w:sz w:val="24"/>
          <w:highlight w:val="none"/>
        </w:rPr>
        <w:t>备注</w:t>
      </w:r>
      <w:r>
        <w:rPr>
          <w:b/>
          <w:bCs/>
          <w:i w:val="0"/>
          <w:iCs w:val="0"/>
          <w:color w:val="auto"/>
          <w:spacing w:val="-53"/>
          <w:sz w:val="24"/>
          <w:highlight w:val="none"/>
        </w:rPr>
        <w:t>：</w:t>
      </w:r>
      <w:r>
        <w:rPr>
          <w:b w:val="0"/>
          <w:bCs w:val="0"/>
          <w:i w:val="0"/>
          <w:iCs w:val="0"/>
          <w:color w:val="auto"/>
          <w:sz w:val="24"/>
          <w:highlight w:val="none"/>
        </w:rPr>
        <w:t>如果投标人提供的投标文件中初步审查有一项未通过上述审查标准</w:t>
      </w:r>
      <w:r>
        <w:rPr>
          <w:b w:val="0"/>
          <w:bCs w:val="0"/>
          <w:i w:val="0"/>
          <w:iCs w:val="0"/>
          <w:color w:val="auto"/>
          <w:spacing w:val="-50"/>
          <w:sz w:val="24"/>
          <w:highlight w:val="none"/>
        </w:rPr>
        <w:t>，</w:t>
      </w:r>
      <w:r>
        <w:rPr>
          <w:b w:val="0"/>
          <w:bCs w:val="0"/>
          <w:i w:val="0"/>
          <w:iCs w:val="0"/>
          <w:color w:val="auto"/>
          <w:sz w:val="24"/>
          <w:highlight w:val="none"/>
        </w:rPr>
        <w:t>评标委员会将认定整个投标文件不响应招标文件而予以废标</w:t>
      </w:r>
      <w:r>
        <w:rPr>
          <w:b w:val="0"/>
          <w:bCs w:val="0"/>
          <w:i w:val="0"/>
          <w:iCs w:val="0"/>
          <w:color w:val="auto"/>
          <w:spacing w:val="-103"/>
          <w:sz w:val="24"/>
          <w:highlight w:val="none"/>
        </w:rPr>
        <w:t>，</w:t>
      </w:r>
      <w:r>
        <w:rPr>
          <w:b w:val="0"/>
          <w:bCs w:val="0"/>
          <w:i w:val="0"/>
          <w:iCs w:val="0"/>
          <w:color w:val="auto"/>
          <w:sz w:val="24"/>
          <w:highlight w:val="none"/>
        </w:rPr>
        <w:t>并且不允许投标人通过修改或撤销其不符合要求的差异或保留，使之成为具有响应性的投标。</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三、采购人或者</w:t>
      </w:r>
      <w:r>
        <w:rPr>
          <w:rFonts w:hint="eastAsia" w:ascii="宋体" w:hAnsi="宋体" w:eastAsia="宋体" w:cs="宋体"/>
          <w:b/>
          <w:bCs/>
          <w:sz w:val="24"/>
          <w:szCs w:val="24"/>
        </w:rPr>
        <w:t>采购代理机构核对评标结果</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rPr>
      </w:pPr>
      <w:r>
        <w:rPr>
          <w:rFonts w:hint="eastAsia" w:cs="宋体"/>
          <w:b/>
          <w:bCs/>
          <w:sz w:val="24"/>
          <w:szCs w:val="24"/>
          <w:lang w:val="en-US" w:eastAsia="zh-CN"/>
        </w:rPr>
        <w:t>四、</w:t>
      </w:r>
      <w:r>
        <w:rPr>
          <w:rFonts w:hint="eastAsia" w:ascii="宋体" w:hAnsi="宋体" w:eastAsia="宋体" w:cs="宋体"/>
          <w:b/>
          <w:bCs/>
          <w:sz w:val="24"/>
          <w:szCs w:val="24"/>
        </w:rPr>
        <w:t>确定中标候选人名单，或者根据采购人委托直接确定</w:t>
      </w:r>
      <w:r>
        <w:rPr>
          <w:rFonts w:hint="eastAsia" w:ascii="宋体" w:hAnsi="宋体" w:eastAsia="宋体" w:cs="宋体"/>
          <w:b/>
          <w:bCs/>
          <w:sz w:val="24"/>
          <w:szCs w:val="24"/>
          <w:lang w:eastAsia="zh-CN"/>
        </w:rPr>
        <w:t>中标供应商</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cs="宋体"/>
          <w:b/>
          <w:bCs/>
          <w:sz w:val="24"/>
          <w:szCs w:val="24"/>
          <w:lang w:val="en-US" w:eastAsia="zh-CN"/>
        </w:rPr>
        <w:t>五、</w:t>
      </w:r>
      <w:r>
        <w:rPr>
          <w:rFonts w:hint="eastAsia" w:ascii="宋体" w:hAnsi="宋体" w:eastAsia="宋体" w:cs="宋体"/>
          <w:b/>
          <w:bCs/>
          <w:sz w:val="24"/>
          <w:szCs w:val="24"/>
        </w:rPr>
        <w:t>评审标准中应考虑下列因素</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1.政府采购政策要求</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none"/>
          <w:lang w:eastAsia="zh-CN"/>
        </w:rPr>
        <w:t>中小企业：</w:t>
      </w:r>
      <w:r>
        <w:rPr>
          <w:rFonts w:hint="eastAsia" w:ascii="宋体" w:hAnsi="宋体" w:eastAsia="宋体" w:cs="宋体"/>
          <w:sz w:val="24"/>
          <w:szCs w:val="24"/>
          <w:u w:val="single"/>
          <w:lang w:val="en-US" w:eastAsia="zh-CN"/>
        </w:rPr>
        <w:t>小微企业价格扣除 8%后参与评审</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残疾人福利性企业：</w:t>
      </w:r>
      <w:r>
        <w:rPr>
          <w:rFonts w:hint="eastAsia" w:ascii="宋体" w:hAnsi="宋体" w:eastAsia="宋体" w:cs="宋体"/>
          <w:sz w:val="24"/>
          <w:szCs w:val="24"/>
          <w:u w:val="single"/>
          <w:lang w:val="en-US" w:eastAsia="zh-CN"/>
        </w:rPr>
        <w:t>价格扣除 8%后参与评审</w:t>
      </w:r>
    </w:p>
    <w:p>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监狱企业：</w:t>
      </w:r>
      <w:r>
        <w:rPr>
          <w:rFonts w:hint="eastAsia" w:ascii="宋体" w:hAnsi="宋体" w:eastAsia="宋体" w:cs="宋体"/>
          <w:sz w:val="24"/>
          <w:szCs w:val="24"/>
          <w:u w:val="single"/>
          <w:lang w:val="en-US" w:eastAsia="zh-CN"/>
        </w:rPr>
        <w:t>价格扣除 8%后参与评审</w:t>
      </w:r>
      <w:r>
        <w:rPr>
          <w:rFonts w:hint="eastAsia" w:ascii="宋体" w:hAnsi="宋体" w:cs="宋体"/>
          <w:sz w:val="24"/>
          <w:szCs w:val="24"/>
          <w:u w:val="single"/>
          <w:lang w:val="en-US" w:eastAsia="zh-CN"/>
        </w:rPr>
        <w:t xml:space="preserve">        </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.同品牌处理办法</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采用综合评标法，</w:t>
      </w:r>
      <w:r>
        <w:rPr>
          <w:rFonts w:hint="eastAsia" w:ascii="宋体" w:hAnsi="宋体" w:eastAsia="宋体" w:cs="宋体"/>
          <w:sz w:val="24"/>
          <w:szCs w:val="24"/>
          <w:lang w:val="en-US" w:eastAsia="zh-CN"/>
        </w:rPr>
        <w:t>则：</w:t>
      </w:r>
      <w:r>
        <w:rPr>
          <w:rFonts w:hint="eastAsia" w:ascii="宋体" w:hAnsi="宋体" w:eastAsia="宋体" w:cs="宋体"/>
          <w:sz w:val="24"/>
          <w:szCs w:val="24"/>
          <w:u w:val="single"/>
          <w:lang w:val="en-US" w:eastAsia="zh-CN"/>
        </w:rPr>
        <w:t xml:space="preserve">见 20.4.2 </w:t>
      </w:r>
      <w:r>
        <w:rPr>
          <w:rFonts w:hint="eastAsia" w:ascii="宋体" w:hAnsi="宋体" w:eastAsia="宋体" w:cs="宋体"/>
          <w:color w:val="000000"/>
          <w:kern w:val="0"/>
          <w:sz w:val="24"/>
          <w:szCs w:val="24"/>
          <w:lang w:val="en-US" w:eastAsia="zh-CN" w:bidi="ar"/>
        </w:rPr>
        <w:t>。</w:t>
      </w:r>
    </w:p>
    <w:p>
      <w:pPr>
        <w:pStyle w:val="3"/>
        <w:pageBreakBefore w:val="0"/>
        <w:widowControl w:val="0"/>
        <w:tabs>
          <w:tab w:val="clear" w:pos="567"/>
        </w:tabs>
        <w:kinsoku/>
        <w:wordWrap/>
        <w:overflowPunct/>
        <w:topLinePunct w:val="0"/>
        <w:autoSpaceDE/>
        <w:autoSpaceDN/>
        <w:bidi w:val="0"/>
        <w:adjustRightInd/>
        <w:snapToGrid/>
        <w:spacing w:before="0" w:line="360" w:lineRule="auto"/>
        <w:ind w:left="-180" w:leftChars="-86" w:firstLine="660" w:firstLineChars="275"/>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.中标候选人并列时的处理方式 </w:t>
      </w:r>
    </w:p>
    <w:p>
      <w:pPr>
        <w:keepNext w:val="0"/>
        <w:keepLines w:val="0"/>
        <w:widowControl/>
        <w:suppressLineNumbers w:val="0"/>
        <w:spacing w:line="360" w:lineRule="auto"/>
        <w:ind w:firstLine="720" w:firstLineChars="30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sz w:val="24"/>
          <w:szCs w:val="24"/>
        </w:rPr>
        <w:t>采用综合评标法，则</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见 25.1.2 </w:t>
      </w:r>
      <w:r>
        <w:rPr>
          <w:rFonts w:hint="eastAsia" w:ascii="宋体" w:hAnsi="宋体" w:eastAsia="宋体" w:cs="宋体"/>
          <w:color w:val="000000"/>
          <w:kern w:val="0"/>
          <w:sz w:val="24"/>
          <w:szCs w:val="24"/>
          <w:u w:val="none"/>
          <w:lang w:val="en-US" w:eastAsia="zh-CN" w:bidi="ar"/>
        </w:rPr>
        <w:t>。</w:t>
      </w:r>
    </w:p>
    <w:p>
      <w:pPr>
        <w:widowControl/>
        <w:numPr>
          <w:ilvl w:val="0"/>
          <w:numId w:val="7"/>
        </w:numPr>
        <w:spacing w:line="360" w:lineRule="auto"/>
        <w:ind w:leftChars="0" w:firstLine="480" w:firstLineChars="200"/>
        <w:jc w:val="both"/>
        <w:rPr>
          <w:rFonts w:hint="eastAsia" w:ascii="宋体" w:hAnsi="宋体" w:eastAsia="宋体" w:cs="宋体"/>
          <w:b/>
          <w:sz w:val="24"/>
          <w:szCs w:val="24"/>
        </w:rPr>
      </w:pPr>
      <w:r>
        <w:rPr>
          <w:rFonts w:hint="eastAsia" w:ascii="宋体" w:hAnsi="宋体" w:eastAsia="宋体" w:cs="宋体"/>
          <w:b/>
          <w:sz w:val="24"/>
          <w:szCs w:val="24"/>
        </w:rPr>
        <w:t>评审因素和指标</w:t>
      </w:r>
    </w:p>
    <w:tbl>
      <w:tblPr>
        <w:tblStyle w:val="23"/>
        <w:tblpPr w:leftFromText="180" w:rightFromText="180" w:vertAnchor="text" w:tblpXSpec="center" w:tblpY="193"/>
        <w:tblOverlap w:val="never"/>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000"/>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序号</w:t>
            </w:r>
          </w:p>
        </w:tc>
        <w:tc>
          <w:tcPr>
            <w:tcW w:w="1188"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评审项目</w:t>
            </w:r>
          </w:p>
        </w:tc>
        <w:tc>
          <w:tcPr>
            <w:tcW w:w="1000"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标准分</w:t>
            </w:r>
          </w:p>
        </w:tc>
        <w:tc>
          <w:tcPr>
            <w:tcW w:w="6355"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分</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标</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1</w:t>
            </w:r>
          </w:p>
        </w:tc>
        <w:tc>
          <w:tcPr>
            <w:tcW w:w="1188"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投标报价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rPr>
              <w:t>分</w:t>
            </w:r>
          </w:p>
        </w:tc>
        <w:tc>
          <w:tcPr>
            <w:tcW w:w="63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投标人的价格分统一按下列公式计算：</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eastAsia="zh-CN"/>
              </w:rPr>
              <w:t>投标报价得分＝（评标基准价 / 最终报价）×</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。评标基准价是指满足招标文件要求且投标价格最低的投标报价。最终最低报价得</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分。（计算过程和计算结果均保留小数点后两位）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2</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业 绩</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sz w:val="24"/>
                <w:szCs w:val="24"/>
                <w:lang w:val="en-US" w:eastAsia="zh-CN"/>
              </w:rPr>
              <w:t>近三年内（2019年1月1日至今）每有一项类似业绩的得1.5分，最多得6分(须提供合同或中标通知书，否则不得分）。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3</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技术标响应情况（技术指标、参数）</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4</w:t>
            </w:r>
            <w:r>
              <w:rPr>
                <w:rFonts w:hint="eastAsia" w:ascii="宋体" w:hAnsi="宋体" w:cs="宋体"/>
                <w:b w:val="0"/>
                <w:bCs w:val="0"/>
                <w:color w:val="000000"/>
                <w:sz w:val="24"/>
                <w:szCs w:val="24"/>
                <w:vertAlign w:val="baseline"/>
                <w:lang w:val="en-US" w:eastAsia="zh-CN"/>
              </w:rPr>
              <w:t>2</w:t>
            </w:r>
            <w:r>
              <w:rPr>
                <w:rFonts w:hint="eastAsia" w:ascii="宋体" w:hAnsi="宋体" w:eastAsia="宋体" w:cs="宋体"/>
                <w:b w:val="0"/>
                <w:bCs w:val="0"/>
                <w:color w:val="000000"/>
                <w:sz w:val="24"/>
                <w:szCs w:val="24"/>
                <w:vertAlign w:val="baseline"/>
                <w:lang w:val="en-US" w:eastAsia="zh-CN"/>
              </w:rPr>
              <w:t>分</w:t>
            </w:r>
          </w:p>
        </w:tc>
        <w:tc>
          <w:tcPr>
            <w:tcW w:w="6355" w:type="dxa"/>
            <w:vAlign w:val="top"/>
          </w:tcPr>
          <w:p>
            <w:pPr>
              <w:spacing w:line="36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满足招标文件技术指标、参数要求的得</w:t>
            </w:r>
            <w:r>
              <w:rPr>
                <w:rFonts w:hint="eastAsia" w:ascii="宋体" w:hAnsi="宋体" w:cs="宋体"/>
                <w:b w:val="0"/>
                <w:bCs w:val="0"/>
                <w:kern w:val="2"/>
                <w:sz w:val="24"/>
                <w:szCs w:val="24"/>
                <w:lang w:val="en-US" w:eastAsia="zh-CN" w:bidi="ar-SA"/>
              </w:rPr>
              <w:t>42</w:t>
            </w:r>
            <w:r>
              <w:rPr>
                <w:rFonts w:hint="eastAsia" w:ascii="宋体" w:hAnsi="宋体" w:eastAsia="宋体" w:cs="宋体"/>
                <w:b w:val="0"/>
                <w:bCs w:val="0"/>
                <w:kern w:val="2"/>
                <w:sz w:val="24"/>
                <w:szCs w:val="24"/>
                <w:lang w:val="en-US" w:eastAsia="zh-CN" w:bidi="ar-SA"/>
              </w:rPr>
              <w:t>分，以此为基础，投标人重要技术指标、参数低于招标文件规定的相应技术指标、参数的，有一项减 5分；投标人一般技术指标、参数低于招标文件规定的相应技术指标、参数的，有一项减 2 分，减完为止。</w:t>
            </w:r>
          </w:p>
          <w:p>
            <w:pPr>
              <w:spacing w:line="360" w:lineRule="exac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kern w:val="2"/>
                <w:sz w:val="24"/>
                <w:szCs w:val="24"/>
                <w:lang w:val="en-US" w:eastAsia="zh-CN" w:bidi="ar-SA"/>
              </w:rPr>
              <w:t>注：应提供相关证明材料或检测报告（技术参数提供产品技术文件或与技术文件一致的彩页证明）等支持文件以证明是否满足技术要求，投标人必须在技术偏离表中写明材料所在页码，不写明或指引错误导致评标委员会未能找到的，视为不满足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4</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产品性能及提供免费的培训服务等</w:t>
            </w:r>
          </w:p>
        </w:tc>
        <w:tc>
          <w:tcPr>
            <w:tcW w:w="1000" w:type="dxa"/>
            <w:vAlign w:val="center"/>
          </w:tcPr>
          <w:p>
            <w:pPr>
              <w:spacing w:line="360" w:lineRule="exact"/>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5分</w:t>
            </w:r>
          </w:p>
        </w:tc>
        <w:tc>
          <w:tcPr>
            <w:tcW w:w="6355" w:type="dxa"/>
            <w:vAlign w:val="top"/>
          </w:tcPr>
          <w:p>
            <w:pPr>
              <w:spacing w:line="360" w:lineRule="exact"/>
              <w:jc w:val="lef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产品的性能、互换性及标准，市场知名度、先进性、可靠性、稳定性、安全易操作性等及提供免费的培训服务</w:t>
            </w:r>
            <w:r>
              <w:rPr>
                <w:rFonts w:hint="eastAsia" w:ascii="宋体" w:hAnsi="宋体" w:cs="宋体"/>
                <w:b w:val="0"/>
                <w:bCs w:val="0"/>
                <w:kern w:val="2"/>
                <w:sz w:val="24"/>
                <w:szCs w:val="24"/>
                <w:lang w:val="en-US" w:eastAsia="zh-CN" w:bidi="ar-SA"/>
              </w:rPr>
              <w:t>全面</w:t>
            </w:r>
            <w:r>
              <w:rPr>
                <w:rFonts w:hint="eastAsia" w:ascii="宋体" w:hAnsi="宋体" w:eastAsia="宋体" w:cs="宋体"/>
                <w:b w:val="0"/>
                <w:bCs w:val="0"/>
                <w:kern w:val="2"/>
                <w:sz w:val="24"/>
                <w:szCs w:val="24"/>
                <w:lang w:val="en-US" w:eastAsia="zh-CN" w:bidi="ar-SA"/>
              </w:rPr>
              <w:t>的得5分，</w:t>
            </w:r>
            <w:r>
              <w:rPr>
                <w:rFonts w:hint="eastAsia" w:ascii="宋体" w:hAnsi="宋体" w:eastAsia="宋体" w:cs="宋体"/>
                <w:sz w:val="24"/>
                <w:szCs w:val="24"/>
              </w:rPr>
              <w:t>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5</w:t>
            </w:r>
          </w:p>
        </w:tc>
        <w:tc>
          <w:tcPr>
            <w:tcW w:w="1188"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运输、配送方案</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8分</w:t>
            </w:r>
          </w:p>
        </w:tc>
        <w:tc>
          <w:tcPr>
            <w:tcW w:w="6355"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方案设计合理、人员配备及安排、进度计划及保证措施合理、安装调试程序、措施得当</w:t>
            </w:r>
            <w:r>
              <w:rPr>
                <w:rFonts w:hint="eastAsia" w:ascii="宋体" w:hAnsi="宋体" w:eastAsia="宋体" w:cs="宋体"/>
                <w:sz w:val="24"/>
                <w:szCs w:val="24"/>
                <w:lang w:eastAsia="zh-CN"/>
              </w:rPr>
              <w:t>，</w:t>
            </w:r>
            <w:r>
              <w:rPr>
                <w:rFonts w:hint="eastAsia" w:ascii="宋体" w:hAnsi="宋体" w:eastAsia="宋体" w:cs="宋体"/>
                <w:sz w:val="24"/>
                <w:szCs w:val="24"/>
              </w:rPr>
              <w:t>质量保证措施合理，培训方案到位的</w:t>
            </w:r>
            <w:r>
              <w:rPr>
                <w:rFonts w:hint="eastAsia" w:ascii="宋体" w:hAnsi="宋体" w:eastAsia="宋体" w:cs="宋体"/>
                <w:sz w:val="24"/>
                <w:szCs w:val="24"/>
                <w:lang w:val="en-US" w:eastAsia="zh-CN"/>
              </w:rPr>
              <w:t>得8</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有缺漏项，欠合理的，每处扣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pPr>
              <w:widowControl/>
              <w:jc w:val="left"/>
              <w:textAlignment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sz w:val="24"/>
                <w:szCs w:val="24"/>
                <w:lang w:val="en-US" w:eastAsia="zh-CN"/>
              </w:rPr>
              <w:t>注：</w:t>
            </w:r>
            <w:r>
              <w:rPr>
                <w:rFonts w:hint="eastAsia" w:ascii="宋体" w:hAnsi="宋体" w:eastAsia="宋体" w:cs="宋体"/>
                <w:b/>
                <w:bCs/>
                <w:kern w:val="0"/>
                <w:sz w:val="24"/>
                <w:szCs w:val="24"/>
                <w:lang w:bidi="ar"/>
              </w:rPr>
              <w:t>供应商提供针对本项目的配送方案包括：安全管理制度</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配送服务计划和措施</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自然灾害、交通意外等情况下的应急预案；确保产品</w:t>
            </w:r>
            <w:r>
              <w:rPr>
                <w:rFonts w:hint="eastAsia" w:ascii="宋体" w:hAnsi="宋体" w:eastAsia="宋体" w:cs="宋体"/>
                <w:b/>
                <w:bCs/>
                <w:kern w:val="0"/>
                <w:sz w:val="24"/>
                <w:szCs w:val="24"/>
                <w:lang w:val="en-US" w:eastAsia="zh-CN" w:bidi="ar"/>
              </w:rPr>
              <w:t>在供货周期内</w:t>
            </w:r>
            <w:r>
              <w:rPr>
                <w:rFonts w:hint="eastAsia" w:ascii="宋体" w:hAnsi="宋体" w:eastAsia="宋体" w:cs="宋体"/>
                <w:b/>
                <w:bCs/>
                <w:kern w:val="0"/>
                <w:sz w:val="24"/>
                <w:szCs w:val="24"/>
                <w:lang w:bidi="ar"/>
              </w:rPr>
              <w:t>及时送达采购方</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验收使用时间等内容承诺函</w:t>
            </w:r>
            <w:r>
              <w:rPr>
                <w:rFonts w:hint="eastAsia" w:ascii="宋体" w:hAnsi="宋体" w:eastAsia="宋体" w:cs="宋体"/>
                <w:b/>
                <w:bCs/>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w:t>
            </w:r>
          </w:p>
        </w:tc>
        <w:tc>
          <w:tcPr>
            <w:tcW w:w="1188" w:type="dxa"/>
            <w:vAlign w:val="center"/>
          </w:tcPr>
          <w:p>
            <w:pPr>
              <w:ind w:right="21"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质保期限</w:t>
            </w:r>
          </w:p>
        </w:tc>
        <w:tc>
          <w:tcPr>
            <w:tcW w:w="1000" w:type="dxa"/>
            <w:vAlign w:val="center"/>
          </w:tcPr>
          <w:p>
            <w:pPr>
              <w:ind w:right="-20"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kern w:val="2"/>
                <w:sz w:val="24"/>
                <w:szCs w:val="24"/>
                <w:vertAlign w:val="baseline"/>
                <w:lang w:val="en-US" w:eastAsia="zh-CN" w:bidi="ar-SA"/>
              </w:rPr>
              <w:t>3</w:t>
            </w:r>
            <w:r>
              <w:rPr>
                <w:rFonts w:hint="eastAsia" w:ascii="宋体" w:hAnsi="宋体" w:eastAsia="宋体" w:cs="宋体"/>
                <w:b w:val="0"/>
                <w:bCs w:val="0"/>
                <w:color w:val="000000"/>
                <w:kern w:val="2"/>
                <w:sz w:val="24"/>
                <w:szCs w:val="24"/>
                <w:vertAlign w:val="baseline"/>
                <w:lang w:val="en-US" w:eastAsia="zh-CN" w:bidi="ar-SA"/>
              </w:rPr>
              <w:t>分</w:t>
            </w:r>
          </w:p>
        </w:tc>
        <w:tc>
          <w:tcPr>
            <w:tcW w:w="6355" w:type="dxa"/>
            <w:vAlign w:val="center"/>
          </w:tcPr>
          <w:p>
            <w:pPr>
              <w:spacing w:before="12"/>
              <w:ind w:right="100" w:rightChars="0"/>
              <w:jc w:val="both"/>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质保期限承诺符合招标文件要求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得基础分</w:t>
            </w:r>
            <w:r>
              <w:rPr>
                <w:rFonts w:hint="eastAsia" w:ascii="宋体" w:hAnsi="宋体" w:eastAsia="宋体" w:cs="宋体"/>
                <w:color w:val="auto"/>
                <w:w w:val="85"/>
                <w:sz w:val="24"/>
                <w:szCs w:val="24"/>
                <w:highlight w:val="none"/>
                <w:lang w:val="en-US" w:eastAsia="zh-CN"/>
              </w:rPr>
              <w:t>2</w:t>
            </w:r>
            <w:r>
              <w:rPr>
                <w:rFonts w:hint="eastAsia" w:ascii="宋体" w:hAnsi="宋体" w:eastAsia="宋体" w:cs="宋体"/>
                <w:color w:val="auto"/>
                <w:sz w:val="24"/>
                <w:szCs w:val="24"/>
                <w:highlight w:val="none"/>
              </w:rPr>
              <w:t>分；质保期优于招标文件要求每增加</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rPr>
              <w:t>此项最多加至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7</w:t>
            </w:r>
          </w:p>
        </w:tc>
        <w:tc>
          <w:tcPr>
            <w:tcW w:w="1188"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售后服务</w:t>
            </w:r>
          </w:p>
        </w:tc>
        <w:tc>
          <w:tcPr>
            <w:tcW w:w="1000" w:type="dxa"/>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具有详尽的售后服务方案，包括计划、内容、响应速度等，承诺详细、具体，满足用户明确项目技术、支持人员、故障处理时限、现场服务条件及到位时间，方案全面、科学、可行性强，在新疆有稳定的售后服务人员的得6分，较为全面、科学、</w:t>
            </w:r>
            <w:r>
              <w:rPr>
                <w:rFonts w:hint="eastAsia" w:ascii="宋体" w:hAnsi="宋体" w:eastAsia="宋体" w:cs="宋体"/>
                <w:b w:val="0"/>
                <w:bCs w:val="0"/>
                <w:color w:val="000000"/>
                <w:sz w:val="24"/>
                <w:szCs w:val="24"/>
                <w:lang w:val="en-US" w:eastAsia="zh-CN"/>
              </w:rPr>
              <w:t>可行性</w:t>
            </w:r>
            <w:r>
              <w:rPr>
                <w:rFonts w:hint="eastAsia" w:ascii="宋体" w:hAnsi="宋体" w:eastAsia="宋体" w:cs="宋体"/>
                <w:b w:val="0"/>
                <w:bCs w:val="0"/>
                <w:color w:val="000000"/>
                <w:kern w:val="2"/>
                <w:sz w:val="24"/>
                <w:szCs w:val="24"/>
                <w:lang w:val="en-US" w:eastAsia="zh-CN" w:bidi="ar-SA"/>
              </w:rPr>
              <w:t>一般得</w:t>
            </w:r>
            <w:r>
              <w:rPr>
                <w:rFonts w:hint="eastAsia" w:ascii="宋体" w:hAnsi="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en-US" w:eastAsia="zh-CN" w:bidi="ar-SA"/>
              </w:rPr>
              <w:t>分；不全面的不得分。</w:t>
            </w:r>
          </w:p>
        </w:tc>
      </w:tr>
    </w:tbl>
    <w:p>
      <w:pPr>
        <w:bidi w:val="0"/>
        <w:rPr>
          <w:rFonts w:hint="eastAsia" w:ascii="Times New Roman" w:hAnsi="Times New Roman" w:eastAsia="宋体" w:cs="Times New Roman"/>
          <w:kern w:val="2"/>
          <w:sz w:val="21"/>
          <w:szCs w:val="24"/>
          <w:lang w:val="en-US" w:eastAsia="zh-CN" w:bidi="ar-SA"/>
        </w:rPr>
      </w:pP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注：以上打分资料需</w:t>
      </w:r>
      <w:r>
        <w:rPr>
          <w:rFonts w:hint="eastAsia" w:ascii="宋体" w:hAnsi="宋体" w:eastAsia="宋体" w:cs="宋体"/>
          <w:b/>
          <w:color w:val="000000"/>
          <w:sz w:val="24"/>
          <w:szCs w:val="24"/>
          <w:lang w:eastAsia="zh-CN"/>
        </w:rPr>
        <w:t>按要求</w:t>
      </w:r>
      <w:r>
        <w:rPr>
          <w:rFonts w:hint="eastAsia" w:ascii="宋体" w:hAnsi="宋体" w:eastAsia="宋体" w:cs="宋体"/>
          <w:b/>
          <w:color w:val="000000"/>
          <w:sz w:val="24"/>
          <w:szCs w:val="24"/>
        </w:rPr>
        <w:t>提供，复印件附在投标文件中。</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要求投标人对投标文件有关事项作出澄清或者说明（如有）</w:t>
      </w:r>
      <w:r>
        <w:rPr>
          <w:rFonts w:hint="eastAsia" w:ascii="宋体" w:hAnsi="宋体" w:eastAsia="宋体" w:cs="宋体"/>
          <w:sz w:val="24"/>
          <w:szCs w:val="24"/>
          <w:lang w:eastAsia="zh-CN"/>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依照招标文件规定的评标程序、方法和标准进行独立评审；</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本项目评标方法为综合评分法，评标委员会对满足招标文件全部实质性要求的投标文件，按照招标文件规定的评审因素的量化指标进行评审打分，以评审得分从高到低顺序确定中标候选人。评标委员会每位成员独立对每个有效投标人的投标文件进行评价、打分；然后汇总每个投标人的得分，计算得分平均值，以平均值由高到低进行排序，按排序顺序推荐中标候选人。分值计算保留小数点后</w:t>
      </w:r>
      <w:r>
        <w:rPr>
          <w:rFonts w:hint="eastAsia" w:ascii="宋体" w:hAnsi="宋体" w:eastAsia="宋体" w:cs="宋体"/>
          <w:sz w:val="24"/>
          <w:szCs w:val="24"/>
          <w:lang w:eastAsia="zh-CN"/>
        </w:rPr>
        <w:t>两</w:t>
      </w:r>
      <w:r>
        <w:rPr>
          <w:rFonts w:hint="eastAsia" w:ascii="宋体" w:hAnsi="宋体" w:eastAsia="宋体" w:cs="宋体"/>
          <w:sz w:val="24"/>
          <w:szCs w:val="24"/>
        </w:rPr>
        <w:t>位，第</w:t>
      </w:r>
      <w:r>
        <w:rPr>
          <w:rFonts w:hint="eastAsia" w:ascii="宋体" w:hAnsi="宋体" w:eastAsia="宋体" w:cs="宋体"/>
          <w:sz w:val="24"/>
          <w:szCs w:val="24"/>
          <w:lang w:eastAsia="zh-CN"/>
        </w:rPr>
        <w:t>三</w:t>
      </w:r>
      <w:r>
        <w:rPr>
          <w:rFonts w:hint="eastAsia" w:ascii="宋体" w:hAnsi="宋体" w:eastAsia="宋体" w:cs="宋体"/>
          <w:sz w:val="24"/>
          <w:szCs w:val="24"/>
        </w:rPr>
        <w:t>位四舍五入。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
        <w:bidi w:val="0"/>
        <w:jc w:val="center"/>
        <w:rPr>
          <w:rFonts w:hint="eastAsia"/>
          <w:sz w:val="28"/>
          <w:szCs w:val="28"/>
          <w:lang w:val="en-US" w:eastAsia="zh-CN"/>
        </w:rPr>
      </w:pPr>
      <w:bookmarkStart w:id="287" w:name="_Toc22606"/>
      <w:r>
        <w:rPr>
          <w:rFonts w:hint="eastAsia"/>
          <w:sz w:val="28"/>
          <w:szCs w:val="28"/>
          <w:lang w:val="en-US" w:eastAsia="zh-CN"/>
        </w:rPr>
        <w:t>第六章 政府采购合同</w:t>
      </w:r>
      <w:bookmarkEnd w:id="287"/>
    </w:p>
    <w:p>
      <w:pPr>
        <w:adjustRightInd w:val="0"/>
        <w:snapToGrid w:val="0"/>
        <w:spacing w:line="360" w:lineRule="auto"/>
        <w:jc w:val="center"/>
        <w:rPr>
          <w:rFonts w:hint="eastAsia" w:ascii="黑体"/>
          <w:color w:val="auto"/>
          <w:sz w:val="28"/>
          <w:szCs w:val="28"/>
          <w:highlight w:val="none"/>
          <w:lang w:eastAsia="zh-CN"/>
        </w:rPr>
      </w:pPr>
    </w:p>
    <w:p>
      <w:pPr>
        <w:adjustRightInd w:val="0"/>
        <w:snapToGrid w:val="0"/>
        <w:spacing w:line="360" w:lineRule="auto"/>
        <w:jc w:val="center"/>
        <w:rPr>
          <w:rFonts w:hint="eastAsia" w:ascii="黑体"/>
          <w:color w:val="auto"/>
          <w:sz w:val="24"/>
          <w:szCs w:val="24"/>
          <w:highlight w:val="none"/>
        </w:rPr>
      </w:pP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采</w:t>
      </w: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购</w:t>
      </w:r>
      <w:r>
        <w:rPr>
          <w:rFonts w:hint="eastAsia" w:ascii="黑体"/>
          <w:color w:val="auto"/>
          <w:w w:val="110"/>
          <w:sz w:val="24"/>
          <w:szCs w:val="24"/>
          <w:highlight w:val="none"/>
          <w:lang w:val="en-US" w:eastAsia="zh-CN"/>
        </w:rPr>
        <w:t xml:space="preserve"> </w:t>
      </w:r>
      <w:r>
        <w:rPr>
          <w:rFonts w:hint="eastAsia" w:ascii="黑体"/>
          <w:color w:val="auto"/>
          <w:sz w:val="24"/>
          <w:szCs w:val="24"/>
          <w:highlight w:val="none"/>
        </w:rPr>
        <w:t>合</w:t>
      </w:r>
      <w:r>
        <w:rPr>
          <w:rFonts w:hint="eastAsia" w:ascii="黑体"/>
          <w:color w:val="auto"/>
          <w:sz w:val="24"/>
          <w:szCs w:val="24"/>
          <w:highlight w:val="none"/>
          <w:lang w:val="en-US" w:eastAsia="zh-CN"/>
        </w:rPr>
        <w:t xml:space="preserve"> </w:t>
      </w:r>
      <w:r>
        <w:rPr>
          <w:rFonts w:hint="eastAsia" w:ascii="黑体"/>
          <w:color w:val="auto"/>
          <w:sz w:val="24"/>
          <w:szCs w:val="24"/>
          <w:highlight w:val="none"/>
        </w:rPr>
        <w:t>同</w:t>
      </w:r>
      <w:r>
        <w:rPr>
          <w:rFonts w:ascii="黑体"/>
          <w:color w:val="auto"/>
          <w:sz w:val="24"/>
          <w:szCs w:val="24"/>
          <w:highlight w:val="none"/>
        </w:rPr>
        <w:tab/>
      </w:r>
    </w:p>
    <w:p>
      <w:pPr>
        <w:adjustRightInd w:val="0"/>
        <w:snapToGrid w:val="0"/>
        <w:spacing w:line="360" w:lineRule="auto"/>
        <w:ind w:firstLine="1200" w:firstLineChars="500"/>
        <w:rPr>
          <w:rFonts w:ascii="黑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  方： </w:t>
      </w:r>
    </w:p>
    <w:p>
      <w:pPr>
        <w:adjustRightInd w:val="0"/>
        <w:snapToGrid w:val="0"/>
        <w:spacing w:line="360" w:lineRule="auto"/>
        <w:jc w:val="both"/>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合同签订地点：            </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cs="宋体"/>
          <w:color w:val="auto"/>
          <w:sz w:val="24"/>
          <w:szCs w:val="24"/>
          <w:highlight w:val="none"/>
          <w:lang w:val="en-US" w:eastAsia="zh-CN"/>
        </w:rPr>
      </w:pP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采 购 （专 用）</w:t>
      </w:r>
      <w:r>
        <w:rPr>
          <w:rFonts w:ascii="宋体" w:hAnsi="宋体"/>
          <w:color w:val="auto"/>
          <w:sz w:val="30"/>
          <w:szCs w:val="30"/>
          <w:highlight w:val="none"/>
        </w:rPr>
        <w:t xml:space="preserve"> </w:t>
      </w:r>
      <w:r>
        <w:rPr>
          <w:rFonts w:hint="eastAsia" w:ascii="宋体" w:hAnsi="宋体"/>
          <w:color w:val="auto"/>
          <w:sz w:val="30"/>
          <w:szCs w:val="30"/>
          <w:highlight w:val="none"/>
        </w:rPr>
        <w:t>合</w:t>
      </w:r>
      <w:r>
        <w:rPr>
          <w:rFonts w:ascii="宋体" w:hAnsi="宋体"/>
          <w:color w:val="auto"/>
          <w:sz w:val="30"/>
          <w:szCs w:val="30"/>
          <w:highlight w:val="none"/>
        </w:rPr>
        <w:t xml:space="preserve"> </w:t>
      </w:r>
      <w:r>
        <w:rPr>
          <w:rFonts w:hint="eastAsia" w:ascii="宋体" w:hAnsi="宋体"/>
          <w:color w:val="auto"/>
          <w:sz w:val="30"/>
          <w:szCs w:val="30"/>
          <w:highlight w:val="none"/>
        </w:rPr>
        <w:t>同</w:t>
      </w:r>
    </w:p>
    <w:p>
      <w:pPr>
        <w:adjustRightInd w:val="0"/>
        <w:snapToGrid w:val="0"/>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乙方：                                </w:t>
      </w:r>
    </w:p>
    <w:p>
      <w:pPr>
        <w:widowControl/>
        <w:adjustRightInd w:val="0"/>
        <w:snapToGrid w:val="0"/>
        <w:spacing w:line="360" w:lineRule="auto"/>
        <w:ind w:left="180" w:leftChars="86" w:firstLine="410" w:firstLineChars="171"/>
        <w:rPr>
          <w:rFonts w:hint="eastAsia" w:ascii="宋体" w:hAnsi="宋体"/>
          <w:color w:val="auto"/>
          <w:sz w:val="24"/>
          <w:szCs w:val="24"/>
          <w:highlight w:val="none"/>
        </w:rPr>
      </w:pPr>
      <w:r>
        <w:rPr>
          <w:rFonts w:hint="eastAsia" w:ascii="宋体" w:hAnsi="宋体" w:cs="Arial"/>
          <w:color w:val="auto"/>
          <w:sz w:val="24"/>
          <w:szCs w:val="24"/>
          <w:highlight w:val="none"/>
          <w:u w:val="single"/>
          <w:lang w:val="en-US" w:eastAsia="zh-CN"/>
        </w:rPr>
        <w:t xml:space="preserve">                 </w:t>
      </w:r>
      <w:r>
        <w:rPr>
          <w:rFonts w:hint="eastAsia" w:ascii="宋体" w:hAnsi="宋体"/>
          <w:color w:val="auto"/>
          <w:sz w:val="24"/>
          <w:szCs w:val="24"/>
          <w:highlight w:val="none"/>
        </w:rPr>
        <w:t>（以下简称甲方）经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组织的招标采购，选定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以下简称乙方</w:t>
      </w:r>
      <w:r>
        <w:rPr>
          <w:rFonts w:hint="eastAsia" w:ascii="宋体" w:hAnsi="宋体"/>
          <w:color w:val="auto"/>
          <w:sz w:val="24"/>
          <w:szCs w:val="24"/>
          <w:highlight w:val="none"/>
          <w:u w:val="single"/>
        </w:rPr>
        <w:t>）</w:t>
      </w:r>
      <w:r>
        <w:rPr>
          <w:rFonts w:hint="eastAsia" w:ascii="宋体" w:hAnsi="宋体"/>
          <w:color w:val="auto"/>
          <w:sz w:val="24"/>
          <w:szCs w:val="24"/>
          <w:highlight w:val="none"/>
        </w:rPr>
        <w:t>：为提供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产品的</w:t>
      </w:r>
      <w:r>
        <w:rPr>
          <w:rFonts w:hint="eastAsia" w:ascii="宋体" w:hAnsi="宋体"/>
          <w:color w:val="auto"/>
          <w:sz w:val="24"/>
          <w:szCs w:val="24"/>
          <w:highlight w:val="none"/>
          <w:u w:val="single"/>
        </w:rPr>
        <w:t>中标单位</w:t>
      </w:r>
      <w:r>
        <w:rPr>
          <w:rFonts w:hint="eastAsia" w:ascii="宋体" w:hAnsi="宋体"/>
          <w:color w:val="auto"/>
          <w:sz w:val="24"/>
          <w:szCs w:val="24"/>
          <w:highlight w:val="none"/>
        </w:rPr>
        <w:t>。依据《中华人民共和国民法典》、《中华人民共和国政府采购法》及相关法律、法规，经甲、乙双方共同协商，按下述条款签署本合同。</w:t>
      </w:r>
    </w:p>
    <w:p>
      <w:pPr>
        <w:widowControl/>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一、合同标的、规格、数量、单价</w:t>
      </w:r>
      <w:r>
        <w:rPr>
          <w:rFonts w:ascii="宋体" w:hAnsi="宋体"/>
          <w:color w:val="auto"/>
          <w:sz w:val="24"/>
          <w:szCs w:val="24"/>
          <w:highlight w:val="none"/>
        </w:rPr>
        <w:t xml:space="preserve"> </w:t>
      </w:r>
    </w:p>
    <w:tbl>
      <w:tblPr>
        <w:tblStyle w:val="22"/>
        <w:tblW w:w="10031" w:type="dxa"/>
        <w:jc w:val="center"/>
        <w:tblLayout w:type="fixed"/>
        <w:tblCellMar>
          <w:top w:w="0" w:type="dxa"/>
          <w:left w:w="108" w:type="dxa"/>
          <w:bottom w:w="0" w:type="dxa"/>
          <w:right w:w="108" w:type="dxa"/>
        </w:tblCellMar>
      </w:tblPr>
      <w:tblGrid>
        <w:gridCol w:w="729"/>
        <w:gridCol w:w="1266"/>
        <w:gridCol w:w="851"/>
        <w:gridCol w:w="728"/>
        <w:gridCol w:w="889"/>
        <w:gridCol w:w="803"/>
        <w:gridCol w:w="1774"/>
        <w:gridCol w:w="1105"/>
        <w:gridCol w:w="989"/>
        <w:gridCol w:w="897"/>
      </w:tblGrid>
      <w:tr>
        <w:tblPrEx>
          <w:tblCellMar>
            <w:top w:w="0" w:type="dxa"/>
            <w:left w:w="108" w:type="dxa"/>
            <w:bottom w:w="0" w:type="dxa"/>
            <w:right w:w="108" w:type="dxa"/>
          </w:tblCellMar>
        </w:tblPrEx>
        <w:trPr>
          <w:cantSplit/>
          <w:trHeight w:val="615" w:hRule="exact"/>
          <w:jc w:val="center"/>
        </w:trPr>
        <w:tc>
          <w:tcPr>
            <w:tcW w:w="72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名</w:t>
            </w:r>
            <w:r>
              <w:rPr>
                <w:rFonts w:ascii="宋体" w:hAnsi="宋体"/>
                <w:color w:val="auto"/>
                <w:sz w:val="24"/>
                <w:szCs w:val="24"/>
                <w:highlight w:val="none"/>
              </w:rPr>
              <w:t xml:space="preserve">   </w:t>
            </w:r>
            <w:r>
              <w:rPr>
                <w:rFonts w:hint="eastAsia" w:ascii="宋体" w:hAnsi="宋体"/>
                <w:color w:val="auto"/>
                <w:sz w:val="24"/>
                <w:szCs w:val="24"/>
                <w:highlight w:val="none"/>
              </w:rPr>
              <w:t>称</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国产/进口</w:t>
            </w:r>
          </w:p>
        </w:tc>
        <w:tc>
          <w:tcPr>
            <w:tcW w:w="72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品名</w:t>
            </w:r>
          </w:p>
          <w:p>
            <w:pPr>
              <w:adjustRightInd w:val="0"/>
              <w:snapToGrid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型号</w:t>
            </w:r>
          </w:p>
        </w:tc>
        <w:tc>
          <w:tcPr>
            <w:tcW w:w="8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技术</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参数</w:t>
            </w:r>
          </w:p>
        </w:tc>
        <w:tc>
          <w:tcPr>
            <w:tcW w:w="803"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数量</w:t>
            </w:r>
          </w:p>
        </w:tc>
        <w:tc>
          <w:tcPr>
            <w:tcW w:w="17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投标方报价</w:t>
            </w:r>
          </w:p>
        </w:tc>
        <w:tc>
          <w:tcPr>
            <w:tcW w:w="11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合同</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总价</w:t>
            </w:r>
          </w:p>
        </w:tc>
        <w:tc>
          <w:tcPr>
            <w:tcW w:w="9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金额</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大写</w:t>
            </w:r>
          </w:p>
        </w:tc>
        <w:tc>
          <w:tcPr>
            <w:tcW w:w="897" w:type="dxa"/>
            <w:vMerge w:val="restart"/>
            <w:tcBorders>
              <w:top w:val="single" w:color="auto" w:sz="4" w:space="0"/>
              <w:right w:val="single" w:color="auto" w:sz="4" w:space="0"/>
            </w:tcBorders>
            <w:vAlign w:val="center"/>
          </w:tcPr>
          <w:p>
            <w:pPr>
              <w:widowControl/>
              <w:adjustRightInd w:val="0"/>
              <w:snapToGrid w:val="0"/>
              <w:jc w:val="both"/>
              <w:rPr>
                <w:rFonts w:hint="eastAsia" w:ascii="宋体" w:hAnsi="宋体"/>
                <w:color w:val="auto"/>
                <w:sz w:val="24"/>
                <w:szCs w:val="24"/>
                <w:highlight w:val="none"/>
              </w:rPr>
            </w:pPr>
            <w:r>
              <w:rPr>
                <w:rFonts w:hint="eastAsia" w:ascii="宋体" w:hAnsi="宋体"/>
                <w:color w:val="auto"/>
                <w:sz w:val="24"/>
                <w:szCs w:val="24"/>
                <w:highlight w:val="none"/>
              </w:rPr>
              <w:t>备注</w:t>
            </w:r>
          </w:p>
        </w:tc>
      </w:tr>
      <w:tr>
        <w:tblPrEx>
          <w:tblCellMar>
            <w:top w:w="0" w:type="dxa"/>
            <w:left w:w="108" w:type="dxa"/>
            <w:bottom w:w="0" w:type="dxa"/>
            <w:right w:w="108" w:type="dxa"/>
          </w:tblCellMar>
        </w:tblPrEx>
        <w:trPr>
          <w:cantSplit/>
          <w:trHeight w:val="578" w:hRule="atLeast"/>
          <w:jc w:val="center"/>
        </w:trPr>
        <w:tc>
          <w:tcPr>
            <w:tcW w:w="72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728" w:type="dxa"/>
            <w:vMerge w:val="continue"/>
            <w:tcBorders>
              <w:left w:val="single" w:color="auto" w:sz="4" w:space="0"/>
              <w:right w:val="single" w:color="auto" w:sz="4" w:space="0"/>
            </w:tcBorders>
            <w:vAlign w:val="top"/>
          </w:tcPr>
          <w:p>
            <w:pPr>
              <w:adjustRightInd w:val="0"/>
              <w:snapToGrid w:val="0"/>
              <w:spacing w:line="360" w:lineRule="auto"/>
              <w:rPr>
                <w:rFonts w:hint="eastAsia" w:ascii="宋体" w:hAnsi="宋体"/>
                <w:color w:val="auto"/>
                <w:sz w:val="24"/>
                <w:szCs w:val="24"/>
                <w:highlight w:val="none"/>
              </w:rPr>
            </w:pPr>
          </w:p>
        </w:tc>
        <w:tc>
          <w:tcPr>
            <w:tcW w:w="88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03" w:type="dxa"/>
            <w:vMerge w:val="continue"/>
            <w:tcBorders>
              <w:left w:val="single" w:color="auto" w:sz="4" w:space="0"/>
              <w:right w:val="single" w:color="auto" w:sz="4" w:space="0"/>
            </w:tcBorders>
            <w:vAlign w:val="top"/>
          </w:tcPr>
          <w:p>
            <w:pPr>
              <w:adjustRightInd w:val="0"/>
              <w:snapToGrid w:val="0"/>
              <w:spacing w:line="360" w:lineRule="auto"/>
              <w:jc w:val="center"/>
              <w:rPr>
                <w:rFonts w:ascii="宋体" w:hAnsi="宋体"/>
                <w:color w:val="auto"/>
                <w:sz w:val="24"/>
                <w:szCs w:val="24"/>
                <w:highlight w:val="none"/>
              </w:rPr>
            </w:pPr>
          </w:p>
        </w:tc>
        <w:tc>
          <w:tcPr>
            <w:tcW w:w="1774" w:type="dxa"/>
            <w:tcBorders>
              <w:top w:val="single" w:color="auto" w:sz="4" w:space="0"/>
              <w:left w:val="single" w:color="auto" w:sz="4" w:space="0"/>
              <w:right w:val="single" w:color="auto" w:sz="4" w:space="0"/>
            </w:tcBorders>
            <w:vAlign w:val="bottom"/>
          </w:tcPr>
          <w:p>
            <w:pPr>
              <w:adjustRightInd w:val="0"/>
              <w:snapToGrid w:val="0"/>
              <w:spacing w:line="360" w:lineRule="auto"/>
              <w:ind w:left="165"/>
              <w:jc w:val="center"/>
              <w:rPr>
                <w:rFonts w:ascii="宋体" w:hAnsi="宋体"/>
                <w:color w:val="auto"/>
                <w:sz w:val="24"/>
                <w:szCs w:val="24"/>
                <w:highlight w:val="none"/>
              </w:rPr>
            </w:pPr>
            <w:r>
              <w:rPr>
                <w:rFonts w:hint="eastAsia" w:ascii="宋体" w:hAnsi="宋体"/>
                <w:color w:val="auto"/>
                <w:sz w:val="24"/>
                <w:szCs w:val="24"/>
                <w:highlight w:val="none"/>
              </w:rPr>
              <w:t>单价（元/支）</w:t>
            </w:r>
          </w:p>
        </w:tc>
        <w:tc>
          <w:tcPr>
            <w:tcW w:w="1105"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98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97" w:type="dxa"/>
            <w:vMerge w:val="continue"/>
            <w:tcBorders>
              <w:bottom w:val="single" w:color="auto" w:sz="4" w:space="0"/>
              <w:right w:val="single" w:color="auto" w:sz="4" w:space="0"/>
            </w:tcBorders>
            <w:vAlign w:val="top"/>
          </w:tcPr>
          <w:p>
            <w:pPr>
              <w:widowControl/>
              <w:adjustRightInd w:val="0"/>
              <w:snapToGrid w:val="0"/>
              <w:jc w:val="left"/>
              <w:rPr>
                <w:rFonts w:ascii="宋体" w:hAnsi="宋体"/>
                <w:color w:val="auto"/>
                <w:sz w:val="24"/>
                <w:szCs w:val="24"/>
                <w:highlight w:val="none"/>
              </w:rPr>
            </w:pPr>
          </w:p>
        </w:tc>
      </w:tr>
      <w:tr>
        <w:tblPrEx>
          <w:tblCellMar>
            <w:top w:w="0" w:type="dxa"/>
            <w:left w:w="108" w:type="dxa"/>
            <w:bottom w:w="0" w:type="dxa"/>
            <w:right w:w="108" w:type="dxa"/>
          </w:tblCellMar>
        </w:tblPrEx>
        <w:trPr>
          <w:cantSplit/>
          <w:trHeight w:val="615"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551" w:hRule="atLeast"/>
          <w:jc w:val="center"/>
        </w:trPr>
        <w:tc>
          <w:tcPr>
            <w:tcW w:w="1995"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合同总价</w:t>
            </w:r>
          </w:p>
        </w:tc>
        <w:tc>
          <w:tcPr>
            <w:tcW w:w="8036" w:type="dxa"/>
            <w:gridSpan w:val="8"/>
            <w:tcBorders>
              <w:top w:val="single" w:color="auto" w:sz="4" w:space="0"/>
              <w:left w:val="single" w:color="auto" w:sz="6" w:space="0"/>
              <w:bottom w:val="single" w:color="auto" w:sz="4" w:space="0"/>
              <w:right w:val="single" w:color="auto" w:sz="4" w:space="0"/>
            </w:tcBorders>
            <w:vAlign w:val="top"/>
          </w:tcPr>
          <w:p>
            <w:pPr>
              <w:adjustRightInd w:val="0"/>
              <w:snapToGrid w:val="0"/>
              <w:spacing w:line="360" w:lineRule="auto"/>
              <w:rPr>
                <w:rFonts w:hint="eastAsia" w:ascii="宋体" w:hAnsi="宋体" w:cs="仿宋_GB2312"/>
                <w:color w:val="auto"/>
                <w:kern w:val="0"/>
                <w:sz w:val="24"/>
                <w:szCs w:val="24"/>
                <w:highlight w:val="none"/>
              </w:rPr>
            </w:pPr>
          </w:p>
          <w:p>
            <w:pPr>
              <w:adjustRightInd w:val="0"/>
              <w:snapToGrid w:val="0"/>
              <w:spacing w:line="360" w:lineRule="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人民币大写</w:t>
            </w:r>
            <w:r>
              <w:rPr>
                <w:rFonts w:hint="eastAsia" w:ascii="宋体" w:hAnsi="宋体" w:cs="仿宋_GB2312"/>
                <w:color w:val="auto"/>
                <w:kern w:val="0"/>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仿宋_GB2312"/>
                <w:color w:val="auto"/>
                <w:kern w:val="0"/>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仿宋_GB2312"/>
                <w:color w:val="auto"/>
                <w:kern w:val="0"/>
                <w:sz w:val="24"/>
                <w:szCs w:val="24"/>
                <w:highlight w:val="none"/>
              </w:rPr>
              <w:t>元）</w:t>
            </w:r>
          </w:p>
          <w:p>
            <w:pPr>
              <w:widowControl/>
              <w:adjustRightInd w:val="0"/>
              <w:snapToGrid w:val="0"/>
              <w:jc w:val="left"/>
              <w:rPr>
                <w:rFonts w:hint="eastAsia" w:ascii="宋体" w:hAnsi="宋体" w:eastAsia="宋体" w:cs="Times New Roman"/>
                <w:color w:val="auto"/>
                <w:kern w:val="2"/>
                <w:sz w:val="24"/>
                <w:szCs w:val="24"/>
                <w:highlight w:val="none"/>
                <w:lang w:val="en-US" w:eastAsia="zh-CN" w:bidi="ar-SA"/>
              </w:rPr>
            </w:pPr>
          </w:p>
        </w:tc>
      </w:tr>
    </w:tbl>
    <w:p>
      <w:pPr>
        <w:adjustRightInd w:val="0"/>
        <w:snapToGrid w:val="0"/>
        <w:spacing w:line="360" w:lineRule="auto"/>
        <w:jc w:val="center"/>
        <w:rPr>
          <w:rFonts w:hint="eastAsia" w:ascii="宋体" w:hAnsi="宋体"/>
          <w:color w:val="auto"/>
          <w:spacing w:val="-20"/>
          <w:sz w:val="24"/>
          <w:szCs w:val="24"/>
          <w:highlight w:val="none"/>
        </w:rPr>
      </w:pPr>
    </w:p>
    <w:p>
      <w:pPr>
        <w:adjustRightInd w:val="0"/>
        <w:snapToGrid w:val="0"/>
        <w:spacing w:line="360" w:lineRule="auto"/>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说</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明</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 合同总价包含到达交货地点的运杂费、技术服务（相关技术指导）、运输费、保险费、培训及其他各项费用。</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（二）合同总价包括乙方销售本合同产品，国家根据现行税法向乙方征收的与履行合同有关的一切税费。</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 合同总价一次包死，不受市场价格变化的影响，并作为结算的唯一依据。</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二、产品质量要求</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 国家标准：</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（二）行业标准：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 样品标准：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天内，免费负责更换新的产品。对造成的损失甲方保留索赔的权利。</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三、包装方式及包装品处理</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（一）包装方式：</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（二）包装品处理：</w:t>
      </w:r>
      <w:r>
        <w:rPr>
          <w:rFonts w:hint="eastAsia" w:ascii="宋体" w:hAnsi="宋体"/>
          <w:color w:val="auto"/>
          <w:sz w:val="24"/>
          <w:szCs w:val="24"/>
          <w:highlight w:val="none"/>
          <w:u w:val="single"/>
        </w:rPr>
        <w:t xml:space="preserve">                              </w:t>
      </w:r>
    </w:p>
    <w:p>
      <w:pPr>
        <w:numPr>
          <w:ilvl w:val="0"/>
          <w:numId w:val="0"/>
        </w:num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交货方式</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（一）交货期限：</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 xml:space="preserve">（二）交货地点： </w:t>
      </w:r>
      <w:r>
        <w:rPr>
          <w:rFonts w:hint="eastAsia" w:ascii="宋体" w:hAnsi="宋体"/>
          <w:color w:val="auto"/>
          <w:sz w:val="24"/>
          <w:szCs w:val="24"/>
          <w:highlight w:val="none"/>
          <w:u w:val="single"/>
        </w:rPr>
        <w:t xml:space="preserve">  甲方</w:t>
      </w:r>
      <w:r>
        <w:rPr>
          <w:rFonts w:ascii="宋体" w:hAnsi="宋体"/>
          <w:color w:val="auto"/>
          <w:sz w:val="24"/>
          <w:szCs w:val="24"/>
          <w:highlight w:val="none"/>
          <w:u w:val="single"/>
        </w:rPr>
        <w:t>指定地点。</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（三）运输方式：</w:t>
      </w:r>
      <w:r>
        <w:rPr>
          <w:rFonts w:hint="eastAsia" w:ascii="宋体" w:hAnsi="宋体"/>
          <w:color w:val="auto"/>
          <w:sz w:val="24"/>
          <w:szCs w:val="24"/>
          <w:highlight w:val="none"/>
          <w:u w:val="single"/>
        </w:rPr>
        <w:t xml:space="preserve">  乙方</w:t>
      </w:r>
      <w:r>
        <w:rPr>
          <w:rFonts w:ascii="宋体" w:hAnsi="宋体"/>
          <w:color w:val="auto"/>
          <w:sz w:val="24"/>
          <w:szCs w:val="24"/>
          <w:highlight w:val="none"/>
          <w:u w:val="single"/>
        </w:rPr>
        <w:t>负责运输</w:t>
      </w:r>
      <w:r>
        <w:rPr>
          <w:rFonts w:hint="eastAsia" w:ascii="宋体" w:hAnsi="宋体"/>
          <w:color w:val="auto"/>
          <w:sz w:val="24"/>
          <w:szCs w:val="24"/>
          <w:highlight w:val="none"/>
          <w:u w:val="single"/>
        </w:rPr>
        <w:t>到</w:t>
      </w:r>
      <w:r>
        <w:rPr>
          <w:rFonts w:ascii="宋体" w:hAnsi="宋体"/>
          <w:color w:val="auto"/>
          <w:sz w:val="24"/>
          <w:szCs w:val="24"/>
          <w:highlight w:val="none"/>
          <w:u w:val="single"/>
        </w:rPr>
        <w:t>甲方</w:t>
      </w:r>
      <w:r>
        <w:rPr>
          <w:rFonts w:hint="eastAsia" w:ascii="宋体" w:hAnsi="宋体"/>
          <w:color w:val="auto"/>
          <w:sz w:val="24"/>
          <w:szCs w:val="24"/>
          <w:highlight w:val="none"/>
          <w:u w:val="single"/>
        </w:rPr>
        <w:t xml:space="preserve">指定地点               </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根据国家相关部门规定，产品需特殊方式运输的，如冷链运输的，配送由</w:t>
      </w:r>
      <w:r>
        <w:rPr>
          <w:rFonts w:ascii="宋体" w:hAnsi="宋体"/>
          <w:color w:val="auto"/>
          <w:sz w:val="24"/>
          <w:szCs w:val="24"/>
          <w:highlight w:val="none"/>
        </w:rPr>
        <w:t>具备冷链储存、运输条件</w:t>
      </w:r>
      <w:r>
        <w:rPr>
          <w:rFonts w:hint="eastAsia" w:ascii="宋体" w:hAnsi="宋体"/>
          <w:color w:val="auto"/>
          <w:sz w:val="24"/>
          <w:szCs w:val="24"/>
          <w:highlight w:val="none"/>
        </w:rPr>
        <w:t>乙方或乙方</w:t>
      </w:r>
      <w:r>
        <w:rPr>
          <w:rFonts w:ascii="宋体" w:hAnsi="宋体"/>
          <w:color w:val="auto"/>
          <w:sz w:val="24"/>
          <w:szCs w:val="24"/>
          <w:highlight w:val="none"/>
        </w:rPr>
        <w:t>委托具备冷链储存、运输条件的企业</w:t>
      </w:r>
      <w:r>
        <w:rPr>
          <w:rFonts w:hint="eastAsia" w:ascii="宋体" w:hAnsi="宋体"/>
          <w:color w:val="auto"/>
          <w:sz w:val="24"/>
          <w:szCs w:val="24"/>
          <w:highlight w:val="none"/>
        </w:rPr>
        <w:t>负责</w:t>
      </w:r>
      <w:r>
        <w:rPr>
          <w:rFonts w:ascii="宋体" w:hAnsi="宋体"/>
          <w:color w:val="auto"/>
          <w:sz w:val="24"/>
          <w:szCs w:val="24"/>
          <w:highlight w:val="none"/>
        </w:rPr>
        <w:t>配送。</w:t>
      </w:r>
      <w:r>
        <w:rPr>
          <w:rFonts w:hint="eastAsia" w:ascii="宋体" w:hAnsi="宋体"/>
          <w:color w:val="auto"/>
          <w:sz w:val="24"/>
          <w:szCs w:val="24"/>
          <w:highlight w:val="none"/>
        </w:rPr>
        <w:t>配送要符合新修改条例及各级卫生主管部门和食品药品监督管理部门的相关规定，</w:t>
      </w:r>
      <w:r>
        <w:rPr>
          <w:rFonts w:ascii="宋体" w:hAnsi="宋体"/>
          <w:color w:val="auto"/>
          <w:sz w:val="24"/>
          <w:szCs w:val="24"/>
          <w:highlight w:val="none"/>
        </w:rPr>
        <w:t>遵守储存、运输管理规范，保证</w:t>
      </w:r>
      <w:r>
        <w:rPr>
          <w:rFonts w:hint="eastAsia" w:ascii="宋体" w:hAnsi="宋体"/>
          <w:color w:val="auto"/>
          <w:sz w:val="24"/>
          <w:szCs w:val="24"/>
          <w:highlight w:val="none"/>
        </w:rPr>
        <w:t>产品</w:t>
      </w:r>
      <w:r>
        <w:rPr>
          <w:rFonts w:hint="eastAsia" w:ascii="宋体" w:hAnsi="宋体" w:eastAsia="宋体" w:cs="Times New Roman"/>
          <w:color w:val="auto"/>
          <w:sz w:val="24"/>
          <w:szCs w:val="24"/>
          <w:highlight w:val="none"/>
        </w:rPr>
        <w:t>质量。产品储存、运输的全过程应当始终处于规定的温度环境，不得脱离冷链，每批货物需配备自动温度记录器，按要求做好全程温度记录，并能够现场读取。</w:t>
      </w:r>
    </w:p>
    <w:p>
      <w:pPr>
        <w:numPr>
          <w:ilvl w:val="0"/>
          <w:numId w:val="0"/>
        </w:num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验收</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（一）验收时间：</w:t>
      </w:r>
      <w:r>
        <w:rPr>
          <w:rFonts w:hint="eastAsia" w:ascii="宋体" w:hAnsi="宋体"/>
          <w:color w:val="auto"/>
          <w:sz w:val="24"/>
          <w:szCs w:val="24"/>
          <w:highlight w:val="none"/>
          <w:u w:val="single"/>
        </w:rPr>
        <w:t xml:space="preserve"> 货</w:t>
      </w:r>
      <w:r>
        <w:rPr>
          <w:rFonts w:ascii="宋体" w:hAnsi="宋体"/>
          <w:color w:val="auto"/>
          <w:sz w:val="24"/>
          <w:szCs w:val="24"/>
          <w:highlight w:val="none"/>
          <w:u w:val="single"/>
        </w:rPr>
        <w:t>到</w:t>
      </w:r>
      <w:r>
        <w:rPr>
          <w:rFonts w:hint="eastAsia" w:ascii="宋体" w:hAnsi="宋体"/>
          <w:color w:val="auto"/>
          <w:sz w:val="24"/>
          <w:szCs w:val="24"/>
          <w:highlight w:val="none"/>
          <w:u w:val="single"/>
        </w:rPr>
        <w:t xml:space="preserve">现场验收 。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（二）验收方式：</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验收按照下列要求验收，如一项不合格，视同产品不合格：</w:t>
      </w:r>
    </w:p>
    <w:p>
      <w:pPr>
        <w:adjustRightInd w:val="0"/>
        <w:snapToGrid w:val="0"/>
        <w:spacing w:line="360" w:lineRule="auto"/>
        <w:ind w:firstLine="736" w:firstLineChars="307"/>
        <w:rPr>
          <w:rFonts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1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⑴</w:t>
      </w:r>
      <w:r>
        <w:rPr>
          <w:rFonts w:ascii="宋体" w:hAnsi="宋体"/>
          <w:color w:val="auto"/>
          <w:sz w:val="24"/>
          <w:szCs w:val="24"/>
          <w:highlight w:val="none"/>
        </w:rPr>
        <w:fldChar w:fldCharType="end"/>
      </w:r>
      <w:r>
        <w:rPr>
          <w:rFonts w:hint="eastAsia" w:ascii="宋体" w:hAnsi="宋体"/>
          <w:color w:val="auto"/>
          <w:sz w:val="24"/>
          <w:szCs w:val="24"/>
          <w:highlight w:val="none"/>
        </w:rPr>
        <w:t>资料验收：供方交货前应按合同规定的要求，提供相关的技术资料。</w:t>
      </w:r>
    </w:p>
    <w:p>
      <w:pPr>
        <w:adjustRightInd w:val="0"/>
        <w:snapToGrid w:val="0"/>
        <w:spacing w:line="360" w:lineRule="auto"/>
        <w:ind w:left="210" w:leftChars="100" w:firstLine="496" w:firstLineChars="2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2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⑵</w:t>
      </w:r>
      <w:r>
        <w:rPr>
          <w:rFonts w:ascii="宋体" w:hAnsi="宋体"/>
          <w:color w:val="auto"/>
          <w:sz w:val="24"/>
          <w:szCs w:val="24"/>
          <w:highlight w:val="none"/>
        </w:rPr>
        <w:fldChar w:fldCharType="end"/>
      </w:r>
      <w:r>
        <w:rPr>
          <w:rFonts w:hint="eastAsia" w:ascii="宋体" w:hAnsi="宋体"/>
          <w:color w:val="auto"/>
          <w:sz w:val="24"/>
          <w:szCs w:val="24"/>
          <w:highlight w:val="none"/>
        </w:rPr>
        <w:t xml:space="preserve">实物验收：包括产品名称、数量、规格和包装等外观形态。质保期剩余期限不得低于该产品限定质保期的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736" w:firstLineChars="3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3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⑶</w:t>
      </w:r>
      <w:r>
        <w:rPr>
          <w:rFonts w:ascii="宋体" w:hAnsi="宋体"/>
          <w:color w:val="auto"/>
          <w:sz w:val="24"/>
          <w:szCs w:val="24"/>
          <w:highlight w:val="none"/>
        </w:rPr>
        <w:fldChar w:fldCharType="end"/>
      </w:r>
      <w:r>
        <w:rPr>
          <w:rFonts w:hint="eastAsia" w:ascii="宋体" w:hAnsi="宋体"/>
          <w:color w:val="auto"/>
          <w:sz w:val="24"/>
          <w:szCs w:val="24"/>
          <w:highlight w:val="none"/>
        </w:rPr>
        <w:t>产品质量抽检复核。</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（三）安装验收：</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产品如需安装验收，自设备正常运转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天后，视为验收合格。</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（四）特殊产品（指疫苗等生物产品）乙方交货</w:t>
      </w:r>
      <w:r>
        <w:rPr>
          <w:rFonts w:ascii="宋体" w:hAnsi="宋体"/>
          <w:color w:val="auto"/>
          <w:sz w:val="24"/>
          <w:szCs w:val="24"/>
          <w:highlight w:val="none"/>
        </w:rPr>
        <w:t>时，</w:t>
      </w:r>
      <w:r>
        <w:rPr>
          <w:rFonts w:hint="eastAsia" w:ascii="宋体" w:hAnsi="宋体"/>
          <w:color w:val="auto"/>
          <w:sz w:val="24"/>
          <w:szCs w:val="24"/>
          <w:highlight w:val="none"/>
        </w:rPr>
        <w:t>同时</w:t>
      </w:r>
      <w:r>
        <w:rPr>
          <w:rFonts w:ascii="宋体" w:hAnsi="宋体"/>
          <w:color w:val="auto"/>
          <w:sz w:val="24"/>
          <w:szCs w:val="24"/>
          <w:highlight w:val="none"/>
        </w:rPr>
        <w:t>应当提供</w:t>
      </w:r>
      <w:r>
        <w:rPr>
          <w:rFonts w:hint="eastAsia" w:ascii="宋体" w:hAnsi="宋体"/>
          <w:color w:val="auto"/>
          <w:sz w:val="24"/>
          <w:szCs w:val="24"/>
          <w:highlight w:val="none"/>
        </w:rPr>
        <w:t>该批产品</w:t>
      </w:r>
      <w:r>
        <w:rPr>
          <w:rFonts w:ascii="宋体" w:hAnsi="宋体"/>
          <w:color w:val="auto"/>
          <w:sz w:val="24"/>
          <w:szCs w:val="24"/>
          <w:highlight w:val="none"/>
        </w:rPr>
        <w:t>由药品检验机构依法签发的生物制品每批检验合格或者审核批准证明复印件，并加盖企业印章</w:t>
      </w:r>
      <w:r>
        <w:rPr>
          <w:rFonts w:hint="eastAsia" w:ascii="宋体" w:hAnsi="宋体"/>
          <w:color w:val="auto"/>
          <w:sz w:val="24"/>
          <w:szCs w:val="24"/>
          <w:highlight w:val="none"/>
        </w:rPr>
        <w:t>。</w:t>
      </w:r>
      <w:r>
        <w:rPr>
          <w:rFonts w:ascii="宋体" w:hAnsi="宋体"/>
          <w:color w:val="auto"/>
          <w:sz w:val="24"/>
          <w:szCs w:val="24"/>
          <w:highlight w:val="none"/>
        </w:rPr>
        <w:t>销售进口</w:t>
      </w:r>
      <w:r>
        <w:rPr>
          <w:rFonts w:hint="eastAsia" w:ascii="宋体" w:hAnsi="宋体"/>
          <w:color w:val="auto"/>
          <w:sz w:val="24"/>
          <w:szCs w:val="24"/>
          <w:highlight w:val="none"/>
        </w:rPr>
        <w:t>产品</w:t>
      </w:r>
      <w:r>
        <w:rPr>
          <w:rFonts w:ascii="宋体" w:hAnsi="宋体"/>
          <w:color w:val="auto"/>
          <w:sz w:val="24"/>
          <w:szCs w:val="24"/>
          <w:highlight w:val="none"/>
        </w:rPr>
        <w:t>的，还应当提供进口药品通关单复印件，并加盖企业印章。</w:t>
      </w:r>
      <w:r>
        <w:rPr>
          <w:rFonts w:hint="eastAsia" w:ascii="宋体" w:hAnsi="宋体"/>
          <w:color w:val="auto"/>
          <w:sz w:val="24"/>
          <w:szCs w:val="24"/>
          <w:highlight w:val="none"/>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（五）质量争议：对产品质量发生争议由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检验机构进行检验，检验费由违约方承担。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 xml:space="preserve">（七）甲方因使用、保管、保养不善等造成产品质量下降的，不得提出异议。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s="Arial"/>
          <w:color w:val="auto"/>
          <w:sz w:val="24"/>
          <w:szCs w:val="24"/>
          <w:highlight w:val="none"/>
        </w:rPr>
        <w:t>（八）货物符合合同约定的技术规范要求和验收标准的，甲方签署验收合格证明</w:t>
      </w:r>
      <w:r>
        <w:rPr>
          <w:rFonts w:hint="eastAsia" w:ascii="宋体" w:hAnsi="宋体"/>
          <w:color w:val="auto"/>
          <w:sz w:val="24"/>
          <w:szCs w:val="24"/>
          <w:highlight w:val="none"/>
        </w:rPr>
        <w:t xml:space="preserve"> 。                    </w:t>
      </w:r>
    </w:p>
    <w:p>
      <w:pPr>
        <w:adjustRightInd w:val="0"/>
        <w:snapToGrid w:val="0"/>
        <w:spacing w:line="360" w:lineRule="auto"/>
        <w:outlineLvl w:val="0"/>
        <w:rPr>
          <w:rFonts w:ascii="宋体" w:hAnsi="宋体" w:cs="宋体"/>
          <w:color w:val="auto"/>
          <w:kern w:val="0"/>
          <w:sz w:val="24"/>
          <w:szCs w:val="24"/>
          <w:highlight w:val="none"/>
        </w:rPr>
      </w:pPr>
      <w:bookmarkStart w:id="288" w:name="_Toc4054"/>
      <w:r>
        <w:rPr>
          <w:rFonts w:hint="eastAsia" w:ascii="宋体" w:hAnsi="宋体" w:cs="宋体"/>
          <w:color w:val="auto"/>
          <w:kern w:val="0"/>
          <w:sz w:val="24"/>
          <w:szCs w:val="24"/>
          <w:highlight w:val="none"/>
        </w:rPr>
        <w:t>六、款项支付</w:t>
      </w:r>
      <w:bookmarkEnd w:id="288"/>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（一）履约保证金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为保证乙方能够按合同履约，乙方应交付</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rPr>
        <w:t>履约保证金</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single"/>
        </w:rPr>
        <w:t>元，</w:t>
      </w:r>
      <w:r>
        <w:rPr>
          <w:rFonts w:hint="eastAsia" w:ascii="宋体" w:hAnsi="宋体"/>
          <w:color w:val="auto"/>
          <w:sz w:val="24"/>
          <w:szCs w:val="24"/>
          <w:highlight w:val="none"/>
        </w:rPr>
        <w:t>该保证金在质保</w:t>
      </w:r>
      <w:r>
        <w:rPr>
          <w:rFonts w:ascii="宋体" w:hAnsi="宋体"/>
          <w:color w:val="auto"/>
          <w:sz w:val="24"/>
          <w:szCs w:val="24"/>
          <w:highlight w:val="none"/>
        </w:rPr>
        <w:t>期开始计算时，</w:t>
      </w:r>
      <w:r>
        <w:rPr>
          <w:rFonts w:hint="eastAsia" w:ascii="宋体" w:hAnsi="宋体"/>
          <w:color w:val="auto"/>
          <w:sz w:val="24"/>
          <w:szCs w:val="24"/>
          <w:highlight w:val="none"/>
        </w:rPr>
        <w:t>转为</w:t>
      </w:r>
      <w:r>
        <w:rPr>
          <w:rFonts w:ascii="宋体" w:hAnsi="宋体"/>
          <w:color w:val="auto"/>
          <w:sz w:val="24"/>
          <w:szCs w:val="24"/>
          <w:highlight w:val="none"/>
        </w:rPr>
        <w:t>质保金，待质保期届满（无违约责任）</w:t>
      </w:r>
      <w:r>
        <w:rPr>
          <w:rFonts w:hint="eastAsia" w:ascii="宋体" w:hAnsi="宋体"/>
          <w:color w:val="auto"/>
          <w:sz w:val="24"/>
          <w:szCs w:val="24"/>
          <w:highlight w:val="none"/>
        </w:rPr>
        <w:t>后返还（无息）。如乙方有违约行为，甲方可用该保证金冲抵甲方的损失及乙方的违约金。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（二）货款支付：</w:t>
      </w:r>
    </w:p>
    <w:p>
      <w:pPr>
        <w:adjustRightInd w:val="0"/>
        <w:snapToGrid w:val="0"/>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（1）双方约定，合同签订后，乙方按</w:t>
      </w:r>
      <w:r>
        <w:rPr>
          <w:rFonts w:ascii="宋体" w:hAnsi="宋体"/>
          <w:color w:val="auto"/>
          <w:sz w:val="24"/>
          <w:szCs w:val="24"/>
          <w:highlight w:val="none"/>
        </w:rPr>
        <w:t>照甲方需求分批次供货，所有货物验收合格后，乙方向甲方开具合同全额发票，</w:t>
      </w:r>
      <w:r>
        <w:rPr>
          <w:rFonts w:hint="eastAsia" w:ascii="宋体" w:hAnsi="宋体"/>
          <w:color w:val="auto"/>
          <w:sz w:val="24"/>
          <w:szCs w:val="24"/>
          <w:highlight w:val="none"/>
        </w:rPr>
        <w:t>甲方收到发票后向乙方支付全额货款。</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（2）质保</w:t>
      </w:r>
      <w:r>
        <w:rPr>
          <w:rFonts w:ascii="宋体" w:hAnsi="宋体"/>
          <w:color w:val="auto"/>
          <w:sz w:val="24"/>
          <w:szCs w:val="24"/>
          <w:highlight w:val="none"/>
        </w:rPr>
        <w:t>金</w:t>
      </w:r>
      <w:r>
        <w:rPr>
          <w:rFonts w:hint="eastAsia" w:ascii="宋体" w:hAnsi="宋体"/>
          <w:color w:val="auto"/>
          <w:sz w:val="24"/>
          <w:szCs w:val="24"/>
          <w:highlight w:val="none"/>
        </w:rPr>
        <w:t>为</w:t>
      </w:r>
      <w:r>
        <w:rPr>
          <w:rFonts w:ascii="宋体" w:hAnsi="宋体"/>
          <w:color w:val="auto"/>
          <w:sz w:val="24"/>
          <w:szCs w:val="24"/>
          <w:highlight w:val="none"/>
        </w:rPr>
        <w:t>货款总额</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w:t>
      </w:r>
      <w:r>
        <w:rPr>
          <w:rFonts w:ascii="宋体" w:hAnsi="宋体"/>
          <w:color w:val="auto"/>
          <w:sz w:val="24"/>
          <w:szCs w:val="24"/>
          <w:highlight w:val="none"/>
        </w:rPr>
        <w:t>，质保期</w:t>
      </w:r>
      <w:r>
        <w:rPr>
          <w:rFonts w:hint="eastAsia" w:ascii="宋体" w:hAnsi="宋体"/>
          <w:color w:val="auto"/>
          <w:sz w:val="24"/>
          <w:szCs w:val="24"/>
          <w:highlight w:val="none"/>
        </w:rPr>
        <w:t>届</w:t>
      </w:r>
      <w:r>
        <w:rPr>
          <w:rFonts w:ascii="宋体" w:hAnsi="宋体"/>
          <w:color w:val="auto"/>
          <w:sz w:val="24"/>
          <w:szCs w:val="24"/>
          <w:highlight w:val="none"/>
        </w:rPr>
        <w:t>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w:t>
      </w:r>
      <w:r>
        <w:rPr>
          <w:rFonts w:ascii="宋体" w:hAnsi="宋体"/>
          <w:color w:val="auto"/>
          <w:sz w:val="24"/>
          <w:szCs w:val="24"/>
          <w:highlight w:val="none"/>
        </w:rPr>
        <w:t>返回。</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）双方约定，合同签订后，乙方按照甲方需求一次性供货，所有货物验收合格后，乙方向甲方开具合同全额发票，甲方收到发票后向乙方支付货款</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（4）付款要求：甲方财务凭下列单据支付货款（按甲乙各方的义务提交）：</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（a）全额发票（原件及复印件各1份）；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（b）合同复印件（1份）；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（c）中标通知书原件及复印件（1份）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采购验收单；</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（e）乙方供货清单（盖章）；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（f）</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物资采购廉洁合同（见附件1）；</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（g）</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使用科室付款说明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（h）供应商评价表（见附件2需由使用科室签字确认）；应乙方提交单据不全导致甲方财务未能付款的，甲方不承担逾期付款责任。</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（三）延期付款：甲方逾期付款的，应按逾期付款金额每日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%，向乙方支付违约金。</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（四）付款信息:</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乙</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p>
    <w:p>
      <w:pPr>
        <w:adjustRightInd w:val="0"/>
        <w:snapToGrid w:val="0"/>
        <w:spacing w:line="360" w:lineRule="auto"/>
        <w:ind w:firstLine="360" w:firstLineChars="15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w:t>
      </w:r>
      <w:r>
        <w:rPr>
          <w:rFonts w:ascii="宋体" w:hAnsi="宋体"/>
          <w:color w:val="auto"/>
          <w:sz w:val="24"/>
          <w:szCs w:val="24"/>
          <w:highlight w:val="none"/>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开</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开户行号：</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开户行号：</w:t>
      </w:r>
    </w:p>
    <w:p>
      <w:pPr>
        <w:adjustRightInd w:val="0"/>
        <w:snapToGrid w:val="0"/>
        <w:spacing w:line="360" w:lineRule="auto"/>
        <w:ind w:firstLine="360" w:firstLineChars="15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帐    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帐    号：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七、延期交货与核定损失额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。但核定损失额的支付不得超过迟交货物部分合同金额的15%。如果乙方在达到核定损失额的最高限额后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天后仍不能交货，甲方有权因乙方违约终止合同，而乙方仍有义务支付上述迟交核定损失金额。</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八、保密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双方保证对从另一方取得且无法自公开渠道获得的商业秘密（技术信息、经济信息及其他商业秘密）予以保密。未经对方同意不得向任何第三方泄露该商业秘密。保密期限为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九、保修与售后服务</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（一）、质保期为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（二）、接到甲方通知，乙方应在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小时内派遣相关人员到达现场，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小时内维修完毕；发生紧急抢修事故的，乙方应在接到甲方通知后立即赶往现场排除故障。乙方</w:t>
      </w:r>
      <w:r>
        <w:rPr>
          <w:rFonts w:ascii="宋体" w:hAnsi="宋体"/>
          <w:color w:val="auto"/>
          <w:sz w:val="24"/>
          <w:szCs w:val="24"/>
          <w:highlight w:val="none"/>
        </w:rPr>
        <w:t>未在约定时间到达现场，</w:t>
      </w:r>
      <w:r>
        <w:rPr>
          <w:rFonts w:hint="eastAsia" w:ascii="宋体" w:hAnsi="宋体"/>
          <w:color w:val="auto"/>
          <w:sz w:val="24"/>
          <w:szCs w:val="24"/>
          <w:highlight w:val="none"/>
        </w:rPr>
        <w:t>甲方可另选</w:t>
      </w:r>
      <w:r>
        <w:rPr>
          <w:rFonts w:ascii="宋体" w:hAnsi="宋体"/>
          <w:color w:val="auto"/>
          <w:sz w:val="24"/>
          <w:szCs w:val="24"/>
          <w:highlight w:val="none"/>
        </w:rPr>
        <w:t>第三方修复，相关费用由乙方承担。</w:t>
      </w:r>
      <w:r>
        <w:rPr>
          <w:rFonts w:hint="eastAsia" w:ascii="宋体" w:hAnsi="宋体"/>
          <w:color w:val="auto"/>
          <w:sz w:val="24"/>
          <w:szCs w:val="24"/>
          <w:highlight w:val="none"/>
        </w:rPr>
        <w:t>乙方未在约定时间内修复的或同一产品经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次维修后仍不能稳定、可靠运行的，甲方有权要求乙方免费更换。</w:t>
      </w:r>
      <w:r>
        <w:rPr>
          <w:rStyle w:val="59"/>
          <w:rFonts w:hint="eastAsia" w:ascii="宋体" w:hAnsi="宋体" w:cs="宋体"/>
          <w:color w:val="auto"/>
          <w:sz w:val="24"/>
          <w:szCs w:val="24"/>
          <w:highlight w:val="none"/>
        </w:rPr>
        <w:t>返修或更换部件后的产品保修期应重新计算。</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（三）、在质保期内，乙方应对产品出现的质量及安全问题负责处理解决并承担一切费用。</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（四）、质保期届满后，乙方对本合同项下产品提供终身维修服务，且维修时只收取所需维修部件的成本费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十、不可抗力</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如遇不可抗力事件的一方导致合同无法履行时，应立即将事故情况书面告知另一方，并在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天内，提供事故详情。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十一、违约责任</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（一）、在补救违约而采取的任何其他措施未能实现的情况下，即在乙方收到甲方发出的违约整改通知后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(1)如果乙方未能在合同规定的期限内或甲方准许的任何延期内交付部分或全部产品。</w:t>
      </w:r>
    </w:p>
    <w:p>
      <w:pPr>
        <w:adjustRightInd w:val="0"/>
        <w:snapToGrid w:val="0"/>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 xml:space="preserve">   (2)乙方未能履行合同项下的其它义务。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（三）、严禁乙方转让合同，若乙方违约，则甲方有权终止合同，乙方承担合同总价30%的违约金。</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任何一方违约应承担守约方因主张权利而支付的所有费用，包含且不限于误工费、差旅费、住宿费、交通费、律师费等。</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十二、其它事项</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（一）、招投标文件均作为合同不可分割的部分。解释顺序为招标文件、投标文件、合同、合同附件。</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（二）、合同未尽事宜，由甲、乙双方协商，作为合同的补充与原合同具有同等法律效力。</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十三、本合同签订时间、地点、履行期限</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（一）签订时间：</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（二）签订地点：</w:t>
      </w:r>
    </w:p>
    <w:p>
      <w:pPr>
        <w:adjustRightInd w:val="0"/>
        <w:snapToGrid w:val="0"/>
        <w:spacing w:line="360" w:lineRule="auto"/>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（三）履行期限：本合同供求关系时间自二零二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日，有效期限为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个月。</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十四、合同签订及生效：本合同一式四份，甲方执叁份、乙方执壹份，双方签字并盖章后生效。</w:t>
      </w:r>
    </w:p>
    <w:p>
      <w:pPr>
        <w:adjustRightInd w:val="0"/>
        <w:snapToGrid w:val="0"/>
        <w:spacing w:line="360" w:lineRule="auto"/>
        <w:rPr>
          <w:rFonts w:hint="eastAsia" w:ascii="宋体" w:hAnsi="宋体"/>
          <w:color w:val="auto"/>
          <w:sz w:val="24"/>
          <w:szCs w:val="24"/>
          <w:highlight w:val="none"/>
        </w:rPr>
      </w:pPr>
    </w:p>
    <w:p>
      <w:pPr>
        <w:pStyle w:val="2"/>
        <w:rPr>
          <w:rFonts w:hint="eastAsia"/>
        </w:rPr>
      </w:pPr>
    </w:p>
    <w:p>
      <w:pPr>
        <w:adjustRightInd w:val="0"/>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甲</w:t>
      </w:r>
      <w:r>
        <w:rPr>
          <w:rFonts w:ascii="宋体" w:hAnsi="宋体"/>
          <w:color w:val="auto"/>
          <w:sz w:val="24"/>
          <w:szCs w:val="24"/>
          <w:highlight w:val="none"/>
        </w:rPr>
        <w:t xml:space="preserve">    </w:t>
      </w:r>
      <w:r>
        <w:rPr>
          <w:rFonts w:hint="eastAsia" w:ascii="宋体" w:hAnsi="宋体"/>
          <w:color w:val="auto"/>
          <w:sz w:val="24"/>
          <w:szCs w:val="24"/>
          <w:highlight w:val="none"/>
        </w:rPr>
        <w:t>方</w:t>
      </w:r>
      <w:r>
        <w:rPr>
          <w:rFonts w:ascii="宋体" w:hAnsi="宋体"/>
          <w:color w:val="auto"/>
          <w:sz w:val="24"/>
          <w:szCs w:val="24"/>
          <w:highlight w:val="none"/>
        </w:rPr>
        <w:t xml:space="preserve">                                    </w:t>
      </w:r>
      <w:r>
        <w:rPr>
          <w:rFonts w:hint="eastAsia" w:ascii="宋体" w:hAnsi="宋体"/>
          <w:color w:val="auto"/>
          <w:sz w:val="24"/>
          <w:szCs w:val="24"/>
          <w:highlight w:val="none"/>
        </w:rPr>
        <w:t>乙</w:t>
      </w:r>
      <w:r>
        <w:rPr>
          <w:rFonts w:ascii="宋体" w:hAnsi="宋体"/>
          <w:color w:val="auto"/>
          <w:sz w:val="24"/>
          <w:szCs w:val="24"/>
          <w:highlight w:val="none"/>
        </w:rPr>
        <w:t xml:space="preserve">    </w:t>
      </w:r>
      <w:r>
        <w:rPr>
          <w:rFonts w:hint="eastAsia" w:ascii="宋体" w:hAnsi="宋体"/>
          <w:color w:val="auto"/>
          <w:sz w:val="24"/>
          <w:szCs w:val="24"/>
          <w:highlight w:val="none"/>
        </w:rPr>
        <w:t>方</w:t>
      </w:r>
    </w:p>
    <w:p>
      <w:pPr>
        <w:adjustRightInd w:val="0"/>
        <w:snapToGri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单位名称：                                </w:t>
      </w:r>
      <w:r>
        <w:rPr>
          <w:rFonts w:ascii="宋体" w:hAnsi="宋体"/>
          <w:color w:val="auto"/>
          <w:sz w:val="24"/>
          <w:szCs w:val="24"/>
          <w:highlight w:val="none"/>
        </w:rPr>
        <w:t xml:space="preserve">  </w:t>
      </w:r>
      <w:r>
        <w:rPr>
          <w:rFonts w:hint="eastAsia" w:ascii="宋体" w:hAnsi="宋体"/>
          <w:color w:val="auto"/>
          <w:sz w:val="24"/>
          <w:szCs w:val="24"/>
          <w:highlight w:val="none"/>
        </w:rPr>
        <w:t>单位名称：</w:t>
      </w:r>
      <w:r>
        <w:rPr>
          <w:rFonts w:ascii="宋体" w:hAnsi="宋体"/>
          <w:color w:val="auto"/>
          <w:sz w:val="24"/>
          <w:szCs w:val="24"/>
          <w:highlight w:val="none"/>
        </w:rPr>
        <w:t xml:space="preserve"> </w:t>
      </w:r>
    </w:p>
    <w:p>
      <w:pPr>
        <w:adjustRightInd w:val="0"/>
        <w:snapToGrid w:val="0"/>
        <w:spacing w:line="360" w:lineRule="auto"/>
        <w:ind w:right="-506" w:rightChars="-241" w:firstLine="240" w:firstLineChars="100"/>
        <w:jc w:val="both"/>
        <w:rPr>
          <w:rFonts w:hint="eastAsia" w:ascii="宋体" w:hAnsi="宋体"/>
          <w:color w:val="auto"/>
          <w:sz w:val="24"/>
          <w:szCs w:val="24"/>
          <w:highlight w:val="none"/>
        </w:rPr>
      </w:pPr>
      <w:r>
        <w:rPr>
          <w:rFonts w:hint="eastAsia" w:ascii="宋体" w:hAnsi="宋体"/>
          <w:color w:val="auto"/>
          <w:sz w:val="24"/>
          <w:szCs w:val="24"/>
          <w:highlight w:val="none"/>
        </w:rPr>
        <w:t>（盖章）</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adjustRightInd w:val="0"/>
        <w:snapToGrid w:val="0"/>
        <w:spacing w:line="360" w:lineRule="auto"/>
        <w:ind w:right="-506" w:rightChars="-241"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址：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地</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ascii="宋体" w:hAnsi="宋体"/>
          <w:color w:val="auto"/>
          <w:sz w:val="24"/>
          <w:szCs w:val="24"/>
          <w:highlight w:val="none"/>
        </w:rPr>
        <w:t xml:space="preserve"> </w:t>
      </w:r>
    </w:p>
    <w:p>
      <w:pPr>
        <w:adjustRightInd w:val="0"/>
        <w:snapToGrid w:val="0"/>
        <w:spacing w:line="360" w:lineRule="auto"/>
        <w:ind w:left="6943" w:leftChars="3078" w:right="-506" w:rightChars="-241" w:hanging="480" w:hangingChars="200"/>
        <w:rPr>
          <w:rFonts w:ascii="宋体" w:hAnsi="宋体"/>
          <w:color w:val="auto"/>
          <w:sz w:val="24"/>
          <w:szCs w:val="24"/>
          <w:highlight w:val="none"/>
        </w:rPr>
      </w:pP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法定代表人（签字）：</w:t>
      </w:r>
      <w:r>
        <w:rPr>
          <w:rFonts w:ascii="宋体" w:hAnsi="宋体"/>
          <w:color w:val="auto"/>
          <w:sz w:val="24"/>
          <w:szCs w:val="24"/>
          <w:highlight w:val="none"/>
        </w:rPr>
        <w:t xml:space="preserve"> </w:t>
      </w: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人（签字）：</w:t>
      </w:r>
    </w:p>
    <w:p>
      <w:pPr>
        <w:adjustRightInd w:val="0"/>
        <w:snapToGrid w:val="0"/>
        <w:spacing w:line="360" w:lineRule="auto"/>
        <w:ind w:left="-359" w:leftChars="-171" w:right="-506" w:rightChars="-24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联系电话：            </w:t>
      </w:r>
    </w:p>
    <w:p>
      <w:pPr>
        <w:adjustRightInd w:val="0"/>
        <w:snapToGrid w:val="0"/>
        <w:spacing w:line="360" w:lineRule="auto"/>
        <w:ind w:left="-359" w:leftChars="-171" w:right="-506" w:rightChars="-241" w:firstLine="6960" w:firstLineChars="290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rPr>
          <w:rFonts w:hint="eastAsia"/>
          <w:sz w:val="28"/>
          <w:szCs w:val="28"/>
          <w:lang w:val="en-US" w:eastAsia="zh-CN"/>
        </w:rPr>
      </w:pPr>
      <w:r>
        <w:rPr>
          <w:rFonts w:hint="eastAsia" w:ascii="宋体" w:hAnsi="宋体" w:cs="Helvetica"/>
          <w:b/>
          <w:bCs/>
          <w:color w:val="auto"/>
          <w:kern w:val="0"/>
          <w:sz w:val="24"/>
          <w:szCs w:val="24"/>
          <w:highlight w:val="none"/>
          <w:lang w:val="en-US" w:eastAsia="zh-CN"/>
        </w:rPr>
        <w:t>注：本合同为范本，具体以甲乙双方签订为准。</w:t>
      </w:r>
      <w:r>
        <w:rPr>
          <w:rFonts w:hint="eastAsia" w:ascii="宋体" w:hAnsi="宋体" w:cs="Helvetica"/>
          <w:color w:val="auto"/>
          <w:kern w:val="0"/>
          <w:sz w:val="24"/>
          <w:szCs w:val="24"/>
          <w:highlight w:val="none"/>
        </w:rPr>
        <w:br w:type="page"/>
      </w:r>
      <w:bookmarkStart w:id="289" w:name="_Toc28494"/>
    </w:p>
    <w:p>
      <w:pPr>
        <w:pStyle w:val="4"/>
        <w:bidi w:val="0"/>
        <w:jc w:val="center"/>
        <w:rPr>
          <w:rFonts w:hint="eastAsia"/>
          <w:sz w:val="28"/>
          <w:szCs w:val="28"/>
          <w:lang w:val="en-US" w:eastAsia="zh-CN"/>
        </w:rPr>
      </w:pPr>
      <w:r>
        <w:rPr>
          <w:rFonts w:hint="eastAsia"/>
          <w:sz w:val="28"/>
          <w:szCs w:val="28"/>
          <w:lang w:val="en-US" w:eastAsia="zh-CN"/>
        </w:rPr>
        <w:t>第七章 投标文件格式</w:t>
      </w:r>
      <w:bookmarkEnd w:id="289"/>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pPr>
        <w:pStyle w:val="7"/>
        <w:rPr>
          <w:rFonts w:hint="eastAsia" w:ascii="宋体" w:hAnsi="宋体" w:eastAsia="宋体" w:cs="宋体"/>
          <w:sz w:val="28"/>
          <w:szCs w:val="28"/>
          <w:lang w:val="en-US" w:eastAsia="zh-CN"/>
        </w:rPr>
      </w:pPr>
    </w:p>
    <w:p>
      <w:pPr>
        <w:spacing w:line="560" w:lineRule="exact"/>
        <w:jc w:val="center"/>
        <w:rPr>
          <w:rFonts w:hint="eastAsia" w:ascii="宋体" w:hAnsi="宋体" w:eastAsia="宋体" w:cs="宋体"/>
          <w:b/>
          <w:sz w:val="28"/>
          <w:szCs w:val="28"/>
        </w:rPr>
      </w:pPr>
      <w:r>
        <w:rPr>
          <w:rFonts w:hint="eastAsia" w:ascii="宋体" w:hAnsi="宋体" w:eastAsia="宋体" w:cs="宋体"/>
          <w:bCs/>
          <w:sz w:val="28"/>
          <w:szCs w:val="28"/>
        </w:rPr>
        <w:t>（封  面）</w:t>
      </w:r>
    </w:p>
    <w:p>
      <w:pPr>
        <w:spacing w:line="560" w:lineRule="exact"/>
        <w:ind w:firstLine="3080" w:firstLineChars="1100"/>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before="312" w:beforeLines="100" w:after="312" w:afterLines="100" w:line="560" w:lineRule="exact"/>
        <w:jc w:val="center"/>
        <w:rPr>
          <w:rFonts w:hint="eastAsia" w:ascii="宋体" w:hAnsi="宋体" w:eastAsia="宋体" w:cs="宋体"/>
          <w:bCs/>
          <w:sz w:val="28"/>
          <w:szCs w:val="28"/>
        </w:rPr>
      </w:pPr>
      <w:r>
        <w:rPr>
          <w:rFonts w:hint="eastAsia" w:ascii="宋体" w:hAnsi="宋体" w:eastAsia="宋体" w:cs="宋体"/>
          <w:bCs/>
          <w:sz w:val="28"/>
          <w:szCs w:val="28"/>
        </w:rPr>
        <w:t>投  标  文  件</w:t>
      </w:r>
    </w:p>
    <w:p>
      <w:pPr>
        <w:spacing w:line="560" w:lineRule="exact"/>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560" w:lineRule="exact"/>
        <w:rPr>
          <w:rFonts w:hint="eastAsia" w:ascii="宋体" w:hAnsi="宋体" w:eastAsia="宋体" w:cs="宋体"/>
          <w:bCs/>
          <w:sz w:val="28"/>
          <w:szCs w:val="28"/>
        </w:rPr>
      </w:pPr>
    </w:p>
    <w:p>
      <w:pPr>
        <w:spacing w:line="560" w:lineRule="exact"/>
        <w:ind w:firstLine="2240" w:firstLineChars="800"/>
        <w:rPr>
          <w:rFonts w:hint="eastAsia" w:ascii="宋体" w:hAnsi="宋体" w:eastAsia="宋体" w:cs="宋体"/>
          <w:bCs/>
          <w:sz w:val="28"/>
          <w:szCs w:val="28"/>
        </w:rPr>
      </w:pPr>
      <w:r>
        <w:rPr>
          <w:rFonts w:hint="eastAsia" w:ascii="宋体" w:hAnsi="宋体" w:eastAsia="宋体" w:cs="宋体"/>
          <w:bCs/>
          <w:sz w:val="28"/>
          <w:szCs w:val="28"/>
        </w:rPr>
        <w:t>项目名称:</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rPr>
        <w:t xml:space="preserve">                                  </w:t>
      </w:r>
    </w:p>
    <w:p>
      <w:pPr>
        <w:spacing w:line="560" w:lineRule="exact"/>
        <w:jc w:val="center"/>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ind w:firstLine="2520" w:firstLineChars="900"/>
        <w:jc w:val="both"/>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供 应 商：（盖章）</w:t>
      </w:r>
      <w:r>
        <w:rPr>
          <w:rFonts w:hint="eastAsia" w:ascii="宋体" w:hAnsi="宋体" w:eastAsia="宋体" w:cs="宋体"/>
          <w:bCs/>
          <w:sz w:val="28"/>
          <w:szCs w:val="28"/>
          <w:u w:val="single"/>
          <w:lang w:val="en-US" w:eastAsia="zh-CN"/>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u w:val="single"/>
          <w:lang w:val="en-US" w:eastAsia="zh-CN"/>
        </w:rPr>
        <w:t xml:space="preserve">  </w:t>
      </w:r>
    </w:p>
    <w:p>
      <w:pPr>
        <w:spacing w:line="560" w:lineRule="exact"/>
        <w:jc w:val="center"/>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目</w:t>
      </w: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val="en-US" w:eastAsia="zh-CN"/>
        </w:rPr>
        <w:t>录</w:t>
      </w:r>
    </w:p>
    <w:p>
      <w:pPr>
        <w:numPr>
          <w:ilvl w:val="0"/>
          <w:numId w:val="0"/>
        </w:numPr>
        <w:spacing w:line="48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bCs/>
          <w:sz w:val="24"/>
          <w:szCs w:val="24"/>
          <w:lang w:eastAsia="zh-CN"/>
        </w:rPr>
        <w:t>（页数）</w:t>
      </w:r>
    </w:p>
    <w:p>
      <w:pPr>
        <w:numPr>
          <w:ilvl w:val="0"/>
          <w:numId w:val="0"/>
        </w:num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开标一览表…………………………………………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三、</w:t>
      </w:r>
      <w:r>
        <w:rPr>
          <w:rFonts w:hint="eastAsia" w:ascii="宋体" w:hAnsi="宋体" w:eastAsia="宋体" w:cs="宋体"/>
          <w:bCs/>
          <w:sz w:val="24"/>
          <w:szCs w:val="24"/>
        </w:rPr>
        <w:t>投标价格明细表……………………………………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采购需求及相关要求响应详情……………………</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六、</w:t>
      </w:r>
      <w:r>
        <w:rPr>
          <w:rFonts w:hint="eastAsia" w:ascii="宋体" w:hAnsi="宋体" w:eastAsia="宋体" w:cs="宋体"/>
          <w:bCs/>
          <w:sz w:val="24"/>
          <w:szCs w:val="24"/>
        </w:rPr>
        <w:t>资格证明文件………………………………………</w:t>
      </w:r>
      <w:r>
        <w:rPr>
          <w:rFonts w:hint="eastAsia" w:ascii="宋体" w:hAnsi="宋体" w:eastAsia="宋体" w:cs="宋体"/>
          <w:bCs/>
          <w:sz w:val="24"/>
          <w:szCs w:val="24"/>
          <w:lang w:eastAsia="zh-CN"/>
        </w:rPr>
        <w:t>（页数）</w:t>
      </w:r>
    </w:p>
    <w:p>
      <w:pPr>
        <w:pStyle w:val="7"/>
        <w:ind w:left="0" w:leftChars="0" w:firstLine="0" w:firstLineChars="0"/>
        <w:rPr>
          <w:rFonts w:hint="eastAsia" w:ascii="宋体" w:hAnsi="宋体" w:cs="宋体"/>
          <w:sz w:val="24"/>
          <w:szCs w:val="24"/>
          <w:lang w:val="en-US" w:eastAsia="zh-CN"/>
        </w:rPr>
      </w:pPr>
      <w:r>
        <w:rPr>
          <w:rFonts w:hint="eastAsia" w:ascii="宋体" w:hAnsi="宋体" w:cs="宋体"/>
          <w:sz w:val="28"/>
          <w:szCs w:val="28"/>
          <w:lang w:val="en-US" w:eastAsia="zh-CN"/>
        </w:rPr>
        <w:t xml:space="preserve">  </w:t>
      </w:r>
      <w:r>
        <w:rPr>
          <w:rFonts w:hint="eastAsia" w:ascii="宋体" w:hAnsi="宋体" w:cs="宋体"/>
          <w:sz w:val="24"/>
          <w:szCs w:val="24"/>
          <w:lang w:val="en-US" w:eastAsia="zh-CN"/>
        </w:rPr>
        <w:t xml:space="preserve"> </w:t>
      </w:r>
    </w:p>
    <w:p>
      <w:pPr>
        <w:pStyle w:val="7"/>
        <w:ind w:left="0" w:leftChars="0" w:firstLine="0" w:firstLineChars="0"/>
        <w:rPr>
          <w:rFonts w:hint="eastAsia" w:ascii="宋体" w:hAnsi="宋体" w:cs="宋体"/>
          <w:sz w:val="24"/>
          <w:szCs w:val="24"/>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5"/>
        <w:bidi w:val="0"/>
        <w:jc w:val="center"/>
        <w:rPr>
          <w:rFonts w:hint="eastAsia"/>
          <w:sz w:val="28"/>
          <w:szCs w:val="28"/>
          <w:lang w:val="en-US" w:eastAsia="zh-CN"/>
        </w:rPr>
      </w:pPr>
      <w:bookmarkStart w:id="290" w:name="_Toc32502"/>
      <w:r>
        <w:rPr>
          <w:rFonts w:hint="eastAsia"/>
          <w:sz w:val="28"/>
          <w:szCs w:val="28"/>
          <w:lang w:val="en-US" w:eastAsia="zh-CN"/>
        </w:rPr>
        <w:t>一、投标函</w:t>
      </w:r>
      <w:bookmarkEnd w:id="29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我（单位/本人，以下统称我</w:t>
      </w:r>
      <w:r>
        <w:rPr>
          <w:rFonts w:hint="eastAsia" w:ascii="宋体" w:hAnsi="宋体" w:eastAsia="宋体" w:cs="宋体"/>
          <w:sz w:val="24"/>
          <w:szCs w:val="24"/>
          <w:lang w:eastAsia="zh-CN"/>
        </w:rPr>
        <w:t>方</w:t>
      </w:r>
      <w:r>
        <w:rPr>
          <w:rFonts w:hint="eastAsia" w:ascii="宋体" w:hAnsi="宋体" w:eastAsia="宋体" w:cs="宋体"/>
          <w:sz w:val="24"/>
          <w:szCs w:val="24"/>
        </w:rPr>
        <w:t>）自愿参加</w:t>
      </w:r>
      <w:r>
        <w:rPr>
          <w:rFonts w:hint="eastAsia" w:ascii="宋体" w:hAnsi="宋体" w:eastAsia="宋体" w:cs="宋体"/>
          <w:sz w:val="24"/>
          <w:szCs w:val="24"/>
          <w:u w:val="single"/>
        </w:rPr>
        <w:t xml:space="preserve">              （项目名称和招标编号）</w:t>
      </w:r>
      <w:r>
        <w:rPr>
          <w:rFonts w:hint="eastAsia" w:ascii="宋体" w:hAnsi="宋体" w:eastAsia="宋体" w:cs="宋体"/>
          <w:sz w:val="24"/>
          <w:szCs w:val="24"/>
        </w:rPr>
        <w:t>的投标,并做出如下承诺：</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bCs/>
          <w:sz w:val="24"/>
          <w:szCs w:val="24"/>
        </w:rPr>
        <w:t>我</w:t>
      </w:r>
      <w:r>
        <w:rPr>
          <w:rFonts w:hint="eastAsia" w:ascii="宋体" w:hAnsi="宋体" w:eastAsia="宋体" w:cs="宋体"/>
          <w:bCs/>
          <w:sz w:val="24"/>
          <w:szCs w:val="24"/>
          <w:lang w:eastAsia="zh-CN"/>
        </w:rPr>
        <w:t>方</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(姓名和职务)代表我方</w:t>
      </w:r>
      <w:r>
        <w:rPr>
          <w:rFonts w:hint="eastAsia" w:ascii="宋体" w:hAnsi="宋体" w:eastAsia="宋体" w:cs="宋体"/>
          <w:bCs/>
          <w:sz w:val="24"/>
          <w:szCs w:val="24"/>
          <w:u w:val="single"/>
        </w:rPr>
        <w:t xml:space="preserve">           （投标单位</w:t>
      </w:r>
      <w:r>
        <w:rPr>
          <w:rFonts w:hint="eastAsia" w:ascii="宋体" w:hAnsi="宋体" w:eastAsia="宋体" w:cs="宋体"/>
          <w:bCs/>
          <w:kern w:val="2"/>
          <w:sz w:val="24"/>
          <w:szCs w:val="24"/>
          <w:lang w:val="en-US" w:eastAsia="zh-CN" w:bidi="ar-SA"/>
        </w:rPr>
        <w:t>的名称）全权处理本项目投标的有关事宜。</w:t>
      </w:r>
    </w:p>
    <w:p>
      <w:pPr>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二、我方愿意按照采购文件规定的各项要求，向采购人提供所需的</w:t>
      </w:r>
      <w:r>
        <w:rPr>
          <w:rFonts w:hint="eastAsia" w:ascii="宋体" w:hAnsi="宋体" w:cs="宋体"/>
          <w:bCs/>
          <w:kern w:val="2"/>
          <w:sz w:val="24"/>
          <w:szCs w:val="24"/>
          <w:lang w:val="en-US" w:eastAsia="zh-CN" w:bidi="ar-SA"/>
        </w:rPr>
        <w:t>货物</w:t>
      </w:r>
      <w:r>
        <w:rPr>
          <w:rFonts w:hint="eastAsia" w:ascii="宋体" w:hAnsi="宋体" w:eastAsia="宋体" w:cs="宋体"/>
          <w:bCs/>
          <w:kern w:val="2"/>
          <w:sz w:val="24"/>
          <w:szCs w:val="24"/>
          <w:lang w:val="en-US" w:eastAsia="zh-CN" w:bidi="ar-SA"/>
        </w:rPr>
        <w:t>，我方所投总投标价为人民币（大写）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。（小写：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w:t>
      </w:r>
    </w:p>
    <w:p>
      <w:pPr>
        <w:pStyle w:val="5"/>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b w:val="0"/>
          <w:bCs/>
          <w:kern w:val="2"/>
          <w:sz w:val="24"/>
          <w:szCs w:val="24"/>
          <w:lang w:val="en-US" w:eastAsia="zh-CN" w:bidi="ar-SA"/>
        </w:rPr>
      </w:pPr>
      <w:bookmarkStart w:id="291" w:name="_Toc10924"/>
      <w:bookmarkStart w:id="292" w:name="_Toc25147"/>
      <w:r>
        <w:rPr>
          <w:rFonts w:hint="eastAsia" w:ascii="宋体" w:hAnsi="宋体" w:eastAsia="宋体" w:cs="宋体"/>
          <w:b w:val="0"/>
          <w:bCs/>
          <w:kern w:val="2"/>
          <w:sz w:val="24"/>
          <w:szCs w:val="24"/>
          <w:lang w:val="en-US" w:eastAsia="zh-CN" w:bidi="ar-SA"/>
        </w:rPr>
        <w:t>三、我方已详细审查全部采购文件，包括所有补充通知（如有），完全理解并同意放弃对这方面有不明、误解的权利。</w:t>
      </w:r>
      <w:bookmarkEnd w:id="291"/>
      <w:bookmarkEnd w:id="292"/>
    </w:p>
    <w:p>
      <w:pPr>
        <w:pStyle w:val="3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四、我方同意按照采购文件要求缴纳投标保证金，并承诺自投标截止时间至本项目发</w:t>
      </w:r>
      <w:r>
        <w:rPr>
          <w:rFonts w:hint="eastAsia" w:ascii="宋体" w:hAnsi="宋体" w:eastAsia="宋体" w:cs="宋体"/>
          <w:sz w:val="24"/>
          <w:szCs w:val="24"/>
        </w:rPr>
        <w:t>布中标公告为止，撤销投标</w:t>
      </w:r>
      <w:r>
        <w:rPr>
          <w:rFonts w:hint="eastAsia" w:ascii="宋体" w:hAnsi="宋体" w:eastAsia="宋体" w:cs="宋体"/>
          <w:sz w:val="24"/>
          <w:szCs w:val="24"/>
          <w:lang w:eastAsia="zh-CN"/>
        </w:rPr>
        <w:t>的、或者</w:t>
      </w:r>
      <w:r>
        <w:rPr>
          <w:rFonts w:hint="eastAsia" w:ascii="宋体" w:hAnsi="宋体" w:eastAsia="宋体" w:cs="宋体"/>
          <w:sz w:val="24"/>
          <w:szCs w:val="24"/>
        </w:rPr>
        <w:t>中标后不依法与采购人签订合同</w:t>
      </w:r>
      <w:r>
        <w:rPr>
          <w:rFonts w:hint="eastAsia" w:ascii="宋体" w:hAnsi="宋体" w:eastAsia="宋体" w:cs="宋体"/>
          <w:sz w:val="24"/>
          <w:szCs w:val="24"/>
          <w:lang w:eastAsia="zh-CN"/>
        </w:rPr>
        <w:t>、或者</w:t>
      </w:r>
      <w:r>
        <w:rPr>
          <w:rFonts w:hint="eastAsia" w:ascii="宋体" w:hAnsi="宋体" w:eastAsia="宋体" w:cs="宋体"/>
          <w:sz w:val="24"/>
          <w:szCs w:val="24"/>
        </w:rPr>
        <w:t>中标后不按照本</w:t>
      </w:r>
      <w:r>
        <w:rPr>
          <w:rFonts w:hint="eastAsia" w:ascii="宋体" w:hAnsi="宋体" w:eastAsia="宋体" w:cs="宋体"/>
          <w:sz w:val="24"/>
          <w:szCs w:val="24"/>
          <w:lang w:eastAsia="zh-CN"/>
        </w:rPr>
        <w:t>采购</w:t>
      </w:r>
      <w:r>
        <w:rPr>
          <w:rFonts w:hint="eastAsia" w:ascii="宋体" w:hAnsi="宋体" w:eastAsia="宋体" w:cs="宋体"/>
          <w:sz w:val="24"/>
          <w:szCs w:val="24"/>
        </w:rPr>
        <w:t>文件规定缴纳招标代理费</w:t>
      </w:r>
      <w:r>
        <w:rPr>
          <w:rFonts w:hint="eastAsia" w:ascii="宋体" w:hAnsi="宋体" w:eastAsia="宋体" w:cs="宋体"/>
          <w:sz w:val="24"/>
          <w:szCs w:val="24"/>
          <w:lang w:eastAsia="zh-CN"/>
        </w:rPr>
        <w:t>的，</w:t>
      </w:r>
      <w:r>
        <w:rPr>
          <w:rFonts w:hint="eastAsia" w:ascii="宋体" w:hAnsi="宋体" w:eastAsia="宋体" w:cs="宋体"/>
          <w:bCs/>
          <w:sz w:val="24"/>
          <w:szCs w:val="24"/>
        </w:rPr>
        <w:t>我方</w:t>
      </w:r>
      <w:r>
        <w:rPr>
          <w:rFonts w:hint="eastAsia" w:ascii="宋体" w:hAnsi="宋体" w:eastAsia="宋体" w:cs="宋体"/>
          <w:bCs/>
          <w:sz w:val="24"/>
          <w:szCs w:val="24"/>
          <w:lang w:eastAsia="zh-CN"/>
        </w:rPr>
        <w:t>将向采购人、采购代理机构</w:t>
      </w:r>
      <w:r>
        <w:rPr>
          <w:rFonts w:hint="eastAsia" w:ascii="宋体" w:hAnsi="宋体" w:eastAsia="宋体" w:cs="宋体"/>
          <w:sz w:val="24"/>
          <w:szCs w:val="24"/>
        </w:rPr>
        <w:t>支付本</w:t>
      </w:r>
      <w:r>
        <w:rPr>
          <w:rFonts w:hint="eastAsia" w:ascii="宋体" w:hAnsi="宋体" w:eastAsia="宋体" w:cs="宋体"/>
          <w:sz w:val="24"/>
          <w:szCs w:val="24"/>
          <w:lang w:eastAsia="zh-CN"/>
        </w:rPr>
        <w:t>采购</w:t>
      </w:r>
      <w:r>
        <w:rPr>
          <w:rFonts w:hint="eastAsia" w:ascii="宋体" w:hAnsi="宋体" w:eastAsia="宋体" w:cs="宋体"/>
          <w:sz w:val="24"/>
          <w:szCs w:val="24"/>
        </w:rPr>
        <w:t>文件公布的</w:t>
      </w:r>
      <w:r>
        <w:rPr>
          <w:rFonts w:hint="eastAsia" w:ascii="宋体" w:hAnsi="宋体" w:eastAsia="宋体" w:cs="宋体"/>
          <w:sz w:val="24"/>
          <w:szCs w:val="24"/>
          <w:lang w:eastAsia="zh-CN"/>
        </w:rPr>
        <w:t>投标保证金作为</w:t>
      </w:r>
      <w:r>
        <w:rPr>
          <w:rFonts w:hint="eastAsia" w:ascii="宋体" w:hAnsi="宋体" w:eastAsia="宋体" w:cs="宋体"/>
          <w:sz w:val="24"/>
          <w:szCs w:val="24"/>
        </w:rPr>
        <w:t>违约赔偿金。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我方愿意</w:t>
      </w:r>
      <w:r>
        <w:rPr>
          <w:rFonts w:hint="eastAsia" w:ascii="宋体" w:hAnsi="宋体" w:eastAsia="宋体" w:cs="宋体"/>
          <w:bCs/>
          <w:sz w:val="24"/>
          <w:szCs w:val="24"/>
          <w:lang w:eastAsia="zh-CN"/>
        </w:rPr>
        <w:t>按照采购文件的要求，提供</w:t>
      </w:r>
      <w:r>
        <w:rPr>
          <w:rFonts w:hint="eastAsia" w:ascii="宋体" w:hAnsi="宋体" w:eastAsia="宋体" w:cs="宋体"/>
          <w:bCs/>
          <w:sz w:val="24"/>
          <w:szCs w:val="24"/>
        </w:rPr>
        <w:t>与项目有关的</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文件资料，并保证我方</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w:t>
      </w:r>
      <w:r>
        <w:rPr>
          <w:rFonts w:hint="eastAsia" w:ascii="宋体" w:hAnsi="宋体" w:eastAsia="宋体" w:cs="宋体"/>
          <w:bCs/>
          <w:sz w:val="24"/>
          <w:szCs w:val="24"/>
          <w:lang w:eastAsia="zh-CN"/>
        </w:rPr>
        <w:t>资料的合法性、</w:t>
      </w:r>
      <w:r>
        <w:rPr>
          <w:rFonts w:hint="eastAsia" w:ascii="宋体" w:hAnsi="宋体" w:eastAsia="宋体" w:cs="宋体"/>
          <w:bCs/>
          <w:sz w:val="24"/>
          <w:szCs w:val="24"/>
        </w:rPr>
        <w:t>真实</w:t>
      </w:r>
      <w:r>
        <w:rPr>
          <w:rFonts w:hint="eastAsia" w:ascii="宋体" w:hAnsi="宋体" w:eastAsia="宋体" w:cs="宋体"/>
          <w:bCs/>
          <w:sz w:val="24"/>
          <w:szCs w:val="24"/>
          <w:lang w:eastAsia="zh-CN"/>
        </w:rPr>
        <w:t>性</w:t>
      </w:r>
      <w:r>
        <w:rPr>
          <w:rFonts w:hint="eastAsia" w:ascii="宋体" w:hAnsi="宋体" w:eastAsia="宋体" w:cs="宋体"/>
          <w:bCs/>
          <w:sz w:val="24"/>
          <w:szCs w:val="24"/>
        </w:rPr>
        <w:t>、</w:t>
      </w:r>
      <w:r>
        <w:rPr>
          <w:rFonts w:hint="eastAsia" w:ascii="宋体" w:hAnsi="宋体" w:eastAsia="宋体" w:cs="宋体"/>
          <w:bCs/>
          <w:sz w:val="24"/>
          <w:szCs w:val="24"/>
          <w:lang w:eastAsia="zh-CN"/>
        </w:rPr>
        <w:t>完整性和</w:t>
      </w:r>
      <w:r>
        <w:rPr>
          <w:rFonts w:hint="eastAsia" w:ascii="宋体" w:hAnsi="宋体" w:eastAsia="宋体" w:cs="宋体"/>
          <w:bCs/>
          <w:sz w:val="24"/>
          <w:szCs w:val="24"/>
        </w:rPr>
        <w:t>准确</w:t>
      </w:r>
      <w:r>
        <w:rPr>
          <w:rFonts w:hint="eastAsia" w:ascii="宋体" w:hAnsi="宋体" w:eastAsia="宋体" w:cs="宋体"/>
          <w:bCs/>
          <w:sz w:val="24"/>
          <w:szCs w:val="24"/>
          <w:lang w:eastAsia="zh-CN"/>
        </w:rPr>
        <w:t>性</w:t>
      </w:r>
      <w:r>
        <w:rPr>
          <w:rFonts w:hint="eastAsia" w:ascii="宋体" w:hAnsi="宋体" w:eastAsia="宋体" w:cs="宋体"/>
          <w:bCs/>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w:t>
      </w:r>
      <w:r>
        <w:rPr>
          <w:rFonts w:hint="eastAsia" w:ascii="宋体" w:hAnsi="宋体" w:eastAsia="宋体" w:cs="宋体"/>
          <w:bCs/>
          <w:sz w:val="24"/>
          <w:szCs w:val="24"/>
        </w:rPr>
        <w:t xml:space="preserve">一旦我方被确定为中标供应商，我方将严格履行合同规定的责任和义务，保证于合同签字生效后按照约定时间完成项目，并交付采购人验收。 </w:t>
      </w:r>
    </w:p>
    <w:p>
      <w:pPr>
        <w:spacing w:line="360" w:lineRule="auto"/>
        <w:ind w:left="1413" w:leftChars="273" w:hanging="840" w:hangingChars="350"/>
        <w:rPr>
          <w:rFonts w:hint="eastAsia" w:ascii="宋体" w:hAnsi="宋体" w:eastAsia="宋体" w:cs="宋体"/>
          <w:sz w:val="24"/>
          <w:szCs w:val="24"/>
        </w:rPr>
      </w:pPr>
    </w:p>
    <w:p>
      <w:pPr>
        <w:spacing w:line="360" w:lineRule="auto"/>
        <w:ind w:left="1413" w:leftChars="273" w:hanging="840" w:hangingChars="35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（盖公章）</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传</w:t>
      </w:r>
      <w:r>
        <w:rPr>
          <w:rFonts w:hint="eastAsia" w:ascii="宋体" w:hAnsi="宋体" w:cs="宋体"/>
          <w:sz w:val="24"/>
          <w:szCs w:val="24"/>
          <w:lang w:val="en-US" w:eastAsia="zh-CN"/>
        </w:rPr>
        <w:t xml:space="preserve">    </w:t>
      </w:r>
      <w:r>
        <w:rPr>
          <w:rFonts w:hint="eastAsia" w:ascii="宋体" w:hAnsi="宋体" w:eastAsia="宋体" w:cs="宋体"/>
          <w:sz w:val="24"/>
          <w:szCs w:val="24"/>
        </w:rPr>
        <w:t>真</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电子邮件：</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cs="宋体"/>
          <w:sz w:val="24"/>
          <w:szCs w:val="24"/>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邮</w:t>
      </w:r>
      <w:r>
        <w:rPr>
          <w:rFonts w:hint="eastAsia" w:ascii="宋体" w:hAnsi="宋体" w:cs="宋体"/>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pStyle w:val="7"/>
        <w:spacing w:line="360" w:lineRule="auto"/>
        <w:rPr>
          <w:rFonts w:hint="eastAsia" w:ascii="宋体" w:hAnsi="宋体" w:eastAsia="宋体" w:cs="宋体"/>
          <w:sz w:val="28"/>
          <w:szCs w:val="28"/>
          <w:u w:val="single"/>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jc w:val="center"/>
        <w:rPr>
          <w:rFonts w:hint="eastAsia" w:ascii="宋体" w:hAnsi="宋体" w:eastAsia="宋体" w:cs="宋体"/>
          <w:bCs/>
          <w:sz w:val="28"/>
          <w:szCs w:val="28"/>
        </w:rPr>
      </w:pPr>
      <w:bookmarkStart w:id="293" w:name="_Toc4387"/>
      <w:r>
        <w:rPr>
          <w:rStyle w:val="32"/>
          <w:rFonts w:hint="eastAsia"/>
          <w:sz w:val="28"/>
          <w:szCs w:val="28"/>
          <w:lang w:val="en-US" w:eastAsia="zh-CN"/>
        </w:rPr>
        <w:t xml:space="preserve">二、开标一览表 </w:t>
      </w:r>
      <w:r>
        <w:rPr>
          <w:rStyle w:val="32"/>
          <w:rFonts w:hint="eastAsia"/>
          <w:lang w:val="en-US" w:eastAsia="zh-CN"/>
        </w:rPr>
        <w:t xml:space="preserve">  </w:t>
      </w:r>
      <w:r>
        <w:rPr>
          <w:rStyle w:val="32"/>
          <w:rFonts w:hint="eastAsia"/>
        </w:rPr>
        <w:t xml:space="preserve">  </w:t>
      </w:r>
      <w:bookmarkEnd w:id="293"/>
      <w:r>
        <w:rPr>
          <w:rFonts w:hint="eastAsia" w:ascii="宋体" w:hAnsi="宋体" w:eastAsia="宋体" w:cs="宋体"/>
          <w:bCs/>
          <w:sz w:val="28"/>
          <w:szCs w:val="28"/>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7623" w:type="dxa"/>
            <w:tcBorders>
              <w:top w:val="double" w:color="auto" w:sz="4" w:space="0"/>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投标价格</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pacing w:line="560" w:lineRule="exact"/>
              <w:jc w:val="center"/>
              <w:rPr>
                <w:rFonts w:hint="eastAsia" w:ascii="宋体" w:hAnsi="宋体" w:eastAsia="宋体" w:cs="宋体"/>
                <w:bCs/>
                <w:sz w:val="24"/>
                <w:szCs w:val="24"/>
              </w:rPr>
            </w:pP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交货期</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备  注</w:t>
            </w:r>
          </w:p>
        </w:tc>
        <w:tc>
          <w:tcPr>
            <w:tcW w:w="7623" w:type="dxa"/>
            <w:tcBorders>
              <w:bottom w:val="double" w:color="auto" w:sz="4" w:space="0"/>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投标价格为供应商考虑各种因素（含折扣、优惠等）的最终报价。</w:t>
            </w:r>
          </w:p>
        </w:tc>
      </w:tr>
    </w:tbl>
    <w:p>
      <w:pPr>
        <w:pStyle w:val="5"/>
        <w:rPr>
          <w:rFonts w:hint="eastAsia" w:ascii="宋体" w:hAnsi="宋体" w:eastAsia="宋体" w:cs="宋体"/>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pPr>
        <w:pStyle w:val="5"/>
        <w:bidi w:val="0"/>
        <w:jc w:val="center"/>
        <w:rPr>
          <w:rFonts w:hint="eastAsia"/>
          <w:sz w:val="28"/>
          <w:szCs w:val="28"/>
          <w:lang w:val="en-US" w:eastAsia="zh-CN"/>
        </w:rPr>
      </w:pPr>
      <w:bookmarkStart w:id="294" w:name="_Toc3057"/>
      <w:r>
        <w:rPr>
          <w:rFonts w:hint="eastAsia"/>
          <w:sz w:val="28"/>
          <w:szCs w:val="28"/>
          <w:lang w:val="en-US" w:eastAsia="zh-CN"/>
        </w:rPr>
        <w:t>三、投标价格明细表（可根据实际情况修改）</w:t>
      </w:r>
      <w:bookmarkEnd w:id="294"/>
    </w:p>
    <w:tbl>
      <w:tblPr>
        <w:tblStyle w:val="22"/>
        <w:tblpPr w:leftFromText="180" w:rightFromText="180" w:vertAnchor="text" w:horzAnchor="page" w:tblpX="1367" w:tblpY="223"/>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0"/>
        <w:gridCol w:w="1762"/>
        <w:gridCol w:w="2050"/>
        <w:gridCol w:w="883"/>
        <w:gridCol w:w="983"/>
        <w:gridCol w:w="884"/>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keepNext w:val="0"/>
              <w:keepLines w:val="0"/>
              <w:widowControl/>
              <w:numPr>
                <w:ilvl w:val="0"/>
                <w:numId w:val="0"/>
              </w:numPr>
              <w:suppressLineNumbers w:val="0"/>
              <w:spacing w:line="360" w:lineRule="auto"/>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 </w:t>
            </w:r>
            <w:r>
              <w:rPr>
                <w:rFonts w:hint="eastAsia" w:ascii="宋体" w:hAnsi="宋体" w:cs="宋体"/>
                <w:bCs/>
                <w:sz w:val="24"/>
                <w:szCs w:val="24"/>
              </w:rPr>
              <w:t>序号</w:t>
            </w:r>
          </w:p>
        </w:tc>
        <w:tc>
          <w:tcPr>
            <w:tcW w:w="110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货物</w:t>
            </w:r>
          </w:p>
          <w:p>
            <w:pPr>
              <w:spacing w:line="400" w:lineRule="exact"/>
              <w:jc w:val="center"/>
              <w:rPr>
                <w:rFonts w:hint="eastAsia" w:ascii="宋体" w:hAnsi="宋体" w:cs="宋体"/>
                <w:sz w:val="24"/>
                <w:szCs w:val="24"/>
              </w:rPr>
            </w:pPr>
            <w:r>
              <w:rPr>
                <w:rFonts w:hint="eastAsia" w:ascii="宋体" w:hAnsi="宋体" w:cs="宋体"/>
                <w:bCs/>
                <w:sz w:val="24"/>
                <w:szCs w:val="24"/>
              </w:rPr>
              <w:t>名称</w:t>
            </w:r>
          </w:p>
        </w:tc>
        <w:tc>
          <w:tcPr>
            <w:tcW w:w="1762"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品牌、规格及型号</w:t>
            </w:r>
          </w:p>
        </w:tc>
        <w:tc>
          <w:tcPr>
            <w:tcW w:w="205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原产地及</w:t>
            </w:r>
          </w:p>
          <w:p>
            <w:pPr>
              <w:spacing w:line="400" w:lineRule="exact"/>
              <w:jc w:val="center"/>
              <w:rPr>
                <w:rFonts w:hint="eastAsia" w:ascii="宋体" w:hAnsi="宋体" w:cs="宋体"/>
                <w:sz w:val="24"/>
                <w:szCs w:val="24"/>
              </w:rPr>
            </w:pPr>
            <w:r>
              <w:rPr>
                <w:rFonts w:hint="eastAsia" w:ascii="宋体" w:hAnsi="宋体" w:cs="宋体"/>
                <w:bCs/>
                <w:sz w:val="24"/>
                <w:szCs w:val="24"/>
              </w:rPr>
              <w:t>制造商</w:t>
            </w:r>
          </w:p>
        </w:tc>
        <w:tc>
          <w:tcPr>
            <w:tcW w:w="883"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单位</w:t>
            </w:r>
          </w:p>
        </w:tc>
        <w:tc>
          <w:tcPr>
            <w:tcW w:w="983"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单价</w:t>
            </w:r>
          </w:p>
          <w:p>
            <w:pPr>
              <w:spacing w:line="400" w:lineRule="exact"/>
              <w:jc w:val="center"/>
              <w:rPr>
                <w:rFonts w:hint="eastAsia" w:ascii="宋体" w:hAnsi="宋体" w:cs="宋体"/>
                <w:sz w:val="24"/>
                <w:szCs w:val="24"/>
              </w:rPr>
            </w:pPr>
            <w:r>
              <w:rPr>
                <w:rFonts w:hint="eastAsia" w:ascii="宋体" w:hAnsi="宋体" w:cs="宋体"/>
                <w:bCs/>
                <w:sz w:val="24"/>
                <w:szCs w:val="24"/>
              </w:rPr>
              <w:t>（元）</w:t>
            </w:r>
          </w:p>
        </w:tc>
        <w:tc>
          <w:tcPr>
            <w:tcW w:w="884"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数量</w:t>
            </w:r>
          </w:p>
        </w:tc>
        <w:tc>
          <w:tcPr>
            <w:tcW w:w="1038"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1</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center"/>
          </w:tcPr>
          <w:p>
            <w:pPr>
              <w:spacing w:line="400" w:lineRule="exact"/>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2</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3</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4</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5</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400" w:type="dxa"/>
            <w:gridSpan w:val="8"/>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lang w:eastAsia="zh-CN"/>
              </w:rPr>
              <w:t>总价大写：</w:t>
            </w:r>
            <w:r>
              <w:rPr>
                <w:rFonts w:hint="eastAsia" w:ascii="宋体" w:hAnsi="宋体" w:cs="宋体"/>
                <w:b/>
                <w:bCs/>
                <w:sz w:val="24"/>
                <w:szCs w:val="24"/>
                <w:lang w:val="en-US" w:eastAsia="zh-CN"/>
              </w:rPr>
              <w:t xml:space="preserve">            元整 （小写：￥    万元）</w:t>
            </w:r>
          </w:p>
        </w:tc>
      </w:tr>
    </w:tbl>
    <w:p>
      <w:pPr>
        <w:spacing w:line="560" w:lineRule="exact"/>
        <w:rPr>
          <w:rFonts w:hint="eastAsia" w:ascii="宋体" w:hAnsi="宋体" w:eastAsia="宋体" w:cs="宋体"/>
          <w:bCs/>
          <w:sz w:val="24"/>
          <w:szCs w:val="24"/>
        </w:rPr>
      </w:pPr>
    </w:p>
    <w:p>
      <w:pPr>
        <w:spacing w:line="560" w:lineRule="exact"/>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rPr>
      </w:pPr>
      <w:bookmarkStart w:id="295" w:name="_Toc71968699"/>
      <w:bookmarkStart w:id="296" w:name="_Toc71968192"/>
      <w:bookmarkStart w:id="297" w:name="_Toc71968006"/>
      <w:bookmarkStart w:id="298" w:name="_Toc237920953"/>
      <w:bookmarkStart w:id="299" w:name="_Toc82222718"/>
      <w:bookmarkStart w:id="300" w:name="_Toc118878852"/>
      <w:bookmarkStart w:id="301" w:name="_Toc71968894"/>
      <w:bookmarkStart w:id="302" w:name="_Toc71881273"/>
      <w:bookmarkStart w:id="303" w:name="_Toc237920725"/>
      <w:bookmarkStart w:id="304" w:name="_Toc71967775"/>
      <w:r>
        <w:rPr>
          <w:rFonts w:hint="eastAsia" w:ascii="宋体" w:hAnsi="宋体" w:eastAsia="宋体" w:cs="宋体"/>
          <w:bCs/>
          <w:sz w:val="24"/>
          <w:szCs w:val="24"/>
        </w:rPr>
        <w:br w:type="page"/>
      </w:r>
    </w:p>
    <w:p>
      <w:pPr>
        <w:keepNext/>
        <w:keepLines/>
        <w:spacing w:before="260" w:after="260" w:line="560" w:lineRule="exact"/>
        <w:jc w:val="center"/>
        <w:outlineLvl w:val="1"/>
        <w:rPr>
          <w:rFonts w:hint="eastAsia" w:ascii="宋体" w:hAnsi="宋体" w:eastAsia="宋体" w:cs="宋体"/>
          <w:bCs/>
          <w:sz w:val="24"/>
          <w:szCs w:val="24"/>
        </w:rPr>
      </w:pPr>
      <w:bookmarkStart w:id="305" w:name="_Toc4068"/>
      <w:r>
        <w:rPr>
          <w:rFonts w:hint="eastAsia" w:ascii="宋体" w:hAnsi="宋体" w:eastAsia="宋体" w:cs="宋体"/>
          <w:b/>
          <w:bCs/>
          <w:sz w:val="28"/>
          <w:szCs w:val="28"/>
          <w:lang w:eastAsia="zh-CN"/>
        </w:rPr>
        <w:t>四、</w:t>
      </w:r>
      <w:r>
        <w:rPr>
          <w:rFonts w:hint="eastAsia" w:ascii="宋体" w:hAnsi="宋体" w:eastAsia="宋体" w:cs="宋体"/>
          <w:b/>
          <w:bCs/>
          <w:sz w:val="28"/>
          <w:szCs w:val="28"/>
        </w:rPr>
        <w:t>采购需求响应表</w:t>
      </w:r>
      <w:bookmarkEnd w:id="295"/>
      <w:bookmarkEnd w:id="296"/>
      <w:bookmarkEnd w:id="297"/>
      <w:bookmarkEnd w:id="298"/>
      <w:bookmarkEnd w:id="299"/>
      <w:bookmarkEnd w:id="300"/>
      <w:bookmarkEnd w:id="301"/>
      <w:bookmarkEnd w:id="302"/>
      <w:bookmarkEnd w:id="303"/>
      <w:bookmarkEnd w:id="304"/>
      <w:r>
        <w:rPr>
          <w:rFonts w:hint="eastAsia" w:ascii="宋体" w:hAnsi="宋体" w:eastAsia="宋体" w:cs="宋体"/>
          <w:b/>
          <w:bCs/>
          <w:sz w:val="28"/>
          <w:szCs w:val="28"/>
        </w:rPr>
        <w:t>（可根据实际情况修改）</w:t>
      </w:r>
      <w:bookmarkEnd w:id="305"/>
    </w:p>
    <w:tbl>
      <w:tblPr>
        <w:tblStyle w:val="22"/>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217"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产品</w:t>
            </w:r>
            <w:r>
              <w:rPr>
                <w:rFonts w:hint="eastAsia" w:ascii="宋体" w:hAnsi="宋体" w:eastAsia="宋体" w:cs="宋体"/>
                <w:bCs/>
                <w:sz w:val="24"/>
                <w:szCs w:val="24"/>
              </w:rPr>
              <w:t>名称</w:t>
            </w:r>
          </w:p>
        </w:tc>
        <w:tc>
          <w:tcPr>
            <w:tcW w:w="385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招标文件规定</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投标文件响应情况</w:t>
            </w:r>
          </w:p>
        </w:tc>
        <w:tc>
          <w:tcPr>
            <w:tcW w:w="1013"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偏离</w:t>
            </w:r>
          </w:p>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hint="eastAsia" w:ascii="宋体" w:hAnsi="宋体" w:eastAsia="宋体" w:cs="宋体"/>
                <w:bCs/>
                <w:sz w:val="24"/>
                <w:szCs w:val="24"/>
              </w:rPr>
            </w:pPr>
          </w:p>
        </w:tc>
        <w:tc>
          <w:tcPr>
            <w:tcW w:w="1217" w:type="dxa"/>
            <w:vMerge w:val="continue"/>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pacing w:val="-6"/>
                <w:sz w:val="24"/>
                <w:szCs w:val="24"/>
                <w:lang w:eastAsia="zh-CN"/>
              </w:rPr>
            </w:pPr>
            <w:r>
              <w:rPr>
                <w:rFonts w:hint="eastAsia" w:ascii="宋体" w:hAnsi="宋体" w:cs="宋体"/>
                <w:bCs/>
                <w:sz w:val="24"/>
                <w:szCs w:val="24"/>
                <w:lang w:eastAsia="zh-CN"/>
              </w:rPr>
              <w:t>技术参数</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技术参数</w:t>
            </w:r>
          </w:p>
        </w:tc>
        <w:tc>
          <w:tcPr>
            <w:tcW w:w="1013" w:type="dxa"/>
            <w:vMerge w:val="continue"/>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217"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85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041"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101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r>
    </w:tbl>
    <w:p>
      <w:pPr>
        <w:keepNext/>
        <w:keepLines/>
        <w:spacing w:before="100" w:beforeAutospacing="1" w:after="100" w:afterAutospacing="1" w:line="560" w:lineRule="exact"/>
        <w:jc w:val="center"/>
        <w:outlineLvl w:val="1"/>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840" w:firstLineChars="1600"/>
        <w:rPr>
          <w:rFonts w:hint="eastAsia" w:ascii="宋体" w:hAnsi="宋体" w:eastAsia="宋体" w:cs="宋体"/>
          <w:bCs/>
          <w:sz w:val="24"/>
          <w:szCs w:val="24"/>
        </w:rPr>
      </w:pPr>
      <w:r>
        <w:rPr>
          <w:rFonts w:hint="eastAsia" w:ascii="宋体" w:hAnsi="宋体" w:eastAsia="宋体" w:cs="宋体"/>
          <w:bCs/>
          <w:sz w:val="24"/>
          <w:szCs w:val="24"/>
        </w:rPr>
        <w:t>年     月     日</w:t>
      </w:r>
    </w:p>
    <w:p>
      <w:pPr>
        <w:tabs>
          <w:tab w:val="left" w:pos="630"/>
        </w:tabs>
        <w:spacing w:line="560" w:lineRule="exact"/>
        <w:rPr>
          <w:rFonts w:hint="eastAsia" w:ascii="宋体" w:hAnsi="宋体" w:eastAsia="宋体" w:cs="宋体"/>
          <w:sz w:val="24"/>
          <w:szCs w:val="24"/>
        </w:rPr>
      </w:pPr>
    </w:p>
    <w:p>
      <w:pPr>
        <w:tabs>
          <w:tab w:val="left" w:pos="630"/>
        </w:tabs>
        <w:spacing w:line="560" w:lineRule="exact"/>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pStyle w:val="5"/>
        <w:bidi w:val="0"/>
        <w:jc w:val="center"/>
        <w:rPr>
          <w:rFonts w:hint="eastAsia"/>
          <w:sz w:val="28"/>
          <w:szCs w:val="28"/>
        </w:rPr>
      </w:pPr>
      <w:bookmarkStart w:id="306" w:name="_Toc17954"/>
      <w:r>
        <w:rPr>
          <w:rFonts w:hint="eastAsia"/>
          <w:sz w:val="28"/>
          <w:szCs w:val="28"/>
          <w:lang w:eastAsia="zh-CN"/>
        </w:rPr>
        <w:t>五、</w:t>
      </w:r>
      <w:r>
        <w:rPr>
          <w:rFonts w:hint="eastAsia"/>
          <w:sz w:val="28"/>
          <w:szCs w:val="28"/>
        </w:rPr>
        <w:t>采购需求及相关要求响应详情</w:t>
      </w:r>
      <w:bookmarkEnd w:id="306"/>
    </w:p>
    <w:p>
      <w:pPr>
        <w:numPr>
          <w:ilvl w:val="0"/>
          <w:numId w:val="0"/>
        </w:numPr>
        <w:spacing w:before="58" w:line="500" w:lineRule="exact"/>
        <w:ind w:right="-23" w:rightChars="0" w:firstLine="480" w:firstLineChars="200"/>
        <w:jc w:val="left"/>
        <w:outlineLvl w:val="2"/>
        <w:rPr>
          <w:rFonts w:hint="default" w:ascii="宋体" w:hAnsi="宋体" w:eastAsia="宋体" w:cs="宋体"/>
          <w:b w:val="0"/>
          <w:bCs/>
          <w:color w:val="auto"/>
          <w:sz w:val="24"/>
          <w:highlight w:val="none"/>
          <w:lang w:val="en-US" w:eastAsia="zh-CN"/>
        </w:rPr>
      </w:pPr>
      <w:r>
        <w:rPr>
          <w:rFonts w:hint="eastAsia" w:ascii="宋体" w:hAnsi="宋体" w:eastAsia="宋体" w:cs="宋体"/>
          <w:b w:val="0"/>
          <w:bCs/>
          <w:caps/>
          <w:color w:val="000000"/>
          <w:sz w:val="24"/>
          <w:szCs w:val="24"/>
        </w:rPr>
        <w:t>本部分由供应商根据</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招标文件</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的采购需求和相关要求填写，附详细的方案和相应的承诺等</w:t>
      </w:r>
      <w:r>
        <w:rPr>
          <w:rFonts w:hint="eastAsia" w:ascii="宋体" w:hAnsi="宋体" w:cs="宋体"/>
          <w:b w:val="0"/>
          <w:bCs/>
          <w:caps/>
          <w:color w:val="000000"/>
          <w:sz w:val="24"/>
          <w:szCs w:val="24"/>
          <w:lang w:eastAsia="zh-CN"/>
        </w:rPr>
        <w:t>，</w:t>
      </w:r>
      <w:r>
        <w:rPr>
          <w:rFonts w:hint="eastAsia" w:ascii="宋体" w:hAnsi="宋体" w:cs="宋体"/>
          <w:b w:val="0"/>
          <w:bCs/>
          <w:caps/>
          <w:color w:val="000000"/>
          <w:sz w:val="24"/>
          <w:szCs w:val="24"/>
          <w:lang w:val="en-US" w:eastAsia="zh-CN"/>
        </w:rPr>
        <w:t>格式自拟。</w:t>
      </w:r>
    </w:p>
    <w:p>
      <w:pPr>
        <w:numPr>
          <w:ilvl w:val="0"/>
          <w:numId w:val="0"/>
        </w:numPr>
        <w:spacing w:before="58" w:line="500" w:lineRule="exact"/>
        <w:ind w:right="-23" w:rightChars="0"/>
        <w:jc w:val="left"/>
        <w:outlineLvl w:val="2"/>
        <w:rPr>
          <w:rFonts w:hint="eastAsia" w:ascii="宋体" w:hAnsi="宋体" w:eastAsia="宋体" w:cs="宋体"/>
          <w:b w:val="0"/>
          <w:bCs/>
          <w:color w:val="auto"/>
          <w:sz w:val="24"/>
          <w:highlight w:val="none"/>
        </w:rPr>
      </w:pPr>
    </w:p>
    <w:p>
      <w:pPr>
        <w:spacing w:line="560" w:lineRule="exact"/>
        <w:rPr>
          <w:rFonts w:hint="eastAsia" w:ascii="宋体" w:hAnsi="宋体" w:eastAsia="宋体" w:cs="宋体"/>
          <w:b w:val="0"/>
          <w:bCs/>
          <w:sz w:val="24"/>
          <w:szCs w:val="24"/>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5"/>
        <w:bidi w:val="0"/>
        <w:jc w:val="center"/>
        <w:rPr>
          <w:rFonts w:hint="eastAsia"/>
          <w:sz w:val="28"/>
          <w:szCs w:val="28"/>
          <w:lang w:eastAsia="zh-CN"/>
        </w:rPr>
      </w:pPr>
      <w:bookmarkStart w:id="307" w:name="_Toc16277"/>
      <w:r>
        <w:rPr>
          <w:rFonts w:hint="eastAsia"/>
          <w:sz w:val="28"/>
          <w:szCs w:val="28"/>
          <w:lang w:eastAsia="zh-CN"/>
        </w:rPr>
        <w:t>六、资格证明文件</w:t>
      </w:r>
      <w:bookmarkEnd w:id="307"/>
    </w:p>
    <w:p>
      <w:pPr>
        <w:pStyle w:val="5"/>
        <w:spacing w:before="0" w:line="560" w:lineRule="exact"/>
        <w:rPr>
          <w:rFonts w:hint="eastAsia" w:ascii="宋体" w:hAnsi="宋体" w:eastAsia="宋体" w:cs="宋体"/>
          <w:sz w:val="24"/>
          <w:szCs w:val="24"/>
        </w:rPr>
      </w:pPr>
      <w:bookmarkStart w:id="308" w:name="_Toc515647805"/>
      <w:bookmarkStart w:id="309" w:name="_Toc2582310"/>
      <w:bookmarkStart w:id="310" w:name="_Toc5985"/>
      <w:bookmarkStart w:id="311" w:name="_Toc532473496"/>
      <w:bookmarkStart w:id="312" w:name="_Toc29899"/>
      <w:bookmarkStart w:id="313" w:name="_Toc17577"/>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w:t>
      </w:r>
      <w:bookmarkEnd w:id="308"/>
      <w:bookmarkStart w:id="314" w:name="_Toc515647806"/>
      <w:r>
        <w:rPr>
          <w:rFonts w:hint="eastAsia" w:ascii="宋体" w:hAnsi="宋体" w:eastAsia="宋体" w:cs="宋体"/>
          <w:sz w:val="24"/>
          <w:szCs w:val="24"/>
        </w:rPr>
        <w:t>或自然人的身份证明</w:t>
      </w:r>
      <w:bookmarkEnd w:id="309"/>
      <w:bookmarkEnd w:id="310"/>
      <w:bookmarkEnd w:id="311"/>
      <w:bookmarkEnd w:id="312"/>
      <w:bookmarkEnd w:id="313"/>
      <w:bookmarkEnd w:id="314"/>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1、营业执照（</w:t>
      </w:r>
      <w:r>
        <w:rPr>
          <w:rStyle w:val="25"/>
          <w:rFonts w:hint="eastAsia" w:ascii="宋体" w:hAnsi="宋体" w:eastAsia="宋体" w:cs="宋体"/>
          <w:b w:val="0"/>
          <w:bCs/>
          <w:color w:val="auto"/>
          <w:sz w:val="24"/>
          <w:szCs w:val="24"/>
          <w:highlight w:val="none"/>
        </w:rPr>
        <w:t>有效的“一证一码”或“三证合一”</w:t>
      </w:r>
      <w:r>
        <w:rPr>
          <w:rFonts w:hint="eastAsia" w:ascii="宋体" w:hAnsi="宋体" w:eastAsia="宋体" w:cs="宋体"/>
          <w:bCs/>
          <w:color w:val="auto"/>
          <w:kern w:val="0"/>
          <w:sz w:val="24"/>
        </w:rPr>
        <w:t>）；</w:t>
      </w:r>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2、</w:t>
      </w:r>
      <w:r>
        <w:rPr>
          <w:rFonts w:hint="eastAsia" w:ascii="宋体" w:hAnsi="宋体" w:eastAsia="宋体" w:cs="宋体"/>
          <w:color w:val="auto"/>
          <w:sz w:val="24"/>
        </w:rPr>
        <w:t>法定代表人授权书及被授权人身份证（法定代表人直接投标可不提供，但须提供法定代表人身份证明）</w:t>
      </w:r>
      <w:r>
        <w:rPr>
          <w:rFonts w:hint="eastAsia" w:ascii="宋体" w:hAnsi="宋体" w:eastAsia="宋体" w:cs="宋体"/>
          <w:bCs/>
          <w:color w:val="auto"/>
          <w:kern w:val="0"/>
          <w:sz w:val="24"/>
        </w:rPr>
        <w:t>；</w:t>
      </w:r>
    </w:p>
    <w:p>
      <w:pPr>
        <w:widowControl/>
        <w:spacing w:line="580" w:lineRule="exact"/>
        <w:ind w:firstLine="480" w:firstLineChars="200"/>
        <w:jc w:val="left"/>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lang w:val="en-US" w:eastAsia="zh-CN"/>
        </w:rPr>
        <w:t>3、具备国家有关行政主管部门核发的医疗器械经营许可二类备案凭证</w:t>
      </w:r>
    </w:p>
    <w:p>
      <w:pPr>
        <w:widowControl/>
        <w:spacing w:line="580" w:lineRule="exact"/>
        <w:ind w:firstLine="480" w:firstLineChars="200"/>
        <w:jc w:val="left"/>
        <w:rPr>
          <w:rFonts w:hint="eastAsia"/>
          <w:lang w:eastAsia="zh-CN"/>
        </w:rPr>
      </w:pPr>
      <w:r>
        <w:rPr>
          <w:rFonts w:hint="eastAsia" w:ascii="宋体" w:hAnsi="宋体" w:cs="宋体"/>
          <w:bCs/>
          <w:color w:val="auto"/>
          <w:kern w:val="0"/>
          <w:sz w:val="24"/>
          <w:lang w:val="en-US" w:eastAsia="zh-CN"/>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lang w:eastAsia="zh-CN"/>
        </w:rPr>
        <w:t>须提供20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lang w:eastAsia="zh-CN"/>
        </w:rPr>
        <w:t>年至今</w:t>
      </w:r>
      <w:r>
        <w:rPr>
          <w:rFonts w:hint="eastAsia" w:ascii="宋体" w:hAnsi="宋体" w:eastAsia="宋体" w:cs="宋体"/>
          <w:bCs/>
          <w:color w:val="auto"/>
          <w:kern w:val="0"/>
          <w:sz w:val="24"/>
          <w:lang w:val="en-US" w:eastAsia="zh-CN"/>
        </w:rPr>
        <w:t>近三</w:t>
      </w:r>
      <w:r>
        <w:rPr>
          <w:rFonts w:hint="eastAsia" w:ascii="宋体" w:hAnsi="宋体" w:eastAsia="宋体" w:cs="宋体"/>
          <w:bCs/>
          <w:color w:val="auto"/>
          <w:kern w:val="0"/>
          <w:sz w:val="24"/>
          <w:lang w:eastAsia="zh-CN"/>
        </w:rPr>
        <w:t>个月的依法纳税、社保证明文件；</w:t>
      </w:r>
    </w:p>
    <w:p>
      <w:pPr>
        <w:widowControl/>
        <w:spacing w:line="580" w:lineRule="exact"/>
        <w:ind w:firstLine="480" w:firstLineChars="200"/>
        <w:jc w:val="left"/>
        <w:rPr>
          <w:rFonts w:hint="eastAsia" w:ascii="宋体" w:hAnsi="宋体" w:cs="宋体"/>
          <w:bCs/>
          <w:color w:val="auto"/>
          <w:kern w:val="0"/>
          <w:sz w:val="24"/>
          <w:lang w:val="en-US" w:eastAsia="zh-CN"/>
        </w:rPr>
      </w:pPr>
      <w:r>
        <w:rPr>
          <w:rFonts w:hint="eastAsia" w:ascii="宋体" w:hAnsi="宋体" w:cs="宋体"/>
          <w:bCs/>
          <w:color w:val="auto"/>
          <w:kern w:val="0"/>
          <w:sz w:val="24"/>
          <w:lang w:val="en-US" w:eastAsia="zh-CN"/>
        </w:rPr>
        <w:t>5</w:t>
      </w:r>
      <w:r>
        <w:rPr>
          <w:rFonts w:hint="eastAsia" w:ascii="宋体" w:hAnsi="宋体" w:eastAsia="宋体" w:cs="宋体"/>
          <w:bCs/>
          <w:color w:val="auto"/>
          <w:kern w:val="0"/>
          <w:sz w:val="24"/>
          <w:lang w:val="en-US" w:eastAsia="zh-CN"/>
        </w:rPr>
        <w:t>、</w:t>
      </w:r>
      <w:r>
        <w:rPr>
          <w:rFonts w:hint="eastAsia" w:ascii="宋体" w:hAnsi="宋体" w:cs="宋体"/>
          <w:bCs/>
          <w:color w:val="auto"/>
          <w:kern w:val="0"/>
          <w:sz w:val="24"/>
          <w:lang w:val="en-US" w:eastAsia="zh-CN"/>
        </w:rPr>
        <w:t>2020年度财务审计报告（成立不满一年的公司提供上一季度财务报表）；</w:t>
      </w:r>
    </w:p>
    <w:p>
      <w:pPr>
        <w:widowControl/>
        <w:spacing w:line="580" w:lineRule="exact"/>
        <w:ind w:firstLine="480" w:firstLineChars="200"/>
        <w:jc w:val="left"/>
        <w:rPr>
          <w:rFonts w:hint="eastAsia" w:ascii="宋体" w:hAnsi="宋体" w:eastAsia="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eastAsia="宋体" w:cs="宋体"/>
          <w:bCs/>
          <w:color w:val="auto"/>
          <w:kern w:val="0"/>
          <w:sz w:val="24"/>
        </w:rPr>
        <w:t>、通过“信用中国”网站（www.creditchina.gov.cn）和“中国政府采购网”（www.ccgp.gov.cn）查询信用记录（提供以上两个网站查询页面截图并加盖公章，查询时间为投标截止时间10日内，页面中的处罚日期不允许设置起始时间）</w:t>
      </w:r>
    </w:p>
    <w:p>
      <w:pPr>
        <w:pStyle w:val="12"/>
        <w:tabs>
          <w:tab w:val="left" w:pos="5580"/>
        </w:tabs>
        <w:spacing w:line="560" w:lineRule="exact"/>
        <w:ind w:left="1079" w:leftChars="257" w:hanging="540"/>
        <w:rPr>
          <w:rFonts w:hint="eastAsia" w:ascii="宋体" w:hAnsi="宋体" w:eastAsia="宋体" w:cs="宋体"/>
          <w:bCs/>
          <w:color w:val="auto"/>
          <w:kern w:val="0"/>
          <w:sz w:val="24"/>
        </w:rPr>
      </w:pPr>
      <w:r>
        <w:rPr>
          <w:rFonts w:hint="eastAsia" w:hAnsi="宋体" w:cs="宋体"/>
          <w:bCs/>
          <w:color w:val="auto"/>
          <w:kern w:val="0"/>
          <w:sz w:val="24"/>
          <w:lang w:val="en-US" w:eastAsia="zh-CN"/>
        </w:rPr>
        <w:t>7</w:t>
      </w:r>
      <w:r>
        <w:rPr>
          <w:rFonts w:hint="eastAsia" w:ascii="宋体" w:hAnsi="宋体" w:eastAsia="宋体" w:cs="宋体"/>
          <w:bCs/>
          <w:color w:val="auto"/>
          <w:kern w:val="0"/>
          <w:sz w:val="24"/>
        </w:rPr>
        <w:t>、其他相关证明材料。</w:t>
      </w: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lang w:eastAsia="zh-CN"/>
        </w:rPr>
      </w:pPr>
    </w:p>
    <w:p>
      <w:pPr>
        <w:pStyle w:val="5"/>
        <w:spacing w:before="0" w:line="560" w:lineRule="exact"/>
        <w:rPr>
          <w:rFonts w:hint="eastAsia" w:ascii="宋体" w:hAnsi="宋体" w:eastAsia="宋体" w:cs="宋体"/>
          <w:sz w:val="24"/>
          <w:szCs w:val="24"/>
        </w:rPr>
      </w:pPr>
      <w:bookmarkStart w:id="315" w:name="_Toc14719"/>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bookmarkEnd w:id="315"/>
    </w:p>
    <w:p>
      <w:pPr>
        <w:spacing w:line="560" w:lineRule="exact"/>
        <w:rPr>
          <w:rFonts w:hint="eastAsia" w:ascii="宋体" w:hAnsi="宋体" w:eastAsia="宋体" w:cs="宋体"/>
          <w:b/>
          <w:sz w:val="24"/>
          <w:szCs w:val="24"/>
          <w:highlight w:val="red"/>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spacing w:line="560" w:lineRule="exact"/>
        <w:ind w:firstLine="645"/>
        <w:rPr>
          <w:rFonts w:hint="eastAsia" w:ascii="宋体" w:hAnsi="宋体" w:eastAsia="宋体" w:cs="宋体"/>
          <w:bCs/>
          <w:sz w:val="24"/>
          <w:szCs w:val="24"/>
        </w:rPr>
      </w:pPr>
      <w:r>
        <w:rPr>
          <w:rFonts w:hint="eastAsia" w:ascii="宋体" w:hAnsi="宋体" w:eastAsia="宋体" w:cs="宋体"/>
          <w:bCs/>
          <w:sz w:val="24"/>
          <w:szCs w:val="24"/>
        </w:rPr>
        <w:t>本授权书声明：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（供应商名称）的</w:t>
      </w:r>
      <w:r>
        <w:rPr>
          <w:rFonts w:hint="eastAsia" w:ascii="宋体" w:hAnsi="宋体" w:eastAsia="宋体" w:cs="宋体"/>
          <w:bCs/>
          <w:sz w:val="24"/>
          <w:szCs w:val="24"/>
          <w:u w:val="single"/>
        </w:rPr>
        <w:t xml:space="preserve">       （法人代表姓名、职务）</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rPr>
        <w:t>被授权人的姓名、职务）为我方就</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（采购项目名称）</w:t>
      </w:r>
      <w:r>
        <w:rPr>
          <w:rFonts w:hint="eastAsia" w:ascii="宋体" w:hAnsi="宋体" w:eastAsia="宋体" w:cs="宋体"/>
          <w:bCs/>
          <w:sz w:val="24"/>
          <w:szCs w:val="24"/>
        </w:rPr>
        <w:t>购项目投标活动的合法代理人，以我方名义全权处理与该项目有关的一切事务。</w:t>
      </w:r>
    </w:p>
    <w:p>
      <w:pPr>
        <w:spacing w:line="560" w:lineRule="exact"/>
        <w:ind w:firstLine="645"/>
        <w:rPr>
          <w:rFonts w:hint="eastAsia" w:ascii="宋体" w:hAnsi="宋体" w:eastAsia="宋体" w:cs="宋体"/>
          <w:bCs/>
          <w:sz w:val="24"/>
          <w:szCs w:val="24"/>
        </w:rPr>
      </w:pPr>
      <w:r>
        <w:rPr>
          <w:rFonts w:hint="eastAsia" w:ascii="宋体" w:hAnsi="宋体" w:eastAsia="宋体" w:cs="宋体"/>
          <w:sz w:val="24"/>
          <w:szCs w:val="24"/>
          <w:lang w:eastAsia="zh-CN"/>
        </w:rPr>
        <w:t>本授权书于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日签字生效,特此声明。</w:t>
      </w:r>
    </w:p>
    <w:p>
      <w:pPr>
        <w:spacing w:line="560" w:lineRule="exact"/>
        <w:ind w:firstLine="645"/>
        <w:rPr>
          <w:rFonts w:hint="eastAsia" w:ascii="宋体" w:hAnsi="宋体" w:eastAsia="宋体" w:cs="宋体"/>
          <w:bCs/>
          <w:sz w:val="24"/>
          <w:szCs w:val="24"/>
        </w:rPr>
      </w:pP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FFFFFF"/>
          <w:lang w:eastAsia="zh-CN"/>
        </w:rPr>
        <w:t>投标</w:t>
      </w:r>
      <w:r>
        <w:rPr>
          <w:rFonts w:hint="eastAsia" w:ascii="宋体" w:hAnsi="宋体" w:eastAsia="宋体" w:cs="宋体"/>
          <w:sz w:val="24"/>
          <w:szCs w:val="24"/>
          <w:lang w:eastAsia="zh-CN"/>
        </w:rPr>
        <w:t>人（盖公章）：</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EEECE1"/>
          <w:lang w:eastAsia="zh-CN"/>
        </w:rPr>
        <w:t>身份证号</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___________________________</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_______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r>
        <w:rPr>
          <w:rFonts w:hint="eastAsia" w:ascii="宋体" w:hAnsi="宋体" w:eastAsia="宋体" w:cs="宋体"/>
          <w:sz w:val="24"/>
          <w:szCs w:val="24"/>
          <w:u w:val="single" w:color="FFFFFF"/>
          <w:lang w:eastAsia="zh-CN"/>
        </w:rPr>
        <w:t>（签字或签章）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详细通讯地址</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 xml:space="preserve">邮 政 编 码 </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传</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真</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bCs/>
          <w:sz w:val="24"/>
          <w:szCs w:val="24"/>
        </w:rPr>
      </w:pPr>
      <w:r>
        <w:rPr>
          <w:rFonts w:hint="eastAsia" w:ascii="宋体" w:hAnsi="宋体" w:eastAsia="宋体" w:cs="宋体"/>
          <w:sz w:val="24"/>
          <w:szCs w:val="24"/>
          <w:u w:val="single" w:color="FFFFFF"/>
          <w:lang w:eastAsia="zh-CN"/>
        </w:rPr>
        <w:t>电</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话</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adjustRightInd w:val="0"/>
        <w:snapToGrid w:val="0"/>
        <w:spacing w:line="560" w:lineRule="exact"/>
        <w:ind w:firstLine="460" w:firstLineChars="192"/>
        <w:rPr>
          <w:rFonts w:hint="eastAsia" w:ascii="宋体" w:hAnsi="宋体" w:eastAsia="宋体" w:cs="宋体"/>
          <w:bCs/>
          <w:sz w:val="24"/>
          <w:szCs w:val="24"/>
        </w:rPr>
      </w:pPr>
      <w:r>
        <w:rPr>
          <w:rFonts w:hint="eastAsia" w:ascii="宋体" w:hAnsi="宋体" w:eastAsia="宋体" w:cs="宋体"/>
          <w:bCs/>
          <w:sz w:val="24"/>
          <w:szCs w:val="24"/>
        </w:rPr>
        <w:t xml:space="preserve">（附法人及代理人身份证复印件） </w:t>
      </w:r>
    </w:p>
    <w:p>
      <w:pPr>
        <w:adjustRightInd w:val="0"/>
        <w:snapToGrid w:val="0"/>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注：自然人投标的或法定代表人投标的无需提供</w:t>
      </w:r>
    </w:p>
    <w:p>
      <w:pPr>
        <w:pStyle w:val="12"/>
        <w:tabs>
          <w:tab w:val="left" w:pos="5580"/>
        </w:tabs>
        <w:spacing w:line="560" w:lineRule="exact"/>
        <w:rPr>
          <w:rFonts w:hint="eastAsia" w:ascii="宋体" w:hAnsi="宋体" w:eastAsia="宋体" w:cs="宋体"/>
          <w:sz w:val="24"/>
          <w:szCs w:val="24"/>
          <w:lang w:eastAsia="zh-CN"/>
        </w:rPr>
      </w:pPr>
    </w:p>
    <w:p>
      <w:pPr>
        <w:pStyle w:val="5"/>
        <w:spacing w:before="0" w:line="560" w:lineRule="exact"/>
        <w:rPr>
          <w:rFonts w:hint="eastAsia" w:ascii="宋体" w:hAnsi="宋体" w:eastAsia="宋体" w:cs="宋体"/>
          <w:sz w:val="24"/>
          <w:szCs w:val="24"/>
        </w:rPr>
      </w:pPr>
      <w:bookmarkStart w:id="316" w:name="_Toc2582314"/>
      <w:bookmarkStart w:id="317" w:name="_Toc13520"/>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bookmarkEnd w:id="316"/>
      <w:bookmarkEnd w:id="31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我单位具有符合《中华人民共和国政府采购法》《中华人民共和国政府采购法实施条例》及采购文件资格要求规定的良好的商业信誉和健全的财务会计制度。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投标人承诺良好的商业信誉和健全的财务会计制度</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pStyle w:val="5"/>
        <w:spacing w:before="0" w:line="560" w:lineRule="exact"/>
        <w:ind w:left="1079" w:leftChars="257" w:hanging="540"/>
        <w:rPr>
          <w:rFonts w:hint="eastAsia" w:ascii="宋体" w:hAnsi="宋体" w:eastAsia="宋体" w:cs="宋体"/>
          <w:sz w:val="24"/>
          <w:szCs w:val="24"/>
        </w:rPr>
        <w:sectPr>
          <w:footerReference r:id="rId7" w:type="default"/>
          <w:pgSz w:w="11906" w:h="16838"/>
          <w:pgMar w:top="1440" w:right="1080" w:bottom="1440" w:left="1080" w:header="851" w:footer="992" w:gutter="0"/>
          <w:pgNumType w:fmt="decimal"/>
          <w:cols w:space="720" w:num="1"/>
          <w:docGrid w:type="linesAndChars" w:linePitch="312" w:charSpace="0"/>
        </w:sectPr>
      </w:pPr>
    </w:p>
    <w:p>
      <w:pPr>
        <w:pStyle w:val="5"/>
        <w:spacing w:before="0" w:line="560" w:lineRule="exact"/>
        <w:rPr>
          <w:rFonts w:hint="eastAsia" w:ascii="宋体" w:hAnsi="宋体" w:eastAsia="宋体" w:cs="宋体"/>
          <w:sz w:val="24"/>
          <w:szCs w:val="24"/>
        </w:rPr>
      </w:pPr>
      <w:bookmarkStart w:id="318" w:name="_Toc17229"/>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bookmarkEnd w:id="31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投标人承诺依法缴纳社会保障资金和税收</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spacing w:line="560" w:lineRule="exact"/>
        <w:ind w:firstLine="0"/>
        <w:rPr>
          <w:rFonts w:hint="eastAsia" w:ascii="宋体" w:hAnsi="宋体" w:eastAsia="宋体" w:cs="宋体"/>
          <w:sz w:val="24"/>
          <w:szCs w:val="24"/>
        </w:rPr>
      </w:pPr>
      <w:r>
        <w:rPr>
          <w:rFonts w:hint="eastAsia" w:ascii="宋体" w:hAnsi="宋体" w:eastAsia="宋体" w:cs="宋体"/>
          <w:b/>
          <w:bCs/>
          <w:caps/>
          <w:color w:val="000000"/>
          <w:sz w:val="24"/>
          <w:szCs w:val="24"/>
        </w:rPr>
        <w:br w:type="page"/>
      </w:r>
    </w:p>
    <w:p>
      <w:pPr>
        <w:pStyle w:val="5"/>
        <w:spacing w:before="0" w:line="560" w:lineRule="exact"/>
        <w:rPr>
          <w:rFonts w:hint="eastAsia" w:ascii="宋体" w:hAnsi="宋体" w:eastAsia="宋体" w:cs="宋体"/>
          <w:sz w:val="24"/>
          <w:szCs w:val="24"/>
        </w:rPr>
      </w:pPr>
      <w:bookmarkStart w:id="319" w:name="_Toc26166"/>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w:t>
      </w:r>
      <w:bookmarkStart w:id="320" w:name="_Toc1137"/>
      <w:bookmarkStart w:id="321" w:name="_Toc515647812"/>
      <w:bookmarkStart w:id="322" w:name="_Toc6008"/>
      <w:r>
        <w:rPr>
          <w:rFonts w:hint="eastAsia" w:ascii="宋体" w:hAnsi="宋体" w:eastAsia="宋体" w:cs="宋体"/>
          <w:sz w:val="24"/>
          <w:szCs w:val="24"/>
        </w:rPr>
        <w:t>在经营活动中没有重大违法记录的</w:t>
      </w:r>
      <w:bookmarkEnd w:id="320"/>
      <w:bookmarkEnd w:id="321"/>
      <w:bookmarkEnd w:id="322"/>
      <w:r>
        <w:rPr>
          <w:rFonts w:hint="eastAsia" w:ascii="宋体" w:hAnsi="宋体" w:eastAsia="宋体" w:cs="宋体"/>
          <w:sz w:val="24"/>
          <w:szCs w:val="24"/>
        </w:rPr>
        <w:t>承诺书</w:t>
      </w:r>
      <w:bookmarkEnd w:id="31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jc w:val="left"/>
        <w:rPr>
          <w:rFonts w:hint="eastAsia" w:ascii="宋体" w:hAnsi="宋体" w:eastAsia="宋体" w:cs="宋体"/>
          <w:b/>
          <w:spacing w:val="6"/>
          <w:sz w:val="24"/>
          <w:szCs w:val="24"/>
          <w:lang w:eastAsia="zh-CN"/>
        </w:rPr>
      </w:pPr>
      <w:r>
        <w:rPr>
          <w:rFonts w:hint="eastAsia" w:ascii="宋体" w:hAnsi="宋体" w:eastAsia="宋体" w:cs="宋体"/>
          <w:sz w:val="24"/>
          <w:szCs w:val="24"/>
          <w:lang w:eastAsia="zh-CN"/>
        </w:rPr>
        <w:t>（申请</w:t>
      </w:r>
      <w:r>
        <w:rPr>
          <w:rFonts w:hint="eastAsia" w:ascii="宋体" w:hAnsi="宋体" w:eastAsia="宋体" w:cs="宋体"/>
          <w:sz w:val="24"/>
          <w:szCs w:val="24"/>
        </w:rPr>
        <w:t>人承诺参加政府采购活动前3年内在经营活动中没有重大违法记录</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r>
        <w:rPr>
          <w:rFonts w:hint="eastAsia" w:ascii="宋体" w:hAnsi="宋体" w:eastAsia="宋体" w:cs="宋体"/>
          <w:b/>
          <w:spacing w:val="6"/>
          <w:sz w:val="24"/>
          <w:szCs w:val="24"/>
          <w:lang w:eastAsia="zh-CN"/>
        </w:rPr>
        <w:br w:type="page"/>
      </w:r>
    </w:p>
    <w:p>
      <w:pPr>
        <w:pStyle w:val="5"/>
        <w:bidi w:val="0"/>
        <w:rPr>
          <w:rFonts w:hint="eastAsia" w:ascii="宋体" w:hAnsi="宋体" w:eastAsia="宋体" w:cs="宋体"/>
          <w:sz w:val="24"/>
          <w:szCs w:val="24"/>
          <w:lang w:val="en-US" w:eastAsia="zh-CN"/>
        </w:rPr>
      </w:pPr>
      <w:bookmarkStart w:id="323" w:name="_Toc25420"/>
      <w:r>
        <w:rPr>
          <w:rFonts w:hint="eastAsia" w:ascii="宋体" w:hAnsi="宋体" w:eastAsia="宋体" w:cs="宋体"/>
          <w:sz w:val="24"/>
          <w:szCs w:val="24"/>
          <w:lang w:val="en-US" w:eastAsia="zh-CN"/>
        </w:rPr>
        <w:t>（六）落实政府采购政策要求的资格证明文件</w:t>
      </w:r>
      <w:bookmarkEnd w:id="323"/>
    </w:p>
    <w:p>
      <w:pPr>
        <w:keepNext w:val="0"/>
        <w:keepLines w:val="0"/>
        <w:pageBreakBefore w:val="0"/>
        <w:kinsoku/>
        <w:wordWrap/>
        <w:overflowPunct/>
        <w:topLinePunct w:val="0"/>
        <w:autoSpaceDE/>
        <w:autoSpaceDN/>
        <w:bidi w:val="0"/>
        <w:spacing w:line="550" w:lineRule="exact"/>
        <w:ind w:left="0" w:leftChars="0" w:right="0" w:rightChars="0" w:firstLine="0" w:firstLineChars="0"/>
        <w:jc w:val="center"/>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中小企业声明函（货物）</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i/>
          <w:iCs/>
          <w:sz w:val="24"/>
          <w:szCs w:val="24"/>
          <w:highlight w:val="none"/>
          <w:u w:val="single"/>
          <w:lang w:val="en-US" w:eastAsia="zh-CN"/>
        </w:rPr>
        <w:t>（单位名称）</w:t>
      </w:r>
      <w:r>
        <w:rPr>
          <w:rFonts w:hint="eastAsia" w:ascii="宋体" w:hAnsi="宋体" w:eastAsia="宋体" w:cs="宋体"/>
          <w:sz w:val="24"/>
          <w:szCs w:val="24"/>
          <w:highlight w:val="none"/>
          <w:lang w:val="en-US" w:eastAsia="zh-CN"/>
        </w:rPr>
        <w:t>的</w:t>
      </w:r>
      <w:r>
        <w:rPr>
          <w:rFonts w:hint="eastAsia" w:ascii="宋体" w:hAnsi="宋体" w:eastAsia="宋体" w:cs="宋体"/>
          <w:i/>
          <w:iCs/>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iCs/>
          <w:sz w:val="24"/>
          <w:szCs w:val="24"/>
          <w:highlight w:val="none"/>
          <w:u w:val="single"/>
          <w:lang w:val="en-US" w:eastAsia="zh-CN"/>
        </w:rPr>
        <w:t>（标的名称）</w:t>
      </w:r>
      <w:r>
        <w:rPr>
          <w:rStyle w:val="27"/>
          <w:rFonts w:hint="eastAsia" w:ascii="宋体" w:hAnsi="宋体" w:eastAsia="宋体" w:cs="宋体"/>
          <w:i/>
          <w:iCs/>
          <w:sz w:val="24"/>
          <w:szCs w:val="24"/>
          <w:highlight w:val="none"/>
          <w:u w:val="single"/>
          <w:lang w:val="en-US" w:eastAsia="zh-CN"/>
        </w:rPr>
        <w:footnoteReference w:id="0"/>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w:t>
      </w:r>
      <w:r>
        <w:rPr>
          <w:rStyle w:val="27"/>
          <w:rFonts w:hint="eastAsia" w:ascii="宋体" w:hAnsi="宋体" w:eastAsia="宋体" w:cs="宋体"/>
          <w:sz w:val="24"/>
          <w:szCs w:val="24"/>
          <w:highlight w:val="none"/>
          <w:lang w:val="en-US" w:eastAsia="zh-CN"/>
        </w:rPr>
        <w:footnoteReference w:id="1"/>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i/>
          <w:iCs/>
          <w:sz w:val="24"/>
          <w:szCs w:val="24"/>
          <w:highlight w:val="none"/>
          <w:u w:val="single"/>
          <w:lang w:val="en-US" w:eastAsia="zh-CN"/>
        </w:rPr>
        <w:t>（标的名称）</w:t>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企业名称（盖章）：</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r>
        <w:rPr>
          <w:rFonts w:hint="eastAsia" w:ascii="宋体" w:hAnsi="宋体" w:eastAsia="宋体" w:cs="宋体"/>
          <w:b w:val="0"/>
          <w:bCs/>
          <w:spacing w:val="6"/>
          <w:sz w:val="28"/>
          <w:szCs w:val="28"/>
        </w:rPr>
        <w:t>残疾人福利性单位声明函</w:t>
      </w:r>
    </w:p>
    <w:p>
      <w:pPr>
        <w:spacing w:line="360" w:lineRule="auto"/>
        <w:ind w:firstLine="504" w:firstLineChars="200"/>
        <w:rPr>
          <w:rFonts w:hint="eastAsia" w:ascii="宋体" w:hAnsi="宋体" w:eastAsia="宋体" w:cs="宋体"/>
          <w:spacing w:val="6"/>
          <w:sz w:val="24"/>
          <w:szCs w:val="24"/>
        </w:rPr>
      </w:pP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spacing w:line="560" w:lineRule="exact"/>
        <w:ind w:firstLine="3120" w:firstLineChars="1300"/>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 w:val="0"/>
          <w:bCs/>
          <w:spacing w:val="6"/>
          <w:kern w:val="2"/>
          <w:sz w:val="28"/>
          <w:szCs w:val="28"/>
        </w:rPr>
      </w:pPr>
      <w:r>
        <w:rPr>
          <w:rFonts w:hint="eastAsia" w:ascii="宋体" w:hAnsi="宋体" w:eastAsia="宋体" w:cs="宋体"/>
          <w:bCs/>
          <w:spacing w:val="6"/>
          <w:sz w:val="28"/>
          <w:szCs w:val="28"/>
        </w:rPr>
        <w:t>监狱企业声明函</w:t>
      </w:r>
    </w:p>
    <w:p>
      <w:pPr>
        <w:spacing w:line="560" w:lineRule="exact"/>
        <w:ind w:firstLine="480" w:firstLineChars="200"/>
        <w:rPr>
          <w:rFonts w:hint="eastAsia" w:ascii="宋体" w:hAnsi="宋体" w:eastAsia="宋体" w:cs="宋体"/>
          <w:kern w:val="0"/>
          <w:sz w:val="24"/>
          <w:szCs w:val="24"/>
        </w:rPr>
      </w:pPr>
    </w:p>
    <w:p>
      <w:pPr>
        <w:spacing w:line="560" w:lineRule="exact"/>
        <w:ind w:firstLine="480" w:firstLineChars="200"/>
        <w:rPr>
          <w:rFonts w:hint="eastAsia" w:ascii="宋体" w:hAnsi="宋体" w:eastAsia="宋体" w:cs="宋体"/>
          <w:spacing w:val="6"/>
          <w:sz w:val="24"/>
          <w:szCs w:val="24"/>
        </w:rPr>
      </w:pPr>
      <w:r>
        <w:rPr>
          <w:rFonts w:hint="eastAsia" w:ascii="宋体" w:hAnsi="宋体" w:eastAsia="宋体" w:cs="宋体"/>
          <w:kern w:val="0"/>
          <w:sz w:val="24"/>
          <w:szCs w:val="24"/>
        </w:rPr>
        <w:t>本单位郑重声明</w:t>
      </w: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《财政部 司法部关于政府采购支持监狱企业发展有关问题的通知》（财库〔2014〕68号）</w:t>
      </w:r>
      <w:r>
        <w:rPr>
          <w:rFonts w:hint="eastAsia" w:ascii="宋体" w:hAnsi="宋体" w:eastAsia="宋体" w:cs="宋体"/>
          <w:kern w:val="0"/>
          <w:sz w:val="24"/>
          <w:szCs w:val="24"/>
          <w:lang w:eastAsia="zh-CN"/>
        </w:rPr>
        <w:t>的规定，本单位为符合条件的监狱企业，</w:t>
      </w:r>
      <w:r>
        <w:rPr>
          <w:rFonts w:hint="eastAsia" w:ascii="宋体" w:hAnsi="宋体" w:eastAsia="宋体" w:cs="宋体"/>
          <w:spacing w:val="6"/>
          <w:sz w:val="24"/>
          <w:szCs w:val="24"/>
        </w:rPr>
        <w:t>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w:t>
      </w:r>
    </w:p>
    <w:p>
      <w:pPr>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kern w:val="0"/>
          <w:sz w:val="24"/>
          <w:szCs w:val="24"/>
          <w:lang w:eastAsia="zh-CN"/>
        </w:rPr>
      </w:pPr>
    </w:p>
    <w:p>
      <w:pPr>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pacing w:val="6"/>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sz w:val="28"/>
          <w:szCs w:val="28"/>
          <w:u w:val="single"/>
          <w:lang w:val="en-US" w:eastAsia="zh-CN"/>
        </w:rPr>
      </w:pPr>
    </w:p>
    <w:p>
      <w:pPr>
        <w:rPr>
          <w:rFonts w:hint="eastAsia" w:ascii="宋体" w:hAnsi="宋体" w:eastAsia="宋体" w:cs="宋体"/>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90220" cy="1339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0220" cy="133985"/>
                      </a:xfrm>
                      <a:prstGeom prst="rect">
                        <a:avLst/>
                      </a:prstGeom>
                      <a:noFill/>
                      <a:ln w="15875">
                        <a:noFill/>
                      </a:ln>
                    </wps:spPr>
                    <wps:txbx>
                      <w:txbxContent>
                        <w:p>
                          <w:pPr>
                            <w:pStyle w:val="13"/>
                            <w:rPr>
                              <w:rFonts w:hint="eastAsi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0.55pt;width:38.6pt;mso-position-horizontal:center;mso-position-horizontal-relative:margin;z-index:251662336;mso-width-relative:page;mso-height-relative:page;" filled="f" stroked="f" coordsize="21600,21600" o:gfxdata="UEsDBAoAAAAAAIdO4kAAAAAAAAAAAAAAAAAEAAAAZHJzL1BLAwQUAAAACACHTuJAis8pZNMAAAAD&#10;AQAADwAAAGRycy9kb3ducmV2LnhtbE2PQUvEMBCF74L/IYzgRdy0FXelNl1kQQRPWv0BaTM2xWYS&#10;kmx311/v6EUvA4/3eO+bZnt0s1gwpsmTgnJVgEAavJloVPD+9nh9ByJlTUbPnlDBCRNs2/OzRtfG&#10;H+gVly6Pgkso1VqBzTnUUqbBotNp5QMSex8+Op1ZxlGaqA9c7mZZFcVaOj0RL1gdcGdx+Oz2TkH3&#10;nG/i7uk22OUhXJmXr35Yn6JSlxdlcQ8i4zH/heEHn9GhZabe78kkMSvgR/LvZW+zqUD0CqqyBNk2&#10;8j97+w1QSwMEFAAAAAgAh07iQNr9vFnXAQAAowMAAA4AAABkcnMvZTJvRG9jLnhtbK1TzY7TMBC+&#10;I/EOlu80aZfSbtR0BaoWISFAWngA13EaS/7D4zTpC8AbcOLCnefqczB2ki7avexhL854ZvzNfN9M&#10;Nje9VuQoPEhrSjqf5ZQIw20lzaGk377evlpTAoGZiilrRElPAujN9uWLTecKsbCNVZXwBEEMFJ0r&#10;aROCK7IMeCM0g5l1wmCwtl6zgFd/yCrPOkTXKlvk+Zuss75y3nIBgN7dEKQjon8KoK1rycXO8lYL&#10;EwZULxQLSAka6YBuU7d1LXj4XNcgAlElRaYhnVgE7X08s+2GFQfPXCP52AJ7SgsPOGkmDRa9QO1Y&#10;YKT18hGUltxbsHWYcauzgUhSBFnM8wfa3DXMicQFpQZ3ER2eD5Z/On7xRFYlXVFimMaBn3/9PP/+&#10;e/7zg6yiPJ2DArPuHOaF/p3tcWkmP6Azsu5rr+MX+RCMo7ini7iiD4Sj8/V1vlhghGNofnV1vV5G&#10;lOz+sfMQ3gurSTRK6nF2SVJ2/AhhSJ1SYi1jb6VSaX7KkA5Bl+vVMr24hBBdGSwSOQy9Riv0+34k&#10;trfVCXl1uAAlhe8t84IS9cGgwnFbJsNPxn4yWufloUnrNDTztg22lqnPWGMAHkvj7BLTcc/icvx/&#10;T1n3/9b2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rPKWTTAAAAAwEAAA8AAAAAAAAAAQAgAAAA&#10;IgAAAGRycy9kb3ducmV2LnhtbFBLAQIUABQAAAAIAIdO4kDa/bxZ1wEAAKMDAAAOAAAAAAAAAAEA&#10;IAAAACIBAABkcnMvZTJvRG9jLnhtbFBLBQYAAAAABgAGAFkBAABrBQAAAAA=&#10;">
              <v:fill on="f" focussize="0,0"/>
              <v:stroke on="f" weight="1.25pt"/>
              <v:imagedata o:title=""/>
              <o:lock v:ext="edit" aspectratio="f"/>
              <v:textbox inset="0mm,0mm,0mm,0mm">
                <w:txbxContent>
                  <w:p>
                    <w:pPr>
                      <w:pStyle w:val="13"/>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6"/>
        <w:snapToGrid w:val="0"/>
        <w:rPr>
          <w:rFonts w:hint="eastAsia" w:eastAsia="宋体"/>
          <w:lang w:eastAsia="zh-CN"/>
        </w:rPr>
      </w:pPr>
      <w:r>
        <w:rPr>
          <w:rStyle w:val="27"/>
        </w:rPr>
        <w:footnoteRef/>
      </w:r>
      <w:r>
        <w:t xml:space="preserve"> </w:t>
      </w:r>
      <w:r>
        <w:rPr>
          <w:rFonts w:hint="eastAsia"/>
          <w:lang w:eastAsia="zh-CN"/>
        </w:rPr>
        <w:t>供应商需按提供的货物标的分别填写，未按规定填写的，视为未提供《中小企业申明函》。</w:t>
      </w:r>
    </w:p>
  </w:footnote>
  <w:footnote w:id="1">
    <w:p>
      <w:pPr>
        <w:pStyle w:val="16"/>
        <w:snapToGrid w:val="0"/>
        <w:rPr>
          <w:rFonts w:hint="eastAsia" w:eastAsia="宋体"/>
          <w:lang w:eastAsia="zh-CN"/>
        </w:rPr>
      </w:pPr>
      <w:r>
        <w:rPr>
          <w:rStyle w:val="27"/>
        </w:rPr>
        <w:footnoteRef/>
      </w:r>
      <w:r>
        <w:t xml:space="preserve"> </w:t>
      </w:r>
      <w:r>
        <w:rPr>
          <w:rFonts w:hint="eastAsia"/>
          <w:lang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DBF13"/>
    <w:multiLevelType w:val="singleLevel"/>
    <w:tmpl w:val="103DBF13"/>
    <w:lvl w:ilvl="0" w:tentative="0">
      <w:start w:val="31"/>
      <w:numFmt w:val="decimal"/>
      <w:lvlText w:val="%1."/>
      <w:lvlJc w:val="left"/>
      <w:pPr>
        <w:tabs>
          <w:tab w:val="left" w:pos="312"/>
        </w:tabs>
      </w:pPr>
    </w:lvl>
  </w:abstractNum>
  <w:abstractNum w:abstractNumId="1">
    <w:nsid w:val="3BC6F53A"/>
    <w:multiLevelType w:val="singleLevel"/>
    <w:tmpl w:val="3BC6F53A"/>
    <w:lvl w:ilvl="0" w:tentative="0">
      <w:start w:val="6"/>
      <w:numFmt w:val="chineseCounting"/>
      <w:suff w:val="nothing"/>
      <w:lvlText w:val="%1、"/>
      <w:lvlJc w:val="left"/>
      <w:rPr>
        <w:rFonts w:hint="eastAsia"/>
      </w:rPr>
    </w:lvl>
  </w:abstractNum>
  <w:abstractNum w:abstractNumId="2">
    <w:nsid w:val="61A27FA0"/>
    <w:multiLevelType w:val="singleLevel"/>
    <w:tmpl w:val="61A27FA0"/>
    <w:lvl w:ilvl="0" w:tentative="0">
      <w:start w:val="1"/>
      <w:numFmt w:val="chineseCounting"/>
      <w:suff w:val="nothing"/>
      <w:lvlText w:val="%1、"/>
      <w:lvlJc w:val="left"/>
    </w:lvl>
  </w:abstractNum>
  <w:abstractNum w:abstractNumId="3">
    <w:nsid w:val="61A2802E"/>
    <w:multiLevelType w:val="singleLevel"/>
    <w:tmpl w:val="61A2802E"/>
    <w:lvl w:ilvl="0" w:tentative="0">
      <w:start w:val="19"/>
      <w:numFmt w:val="decimal"/>
      <w:suff w:val="nothing"/>
      <w:lvlText w:val="%1、"/>
      <w:lvlJc w:val="left"/>
    </w:lvl>
  </w:abstractNum>
  <w:abstractNum w:abstractNumId="4">
    <w:nsid w:val="61A28073"/>
    <w:multiLevelType w:val="singleLevel"/>
    <w:tmpl w:val="61A28073"/>
    <w:lvl w:ilvl="0" w:tentative="0">
      <w:start w:val="1"/>
      <w:numFmt w:val="chineseCounting"/>
      <w:suff w:val="nothing"/>
      <w:lvlText w:val="%1、"/>
      <w:lvlJc w:val="left"/>
    </w:lvl>
  </w:abstractNum>
  <w:abstractNum w:abstractNumId="5">
    <w:nsid w:val="61A2827B"/>
    <w:multiLevelType w:val="singleLevel"/>
    <w:tmpl w:val="61A2827B"/>
    <w:lvl w:ilvl="0" w:tentative="0">
      <w:start w:val="1"/>
      <w:numFmt w:val="chineseCounting"/>
      <w:suff w:val="nothing"/>
      <w:lvlText w:val="%1、"/>
      <w:lvlJc w:val="left"/>
    </w:lvl>
  </w:abstractNum>
  <w:abstractNum w:abstractNumId="6">
    <w:nsid w:val="61A282B7"/>
    <w:multiLevelType w:val="singleLevel"/>
    <w:tmpl w:val="61A282B7"/>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40FF"/>
    <w:rsid w:val="00080931"/>
    <w:rsid w:val="00B94863"/>
    <w:rsid w:val="00C511B7"/>
    <w:rsid w:val="01B63A17"/>
    <w:rsid w:val="021B6523"/>
    <w:rsid w:val="037F33C8"/>
    <w:rsid w:val="03E7753F"/>
    <w:rsid w:val="04C62F9F"/>
    <w:rsid w:val="04CB729E"/>
    <w:rsid w:val="04CC44A2"/>
    <w:rsid w:val="050E2592"/>
    <w:rsid w:val="056E140A"/>
    <w:rsid w:val="076A2A04"/>
    <w:rsid w:val="0780012E"/>
    <w:rsid w:val="07CC72FC"/>
    <w:rsid w:val="08343E14"/>
    <w:rsid w:val="08366D5F"/>
    <w:rsid w:val="08E57447"/>
    <w:rsid w:val="092E0B3E"/>
    <w:rsid w:val="096B5298"/>
    <w:rsid w:val="0A103E48"/>
    <w:rsid w:val="0C1D7351"/>
    <w:rsid w:val="0C840FD9"/>
    <w:rsid w:val="0CD602B7"/>
    <w:rsid w:val="0D4328A9"/>
    <w:rsid w:val="0D796C1A"/>
    <w:rsid w:val="0D7C3932"/>
    <w:rsid w:val="0E794D53"/>
    <w:rsid w:val="0FDB1BF5"/>
    <w:rsid w:val="0FEF4F54"/>
    <w:rsid w:val="11356139"/>
    <w:rsid w:val="118068FB"/>
    <w:rsid w:val="126C0A35"/>
    <w:rsid w:val="1370439C"/>
    <w:rsid w:val="1396092A"/>
    <w:rsid w:val="13C1301F"/>
    <w:rsid w:val="13D63835"/>
    <w:rsid w:val="13FD6B45"/>
    <w:rsid w:val="13FF3763"/>
    <w:rsid w:val="141E1DE5"/>
    <w:rsid w:val="14345C5B"/>
    <w:rsid w:val="14A16330"/>
    <w:rsid w:val="14E239EA"/>
    <w:rsid w:val="14F41039"/>
    <w:rsid w:val="14FD2ACD"/>
    <w:rsid w:val="15754BC9"/>
    <w:rsid w:val="15F346B9"/>
    <w:rsid w:val="16831BEC"/>
    <w:rsid w:val="16A36F35"/>
    <w:rsid w:val="16B0048A"/>
    <w:rsid w:val="17281E21"/>
    <w:rsid w:val="17BB1818"/>
    <w:rsid w:val="182046FC"/>
    <w:rsid w:val="1822282F"/>
    <w:rsid w:val="197E3BD1"/>
    <w:rsid w:val="19B04BEC"/>
    <w:rsid w:val="19D67D83"/>
    <w:rsid w:val="1A157DC2"/>
    <w:rsid w:val="1A9F5834"/>
    <w:rsid w:val="1AFE7A5D"/>
    <w:rsid w:val="1B283317"/>
    <w:rsid w:val="1B4B3D1B"/>
    <w:rsid w:val="1BB106F7"/>
    <w:rsid w:val="1C4D646D"/>
    <w:rsid w:val="1C901041"/>
    <w:rsid w:val="1D9277B1"/>
    <w:rsid w:val="1E497912"/>
    <w:rsid w:val="1E8E40FF"/>
    <w:rsid w:val="1ECB0EEB"/>
    <w:rsid w:val="1EF608AE"/>
    <w:rsid w:val="1F4E5300"/>
    <w:rsid w:val="1F59771E"/>
    <w:rsid w:val="1F884F5B"/>
    <w:rsid w:val="1F8A49CA"/>
    <w:rsid w:val="200A1BF6"/>
    <w:rsid w:val="20B85F81"/>
    <w:rsid w:val="2179553A"/>
    <w:rsid w:val="22251D45"/>
    <w:rsid w:val="223B56DF"/>
    <w:rsid w:val="23C15A3F"/>
    <w:rsid w:val="243A0E17"/>
    <w:rsid w:val="244840B1"/>
    <w:rsid w:val="250C13F2"/>
    <w:rsid w:val="25232B17"/>
    <w:rsid w:val="25850578"/>
    <w:rsid w:val="25BA20A8"/>
    <w:rsid w:val="26ED6875"/>
    <w:rsid w:val="2702102F"/>
    <w:rsid w:val="2730681E"/>
    <w:rsid w:val="277E75D0"/>
    <w:rsid w:val="27F82704"/>
    <w:rsid w:val="28212A30"/>
    <w:rsid w:val="284F2D45"/>
    <w:rsid w:val="291C6B6A"/>
    <w:rsid w:val="29563C81"/>
    <w:rsid w:val="29E15075"/>
    <w:rsid w:val="29F51EA6"/>
    <w:rsid w:val="2A304B24"/>
    <w:rsid w:val="2A50123B"/>
    <w:rsid w:val="2A92774F"/>
    <w:rsid w:val="2B8D7522"/>
    <w:rsid w:val="2B9F75F3"/>
    <w:rsid w:val="2BD34071"/>
    <w:rsid w:val="2C8A365F"/>
    <w:rsid w:val="2E5E0C3D"/>
    <w:rsid w:val="2ED2428A"/>
    <w:rsid w:val="2F246C01"/>
    <w:rsid w:val="2F26630E"/>
    <w:rsid w:val="2FD21B16"/>
    <w:rsid w:val="30C10581"/>
    <w:rsid w:val="313571C2"/>
    <w:rsid w:val="31594B47"/>
    <w:rsid w:val="31914289"/>
    <w:rsid w:val="31B047F8"/>
    <w:rsid w:val="31BC1354"/>
    <w:rsid w:val="31CD5023"/>
    <w:rsid w:val="31D87EB9"/>
    <w:rsid w:val="328B4E7C"/>
    <w:rsid w:val="333A19AA"/>
    <w:rsid w:val="34E866F6"/>
    <w:rsid w:val="353855B4"/>
    <w:rsid w:val="35935DF5"/>
    <w:rsid w:val="35B81589"/>
    <w:rsid w:val="366E52B7"/>
    <w:rsid w:val="37682BD0"/>
    <w:rsid w:val="38595B39"/>
    <w:rsid w:val="386B4921"/>
    <w:rsid w:val="39A33EB9"/>
    <w:rsid w:val="39F85A3D"/>
    <w:rsid w:val="3B1F0DA9"/>
    <w:rsid w:val="3BCB2471"/>
    <w:rsid w:val="3C7B036A"/>
    <w:rsid w:val="400E496C"/>
    <w:rsid w:val="404331E5"/>
    <w:rsid w:val="40702958"/>
    <w:rsid w:val="40A323DE"/>
    <w:rsid w:val="40CA20D4"/>
    <w:rsid w:val="41203332"/>
    <w:rsid w:val="41B25A01"/>
    <w:rsid w:val="41BE0913"/>
    <w:rsid w:val="41FA03D3"/>
    <w:rsid w:val="42026BDE"/>
    <w:rsid w:val="42BF740F"/>
    <w:rsid w:val="4313468B"/>
    <w:rsid w:val="4352345A"/>
    <w:rsid w:val="438F0D5B"/>
    <w:rsid w:val="43907EBB"/>
    <w:rsid w:val="45194046"/>
    <w:rsid w:val="45AF77FC"/>
    <w:rsid w:val="45CC0588"/>
    <w:rsid w:val="45E9404A"/>
    <w:rsid w:val="46397DDB"/>
    <w:rsid w:val="46504F6D"/>
    <w:rsid w:val="467C0FF0"/>
    <w:rsid w:val="476A173C"/>
    <w:rsid w:val="477C215A"/>
    <w:rsid w:val="479B4458"/>
    <w:rsid w:val="481F7D6B"/>
    <w:rsid w:val="49131C9A"/>
    <w:rsid w:val="4AB933D8"/>
    <w:rsid w:val="4B044319"/>
    <w:rsid w:val="4B85308D"/>
    <w:rsid w:val="4BC201FF"/>
    <w:rsid w:val="4BD75F12"/>
    <w:rsid w:val="4C393E29"/>
    <w:rsid w:val="4C653BF0"/>
    <w:rsid w:val="4D782F05"/>
    <w:rsid w:val="4DA37AAC"/>
    <w:rsid w:val="4DC51FA4"/>
    <w:rsid w:val="4DD80C84"/>
    <w:rsid w:val="4EDF237F"/>
    <w:rsid w:val="4F085246"/>
    <w:rsid w:val="503C544A"/>
    <w:rsid w:val="519E7733"/>
    <w:rsid w:val="523E560F"/>
    <w:rsid w:val="52B6480D"/>
    <w:rsid w:val="52CD453B"/>
    <w:rsid w:val="53027CD2"/>
    <w:rsid w:val="53200281"/>
    <w:rsid w:val="53290CD4"/>
    <w:rsid w:val="538162C9"/>
    <w:rsid w:val="555E0443"/>
    <w:rsid w:val="56384FE6"/>
    <w:rsid w:val="56AA1E08"/>
    <w:rsid w:val="57AE6CDA"/>
    <w:rsid w:val="57F0377C"/>
    <w:rsid w:val="583C1867"/>
    <w:rsid w:val="58873140"/>
    <w:rsid w:val="596F0E10"/>
    <w:rsid w:val="599C6492"/>
    <w:rsid w:val="5A6F3C65"/>
    <w:rsid w:val="5A7B0814"/>
    <w:rsid w:val="5B3D3F65"/>
    <w:rsid w:val="5B9638B8"/>
    <w:rsid w:val="5C9A5132"/>
    <w:rsid w:val="5D375C83"/>
    <w:rsid w:val="5D42253B"/>
    <w:rsid w:val="5D6B790C"/>
    <w:rsid w:val="5E2E0F47"/>
    <w:rsid w:val="5E332780"/>
    <w:rsid w:val="5F0C26A6"/>
    <w:rsid w:val="5F1858DD"/>
    <w:rsid w:val="5F4A14DC"/>
    <w:rsid w:val="60CE724F"/>
    <w:rsid w:val="61955EB7"/>
    <w:rsid w:val="62E16081"/>
    <w:rsid w:val="634150F8"/>
    <w:rsid w:val="637F69FE"/>
    <w:rsid w:val="644F03D7"/>
    <w:rsid w:val="646D0E4E"/>
    <w:rsid w:val="6AB143D3"/>
    <w:rsid w:val="6BC5066D"/>
    <w:rsid w:val="6BC56347"/>
    <w:rsid w:val="6C4368F7"/>
    <w:rsid w:val="6CEA7D43"/>
    <w:rsid w:val="6D822A14"/>
    <w:rsid w:val="6D9B25AA"/>
    <w:rsid w:val="6DE45B94"/>
    <w:rsid w:val="6E747B6A"/>
    <w:rsid w:val="6E7511F9"/>
    <w:rsid w:val="6EA84BB0"/>
    <w:rsid w:val="6EF458BB"/>
    <w:rsid w:val="705D78AD"/>
    <w:rsid w:val="706C7440"/>
    <w:rsid w:val="70C12171"/>
    <w:rsid w:val="710F226F"/>
    <w:rsid w:val="714401F6"/>
    <w:rsid w:val="71DB4198"/>
    <w:rsid w:val="72996779"/>
    <w:rsid w:val="72BD7A9D"/>
    <w:rsid w:val="740B4DC0"/>
    <w:rsid w:val="74560AED"/>
    <w:rsid w:val="74752727"/>
    <w:rsid w:val="757078B9"/>
    <w:rsid w:val="77FC2F13"/>
    <w:rsid w:val="781112FC"/>
    <w:rsid w:val="7A2529FA"/>
    <w:rsid w:val="7A472EAD"/>
    <w:rsid w:val="7BA56E7B"/>
    <w:rsid w:val="7C10644D"/>
    <w:rsid w:val="7C8B78B3"/>
    <w:rsid w:val="7CF00A6B"/>
    <w:rsid w:val="7D300486"/>
    <w:rsid w:val="7D99640A"/>
    <w:rsid w:val="7E563995"/>
    <w:rsid w:val="7EE921C1"/>
    <w:rsid w:val="7FC43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2"/>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ind w:firstLine="420"/>
    </w:pPr>
    <w:rPr>
      <w:kern w:val="0"/>
      <w:sz w:val="20"/>
    </w:rPr>
  </w:style>
  <w:style w:type="paragraph" w:styleId="9">
    <w:name w:val="annotation text"/>
    <w:basedOn w:val="1"/>
    <w:qFormat/>
    <w:uiPriority w:val="0"/>
    <w:pPr>
      <w:jc w:val="left"/>
    </w:pPr>
  </w:style>
  <w:style w:type="paragraph" w:styleId="10">
    <w:name w:val="Body Text Indent"/>
    <w:basedOn w:val="1"/>
    <w:next w:val="11"/>
    <w:qFormat/>
    <w:uiPriority w:val="0"/>
    <w:pPr>
      <w:tabs>
        <w:tab w:val="left" w:pos="6840"/>
      </w:tabs>
      <w:ind w:firstLine="420" w:firstLineChars="200"/>
    </w:pPr>
    <w:rPr>
      <w:rFonts w:ascii="宋体" w:hAnsi="宋体" w:eastAsia="宋体"/>
      <w:kern w:val="2"/>
      <w:sz w:val="21"/>
      <w:szCs w:val="24"/>
      <w:lang w:val="en-US" w:eastAsia="zh-CN" w:bidi="ar-SA"/>
    </w:rPr>
  </w:style>
  <w:style w:type="paragraph" w:styleId="11">
    <w:name w:val="envelope return"/>
    <w:basedOn w:val="1"/>
    <w:qFormat/>
    <w:uiPriority w:val="0"/>
    <w:pPr>
      <w:snapToGrid w:val="0"/>
    </w:pPr>
    <w:rPr>
      <w:rFonts w:ascii="Arial" w:hAnsi="Arial"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20" w:beforeLines="0" w:after="120" w:afterLines="0"/>
    </w:pPr>
    <w:rPr>
      <w:rFonts w:eastAsia="宋体"/>
      <w:bCs/>
      <w:caps/>
      <w:sz w:val="30"/>
      <w:szCs w:val="30"/>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rPr>
      <w:sz w:val="21"/>
    </w:rPr>
  </w:style>
  <w:style w:type="paragraph" w:styleId="18">
    <w:name w:val="Normal (Web)"/>
    <w:basedOn w:val="1"/>
    <w:unhideWhenUsed/>
    <w:qFormat/>
    <w:uiPriority w:val="1"/>
    <w:pPr>
      <w:spacing w:before="100" w:beforeAutospacing="1" w:after="100" w:afterAutospacing="1"/>
      <w:ind w:left="0" w:right="0"/>
      <w:jc w:val="left"/>
    </w:pPr>
    <w:rPr>
      <w:kern w:val="0"/>
      <w:sz w:val="24"/>
      <w:lang w:val="en-US" w:eastAsia="zh-CN" w:bidi="ar"/>
    </w:rPr>
  </w:style>
  <w:style w:type="paragraph" w:styleId="19">
    <w:name w:val="index 1"/>
    <w:basedOn w:val="1"/>
    <w:next w:val="1"/>
    <w:qFormat/>
    <w:uiPriority w:val="0"/>
    <w:rPr>
      <w:rFonts w:eastAsia="仿宋_GB2312"/>
      <w:b/>
      <w:sz w:val="24"/>
    </w:rPr>
  </w:style>
  <w:style w:type="paragraph" w:styleId="2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1">
    <w:name w:val="Body Text First Indent 2"/>
    <w:basedOn w:val="10"/>
    <w:qFormat/>
    <w:uiPriority w:val="0"/>
    <w:pPr>
      <w:widowControl/>
      <w:spacing w:line="276" w:lineRule="auto"/>
      <w:ind w:left="200" w:firstLine="420" w:firstLineChars="200"/>
      <w:jc w:val="left"/>
    </w:pPr>
    <w:rPr>
      <w:rFonts w:ascii="Arial" w:hAnsi="Arial" w:eastAsia="仿宋_GB2312" w:cs="宋体"/>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qFormat/>
    <w:uiPriority w:val="0"/>
    <w:rPr>
      <w:rFonts w:ascii="Times New Roman" w:hAnsi="Times New Roman" w:eastAsia="宋体" w:cs="Times New Roman"/>
    </w:rPr>
  </w:style>
  <w:style w:type="character" w:styleId="27">
    <w:name w:val="footnote reference"/>
    <w:basedOn w:val="24"/>
    <w:qFormat/>
    <w:uiPriority w:val="0"/>
    <w:rPr>
      <w:vertAlign w:val="superscript"/>
    </w:rPr>
  </w:style>
  <w:style w:type="paragraph" w:customStyle="1" w:styleId="28">
    <w:name w:val="正文（缩进）"/>
    <w:basedOn w:val="1"/>
    <w:qFormat/>
    <w:uiPriority w:val="0"/>
    <w:pPr>
      <w:ind w:firstLine="480" w:firstLineChars="200"/>
    </w:pPr>
    <w:rPr>
      <w:szCs w:val="21"/>
    </w:rPr>
  </w:style>
  <w:style w:type="paragraph" w:customStyle="1" w:styleId="29">
    <w:name w:val="样式 样式 行距: 1.5 倍行距 + 首行缩进:  2 字符"/>
    <w:basedOn w:val="1"/>
    <w:qFormat/>
    <w:uiPriority w:val="0"/>
    <w:rPr>
      <w:rFonts w:cs="宋体"/>
      <w:sz w:val="24"/>
    </w:rPr>
  </w:style>
  <w:style w:type="paragraph" w:customStyle="1" w:styleId="30">
    <w:name w:val="List Paragraph"/>
    <w:basedOn w:val="1"/>
    <w:qFormat/>
    <w:uiPriority w:val="34"/>
    <w:pPr>
      <w:ind w:firstLine="420" w:firstLineChars="200"/>
    </w:pPr>
    <w:rPr>
      <w:rFonts w:ascii="Calibri" w:hAnsi="Calibri"/>
      <w:szCs w:val="22"/>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标题 2 Char"/>
    <w:link w:val="5"/>
    <w:qFormat/>
    <w:uiPriority w:val="0"/>
    <w:rPr>
      <w:rFonts w:ascii="Arial" w:hAnsi="Arial" w:eastAsia="黑体"/>
      <w:b/>
      <w:bCs/>
      <w:sz w:val="32"/>
      <w:szCs w:val="32"/>
    </w:rPr>
  </w:style>
  <w:style w:type="character" w:customStyle="1" w:styleId="33">
    <w:name w:val="标题 1 Char"/>
    <w:link w:val="4"/>
    <w:qFormat/>
    <w:uiPriority w:val="0"/>
    <w:rPr>
      <w:b/>
      <w:kern w:val="44"/>
      <w:sz w:val="44"/>
    </w:rPr>
  </w:style>
  <w:style w:type="character" w:customStyle="1" w:styleId="34">
    <w:name w:val="selectedtreerow8"/>
    <w:basedOn w:val="24"/>
    <w:qFormat/>
    <w:uiPriority w:val="0"/>
    <w:rPr>
      <w:color w:val="000000"/>
      <w:shd w:val="clear" w:fill="B5DEFF"/>
    </w:rPr>
  </w:style>
  <w:style w:type="character" w:customStyle="1" w:styleId="35">
    <w:name w:val="selectedtreerow9"/>
    <w:basedOn w:val="24"/>
    <w:qFormat/>
    <w:uiPriority w:val="0"/>
  </w:style>
  <w:style w:type="character" w:customStyle="1" w:styleId="36">
    <w:name w:val="dhxtabbar_tabs_text_test_dhx_skyblue"/>
    <w:basedOn w:val="24"/>
    <w:qFormat/>
    <w:uiPriority w:val="0"/>
    <w:rPr>
      <w:rFonts w:ascii="Tahoma" w:hAnsi="Tahoma" w:eastAsia="Tahoma" w:cs="Tahoma"/>
      <w:b/>
      <w:bCs/>
      <w:color w:val="000000"/>
      <w:sz w:val="16"/>
      <w:szCs w:val="16"/>
    </w:rPr>
  </w:style>
  <w:style w:type="character" w:customStyle="1" w:styleId="37">
    <w:name w:val="selectedtreerow_lor5"/>
    <w:basedOn w:val="24"/>
    <w:qFormat/>
    <w:uiPriority w:val="0"/>
    <w:rPr>
      <w:color w:val="000000"/>
      <w:shd w:val="clear" w:fill="B5DEFF"/>
    </w:rPr>
  </w:style>
  <w:style w:type="character" w:customStyle="1" w:styleId="38">
    <w:name w:val="selectedtreerow_lor6"/>
    <w:basedOn w:val="24"/>
    <w:qFormat/>
    <w:uiPriority w:val="0"/>
  </w:style>
  <w:style w:type="character" w:customStyle="1" w:styleId="39">
    <w:name w:val="selectedtreerow_lor7"/>
    <w:basedOn w:val="24"/>
    <w:qFormat/>
    <w:uiPriority w:val="0"/>
    <w:rPr>
      <w:color w:val="000000"/>
      <w:shd w:val="clear" w:fill="B5DEFF"/>
    </w:rPr>
  </w:style>
  <w:style w:type="character" w:customStyle="1" w:styleId="40">
    <w:name w:val="layui-this"/>
    <w:basedOn w:val="24"/>
    <w:qFormat/>
    <w:uiPriority w:val="0"/>
    <w:rPr>
      <w:bdr w:val="single" w:color="EEEEEE" w:sz="6" w:space="0"/>
      <w:shd w:val="clear" w:fill="FFFFFF"/>
    </w:rPr>
  </w:style>
  <w:style w:type="character" w:customStyle="1" w:styleId="41">
    <w:name w:val="first-child"/>
    <w:basedOn w:val="24"/>
    <w:qFormat/>
    <w:uiPriority w:val="0"/>
  </w:style>
  <w:style w:type="character" w:customStyle="1" w:styleId="42">
    <w:name w:val="standarttreerow8"/>
    <w:basedOn w:val="24"/>
    <w:qFormat/>
    <w:uiPriority w:val="0"/>
  </w:style>
  <w:style w:type="character" w:customStyle="1" w:styleId="43">
    <w:name w:val="dhtmlxcalendar_selected_date"/>
    <w:basedOn w:val="24"/>
    <w:qFormat/>
    <w:uiPriority w:val="0"/>
  </w:style>
  <w:style w:type="character" w:customStyle="1" w:styleId="44">
    <w:name w:val="recordsinfoblock"/>
    <w:basedOn w:val="24"/>
    <w:qFormat/>
    <w:uiPriority w:val="0"/>
    <w:rPr>
      <w:rFonts w:ascii="Verdana" w:hAnsi="Verdana" w:cs="Verdana"/>
      <w:sz w:val="18"/>
      <w:szCs w:val="18"/>
    </w:rPr>
  </w:style>
  <w:style w:type="character" w:customStyle="1" w:styleId="45">
    <w:name w:val="button"/>
    <w:basedOn w:val="24"/>
    <w:qFormat/>
    <w:uiPriority w:val="0"/>
  </w:style>
  <w:style w:type="character" w:customStyle="1" w:styleId="46">
    <w:name w:val="dhxform_item_required"/>
    <w:basedOn w:val="24"/>
    <w:qFormat/>
    <w:uiPriority w:val="0"/>
    <w:rPr>
      <w:color w:val="B2B2B2"/>
    </w:rPr>
  </w:style>
  <w:style w:type="character" w:customStyle="1" w:styleId="47">
    <w:name w:val="dhxform_item_required1"/>
    <w:basedOn w:val="24"/>
    <w:qFormat/>
    <w:uiPriority w:val="0"/>
    <w:rPr>
      <w:color w:val="FF0000"/>
    </w:rPr>
  </w:style>
  <w:style w:type="character" w:customStyle="1" w:styleId="48">
    <w:name w:val="space"/>
    <w:basedOn w:val="24"/>
    <w:qFormat/>
    <w:uiPriority w:val="0"/>
  </w:style>
  <w:style w:type="character" w:customStyle="1" w:styleId="49">
    <w:name w:val="nav_link"/>
    <w:basedOn w:val="24"/>
    <w:qFormat/>
    <w:uiPriority w:val="0"/>
  </w:style>
  <w:style w:type="character" w:customStyle="1" w:styleId="50">
    <w:name w:val="dhxform_info"/>
    <w:basedOn w:val="24"/>
    <w:qFormat/>
    <w:uiPriority w:val="0"/>
    <w:rPr>
      <w:rFonts w:hint="default" w:ascii="Tahoma" w:hAnsi="Tahoma" w:eastAsia="Tahoma" w:cs="Tahoma"/>
      <w:color w:val="808080"/>
      <w:sz w:val="12"/>
      <w:szCs w:val="12"/>
    </w:rPr>
  </w:style>
  <w:style w:type="character" w:customStyle="1" w:styleId="51">
    <w:name w:val="tmpztreemove_arrow"/>
    <w:basedOn w:val="24"/>
    <w:qFormat/>
    <w:uiPriority w:val="0"/>
  </w:style>
  <w:style w:type="character" w:customStyle="1" w:styleId="52">
    <w:name w:val="font71"/>
    <w:basedOn w:val="24"/>
    <w:qFormat/>
    <w:uiPriority w:val="0"/>
    <w:rPr>
      <w:rFonts w:hint="default" w:ascii="Times New Roman" w:hAnsi="Times New Roman" w:cs="Times New Roman"/>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 w:type="character" w:customStyle="1" w:styleId="54">
    <w:name w:val="font61"/>
    <w:basedOn w:val="24"/>
    <w:qFormat/>
    <w:uiPriority w:val="0"/>
    <w:rPr>
      <w:rFonts w:ascii="黑体" w:hAnsi="宋体" w:eastAsia="黑体" w:cs="黑体"/>
      <w:b/>
      <w:bCs/>
      <w:color w:val="000000"/>
      <w:sz w:val="20"/>
      <w:szCs w:val="20"/>
      <w:u w:val="none"/>
    </w:rPr>
  </w:style>
  <w:style w:type="character" w:customStyle="1" w:styleId="55">
    <w:name w:val="font11"/>
    <w:basedOn w:val="24"/>
    <w:qFormat/>
    <w:uiPriority w:val="0"/>
    <w:rPr>
      <w:rFonts w:hint="eastAsia" w:ascii="宋体" w:hAnsi="宋体" w:eastAsia="宋体" w:cs="宋体"/>
      <w:b/>
      <w:bCs/>
      <w:color w:val="000000"/>
      <w:sz w:val="20"/>
      <w:szCs w:val="20"/>
      <w:u w:val="none"/>
    </w:rPr>
  </w:style>
  <w:style w:type="character" w:customStyle="1" w:styleId="56">
    <w:name w:val="font41"/>
    <w:basedOn w:val="24"/>
    <w:qFormat/>
    <w:uiPriority w:val="0"/>
    <w:rPr>
      <w:rFonts w:hint="default" w:ascii="Arial Unicode MS" w:hAnsi="Arial Unicode MS" w:eastAsia="Arial Unicode MS" w:cs="Arial Unicode MS"/>
      <w:color w:val="000000"/>
      <w:sz w:val="20"/>
      <w:szCs w:val="20"/>
      <w:u w:val="none"/>
    </w:rPr>
  </w:style>
  <w:style w:type="character" w:customStyle="1" w:styleId="57">
    <w:name w:val="font51"/>
    <w:basedOn w:val="24"/>
    <w:qFormat/>
    <w:uiPriority w:val="0"/>
    <w:rPr>
      <w:rFonts w:hint="eastAsia" w:ascii="宋体" w:hAnsi="宋体" w:eastAsia="宋体" w:cs="宋体"/>
      <w:color w:val="000000"/>
      <w:sz w:val="20"/>
      <w:szCs w:val="20"/>
      <w:u w:val="single"/>
    </w:rPr>
  </w:style>
  <w:style w:type="character" w:customStyle="1" w:styleId="58">
    <w:name w:val="font01"/>
    <w:basedOn w:val="24"/>
    <w:qFormat/>
    <w:uiPriority w:val="0"/>
    <w:rPr>
      <w:rFonts w:ascii="楷体_GB2312" w:eastAsia="楷体_GB2312" w:cs="楷体_GB2312"/>
      <w:color w:val="000000"/>
      <w:sz w:val="20"/>
      <w:szCs w:val="20"/>
      <w:u w:val="none"/>
    </w:rPr>
  </w:style>
  <w:style w:type="character" w:customStyle="1" w:styleId="59">
    <w:name w:val="NormalCharacter"/>
    <w:qFormat/>
    <w:uiPriority w:val="0"/>
  </w:style>
  <w:style w:type="paragraph" w:customStyle="1" w:styleId="60">
    <w:name w:val="Heading1"/>
    <w:basedOn w:val="1"/>
    <w:next w:val="1"/>
    <w:qFormat/>
    <w:uiPriority w:val="0"/>
    <w:pPr>
      <w:keepNext/>
      <w:ind w:right="-525" w:rightChars="-250" w:firstLine="161" w:firstLineChars="100"/>
      <w:jc w:val="both"/>
      <w:textAlignment w:val="baseline"/>
    </w:pPr>
    <w:rPr>
      <w:rFonts w:cs="Times New Roman"/>
      <w:b/>
      <w:bCs/>
      <w:kern w:val="2"/>
      <w:sz w:val="16"/>
      <w:szCs w:val="24"/>
      <w:lang w:val="en-US" w:eastAsia="zh-HK"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2021-07-02T04:20:00Z</dcterms:created>
  <dc:creator>若相惜</dc:creator>
  <cp:lastModifiedBy>略</cp:lastModifiedBy>
  <dcterms:modified xsi:type="dcterms:W3CDTF">2021-11-30T03:51:06Z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752B7EC74169467690F1E06A4965BCDC</vt:lpwstr>
  </property>
</Properties>
</file>