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hint="eastAsia" w:ascii="仿宋_GB2312" w:eastAsia="仿宋_GB2312"/>
          <w:b/>
          <w:sz w:val="30"/>
          <w:szCs w:val="30"/>
        </w:rPr>
      </w:pPr>
    </w:p>
    <w:p>
      <w:pPr>
        <w:spacing w:line="240" w:lineRule="atLeast"/>
        <w:jc w:val="both"/>
        <w:rPr>
          <w:rFonts w:ascii="仿宋_GB2312" w:eastAsia="仿宋_GB2312"/>
          <w:b/>
          <w:sz w:val="52"/>
          <w:szCs w:val="52"/>
        </w:rPr>
      </w:pPr>
    </w:p>
    <w:p>
      <w:pPr>
        <w:spacing w:line="240" w:lineRule="atLeast"/>
        <w:ind w:left="1079" w:leftChars="257" w:hanging="540"/>
        <w:jc w:val="center"/>
        <w:rPr>
          <w:rFonts w:hint="eastAsia" w:ascii="仿宋_GB2312" w:hAnsi="Times New Roman" w:eastAsia="仿宋_GB2312" w:cs="Times New Roman"/>
          <w:b/>
          <w:bCs w:val="0"/>
          <w:sz w:val="56"/>
          <w:szCs w:val="56"/>
          <w:lang w:val="en-US" w:eastAsia="zh-CN"/>
        </w:rPr>
      </w:pPr>
      <w:r>
        <w:rPr>
          <w:rFonts w:hint="eastAsia" w:ascii="仿宋_GB2312" w:hAnsi="Times New Roman" w:eastAsia="仿宋_GB2312" w:cs="Times New Roman"/>
          <w:b/>
          <w:bCs w:val="0"/>
          <w:sz w:val="56"/>
          <w:szCs w:val="56"/>
          <w:lang w:val="en-US" w:eastAsia="zh-CN"/>
        </w:rPr>
        <w:t xml:space="preserve">喀什市景区景点道路标识牌增设及规范改造项目        </w:t>
      </w:r>
    </w:p>
    <w:p>
      <w:pPr>
        <w:spacing w:line="240" w:lineRule="atLeast"/>
        <w:ind w:left="1079" w:leftChars="257" w:hanging="540"/>
        <w:jc w:val="center"/>
        <w:rPr>
          <w:rFonts w:hint="eastAsia" w:ascii="仿宋_GB2312" w:hAnsi="Times New Roman" w:eastAsia="仿宋_GB2312" w:cs="Times New Roman"/>
          <w:b/>
          <w:bCs w:val="0"/>
          <w:sz w:val="56"/>
          <w:szCs w:val="56"/>
          <w:lang w:val="en-US" w:eastAsia="zh-CN"/>
        </w:rPr>
      </w:pPr>
    </w:p>
    <w:p>
      <w:pPr>
        <w:spacing w:line="240" w:lineRule="atLeast"/>
        <w:ind w:left="1079" w:leftChars="257" w:hanging="540"/>
        <w:jc w:val="center"/>
        <w:rPr>
          <w:rFonts w:hint="eastAsia" w:ascii="仿宋_GB2312" w:hAnsi="Times New Roman" w:eastAsia="仿宋_GB2312" w:cs="Times New Roman"/>
          <w:b/>
          <w:bCs w:val="0"/>
          <w:sz w:val="56"/>
          <w:szCs w:val="56"/>
        </w:rPr>
      </w:pPr>
      <w:r>
        <w:rPr>
          <w:rFonts w:hint="eastAsia" w:ascii="仿宋_GB2312" w:hAnsi="Times New Roman" w:eastAsia="仿宋_GB2312" w:cs="Times New Roman"/>
          <w:b/>
          <w:bCs w:val="0"/>
          <w:sz w:val="56"/>
          <w:szCs w:val="56"/>
        </w:rPr>
        <w:t>招标文件</w:t>
      </w:r>
    </w:p>
    <w:p>
      <w:pPr>
        <w:spacing w:line="240" w:lineRule="atLeast"/>
        <w:ind w:left="1079" w:leftChars="257" w:hanging="540"/>
        <w:jc w:val="center"/>
        <w:rPr>
          <w:rFonts w:hint="default" w:ascii="仿宋_GB2312" w:eastAsia="仿宋_GB2312"/>
          <w:b/>
          <w:sz w:val="32"/>
          <w:szCs w:val="32"/>
          <w:lang w:val="en-US"/>
        </w:rPr>
      </w:pPr>
      <w:r>
        <w:rPr>
          <w:rFonts w:hint="eastAsia" w:ascii="仿宋_GB2312" w:eastAsia="仿宋_GB2312"/>
          <w:b/>
          <w:bCs w:val="0"/>
          <w:sz w:val="32"/>
          <w:szCs w:val="32"/>
        </w:rPr>
        <w:t>项目编号：</w:t>
      </w:r>
      <w:r>
        <w:rPr>
          <w:rFonts w:hint="eastAsia" w:ascii="仿宋_GB2312" w:eastAsia="仿宋_GB2312"/>
          <w:b/>
          <w:bCs w:val="0"/>
          <w:sz w:val="32"/>
          <w:szCs w:val="32"/>
          <w:lang w:eastAsia="zh-CN"/>
        </w:rPr>
        <w:t>XJAMJ-2021-</w:t>
      </w:r>
      <w:r>
        <w:rPr>
          <w:rFonts w:hint="eastAsia" w:ascii="仿宋_GB2312" w:eastAsia="仿宋_GB2312"/>
          <w:b/>
          <w:bCs w:val="0"/>
          <w:sz w:val="32"/>
          <w:szCs w:val="32"/>
          <w:lang w:val="en-US" w:eastAsia="zh-CN"/>
        </w:rPr>
        <w:t>030</w:t>
      </w: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360" w:lineRule="auto"/>
        <w:ind w:firstLine="897" w:firstLineChars="299"/>
        <w:jc w:val="left"/>
        <w:rPr>
          <w:rFonts w:hint="eastAsia" w:ascii="仿宋" w:hAnsi="仿宋" w:eastAsia="仿宋" w:cs="黑体"/>
          <w:b/>
          <w:bCs/>
          <w:sz w:val="30"/>
          <w:szCs w:val="30"/>
          <w:u w:val="single"/>
          <w:lang w:eastAsia="zh-CN"/>
        </w:rPr>
      </w:pPr>
      <w:r>
        <w:rPr>
          <w:rFonts w:hint="eastAsia" w:ascii="仿宋" w:hAnsi="仿宋" w:eastAsia="仿宋" w:cs="黑体"/>
          <w:b/>
          <w:bCs/>
          <w:color w:val="000000"/>
          <w:sz w:val="30"/>
          <w:szCs w:val="30"/>
          <w:lang w:eastAsia="zh-CN"/>
        </w:rPr>
        <w:t>采购单位</w:t>
      </w:r>
      <w:r>
        <w:rPr>
          <w:rFonts w:hint="eastAsia" w:ascii="仿宋" w:hAnsi="仿宋" w:eastAsia="仿宋" w:cs="黑体"/>
          <w:b/>
          <w:bCs/>
          <w:sz w:val="30"/>
          <w:szCs w:val="30"/>
          <w:lang w:eastAsia="zh-CN"/>
        </w:rPr>
        <w:t>：</w:t>
      </w:r>
      <w:r>
        <w:rPr>
          <w:rFonts w:hint="eastAsia" w:ascii="仿宋" w:hAnsi="仿宋" w:eastAsia="仿宋" w:cs="黑体"/>
          <w:b/>
          <w:bCs/>
          <w:sz w:val="30"/>
          <w:szCs w:val="30"/>
          <w:u w:val="single"/>
          <w:lang w:eastAsia="zh-CN"/>
        </w:rPr>
        <w:t>喀什市文化体育广播电视和旅游局</w:t>
      </w:r>
    </w:p>
    <w:p>
      <w:pPr>
        <w:spacing w:line="360" w:lineRule="auto"/>
        <w:ind w:firstLine="897" w:firstLineChars="299"/>
        <w:jc w:val="left"/>
        <w:rPr>
          <w:rFonts w:ascii="仿宋" w:hAnsi="仿宋" w:eastAsia="仿宋"/>
          <w:b/>
          <w:bCs/>
          <w:sz w:val="30"/>
          <w:szCs w:val="30"/>
        </w:rPr>
      </w:pPr>
      <w:r>
        <w:rPr>
          <w:rFonts w:hint="eastAsia" w:ascii="仿宋" w:hAnsi="仿宋" w:eastAsia="仿宋" w:cs="黑体"/>
          <w:b/>
          <w:bCs/>
          <w:color w:val="000000"/>
          <w:sz w:val="30"/>
          <w:szCs w:val="30"/>
          <w:lang w:eastAsia="zh-CN"/>
        </w:rPr>
        <w:t>采购代</w:t>
      </w:r>
      <w:r>
        <w:rPr>
          <w:rFonts w:hint="eastAsia" w:ascii="仿宋" w:hAnsi="仿宋" w:eastAsia="仿宋" w:cs="黑体"/>
          <w:b/>
          <w:bCs/>
          <w:sz w:val="30"/>
          <w:szCs w:val="30"/>
        </w:rPr>
        <w:t>理机构：</w:t>
      </w:r>
      <w:r>
        <w:rPr>
          <w:rFonts w:hint="eastAsia" w:ascii="仿宋" w:hAnsi="仿宋" w:eastAsia="仿宋" w:cs="黑体"/>
          <w:b/>
          <w:bCs/>
          <w:sz w:val="30"/>
          <w:szCs w:val="30"/>
          <w:u w:val="single"/>
          <w:lang w:eastAsia="zh-CN"/>
        </w:rPr>
        <w:t>新疆爱满疆工程咨询有限公司</w:t>
      </w:r>
      <w:r>
        <w:rPr>
          <w:rFonts w:ascii="仿宋" w:hAnsi="仿宋" w:eastAsia="仿宋" w:cs="黑体"/>
          <w:b/>
          <w:bCs/>
          <w:sz w:val="30"/>
          <w:szCs w:val="30"/>
          <w:u w:val="single"/>
        </w:rPr>
        <w:t xml:space="preserve"> </w:t>
      </w:r>
    </w:p>
    <w:p>
      <w:pPr>
        <w:spacing w:line="600" w:lineRule="exact"/>
        <w:ind w:firstLine="897" w:firstLineChars="299"/>
        <w:rPr>
          <w:rFonts w:ascii="仿宋" w:hAnsi="仿宋" w:eastAsia="仿宋"/>
          <w:b/>
          <w:bCs/>
          <w:sz w:val="30"/>
          <w:szCs w:val="30"/>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sz w:val="30"/>
          <w:szCs w:val="30"/>
          <w:u w:val="single"/>
          <w:lang w:val="en-US" w:eastAsia="zh-CN"/>
        </w:rPr>
        <w:t>2021</w:t>
      </w:r>
      <w:r>
        <w:rPr>
          <w:rFonts w:hint="eastAsia" w:ascii="仿宋" w:hAnsi="仿宋" w:eastAsia="仿宋" w:cs="黑体"/>
          <w:b/>
          <w:bCs/>
          <w:sz w:val="30"/>
          <w:szCs w:val="30"/>
          <w:u w:val="single"/>
        </w:rPr>
        <w:t>年</w:t>
      </w:r>
      <w:r>
        <w:rPr>
          <w:rFonts w:hint="eastAsia" w:ascii="仿宋" w:hAnsi="仿宋" w:eastAsia="仿宋" w:cs="黑体"/>
          <w:b/>
          <w:bCs/>
          <w:sz w:val="30"/>
          <w:szCs w:val="30"/>
          <w:u w:val="single"/>
          <w:lang w:val="en-US" w:eastAsia="zh-CN"/>
        </w:rPr>
        <w:t>12</w:t>
      </w:r>
      <w:r>
        <w:rPr>
          <w:rFonts w:hint="eastAsia" w:ascii="仿宋" w:hAnsi="仿宋" w:eastAsia="仿宋" w:cs="黑体"/>
          <w:b/>
          <w:bCs/>
          <w:sz w:val="30"/>
          <w:szCs w:val="30"/>
          <w:u w:val="single"/>
        </w:rPr>
        <w:t>月</w:t>
      </w:r>
      <w:r>
        <w:rPr>
          <w:rFonts w:hint="eastAsia" w:ascii="仿宋" w:hAnsi="仿宋" w:eastAsia="仿宋" w:cs="黑体"/>
          <w:b/>
          <w:bCs/>
          <w:sz w:val="30"/>
          <w:szCs w:val="30"/>
        </w:rPr>
        <w:t xml:space="preserve"> </w:t>
      </w:r>
    </w:p>
    <w:p>
      <w:pPr>
        <w:spacing w:line="240" w:lineRule="atLeast"/>
        <w:ind w:left="1079" w:leftChars="257" w:hanging="540"/>
        <w:rPr>
          <w:rFonts w:hint="eastAsia" w:ascii="仿宋_GB2312" w:eastAsia="仿宋_GB2312"/>
          <w:b/>
          <w:szCs w:val="21"/>
        </w:rPr>
      </w:pP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1079" w:leftChars="257" w:hanging="540"/>
        <w:jc w:val="center"/>
        <w:rPr>
          <w:rFonts w:hint="eastAsia" w:ascii="仿宋_GB2312" w:eastAsia="仿宋_GB2312"/>
          <w:b/>
          <w:sz w:val="32"/>
        </w:rPr>
      </w:pPr>
    </w:p>
    <w:p>
      <w:pPr>
        <w:pStyle w:val="21"/>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_Toc3247 </w:instrText>
      </w:r>
      <w:r>
        <w:rPr>
          <w:rFonts w:ascii="宋体" w:hAnsi="宋体" w:cs="宋体"/>
          <w:kern w:val="0"/>
          <w:szCs w:val="21"/>
        </w:rPr>
        <w:fldChar w:fldCharType="separate"/>
      </w:r>
      <w:r>
        <w:rPr>
          <w:rFonts w:hint="default" w:ascii="仿宋_GB2312" w:eastAsia="仿宋_GB2312"/>
          <w:lang w:val="en-US"/>
        </w:rPr>
        <w:t xml:space="preserve">第1章 </w:t>
      </w:r>
      <w:r>
        <w:rPr>
          <w:rFonts w:hint="eastAsia" w:ascii="仿宋_GB2312" w:eastAsia="仿宋_GB2312"/>
        </w:rPr>
        <w:t>投标人须知</w:t>
      </w:r>
      <w:r>
        <w:tab/>
      </w:r>
      <w:r>
        <w:fldChar w:fldCharType="begin"/>
      </w:r>
      <w:r>
        <w:instrText xml:space="preserve"> PAGEREF _Toc3247 </w:instrText>
      </w:r>
      <w:r>
        <w:fldChar w:fldCharType="separate"/>
      </w:r>
      <w:r>
        <w:t>4</w:t>
      </w:r>
      <w:r>
        <w:fldChar w:fldCharType="end"/>
      </w:r>
      <w:r>
        <w:rPr>
          <w:rFonts w:ascii="宋体"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_Toc3570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_Toc3570 </w:instrText>
      </w:r>
      <w:r>
        <w:fldChar w:fldCharType="separate"/>
      </w:r>
      <w:r>
        <w:t>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_Toc18062 </w:instrText>
      </w:r>
      <w:r>
        <w:rPr>
          <w:rFonts w:hAnsi="宋体" w:cs="宋体"/>
          <w:kern w:val="0"/>
          <w:szCs w:val="21"/>
        </w:rPr>
        <w:fldChar w:fldCharType="separate"/>
      </w:r>
      <w:r>
        <w:rPr>
          <w:rFonts w:hint="eastAsia" w:ascii="仿宋_GB2312" w:hAnsi="宋体" w:eastAsia="仿宋_GB2312"/>
          <w:i w:val="0"/>
          <w:iCs w:val="0"/>
        </w:rPr>
        <w:t>1.采购人、采购</w:t>
      </w:r>
      <w:r>
        <w:rPr>
          <w:rFonts w:ascii="仿宋_GB2312" w:hAnsi="宋体" w:eastAsia="仿宋_GB2312"/>
          <w:i w:val="0"/>
          <w:iCs w:val="0"/>
        </w:rPr>
        <w:t>代理机构</w:t>
      </w:r>
      <w:r>
        <w:rPr>
          <w:rFonts w:hint="eastAsia" w:ascii="仿宋_GB2312" w:hAnsi="宋体" w:eastAsia="仿宋_GB2312"/>
          <w:i w:val="0"/>
          <w:iCs w:val="0"/>
        </w:rPr>
        <w:t>及投标人</w:t>
      </w:r>
      <w:r>
        <w:tab/>
      </w:r>
      <w:r>
        <w:fldChar w:fldCharType="begin"/>
      </w:r>
      <w:r>
        <w:instrText xml:space="preserve"> PAGEREF _Toc18062 </w:instrText>
      </w:r>
      <w:r>
        <w:fldChar w:fldCharType="separate"/>
      </w:r>
      <w:r>
        <w:t>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_Toc7226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_Toc7226 </w:instrText>
      </w:r>
      <w:r>
        <w:fldChar w:fldCharType="separate"/>
      </w:r>
      <w:r>
        <w:t>5</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_Toc16040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_Toc16040 </w:instrText>
      </w:r>
      <w:r>
        <w:fldChar w:fldCharType="separate"/>
      </w:r>
      <w:r>
        <w:t>5</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_Toc18236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_Toc18236 </w:instrText>
      </w:r>
      <w:r>
        <w:fldChar w:fldCharType="separate"/>
      </w:r>
      <w:r>
        <w:t>5</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_Toc3926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_Toc3926 </w:instrText>
      </w:r>
      <w:r>
        <w:fldChar w:fldCharType="separate"/>
      </w:r>
      <w:r>
        <w:t>5</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_Toc15666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_Toc15666 </w:instrText>
      </w:r>
      <w:r>
        <w:fldChar w:fldCharType="separate"/>
      </w:r>
      <w:r>
        <w:t>5</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_Toc24079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_Toc24079 </w:instrText>
      </w:r>
      <w:r>
        <w:fldChar w:fldCharType="separate"/>
      </w:r>
      <w:r>
        <w:t>6</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_Toc1367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_Toc1367 </w:instrText>
      </w:r>
      <w:r>
        <w:fldChar w:fldCharType="separate"/>
      </w:r>
      <w:r>
        <w:t>6</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_Toc5716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_Toc5716 </w:instrText>
      </w:r>
      <w:r>
        <w:fldChar w:fldCharType="separate"/>
      </w:r>
      <w:r>
        <w:t>6</w:t>
      </w:r>
      <w:r>
        <w:fldChar w:fldCharType="end"/>
      </w:r>
      <w:r>
        <w:rPr>
          <w:rFonts w:hAnsi="宋体" w:cs="宋体"/>
          <w:kern w:val="0"/>
          <w:szCs w:val="21"/>
        </w:rPr>
        <w:fldChar w:fldCharType="end"/>
      </w:r>
    </w:p>
    <w:p>
      <w:pPr>
        <w:pStyle w:val="13"/>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_Toc8590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_Toc8590 </w:instrText>
      </w:r>
      <w:r>
        <w:fldChar w:fldCharType="separate"/>
      </w:r>
      <w:r>
        <w:t>6</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_Toc3388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_Toc3388 </w:instrText>
      </w:r>
      <w:r>
        <w:fldChar w:fldCharType="separate"/>
      </w:r>
      <w:r>
        <w:t>6</w:t>
      </w:r>
      <w:r>
        <w:fldChar w:fldCharType="end"/>
      </w:r>
      <w:r>
        <w:rPr>
          <w:rFonts w:hAnsi="宋体" w:cs="宋体"/>
          <w:kern w:val="0"/>
          <w:szCs w:val="21"/>
        </w:rPr>
        <w:fldChar w:fldCharType="end"/>
      </w:r>
    </w:p>
    <w:p>
      <w:pPr>
        <w:pStyle w:val="13"/>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_Toc2638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_Toc2638 </w:instrText>
      </w:r>
      <w:r>
        <w:fldChar w:fldCharType="separate"/>
      </w:r>
      <w:r>
        <w:t>6</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_Toc23095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_Toc23095 </w:instrText>
      </w:r>
      <w:r>
        <w:fldChar w:fldCharType="separate"/>
      </w:r>
      <w:r>
        <w:t>7</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_Toc16081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_Toc16081 </w:instrText>
      </w:r>
      <w:r>
        <w:fldChar w:fldCharType="separate"/>
      </w:r>
      <w:r>
        <w:t>7</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_Toc22263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_Toc22263 </w:instrText>
      </w:r>
      <w:r>
        <w:fldChar w:fldCharType="separate"/>
      </w:r>
      <w:r>
        <w:t>8</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_Toc13272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_Toc13272 </w:instrText>
      </w:r>
      <w:r>
        <w:fldChar w:fldCharType="separate"/>
      </w:r>
      <w:r>
        <w:t>8</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_Toc1961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_Toc1961 </w:instrText>
      </w:r>
      <w:r>
        <w:fldChar w:fldCharType="separate"/>
      </w:r>
      <w:r>
        <w:t>8</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_Toc32138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_Toc32138 </w:instrText>
      </w:r>
      <w:r>
        <w:fldChar w:fldCharType="separate"/>
      </w:r>
      <w:r>
        <w:t>8</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_Toc30173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_Toc30173 </w:instrText>
      </w:r>
      <w:r>
        <w:fldChar w:fldCharType="separate"/>
      </w:r>
      <w:r>
        <w:t>9</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_Toc13613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_Toc13613 </w:instrText>
      </w:r>
      <w:r>
        <w:fldChar w:fldCharType="separate"/>
      </w:r>
      <w:r>
        <w:t>9</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_Toc7123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_Toc7123 </w:instrText>
      </w:r>
      <w:r>
        <w:fldChar w:fldCharType="separate"/>
      </w:r>
      <w:r>
        <w:t>9</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_Toc25038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_Toc25038 </w:instrText>
      </w:r>
      <w:r>
        <w:fldChar w:fldCharType="separate"/>
      </w:r>
      <w:r>
        <w:t>9</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_Toc11014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_Toc11014 </w:instrText>
      </w:r>
      <w:r>
        <w:fldChar w:fldCharType="separate"/>
      </w:r>
      <w:r>
        <w:t>10</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_Toc8984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_Toc8984 </w:instrText>
      </w:r>
      <w:r>
        <w:fldChar w:fldCharType="separate"/>
      </w:r>
      <w:r>
        <w:t>11</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_Toc4132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_Toc4132 </w:instrText>
      </w:r>
      <w:r>
        <w:fldChar w:fldCharType="separate"/>
      </w:r>
      <w:r>
        <w:t>12</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_Toc6117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_Toc6117 </w:instrText>
      </w:r>
      <w:r>
        <w:fldChar w:fldCharType="separate"/>
      </w:r>
      <w:r>
        <w:t>12</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_Toc26596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_Toc26596 </w:instrText>
      </w:r>
      <w:r>
        <w:fldChar w:fldCharType="separate"/>
      </w:r>
      <w:r>
        <w:t>13</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_Toc1614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_Toc1614 </w:instrText>
      </w:r>
      <w:r>
        <w:fldChar w:fldCharType="separate"/>
      </w:r>
      <w:r>
        <w:t>13</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_Toc29518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_Toc29518 </w:instrText>
      </w:r>
      <w:r>
        <w:fldChar w:fldCharType="separate"/>
      </w:r>
      <w:r>
        <w:t>13</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_Toc14660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_Toc14660 </w:instrText>
      </w:r>
      <w:r>
        <w:fldChar w:fldCharType="separate"/>
      </w:r>
      <w:r>
        <w:t>13</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_Toc20334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_Toc20334 </w:instrText>
      </w:r>
      <w:r>
        <w:fldChar w:fldCharType="separate"/>
      </w:r>
      <w:r>
        <w:t>13</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_Toc26622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_Toc26622 </w:instrText>
      </w:r>
      <w:r>
        <w:fldChar w:fldCharType="separate"/>
      </w:r>
      <w:r>
        <w:t>14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_Toc5010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_Toc5010 </w:instrText>
      </w:r>
      <w:r>
        <w:fldChar w:fldCharType="separate"/>
      </w:r>
      <w:r>
        <w:t>14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_Toc23995 </w:instrText>
      </w:r>
      <w:r>
        <w:fldChar w:fldCharType="separate"/>
      </w:r>
      <w:r>
        <w:t>14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_Toc21118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_Toc21118 </w:instrText>
      </w:r>
      <w:r>
        <w:fldChar w:fldCharType="separate"/>
      </w:r>
      <w:r>
        <w:t>14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_Toc3241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_Toc3241 </w:instrText>
      </w:r>
      <w:r>
        <w:fldChar w:fldCharType="separate"/>
      </w:r>
      <w:r>
        <w:t>14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_Toc7742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_Toc7742 </w:instrText>
      </w:r>
      <w:r>
        <w:fldChar w:fldCharType="separate"/>
      </w:r>
      <w:r>
        <w:t>14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_Toc19696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_Toc19696 </w:instrText>
      </w:r>
      <w:r>
        <w:fldChar w:fldCharType="separate"/>
      </w:r>
      <w:r>
        <w:t>14</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_Toc27512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_Toc27512 </w:instrText>
      </w:r>
      <w:r>
        <w:fldChar w:fldCharType="separate"/>
      </w:r>
      <w:r>
        <w:t>15</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_Toc20788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_Toc20788 </w:instrText>
      </w:r>
      <w:r>
        <w:fldChar w:fldCharType="separate"/>
      </w:r>
      <w:r>
        <w:t>15</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_Toc22644 </w:instrText>
      </w:r>
      <w:r>
        <w:rPr>
          <w:rFonts w:hAnsi="宋体" w:cs="宋体"/>
          <w:kern w:val="0"/>
          <w:szCs w:val="21"/>
        </w:rPr>
        <w:fldChar w:fldCharType="separate"/>
      </w:r>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r>
        <w:tab/>
      </w:r>
      <w:r>
        <w:fldChar w:fldCharType="begin"/>
      </w:r>
      <w:r>
        <w:instrText xml:space="preserve"> PAGEREF _Toc22644 </w:instrText>
      </w:r>
      <w:r>
        <w:fldChar w:fldCharType="separate"/>
      </w:r>
      <w:r>
        <w:t>16</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_Toc25612 </w:instrText>
      </w:r>
      <w:r>
        <w:rPr>
          <w:rFonts w:hAnsi="宋体" w:cs="宋体"/>
          <w:kern w:val="0"/>
          <w:szCs w:val="21"/>
        </w:rPr>
        <w:fldChar w:fldCharType="separate"/>
      </w:r>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r>
        <w:tab/>
      </w:r>
      <w:r>
        <w:fldChar w:fldCharType="begin"/>
      </w:r>
      <w:r>
        <w:instrText xml:space="preserve"> PAGEREF _Toc25612 </w:instrText>
      </w:r>
      <w:r>
        <w:fldChar w:fldCharType="separate"/>
      </w:r>
      <w:r>
        <w:t>17</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_Toc15661 </w:instrText>
      </w:r>
      <w:r>
        <w:rPr>
          <w:rFonts w:hAnsi="宋体" w:cs="宋体"/>
          <w:kern w:val="0"/>
          <w:szCs w:val="21"/>
        </w:rPr>
        <w:fldChar w:fldCharType="separate"/>
      </w:r>
      <w:r>
        <w:rPr>
          <w:rFonts w:hint="eastAsia" w:ascii="仿宋_GB2312" w:eastAsia="仿宋_GB2312"/>
          <w:szCs w:val="24"/>
        </w:rPr>
        <w:t>（采用政府采购信用担保形式时</w:t>
      </w:r>
      <w:r>
        <w:rPr>
          <w:rFonts w:ascii="仿宋_GB2312" w:eastAsia="仿宋_GB2312"/>
          <w:szCs w:val="24"/>
        </w:rPr>
        <w:t>使用）</w:t>
      </w:r>
      <w:r>
        <w:tab/>
      </w:r>
      <w:r>
        <w:fldChar w:fldCharType="begin"/>
      </w:r>
      <w:r>
        <w:instrText xml:space="preserve"> PAGEREF _Toc15661 </w:instrText>
      </w:r>
      <w:r>
        <w:fldChar w:fldCharType="separate"/>
      </w:r>
      <w:r>
        <w:t>17</w:t>
      </w:r>
      <w:r>
        <w:fldChar w:fldCharType="end"/>
      </w:r>
      <w:r>
        <w:rPr>
          <w:rFonts w:hAnsi="宋体" w:cs="宋体"/>
          <w:kern w:val="0"/>
          <w:szCs w:val="21"/>
        </w:rPr>
        <w:fldChar w:fldCharType="end"/>
      </w:r>
    </w:p>
    <w:p>
      <w:pPr>
        <w:pStyle w:val="21"/>
        <w:tabs>
          <w:tab w:val="right" w:leader="dot" w:pos="8312"/>
        </w:tabs>
      </w:pPr>
      <w:r>
        <w:rPr>
          <w:rFonts w:hAnsi="宋体" w:cs="宋体"/>
          <w:kern w:val="0"/>
          <w:szCs w:val="21"/>
        </w:rPr>
        <w:fldChar w:fldCharType="begin"/>
      </w:r>
      <w:r>
        <w:rPr>
          <w:rFonts w:hAnsi="宋体" w:cs="宋体"/>
          <w:kern w:val="0"/>
          <w:szCs w:val="21"/>
        </w:rPr>
        <w:instrText xml:space="preserve"> HYPERLINK \l _Toc24124 </w:instrText>
      </w:r>
      <w:r>
        <w:rPr>
          <w:rFonts w:hAnsi="宋体" w:cs="宋体"/>
          <w:kern w:val="0"/>
          <w:szCs w:val="21"/>
        </w:rPr>
        <w:fldChar w:fldCharType="separate"/>
      </w:r>
      <w:r>
        <w:rPr>
          <w:rFonts w:hint="default" w:ascii="仿宋_GB2312" w:eastAsia="仿宋_GB2312"/>
          <w:lang w:val="en-US"/>
        </w:rPr>
        <w:t xml:space="preserve">第2章 </w:t>
      </w:r>
      <w:r>
        <w:rPr>
          <w:rFonts w:hint="eastAsia" w:ascii="仿宋_GB2312" w:eastAsia="仿宋_GB2312"/>
        </w:rPr>
        <w:t>投标文件格式</w:t>
      </w:r>
      <w:r>
        <w:tab/>
      </w:r>
      <w:r>
        <w:fldChar w:fldCharType="begin"/>
      </w:r>
      <w:r>
        <w:instrText xml:space="preserve"> PAGEREF _Toc24124 </w:instrText>
      </w:r>
      <w:r>
        <w:fldChar w:fldCharType="separate"/>
      </w:r>
      <w:r>
        <w:t>19</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_Toc21804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_Toc21804 </w:instrText>
      </w:r>
      <w:r>
        <w:fldChar w:fldCharType="separate"/>
      </w:r>
      <w:r>
        <w:t>19</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_Toc948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_Toc948 </w:instrText>
      </w:r>
      <w:r>
        <w:fldChar w:fldCharType="separate"/>
      </w:r>
      <w:r>
        <w:t>20</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_Toc6399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_Toc6399 </w:instrText>
      </w:r>
      <w:r>
        <w:fldChar w:fldCharType="separate"/>
      </w:r>
      <w:r>
        <w:t>21</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_Toc9641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_Toc9641 </w:instrText>
      </w:r>
      <w:r>
        <w:fldChar w:fldCharType="separate"/>
      </w:r>
      <w:r>
        <w:t>22</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_Toc19580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_Toc19580 </w:instrText>
      </w:r>
      <w:r>
        <w:fldChar w:fldCharType="separate"/>
      </w:r>
      <w:r>
        <w:t>23</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_Toc6715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_Toc6715 </w:instrText>
      </w:r>
      <w:r>
        <w:fldChar w:fldCharType="separate"/>
      </w:r>
      <w:r>
        <w:t>24</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_Toc12357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_Toc12357 </w:instrText>
      </w:r>
      <w:r>
        <w:fldChar w:fldCharType="separate"/>
      </w:r>
      <w:r>
        <w:t>26</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_Toc24198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_Toc24198 </w:instrText>
      </w:r>
      <w:r>
        <w:fldChar w:fldCharType="separate"/>
      </w:r>
      <w:r>
        <w:t>27</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_Toc30744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_Toc30744 </w:instrText>
      </w:r>
      <w:r>
        <w:fldChar w:fldCharType="separate"/>
      </w:r>
      <w:r>
        <w:t>28</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_Toc7702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_Toc29937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_Toc29937 </w:instrText>
      </w:r>
      <w:r>
        <w:fldChar w:fldCharType="separate"/>
      </w:r>
      <w:r>
        <w:t>29</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_Toc29456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_Toc29456 </w:instrText>
      </w:r>
      <w:r>
        <w:fldChar w:fldCharType="separate"/>
      </w:r>
      <w:r>
        <w:t>30</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_Toc6421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_Toc6421 </w:instrText>
      </w:r>
      <w:r>
        <w:fldChar w:fldCharType="separate"/>
      </w:r>
      <w:r>
        <w:t>31</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_Toc3216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_Toc3216 </w:instrText>
      </w:r>
      <w:r>
        <w:fldChar w:fldCharType="separate"/>
      </w:r>
      <w:r>
        <w:t>33</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_Toc28016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_Toc28016 </w:instrText>
      </w:r>
      <w:r>
        <w:fldChar w:fldCharType="separate"/>
      </w:r>
      <w:r>
        <w:t>34</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_Toc5388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_Toc5388 </w:instrText>
      </w:r>
      <w:r>
        <w:fldChar w:fldCharType="separate"/>
      </w:r>
      <w:r>
        <w:t>35</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_Toc2802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_Toc2802 </w:instrText>
      </w:r>
      <w:r>
        <w:fldChar w:fldCharType="separate"/>
      </w:r>
      <w:r>
        <w:t>36</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_Toc16575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_Toc16575 </w:instrText>
      </w:r>
      <w:r>
        <w:fldChar w:fldCharType="separate"/>
      </w:r>
      <w:r>
        <w:t>37</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_Toc32721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_Toc32721 </w:instrText>
      </w:r>
      <w:r>
        <w:fldChar w:fldCharType="separate"/>
      </w:r>
      <w:r>
        <w:t>38</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_Toc27742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_Toc27742 </w:instrText>
      </w:r>
      <w:r>
        <w:fldChar w:fldCharType="separate"/>
      </w:r>
      <w:r>
        <w:t>39</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_Toc2008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_Toc2008 </w:instrText>
      </w:r>
      <w:r>
        <w:fldChar w:fldCharType="separate"/>
      </w:r>
      <w:r>
        <w:t>40</w:t>
      </w:r>
      <w:r>
        <w:fldChar w:fldCharType="end"/>
      </w:r>
      <w:r>
        <w:rPr>
          <w:rFonts w:hAnsi="宋体" w:cs="宋体"/>
          <w:kern w:val="0"/>
          <w:szCs w:val="21"/>
        </w:rPr>
        <w:fldChar w:fldCharType="end"/>
      </w:r>
    </w:p>
    <w:p>
      <w:pPr>
        <w:pStyle w:val="26"/>
        <w:tabs>
          <w:tab w:val="right" w:leader="dot" w:pos="8312"/>
        </w:tabs>
      </w:pPr>
      <w:r>
        <w:rPr>
          <w:rFonts w:hAnsi="宋体" w:cs="宋体"/>
          <w:kern w:val="0"/>
          <w:szCs w:val="21"/>
        </w:rPr>
        <w:fldChar w:fldCharType="begin"/>
      </w:r>
      <w:r>
        <w:rPr>
          <w:rFonts w:hAnsi="宋体" w:cs="宋体"/>
          <w:kern w:val="0"/>
          <w:szCs w:val="21"/>
        </w:rPr>
        <w:instrText xml:space="preserve"> HYPERLINK \l _Toc14006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begin"/>
      </w:r>
      <w:r>
        <w:instrText xml:space="preserve"> PAGEREF _Toc14006 </w:instrText>
      </w:r>
      <w:r>
        <w:fldChar w:fldCharType="separate"/>
      </w:r>
      <w:r>
        <w:t>41</w:t>
      </w:r>
      <w:r>
        <w:fldChar w:fldCharType="end"/>
      </w:r>
      <w:r>
        <w:rPr>
          <w:rFonts w:hAnsi="宋体" w:cs="宋体"/>
          <w:kern w:val="0"/>
          <w:szCs w:val="21"/>
        </w:rPr>
        <w:fldChar w:fldCharType="end"/>
      </w:r>
    </w:p>
    <w:p>
      <w:pPr>
        <w:pStyle w:val="21"/>
        <w:tabs>
          <w:tab w:val="right" w:leader="dot" w:pos="8312"/>
        </w:tabs>
      </w:pPr>
      <w:r>
        <w:rPr>
          <w:rFonts w:hAnsi="宋体" w:cs="宋体"/>
          <w:kern w:val="0"/>
          <w:szCs w:val="21"/>
        </w:rPr>
        <w:fldChar w:fldCharType="begin"/>
      </w:r>
      <w:r>
        <w:rPr>
          <w:rFonts w:hAnsi="宋体" w:cs="宋体"/>
          <w:kern w:val="0"/>
          <w:szCs w:val="21"/>
        </w:rPr>
        <w:instrText xml:space="preserve"> HYPERLINK \l _Toc30762 </w:instrText>
      </w:r>
      <w:r>
        <w:rPr>
          <w:rFonts w:hAnsi="宋体" w:cs="宋体"/>
          <w:kern w:val="0"/>
          <w:szCs w:val="21"/>
        </w:rPr>
        <w:fldChar w:fldCharType="separate"/>
      </w:r>
      <w:r>
        <w:rPr>
          <w:rFonts w:hint="default" w:ascii="仿宋_GB2312" w:eastAsia="仿宋_GB2312"/>
          <w:lang w:val="en-US"/>
        </w:rPr>
        <w:t xml:space="preserve">第3章 </w:t>
      </w:r>
      <w:r>
        <w:rPr>
          <w:rFonts w:hint="eastAsia" w:ascii="仿宋_GB2312" w:eastAsia="仿宋_GB2312"/>
          <w:lang w:eastAsia="zh-CN"/>
        </w:rPr>
        <w:t>招标公告</w:t>
      </w:r>
      <w:r>
        <w:tab/>
      </w:r>
      <w:r>
        <w:fldChar w:fldCharType="begin"/>
      </w:r>
      <w:r>
        <w:instrText xml:space="preserve"> PAGEREF _Toc30762 </w:instrText>
      </w:r>
      <w:r>
        <w:fldChar w:fldCharType="separate"/>
      </w:r>
      <w:r>
        <w:t>43</w:t>
      </w:r>
      <w:r>
        <w:fldChar w:fldCharType="end"/>
      </w:r>
      <w:r>
        <w:rPr>
          <w:rFonts w:hAnsi="宋体" w:cs="宋体"/>
          <w:kern w:val="0"/>
          <w:szCs w:val="21"/>
        </w:rPr>
        <w:fldChar w:fldCharType="end"/>
      </w:r>
    </w:p>
    <w:p>
      <w:pPr>
        <w:pStyle w:val="21"/>
        <w:tabs>
          <w:tab w:val="right" w:leader="dot" w:pos="8312"/>
        </w:tabs>
        <w:rPr>
          <w:rFonts w:hint="eastAsia" w:ascii="仿宋_GB2312" w:eastAsia="仿宋_GB2312"/>
          <w:lang w:eastAsia="zh-CN"/>
        </w:rPr>
      </w:pPr>
      <w:r>
        <w:rPr>
          <w:rFonts w:hint="eastAsia" w:ascii="仿宋_GB2312" w:eastAsia="仿宋_GB2312"/>
          <w:lang w:eastAsia="zh-CN"/>
        </w:rPr>
        <w:fldChar w:fldCharType="begin"/>
      </w:r>
      <w:r>
        <w:rPr>
          <w:rFonts w:hint="eastAsia" w:ascii="仿宋_GB2312" w:eastAsia="仿宋_GB2312"/>
          <w:lang w:eastAsia="zh-CN"/>
        </w:rPr>
        <w:instrText xml:space="preserve"> HYPERLINK \l _Toc14104 </w:instrText>
      </w:r>
      <w:r>
        <w:rPr>
          <w:rFonts w:hint="eastAsia" w:ascii="仿宋_GB2312" w:eastAsia="仿宋_GB2312"/>
          <w:lang w:eastAsia="zh-CN"/>
        </w:rPr>
        <w:fldChar w:fldCharType="separate"/>
      </w:r>
      <w:r>
        <w:rPr>
          <w:rFonts w:hint="eastAsia" w:ascii="仿宋_GB2312" w:eastAsia="仿宋_GB2312"/>
          <w:lang w:val="en-US" w:eastAsia="zh-CN"/>
        </w:rPr>
        <w:t>第4章 投标人须知资料表</w:t>
      </w:r>
      <w:r>
        <w:rPr>
          <w:rFonts w:hint="eastAsia" w:ascii="仿宋_GB2312" w:eastAsia="仿宋_GB2312"/>
          <w:lang w:eastAsia="zh-CN"/>
        </w:rPr>
        <w:tab/>
      </w:r>
      <w:r>
        <w:rPr>
          <w:rFonts w:hint="eastAsia" w:ascii="仿宋_GB2312" w:eastAsia="仿宋_GB2312"/>
          <w:lang w:eastAsia="zh-CN"/>
        </w:rPr>
        <w:fldChar w:fldCharType="begin"/>
      </w:r>
      <w:r>
        <w:rPr>
          <w:rFonts w:hint="eastAsia" w:ascii="仿宋_GB2312" w:eastAsia="仿宋_GB2312"/>
          <w:lang w:eastAsia="zh-CN"/>
        </w:rPr>
        <w:instrText xml:space="preserve"> PAGEREF _Toc14104 </w:instrText>
      </w:r>
      <w:r>
        <w:rPr>
          <w:rFonts w:hint="eastAsia" w:ascii="仿宋_GB2312" w:eastAsia="仿宋_GB2312"/>
          <w:lang w:eastAsia="zh-CN"/>
        </w:rPr>
        <w:fldChar w:fldCharType="separate"/>
      </w:r>
      <w:r>
        <w:rPr>
          <w:rFonts w:hint="eastAsia" w:ascii="仿宋_GB2312" w:eastAsia="仿宋_GB2312"/>
          <w:lang w:eastAsia="zh-CN"/>
        </w:rPr>
        <w:t>46</w:t>
      </w:r>
      <w:r>
        <w:rPr>
          <w:rFonts w:hint="eastAsia" w:ascii="仿宋_GB2312" w:eastAsia="仿宋_GB2312"/>
          <w:lang w:eastAsia="zh-CN"/>
        </w:rPr>
        <w:fldChar w:fldCharType="end"/>
      </w:r>
      <w:r>
        <w:rPr>
          <w:rFonts w:hint="eastAsia" w:ascii="仿宋_GB2312" w:eastAsia="仿宋_GB2312"/>
          <w:lang w:eastAsia="zh-CN"/>
        </w:rPr>
        <w:fldChar w:fldCharType="end"/>
      </w:r>
    </w:p>
    <w:p>
      <w:pPr>
        <w:pStyle w:val="21"/>
        <w:tabs>
          <w:tab w:val="right" w:leader="dot" w:pos="8312"/>
        </w:tabs>
        <w:rPr>
          <w:rFonts w:hint="default"/>
          <w:lang w:val="en-US"/>
        </w:rPr>
      </w:pPr>
      <w:r>
        <w:rPr>
          <w:rFonts w:hint="eastAsia" w:ascii="仿宋_GB2312" w:eastAsia="仿宋_GB2312"/>
          <w:lang w:eastAsia="zh-CN"/>
        </w:rPr>
        <w:fldChar w:fldCharType="begin"/>
      </w:r>
      <w:r>
        <w:rPr>
          <w:rFonts w:hint="eastAsia" w:ascii="仿宋_GB2312" w:eastAsia="仿宋_GB2312"/>
          <w:lang w:eastAsia="zh-CN"/>
        </w:rPr>
        <w:instrText xml:space="preserve"> HYPERLINK \l _Toc28229 </w:instrText>
      </w:r>
      <w:r>
        <w:rPr>
          <w:rFonts w:hint="eastAsia" w:ascii="仿宋_GB2312" w:eastAsia="仿宋_GB2312"/>
          <w:lang w:eastAsia="zh-CN"/>
        </w:rPr>
        <w:fldChar w:fldCharType="separate"/>
      </w:r>
      <w:r>
        <w:rPr>
          <w:rFonts w:hint="eastAsia" w:ascii="仿宋_GB2312" w:eastAsia="仿宋_GB2312"/>
          <w:lang w:val="en-US" w:eastAsia="zh-CN"/>
        </w:rPr>
        <w:t xml:space="preserve">第5章 </w:t>
      </w:r>
      <w:r>
        <w:rPr>
          <w:rFonts w:hint="eastAsia" w:ascii="仿宋_GB2312" w:eastAsia="仿宋_GB2312"/>
          <w:lang w:eastAsia="zh-CN"/>
        </w:rPr>
        <w:t>货物需求一览表及技术规格</w:t>
      </w:r>
      <w:r>
        <w:rPr>
          <w:rFonts w:hint="eastAsia" w:ascii="仿宋_GB2312" w:eastAsia="仿宋_GB2312"/>
          <w:lang w:eastAsia="zh-CN"/>
        </w:rPr>
        <w:tab/>
      </w:r>
      <w:r>
        <w:rPr>
          <w:rFonts w:hint="eastAsia" w:ascii="仿宋_GB2312" w:eastAsia="仿宋_GB2312"/>
          <w:lang w:val="en-US" w:eastAsia="zh-CN"/>
        </w:rPr>
        <w:t>5</w:t>
      </w:r>
      <w:r>
        <w:rPr>
          <w:rFonts w:hint="eastAsia" w:ascii="仿宋_GB2312" w:eastAsia="仿宋_GB2312"/>
          <w:lang w:eastAsia="zh-CN"/>
        </w:rPr>
        <w:fldChar w:fldCharType="end"/>
      </w:r>
      <w:r>
        <w:rPr>
          <w:rFonts w:hint="eastAsia" w:ascii="仿宋_GB2312" w:eastAsia="仿宋_GB2312"/>
          <w:lang w:val="en-US" w:eastAsia="zh-CN"/>
        </w:rPr>
        <w:t>3</w:t>
      </w:r>
    </w:p>
    <w:p>
      <w:pPr>
        <w:pStyle w:val="21"/>
        <w:tabs>
          <w:tab w:val="right" w:leader="dot" w:pos="8312"/>
        </w:tabs>
      </w:pPr>
      <w:r>
        <w:rPr>
          <w:rFonts w:hAnsi="宋体" w:cs="宋体"/>
          <w:kern w:val="0"/>
          <w:szCs w:val="21"/>
        </w:rPr>
        <w:fldChar w:fldCharType="begin"/>
      </w:r>
      <w:r>
        <w:rPr>
          <w:rFonts w:hAnsi="宋体" w:cs="宋体"/>
          <w:kern w:val="0"/>
          <w:szCs w:val="21"/>
        </w:rPr>
        <w:instrText xml:space="preserve"> HYPERLINK \l _Toc28149 </w:instrText>
      </w:r>
      <w:r>
        <w:rPr>
          <w:rFonts w:hAnsi="宋体" w:cs="宋体"/>
          <w:kern w:val="0"/>
          <w:szCs w:val="21"/>
        </w:rPr>
        <w:fldChar w:fldCharType="separate"/>
      </w:r>
      <w:r>
        <w:rPr>
          <w:rFonts w:hint="eastAsia" w:ascii="仿宋_GB2312" w:eastAsia="仿宋_GB2312"/>
          <w:lang w:val="en-US" w:eastAsia="zh-CN"/>
        </w:rPr>
        <w:t>第6章</w:t>
      </w:r>
      <w:r>
        <w:rPr>
          <w:rFonts w:hint="eastAsia" w:ascii="仿宋_GB2312" w:eastAsia="仿宋_GB2312"/>
        </w:rPr>
        <w:t xml:space="preserve">  评标方法和标准</w:t>
      </w:r>
      <w:r>
        <w:tab/>
      </w:r>
      <w:r>
        <w:fldChar w:fldCharType="begin"/>
      </w:r>
      <w:r>
        <w:instrText xml:space="preserve"> PAGEREF _Toc28149 </w:instrText>
      </w:r>
      <w:r>
        <w:fldChar w:fldCharType="separate"/>
      </w:r>
      <w:r>
        <w:t>53</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_Toc24319 </w:instrText>
      </w:r>
      <w:r>
        <w:rPr>
          <w:rFonts w:hAnsi="宋体" w:cs="宋体"/>
          <w:kern w:val="0"/>
          <w:szCs w:val="21"/>
        </w:rPr>
        <w:fldChar w:fldCharType="separate"/>
      </w:r>
      <w:r>
        <w:rPr>
          <w:rFonts w:hint="eastAsia" w:ascii="仿宋_GB2312" w:hAnsi="Calibri" w:eastAsia="仿宋_GB2312"/>
          <w:bCs/>
          <w:kern w:val="2"/>
          <w:szCs w:val="28"/>
          <w:lang w:val="en-US" w:eastAsia="zh-CN" w:bidi="ar-SA"/>
        </w:rPr>
        <w:t>初步评审-资格性审查表</w:t>
      </w:r>
      <w:r>
        <w:tab/>
      </w:r>
      <w:r>
        <w:fldChar w:fldCharType="begin"/>
      </w:r>
      <w:r>
        <w:instrText xml:space="preserve"> PAGEREF _Toc24319 </w:instrText>
      </w:r>
      <w:r>
        <w:fldChar w:fldCharType="separate"/>
      </w:r>
      <w:r>
        <w:t>60</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_Toc21824 </w:instrText>
      </w:r>
      <w:r>
        <w:rPr>
          <w:rFonts w:hAnsi="宋体" w:cs="宋体"/>
          <w:kern w:val="0"/>
          <w:szCs w:val="21"/>
        </w:rPr>
        <w:fldChar w:fldCharType="separate"/>
      </w:r>
      <w:r>
        <w:rPr>
          <w:rFonts w:hint="eastAsia" w:ascii="仿宋_GB2312" w:hAnsi="Calibri" w:eastAsia="仿宋_GB2312"/>
          <w:bCs/>
          <w:kern w:val="2"/>
          <w:szCs w:val="28"/>
          <w:lang w:val="en-US" w:eastAsia="zh-CN" w:bidi="ar-SA"/>
        </w:rPr>
        <w:t>初步评审—符合性审查表</w:t>
      </w:r>
      <w:r>
        <w:tab/>
      </w:r>
      <w:r>
        <w:fldChar w:fldCharType="begin"/>
      </w:r>
      <w:r>
        <w:instrText xml:space="preserve"> PAGEREF _Toc21824 </w:instrText>
      </w:r>
      <w:r>
        <w:fldChar w:fldCharType="separate"/>
      </w:r>
      <w:r>
        <w:t>61</w:t>
      </w:r>
      <w:r>
        <w:fldChar w:fldCharType="end"/>
      </w:r>
      <w:r>
        <w:rPr>
          <w:rFonts w:hAnsi="宋体" w:cs="宋体"/>
          <w:kern w:val="0"/>
          <w:szCs w:val="21"/>
        </w:rPr>
        <w:fldChar w:fldCharType="end"/>
      </w:r>
    </w:p>
    <w:p>
      <w:pPr>
        <w:pStyle w:val="13"/>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_Toc2382 </w:instrText>
      </w:r>
      <w:r>
        <w:rPr>
          <w:rFonts w:hAnsi="宋体" w:cs="宋体"/>
          <w:kern w:val="0"/>
          <w:szCs w:val="21"/>
        </w:rPr>
        <w:fldChar w:fldCharType="separate"/>
      </w:r>
      <w:r>
        <w:rPr>
          <w:rFonts w:hint="eastAsia" w:ascii="仿宋_GB2312" w:hAnsi="Calibri" w:eastAsia="仿宋_GB2312"/>
          <w:bCs/>
          <w:kern w:val="2"/>
          <w:szCs w:val="28"/>
          <w:lang w:val="en-US" w:eastAsia="zh-CN" w:bidi="ar-SA"/>
        </w:rPr>
        <w:t>商务符合性审查表</w:t>
      </w:r>
      <w:r>
        <w:tab/>
      </w:r>
      <w:r>
        <w:fldChar w:fldCharType="begin"/>
      </w:r>
      <w:r>
        <w:instrText xml:space="preserve"> PAGEREF _Toc2382 </w:instrText>
      </w:r>
      <w:r>
        <w:fldChar w:fldCharType="separate"/>
      </w:r>
      <w:r>
        <w:t>62</w:t>
      </w:r>
      <w:r>
        <w:fldChar w:fldCharType="end"/>
      </w:r>
      <w:r>
        <w:rPr>
          <w:rFonts w:hAnsi="宋体" w:cs="宋体"/>
          <w:kern w:val="0"/>
          <w:szCs w:val="21"/>
        </w:rPr>
        <w:fldChar w:fldCharType="end"/>
      </w:r>
    </w:p>
    <w:p>
      <w:pPr>
        <w:pStyle w:val="21"/>
        <w:tabs>
          <w:tab w:val="right" w:leader="dot" w:pos="8312"/>
        </w:tabs>
      </w:pPr>
      <w:r>
        <w:rPr>
          <w:rFonts w:hAnsi="宋体" w:cs="宋体"/>
          <w:kern w:val="0"/>
          <w:szCs w:val="21"/>
        </w:rPr>
        <w:fldChar w:fldCharType="begin"/>
      </w:r>
      <w:r>
        <w:rPr>
          <w:rFonts w:hAnsi="宋体" w:cs="宋体"/>
          <w:kern w:val="0"/>
          <w:szCs w:val="21"/>
        </w:rPr>
        <w:instrText xml:space="preserve"> HYPERLINK \l _Toc4067 </w:instrText>
      </w:r>
      <w:r>
        <w:rPr>
          <w:rFonts w:hAnsi="宋体" w:cs="宋体"/>
          <w:kern w:val="0"/>
          <w:szCs w:val="21"/>
        </w:rPr>
        <w:fldChar w:fldCharType="separate"/>
      </w:r>
      <w:r>
        <w:rPr>
          <w:rFonts w:hint="eastAsia" w:ascii="仿宋_GB2312" w:eastAsia="仿宋_GB2312"/>
          <w:lang w:val="en-US" w:eastAsia="zh-CN"/>
        </w:rPr>
        <w:t xml:space="preserve">第7章 </w:t>
      </w:r>
      <w:r>
        <w:rPr>
          <w:rFonts w:hint="eastAsia" w:ascii="仿宋_GB2312" w:eastAsia="仿宋_GB2312"/>
        </w:rPr>
        <w:t>政府采购合同</w:t>
      </w:r>
      <w:r>
        <w:tab/>
      </w:r>
      <w:r>
        <w:fldChar w:fldCharType="begin"/>
      </w:r>
      <w:r>
        <w:instrText xml:space="preserve"> PAGEREF _Toc4067 </w:instrText>
      </w:r>
      <w:r>
        <w:fldChar w:fldCharType="separate"/>
      </w:r>
      <w:r>
        <w:t>65</w:t>
      </w:r>
      <w:r>
        <w:fldChar w:fldCharType="end"/>
      </w:r>
      <w:r>
        <w:rPr>
          <w:rFonts w:hAnsi="宋体" w:cs="宋体"/>
          <w:kern w:val="0"/>
          <w:szCs w:val="21"/>
        </w:rPr>
        <w:fldChar w:fldCharType="end"/>
      </w:r>
    </w:p>
    <w:p>
      <w:pPr>
        <w:pStyle w:val="21"/>
        <w:tabs>
          <w:tab w:val="right" w:leader="dot" w:pos="8312"/>
        </w:tabs>
      </w:pPr>
    </w:p>
    <w:p>
      <w:pPr>
        <w:pStyle w:val="3"/>
        <w:numPr>
          <w:ilvl w:val="0"/>
          <w:numId w:val="0"/>
        </w:numPr>
        <w:tabs>
          <w:tab w:val="left" w:pos="0"/>
        </w:tabs>
        <w:spacing w:before="0" w:after="0" w:line="240" w:lineRule="atLeast"/>
        <w:ind w:leftChars="0"/>
        <w:jc w:val="both"/>
        <w:rPr>
          <w:rFonts w:hAnsi="宋体" w:cs="宋体"/>
          <w:kern w:val="0"/>
          <w:szCs w:val="21"/>
        </w:rPr>
      </w:pPr>
      <w:r>
        <w:rPr>
          <w:rFonts w:hAnsi="宋体" w:cs="宋体"/>
          <w:kern w:val="0"/>
          <w:szCs w:val="21"/>
        </w:rPr>
        <w:fldChar w:fldCharType="end"/>
      </w:r>
      <w:bookmarkStart w:id="0" w:name="_Toc216582804"/>
      <w:bookmarkStart w:id="1" w:name="_Toc17230"/>
      <w:bookmarkStart w:id="2" w:name="_Toc22782"/>
    </w:p>
    <w:p>
      <w:pPr>
        <w:pStyle w:val="23"/>
        <w:rPr>
          <w:rFonts w:hAnsi="宋体" w:cs="宋体"/>
          <w:kern w:val="0"/>
          <w:szCs w:val="21"/>
        </w:rPr>
      </w:pPr>
    </w:p>
    <w:p>
      <w:pPr>
        <w:pStyle w:val="23"/>
        <w:rPr>
          <w:rFonts w:hAnsi="宋体" w:cs="宋体"/>
          <w:kern w:val="0"/>
          <w:szCs w:val="21"/>
        </w:rPr>
      </w:pPr>
    </w:p>
    <w:p>
      <w:pPr>
        <w:pStyle w:val="23"/>
        <w:rPr>
          <w:rFonts w:hAnsi="宋体" w:cs="宋体"/>
          <w:kern w:val="0"/>
          <w:szCs w:val="21"/>
        </w:rPr>
      </w:pPr>
    </w:p>
    <w:p>
      <w:pPr>
        <w:pStyle w:val="23"/>
        <w:rPr>
          <w:rFonts w:hAnsi="宋体" w:cs="宋体"/>
          <w:kern w:val="0"/>
          <w:szCs w:val="21"/>
        </w:rPr>
      </w:pPr>
    </w:p>
    <w:p>
      <w:pPr>
        <w:pStyle w:val="23"/>
        <w:rPr>
          <w:rFonts w:hAnsi="宋体" w:cs="宋体"/>
          <w:kern w:val="0"/>
          <w:szCs w:val="21"/>
        </w:rPr>
      </w:pPr>
    </w:p>
    <w:p>
      <w:pPr>
        <w:pStyle w:val="23"/>
        <w:rPr>
          <w:rFonts w:hint="eastAsia" w:hAnsi="宋体" w:cs="宋体"/>
          <w:kern w:val="0"/>
          <w:szCs w:val="21"/>
        </w:rPr>
      </w:pPr>
    </w:p>
    <w:p>
      <w:pPr>
        <w:pStyle w:val="3"/>
        <w:numPr>
          <w:ilvl w:val="0"/>
          <w:numId w:val="2"/>
        </w:numPr>
        <w:tabs>
          <w:tab w:val="left" w:pos="0"/>
          <w:tab w:val="clear" w:pos="3134"/>
        </w:tabs>
        <w:spacing w:before="0" w:after="0" w:line="240" w:lineRule="atLeast"/>
        <w:ind w:hanging="3134"/>
        <w:rPr>
          <w:rFonts w:hint="eastAsia" w:ascii="仿宋_GB2312" w:eastAsia="仿宋_GB2312"/>
        </w:rPr>
      </w:pPr>
      <w:r>
        <w:rPr>
          <w:rFonts w:ascii="仿宋_GB2312" w:eastAsia="仿宋_GB2312"/>
        </w:rPr>
        <w:t xml:space="preserve"> </w:t>
      </w:r>
      <w:r>
        <w:rPr>
          <w:rFonts w:hint="eastAsia" w:ascii="仿宋_GB2312" w:eastAsia="仿宋_GB2312"/>
        </w:rPr>
        <w:t xml:space="preserve"> </w:t>
      </w:r>
      <w:bookmarkStart w:id="3" w:name="_Toc515647756"/>
      <w:bookmarkStart w:id="4" w:name="_Toc3247"/>
      <w:r>
        <w:rPr>
          <w:rFonts w:hint="eastAsia" w:ascii="仿宋_GB2312" w:eastAsia="仿宋_GB2312"/>
        </w:rPr>
        <w:t>投标人须知</w:t>
      </w:r>
      <w:bookmarkEnd w:id="0"/>
      <w:bookmarkEnd w:id="1"/>
      <w:bookmarkEnd w:id="2"/>
      <w:bookmarkEnd w:id="3"/>
      <w:bookmarkEnd w:id="4"/>
    </w:p>
    <w:p>
      <w:pPr>
        <w:rPr>
          <w:rFonts w:hint="eastAsia"/>
        </w:rPr>
      </w:pPr>
    </w:p>
    <w:p>
      <w:pPr>
        <w:pStyle w:val="4"/>
        <w:spacing w:before="0" w:line="240" w:lineRule="atLeast"/>
        <w:ind w:left="1079" w:leftChars="257" w:hanging="540"/>
        <w:rPr>
          <w:rFonts w:hint="eastAsia" w:ascii="仿宋_GB2312" w:hAnsi="宋体" w:eastAsia="仿宋_GB2312"/>
          <w:sz w:val="28"/>
        </w:rPr>
      </w:pPr>
      <w:bookmarkStart w:id="5" w:name="_Toc515647757"/>
      <w:bookmarkStart w:id="6" w:name="_Toc216582805"/>
      <w:bookmarkStart w:id="7" w:name="_Toc520356143"/>
      <w:bookmarkStart w:id="8" w:name="_Toc3570"/>
      <w:bookmarkStart w:id="9" w:name="_Toc2121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5"/>
        <w:rPr>
          <w:rFonts w:hint="eastAsia"/>
        </w:rPr>
      </w:pPr>
    </w:p>
    <w:p>
      <w:pPr>
        <w:pStyle w:val="6"/>
        <w:spacing w:before="0" w:after="0" w:line="240" w:lineRule="atLeast"/>
        <w:rPr>
          <w:rFonts w:ascii="仿宋_GB2312" w:hAnsi="宋体" w:eastAsia="仿宋_GB2312"/>
          <w:i w:val="0"/>
          <w:iCs w:val="0"/>
          <w:u w:val="none"/>
        </w:rPr>
      </w:pPr>
      <w:bookmarkStart w:id="11" w:name="_Toc520356144"/>
      <w:bookmarkStart w:id="12" w:name="_Toc32623"/>
      <w:bookmarkStart w:id="13" w:name="_Toc18062"/>
      <w:bookmarkStart w:id="14" w:name="_Toc515647758"/>
      <w:bookmarkStart w:id="15" w:name="_Toc32189"/>
      <w:r>
        <w:rPr>
          <w:rFonts w:hint="eastAsia" w:ascii="仿宋_GB2312" w:hAnsi="宋体" w:eastAsia="仿宋_GB2312"/>
          <w:i w:val="0"/>
          <w:iCs w:val="0"/>
          <w:u w:val="none"/>
        </w:rPr>
        <w:t>1.采购人、采购</w:t>
      </w:r>
      <w:r>
        <w:rPr>
          <w:rFonts w:ascii="仿宋_GB2312" w:hAnsi="宋体" w:eastAsia="仿宋_GB2312"/>
          <w:i w:val="0"/>
          <w:iCs w:val="0"/>
          <w:u w:val="none"/>
        </w:rPr>
        <w:t>代理机构</w:t>
      </w:r>
      <w:r>
        <w:rPr>
          <w:rFonts w:hint="eastAsia" w:ascii="仿宋_GB2312" w:hAnsi="宋体" w:eastAsia="仿宋_GB2312"/>
          <w:i w:val="0"/>
          <w:iCs w:val="0"/>
          <w:u w:val="none"/>
        </w:rPr>
        <w:t>及</w:t>
      </w:r>
      <w:bookmarkEnd w:id="11"/>
      <w:r>
        <w:rPr>
          <w:rFonts w:hint="eastAsia" w:ascii="仿宋_GB2312" w:hAnsi="宋体" w:eastAsia="仿宋_GB2312"/>
          <w:i w:val="0"/>
          <w:iCs w:val="0"/>
          <w:u w:val="none"/>
        </w:rPr>
        <w:t>投标人</w:t>
      </w:r>
      <w:bookmarkEnd w:id="12"/>
      <w:bookmarkEnd w:id="13"/>
      <w:bookmarkEnd w:id="14"/>
      <w:bookmarkEnd w:id="15"/>
    </w:p>
    <w:p>
      <w:pPr>
        <w:numPr>
          <w:ilvl w:val="1"/>
          <w:numId w:val="3"/>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3"/>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3"/>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6"/>
        <w:spacing w:before="0" w:after="0" w:line="240" w:lineRule="atLeast"/>
        <w:rPr>
          <w:rFonts w:hint="eastAsia" w:ascii="仿宋_GB2312" w:hAnsi="宋体" w:eastAsia="仿宋_GB2312"/>
          <w:u w:val="none"/>
        </w:rPr>
      </w:pPr>
      <w:bookmarkStart w:id="16" w:name="_Toc12139"/>
      <w:bookmarkStart w:id="17" w:name="_Toc515647759"/>
      <w:bookmarkStart w:id="18" w:name="_Toc7226"/>
      <w:bookmarkStart w:id="19" w:name="_Toc5286"/>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6"/>
        <w:spacing w:before="0" w:after="0" w:line="240" w:lineRule="atLeast"/>
        <w:rPr>
          <w:rFonts w:hint="eastAsia" w:ascii="仿宋_GB2312" w:hAnsi="宋体" w:eastAsia="仿宋_GB2312"/>
          <w:u w:val="none"/>
        </w:rPr>
      </w:pPr>
      <w:bookmarkStart w:id="20" w:name="_Toc515647760"/>
      <w:bookmarkStart w:id="21" w:name="_Toc16040"/>
      <w:bookmarkStart w:id="22" w:name="_Toc520356145"/>
      <w:bookmarkStart w:id="23" w:name="_Toc20526"/>
      <w:bookmarkStart w:id="24" w:name="_Toc15936"/>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6"/>
        <w:spacing w:before="0" w:after="0" w:line="240" w:lineRule="atLeast"/>
        <w:rPr>
          <w:rFonts w:hint="eastAsia" w:ascii="仿宋_GB2312" w:hAnsi="宋体" w:eastAsia="仿宋_GB2312"/>
          <w:u w:val="none"/>
        </w:rPr>
      </w:pPr>
      <w:bookmarkStart w:id="25" w:name="_Toc4463"/>
      <w:bookmarkStart w:id="26" w:name="_Toc515647761"/>
      <w:bookmarkStart w:id="27" w:name="_Toc18236"/>
      <w:bookmarkStart w:id="28" w:name="_Toc6116"/>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3926"/>
      <w:bookmarkStart w:id="30" w:name="_Toc4365"/>
      <w:bookmarkStart w:id="31" w:name="_Toc515647762"/>
      <w:bookmarkStart w:id="32" w:name="_Toc21566"/>
      <w:bookmarkStart w:id="33" w:name="_Toc216582806"/>
      <w:bookmarkStart w:id="34" w:name="_Toc520356146"/>
      <w:r>
        <w:rPr>
          <w:rFonts w:hint="eastAsia" w:ascii="仿宋_GB2312" w:eastAsia="仿宋_GB2312"/>
          <w:sz w:val="28"/>
        </w:rPr>
        <w:t>二   招标文件</w:t>
      </w:r>
      <w:bookmarkEnd w:id="29"/>
      <w:bookmarkEnd w:id="30"/>
      <w:bookmarkEnd w:id="31"/>
      <w:bookmarkEnd w:id="32"/>
      <w:bookmarkEnd w:id="33"/>
      <w:bookmarkEnd w:id="34"/>
    </w:p>
    <w:p>
      <w:pPr>
        <w:pStyle w:val="5"/>
        <w:rPr>
          <w:rFonts w:hint="eastAsia"/>
        </w:rPr>
      </w:pPr>
    </w:p>
    <w:p>
      <w:pPr>
        <w:pStyle w:val="6"/>
        <w:spacing w:before="0" w:after="0" w:line="240" w:lineRule="atLeast"/>
        <w:rPr>
          <w:rFonts w:ascii="仿宋_GB2312" w:hAnsi="宋体" w:eastAsia="仿宋_GB2312"/>
          <w:u w:val="none"/>
        </w:rPr>
      </w:pPr>
      <w:bookmarkStart w:id="35" w:name="_Toc15666"/>
      <w:bookmarkStart w:id="36" w:name="_Toc25743"/>
      <w:bookmarkStart w:id="37" w:name="_Toc14084"/>
      <w:bookmarkStart w:id="38" w:name="_Toc520356147"/>
      <w:bookmarkStart w:id="39" w:name="_Toc515647763"/>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4"/>
        </w:numPr>
        <w:tabs>
          <w:tab w:val="left" w:pos="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4"/>
        </w:numPr>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spacing w:before="0" w:after="0" w:line="240" w:lineRule="atLeast"/>
        <w:rPr>
          <w:rFonts w:hint="eastAsia" w:ascii="仿宋_GB2312" w:hAnsi="宋体" w:eastAsia="仿宋_GB2312"/>
          <w:u w:val="none"/>
        </w:rPr>
      </w:pPr>
      <w:bookmarkStart w:id="40" w:name="_Toc520356148"/>
      <w:bookmarkStart w:id="41" w:name="_Toc515904805"/>
      <w:bookmarkStart w:id="42" w:name="_Toc9232"/>
      <w:bookmarkStart w:id="43" w:name="_Toc24079"/>
      <w:bookmarkStart w:id="44" w:name="_Toc26044"/>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5"/>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5"/>
        <w:ind w:left="840" w:hanging="840" w:hangingChars="350"/>
        <w:rPr>
          <w:rFonts w:hint="eastAsia" w:ascii="仿宋" w:hAnsi="仿宋" w:eastAsia="仿宋"/>
          <w:szCs w:val="24"/>
        </w:rPr>
      </w:pPr>
      <w:bookmarkStart w:id="45" w:name="_Toc520356149"/>
      <w:bookmarkStart w:id="46" w:name="_Toc515904806"/>
      <w:bookmarkStart w:id="47" w:name="_Ref467378678"/>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5"/>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6"/>
        <w:tabs>
          <w:tab w:val="left" w:pos="900"/>
        </w:tabs>
        <w:spacing w:before="0" w:after="0" w:line="240" w:lineRule="atLeast"/>
        <w:rPr>
          <w:rFonts w:hint="eastAsia" w:ascii="仿宋_GB2312" w:hAnsi="宋体" w:eastAsia="仿宋_GB2312"/>
          <w:u w:val="none"/>
        </w:rPr>
      </w:pPr>
      <w:bookmarkStart w:id="48" w:name="_Toc14569"/>
      <w:bookmarkStart w:id="49" w:name="_Toc25635"/>
      <w:bookmarkStart w:id="50" w:name="_Toc1367"/>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7636"/>
      <w:bookmarkStart w:id="53" w:name="_Toc216582807"/>
      <w:bookmarkStart w:id="54" w:name="_Toc520356150"/>
      <w:bookmarkStart w:id="55" w:name="_Toc30808"/>
      <w:bookmarkStart w:id="56" w:name="_Toc515647766"/>
      <w:bookmarkStart w:id="57" w:name="_Toc5716"/>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5"/>
        <w:rPr>
          <w:rFonts w:hint="eastAsia"/>
        </w:rPr>
      </w:pPr>
    </w:p>
    <w:p>
      <w:pPr>
        <w:pStyle w:val="6"/>
        <w:tabs>
          <w:tab w:val="left" w:pos="900"/>
        </w:tabs>
        <w:spacing w:before="0" w:after="0" w:line="240" w:lineRule="atLeast"/>
        <w:rPr>
          <w:rFonts w:ascii="仿宋_GB2312" w:hAnsi="宋体" w:eastAsia="仿宋_GB2312"/>
          <w:u w:val="none"/>
        </w:rPr>
      </w:pPr>
      <w:bookmarkStart w:id="58" w:name="_Toc520356151"/>
      <w:bookmarkStart w:id="59" w:name="_Toc3553"/>
      <w:bookmarkStart w:id="60" w:name="_Toc8590"/>
      <w:bookmarkStart w:id="61" w:name="_Toc516367021"/>
      <w:bookmarkStart w:id="62" w:name="_Toc7786"/>
      <w:bookmarkStart w:id="63" w:name="_Toc515647767"/>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6"/>
        <w:tabs>
          <w:tab w:val="left" w:pos="900"/>
        </w:tabs>
        <w:spacing w:before="0" w:after="0" w:line="240" w:lineRule="atLeast"/>
        <w:rPr>
          <w:rFonts w:ascii="仿宋_GB2312" w:hAnsi="宋体" w:eastAsia="仿宋_GB2312"/>
          <w:u w:val="none"/>
        </w:rPr>
      </w:pPr>
      <w:bookmarkStart w:id="64" w:name="_Ref467306676"/>
      <w:bookmarkStart w:id="65" w:name="_Toc516367022"/>
      <w:bookmarkStart w:id="66" w:name="_Ref467306195"/>
      <w:bookmarkStart w:id="67" w:name="_Toc28307"/>
      <w:bookmarkStart w:id="68" w:name="_Toc10364"/>
      <w:bookmarkStart w:id="69" w:name="_Toc515647768"/>
      <w:bookmarkStart w:id="70" w:name="_Toc3388"/>
      <w:bookmarkStart w:id="71" w:name="_Toc52035615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投标人应完整地按招标文件提供的投标文件格式及要求遍写投标文件，投标文件应包括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6"/>
        <w:tabs>
          <w:tab w:val="left" w:pos="900"/>
        </w:tabs>
        <w:spacing w:before="0" w:after="0" w:line="240" w:lineRule="atLeast"/>
        <w:rPr>
          <w:rFonts w:ascii="仿宋_GB2312" w:hAnsi="宋体" w:eastAsia="仿宋_GB2312"/>
          <w:u w:val="none"/>
        </w:rPr>
      </w:pPr>
      <w:bookmarkStart w:id="73" w:name="_Toc520356153"/>
      <w:bookmarkStart w:id="74" w:name="_Toc516367023"/>
      <w:bookmarkStart w:id="75" w:name="_Toc10379"/>
      <w:bookmarkStart w:id="76" w:name="_Toc515647769"/>
      <w:bookmarkStart w:id="77" w:name="_Toc4601"/>
      <w:bookmarkStart w:id="78" w:name="_Toc2638"/>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hint="eastAsia" w:ascii="仿宋_GB2312" w:hAnsi="宋体" w:eastAsia="仿宋_GB2312"/>
          <w:sz w:val="24"/>
        </w:rPr>
      </w:pPr>
    </w:p>
    <w:p>
      <w:pPr>
        <w:pStyle w:val="6"/>
        <w:spacing w:before="0" w:after="0" w:line="240" w:lineRule="atLeast"/>
        <w:rPr>
          <w:rFonts w:hint="eastAsia" w:ascii="仿宋_GB2312" w:hAnsi="宋体" w:eastAsia="仿宋_GB2312"/>
          <w:u w:val="none"/>
        </w:rPr>
      </w:pPr>
      <w:bookmarkStart w:id="80" w:name="_Toc23231"/>
      <w:bookmarkStart w:id="81" w:name="_Toc2248"/>
      <w:bookmarkStart w:id="82" w:name="_Toc23095"/>
      <w:bookmarkStart w:id="83" w:name="_Toc520356155"/>
      <w:bookmarkStart w:id="84" w:name="_Toc515647770"/>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6"/>
        <w:spacing w:before="0" w:after="0" w:line="240" w:lineRule="atLeast"/>
        <w:rPr>
          <w:rFonts w:ascii="仿宋_GB2312" w:hAnsi="宋体" w:eastAsia="仿宋_GB2312"/>
          <w:u w:val="none"/>
        </w:rPr>
      </w:pPr>
      <w:bookmarkStart w:id="85" w:name="_Toc515647771"/>
      <w:bookmarkStart w:id="86" w:name="_Toc17788"/>
      <w:bookmarkStart w:id="87" w:name="_Ref467306513"/>
      <w:bookmarkStart w:id="88" w:name="_Toc520356156"/>
      <w:bookmarkStart w:id="89" w:name="_Toc16081"/>
      <w:bookmarkStart w:id="90" w:name="_Toc11514"/>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14"/>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14"/>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14"/>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14"/>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14"/>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6"/>
        <w:spacing w:before="0" w:after="0" w:line="240" w:lineRule="atLeast"/>
        <w:rPr>
          <w:rFonts w:ascii="仿宋_GB2312" w:hAnsi="宋体" w:eastAsia="仿宋_GB2312"/>
          <w:u w:val="none"/>
        </w:rPr>
      </w:pPr>
      <w:bookmarkStart w:id="93" w:name="_Toc520356157"/>
      <w:bookmarkStart w:id="94" w:name="_Toc32569"/>
      <w:bookmarkStart w:id="95" w:name="_Toc22263"/>
      <w:bookmarkStart w:id="96" w:name="_Toc23590"/>
      <w:bookmarkStart w:id="97" w:name="_Toc515647772"/>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6"/>
        <w:spacing w:before="0" w:after="0" w:line="240" w:lineRule="atLeast"/>
        <w:rPr>
          <w:rFonts w:ascii="仿宋_GB2312" w:hAnsi="宋体" w:eastAsia="仿宋_GB2312"/>
          <w:u w:val="none"/>
        </w:rPr>
      </w:pPr>
      <w:bookmarkStart w:id="98" w:name="_Toc520356158"/>
      <w:bookmarkStart w:id="99" w:name="_Toc515647773"/>
      <w:bookmarkStart w:id="100" w:name="_Toc13272"/>
      <w:bookmarkStart w:id="101" w:name="_Toc493"/>
      <w:bookmarkStart w:id="102" w:name="_Toc17074"/>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216582808"/>
      <w:bookmarkStart w:id="104" w:name="_Toc16865"/>
      <w:bookmarkStart w:id="105" w:name="_Toc520356159"/>
      <w:bookmarkStart w:id="106" w:name="_Toc11179"/>
      <w:bookmarkStart w:id="107" w:name="_Toc1961"/>
      <w:bookmarkStart w:id="108" w:name="_Toc515647774"/>
      <w:r>
        <w:rPr>
          <w:rFonts w:hint="eastAsia" w:ascii="仿宋_GB2312" w:hAnsi="宋体" w:eastAsia="仿宋_GB2312"/>
          <w:sz w:val="24"/>
        </w:rPr>
        <w:t>四   投标文件的递交</w:t>
      </w:r>
      <w:bookmarkEnd w:id="103"/>
      <w:bookmarkEnd w:id="104"/>
      <w:bookmarkEnd w:id="105"/>
      <w:bookmarkEnd w:id="106"/>
      <w:bookmarkEnd w:id="107"/>
      <w:bookmarkEnd w:id="108"/>
    </w:p>
    <w:p>
      <w:pPr>
        <w:pStyle w:val="5"/>
        <w:rPr>
          <w:rFonts w:hint="eastAsia"/>
        </w:rPr>
      </w:pPr>
    </w:p>
    <w:p>
      <w:pPr>
        <w:pStyle w:val="6"/>
        <w:spacing w:before="0" w:after="0" w:line="240" w:lineRule="atLeast"/>
        <w:rPr>
          <w:rFonts w:hint="eastAsia" w:ascii="仿宋_GB2312" w:hAnsi="宋体" w:eastAsia="仿宋_GB2312"/>
          <w:u w:val="none"/>
        </w:rPr>
      </w:pPr>
      <w:bookmarkStart w:id="109" w:name="_Toc21645"/>
      <w:bookmarkStart w:id="110" w:name="_Toc515647775"/>
      <w:bookmarkStart w:id="111" w:name="_Toc32337"/>
      <w:bookmarkStart w:id="112" w:name="_Toc520356160"/>
      <w:bookmarkStart w:id="113" w:name="_Toc32138"/>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highlight w:val="yellow"/>
        </w:rPr>
      </w:pPr>
      <w:r>
        <w:rPr>
          <w:rFonts w:hint="eastAsia" w:ascii="仿宋_GB2312" w:hAnsi="宋体" w:eastAsia="仿宋_GB2312"/>
          <w:sz w:val="24"/>
          <w:highlight w:val="none"/>
        </w:rPr>
        <w:t xml:space="preserve">15.1   </w:t>
      </w:r>
      <w:r>
        <w:rPr>
          <w:rFonts w:hint="eastAsia" w:ascii="仿宋_GB2312" w:hAnsi="宋体" w:eastAsia="仿宋_GB2312"/>
          <w:sz w:val="24"/>
          <w:highlight w:val="none"/>
          <w:lang w:eastAsia="zh-CN"/>
        </w:rPr>
        <w:t>投标</w:t>
      </w:r>
      <w:r>
        <w:rPr>
          <w:rFonts w:hint="eastAsia" w:ascii="仿宋_GB2312" w:hAnsi="宋体" w:eastAsia="仿宋_GB2312"/>
          <w:sz w:val="24"/>
          <w:highlight w:val="none"/>
        </w:rPr>
        <w:t>文件包括“</w:t>
      </w:r>
      <w:r>
        <w:rPr>
          <w:rFonts w:hint="eastAsia" w:ascii="仿宋_GB2312" w:hAnsi="宋体" w:eastAsia="仿宋_GB2312"/>
          <w:sz w:val="24"/>
          <w:highlight w:val="none"/>
          <w:lang w:eastAsia="zh-CN"/>
        </w:rPr>
        <w:t>开标</w:t>
      </w:r>
      <w:r>
        <w:rPr>
          <w:rFonts w:hint="eastAsia" w:ascii="仿宋_GB2312" w:hAnsi="宋体" w:eastAsia="仿宋_GB2312"/>
          <w:sz w:val="24"/>
          <w:highlight w:val="none"/>
        </w:rPr>
        <w:t>一览表及资格证明文件”和“商务及技术文件”两部分，两部分合订成一册密封递交。并在封皮正面标明“第一部分开标一览表及资格证明文件”或“第二部分商务及技术文件”字样。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6"/>
        <w:spacing w:before="0" w:after="0" w:line="240" w:lineRule="atLeast"/>
        <w:rPr>
          <w:rFonts w:ascii="仿宋_GB2312" w:hAnsi="宋体" w:eastAsia="仿宋_GB2312"/>
          <w:u w:val="none"/>
        </w:rPr>
      </w:pPr>
      <w:bookmarkStart w:id="114" w:name="_Toc30173"/>
      <w:bookmarkStart w:id="115" w:name="_Toc12751"/>
      <w:bookmarkStart w:id="116" w:name="_Toc515647776"/>
      <w:bookmarkStart w:id="117" w:name="_Toc9840"/>
      <w:bookmarkStart w:id="118" w:name="_Toc520356161"/>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6"/>
        <w:spacing w:before="0" w:after="0" w:line="240" w:lineRule="atLeast"/>
        <w:rPr>
          <w:rFonts w:hint="eastAsia" w:ascii="仿宋_GB2312" w:hAnsi="宋体" w:eastAsia="仿宋_GB2312"/>
          <w:u w:val="none"/>
        </w:rPr>
      </w:pPr>
      <w:bookmarkStart w:id="119" w:name="_Toc13613"/>
      <w:bookmarkStart w:id="120" w:name="_Toc24275"/>
      <w:bookmarkStart w:id="121" w:name="_Toc515647777"/>
      <w:bookmarkStart w:id="122" w:name="_Toc18537"/>
      <w:bookmarkStart w:id="123" w:name="_Toc520356162"/>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tbl>
      <w:tblPr>
        <w:tblStyle w:val="32"/>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1934"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12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55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520356163"/>
      <w:bookmarkStart w:id="125" w:name="_Toc7123"/>
      <w:bookmarkStart w:id="126" w:name="_Toc12436"/>
      <w:bookmarkStart w:id="127" w:name="_Toc28398"/>
      <w:bookmarkStart w:id="128" w:name="_Toc216582809"/>
      <w:bookmarkStart w:id="129" w:name="_Toc515647778"/>
      <w:r>
        <w:rPr>
          <w:rFonts w:hint="eastAsia" w:ascii="仿宋_GB2312" w:hAnsi="宋体" w:eastAsia="仿宋_GB2312"/>
          <w:sz w:val="24"/>
        </w:rPr>
        <w:t>五   开标及评标</w:t>
      </w:r>
      <w:bookmarkEnd w:id="124"/>
      <w:bookmarkEnd w:id="125"/>
      <w:bookmarkEnd w:id="126"/>
      <w:bookmarkEnd w:id="127"/>
      <w:bookmarkEnd w:id="128"/>
      <w:bookmarkEnd w:id="129"/>
    </w:p>
    <w:p>
      <w:pPr>
        <w:pStyle w:val="5"/>
        <w:rPr>
          <w:rFonts w:hint="eastAsia"/>
        </w:rPr>
      </w:pPr>
    </w:p>
    <w:p>
      <w:pPr>
        <w:pStyle w:val="6"/>
        <w:numPr>
          <w:ilvl w:val="0"/>
          <w:numId w:val="5"/>
        </w:numPr>
        <w:spacing w:line="240" w:lineRule="atLeast"/>
      </w:pPr>
      <w:bookmarkStart w:id="130" w:name="_Toc520356164"/>
      <w:bookmarkStart w:id="131" w:name="_Toc515647779"/>
      <w:bookmarkStart w:id="132" w:name="_Toc25345"/>
      <w:bookmarkStart w:id="133" w:name="_Toc25038"/>
      <w:bookmarkStart w:id="134" w:name="_Toc7186"/>
      <w:r>
        <w:rPr>
          <w:rFonts w:hint="eastAsia" w:ascii="仿宋_GB2312" w:hAnsi="宋体" w:eastAsia="仿宋_GB2312"/>
          <w:u w:val="none"/>
        </w:rPr>
        <w:t>开标</w:t>
      </w:r>
      <w:bookmarkEnd w:id="130"/>
      <w:bookmarkEnd w:id="131"/>
      <w:bookmarkEnd w:id="132"/>
      <w:bookmarkEnd w:id="133"/>
      <w:bookmarkEnd w:id="134"/>
    </w:p>
    <w:p>
      <w:pPr>
        <w:numPr>
          <w:ilvl w:val="1"/>
          <w:numId w:val="5"/>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6"/>
        <w:spacing w:before="0" w:after="0" w:line="240" w:lineRule="atLeast"/>
        <w:rPr>
          <w:rFonts w:hint="default" w:ascii="仿宋_GB2312" w:hAnsi="宋体" w:eastAsia="仿宋_GB2312"/>
          <w:u w:val="none"/>
          <w:lang w:val="en-US" w:eastAsia="zh-CN"/>
        </w:rPr>
      </w:pPr>
      <w:bookmarkStart w:id="136" w:name="_Toc19296"/>
      <w:bookmarkStart w:id="137" w:name="_Toc21372"/>
      <w:bookmarkStart w:id="138" w:name="_Toc11014"/>
      <w:bookmarkStart w:id="139" w:name="_Toc515647780"/>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960" w:hanging="1120" w:hangingChars="400"/>
        <w:rPr>
          <w:rFonts w:hint="eastAsia" w:ascii="仿宋_GB2312" w:hAnsi="宋体" w:eastAsia="仿宋_GB2312" w:cs="Times New Roman"/>
          <w:b/>
          <w:color w:val="auto"/>
          <w:kern w:val="0"/>
          <w:sz w:val="28"/>
          <w:szCs w:val="21"/>
          <w:u w:val="none"/>
          <w:lang w:val="en-US" w:eastAsia="zh-CN" w:bidi="ar-SA"/>
        </w:rPr>
      </w:pPr>
      <w:r>
        <w:rPr>
          <w:rFonts w:hint="eastAsia" w:ascii="仿宋_GB2312" w:hAnsi="宋体" w:eastAsia="仿宋_GB2312" w:cs="Times New Roman"/>
          <w:b/>
          <w:color w:val="auto"/>
          <w:kern w:val="0"/>
          <w:sz w:val="28"/>
          <w:szCs w:val="21"/>
          <w:u w:val="none"/>
          <w:lang w:val="en-US" w:eastAsia="zh-CN" w:bidi="ar-SA"/>
        </w:rPr>
        <w:t>本项目审查原件内容如下（开标时需携带以下证件）：</w:t>
      </w:r>
    </w:p>
    <w:p>
      <w:pPr>
        <w:numPr>
          <w:ilvl w:val="0"/>
          <w:numId w:val="0"/>
        </w:numPr>
        <w:spacing w:line="240" w:lineRule="atLeast"/>
        <w:ind w:leftChars="40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1.具有有效的营业执照；</w:t>
      </w:r>
    </w:p>
    <w:p>
      <w:pPr>
        <w:numPr>
          <w:ilvl w:val="0"/>
          <w:numId w:val="0"/>
        </w:numPr>
        <w:spacing w:line="240" w:lineRule="atLeast"/>
        <w:ind w:leftChars="40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2.具备市政公用工程施工总承包叁级(含)以上资质；</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3.法人本人投标的需提供法人身份证原件；被授权委托人需提供法人授权委托书、法人身份证复印件及被授权委托人身份证原件；</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4.提供社保部门出具授权委托人近3个月（9、10、11）缴纳社保证明（社保缴费凭证和个人明细表）；</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5.良好的商业信誉和健全的财务会计制度证明材料（会计事务所出具的2020年度财务审计报告书原件或影印件；新办企业提供银行资信证明）；</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6.提供具有依法缴纳近3个月（9、10、11）的税收良好记录证明；税务部门出具的完税凭证或缴税证明或银行出具的“银行电子缴税付款凭证”（新公司或其他组织和自然人提供近三个月内银行出具的资信证明）；</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7.投标人须提供《反商业贿赂承诺书》、《三年内无重大违法违规记录承诺书》；</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8.符合《中华人民共和国政府采购法》第二十二条的规定，且必须为未被列入“信用中国”网站（www.creditchina.gov.cn）、中国政府采购网（www.ccgp.gov.cn）渠道信用记录失信执行人、重大税收违法案件当事人名单、政府采购严重违法失信行为记录名单的投标人，裁判文书网（wenshu.couet.gov.cn）查询在合同纠纷裁决中不得参加本项目招标，国家企业公示信息系统（www.gst.gov.cn）查询诚信记录如有重大处罚信息不得参加本项目（提供查询结果网页截图并加盖供应商公章）；</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9.投标保证金收据原件及打款凭证；</w:t>
      </w:r>
    </w:p>
    <w:p>
      <w:pPr>
        <w:pStyle w:val="2"/>
        <w:ind w:firstLine="789" w:firstLineChars="329"/>
        <w:rPr>
          <w:rFonts w:hint="default"/>
          <w:lang w:val="en-US" w:eastAsia="zh-CN"/>
        </w:rPr>
      </w:pPr>
      <w:r>
        <w:rPr>
          <w:rFonts w:hint="eastAsia" w:ascii="仿宋_GB2312" w:hAnsi="宋体" w:eastAsia="仿宋_GB2312" w:cs="Times New Roman"/>
          <w:b/>
          <w:color w:val="auto"/>
          <w:kern w:val="0"/>
          <w:sz w:val="24"/>
          <w:szCs w:val="20"/>
          <w:u w:val="none"/>
          <w:lang w:val="en-US" w:eastAsia="zh-CN" w:bidi="ar-SA"/>
        </w:rPr>
        <w:t>10、本项目不接受联合体投标。</w:t>
      </w:r>
    </w:p>
    <w:p>
      <w:pPr>
        <w:spacing w:line="240" w:lineRule="atLeast"/>
        <w:ind w:left="898" w:leftChars="428"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未通过资格审查的投标人不进入评标；进入评标的投标人不足3家的，不得评标。</w:t>
      </w:r>
    </w:p>
    <w:p>
      <w:pPr>
        <w:spacing w:line="240" w:lineRule="atLeast"/>
        <w:ind w:left="960" w:hanging="960" w:hangingChars="400"/>
        <w:rPr>
          <w:rFonts w:ascii="仿宋_GB2312" w:hAnsi="宋体" w:eastAsia="仿宋_GB2312"/>
          <w:sz w:val="24"/>
        </w:rPr>
      </w:pP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采购人或采购代理机构将在开标前1个工作日至投标截止后1小时的期间内查询投标人的信用记录。</w:t>
      </w:r>
      <w:r>
        <w:rPr>
          <w:rFonts w:ascii="仿宋_GB2312" w:hAnsi="宋体" w:eastAsia="仿宋_GB2312"/>
          <w:sz w:val="24"/>
        </w:rPr>
        <w:t xml:space="preserve"> </w:t>
      </w:r>
      <w:r>
        <w:rPr>
          <w:rFonts w:hint="eastAsia" w:ascii="仿宋_GB2312" w:eastAsia="仿宋_GB2312"/>
          <w:sz w:val="24"/>
        </w:rPr>
        <w:t>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5"/>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5"/>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hint="default" w:ascii="仿宋_GB2312" w:hAnsi="宋体" w:eastAsia="仿宋_GB2312" w:cs="Times New Roman"/>
          <w:b/>
          <w:kern w:val="0"/>
          <w:sz w:val="24"/>
          <w:szCs w:val="20"/>
          <w:u w:val="none"/>
          <w:lang w:val="en-US" w:eastAsia="zh-CN" w:bidi="ar-SA"/>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r>
        <w:rPr>
          <w:rFonts w:hint="eastAsia" w:ascii="仿宋_GB2312" w:hAnsi="宋体" w:eastAsia="仿宋_GB2312" w:cs="Times New Roman"/>
          <w:b/>
          <w:kern w:val="0"/>
          <w:sz w:val="24"/>
          <w:szCs w:val="20"/>
          <w:u w:val="none"/>
          <w:lang w:val="en-US" w:eastAsia="zh-CN" w:bidi="ar-SA"/>
        </w:rPr>
        <w:t>（本项目评标委员会由5人单数组成，从喀什地区专家库随机抽取）</w:t>
      </w:r>
    </w:p>
    <w:p>
      <w:pPr>
        <w:pStyle w:val="6"/>
        <w:spacing w:before="0" w:after="0" w:line="240" w:lineRule="atLeast"/>
        <w:rPr>
          <w:rFonts w:hint="eastAsia" w:ascii="仿宋_GB2312" w:hAnsi="宋体" w:eastAsia="仿宋_GB2312"/>
          <w:b w:val="0"/>
          <w:bCs/>
          <w:bdr w:val="single" w:color="auto" w:sz="4" w:space="0"/>
        </w:rPr>
      </w:pPr>
      <w:bookmarkStart w:id="141" w:name="_Toc8984"/>
      <w:bookmarkStart w:id="142" w:name="_Toc19949"/>
      <w:bookmarkStart w:id="143" w:name="_Toc28479"/>
      <w:bookmarkStart w:id="144" w:name="_Toc515647781"/>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spacing w:before="0" w:after="0" w:line="240" w:lineRule="atLeast"/>
        <w:rPr>
          <w:rFonts w:hint="eastAsia" w:ascii="仿宋_GB2312" w:hAnsi="宋体" w:eastAsia="仿宋_GB2312"/>
          <w:u w:val="none"/>
        </w:rPr>
      </w:pPr>
      <w:bookmarkStart w:id="147" w:name="_Toc4132"/>
      <w:bookmarkStart w:id="148" w:name="_Toc6364"/>
      <w:bookmarkStart w:id="149" w:name="_Toc515647782"/>
      <w:bookmarkStart w:id="150" w:name="_Toc9469"/>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6"/>
        <w:spacing w:before="0" w:after="0" w:line="240" w:lineRule="atLeast"/>
        <w:rPr>
          <w:rFonts w:hint="eastAsia" w:ascii="仿宋_GB2312" w:hAnsi="宋体" w:eastAsia="仿宋_GB2312"/>
          <w:u w:val="none"/>
        </w:rPr>
      </w:pPr>
      <w:bookmarkStart w:id="151" w:name="_Toc515647783"/>
      <w:bookmarkStart w:id="152" w:name="_Toc4950"/>
      <w:bookmarkStart w:id="153" w:name="_Toc6092"/>
      <w:bookmarkStart w:id="154" w:name="_Toc6117"/>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6"/>
        </w:numPr>
        <w:spacing w:line="240" w:lineRule="atLeast"/>
        <w:ind w:left="1020" w:leftChars="0" w:hanging="180" w:firstLineChars="0"/>
        <w:rPr>
          <w:rFonts w:hint="eastAsia" w:ascii="仿宋_GB2312" w:hAnsi="宋体" w:eastAsia="仿宋_GB2312"/>
          <w:b/>
          <w:bCs/>
          <w:sz w:val="24"/>
        </w:rPr>
      </w:pPr>
      <w:r>
        <w:rPr>
          <w:rFonts w:hint="eastAsia" w:ascii="仿宋_GB2312" w:hAnsi="宋体" w:eastAsia="仿宋_GB2312"/>
          <w:b/>
          <w:bCs/>
          <w:sz w:val="24"/>
        </w:rPr>
        <w:t>未按招标文件规定的形式和金额提交投标保证金的；</w:t>
      </w:r>
    </w:p>
    <w:p>
      <w:pPr>
        <w:numPr>
          <w:ilvl w:val="0"/>
          <w:numId w:val="6"/>
        </w:numPr>
        <w:spacing w:line="240" w:lineRule="atLeast"/>
        <w:ind w:left="1020" w:leftChars="0" w:hanging="180" w:firstLineChars="0"/>
        <w:rPr>
          <w:rFonts w:hint="eastAsia" w:ascii="仿宋_GB2312" w:hAnsi="宋体" w:eastAsia="仿宋_GB2312"/>
          <w:b/>
          <w:bCs/>
          <w:sz w:val="24"/>
        </w:rPr>
      </w:pPr>
      <w:r>
        <w:rPr>
          <w:rFonts w:hint="eastAsia" w:ascii="仿宋_GB2312" w:hAnsi="宋体" w:eastAsia="仿宋_GB2312"/>
          <w:b/>
          <w:bCs/>
          <w:sz w:val="24"/>
        </w:rPr>
        <w:t>未按照招标文件规定要求签署、盖章的；</w:t>
      </w:r>
    </w:p>
    <w:p>
      <w:pPr>
        <w:numPr>
          <w:ilvl w:val="0"/>
          <w:numId w:val="6"/>
        </w:numPr>
        <w:spacing w:line="240" w:lineRule="atLeast"/>
        <w:ind w:left="1020" w:leftChars="0" w:hanging="180" w:firstLineChars="0"/>
        <w:rPr>
          <w:rFonts w:ascii="仿宋_GB2312" w:hAnsi="宋体" w:eastAsia="仿宋_GB2312"/>
          <w:b/>
          <w:bCs/>
          <w:sz w:val="24"/>
        </w:rPr>
      </w:pPr>
      <w:r>
        <w:rPr>
          <w:rFonts w:hint="eastAsia" w:ascii="仿宋_GB2312" w:hAnsi="宋体" w:eastAsia="仿宋_GB2312"/>
          <w:b/>
          <w:bCs/>
          <w:sz w:val="24"/>
        </w:rPr>
        <w:t>未满足招标文件中技术</w:t>
      </w:r>
      <w:r>
        <w:rPr>
          <w:rFonts w:ascii="仿宋_GB2312" w:hAnsi="宋体" w:eastAsia="仿宋_GB2312"/>
          <w:b/>
          <w:bCs/>
          <w:sz w:val="24"/>
        </w:rPr>
        <w:t>条款</w:t>
      </w:r>
      <w:r>
        <w:rPr>
          <w:rFonts w:hint="eastAsia" w:ascii="仿宋_GB2312" w:hAnsi="宋体" w:eastAsia="仿宋_GB2312"/>
          <w:b/>
          <w:bCs/>
          <w:sz w:val="24"/>
        </w:rPr>
        <w:t>的实质性要求；</w:t>
      </w:r>
    </w:p>
    <w:p>
      <w:pPr>
        <w:numPr>
          <w:ilvl w:val="0"/>
          <w:numId w:val="6"/>
        </w:numPr>
        <w:spacing w:line="240" w:lineRule="atLeast"/>
        <w:ind w:left="1020" w:leftChars="0" w:hanging="180" w:firstLineChars="0"/>
        <w:rPr>
          <w:rFonts w:hint="eastAsia" w:ascii="仿宋_GB2312" w:hAnsi="宋体" w:eastAsia="仿宋_GB2312"/>
          <w:b/>
          <w:bCs/>
          <w:sz w:val="24"/>
        </w:rPr>
      </w:pPr>
      <w:r>
        <w:rPr>
          <w:rFonts w:ascii="仿宋_GB2312" w:hAnsi="宋体" w:eastAsia="仿宋_GB2312"/>
          <w:b/>
          <w:bCs/>
          <w:sz w:val="24"/>
        </w:rPr>
        <w:t>与其他投标人串通投标</w:t>
      </w:r>
      <w:r>
        <w:rPr>
          <w:rFonts w:hint="eastAsia" w:ascii="仿宋_GB2312" w:hAnsi="宋体" w:eastAsia="仿宋_GB2312"/>
          <w:b/>
          <w:bCs/>
          <w:sz w:val="24"/>
        </w:rPr>
        <w:t>，</w:t>
      </w:r>
      <w:r>
        <w:rPr>
          <w:rFonts w:ascii="仿宋_GB2312" w:hAnsi="宋体" w:eastAsia="仿宋_GB2312"/>
          <w:b/>
          <w:bCs/>
          <w:sz w:val="24"/>
        </w:rPr>
        <w:t>或者与招标人串通投标</w:t>
      </w:r>
      <w:r>
        <w:rPr>
          <w:rFonts w:hint="eastAsia" w:ascii="仿宋_GB2312" w:hAnsi="宋体" w:eastAsia="仿宋_GB2312"/>
          <w:b/>
          <w:bCs/>
          <w:sz w:val="24"/>
        </w:rPr>
        <w:t>；</w:t>
      </w:r>
    </w:p>
    <w:p>
      <w:pPr>
        <w:numPr>
          <w:ilvl w:val="0"/>
          <w:numId w:val="6"/>
        </w:numPr>
        <w:spacing w:line="240" w:lineRule="atLeast"/>
        <w:ind w:left="1020" w:leftChars="0" w:hanging="180" w:firstLineChars="0"/>
        <w:rPr>
          <w:rFonts w:ascii="仿宋_GB2312" w:hAnsi="宋体" w:eastAsia="仿宋_GB2312"/>
          <w:b/>
          <w:bCs/>
          <w:sz w:val="24"/>
        </w:rPr>
      </w:pPr>
      <w:r>
        <w:rPr>
          <w:rFonts w:hint="eastAsia" w:ascii="仿宋_GB2312" w:hAnsi="宋体" w:eastAsia="仿宋_GB2312"/>
          <w:b/>
          <w:bCs/>
          <w:sz w:val="24"/>
        </w:rPr>
        <w:t>属于招标文件规定的其他投标无效情形；</w:t>
      </w:r>
    </w:p>
    <w:p>
      <w:pPr>
        <w:numPr>
          <w:ilvl w:val="0"/>
          <w:numId w:val="6"/>
        </w:numPr>
        <w:spacing w:line="240" w:lineRule="atLeast"/>
        <w:ind w:left="1020" w:leftChars="0" w:hanging="180" w:firstLineChars="0"/>
        <w:rPr>
          <w:rFonts w:hint="eastAsia" w:ascii="仿宋_GB2312" w:hAnsi="宋体" w:eastAsia="仿宋_GB2312"/>
          <w:b/>
          <w:bCs/>
          <w:sz w:val="24"/>
        </w:rPr>
      </w:pPr>
      <w:r>
        <w:rPr>
          <w:rFonts w:ascii="仿宋_GB2312" w:hAnsi="宋体" w:eastAsia="仿宋_GB2312"/>
          <w:b/>
          <w:bCs/>
          <w:sz w:val="24"/>
        </w:rPr>
        <w:t>评标委员会认为投标人的报价明显低于其他通过符合性检查投标人的报价</w:t>
      </w:r>
      <w:r>
        <w:rPr>
          <w:rFonts w:hint="eastAsia" w:ascii="仿宋_GB2312" w:hAnsi="宋体" w:eastAsia="仿宋_GB2312"/>
          <w:b/>
          <w:bCs/>
          <w:sz w:val="24"/>
        </w:rPr>
        <w:t>，</w:t>
      </w:r>
      <w:r>
        <w:rPr>
          <w:rFonts w:ascii="仿宋_GB2312" w:hAnsi="宋体" w:eastAsia="仿宋_GB2312"/>
          <w:b/>
          <w:bCs/>
          <w:sz w:val="24"/>
        </w:rPr>
        <w:t>有可能影响履约的</w:t>
      </w:r>
      <w:r>
        <w:rPr>
          <w:rFonts w:hint="eastAsia" w:ascii="仿宋_GB2312" w:hAnsi="宋体" w:eastAsia="仿宋_GB2312"/>
          <w:b/>
          <w:bCs/>
          <w:sz w:val="24"/>
        </w:rPr>
        <w:t>，且</w:t>
      </w:r>
      <w:r>
        <w:rPr>
          <w:rFonts w:ascii="仿宋_GB2312" w:hAnsi="宋体" w:eastAsia="仿宋_GB2312"/>
          <w:b/>
          <w:bCs/>
          <w:sz w:val="24"/>
        </w:rPr>
        <w:t>投标人未按照规定证明其报价合理性的</w:t>
      </w:r>
      <w:r>
        <w:rPr>
          <w:rFonts w:hint="eastAsia" w:ascii="仿宋_GB2312" w:hAnsi="宋体" w:eastAsia="仿宋_GB2312"/>
          <w:b/>
          <w:bCs/>
          <w:sz w:val="24"/>
        </w:rPr>
        <w:t>；</w:t>
      </w:r>
    </w:p>
    <w:p>
      <w:pPr>
        <w:numPr>
          <w:ilvl w:val="0"/>
          <w:numId w:val="6"/>
        </w:numPr>
        <w:spacing w:line="240" w:lineRule="atLeast"/>
        <w:ind w:left="1020" w:leftChars="0" w:hanging="180" w:firstLineChars="0"/>
        <w:rPr>
          <w:rFonts w:hint="eastAsia" w:ascii="仿宋_GB2312" w:hAnsi="宋体" w:eastAsia="仿宋_GB2312"/>
          <w:b/>
          <w:bCs/>
          <w:sz w:val="24"/>
        </w:rPr>
      </w:pPr>
      <w:r>
        <w:rPr>
          <w:rFonts w:hint="eastAsia" w:ascii="仿宋_GB2312" w:hAnsi="宋体" w:eastAsia="仿宋_GB2312"/>
          <w:b/>
          <w:bCs/>
          <w:sz w:val="24"/>
        </w:rPr>
        <w:t>投标文件含有采购人不能接受的附加条件的；</w:t>
      </w:r>
    </w:p>
    <w:p>
      <w:pPr>
        <w:numPr>
          <w:ilvl w:val="0"/>
          <w:numId w:val="6"/>
        </w:numPr>
        <w:tabs>
          <w:tab w:val="left" w:pos="0"/>
        </w:tabs>
        <w:spacing w:line="240" w:lineRule="atLeast"/>
        <w:ind w:left="1020" w:leftChars="0" w:hanging="180" w:firstLineChars="0"/>
        <w:rPr>
          <w:rFonts w:hint="eastAsia" w:ascii="仿宋_GB2312" w:hAnsi="宋体" w:eastAsia="仿宋_GB2312"/>
          <w:b/>
          <w:bCs/>
          <w:sz w:val="24"/>
        </w:rPr>
      </w:pPr>
      <w:r>
        <w:rPr>
          <w:rFonts w:hint="eastAsia" w:ascii="仿宋_GB2312" w:hAnsi="宋体" w:eastAsia="仿宋_GB2312"/>
          <w:b/>
          <w:bCs/>
          <w:sz w:val="24"/>
        </w:rPr>
        <w:t>不符合法规和招标文件中规定的其他实质性要求的。</w:t>
      </w:r>
    </w:p>
    <w:p>
      <w:pPr>
        <w:spacing w:line="240" w:lineRule="atLeast"/>
        <w:rPr>
          <w:rFonts w:hint="eastAsia" w:ascii="仿宋_GB2312" w:hAnsi="宋体" w:eastAsia="仿宋_GB2312" w:cs="Times New Roman"/>
          <w:b/>
          <w:kern w:val="0"/>
          <w:sz w:val="24"/>
          <w:szCs w:val="20"/>
          <w:u w:val="none"/>
          <w:lang w:val="en-US" w:eastAsia="zh-CN" w:bidi="ar-SA"/>
        </w:rPr>
      </w:pPr>
      <w:bookmarkStart w:id="155" w:name="_Toc22941"/>
      <w:bookmarkStart w:id="156" w:name="_Toc515647784"/>
      <w:bookmarkStart w:id="157" w:name="_Toc13652"/>
      <w:r>
        <w:rPr>
          <w:rFonts w:hint="eastAsia" w:ascii="仿宋_GB2312" w:hAnsi="宋体" w:eastAsia="仿宋_GB2312" w:cs="Times New Roman"/>
          <w:b/>
          <w:kern w:val="0"/>
          <w:sz w:val="24"/>
          <w:szCs w:val="20"/>
          <w:u w:val="none"/>
          <w:lang w:val="en-US" w:eastAsia="zh-CN" w:bidi="ar-SA"/>
        </w:rPr>
        <w:t>23.</w:t>
      </w:r>
      <w:bookmarkEnd w:id="146"/>
      <w:r>
        <w:rPr>
          <w:rFonts w:hint="eastAsia" w:ascii="仿宋_GB2312" w:hAnsi="宋体" w:eastAsia="仿宋_GB2312" w:cs="Times New Roman"/>
          <w:b/>
          <w:kern w:val="0"/>
          <w:sz w:val="24"/>
          <w:szCs w:val="20"/>
          <w:u w:val="none"/>
          <w:lang w:val="en-US" w:eastAsia="zh-CN" w:bidi="ar-SA"/>
        </w:rPr>
        <w:t>比较与评价</w:t>
      </w:r>
      <w:bookmarkEnd w:id="155"/>
      <w:bookmarkEnd w:id="156"/>
      <w:bookmarkEnd w:id="157"/>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14"/>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14"/>
        <w:spacing w:line="240" w:lineRule="atLeast"/>
        <w:ind w:left="898" w:leftChars="342" w:hanging="180"/>
        <w:rPr>
          <w:rFonts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14"/>
        <w:spacing w:line="240" w:lineRule="atLeast"/>
        <w:ind w:left="957" w:leftChars="456" w:firstLine="33" w:firstLineChars="14"/>
        <w:rPr>
          <w:rFonts w:hint="eastAsia" w:ascii="仿宋_GB2312" w:hAnsi="宋体" w:eastAsia="仿宋_GB2312"/>
          <w:sz w:val="24"/>
          <w:szCs w:val="24"/>
          <w:lang w:eastAsia="zh-CN"/>
        </w:rPr>
      </w:pPr>
      <w:r>
        <w:rPr>
          <w:rFonts w:hint="eastAsia" w:ascii="仿宋_GB2312" w:hAnsi="宋体" w:eastAsia="仿宋_GB2312"/>
          <w:b/>
          <w:bCs/>
          <w:sz w:val="24"/>
          <w:szCs w:val="24"/>
          <w:lang w:eastAsia="zh-CN"/>
        </w:rPr>
        <w:t>本项目采用综合评分法。对实质性响应的投标文件进行评估和比较采用</w:t>
      </w:r>
      <w:r>
        <w:rPr>
          <w:rFonts w:hint="eastAsia" w:ascii="仿宋_GB2312" w:hAnsi="宋体" w:eastAsia="仿宋_GB2312"/>
          <w:b/>
          <w:bCs/>
          <w:sz w:val="24"/>
          <w:szCs w:val="24"/>
          <w:lang w:val="en-US" w:eastAsia="zh-CN"/>
        </w:rPr>
        <w:t>综</w:t>
      </w:r>
      <w:r>
        <w:rPr>
          <w:rFonts w:hint="eastAsia" w:ascii="仿宋_GB2312" w:hAnsi="宋体" w:eastAsia="仿宋_GB2312"/>
          <w:b/>
          <w:bCs/>
          <w:sz w:val="24"/>
          <w:szCs w:val="24"/>
          <w:lang w:eastAsia="zh-CN"/>
        </w:rPr>
        <w:t>合评分法进行打分评比。</w:t>
      </w:r>
    </w:p>
    <w:p>
      <w:pPr>
        <w:pStyle w:val="14"/>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根据《政府采购促进中小企业发展管理办法》（财库[2020]46号）、《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8" w:name="sendNo"/>
      <w:r>
        <w:rPr>
          <w:rFonts w:hint="eastAsia" w:ascii="仿宋_GB2312" w:hAnsi="宋体" w:eastAsia="仿宋_GB2312"/>
          <w:bCs/>
          <w:sz w:val="24"/>
          <w:szCs w:val="24"/>
        </w:rPr>
        <w:t>财库〔</w:t>
      </w:r>
      <w:bookmarkEnd w:id="158"/>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6"/>
        <w:spacing w:before="0" w:after="0" w:line="240" w:lineRule="atLeast"/>
        <w:rPr>
          <w:rFonts w:ascii="仿宋_GB2312" w:hAnsi="宋体" w:eastAsia="仿宋_GB2312"/>
          <w:u w:val="none"/>
        </w:rPr>
      </w:pPr>
      <w:bookmarkStart w:id="159" w:name="_Toc520356168"/>
      <w:bookmarkStart w:id="160" w:name="_Toc515647785"/>
      <w:bookmarkStart w:id="161" w:name="_Toc9378"/>
      <w:bookmarkStart w:id="162" w:name="_Toc26596"/>
      <w:bookmarkStart w:id="163" w:name="_Toc20227"/>
      <w:r>
        <w:rPr>
          <w:rFonts w:ascii="仿宋_GB2312" w:hAnsi="宋体" w:eastAsia="仿宋_GB2312"/>
          <w:u w:val="none"/>
        </w:rPr>
        <w:t>24</w:t>
      </w:r>
      <w:bookmarkEnd w:id="159"/>
      <w:r>
        <w:rPr>
          <w:rFonts w:hint="eastAsia" w:ascii="仿宋_GB2312" w:hAnsi="宋体" w:eastAsia="仿宋_GB2312"/>
          <w:u w:val="none"/>
        </w:rPr>
        <w:t>.废标</w:t>
      </w:r>
      <w:bookmarkEnd w:id="160"/>
      <w:bookmarkEnd w:id="161"/>
      <w:bookmarkEnd w:id="162"/>
      <w:bookmarkEnd w:id="163"/>
    </w:p>
    <w:p>
      <w:pPr>
        <w:spacing w:line="240" w:lineRule="atLeast"/>
        <w:ind w:left="897" w:leftChars="399" w:hanging="60" w:hangingChars="25"/>
        <w:rPr>
          <w:rFonts w:hint="eastAsia" w:ascii="仿宋_GB2312" w:hAnsi="宋体" w:eastAsia="仿宋_GB2312"/>
          <w:b/>
          <w:bCs/>
          <w:sz w:val="24"/>
        </w:rPr>
      </w:pPr>
      <w:r>
        <w:rPr>
          <w:rFonts w:hint="eastAsia" w:ascii="仿宋_GB2312" w:hAnsi="宋体" w:eastAsia="仿宋_GB2312"/>
          <w:b/>
          <w:bCs/>
          <w:sz w:val="24"/>
        </w:rPr>
        <w:t xml:space="preserve">出现下列情形之一，将导致项目废标： </w:t>
      </w:r>
    </w:p>
    <w:p>
      <w:pPr>
        <w:spacing w:line="240" w:lineRule="atLeast"/>
        <w:ind w:left="900" w:hanging="900" w:hangingChars="375"/>
        <w:rPr>
          <w:rFonts w:hint="eastAsia" w:ascii="仿宋_GB2312" w:hAnsi="宋体" w:eastAsia="仿宋_GB2312"/>
          <w:b/>
          <w:bCs/>
          <w:sz w:val="24"/>
        </w:rPr>
      </w:pPr>
      <w:r>
        <w:rPr>
          <w:rFonts w:hint="eastAsia" w:ascii="仿宋_GB2312" w:hAnsi="宋体" w:eastAsia="仿宋_GB2312"/>
          <w:b/>
          <w:bCs/>
          <w:sz w:val="24"/>
        </w:rPr>
        <w:tab/>
      </w:r>
      <w:r>
        <w:rPr>
          <w:rFonts w:hint="eastAsia" w:ascii="仿宋_GB2312" w:hAnsi="宋体" w:eastAsia="仿宋_GB2312"/>
          <w:b/>
          <w:bCs/>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b/>
          <w:bCs/>
          <w:sz w:val="24"/>
        </w:rPr>
      </w:pPr>
      <w:r>
        <w:rPr>
          <w:rFonts w:hint="eastAsia" w:ascii="仿宋_GB2312" w:hAnsi="宋体" w:eastAsia="仿宋_GB2312"/>
          <w:b/>
          <w:bCs/>
          <w:sz w:val="24"/>
        </w:rPr>
        <w:tab/>
      </w:r>
      <w:r>
        <w:rPr>
          <w:rFonts w:hint="eastAsia" w:ascii="仿宋_GB2312" w:hAnsi="宋体" w:eastAsia="仿宋_GB2312"/>
          <w:b/>
          <w:bCs/>
          <w:sz w:val="24"/>
        </w:rPr>
        <w:t>（2）出现影响采购公正的违法、违规行为的；</w:t>
      </w:r>
    </w:p>
    <w:p>
      <w:pPr>
        <w:spacing w:line="240" w:lineRule="atLeast"/>
        <w:ind w:firstLine="840" w:firstLineChars="350"/>
        <w:rPr>
          <w:rFonts w:hint="eastAsia" w:ascii="仿宋_GB2312" w:hAnsi="宋体" w:eastAsia="仿宋_GB2312"/>
          <w:b/>
          <w:bCs/>
          <w:sz w:val="24"/>
        </w:rPr>
      </w:pPr>
      <w:r>
        <w:rPr>
          <w:rFonts w:hint="eastAsia" w:ascii="仿宋_GB2312" w:hAnsi="宋体" w:eastAsia="仿宋_GB2312"/>
          <w:b/>
          <w:bCs/>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b/>
          <w:bCs/>
          <w:sz w:val="24"/>
        </w:rPr>
        <w:t>（4）因重大变故，采购任务取消的。</w:t>
      </w:r>
      <w:r>
        <w:rPr>
          <w:rFonts w:hint="eastAsia" w:ascii="仿宋_GB2312" w:hAnsi="宋体" w:eastAsia="仿宋_GB2312"/>
          <w:sz w:val="24"/>
        </w:rPr>
        <w:t xml:space="preserve">   </w:t>
      </w:r>
    </w:p>
    <w:p>
      <w:pPr>
        <w:pStyle w:val="6"/>
        <w:spacing w:before="0" w:after="0" w:line="240" w:lineRule="atLeast"/>
        <w:rPr>
          <w:rFonts w:ascii="仿宋_GB2312" w:hAnsi="宋体" w:eastAsia="仿宋_GB2312"/>
          <w:u w:val="none"/>
        </w:rPr>
      </w:pPr>
      <w:bookmarkStart w:id="164" w:name="_Toc515647786"/>
      <w:bookmarkStart w:id="165" w:name="_Toc1614"/>
      <w:bookmarkStart w:id="166" w:name="_Toc31289"/>
      <w:bookmarkStart w:id="167" w:name="_Toc24972"/>
      <w:bookmarkStart w:id="168" w:name="_Toc520356169"/>
      <w:r>
        <w:rPr>
          <w:rFonts w:ascii="仿宋_GB2312" w:hAnsi="宋体" w:eastAsia="仿宋_GB2312"/>
          <w:u w:val="none"/>
        </w:rPr>
        <w:t>25</w:t>
      </w:r>
      <w:r>
        <w:rPr>
          <w:rFonts w:hint="eastAsia" w:ascii="仿宋_GB2312" w:hAnsi="宋体" w:eastAsia="仿宋_GB2312"/>
          <w:u w:val="none"/>
        </w:rPr>
        <w:t>.保密原则</w:t>
      </w:r>
      <w:bookmarkEnd w:id="164"/>
      <w:bookmarkEnd w:id="165"/>
      <w:bookmarkEnd w:id="166"/>
      <w:bookmarkEnd w:id="167"/>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69" w:name="_Toc12143"/>
      <w:bookmarkStart w:id="170" w:name="_Toc23904"/>
      <w:bookmarkStart w:id="171" w:name="_Toc515647787"/>
      <w:bookmarkStart w:id="172" w:name="_Toc29518"/>
      <w:bookmarkStart w:id="173" w:name="_Toc216582810"/>
      <w:r>
        <w:rPr>
          <w:rFonts w:hint="eastAsia" w:ascii="仿宋_GB2312" w:hAnsi="宋体" w:eastAsia="仿宋_GB2312"/>
          <w:sz w:val="24"/>
        </w:rPr>
        <w:t xml:space="preserve">六   </w:t>
      </w:r>
      <w:bookmarkEnd w:id="168"/>
      <w:r>
        <w:rPr>
          <w:rFonts w:hint="eastAsia" w:ascii="仿宋_GB2312" w:hAnsi="宋体" w:eastAsia="仿宋_GB2312"/>
          <w:sz w:val="24"/>
        </w:rPr>
        <w:t>确定中标</w:t>
      </w:r>
      <w:bookmarkEnd w:id="169"/>
      <w:bookmarkEnd w:id="170"/>
      <w:bookmarkEnd w:id="171"/>
      <w:bookmarkEnd w:id="172"/>
      <w:bookmarkEnd w:id="173"/>
    </w:p>
    <w:p>
      <w:pPr>
        <w:pStyle w:val="5"/>
        <w:rPr>
          <w:rFonts w:hint="eastAsia"/>
        </w:rPr>
      </w:pPr>
    </w:p>
    <w:p>
      <w:pPr>
        <w:pStyle w:val="6"/>
        <w:spacing w:before="0" w:after="0" w:line="240" w:lineRule="atLeast"/>
        <w:rPr>
          <w:rFonts w:ascii="仿宋_GB2312" w:hAnsi="宋体" w:eastAsia="仿宋_GB2312"/>
          <w:u w:val="none"/>
        </w:rPr>
      </w:pPr>
      <w:bookmarkStart w:id="174" w:name="_Toc23617"/>
      <w:bookmarkStart w:id="175" w:name="_Toc515647788"/>
      <w:bookmarkStart w:id="176" w:name="_Toc14660"/>
      <w:bookmarkStart w:id="177" w:name="_Toc23762"/>
      <w:bookmarkStart w:id="178" w:name="_Ref467307010"/>
      <w:bookmarkStart w:id="179" w:name="_Toc520356170"/>
      <w:r>
        <w:rPr>
          <w:rFonts w:ascii="仿宋_GB2312" w:hAnsi="宋体" w:eastAsia="仿宋_GB2312"/>
          <w:u w:val="none"/>
        </w:rPr>
        <w:t>26</w:t>
      </w:r>
      <w:r>
        <w:rPr>
          <w:rFonts w:hint="eastAsia" w:ascii="仿宋_GB2312" w:hAnsi="宋体" w:eastAsia="仿宋_GB2312"/>
          <w:u w:val="none"/>
        </w:rPr>
        <w:t>.中标候选人的确定原则及标准</w:t>
      </w:r>
      <w:bookmarkEnd w:id="174"/>
      <w:bookmarkEnd w:id="175"/>
      <w:bookmarkEnd w:id="176"/>
      <w:bookmarkEnd w:id="177"/>
      <w:bookmarkEnd w:id="178"/>
      <w:bookmarkEnd w:id="17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0" w:name="_Toc520356171"/>
      <w:bookmarkStart w:id="181"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hint="eastAsia"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14"/>
        <w:spacing w:line="240" w:lineRule="atLeast"/>
        <w:ind w:left="957" w:leftChars="456" w:firstLine="33" w:firstLineChars="14"/>
        <w:rPr>
          <w:rFonts w:hint="default" w:ascii="仿宋_GB2312" w:hAnsi="宋体" w:eastAsia="仿宋_GB2312"/>
          <w:sz w:val="24"/>
          <w:szCs w:val="24"/>
          <w:lang w:val="en-US" w:eastAsia="zh-CN"/>
        </w:rPr>
      </w:pPr>
      <w:r>
        <w:rPr>
          <w:rFonts w:hint="eastAsia" w:ascii="仿宋_GB2312" w:hAnsi="宋体" w:eastAsia="仿宋_GB2312"/>
          <w:b/>
          <w:bCs/>
          <w:sz w:val="24"/>
          <w:szCs w:val="24"/>
          <w:lang w:eastAsia="zh-CN"/>
        </w:rPr>
        <w:t>本项目采用综合评分法，对实质性响应的投标文件进行评估和比较采用合评分法进行打分评比，打分方法：总分为</w:t>
      </w:r>
      <w:r>
        <w:rPr>
          <w:rFonts w:hint="eastAsia" w:ascii="仿宋_GB2312" w:hAnsi="宋体" w:eastAsia="仿宋_GB2312"/>
          <w:b/>
          <w:bCs/>
          <w:sz w:val="24"/>
          <w:szCs w:val="24"/>
          <w:lang w:val="en-US" w:eastAsia="zh-CN"/>
        </w:rPr>
        <w:t>100分，其中价格因素分占30分，商务因素、技术因素占70分。将每位供应商的价格得分、技术得分、商务得分相加即为该投标商的总得分。</w:t>
      </w:r>
    </w:p>
    <w:p>
      <w:pPr>
        <w:spacing w:line="240" w:lineRule="atLeast"/>
        <w:ind w:left="901"/>
        <w:rPr>
          <w:rFonts w:hint="eastAsia" w:ascii="黑体" w:hAnsi="宋体" w:eastAsia="仿宋_GB2312"/>
          <w:b/>
          <w:bCs/>
          <w:sz w:val="24"/>
          <w:lang w:eastAsia="zh-CN"/>
        </w:rPr>
      </w:pPr>
    </w:p>
    <w:p>
      <w:pPr>
        <w:pStyle w:val="6"/>
        <w:tabs>
          <w:tab w:val="left" w:pos="900"/>
        </w:tabs>
        <w:spacing w:before="0" w:after="0" w:line="240" w:lineRule="atLeast"/>
        <w:rPr>
          <w:rFonts w:ascii="仿宋_GB2312" w:hAnsi="宋体" w:eastAsia="仿宋_GB2312"/>
          <w:u w:val="none"/>
        </w:rPr>
      </w:pPr>
      <w:bookmarkStart w:id="182" w:name="_Toc9653"/>
      <w:bookmarkStart w:id="183" w:name="_Toc23951"/>
      <w:bookmarkStart w:id="184" w:name="_Toc20334"/>
      <w:r>
        <w:rPr>
          <w:rFonts w:ascii="仿宋_GB2312" w:hAnsi="宋体" w:eastAsia="仿宋_GB2312"/>
          <w:u w:val="none"/>
        </w:rPr>
        <w:t>27</w:t>
      </w:r>
      <w:bookmarkEnd w:id="180"/>
      <w:r>
        <w:rPr>
          <w:rFonts w:hint="eastAsia" w:ascii="仿宋_GB2312" w:hAnsi="宋体" w:eastAsia="仿宋_GB2312"/>
          <w:u w:val="none"/>
        </w:rPr>
        <w:t>.确定中标候选人和中标人</w:t>
      </w:r>
      <w:bookmarkEnd w:id="181"/>
      <w:bookmarkEnd w:id="182"/>
      <w:bookmarkEnd w:id="183"/>
      <w:bookmarkEnd w:id="18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6"/>
        <w:tabs>
          <w:tab w:val="left" w:pos="900"/>
        </w:tabs>
        <w:spacing w:before="0" w:after="0" w:line="240" w:lineRule="atLeast"/>
        <w:rPr>
          <w:rFonts w:ascii="仿宋_GB2312" w:hAnsi="宋体" w:eastAsia="仿宋_GB2312"/>
          <w:u w:val="none"/>
        </w:rPr>
      </w:pPr>
      <w:bookmarkStart w:id="185" w:name="_Toc520356173"/>
      <w:bookmarkStart w:id="186" w:name="_Ref467306874"/>
      <w:bookmarkStart w:id="187" w:name="_Toc26622"/>
      <w:bookmarkStart w:id="188" w:name="_Toc8389"/>
      <w:bookmarkStart w:id="189" w:name="_Toc28562"/>
      <w:bookmarkStart w:id="190" w:name="_Toc515647790"/>
      <w:r>
        <w:rPr>
          <w:rFonts w:ascii="仿宋_GB2312" w:hAnsi="宋体" w:eastAsia="仿宋_GB2312"/>
          <w:u w:val="none"/>
        </w:rPr>
        <w:t>28</w:t>
      </w:r>
      <w:r>
        <w:rPr>
          <w:rFonts w:hint="eastAsia" w:ascii="仿宋_GB2312" w:hAnsi="宋体" w:eastAsia="仿宋_GB2312"/>
          <w:u w:val="none"/>
        </w:rPr>
        <w:t>.</w:t>
      </w:r>
      <w:bookmarkEnd w:id="185"/>
      <w:bookmarkEnd w:id="186"/>
      <w:r>
        <w:rPr>
          <w:rFonts w:hint="eastAsia" w:ascii="仿宋_GB2312" w:hAnsi="宋体" w:eastAsia="仿宋_GB2312"/>
          <w:u w:val="none"/>
        </w:rPr>
        <w:t>采购任务取消</w:t>
      </w:r>
      <w:bookmarkEnd w:id="187"/>
      <w:bookmarkEnd w:id="188"/>
      <w:bookmarkEnd w:id="189"/>
      <w:bookmarkEnd w:id="19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1" w:name="_Toc520356174"/>
    </w:p>
    <w:p>
      <w:pPr>
        <w:pStyle w:val="6"/>
        <w:spacing w:before="0" w:after="0" w:line="240" w:lineRule="atLeast"/>
        <w:rPr>
          <w:rFonts w:ascii="仿宋_GB2312" w:hAnsi="宋体" w:eastAsia="仿宋_GB2312"/>
          <w:u w:val="none"/>
        </w:rPr>
      </w:pPr>
      <w:bookmarkStart w:id="192" w:name="_Toc515647791"/>
      <w:bookmarkStart w:id="193" w:name="_Toc5010"/>
      <w:bookmarkStart w:id="194" w:name="_Toc30170"/>
      <w:bookmarkStart w:id="195" w:name="_Toc31099"/>
      <w:r>
        <w:rPr>
          <w:rFonts w:ascii="仿宋_GB2312" w:hAnsi="宋体" w:eastAsia="仿宋_GB2312"/>
          <w:u w:val="none"/>
        </w:rPr>
        <w:t>29</w:t>
      </w:r>
      <w:r>
        <w:rPr>
          <w:rFonts w:hint="eastAsia" w:ascii="仿宋_GB2312" w:hAnsi="宋体" w:eastAsia="仿宋_GB2312"/>
          <w:u w:val="none"/>
        </w:rPr>
        <w:t>.中标通知书</w:t>
      </w:r>
      <w:bookmarkEnd w:id="191"/>
      <w:r>
        <w:rPr>
          <w:rFonts w:hint="eastAsia" w:ascii="仿宋_GB2312" w:hAnsi="宋体" w:eastAsia="仿宋_GB2312"/>
          <w:u w:val="none"/>
        </w:rPr>
        <w:t>和招标结果通知书</w:t>
      </w:r>
      <w:bookmarkEnd w:id="192"/>
      <w:bookmarkEnd w:id="193"/>
      <w:bookmarkEnd w:id="194"/>
      <w:bookmarkEnd w:id="195"/>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6"/>
        <w:spacing w:before="0" w:after="0" w:line="240" w:lineRule="atLeast"/>
        <w:rPr>
          <w:rFonts w:hint="eastAsia" w:ascii="仿宋_GB2312" w:hAnsi="宋体" w:eastAsia="仿宋_GB2312"/>
          <w:u w:val="none"/>
        </w:rPr>
      </w:pPr>
      <w:bookmarkStart w:id="196" w:name="_Ref467307204"/>
      <w:bookmarkStart w:id="197" w:name="_Toc790"/>
      <w:bookmarkStart w:id="198" w:name="_Ref467307062"/>
      <w:bookmarkStart w:id="199" w:name="_Toc520356175"/>
      <w:bookmarkStart w:id="200" w:name="_Toc7779"/>
      <w:bookmarkStart w:id="201" w:name="_Ref467306978"/>
      <w:bookmarkStart w:id="202" w:name="_Toc515647792"/>
      <w:bookmarkStart w:id="203" w:name="_Ref467306377"/>
      <w:bookmarkStart w:id="204" w:name="_Toc23995"/>
      <w:r>
        <w:rPr>
          <w:rFonts w:ascii="仿宋_GB2312" w:hAnsi="宋体" w:eastAsia="仿宋_GB2312"/>
          <w:u w:val="none"/>
        </w:rPr>
        <w:t>30</w:t>
      </w:r>
      <w:r>
        <w:rPr>
          <w:rFonts w:hint="eastAsia" w:ascii="仿宋_GB2312" w:hAnsi="宋体" w:eastAsia="仿宋_GB2312"/>
          <w:u w:val="none"/>
        </w:rPr>
        <w:t>.签订合同</w:t>
      </w:r>
      <w:bookmarkEnd w:id="196"/>
      <w:bookmarkEnd w:id="197"/>
      <w:bookmarkEnd w:id="198"/>
      <w:bookmarkEnd w:id="199"/>
      <w:bookmarkEnd w:id="200"/>
      <w:bookmarkEnd w:id="201"/>
      <w:bookmarkEnd w:id="202"/>
      <w:bookmarkEnd w:id="203"/>
      <w:bookmarkEnd w:id="204"/>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5" w:name="_Ref467307090"/>
      <w:bookmarkStart w:id="206" w:name="_Toc520356176"/>
      <w:bookmarkStart w:id="207" w:name="_Ref467306425"/>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6"/>
        <w:spacing w:before="0" w:after="0" w:line="240" w:lineRule="atLeast"/>
        <w:rPr>
          <w:rFonts w:hint="eastAsia" w:ascii="仿宋_GB2312" w:hAnsi="宋体" w:eastAsia="仿宋_GB2312"/>
          <w:u w:val="none"/>
        </w:rPr>
      </w:pPr>
      <w:bookmarkStart w:id="208" w:name="_Toc515647793"/>
      <w:bookmarkStart w:id="209" w:name="_Toc21118"/>
      <w:bookmarkStart w:id="210" w:name="_Toc14080"/>
      <w:bookmarkStart w:id="211" w:name="_Toc22555"/>
      <w:r>
        <w:rPr>
          <w:rFonts w:ascii="仿宋_GB2312" w:hAnsi="宋体" w:eastAsia="仿宋_GB2312"/>
          <w:u w:val="none"/>
        </w:rPr>
        <w:t>31</w:t>
      </w:r>
      <w:r>
        <w:rPr>
          <w:rFonts w:hint="eastAsia" w:ascii="仿宋_GB2312" w:hAnsi="宋体" w:eastAsia="仿宋_GB2312"/>
          <w:u w:val="none"/>
        </w:rPr>
        <w:t>.履约保证金</w:t>
      </w:r>
      <w:bookmarkEnd w:id="205"/>
      <w:bookmarkEnd w:id="206"/>
      <w:bookmarkEnd w:id="207"/>
      <w:bookmarkEnd w:id="208"/>
      <w:bookmarkEnd w:id="209"/>
      <w:bookmarkEnd w:id="210"/>
      <w:bookmarkEnd w:id="211"/>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6"/>
        <w:spacing w:before="0" w:after="0" w:line="240" w:lineRule="atLeast"/>
        <w:rPr>
          <w:rFonts w:hint="eastAsia" w:ascii="仿宋_GB2312" w:hAnsi="宋体" w:eastAsia="仿宋_GB2312"/>
          <w:u w:val="none"/>
        </w:rPr>
      </w:pPr>
      <w:bookmarkStart w:id="212" w:name="_Toc3090"/>
      <w:bookmarkStart w:id="213" w:name="_Toc3241"/>
      <w:bookmarkStart w:id="214" w:name="_Toc515647794"/>
      <w:bookmarkStart w:id="215" w:name="_Toc2940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2"/>
      <w:bookmarkEnd w:id="213"/>
      <w:bookmarkEnd w:id="214"/>
      <w:bookmarkEnd w:id="215"/>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6"/>
        <w:spacing w:before="0" w:after="0" w:line="240" w:lineRule="atLeast"/>
        <w:rPr>
          <w:rFonts w:hint="eastAsia" w:ascii="仿宋_GB2312" w:hAnsi="宋体" w:eastAsia="仿宋_GB2312"/>
          <w:u w:val="none"/>
        </w:rPr>
      </w:pPr>
      <w:bookmarkStart w:id="216" w:name="_Toc515647795"/>
      <w:bookmarkStart w:id="217" w:name="_Toc6923"/>
      <w:bookmarkStart w:id="218" w:name="_Toc7049"/>
      <w:bookmarkStart w:id="219" w:name="_Toc7742"/>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6"/>
      <w:bookmarkEnd w:id="217"/>
      <w:bookmarkEnd w:id="218"/>
      <w:bookmarkEnd w:id="21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220" w:name="_Toc19696"/>
      <w:bookmarkStart w:id="221" w:name="_Toc23999"/>
      <w:bookmarkStart w:id="222" w:name="_Toc515647796"/>
      <w:bookmarkStart w:id="223" w:name="_Toc2133"/>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0"/>
      <w:bookmarkEnd w:id="221"/>
      <w:bookmarkEnd w:id="222"/>
      <w:bookmarkEnd w:id="2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6"/>
        <w:spacing w:before="0" w:after="0" w:line="240" w:lineRule="atLeast"/>
        <w:rPr>
          <w:rFonts w:ascii="仿宋_GB2312" w:hAnsi="宋体" w:eastAsia="仿宋_GB2312"/>
          <w:u w:val="none"/>
        </w:rPr>
      </w:pPr>
      <w:bookmarkStart w:id="224" w:name="_Toc11586"/>
      <w:bookmarkStart w:id="225" w:name="_Toc25480"/>
      <w:bookmarkStart w:id="226" w:name="_Toc27512"/>
      <w:bookmarkStart w:id="227" w:name="_Toc515647797"/>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4"/>
      <w:bookmarkEnd w:id="225"/>
      <w:bookmarkEnd w:id="226"/>
      <w:bookmarkEnd w:id="227"/>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6"/>
        <w:spacing w:before="0" w:after="0" w:line="240" w:lineRule="atLeast"/>
        <w:rPr>
          <w:rFonts w:ascii="仿宋_GB2312" w:hAnsi="宋体" w:eastAsia="仿宋_GB2312"/>
          <w:u w:val="none"/>
        </w:rPr>
      </w:pPr>
      <w:bookmarkStart w:id="228" w:name="_Toc1148"/>
      <w:bookmarkStart w:id="229" w:name="_Toc11115"/>
      <w:bookmarkStart w:id="230" w:name="_Toc20788"/>
      <w:bookmarkStart w:id="231" w:name="_Toc515647798"/>
      <w:r>
        <w:rPr>
          <w:rFonts w:hint="eastAsia" w:ascii="仿宋_GB2312" w:hAnsi="宋体" w:eastAsia="仿宋_GB2312"/>
          <w:u w:val="none"/>
        </w:rPr>
        <w:t>36.质疑与接收</w:t>
      </w:r>
      <w:bookmarkEnd w:id="228"/>
      <w:bookmarkEnd w:id="229"/>
      <w:bookmarkEnd w:id="230"/>
      <w:bookmarkEnd w:id="231"/>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pStyle w:val="4"/>
        <w:spacing w:before="0" w:line="240" w:lineRule="atLeast"/>
        <w:ind w:left="1079" w:leftChars="257" w:hanging="540"/>
        <w:rPr>
          <w:rFonts w:hint="eastAsia" w:ascii="仿宋_GB2312" w:eastAsia="仿宋_GB2312"/>
          <w:szCs w:val="24"/>
        </w:rPr>
      </w:pPr>
      <w:r>
        <w:rPr>
          <w:rFonts w:ascii="仿宋_GB2312" w:hAnsi="宋体" w:eastAsia="仿宋_GB2312"/>
        </w:rPr>
        <w:br w:type="page"/>
      </w:r>
      <w:bookmarkStart w:id="232" w:name="_Toc22644"/>
      <w:bookmarkStart w:id="233" w:name="_Toc21748"/>
      <w:bookmarkStart w:id="234" w:name="_Toc16186"/>
      <w:bookmarkStart w:id="235" w:name="_Toc515647799"/>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2"/>
      <w:bookmarkEnd w:id="233"/>
      <w:bookmarkEnd w:id="234"/>
      <w:bookmarkEnd w:id="235"/>
    </w:p>
    <w:p>
      <w:pPr>
        <w:pStyle w:val="14"/>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14"/>
        <w:spacing w:line="240" w:lineRule="atLeast"/>
        <w:ind w:left="1079" w:leftChars="257" w:hanging="540"/>
        <w:rPr>
          <w:rFonts w:hint="eastAsia" w:ascii="仿宋_GB2312" w:hAnsi="宋体" w:eastAsia="仿宋_GB2312"/>
          <w:b/>
          <w:sz w:val="24"/>
        </w:rPr>
      </w:pPr>
    </w:p>
    <w:p>
      <w:pPr>
        <w:pStyle w:val="14"/>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14"/>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14"/>
        <w:spacing w:line="240" w:lineRule="atLeast"/>
        <w:ind w:left="1079" w:leftChars="257" w:hanging="540"/>
        <w:jc w:val="center"/>
        <w:rPr>
          <w:rFonts w:hint="eastAsia" w:ascii="仿宋_GB2312" w:hAnsi="宋体" w:eastAsia="仿宋_GB2312"/>
          <w:sz w:val="24"/>
        </w:rPr>
      </w:pPr>
    </w:p>
    <w:p>
      <w:pPr>
        <w:pStyle w:val="14"/>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14"/>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14"/>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4"/>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14"/>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14"/>
        <w:spacing w:line="240" w:lineRule="atLeast"/>
        <w:ind w:left="1079" w:leftChars="257" w:hanging="540"/>
        <w:rPr>
          <w:rFonts w:hint="eastAsia" w:ascii="仿宋_GB2312" w:hAnsi="宋体" w:eastAsia="仿宋_GB2312"/>
          <w:sz w:val="24"/>
        </w:rPr>
      </w:pPr>
    </w:p>
    <w:p>
      <w:pPr>
        <w:pStyle w:val="14"/>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14"/>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14"/>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14"/>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14"/>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6" w:name="_Toc10951"/>
      <w:bookmarkStart w:id="237" w:name="_Toc6548"/>
      <w:bookmarkStart w:id="238" w:name="_Toc25612"/>
      <w:bookmarkStart w:id="239" w:name="_Toc515647800"/>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6"/>
      <w:bookmarkEnd w:id="237"/>
      <w:bookmarkEnd w:id="238"/>
      <w:bookmarkEnd w:id="239"/>
    </w:p>
    <w:p>
      <w:pPr>
        <w:pStyle w:val="4"/>
        <w:spacing w:before="0" w:line="240" w:lineRule="atLeast"/>
        <w:ind w:left="1079" w:leftChars="257" w:hanging="540"/>
        <w:rPr>
          <w:rFonts w:hint="eastAsia" w:ascii="仿宋_GB2312" w:eastAsia="仿宋_GB2312"/>
          <w:b w:val="0"/>
        </w:rPr>
      </w:pPr>
      <w:bookmarkStart w:id="240" w:name="_Toc15661"/>
      <w:bookmarkStart w:id="241" w:name="_Toc515647801"/>
      <w:bookmarkStart w:id="242" w:name="_Toc13962"/>
      <w:bookmarkStart w:id="243" w:name="_Toc162"/>
      <w:r>
        <w:rPr>
          <w:rFonts w:hint="eastAsia" w:ascii="仿宋_GB2312" w:eastAsia="仿宋_GB2312"/>
          <w:szCs w:val="24"/>
        </w:rPr>
        <w:t>（采用政府采购信用担保形式时</w:t>
      </w:r>
      <w:r>
        <w:rPr>
          <w:rFonts w:ascii="仿宋_GB2312" w:eastAsia="仿宋_GB2312"/>
          <w:szCs w:val="24"/>
        </w:rPr>
        <w:t>使用）</w:t>
      </w:r>
      <w:bookmarkEnd w:id="240"/>
      <w:bookmarkEnd w:id="241"/>
      <w:bookmarkEnd w:id="242"/>
      <w:bookmarkEnd w:id="243"/>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b/>
          <w:bCs/>
          <w:sz w:val="24"/>
        </w:rPr>
      </w:pPr>
      <w:r>
        <w:rPr>
          <w:rFonts w:hint="eastAsia" w:ascii="仿宋" w:hAnsi="仿宋" w:eastAsia="仿宋"/>
          <w:b/>
          <w:bCs/>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b/>
          <w:bCs/>
          <w:sz w:val="24"/>
        </w:rPr>
      </w:pPr>
      <w:r>
        <w:rPr>
          <w:rFonts w:hint="eastAsia" w:ascii="仿宋" w:hAnsi="仿宋" w:eastAsia="仿宋"/>
          <w:b/>
          <w:bCs/>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b/>
          <w:bCs/>
          <w:sz w:val="24"/>
        </w:rPr>
      </w:pPr>
      <w:r>
        <w:rPr>
          <w:rFonts w:hint="eastAsia" w:ascii="仿宋" w:hAnsi="仿宋" w:eastAsia="仿宋"/>
          <w:b/>
          <w:bCs/>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b/>
          <w:bCs/>
          <w:sz w:val="24"/>
        </w:rPr>
      </w:pPr>
      <w:r>
        <w:rPr>
          <w:rFonts w:hint="eastAsia" w:ascii="仿宋" w:hAnsi="仿宋" w:eastAsia="仿宋"/>
          <w:b/>
          <w:bCs/>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b/>
          <w:bCs/>
          <w:sz w:val="24"/>
        </w:rPr>
      </w:pPr>
      <w:r>
        <w:rPr>
          <w:rFonts w:hint="eastAsia" w:ascii="仿宋" w:hAnsi="仿宋" w:eastAsia="仿宋"/>
          <w:b/>
          <w:bCs/>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b/>
          <w:bCs/>
          <w:sz w:val="24"/>
        </w:rPr>
      </w:pPr>
      <w:r>
        <w:rPr>
          <w:rFonts w:hint="eastAsia" w:ascii="仿宋" w:hAnsi="仿宋" w:eastAsia="仿宋"/>
          <w:b/>
          <w:bCs/>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b/>
          <w:bCs/>
          <w:sz w:val="24"/>
        </w:rPr>
      </w:pPr>
      <w:r>
        <w:rPr>
          <w:rFonts w:hint="eastAsia" w:ascii="仿宋" w:hAnsi="仿宋" w:eastAsia="仿宋"/>
          <w:b/>
          <w:bCs/>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5"/>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2"/>
        </w:numPr>
        <w:spacing w:before="0" w:after="0" w:line="240" w:lineRule="atLeast"/>
        <w:jc w:val="both"/>
        <w:rPr>
          <w:rFonts w:hint="eastAsia" w:ascii="仿宋_GB2312" w:eastAsia="仿宋_GB2312"/>
        </w:rPr>
      </w:pPr>
      <w:bookmarkStart w:id="244" w:name="_Toc515647802"/>
      <w:bookmarkStart w:id="245" w:name="_Toc702"/>
      <w:bookmarkStart w:id="246" w:name="_Toc728"/>
      <w:bookmarkStart w:id="247" w:name="_Toc216582812"/>
      <w:r>
        <w:rPr>
          <w:rFonts w:hint="eastAsia" w:ascii="仿宋_GB2312" w:eastAsia="仿宋_GB2312"/>
          <w:lang w:val="en-US" w:eastAsia="zh-CN"/>
        </w:rPr>
        <w:t xml:space="preserve"> </w:t>
      </w:r>
      <w:bookmarkStart w:id="248" w:name="_Toc24124"/>
      <w:r>
        <w:rPr>
          <w:rFonts w:hint="eastAsia" w:ascii="仿宋_GB2312" w:eastAsia="仿宋_GB2312"/>
        </w:rPr>
        <w:t>投标文件格式</w:t>
      </w:r>
      <w:bookmarkEnd w:id="244"/>
      <w:bookmarkEnd w:id="245"/>
      <w:bookmarkEnd w:id="246"/>
      <w:bookmarkEnd w:id="247"/>
      <w:bookmarkEnd w:id="248"/>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8"/>
          <w:szCs w:val="21"/>
        </w:rPr>
      </w:pPr>
      <w:bookmarkStart w:id="249" w:name="_Toc18974"/>
      <w:bookmarkStart w:id="250" w:name="_Toc515647803"/>
      <w:bookmarkStart w:id="251" w:name="_Toc21804"/>
      <w:bookmarkStart w:id="252" w:name="_Toc18694"/>
      <w:r>
        <w:rPr>
          <w:rFonts w:ascii="仿宋_GB2312" w:hAnsi="宋体" w:eastAsia="仿宋_GB2312"/>
          <w:sz w:val="28"/>
          <w:szCs w:val="21"/>
        </w:rPr>
        <w:t>第一部分</w:t>
      </w:r>
      <w:r>
        <w:rPr>
          <w:rFonts w:hint="eastAsia" w:ascii="仿宋_GB2312" w:hAnsi="宋体" w:eastAsia="仿宋_GB2312"/>
          <w:sz w:val="28"/>
          <w:szCs w:val="21"/>
        </w:rPr>
        <w:t xml:space="preserve"> 开标一览表及资格证明文件</w:t>
      </w:r>
      <w:bookmarkEnd w:id="249"/>
      <w:bookmarkEnd w:id="250"/>
      <w:bookmarkEnd w:id="251"/>
      <w:bookmarkEnd w:id="252"/>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1.具有有效的营业执照；</w:t>
      </w:r>
    </w:p>
    <w:p>
      <w:pPr>
        <w:numPr>
          <w:ilvl w:val="0"/>
          <w:numId w:val="0"/>
        </w:numPr>
        <w:spacing w:line="240" w:lineRule="atLeast"/>
        <w:ind w:leftChars="400"/>
        <w:rPr>
          <w:rFonts w:hint="eastAsia"/>
          <w:lang w:val="en-US" w:eastAsia="zh-CN"/>
        </w:rPr>
      </w:pPr>
      <w:r>
        <w:rPr>
          <w:rFonts w:hint="eastAsia" w:ascii="仿宋_GB2312" w:hAnsi="宋体" w:eastAsia="仿宋_GB2312" w:cs="Times New Roman"/>
          <w:b/>
          <w:color w:val="auto"/>
          <w:kern w:val="0"/>
          <w:sz w:val="24"/>
          <w:szCs w:val="20"/>
          <w:u w:val="none"/>
          <w:lang w:val="en-US" w:eastAsia="zh-CN" w:bidi="ar-SA"/>
        </w:rPr>
        <w:t>2.具备市政公用工程施工总承包叁级(含)以上资质；</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3.法人本人投标的需提供法人身份证复印件；被授权委托人需提供法人授权委托书、法人身份证复印件及被授权委托人身份证复印件；</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4.提供社保部门出具授权委托人近3个月（9、10、11）缴纳社保证明（社保缴费凭证和个人明细表）；</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5.良好的商业信誉和健全的财务会计制度证明材料（会计事务所出具的2020年度财务审计报告书复印件或影印件；新办企业提供银行资信证明）；</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6.提供具有依法缴纳近3个月（9、10、11）的税收良好记录证明；税务部门出具的完税凭证或缴税证明或银行出具的“银行电子缴税付款凭证”（新公司或其他组织和自然人提供近三个月内银行出具的资信证明）；</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7.投标人须提供《反商业贿赂承诺书》、《三年内无重大违法违规记录承诺书》；</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8.符合《中华人民共和国政府采购法》第二十二条的规定，且必须为未被列入“信用中国”网站（www.creditchina.gov.cn）、中国政府采购网（www.ccgp.gov.cn）渠道信用记录失信执行人、重大税收违法案件当事人名单、政府采购严重违法失信行为记录名单的投标人，裁判文书网（wenshu.couet.gov.cn）查询在合同纠纷裁决中不得参加本项目招标，国家企业公示信息系统（www.gst.gov.cn）查询诚信记录如有重大处罚信息不得参加本项目（提供查询结果网页截图并加盖供应商公章）；</w:t>
      </w:r>
    </w:p>
    <w:p>
      <w:pPr>
        <w:spacing w:line="240" w:lineRule="atLeast"/>
        <w:ind w:left="840" w:leftChars="400" w:firstLine="0" w:firstLineChars="0"/>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9.投标保证金收据复印件及打款凭证；</w:t>
      </w:r>
    </w:p>
    <w:p>
      <w:pPr>
        <w:pStyle w:val="2"/>
        <w:rPr>
          <w:rFonts w:hint="eastAsia" w:ascii="仿宋_GB2312" w:hAnsi="宋体" w:eastAsia="仿宋_GB2312" w:cs="Times New Roman"/>
          <w:b/>
          <w:color w:val="auto"/>
          <w:kern w:val="0"/>
          <w:sz w:val="24"/>
          <w:szCs w:val="20"/>
          <w:u w:val="none"/>
          <w:lang w:val="en-US" w:eastAsia="zh-CN" w:bidi="ar-SA"/>
        </w:rPr>
      </w:pPr>
      <w:r>
        <w:rPr>
          <w:rFonts w:hint="eastAsia" w:ascii="仿宋_GB2312" w:hAnsi="宋体" w:eastAsia="仿宋_GB2312" w:cs="Times New Roman"/>
          <w:b/>
          <w:color w:val="auto"/>
          <w:kern w:val="0"/>
          <w:sz w:val="24"/>
          <w:szCs w:val="20"/>
          <w:u w:val="none"/>
          <w:lang w:val="en-US" w:eastAsia="zh-CN" w:bidi="ar-SA"/>
        </w:rPr>
        <w:t xml:space="preserve">   10.投标人可提供有利于投标的其他资格证明材料。</w:t>
      </w:r>
    </w:p>
    <w:p>
      <w:pPr>
        <w:pStyle w:val="2"/>
        <w:rPr>
          <w:rFonts w:hint="default"/>
          <w:lang w:val="en-US" w:eastAsia="zh-CN"/>
        </w:rPr>
      </w:pPr>
    </w:p>
    <w:p>
      <w:pPr>
        <w:pStyle w:val="2"/>
        <w:rPr>
          <w:rFonts w:hint="default"/>
          <w:lang w:val="en-US" w:eastAsia="zh-CN"/>
        </w:rPr>
      </w:pPr>
      <w:r>
        <w:rPr>
          <w:rFonts w:hint="eastAsia" w:ascii="仿宋_GB2312" w:hAnsi="宋体" w:eastAsia="仿宋_GB2312" w:cs="Times New Roman"/>
          <w:b/>
          <w:color w:val="auto"/>
          <w:kern w:val="0"/>
          <w:sz w:val="24"/>
          <w:szCs w:val="20"/>
          <w:u w:val="none"/>
          <w:lang w:val="en-US" w:eastAsia="zh-CN" w:bidi="ar-SA"/>
        </w:rPr>
        <w:t xml:space="preserve">    </w:t>
      </w:r>
    </w:p>
    <w:p>
      <w:pPr>
        <w:spacing w:line="240" w:lineRule="atLeast"/>
        <w:ind w:left="898" w:leftChars="428" w:firstLine="0" w:firstLineChars="0"/>
        <w:rPr>
          <w:rFonts w:hint="eastAsia" w:ascii="仿宋_GB2312" w:hAnsi="宋体" w:eastAsia="仿宋_GB2312" w:cs="Times New Roman"/>
          <w:b/>
          <w:color w:val="auto"/>
          <w:kern w:val="0"/>
          <w:sz w:val="24"/>
          <w:szCs w:val="20"/>
          <w:u w:val="none"/>
          <w:lang w:val="en-US" w:eastAsia="zh-CN" w:bidi="ar-SA"/>
        </w:rPr>
      </w:pPr>
    </w:p>
    <w:p>
      <w:pPr>
        <w:spacing w:line="240" w:lineRule="atLeast"/>
        <w:ind w:left="898" w:leftChars="428" w:firstLine="0" w:firstLineChars="0"/>
        <w:rPr>
          <w:rFonts w:hint="eastAsia" w:ascii="仿宋_GB2312" w:hAnsi="宋体" w:eastAsia="仿宋_GB2312" w:cs="Times New Roman"/>
          <w:b/>
          <w:color w:val="auto"/>
          <w:kern w:val="0"/>
          <w:sz w:val="24"/>
          <w:szCs w:val="20"/>
          <w:u w:val="none"/>
          <w:lang w:val="en-US" w:eastAsia="zh-CN" w:bidi="ar-SA"/>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253" w:name="_Toc948"/>
      <w:bookmarkStart w:id="254" w:name="_Toc30524"/>
      <w:bookmarkStart w:id="255" w:name="_Toc16568"/>
      <w:bookmarkStart w:id="256" w:name="_Toc515647804"/>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3"/>
      <w:bookmarkEnd w:id="254"/>
      <w:bookmarkEnd w:id="255"/>
      <w:bookmarkEnd w:id="256"/>
    </w:p>
    <w:p>
      <w:pPr>
        <w:pStyle w:val="14"/>
        <w:tabs>
          <w:tab w:val="left" w:pos="5580"/>
        </w:tabs>
        <w:spacing w:line="240" w:lineRule="atLeast"/>
        <w:ind w:left="268" w:leftChars="128"/>
        <w:rPr>
          <w:rFonts w:ascii="仿宋_GB2312" w:hAnsi="宋体" w:eastAsia="仿宋_GB2312"/>
          <w:sz w:val="24"/>
        </w:rPr>
      </w:pPr>
    </w:p>
    <w:p>
      <w:pPr>
        <w:pStyle w:val="14"/>
        <w:tabs>
          <w:tab w:val="left" w:pos="5580"/>
        </w:tabs>
        <w:spacing w:line="240" w:lineRule="atLeast"/>
        <w:ind w:left="268" w:leftChars="128"/>
        <w:rPr>
          <w:rFonts w:hint="eastAsia" w:ascii="仿宋_GB2312" w:hAnsi="宋体" w:eastAsia="仿宋_GB2312"/>
          <w:sz w:val="24"/>
          <w:szCs w:val="24"/>
        </w:rPr>
      </w:pPr>
    </w:p>
    <w:p>
      <w:pPr>
        <w:pStyle w:val="5"/>
        <w:tabs>
          <w:tab w:val="left" w:pos="5580"/>
        </w:tabs>
        <w:spacing w:line="240" w:lineRule="atLeast"/>
        <w:ind w:left="1079" w:leftChars="257" w:hanging="540"/>
        <w:jc w:val="center"/>
        <w:rPr>
          <w:rFonts w:ascii="仿宋_GB2312" w:hAnsi="宋体" w:eastAsia="仿宋_GB2312"/>
          <w:b/>
        </w:rPr>
      </w:pPr>
      <w:bookmarkStart w:id="257" w:name="_Hlt520356241"/>
      <w:bookmarkEnd w:id="257"/>
      <w:bookmarkStart w:id="258" w:name="_Toc494296984"/>
      <w:bookmarkStart w:id="259" w:name="_Ref467988698"/>
      <w:bookmarkStart w:id="260" w:name="_Toc480942349"/>
      <w:bookmarkStart w:id="261" w:name="_Toc520356217"/>
      <w:bookmarkStart w:id="262" w:name="_Toc216582813"/>
      <w:r>
        <w:rPr>
          <w:rFonts w:hint="eastAsia" w:ascii="仿宋_GB2312" w:hAnsi="宋体" w:eastAsia="仿宋_GB2312"/>
          <w:b/>
        </w:rPr>
        <w:t>开标一览表</w:t>
      </w:r>
      <w:bookmarkEnd w:id="258"/>
      <w:r>
        <w:rPr>
          <w:rFonts w:hint="eastAsia" w:ascii="仿宋_GB2312" w:hAnsi="宋体" w:eastAsia="仿宋_GB2312"/>
          <w:b/>
        </w:rPr>
        <w:cr/>
      </w:r>
    </w:p>
    <w:p>
      <w:pPr>
        <w:pStyle w:val="5"/>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万元</w:t>
      </w:r>
    </w:p>
    <w:tbl>
      <w:tblPr>
        <w:tblStyle w:val="32"/>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货物名称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交货期</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14"/>
        <w:tabs>
          <w:tab w:val="left" w:pos="5580"/>
        </w:tabs>
        <w:spacing w:line="240" w:lineRule="atLeast"/>
        <w:ind w:left="1079" w:leftChars="257" w:hanging="540"/>
        <w:rPr>
          <w:rFonts w:ascii="仿宋_GB2312" w:hAnsi="宋体" w:eastAsia="仿宋_GB2312"/>
          <w:sz w:val="24"/>
        </w:rPr>
      </w:pPr>
    </w:p>
    <w:p>
      <w:pPr>
        <w:pStyle w:val="14"/>
        <w:tabs>
          <w:tab w:val="left" w:pos="5580"/>
        </w:tabs>
        <w:spacing w:line="240" w:lineRule="atLeast"/>
        <w:ind w:left="1079" w:leftChars="257" w:hanging="540"/>
        <w:rPr>
          <w:rFonts w:hint="eastAsia" w:ascii="仿宋_GB2312" w:hAnsi="宋体" w:eastAsia="仿宋_GB2312"/>
          <w:sz w:val="24"/>
          <w:u w:val="single"/>
        </w:rPr>
      </w:pP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14"/>
        <w:tabs>
          <w:tab w:val="left" w:pos="5580"/>
        </w:tabs>
        <w:spacing w:line="240" w:lineRule="atLeast"/>
        <w:ind w:left="1079" w:leftChars="257" w:hanging="540"/>
        <w:rPr>
          <w:rFonts w:hint="eastAsia" w:ascii="仿宋_GB2312" w:hAnsi="宋体" w:eastAsia="仿宋_GB2312"/>
          <w:sz w:val="24"/>
        </w:rPr>
      </w:pP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14"/>
        <w:numPr>
          <w:ilvl w:val="0"/>
          <w:numId w:val="7"/>
        </w:numPr>
        <w:tabs>
          <w:tab w:val="left" w:pos="5580"/>
        </w:tabs>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14"/>
        <w:numPr>
          <w:ilvl w:val="0"/>
          <w:numId w:val="7"/>
        </w:numPr>
        <w:tabs>
          <w:tab w:val="left" w:pos="5580"/>
        </w:tabs>
        <w:spacing w:line="240" w:lineRule="atLeast"/>
        <w:ind w:left="1078" w:leftChars="428" w:hanging="180" w:hangingChars="75"/>
        <w:rPr>
          <w:rFonts w:hint="eastAsia" w:ascii="仿宋_GB2312" w:hAnsi="宋体" w:eastAsia="仿宋_GB2312"/>
          <w:sz w:val="24"/>
          <w:lang w:val="en-US" w:eastAsia="zh-CN"/>
        </w:rPr>
      </w:pPr>
      <w:r>
        <w:rPr>
          <w:rFonts w:hint="eastAsia" w:ascii="仿宋_GB2312" w:hAnsi="宋体" w:eastAsia="仿宋_GB2312"/>
          <w:sz w:val="24"/>
          <w:lang w:val="en-US" w:eastAsia="zh-CN"/>
        </w:rPr>
        <w:t>指定到地点所产生的一切费用（搬运、劳务）等。</w:t>
      </w:r>
    </w:p>
    <w:p>
      <w:pPr>
        <w:pStyle w:val="14"/>
        <w:numPr>
          <w:ilvl w:val="0"/>
          <w:numId w:val="0"/>
        </w:numPr>
        <w:tabs>
          <w:tab w:val="left" w:pos="5580"/>
        </w:tabs>
        <w:spacing w:line="240" w:lineRule="atLeast"/>
        <w:ind w:leftChars="353"/>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14"/>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3" w:name="_Toc515647805"/>
      <w:bookmarkStart w:id="264" w:name="_Toc6399"/>
      <w:bookmarkStart w:id="265" w:name="_Toc17577"/>
      <w:bookmarkStart w:id="266" w:name="_Toc29899"/>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3"/>
      <w:bookmarkStart w:id="267" w:name="_Toc515647806"/>
      <w:r>
        <w:rPr>
          <w:rFonts w:hint="eastAsia" w:ascii="仿宋_GB2312" w:hAnsi="宋体" w:eastAsia="仿宋_GB2312"/>
          <w:sz w:val="24"/>
        </w:rPr>
        <w:t>或自然人的身份证明</w:t>
      </w:r>
      <w:bookmarkEnd w:id="264"/>
      <w:bookmarkEnd w:id="265"/>
      <w:bookmarkEnd w:id="266"/>
      <w:bookmarkEnd w:id="267"/>
    </w:p>
    <w:p>
      <w:pPr>
        <w:pStyle w:val="14"/>
        <w:tabs>
          <w:tab w:val="left" w:pos="5580"/>
        </w:tabs>
        <w:spacing w:line="240" w:lineRule="atLeast"/>
        <w:ind w:left="1079" w:leftChars="257" w:hanging="540"/>
        <w:jc w:val="center"/>
        <w:rPr>
          <w:rFonts w:hint="eastAsia" w:ascii="仿宋_GB2312" w:hAnsi="宋体" w:eastAsia="仿宋_GB2312"/>
          <w:b/>
          <w:sz w:val="24"/>
        </w:rPr>
      </w:pPr>
    </w:p>
    <w:p>
      <w:pPr>
        <w:pStyle w:val="14"/>
        <w:tabs>
          <w:tab w:val="left" w:pos="5580"/>
        </w:tabs>
        <w:spacing w:line="240" w:lineRule="atLeast"/>
        <w:ind w:left="1079" w:leftChars="257" w:hanging="540"/>
        <w:rPr>
          <w:rFonts w:hint="eastAsia" w:ascii="仿宋_GB2312" w:hAnsi="宋体" w:eastAsia="仿宋_GB2312"/>
          <w:b/>
          <w:sz w:val="24"/>
        </w:rPr>
      </w:pPr>
    </w:p>
    <w:p>
      <w:pPr>
        <w:pStyle w:val="14"/>
        <w:tabs>
          <w:tab w:val="left" w:pos="5580"/>
        </w:tabs>
        <w:spacing w:line="240" w:lineRule="atLeast"/>
        <w:ind w:left="1079" w:leftChars="257" w:hanging="540"/>
        <w:rPr>
          <w:rFonts w:hint="eastAsia" w:ascii="仿宋_GB2312" w:hAnsi="宋体" w:eastAsia="仿宋_GB2312"/>
          <w:b/>
          <w:sz w:val="24"/>
        </w:rPr>
      </w:pP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14"/>
        <w:tabs>
          <w:tab w:val="left" w:pos="5580"/>
        </w:tabs>
        <w:spacing w:line="240" w:lineRule="atLeast"/>
        <w:ind w:left="1079" w:leftChars="257" w:hanging="540"/>
        <w:rPr>
          <w:rFonts w:hint="eastAsia" w:ascii="仿宋_GB2312" w:hAnsi="宋体" w:eastAsia="仿宋_GB2312" w:cs="Times New Roman"/>
          <w:sz w:val="24"/>
        </w:rPr>
      </w:pPr>
      <w:r>
        <w:rPr>
          <w:rFonts w:hint="eastAsia" w:ascii="仿宋_GB2312" w:hAnsi="宋体" w:eastAsia="仿宋_GB2312"/>
          <w:sz w:val="24"/>
        </w:rPr>
        <w:t xml:space="preserve">      3.联合体投标应提供联合体各方满足以上要求的证明文件。</w:t>
      </w:r>
      <w:r>
        <w:rPr>
          <w:rFonts w:hint="eastAsia" w:ascii="仿宋_GB2312" w:hAnsi="宋体" w:eastAsia="仿宋_GB2312" w:cs="Times New Roman"/>
          <w:sz w:val="24"/>
        </w:rPr>
        <w:t>（本项目不接受联合体）</w:t>
      </w: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cs="Times New Roman"/>
          <w:sz w:val="24"/>
        </w:rPr>
      </w:pPr>
    </w:p>
    <w:p>
      <w:pPr>
        <w:pStyle w:val="14"/>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jc w:val="both"/>
        <w:rPr>
          <w:rFonts w:hint="eastAsia" w:ascii="仿宋_GB2312" w:hAnsi="宋体" w:eastAsia="仿宋_GB2312" w:cs="Times New Roman"/>
          <w:b/>
          <w:sz w:val="24"/>
          <w:lang w:val="en-US" w:eastAsia="zh-CN"/>
        </w:rPr>
      </w:pPr>
      <w:r>
        <w:rPr>
          <w:rFonts w:hint="eastAsia" w:ascii="仿宋_GB2312" w:hAnsi="宋体" w:eastAsia="仿宋_GB2312" w:cs="Times New Roman"/>
          <w:b/>
          <w:sz w:val="24"/>
          <w:lang w:val="en-US" w:eastAsia="zh-CN"/>
        </w:rPr>
        <w:t>3  市政公用工程施工总承包叁级(含)以上资质复印件</w:t>
      </w:r>
    </w:p>
    <w:p>
      <w:pPr>
        <w:pStyle w:val="14"/>
        <w:tabs>
          <w:tab w:val="left" w:pos="5580"/>
        </w:tabs>
        <w:spacing w:line="240" w:lineRule="atLeast"/>
        <w:ind w:left="1079" w:leftChars="257" w:hanging="540"/>
        <w:jc w:val="both"/>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8" w:name="_Toc22472"/>
      <w:bookmarkStart w:id="269" w:name="_Toc515647807"/>
      <w:bookmarkStart w:id="270" w:name="_Toc1083"/>
      <w:bookmarkStart w:id="271" w:name="_Toc9641"/>
      <w:r>
        <w:rPr>
          <w:rFonts w:hint="eastAsia" w:ascii="仿宋_GB2312" w:hAnsi="宋体" w:eastAsia="仿宋_GB2312"/>
          <w:sz w:val="24"/>
          <w:lang w:val="en-US" w:eastAsia="zh-CN"/>
        </w:rPr>
        <w:t>4</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8"/>
      <w:bookmarkEnd w:id="269"/>
      <w:bookmarkEnd w:id="270"/>
      <w:bookmarkEnd w:id="271"/>
    </w:p>
    <w:p>
      <w:pPr>
        <w:pStyle w:val="14"/>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14"/>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14"/>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spacing w:line="240" w:lineRule="atLeast"/>
        <w:ind w:left="-539" w:leftChars="-257" w:firstLine="566" w:firstLineChars="0"/>
        <w:rPr>
          <w:rFonts w:hint="default" w:ascii="仿宋_GB2312" w:hAnsi="宋体" w:eastAsia="仿宋_GB2312"/>
          <w:sz w:val="24"/>
          <w:lang w:val="en-US" w:eastAsia="zh-CN"/>
        </w:rPr>
      </w:pPr>
      <w:r>
        <w:rPr>
          <w:rFonts w:hint="eastAsia" w:ascii="仿宋_GB2312" w:hAnsi="宋体" w:eastAsia="仿宋_GB2312"/>
          <w:sz w:val="24"/>
          <w:lang w:eastAsia="zh-CN"/>
        </w:rPr>
        <w:t>（</w:t>
      </w:r>
      <w:r>
        <w:rPr>
          <w:rFonts w:hint="eastAsia" w:ascii="仿宋_GB2312" w:hAnsi="宋体" w:eastAsia="仿宋_GB2312"/>
          <w:sz w:val="24"/>
          <w:lang w:val="en-US" w:eastAsia="zh-CN"/>
        </w:rPr>
        <w:t>授权委托人身份证复印件正面</w:t>
      </w:r>
      <w:r>
        <w:rPr>
          <w:rFonts w:hint="eastAsia" w:ascii="仿宋_GB2312" w:hAnsi="宋体" w:eastAsia="仿宋_GB2312"/>
          <w:sz w:val="24"/>
          <w:lang w:eastAsia="zh-CN"/>
        </w:rPr>
        <w:t>）</w:t>
      </w:r>
      <w:r>
        <w:rPr>
          <w:rFonts w:hint="eastAsia" w:ascii="仿宋_GB2312" w:hAnsi="宋体" w:eastAsia="仿宋_GB2312"/>
          <w:sz w:val="24"/>
          <w:lang w:val="en-US" w:eastAsia="zh-CN"/>
        </w:rPr>
        <w:t xml:space="preserve">           </w:t>
      </w:r>
      <w:r>
        <w:rPr>
          <w:rFonts w:hint="eastAsia" w:ascii="仿宋_GB2312" w:hAnsi="宋体" w:eastAsia="仿宋_GB2312"/>
          <w:sz w:val="24"/>
          <w:lang w:eastAsia="zh-CN"/>
        </w:rPr>
        <w:t>（</w:t>
      </w:r>
      <w:r>
        <w:rPr>
          <w:rFonts w:hint="eastAsia" w:ascii="仿宋_GB2312" w:hAnsi="宋体" w:eastAsia="仿宋_GB2312"/>
          <w:sz w:val="24"/>
          <w:lang w:val="en-US" w:eastAsia="zh-CN"/>
        </w:rPr>
        <w:t>授权委托人身份证复印件反面</w:t>
      </w:r>
      <w:r>
        <w:rPr>
          <w:rFonts w:hint="eastAsia" w:ascii="仿宋_GB2312" w:hAnsi="宋体" w:eastAsia="仿宋_GB2312"/>
          <w:sz w:val="24"/>
          <w:lang w:eastAsia="zh-CN"/>
        </w:rPr>
        <w:t>）</w:t>
      </w:r>
      <w:r>
        <w:rPr>
          <w:rFonts w:hint="eastAsia" w:ascii="仿宋_GB2312" w:hAnsi="宋体" w:eastAsia="仿宋_GB2312"/>
          <w:sz w:val="24"/>
          <w:lang w:val="en-US" w:eastAsia="zh-CN"/>
        </w:rPr>
        <w:t xml:space="preserve">  </w:t>
      </w: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rPr>
          <w:rFonts w:hint="default" w:ascii="仿宋_GB2312" w:hAnsi="宋体" w:eastAsia="仿宋_GB2312"/>
          <w:sz w:val="24"/>
          <w:lang w:val="en-US"/>
        </w:rPr>
      </w:pPr>
      <w:r>
        <w:rPr>
          <w:rFonts w:hint="eastAsia" w:ascii="仿宋_GB2312" w:hAnsi="宋体" w:eastAsia="仿宋_GB2312"/>
          <w:sz w:val="24"/>
          <w:lang w:eastAsia="zh-CN"/>
        </w:rPr>
        <w:t>（</w:t>
      </w:r>
      <w:r>
        <w:rPr>
          <w:rFonts w:hint="eastAsia" w:ascii="仿宋_GB2312" w:hAnsi="宋体" w:eastAsia="仿宋_GB2312"/>
          <w:sz w:val="24"/>
          <w:lang w:val="en-US" w:eastAsia="zh-CN"/>
        </w:rPr>
        <w:t>法人身份证复印件正面</w:t>
      </w:r>
      <w:r>
        <w:rPr>
          <w:rFonts w:hint="eastAsia" w:ascii="仿宋_GB2312" w:hAnsi="宋体" w:eastAsia="仿宋_GB2312"/>
          <w:sz w:val="24"/>
          <w:lang w:eastAsia="zh-CN"/>
        </w:rPr>
        <w:t>）</w:t>
      </w:r>
      <w:r>
        <w:rPr>
          <w:rFonts w:hint="eastAsia" w:ascii="仿宋_GB2312" w:hAnsi="宋体" w:eastAsia="仿宋_GB2312"/>
          <w:sz w:val="24"/>
          <w:lang w:val="en-US" w:eastAsia="zh-CN"/>
        </w:rPr>
        <w:t xml:space="preserve">                   </w:t>
      </w:r>
      <w:r>
        <w:rPr>
          <w:rFonts w:hint="eastAsia" w:ascii="仿宋_GB2312" w:hAnsi="宋体" w:eastAsia="仿宋_GB2312"/>
          <w:sz w:val="24"/>
          <w:lang w:eastAsia="zh-CN"/>
        </w:rPr>
        <w:t>（</w:t>
      </w:r>
      <w:r>
        <w:rPr>
          <w:rFonts w:hint="eastAsia" w:ascii="仿宋_GB2312" w:hAnsi="宋体" w:eastAsia="仿宋_GB2312"/>
          <w:sz w:val="24"/>
          <w:lang w:val="en-US" w:eastAsia="zh-CN"/>
        </w:rPr>
        <w:t>法人身份证复印件反面</w:t>
      </w:r>
      <w:r>
        <w:rPr>
          <w:rFonts w:hint="eastAsia" w:ascii="仿宋_GB2312" w:hAnsi="宋体" w:eastAsia="仿宋_GB2312"/>
          <w:sz w:val="24"/>
          <w:lang w:eastAsia="zh-CN"/>
        </w:rPr>
        <w:t>）</w:t>
      </w:r>
      <w:r>
        <w:rPr>
          <w:rFonts w:hint="eastAsia" w:ascii="仿宋_GB2312" w:hAnsi="宋体" w:eastAsia="仿宋_GB2312"/>
          <w:sz w:val="24"/>
          <w:lang w:val="en-US" w:eastAsia="zh-CN"/>
        </w:rPr>
        <w:t xml:space="preserve">   </w:t>
      </w: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left="-539" w:leftChars="-257" w:firstLine="900" w:firstLineChars="375"/>
        <w:rPr>
          <w:rFonts w:hint="eastAsia" w:ascii="仿宋_GB2312" w:hAnsi="宋体" w:eastAsia="仿宋_GB2312"/>
          <w:sz w:val="24"/>
        </w:rPr>
      </w:pPr>
    </w:p>
    <w:p>
      <w:pPr>
        <w:pStyle w:val="14"/>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14"/>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14"/>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14"/>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14"/>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14"/>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14"/>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14"/>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14"/>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hAnsi="宋体" w:eastAsia="仿宋_GB2312"/>
          <w:sz w:val="24"/>
        </w:rPr>
      </w:pPr>
    </w:p>
    <w:p>
      <w:pPr>
        <w:bidi w:val="0"/>
        <w:rPr>
          <w:rFonts w:ascii="仿宋_GB2312" w:hAnsi="宋体" w:eastAsia="仿宋_GB2312"/>
          <w:sz w:val="24"/>
        </w:rPr>
      </w:pPr>
    </w:p>
    <w:p>
      <w:pPr>
        <w:bidi w:val="0"/>
        <w:rPr>
          <w:rFonts w:ascii="仿宋_GB2312" w:hAnsi="宋体" w:eastAsia="仿宋_GB2312"/>
          <w:sz w:val="24"/>
        </w:rPr>
      </w:pPr>
    </w:p>
    <w:p>
      <w:pPr>
        <w:pStyle w:val="2"/>
        <w:ind w:left="0" w:leftChars="0" w:firstLine="0" w:firstLineChars="0"/>
      </w:pPr>
    </w:p>
    <w:p>
      <w:pPr>
        <w:bidi w:val="0"/>
        <w:jc w:val="right"/>
        <w:rPr>
          <w:rFonts w:hint="eastAsia" w:ascii="宋体" w:hAnsi="宋体" w:eastAsia="宋体" w:cs="宋体"/>
          <w:sz w:val="24"/>
          <w:szCs w:val="24"/>
        </w:rPr>
      </w:pPr>
      <w:r>
        <w:rPr>
          <w:rFonts w:hint="eastAsia" w:ascii="宋体" w:hAnsi="宋体" w:eastAsia="宋体" w:cs="宋体"/>
          <w:sz w:val="24"/>
          <w:szCs w:val="24"/>
        </w:rPr>
        <w:t xml:space="preserve">年   月   日 </w:t>
      </w:r>
      <w:bookmarkStart w:id="272" w:name="_Toc19580"/>
      <w:bookmarkStart w:id="273" w:name="_Toc7039"/>
      <w:bookmarkStart w:id="274" w:name="_Toc515647808"/>
      <w:bookmarkStart w:id="275" w:name="_Toc32520"/>
    </w:p>
    <w:p>
      <w:pPr>
        <w:bidi w:val="0"/>
        <w:jc w:val="right"/>
        <w:rPr>
          <w:rFonts w:hint="eastAsia" w:ascii="仿宋_GB2312" w:hAnsi="宋体" w:eastAsia="仿宋_GB2312"/>
          <w:b/>
          <w:bCs/>
          <w:sz w:val="24"/>
        </w:rPr>
      </w:pPr>
      <w:r>
        <w:rPr>
          <w:rFonts w:hint="eastAsia" w:ascii="仿宋_GB2312" w:hAnsi="宋体" w:eastAsia="仿宋_GB2312"/>
          <w:b/>
          <w:bCs/>
          <w:sz w:val="24"/>
          <w:lang w:val="en-US" w:eastAsia="zh-CN"/>
        </w:rPr>
        <w:t>5</w:t>
      </w:r>
      <w:r>
        <w:rPr>
          <w:rFonts w:hint="eastAsia" w:ascii="仿宋_GB2312" w:hAnsi="宋体" w:eastAsia="仿宋_GB2312"/>
          <w:b/>
          <w:bCs/>
          <w:sz w:val="24"/>
        </w:rPr>
        <w:t xml:space="preserve"> 具有良好</w:t>
      </w:r>
      <w:r>
        <w:rPr>
          <w:rFonts w:ascii="仿宋_GB2312" w:hAnsi="宋体" w:eastAsia="仿宋_GB2312"/>
          <w:b/>
          <w:bCs/>
          <w:sz w:val="24"/>
        </w:rPr>
        <w:t>的商业信誉和健全的财务会计制度</w:t>
      </w:r>
      <w:r>
        <w:rPr>
          <w:rFonts w:hint="eastAsia" w:ascii="仿宋_GB2312" w:hAnsi="宋体" w:eastAsia="仿宋_GB2312"/>
          <w:b/>
          <w:bCs/>
          <w:sz w:val="24"/>
        </w:rPr>
        <w:t>的</w:t>
      </w:r>
      <w:r>
        <w:rPr>
          <w:rFonts w:ascii="仿宋_GB2312" w:hAnsi="宋体" w:eastAsia="仿宋_GB2312"/>
          <w:b/>
          <w:bCs/>
          <w:sz w:val="24"/>
        </w:rPr>
        <w:t>证明文件</w:t>
      </w:r>
      <w:bookmarkEnd w:id="272"/>
      <w:bookmarkEnd w:id="273"/>
      <w:bookmarkEnd w:id="274"/>
      <w:bookmarkEnd w:id="275"/>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hint="eastAsia"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、如果是联合体投标，联合体各方均需提供上述证明。（本项目不接受联合体）</w:t>
      </w:r>
    </w:p>
    <w:p>
      <w:pPr>
        <w:tabs>
          <w:tab w:val="left" w:pos="5580"/>
        </w:tabs>
        <w:spacing w:line="240" w:lineRule="atLeast"/>
        <w:ind w:left="1079" w:leftChars="257" w:hanging="540"/>
        <w:rPr>
          <w:rFonts w:ascii="仿宋_GB2312" w:eastAsia="仿宋_GB2312"/>
          <w:sz w:val="24"/>
        </w:rPr>
      </w:pP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6" w:name="_Toc11047"/>
      <w:bookmarkStart w:id="277" w:name="_Toc6715"/>
      <w:bookmarkStart w:id="278" w:name="_Toc28445"/>
      <w:bookmarkStart w:id="279" w:name="_Toc515647809"/>
      <w:r>
        <w:rPr>
          <w:rFonts w:hint="eastAsia" w:ascii="仿宋_GB2312" w:eastAsia="仿宋_GB2312"/>
          <w:sz w:val="24"/>
          <w:lang w:val="en-US" w:eastAsia="zh-CN"/>
        </w:rPr>
        <w:t>6</w:t>
      </w:r>
      <w:r>
        <w:rPr>
          <w:rFonts w:ascii="仿宋_GB2312" w:hAnsi="宋体" w:eastAsia="仿宋_GB2312"/>
          <w:sz w:val="24"/>
        </w:rPr>
        <w:t xml:space="preserve"> </w:t>
      </w:r>
      <w:r>
        <w:rPr>
          <w:rFonts w:hint="eastAsia" w:ascii="仿宋_GB2312" w:hAnsi="宋体" w:eastAsia="仿宋_GB2312"/>
          <w:sz w:val="24"/>
        </w:rPr>
        <w:t>投标保证金缴纳凭证复印件或投标担保函</w:t>
      </w:r>
      <w:bookmarkEnd w:id="276"/>
      <w:bookmarkEnd w:id="277"/>
      <w:bookmarkEnd w:id="278"/>
      <w:bookmarkEnd w:id="279"/>
    </w:p>
    <w:p>
      <w:pPr>
        <w:ind w:firstLine="420" w:firstLineChars="200"/>
        <w:rPr>
          <w:rFonts w:hint="eastAsia" w:ascii="仿宋" w:hAnsi="仿宋" w:eastAsia="仿宋"/>
        </w:rPr>
      </w:pPr>
      <w:bookmarkStart w:id="280" w:name="_Toc494296665"/>
      <w:bookmarkStart w:id="281" w:name="_Toc494296991"/>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0"/>
      <w:bookmarkEnd w:id="281"/>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2" w:name="_Toc5710"/>
      <w:bookmarkStart w:id="283" w:name="_Toc18754"/>
      <w:bookmarkStart w:id="284" w:name="_Toc515647810"/>
      <w:bookmarkStart w:id="285" w:name="_Toc12357"/>
      <w:r>
        <w:rPr>
          <w:rFonts w:hint="eastAsia" w:ascii="仿宋_GB2312" w:hAnsi="宋体" w:eastAsia="仿宋_GB2312"/>
          <w:sz w:val="24"/>
          <w:lang w:val="en-US" w:eastAsia="zh-CN"/>
        </w:rPr>
        <w:t>7</w:t>
      </w:r>
      <w:r>
        <w:rPr>
          <w:rFonts w:ascii="仿宋_GB2312" w:hAnsi="宋体" w:eastAsia="仿宋_GB2312"/>
          <w:sz w:val="24"/>
        </w:rPr>
        <w:t xml:space="preserve">  </w:t>
      </w:r>
      <w:r>
        <w:rPr>
          <w:rFonts w:hint="eastAsia" w:ascii="仿宋_GB2312" w:hAnsi="宋体" w:eastAsia="仿宋_GB2312"/>
          <w:sz w:val="24"/>
        </w:rPr>
        <w:t>社会保障资金的缴纳记录</w:t>
      </w:r>
      <w:bookmarkEnd w:id="282"/>
      <w:bookmarkEnd w:id="283"/>
      <w:bookmarkEnd w:id="284"/>
      <w:bookmarkEnd w:id="285"/>
    </w:p>
    <w:p>
      <w:pPr>
        <w:pStyle w:val="14"/>
        <w:tabs>
          <w:tab w:val="left" w:pos="5580"/>
        </w:tabs>
        <w:spacing w:line="240" w:lineRule="atLeast"/>
        <w:ind w:left="1079" w:leftChars="257" w:hanging="540"/>
        <w:jc w:val="center"/>
        <w:rPr>
          <w:rFonts w:hint="eastAsia" w:ascii="仿宋_GB2312" w:hAnsi="宋体" w:eastAsia="仿宋_GB2312"/>
          <w:b/>
          <w:sz w:val="24"/>
        </w:rPr>
      </w:pPr>
    </w:p>
    <w:p>
      <w:pPr>
        <w:pStyle w:val="14"/>
        <w:tabs>
          <w:tab w:val="left" w:pos="5580"/>
        </w:tabs>
        <w:spacing w:line="240" w:lineRule="atLeast"/>
        <w:ind w:left="540"/>
        <w:rPr>
          <w:rFonts w:hint="eastAsia" w:ascii="仿宋_GB2312" w:hAnsi="宋体" w:eastAsia="仿宋_GB2312"/>
          <w:b/>
          <w:sz w:val="24"/>
        </w:rPr>
      </w:pPr>
    </w:p>
    <w:p>
      <w:pPr>
        <w:pStyle w:val="14"/>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如果是联合体投标，联合体各方均需提供上述证明。（本项目不接受联合体）</w:t>
      </w:r>
    </w:p>
    <w:p>
      <w:pPr>
        <w:tabs>
          <w:tab w:val="left" w:pos="5580"/>
        </w:tabs>
        <w:spacing w:line="240" w:lineRule="atLeast"/>
        <w:ind w:left="1079" w:leftChars="257" w:hanging="540"/>
        <w:rPr>
          <w:rFonts w:hint="eastAsia" w:ascii="仿宋_GB2312" w:eastAsia="仿宋_GB2312"/>
          <w:sz w:val="24"/>
        </w:rPr>
      </w:pPr>
    </w:p>
    <w:p>
      <w:pPr>
        <w:pStyle w:val="14"/>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b/>
          <w:bCs w:val="0"/>
          <w:sz w:val="24"/>
          <w:szCs w:val="20"/>
        </w:rPr>
      </w:pPr>
      <w:r>
        <w:rPr>
          <w:rFonts w:ascii="仿宋_GB2312" w:hAnsi="宋体" w:eastAsia="仿宋_GB2312"/>
          <w:sz w:val="24"/>
        </w:rPr>
        <w:br w:type="page"/>
      </w:r>
      <w:bookmarkStart w:id="286" w:name="_Toc32670"/>
      <w:bookmarkStart w:id="287" w:name="_Toc24428"/>
      <w:bookmarkStart w:id="288" w:name="_Toc515647811"/>
      <w:bookmarkStart w:id="289" w:name="_Toc24198"/>
      <w:r>
        <w:rPr>
          <w:rFonts w:hint="eastAsia" w:ascii="仿宋_GB2312" w:hAnsi="宋体" w:eastAsia="仿宋_GB2312"/>
          <w:sz w:val="24"/>
          <w:lang w:val="en-US" w:eastAsia="zh-CN"/>
        </w:rPr>
        <w:t>8</w:t>
      </w:r>
      <w:r>
        <w:rPr>
          <w:rFonts w:ascii="仿宋_GB2312" w:hAnsi="宋体" w:eastAsia="仿宋_GB2312"/>
          <w:sz w:val="24"/>
        </w:rPr>
        <w:t xml:space="preserve"> </w:t>
      </w:r>
      <w:r>
        <w:rPr>
          <w:rFonts w:ascii="仿宋_GB2312" w:hAnsi="宋体" w:eastAsia="仿宋_GB2312"/>
          <w:b/>
          <w:bCs w:val="0"/>
          <w:sz w:val="24"/>
          <w:szCs w:val="20"/>
        </w:rPr>
        <w:t xml:space="preserve"> </w:t>
      </w:r>
      <w:r>
        <w:rPr>
          <w:rFonts w:hint="eastAsia" w:ascii="仿宋_GB2312" w:hAnsi="宋体" w:eastAsia="仿宋_GB2312"/>
          <w:b/>
          <w:bCs w:val="0"/>
          <w:sz w:val="24"/>
          <w:szCs w:val="20"/>
        </w:rPr>
        <w:t>参加政府采购活动前3年内</w:t>
      </w:r>
      <w:bookmarkEnd w:id="286"/>
      <w:bookmarkEnd w:id="287"/>
      <w:bookmarkEnd w:id="288"/>
      <w:bookmarkStart w:id="290" w:name="_Toc6008"/>
      <w:bookmarkStart w:id="291" w:name="_Toc1137"/>
      <w:bookmarkStart w:id="292" w:name="_Toc515647812"/>
      <w:r>
        <w:rPr>
          <w:rFonts w:hint="eastAsia" w:ascii="仿宋_GB2312" w:hAnsi="宋体" w:eastAsia="仿宋_GB2312"/>
          <w:b/>
          <w:bCs w:val="0"/>
          <w:sz w:val="24"/>
          <w:szCs w:val="20"/>
        </w:rPr>
        <w:t>在经营活动中没有重大违法记录的书面声明</w:t>
      </w:r>
      <w:bookmarkEnd w:id="289"/>
      <w:bookmarkEnd w:id="290"/>
      <w:bookmarkEnd w:id="291"/>
      <w:bookmarkEnd w:id="292"/>
    </w:p>
    <w:p>
      <w:pPr>
        <w:pStyle w:val="14"/>
        <w:tabs>
          <w:tab w:val="left" w:pos="5580"/>
        </w:tabs>
        <w:spacing w:line="240" w:lineRule="atLeast"/>
        <w:ind w:left="1079" w:leftChars="257" w:hanging="540"/>
        <w:jc w:val="center"/>
        <w:rPr>
          <w:rFonts w:hint="eastAsia" w:ascii="仿宋_GB2312" w:hAnsi="宋体" w:eastAsia="仿宋_GB2312"/>
          <w:b/>
          <w:bCs w:val="0"/>
          <w:sz w:val="24"/>
          <w:szCs w:val="20"/>
        </w:rPr>
      </w:pPr>
    </w:p>
    <w:p>
      <w:pPr>
        <w:pStyle w:val="14"/>
        <w:tabs>
          <w:tab w:val="left" w:pos="5580"/>
        </w:tabs>
        <w:spacing w:line="240" w:lineRule="atLeast"/>
        <w:ind w:left="1079" w:leftChars="257" w:hanging="540"/>
        <w:rPr>
          <w:rFonts w:hint="eastAsia" w:ascii="仿宋_GB2312" w:hAnsi="宋体" w:eastAsia="仿宋_GB2312"/>
          <w:sz w:val="24"/>
        </w:rPr>
      </w:pPr>
    </w:p>
    <w:p>
      <w:pPr>
        <w:pStyle w:val="14"/>
        <w:tabs>
          <w:tab w:val="left" w:pos="5580"/>
        </w:tabs>
        <w:spacing w:line="240" w:lineRule="atLeast"/>
        <w:ind w:left="1079" w:leftChars="257" w:hanging="540"/>
        <w:rPr>
          <w:rFonts w:hint="eastAsia" w:ascii="仿宋_GB2312" w:hAnsi="宋体" w:eastAsia="仿宋_GB2312"/>
          <w:sz w:val="24"/>
        </w:rPr>
      </w:pP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14"/>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如果是联合体投标，联合体各方均需提供上述证明。（本项目不接受联合体）</w:t>
      </w:r>
    </w:p>
    <w:p>
      <w:pPr>
        <w:pStyle w:val="2"/>
        <w:rPr>
          <w:rFonts w:hint="eastAsia" w:ascii="仿宋_GB2312" w:eastAsia="仿宋_GB2312"/>
          <w:sz w:val="24"/>
        </w:rPr>
      </w:pPr>
    </w:p>
    <w:p>
      <w:pPr>
        <w:pStyle w:val="2"/>
        <w:rPr>
          <w:rFonts w:hint="eastAsia" w:ascii="仿宋_GB2312" w:eastAsia="仿宋_GB2312"/>
          <w:sz w:val="24"/>
        </w:rPr>
      </w:pPr>
    </w:p>
    <w:p>
      <w:pPr>
        <w:pStyle w:val="2"/>
        <w:rPr>
          <w:rFonts w:hint="eastAsia" w:ascii="仿宋_GB2312" w:eastAsia="仿宋_GB2312"/>
          <w:sz w:val="24"/>
        </w:rPr>
      </w:pPr>
    </w:p>
    <w:p>
      <w:pPr>
        <w:pStyle w:val="2"/>
        <w:rPr>
          <w:rFonts w:hint="eastAsia" w:ascii="仿宋_GB2312" w:eastAsia="仿宋_GB2312"/>
          <w:sz w:val="24"/>
        </w:rPr>
      </w:pPr>
    </w:p>
    <w:p>
      <w:pPr>
        <w:pStyle w:val="2"/>
        <w:rPr>
          <w:rFonts w:hint="eastAsia" w:ascii="仿宋_GB2312" w:eastAsia="仿宋_GB2312"/>
          <w:sz w:val="24"/>
        </w:rPr>
      </w:pPr>
    </w:p>
    <w:p>
      <w:pPr>
        <w:pStyle w:val="2"/>
        <w:rPr>
          <w:rFonts w:hint="eastAsia" w:ascii="仿宋_GB2312" w:eastAsia="仿宋_GB2312"/>
          <w:sz w:val="24"/>
        </w:rPr>
      </w:pPr>
    </w:p>
    <w:p>
      <w:pPr>
        <w:pStyle w:val="2"/>
        <w:rPr>
          <w:rFonts w:hint="eastAsia" w:ascii="仿宋_GB2312" w:eastAsia="仿宋_GB2312"/>
          <w:sz w:val="24"/>
        </w:rPr>
      </w:pPr>
    </w:p>
    <w:p>
      <w:pPr>
        <w:pStyle w:val="2"/>
        <w:rPr>
          <w:rFonts w:hint="eastAsia" w:ascii="仿宋_GB2312" w:eastAsia="仿宋_GB2312"/>
          <w:sz w:val="24"/>
        </w:rPr>
      </w:pPr>
    </w:p>
    <w:p>
      <w:pPr>
        <w:pStyle w:val="2"/>
        <w:rPr>
          <w:rFonts w:hint="eastAsia" w:ascii="仿宋_GB2312" w:eastAsia="仿宋_GB2312"/>
          <w:sz w:val="24"/>
        </w:rPr>
      </w:pPr>
    </w:p>
    <w:p>
      <w:pPr>
        <w:pStyle w:val="2"/>
        <w:rPr>
          <w:rFonts w:hint="eastAsia" w:ascii="仿宋_GB2312" w:eastAsia="仿宋_GB2312"/>
          <w:sz w:val="24"/>
        </w:rPr>
      </w:pPr>
    </w:p>
    <w:p>
      <w:pPr>
        <w:pStyle w:val="14"/>
        <w:tabs>
          <w:tab w:val="left" w:pos="5580"/>
        </w:tabs>
        <w:spacing w:line="240" w:lineRule="atLeast"/>
        <w:ind w:left="1079" w:leftChars="257" w:hanging="540"/>
        <w:rPr>
          <w:rFonts w:hint="eastAsia" w:ascii="仿宋_GB2312" w:hAnsi="宋体" w:eastAsia="仿宋_GB2312" w:cs="Times New Roman"/>
          <w:b/>
          <w:bCs w:val="0"/>
          <w:kern w:val="0"/>
          <w:sz w:val="24"/>
          <w:szCs w:val="20"/>
          <w:lang w:val="en-US" w:eastAsia="zh-CN" w:bidi="ar-SA"/>
        </w:rPr>
      </w:pPr>
      <w:r>
        <w:rPr>
          <w:rFonts w:hint="eastAsia" w:ascii="仿宋_GB2312" w:hAnsi="宋体" w:eastAsia="仿宋_GB2312" w:cs="Times New Roman"/>
          <w:b/>
          <w:bCs w:val="0"/>
          <w:kern w:val="0"/>
          <w:sz w:val="24"/>
          <w:szCs w:val="20"/>
          <w:lang w:val="en-US" w:eastAsia="zh-CN" w:bidi="ar-SA"/>
        </w:rPr>
        <w:t>9   提供针对本次项目的反商业贿赂承诺书；</w:t>
      </w:r>
    </w:p>
    <w:p>
      <w:pPr>
        <w:pStyle w:val="14"/>
        <w:tabs>
          <w:tab w:val="left" w:pos="5580"/>
        </w:tabs>
        <w:spacing w:line="240" w:lineRule="atLeast"/>
        <w:ind w:left="1079" w:leftChars="257" w:hanging="540"/>
        <w:rPr>
          <w:rFonts w:hint="default" w:ascii="仿宋_GB2312" w:hAnsi="宋体" w:eastAsia="仿宋_GB2312"/>
          <w:sz w:val="24"/>
          <w:lang w:val="en-US" w:eastAsia="zh-CN"/>
        </w:rPr>
      </w:pP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3" w:name="_Toc30744"/>
      <w:bookmarkStart w:id="294" w:name="_Toc515647813"/>
      <w:bookmarkStart w:id="295" w:name="_Toc29703"/>
      <w:bookmarkStart w:id="296" w:name="_Toc17207"/>
      <w:r>
        <w:rPr>
          <w:rFonts w:hint="eastAsia" w:ascii="仿宋_GB2312" w:hAnsi="宋体" w:eastAsia="仿宋_GB2312"/>
          <w:sz w:val="24"/>
          <w:lang w:val="en-US" w:eastAsia="zh-CN"/>
        </w:rPr>
        <w:t>10</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3"/>
      <w:bookmarkEnd w:id="294"/>
      <w:bookmarkEnd w:id="295"/>
      <w:bookmarkEnd w:id="296"/>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如果是联合体投标，联合体各方需提供的满足招标文件要求的其他资格证明文件。（本项目不接受联合体）</w:t>
      </w:r>
    </w:p>
    <w:p>
      <w:pPr>
        <w:pStyle w:val="14"/>
        <w:tabs>
          <w:tab w:val="left" w:pos="5580"/>
        </w:tabs>
        <w:spacing w:line="240" w:lineRule="atLeast"/>
        <w:ind w:left="1260" w:leftChars="344" w:hanging="538"/>
        <w:rPr>
          <w:rFonts w:hint="eastAsia" w:ascii="仿宋_GB2312" w:hAnsi="宋体" w:eastAsia="仿宋_GB2312"/>
          <w:sz w:val="24"/>
        </w:rPr>
      </w:pPr>
    </w:p>
    <w:p>
      <w:pPr>
        <w:pStyle w:val="14"/>
        <w:tabs>
          <w:tab w:val="left" w:pos="5580"/>
        </w:tabs>
        <w:spacing w:line="240" w:lineRule="atLeast"/>
        <w:ind w:left="1079" w:leftChars="257" w:hanging="540"/>
        <w:rPr>
          <w:rFonts w:ascii="仿宋_GB2312" w:hAnsi="宋体" w:eastAsia="仿宋_GB2312"/>
          <w:sz w:val="24"/>
        </w:rPr>
      </w:pPr>
      <w:r>
        <w:rPr>
          <w:rFonts w:ascii="仿宋_GB2312"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297" w:name="_Toc29937"/>
      <w:bookmarkStart w:id="298" w:name="_Toc22967"/>
      <w:bookmarkStart w:id="299" w:name="_Toc11180"/>
      <w:bookmarkStart w:id="300" w:name="_Toc515647816"/>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297"/>
      <w:bookmarkEnd w:id="298"/>
      <w:bookmarkEnd w:id="299"/>
      <w:bookmarkEnd w:id="300"/>
    </w:p>
    <w:p>
      <w:pPr>
        <w:pStyle w:val="14"/>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14"/>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14"/>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14"/>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14"/>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14"/>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14"/>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14"/>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14"/>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14"/>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14"/>
        <w:ind w:left="1079" w:leftChars="257" w:hanging="540"/>
        <w:rPr>
          <w:rFonts w:ascii="仿宋_GB2312" w:eastAsia="仿宋_GB2312"/>
          <w:sz w:val="24"/>
        </w:rPr>
      </w:pPr>
      <w:r>
        <w:rPr>
          <w:rFonts w:ascii="仿宋_GB2312" w:hAnsi="宋体" w:eastAsia="仿宋_GB2312"/>
          <w:sz w:val="24"/>
        </w:rPr>
        <w:t>9</w:t>
      </w:r>
      <w:r>
        <w:rPr>
          <w:rFonts w:hint="eastAsia" w:ascii="仿宋_GB2312" w:hAnsi="宋体" w:eastAsia="仿宋_GB2312"/>
          <w:sz w:val="24"/>
        </w:rPr>
        <w:t>、投标文件还应包括投标人须知第10条的所有技术文件</w:t>
      </w:r>
    </w:p>
    <w:p>
      <w:pPr>
        <w:pStyle w:val="14"/>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1" w:name="_Toc2041"/>
      <w:bookmarkStart w:id="302" w:name="_Toc515647817"/>
      <w:bookmarkStart w:id="303" w:name="_Toc29456"/>
      <w:bookmarkStart w:id="304" w:name="_Toc14915"/>
      <w:r>
        <w:rPr>
          <w:rFonts w:hint="eastAsia" w:ascii="仿宋_GB2312" w:hAnsi="宋体" w:eastAsia="仿宋_GB2312"/>
          <w:sz w:val="24"/>
        </w:rPr>
        <w:t xml:space="preserve">1   </w:t>
      </w:r>
      <w:bookmarkStart w:id="305" w:name="_Hlt520355504"/>
      <w:bookmarkEnd w:id="305"/>
      <w:r>
        <w:rPr>
          <w:rFonts w:hint="eastAsia" w:ascii="仿宋_GB2312" w:hAnsi="宋体" w:eastAsia="仿宋_GB2312"/>
          <w:sz w:val="24"/>
        </w:rPr>
        <w:t>投标</w:t>
      </w:r>
      <w:bookmarkEnd w:id="259"/>
      <w:bookmarkEnd w:id="260"/>
      <w:r>
        <w:rPr>
          <w:rFonts w:hint="eastAsia" w:ascii="仿宋_GB2312" w:hAnsi="宋体" w:eastAsia="仿宋_GB2312"/>
          <w:sz w:val="24"/>
        </w:rPr>
        <w:t>书</w:t>
      </w:r>
      <w:bookmarkEnd w:id="261"/>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2"/>
      <w:bookmarkEnd w:id="301"/>
      <w:bookmarkEnd w:id="302"/>
      <w:bookmarkEnd w:id="303"/>
      <w:bookmarkEnd w:id="304"/>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14"/>
        <w:tabs>
          <w:tab w:val="left" w:pos="5580"/>
        </w:tabs>
        <w:spacing w:line="240" w:lineRule="atLeast"/>
        <w:ind w:left="1079" w:leftChars="257" w:hanging="540"/>
        <w:rPr>
          <w:rFonts w:hint="eastAsia" w:ascii="仿宋_GB2312" w:hAnsi="宋体" w:eastAsia="仿宋_GB2312"/>
          <w:sz w:val="24"/>
        </w:rPr>
      </w:pPr>
    </w:p>
    <w:p>
      <w:pPr>
        <w:pStyle w:val="14"/>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14"/>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xml:space="preserve">　　  （用文字和数字表示），占投标总价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14"/>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hint="eastAsia" w:ascii="仿宋_GB2312" w:hAnsi="宋体" w:eastAsia="仿宋_GB2312"/>
          <w:sz w:val="24"/>
        </w:rPr>
      </w:pP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14"/>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14"/>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06" w:name="_Toc23473"/>
      <w:bookmarkStart w:id="307" w:name="_Toc6421"/>
      <w:bookmarkStart w:id="308" w:name="_Toc1266"/>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06"/>
      <w:bookmarkEnd w:id="307"/>
      <w:bookmarkEnd w:id="308"/>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_GB2312" w:hAnsi="宋体" w:eastAsia="仿宋_GB2312"/>
          <w:sz w:val="24"/>
        </w:rPr>
        <w:sectPr>
          <w:footerReference r:id="rId5" w:type="default"/>
          <w:pgSz w:w="11906" w:h="16838"/>
          <w:pgMar w:top="1440" w:right="1797" w:bottom="1440" w:left="1797" w:header="851" w:footer="992" w:gutter="0"/>
          <w:cols w:space="720" w:num="1"/>
          <w:docGrid w:type="linesAndChars" w:linePitch="312" w:charSpace="0"/>
        </w:sectPr>
      </w:pPr>
      <w:r>
        <w:rPr>
          <w:rFonts w:hint="eastAsia" w:ascii="仿宋" w:hAnsi="仿宋" w:eastAsia="仿宋"/>
        </w:rPr>
        <w:t xml:space="preserve">年     月     </w:t>
      </w:r>
      <w:bookmarkStart w:id="309" w:name="_Hlt520355938"/>
      <w:bookmarkEnd w:id="309"/>
      <w:bookmarkStart w:id="310" w:name="_Hlt520356243"/>
      <w:bookmarkEnd w:id="310"/>
    </w:p>
    <w:p>
      <w:pPr>
        <w:pStyle w:val="4"/>
        <w:spacing w:before="0" w:line="240" w:lineRule="atLeast"/>
        <w:jc w:val="both"/>
        <w:rPr>
          <w:rFonts w:hint="eastAsia" w:ascii="仿宋_GB2312" w:eastAsia="仿宋_GB2312"/>
          <w:sz w:val="24"/>
        </w:rPr>
      </w:pPr>
      <w:bookmarkStart w:id="311" w:name="_Toc216582815"/>
      <w:bookmarkStart w:id="312" w:name="_Toc515647818"/>
      <w:bookmarkStart w:id="313" w:name="_Toc20897"/>
      <w:bookmarkStart w:id="314" w:name="_Toc1881"/>
      <w:bookmarkStart w:id="315" w:name="_Toc3216"/>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1"/>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2"/>
      <w:bookmarkEnd w:id="313"/>
      <w:bookmarkEnd w:id="314"/>
      <w:bookmarkEnd w:id="315"/>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报价单位：人民币万元</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14"/>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数量</w:t>
            </w:r>
          </w:p>
        </w:tc>
        <w:tc>
          <w:tcPr>
            <w:tcW w:w="1177"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14"/>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noWrap w:val="0"/>
            <w:vAlign w:val="center"/>
          </w:tcPr>
          <w:p>
            <w:pPr>
              <w:pStyle w:val="14"/>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14"/>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14"/>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14"/>
              <w:spacing w:line="240" w:lineRule="atLeast"/>
              <w:ind w:left="1080" w:leftChars="257" w:hanging="540"/>
              <w:jc w:val="center"/>
              <w:rPr>
                <w:rFonts w:hint="eastAsia" w:ascii="仿宋_GB2312" w:eastAsia="仿宋_GB2312"/>
                <w:sz w:val="24"/>
              </w:rPr>
            </w:pPr>
          </w:p>
        </w:tc>
        <w:tc>
          <w:tcPr>
            <w:tcW w:w="976" w:type="dxa"/>
            <w:noWrap w:val="0"/>
            <w:vAlign w:val="center"/>
          </w:tcPr>
          <w:p>
            <w:pPr>
              <w:pStyle w:val="14"/>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4"/>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noWrap w:val="0"/>
            <w:vAlign w:val="center"/>
          </w:tcPr>
          <w:p>
            <w:pPr>
              <w:pStyle w:val="14"/>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14"/>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14"/>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14"/>
              <w:spacing w:line="240" w:lineRule="atLeast"/>
              <w:ind w:left="1080" w:leftChars="257" w:hanging="540"/>
              <w:jc w:val="center"/>
              <w:rPr>
                <w:rFonts w:hint="eastAsia" w:ascii="仿宋_GB2312" w:eastAsia="仿宋_GB2312"/>
                <w:sz w:val="24"/>
              </w:rPr>
            </w:pPr>
          </w:p>
        </w:tc>
        <w:tc>
          <w:tcPr>
            <w:tcW w:w="976" w:type="dxa"/>
            <w:noWrap w:val="0"/>
            <w:vAlign w:val="center"/>
          </w:tcPr>
          <w:p>
            <w:pPr>
              <w:pStyle w:val="14"/>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4"/>
              <w:spacing w:line="240" w:lineRule="atLeast"/>
              <w:ind w:left="269" w:leftChars="128"/>
              <w:jc w:val="center"/>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w:t>
            </w:r>
          </w:p>
        </w:tc>
        <w:tc>
          <w:tcPr>
            <w:tcW w:w="251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noWrap w:val="0"/>
            <w:vAlign w:val="center"/>
          </w:tcPr>
          <w:p>
            <w:pPr>
              <w:pStyle w:val="14"/>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14"/>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14"/>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14"/>
              <w:spacing w:line="240" w:lineRule="atLeast"/>
              <w:ind w:left="1080" w:leftChars="257" w:hanging="540"/>
              <w:jc w:val="center"/>
              <w:rPr>
                <w:rFonts w:hint="eastAsia" w:ascii="仿宋_GB2312" w:eastAsia="仿宋_GB2312"/>
                <w:sz w:val="24"/>
              </w:rPr>
            </w:pPr>
          </w:p>
        </w:tc>
        <w:tc>
          <w:tcPr>
            <w:tcW w:w="976" w:type="dxa"/>
            <w:noWrap w:val="0"/>
            <w:vAlign w:val="center"/>
          </w:tcPr>
          <w:p>
            <w:pPr>
              <w:pStyle w:val="14"/>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4"/>
              <w:spacing w:line="240" w:lineRule="atLeast"/>
              <w:ind w:left="269" w:leftChars="128"/>
              <w:jc w:val="center"/>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w:t>
            </w:r>
          </w:p>
        </w:tc>
        <w:tc>
          <w:tcPr>
            <w:tcW w:w="251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noWrap w:val="0"/>
            <w:vAlign w:val="center"/>
          </w:tcPr>
          <w:p>
            <w:pPr>
              <w:pStyle w:val="14"/>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14"/>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14"/>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14"/>
              <w:spacing w:line="240" w:lineRule="atLeast"/>
              <w:ind w:left="1080" w:leftChars="257" w:hanging="540"/>
              <w:jc w:val="center"/>
              <w:rPr>
                <w:rFonts w:hint="eastAsia" w:ascii="仿宋_GB2312" w:eastAsia="仿宋_GB2312"/>
                <w:sz w:val="24"/>
              </w:rPr>
            </w:pPr>
          </w:p>
        </w:tc>
        <w:tc>
          <w:tcPr>
            <w:tcW w:w="976" w:type="dxa"/>
            <w:noWrap w:val="0"/>
            <w:vAlign w:val="center"/>
          </w:tcPr>
          <w:p>
            <w:pPr>
              <w:pStyle w:val="14"/>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4"/>
              <w:spacing w:line="240" w:lineRule="atLeast"/>
              <w:ind w:left="269" w:leftChars="128"/>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2510" w:type="dxa"/>
            <w:noWrap w:val="0"/>
            <w:vAlign w:val="center"/>
          </w:tcPr>
          <w:p>
            <w:pPr>
              <w:pStyle w:val="14"/>
              <w:spacing w:line="240" w:lineRule="atLeast"/>
              <w:jc w:val="center"/>
              <w:rPr>
                <w:rFonts w:hint="eastAsia" w:ascii="仿宋_GB2312" w:eastAsia="仿宋_GB2312"/>
                <w:sz w:val="24"/>
                <w:lang w:eastAsia="zh-CN"/>
              </w:rPr>
            </w:pPr>
            <w:r>
              <w:rPr>
                <w:rFonts w:hint="eastAsia" w:ascii="仿宋_GB2312" w:eastAsia="仿宋_GB2312"/>
                <w:sz w:val="24"/>
                <w:lang w:eastAsia="zh-CN"/>
              </w:rPr>
              <w:t>总价</w:t>
            </w:r>
          </w:p>
        </w:tc>
        <w:tc>
          <w:tcPr>
            <w:tcW w:w="7272" w:type="dxa"/>
            <w:gridSpan w:val="5"/>
            <w:noWrap w:val="0"/>
            <w:vAlign w:val="center"/>
          </w:tcPr>
          <w:p>
            <w:pPr>
              <w:pStyle w:val="14"/>
              <w:spacing w:line="240" w:lineRule="atLeast"/>
              <w:ind w:left="1080" w:leftChars="257" w:hanging="540"/>
              <w:jc w:val="center"/>
              <w:rPr>
                <w:rFonts w:hint="eastAsia" w:ascii="仿宋_GB2312" w:eastAsia="仿宋_GB2312"/>
                <w:sz w:val="24"/>
              </w:rPr>
            </w:pPr>
          </w:p>
        </w:tc>
      </w:tr>
    </w:tbl>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14"/>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14"/>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316" w:name="_Toc216582816"/>
      <w:bookmarkStart w:id="317" w:name="_Toc18267"/>
      <w:bookmarkStart w:id="318" w:name="_Toc14037"/>
      <w:bookmarkStart w:id="319" w:name="_Toc515647819"/>
      <w:bookmarkStart w:id="320" w:name="_Toc28016"/>
      <w:r>
        <w:rPr>
          <w:rFonts w:ascii="仿宋_GB2312" w:eastAsia="仿宋_GB2312"/>
          <w:sz w:val="24"/>
        </w:rPr>
        <w:t xml:space="preserve">4   </w:t>
      </w:r>
      <w:r>
        <w:rPr>
          <w:rFonts w:hint="eastAsia" w:ascii="仿宋_GB2312" w:eastAsia="仿宋_GB2312"/>
          <w:sz w:val="24"/>
        </w:rPr>
        <w:t>货物说明一览表</w:t>
      </w:r>
      <w:bookmarkEnd w:id="316"/>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17"/>
      <w:bookmarkEnd w:id="318"/>
      <w:bookmarkEnd w:id="319"/>
      <w:bookmarkEnd w:id="320"/>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14"/>
        <w:spacing w:line="240" w:lineRule="atLeast"/>
        <w:ind w:left="1080" w:leftChars="257" w:hanging="540"/>
        <w:rPr>
          <w:rFonts w:hint="eastAsia" w:ascii="仿宋_GB2312" w:eastAsia="仿宋_GB2312"/>
          <w:sz w:val="24"/>
        </w:rPr>
      </w:pP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noWrap w:val="0"/>
            <w:vAlign w:val="top"/>
          </w:tcPr>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noWrap w:val="0"/>
            <w:vAlign w:val="top"/>
          </w:tcPr>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noWrap w:val="0"/>
            <w:vAlign w:val="top"/>
          </w:tcPr>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noWrap w:val="0"/>
            <w:vAlign w:val="top"/>
          </w:tcPr>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noWrap w:val="0"/>
            <w:vAlign w:val="top"/>
          </w:tcPr>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noWrap w:val="0"/>
            <w:vAlign w:val="top"/>
          </w:tcPr>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1800" w:type="dxa"/>
            <w:noWrap w:val="0"/>
            <w:vAlign w:val="top"/>
          </w:tcPr>
          <w:p>
            <w:pPr>
              <w:pStyle w:val="14"/>
              <w:spacing w:line="240" w:lineRule="atLeast"/>
              <w:ind w:left="1080" w:leftChars="257" w:hanging="540"/>
              <w:rPr>
                <w:rFonts w:hint="eastAsia" w:ascii="仿宋_GB2312" w:eastAsia="仿宋_GB2312"/>
                <w:sz w:val="24"/>
              </w:rPr>
            </w:pPr>
          </w:p>
        </w:tc>
        <w:tc>
          <w:tcPr>
            <w:tcW w:w="162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216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1800" w:type="dxa"/>
            <w:noWrap w:val="0"/>
            <w:vAlign w:val="top"/>
          </w:tcPr>
          <w:p>
            <w:pPr>
              <w:pStyle w:val="14"/>
              <w:spacing w:line="240" w:lineRule="atLeast"/>
              <w:ind w:left="1080" w:leftChars="257" w:hanging="540"/>
              <w:rPr>
                <w:rFonts w:hint="eastAsia" w:ascii="仿宋_GB2312" w:eastAsia="仿宋_GB2312"/>
                <w:sz w:val="24"/>
              </w:rPr>
            </w:pPr>
          </w:p>
        </w:tc>
        <w:tc>
          <w:tcPr>
            <w:tcW w:w="162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216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1800" w:type="dxa"/>
            <w:noWrap w:val="0"/>
            <w:vAlign w:val="top"/>
          </w:tcPr>
          <w:p>
            <w:pPr>
              <w:pStyle w:val="14"/>
              <w:spacing w:line="240" w:lineRule="atLeast"/>
              <w:ind w:left="1080" w:leftChars="257" w:hanging="540"/>
              <w:rPr>
                <w:rFonts w:hint="eastAsia" w:ascii="仿宋_GB2312" w:eastAsia="仿宋_GB2312"/>
                <w:sz w:val="24"/>
              </w:rPr>
            </w:pPr>
          </w:p>
        </w:tc>
        <w:tc>
          <w:tcPr>
            <w:tcW w:w="162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216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1800" w:type="dxa"/>
            <w:noWrap w:val="0"/>
            <w:vAlign w:val="top"/>
          </w:tcPr>
          <w:p>
            <w:pPr>
              <w:pStyle w:val="14"/>
              <w:spacing w:line="240" w:lineRule="atLeast"/>
              <w:ind w:left="1080" w:leftChars="257" w:hanging="540"/>
              <w:rPr>
                <w:rFonts w:hint="eastAsia" w:ascii="仿宋_GB2312" w:eastAsia="仿宋_GB2312"/>
                <w:sz w:val="24"/>
              </w:rPr>
            </w:pPr>
          </w:p>
        </w:tc>
        <w:tc>
          <w:tcPr>
            <w:tcW w:w="162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216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1800" w:type="dxa"/>
            <w:noWrap w:val="0"/>
            <w:vAlign w:val="top"/>
          </w:tcPr>
          <w:p>
            <w:pPr>
              <w:pStyle w:val="14"/>
              <w:spacing w:line="240" w:lineRule="atLeast"/>
              <w:ind w:left="1080" w:leftChars="257" w:hanging="540"/>
              <w:rPr>
                <w:rFonts w:hint="eastAsia" w:ascii="仿宋_GB2312" w:eastAsia="仿宋_GB2312"/>
                <w:sz w:val="24"/>
              </w:rPr>
            </w:pPr>
          </w:p>
        </w:tc>
        <w:tc>
          <w:tcPr>
            <w:tcW w:w="162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216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1800" w:type="dxa"/>
            <w:noWrap w:val="0"/>
            <w:vAlign w:val="top"/>
          </w:tcPr>
          <w:p>
            <w:pPr>
              <w:pStyle w:val="14"/>
              <w:spacing w:line="240" w:lineRule="atLeast"/>
              <w:ind w:left="1080" w:leftChars="257" w:hanging="540"/>
              <w:rPr>
                <w:rFonts w:hint="eastAsia" w:ascii="仿宋_GB2312" w:eastAsia="仿宋_GB2312"/>
                <w:sz w:val="24"/>
              </w:rPr>
            </w:pPr>
          </w:p>
        </w:tc>
        <w:tc>
          <w:tcPr>
            <w:tcW w:w="162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216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1800" w:type="dxa"/>
            <w:noWrap w:val="0"/>
            <w:vAlign w:val="top"/>
          </w:tcPr>
          <w:p>
            <w:pPr>
              <w:pStyle w:val="14"/>
              <w:spacing w:line="240" w:lineRule="atLeast"/>
              <w:ind w:left="1080" w:leftChars="257" w:hanging="540"/>
              <w:rPr>
                <w:rFonts w:hint="eastAsia" w:ascii="仿宋_GB2312" w:eastAsia="仿宋_GB2312"/>
                <w:sz w:val="24"/>
              </w:rPr>
            </w:pPr>
          </w:p>
        </w:tc>
        <w:tc>
          <w:tcPr>
            <w:tcW w:w="162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216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1800" w:type="dxa"/>
            <w:noWrap w:val="0"/>
            <w:vAlign w:val="top"/>
          </w:tcPr>
          <w:p>
            <w:pPr>
              <w:pStyle w:val="14"/>
              <w:spacing w:line="240" w:lineRule="atLeast"/>
              <w:ind w:left="1080" w:leftChars="257" w:hanging="540"/>
              <w:rPr>
                <w:rFonts w:hint="eastAsia" w:ascii="仿宋_GB2312" w:eastAsia="仿宋_GB2312"/>
                <w:sz w:val="24"/>
              </w:rPr>
            </w:pPr>
          </w:p>
        </w:tc>
        <w:tc>
          <w:tcPr>
            <w:tcW w:w="162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c>
          <w:tcPr>
            <w:tcW w:w="2160" w:type="dxa"/>
            <w:noWrap w:val="0"/>
            <w:vAlign w:val="top"/>
          </w:tcPr>
          <w:p>
            <w:pPr>
              <w:pStyle w:val="14"/>
              <w:spacing w:line="240" w:lineRule="atLeast"/>
              <w:ind w:left="1080" w:leftChars="257" w:hanging="540"/>
              <w:rPr>
                <w:rFonts w:hint="eastAsia" w:ascii="仿宋_GB2312" w:eastAsia="仿宋_GB2312"/>
                <w:sz w:val="24"/>
              </w:rPr>
            </w:pPr>
          </w:p>
        </w:tc>
        <w:tc>
          <w:tcPr>
            <w:tcW w:w="1980" w:type="dxa"/>
            <w:noWrap w:val="0"/>
            <w:vAlign w:val="top"/>
          </w:tcPr>
          <w:p>
            <w:pPr>
              <w:pStyle w:val="14"/>
              <w:spacing w:line="240" w:lineRule="atLeast"/>
              <w:ind w:left="1080" w:leftChars="257" w:hanging="540"/>
              <w:rPr>
                <w:rFonts w:hint="eastAsia" w:ascii="仿宋_GB2312" w:eastAsia="仿宋_GB2312"/>
                <w:sz w:val="24"/>
              </w:rPr>
            </w:pPr>
          </w:p>
        </w:tc>
      </w:tr>
    </w:tbl>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14"/>
        <w:spacing w:line="240" w:lineRule="atLeast"/>
        <w:ind w:left="1080" w:leftChars="257" w:hanging="540"/>
        <w:jc w:val="center"/>
        <w:rPr>
          <w:rFonts w:hint="eastAsia" w:ascii="仿宋_GB2312" w:eastAsia="仿宋_GB2312"/>
          <w:sz w:val="24"/>
        </w:rPr>
      </w:pPr>
    </w:p>
    <w:p>
      <w:pPr>
        <w:pStyle w:val="14"/>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1" w:name="_Toc216582817"/>
      <w:bookmarkStart w:id="322" w:name="_Toc28959"/>
      <w:bookmarkStart w:id="323" w:name="_Toc515647820"/>
      <w:bookmarkStart w:id="324" w:name="_Toc5388"/>
      <w:bookmarkStart w:id="325" w:name="_Toc22563"/>
      <w:r>
        <w:rPr>
          <w:rFonts w:ascii="仿宋_GB2312" w:eastAsia="仿宋_GB2312"/>
          <w:sz w:val="24"/>
        </w:rPr>
        <w:t>5</w:t>
      </w:r>
      <w:r>
        <w:rPr>
          <w:rFonts w:hint="eastAsia" w:ascii="仿宋_GB2312" w:eastAsia="仿宋_GB2312"/>
          <w:sz w:val="24"/>
        </w:rPr>
        <w:t xml:space="preserve">   技术规格偏离表</w:t>
      </w:r>
      <w:bookmarkEnd w:id="321"/>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2"/>
      <w:bookmarkEnd w:id="323"/>
      <w:bookmarkEnd w:id="324"/>
      <w:bookmarkEnd w:id="325"/>
    </w:p>
    <w:p>
      <w:pPr>
        <w:pStyle w:val="14"/>
        <w:spacing w:line="240" w:lineRule="atLeast"/>
        <w:ind w:left="1080" w:leftChars="257" w:hanging="540"/>
        <w:rPr>
          <w:rFonts w:hint="eastAsia" w:ascii="仿宋_GB2312" w:eastAsia="仿宋_GB2312"/>
          <w:sz w:val="24"/>
        </w:rPr>
      </w:pPr>
    </w:p>
    <w:p>
      <w:pPr>
        <w:pStyle w:val="14"/>
        <w:spacing w:line="240" w:lineRule="atLeast"/>
        <w:rPr>
          <w:rFonts w:hint="eastAsia" w:ascii="仿宋_GB2312" w:eastAsia="仿宋_GB2312"/>
          <w:sz w:val="24"/>
        </w:rPr>
      </w:pPr>
      <w:r>
        <w:rPr>
          <w:rFonts w:hint="eastAsia" w:ascii="仿宋_GB2312" w:eastAsia="仿宋_GB2312"/>
          <w:sz w:val="24"/>
        </w:rPr>
        <w:t>项目名称:                       招标编号:                 包号:</w:t>
      </w:r>
    </w:p>
    <w:p>
      <w:pPr>
        <w:pStyle w:val="14"/>
        <w:spacing w:line="240" w:lineRule="atLeast"/>
        <w:ind w:left="1080" w:leftChars="257" w:hanging="540"/>
        <w:rPr>
          <w:rFonts w:hint="eastAsia" w:ascii="仿宋_GB2312" w:eastAsia="仿宋_GB2312"/>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noWrap w:val="0"/>
            <w:vAlign w:val="center"/>
          </w:tcPr>
          <w:p>
            <w:pPr>
              <w:pStyle w:val="14"/>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noWrap w:val="0"/>
            <w:vAlign w:val="center"/>
          </w:tcPr>
          <w:p>
            <w:pPr>
              <w:pStyle w:val="14"/>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234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126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bl>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26" w:name="_Toc216582818"/>
      <w:bookmarkStart w:id="327" w:name="_Toc2802"/>
      <w:bookmarkStart w:id="328" w:name="_Toc23"/>
      <w:bookmarkStart w:id="329" w:name="_Toc1980"/>
      <w:bookmarkStart w:id="330" w:name="_Toc515647821"/>
      <w:r>
        <w:rPr>
          <w:rFonts w:ascii="仿宋_GB2312" w:eastAsia="仿宋_GB2312"/>
          <w:sz w:val="24"/>
        </w:rPr>
        <w:t>6</w:t>
      </w:r>
      <w:r>
        <w:rPr>
          <w:rFonts w:hint="eastAsia" w:ascii="仿宋_GB2312" w:eastAsia="仿宋_GB2312"/>
          <w:sz w:val="24"/>
        </w:rPr>
        <w:t xml:space="preserve">   商务条款偏离表</w:t>
      </w:r>
      <w:bookmarkEnd w:id="326"/>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27"/>
      <w:bookmarkEnd w:id="328"/>
      <w:bookmarkEnd w:id="329"/>
      <w:bookmarkEnd w:id="330"/>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14"/>
        <w:spacing w:line="240" w:lineRule="atLeast"/>
        <w:ind w:left="1080" w:leftChars="257" w:hanging="540"/>
        <w:rPr>
          <w:rFonts w:hint="eastAsia" w:ascii="仿宋_GB2312" w:eastAsia="仿宋_GB2312"/>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14"/>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14"/>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14"/>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14"/>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jc w:val="center"/>
              <w:rPr>
                <w:rFonts w:hint="eastAsia" w:ascii="仿宋_GB2312" w:eastAsia="仿宋_GB2312"/>
                <w:sz w:val="24"/>
              </w:rPr>
            </w:pPr>
          </w:p>
        </w:tc>
        <w:tc>
          <w:tcPr>
            <w:tcW w:w="2520" w:type="dxa"/>
            <w:noWrap w:val="0"/>
            <w:vAlign w:val="top"/>
          </w:tcPr>
          <w:p>
            <w:pPr>
              <w:pStyle w:val="14"/>
              <w:spacing w:line="240" w:lineRule="atLeast"/>
              <w:ind w:left="1080" w:leftChars="257" w:hanging="540"/>
              <w:jc w:val="center"/>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_GB2312" w:eastAsia="仿宋_GB2312"/>
                <w:sz w:val="24"/>
              </w:rPr>
            </w:pPr>
          </w:p>
        </w:tc>
        <w:tc>
          <w:tcPr>
            <w:tcW w:w="204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2520" w:type="dxa"/>
            <w:noWrap w:val="0"/>
            <w:vAlign w:val="top"/>
          </w:tcPr>
          <w:p>
            <w:pPr>
              <w:pStyle w:val="14"/>
              <w:spacing w:line="240" w:lineRule="atLeast"/>
              <w:ind w:left="1080" w:leftChars="257" w:hanging="540"/>
              <w:rPr>
                <w:rFonts w:hint="eastAsia" w:ascii="仿宋_GB2312" w:eastAsia="仿宋_GB2312"/>
                <w:sz w:val="24"/>
              </w:rPr>
            </w:pPr>
          </w:p>
        </w:tc>
        <w:tc>
          <w:tcPr>
            <w:tcW w:w="900" w:type="dxa"/>
            <w:noWrap w:val="0"/>
            <w:vAlign w:val="top"/>
          </w:tcPr>
          <w:p>
            <w:pPr>
              <w:pStyle w:val="14"/>
              <w:spacing w:line="240" w:lineRule="atLeast"/>
              <w:ind w:left="1080" w:leftChars="257" w:hanging="540"/>
              <w:rPr>
                <w:rFonts w:hint="eastAsia" w:ascii="仿宋_GB2312" w:eastAsia="仿宋_GB2312"/>
                <w:sz w:val="24"/>
              </w:rPr>
            </w:pPr>
          </w:p>
        </w:tc>
      </w:tr>
    </w:tbl>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p>
    <w:p>
      <w:pPr>
        <w:pStyle w:val="14"/>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4"/>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4"/>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jc w:val="center"/>
        <w:rPr>
          <w:rFonts w:hint="eastAsia" w:ascii="仿宋_GB2312" w:eastAsia="仿宋_GB2312"/>
          <w:b w:val="0"/>
          <w:sz w:val="24"/>
        </w:rPr>
      </w:pPr>
      <w:bookmarkStart w:id="331" w:name="_Hlt520350957"/>
      <w:bookmarkEnd w:id="331"/>
      <w:bookmarkStart w:id="332" w:name="_Hlt520273711"/>
      <w:bookmarkEnd w:id="332"/>
      <w:bookmarkStart w:id="333" w:name="_Hlt520343392"/>
      <w:bookmarkEnd w:id="333"/>
      <w:bookmarkStart w:id="334" w:name="_Hlt520274065"/>
      <w:bookmarkEnd w:id="334"/>
      <w:bookmarkStart w:id="335" w:name="_Hlt520350918"/>
      <w:bookmarkEnd w:id="335"/>
      <w:bookmarkStart w:id="336" w:name="_Hlt520273973"/>
      <w:bookmarkEnd w:id="336"/>
      <w:bookmarkStart w:id="337" w:name="_Hlt520271212"/>
      <w:bookmarkEnd w:id="337"/>
      <w:bookmarkStart w:id="338" w:name="_Hlt520274393"/>
      <w:bookmarkEnd w:id="338"/>
      <w:bookmarkStart w:id="339" w:name="_Hlt520343000"/>
      <w:bookmarkEnd w:id="339"/>
      <w:bookmarkStart w:id="340" w:name="_Hlt520274911"/>
      <w:bookmarkEnd w:id="340"/>
      <w:bookmarkStart w:id="341" w:name="_Hlt520274407"/>
      <w:bookmarkEnd w:id="341"/>
      <w:bookmarkStart w:id="342" w:name="_Toc21312"/>
      <w:bookmarkStart w:id="343" w:name="_Toc515647823"/>
      <w:bookmarkStart w:id="344" w:name="_Toc16575"/>
      <w:bookmarkStart w:id="345" w:name="_Toc10725"/>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2"/>
      <w:bookmarkEnd w:id="343"/>
      <w:bookmarkEnd w:id="344"/>
      <w:bookmarkEnd w:id="345"/>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jc w:val="center"/>
        <w:rPr>
          <w:rFonts w:hint="eastAsia" w:ascii="仿宋_GB2312" w:eastAsia="仿宋_GB2312"/>
          <w:b w:val="0"/>
          <w:sz w:val="24"/>
        </w:rPr>
      </w:pPr>
      <w:r>
        <w:rPr>
          <w:rFonts w:ascii="仿宋_GB2312" w:eastAsia="仿宋_GB2312"/>
          <w:b w:val="0"/>
          <w:sz w:val="24"/>
        </w:rPr>
        <w:br w:type="page"/>
      </w:r>
      <w:bookmarkStart w:id="346" w:name="_Toc11803"/>
      <w:bookmarkStart w:id="347" w:name="_Toc10977"/>
      <w:bookmarkStart w:id="348" w:name="_Toc32721"/>
      <w:bookmarkStart w:id="349"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46"/>
      <w:bookmarkEnd w:id="347"/>
      <w:bookmarkEnd w:id="348"/>
      <w:bookmarkEnd w:id="349"/>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widowControl/>
        <w:spacing w:before="100" w:beforeAutospacing="1" w:after="100" w:afterAutospacing="1" w:line="330" w:lineRule="atLeast"/>
        <w:ind w:firstLine="630" w:firstLineChars="300"/>
        <w:jc w:val="left"/>
      </w:pPr>
    </w:p>
    <w:p>
      <w:pPr>
        <w:pStyle w:val="4"/>
        <w:spacing w:before="0" w:line="240" w:lineRule="atLeast"/>
        <w:jc w:val="center"/>
        <w:rPr>
          <w:rFonts w:ascii="仿宋_GB2312" w:eastAsia="仿宋_GB2312"/>
          <w:sz w:val="24"/>
        </w:rPr>
      </w:pPr>
      <w:bookmarkStart w:id="350" w:name="_Toc27742"/>
      <w:bookmarkStart w:id="351" w:name="_Toc515647825"/>
      <w:bookmarkStart w:id="352" w:name="_Toc23068"/>
      <w:bookmarkStart w:id="353" w:name="_Toc19284"/>
      <w:bookmarkStart w:id="354" w:name="OLE_LINK13"/>
      <w:bookmarkStart w:id="355" w:name="OLE_LINK14"/>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0"/>
      <w:bookmarkEnd w:id="351"/>
      <w:bookmarkEnd w:id="352"/>
      <w:bookmarkEnd w:id="353"/>
    </w:p>
    <w:bookmarkEnd w:id="354"/>
    <w:bookmarkEnd w:id="355"/>
    <w:p>
      <w:pPr>
        <w:spacing w:line="240" w:lineRule="atLeast"/>
        <w:ind w:left="1080" w:leftChars="257" w:hanging="540"/>
        <w:jc w:val="center"/>
        <w:rPr>
          <w:rFonts w:ascii="仿宋_GB2312" w:hAnsi="Arial" w:eastAsia="仿宋_GB2312"/>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 xml:space="preserve">              残疾人福利性单位名称（盖单位章）：______________</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 xml:space="preserve">         日  期：_____________________________________________</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5"/>
      </w:pPr>
    </w:p>
    <w:p>
      <w:pPr>
        <w:pStyle w:val="4"/>
        <w:spacing w:before="0" w:line="240" w:lineRule="atLeast"/>
        <w:ind w:left="1080" w:leftChars="257" w:hanging="540"/>
        <w:rPr>
          <w:rFonts w:hint="eastAsia" w:ascii="仿宋_GB2312" w:hAnsi="宋体" w:eastAsia="仿宋_GB2312"/>
          <w:sz w:val="24"/>
        </w:rPr>
      </w:pPr>
      <w:bookmarkStart w:id="356" w:name="_Toc28099"/>
      <w:bookmarkStart w:id="357" w:name="_Toc30795"/>
      <w:bookmarkStart w:id="358" w:name="_Toc515647827"/>
      <w:bookmarkStart w:id="359" w:name="_Toc2008"/>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56"/>
      <w:bookmarkEnd w:id="357"/>
      <w:bookmarkEnd w:id="358"/>
      <w:bookmarkEnd w:id="359"/>
    </w:p>
    <w:p>
      <w:pPr>
        <w:pStyle w:val="5"/>
        <w:jc w:val="center"/>
      </w:pPr>
    </w:p>
    <w:p>
      <w:pPr>
        <w:pStyle w:val="5"/>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5"/>
        <w:ind w:firstLine="480" w:firstLineChars="200"/>
        <w:rPr>
          <w:rFonts w:hint="eastAsia" w:ascii="仿宋_GB2312" w:hAnsi="宋体" w:eastAsia="仿宋_GB2312"/>
          <w:lang w:eastAsia="zh-CN"/>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p>
    <w:p>
      <w:pPr>
        <w:pStyle w:val="5"/>
        <w:ind w:firstLine="480" w:firstLineChars="200"/>
        <w:rPr>
          <w:rFonts w:hint="eastAsia"/>
        </w:rPr>
      </w:pP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5"/>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bookmarkStart w:id="360" w:name="_Toc17333"/>
      <w:bookmarkStart w:id="361" w:name="_Toc14006"/>
      <w:bookmarkStart w:id="362" w:name="_Toc7414"/>
      <w:bookmarkStart w:id="363" w:name="_Toc515647828"/>
      <w:r>
        <w:rPr>
          <w:rFonts w:ascii="仿宋_GB2312" w:hAnsi="宋体" w:eastAsia="仿宋_GB2312"/>
          <w:sz w:val="24"/>
        </w:rPr>
        <w:t>9</w:t>
      </w:r>
      <w:r>
        <w:rPr>
          <w:rFonts w:hint="eastAsia" w:ascii="仿宋_GB2312" w:hAnsi="宋体" w:eastAsia="仿宋_GB2312"/>
          <w:sz w:val="24"/>
        </w:rPr>
        <w:t xml:space="preserve">   投标文件还应包括投标人须知第10条的所有技术文件</w:t>
      </w:r>
      <w:bookmarkEnd w:id="360"/>
      <w:bookmarkEnd w:id="361"/>
      <w:bookmarkEnd w:id="362"/>
      <w:bookmarkEnd w:id="363"/>
    </w:p>
    <w:p>
      <w:pPr>
        <w:spacing w:line="240" w:lineRule="atLeast"/>
        <w:ind w:left="1080" w:leftChars="257" w:hanging="540"/>
        <w:jc w:val="center"/>
        <w:rPr>
          <w:rFonts w:ascii="仿宋_GB2312" w:hAnsi="宋体" w:eastAsia="仿宋_GB2312"/>
          <w:sz w:val="24"/>
        </w:rPr>
      </w:pPr>
      <w:r>
        <w:rPr>
          <w:rFonts w:ascii="仿宋_GB2312" w:hAnsi="宋体" w:eastAsia="仿宋_GB2312"/>
          <w:sz w:val="24"/>
        </w:rPr>
        <w:br w:type="page"/>
      </w:r>
    </w:p>
    <w:p>
      <w:pPr>
        <w:pStyle w:val="23"/>
        <w:rPr>
          <w:rFonts w:ascii="仿宋_GB2312" w:hAnsi="宋体" w:eastAsia="仿宋_GB2312"/>
          <w:sz w:val="24"/>
        </w:rPr>
      </w:pPr>
    </w:p>
    <w:p>
      <w:pPr>
        <w:pStyle w:val="23"/>
        <w:rPr>
          <w:rFonts w:ascii="仿宋_GB2312" w:hAnsi="宋体" w:eastAsia="仿宋_GB2312"/>
          <w:sz w:val="24"/>
        </w:rPr>
      </w:pPr>
    </w:p>
    <w:p>
      <w:pPr>
        <w:pStyle w:val="23"/>
        <w:rPr>
          <w:rFonts w:ascii="仿宋_GB2312" w:hAnsi="宋体" w:eastAsia="仿宋_GB2312"/>
          <w:sz w:val="24"/>
        </w:rPr>
      </w:pPr>
    </w:p>
    <w:p>
      <w:pPr>
        <w:pStyle w:val="23"/>
        <w:rPr>
          <w:rFonts w:ascii="仿宋_GB2312" w:hAnsi="宋体" w:eastAsia="仿宋_GB2312"/>
          <w:sz w:val="24"/>
        </w:rPr>
      </w:pPr>
    </w:p>
    <w:p>
      <w:pPr>
        <w:pStyle w:val="23"/>
        <w:rPr>
          <w:rFonts w:ascii="仿宋_GB2312" w:hAnsi="宋体" w:eastAsia="仿宋_GB2312"/>
          <w:sz w:val="24"/>
        </w:rPr>
      </w:pPr>
    </w:p>
    <w:p>
      <w:pPr>
        <w:pStyle w:val="23"/>
        <w:rPr>
          <w:rFonts w:ascii="仿宋_GB2312" w:hAnsi="宋体" w:eastAsia="仿宋_GB2312"/>
          <w:sz w:val="24"/>
        </w:rPr>
      </w:pPr>
    </w:p>
    <w:p>
      <w:pPr>
        <w:pStyle w:val="23"/>
        <w:rPr>
          <w:rFonts w:ascii="仿宋_GB2312" w:hAnsi="宋体" w:eastAsia="仿宋_GB2312"/>
          <w:sz w:val="24"/>
        </w:rPr>
      </w:pPr>
    </w:p>
    <w:p>
      <w:pPr>
        <w:pStyle w:val="23"/>
        <w:rPr>
          <w:rFonts w:ascii="仿宋_GB2312" w:hAnsi="宋体" w:eastAsia="仿宋_GB2312"/>
          <w:sz w:val="24"/>
        </w:rPr>
      </w:pPr>
    </w:p>
    <w:p>
      <w:pPr>
        <w:pStyle w:val="23"/>
        <w:rPr>
          <w:rFonts w:ascii="仿宋_GB2312" w:hAnsi="宋体" w:eastAsia="仿宋_GB2312"/>
          <w:sz w:val="24"/>
        </w:rPr>
      </w:pPr>
    </w:p>
    <w:p>
      <w:pPr>
        <w:pStyle w:val="23"/>
        <w:rPr>
          <w:rFonts w:hint="eastAsia" w:ascii="仿宋_GB2312" w:hAnsi="宋体" w:eastAsia="仿宋_GB2312"/>
          <w:sz w:val="24"/>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仿宋_GB2312" w:eastAsia="仿宋_GB2312"/>
          <w:b/>
          <w:sz w:val="52"/>
          <w:szCs w:val="52"/>
        </w:rPr>
      </w:pPr>
      <w:r>
        <w:rPr>
          <w:rFonts w:hint="eastAsia" w:ascii="仿宋_GB2312" w:eastAsia="仿宋_GB2312"/>
          <w:b/>
          <w:sz w:val="52"/>
          <w:szCs w:val="52"/>
        </w:rPr>
        <w:t>喀什市景区景点道路标识牌增设及规范改造项目招标文件</w:t>
      </w:r>
    </w:p>
    <w:p>
      <w:pPr>
        <w:pStyle w:val="5"/>
        <w:ind w:left="0" w:leftChars="0" w:firstLine="0" w:firstLineChars="0"/>
        <w:rPr>
          <w:rFonts w:hint="eastAsia" w:ascii="仿宋_GB2312" w:eastAsia="仿宋_GB2312"/>
          <w:b/>
          <w:sz w:val="52"/>
        </w:rPr>
      </w:pPr>
    </w:p>
    <w:p>
      <w:pPr>
        <w:rPr>
          <w:rFonts w:hint="eastAsia"/>
        </w:rPr>
      </w:pPr>
    </w:p>
    <w:p>
      <w:pPr>
        <w:spacing w:line="240" w:lineRule="atLeast"/>
        <w:jc w:val="center"/>
        <w:rPr>
          <w:rFonts w:hint="eastAsia" w:ascii="华文中宋" w:hAnsi="华文中宋" w:eastAsia="华文中宋" w:cs="华文中宋"/>
          <w:b/>
          <w:bCs w:val="0"/>
          <w:sz w:val="32"/>
          <w:szCs w:val="32"/>
        </w:rPr>
      </w:pPr>
      <w:r>
        <w:rPr>
          <w:rFonts w:hint="eastAsia" w:ascii="华文中宋" w:hAnsi="华文中宋" w:eastAsia="华文中宋" w:cs="华文中宋"/>
          <w:b/>
          <w:bCs w:val="0"/>
          <w:sz w:val="32"/>
          <w:szCs w:val="32"/>
        </w:rPr>
        <w:t>项目编号：</w:t>
      </w:r>
      <w:r>
        <w:rPr>
          <w:rFonts w:hint="eastAsia" w:ascii="华文中宋" w:hAnsi="华文中宋" w:eastAsia="华文中宋" w:cs="华文中宋"/>
          <w:b/>
          <w:bCs w:val="0"/>
          <w:sz w:val="32"/>
          <w:szCs w:val="32"/>
          <w:lang w:eastAsia="zh-CN"/>
        </w:rPr>
        <w:t>XJAMJ-2021-030</w:t>
      </w:r>
    </w:p>
    <w:p>
      <w:pPr>
        <w:rPr>
          <w:rFonts w:hint="eastAsia" w:ascii="仿宋_GB2312" w:eastAsia="仿宋_GB2312"/>
          <w:b/>
          <w:kern w:val="2"/>
          <w:sz w:val="44"/>
          <w:szCs w:val="44"/>
          <w:lang w:val="en-US" w:eastAsia="zh-CN" w:bidi="ar-SA"/>
        </w:rPr>
      </w:pPr>
    </w:p>
    <w:p>
      <w:pPr>
        <w:pStyle w:val="5"/>
        <w:rPr>
          <w:rFonts w:hint="eastAsia"/>
          <w:lang w:val="en-US" w:eastAsia="zh-CN"/>
        </w:rPr>
      </w:pPr>
    </w:p>
    <w:p>
      <w:pPr>
        <w:rPr>
          <w:rFonts w:hint="eastAsia"/>
          <w:lang w:val="en-US" w:eastAsia="zh-CN"/>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jc w:val="both"/>
        <w:rPr>
          <w:rFonts w:hint="eastAsia" w:ascii="仿宋_GB2312" w:eastAsia="仿宋_GB2312"/>
          <w:b/>
          <w:sz w:val="52"/>
        </w:rPr>
      </w:pPr>
    </w:p>
    <w:p>
      <w:pPr>
        <w:pStyle w:val="2"/>
        <w:rPr>
          <w:rFonts w:hint="eastAsia"/>
        </w:rPr>
      </w:pPr>
    </w:p>
    <w:p>
      <w:pPr>
        <w:pStyle w:val="3"/>
        <w:numPr>
          <w:ilvl w:val="0"/>
          <w:numId w:val="2"/>
        </w:numPr>
        <w:tabs>
          <w:tab w:val="left" w:pos="0"/>
          <w:tab w:val="clear" w:pos="3134"/>
        </w:tabs>
        <w:spacing w:before="0" w:after="0" w:line="240" w:lineRule="atLeast"/>
        <w:ind w:hanging="3134"/>
        <w:jc w:val="both"/>
        <w:rPr>
          <w:rFonts w:hint="eastAsia" w:ascii="仿宋_GB2312" w:eastAsia="仿宋_GB2312"/>
        </w:rPr>
      </w:pPr>
      <w:r>
        <w:rPr>
          <w:rFonts w:hint="eastAsia" w:ascii="仿宋_GB2312" w:eastAsia="仿宋_GB2312"/>
          <w:lang w:val="en-US" w:eastAsia="zh-CN"/>
        </w:rPr>
        <w:t xml:space="preserve"> </w:t>
      </w:r>
      <w:bookmarkStart w:id="364" w:name="_Toc30762"/>
      <w:r>
        <w:rPr>
          <w:rFonts w:hint="eastAsia" w:ascii="仿宋_GB2312" w:eastAsia="仿宋_GB2312"/>
          <w:lang w:eastAsia="zh-CN"/>
        </w:rPr>
        <w:t>招标公告</w:t>
      </w:r>
      <w:bookmarkEnd w:id="364"/>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caps w:val="0"/>
          <w:color w:val="auto"/>
          <w:spacing w:val="0"/>
          <w:sz w:val="24"/>
          <w:szCs w:val="24"/>
        </w:rPr>
      </w:pPr>
      <w:r>
        <w:rPr>
          <w:rFonts w:hint="eastAsia" w:ascii="仿宋" w:hAnsi="仿宋" w:eastAsia="仿宋" w:cs="仿宋"/>
          <w:color w:val="auto"/>
          <w:sz w:val="24"/>
          <w:szCs w:val="24"/>
          <w:lang w:val="en-US" w:eastAsia="zh-CN"/>
        </w:rPr>
        <w:t>喀什市景区景点道路标识牌增设及规范改造项目的潜在供应商应在喀什市滨河南路003号(新隆大酒店旁)南湖假日大酒店后院内招商中心现场获取招标文件，并于2021年12月24日11点00分(北京时间）前提交响应文件。</w:t>
      </w:r>
    </w:p>
    <w:p>
      <w:pPr>
        <w:rPr>
          <w:rFonts w:hint="eastAsia" w:ascii="仿宋_GB2312" w:eastAsia="仿宋_GB2312"/>
          <w:lang w:eastAsia="zh-CN"/>
        </w:rPr>
      </w:pPr>
    </w:p>
    <w:p>
      <w:pPr>
        <w:pStyle w:val="28"/>
        <w:keepNext w:val="0"/>
        <w:keepLines w:val="0"/>
        <w:widowControl/>
        <w:suppressLineNumbers w:val="0"/>
        <w:spacing w:before="255" w:beforeAutospacing="0" w:after="255" w:afterAutospacing="0" w:line="300" w:lineRule="atLeast"/>
        <w:ind w:left="0" w:right="0" w:firstLine="0"/>
        <w:jc w:val="both"/>
        <w:rPr>
          <w:rFonts w:ascii="仿宋_GB2312" w:eastAsia="仿宋_GB2312"/>
          <w:sz w:val="24"/>
        </w:rPr>
      </w:pPr>
      <w:r>
        <w:rPr>
          <w:rStyle w:val="35"/>
          <w:rFonts w:ascii="黑体" w:hAnsi="宋体" w:eastAsia="黑体" w:cs="黑体"/>
          <w:i w:val="0"/>
          <w:iCs w:val="0"/>
          <w:caps w:val="0"/>
          <w:color w:val="000000"/>
          <w:spacing w:val="0"/>
          <w:sz w:val="27"/>
          <w:szCs w:val="27"/>
        </w:rPr>
        <w:t>一、项目基本情况</w:t>
      </w:r>
    </w:p>
    <w:p>
      <w:pPr>
        <w:pStyle w:val="28"/>
        <w:keepNext w:val="0"/>
        <w:keepLines w:val="0"/>
        <w:widowControl/>
        <w:numPr>
          <w:ilvl w:val="0"/>
          <w:numId w:val="9"/>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项目编号：XJAMJ-2021-030</w:t>
      </w:r>
    </w:p>
    <w:p>
      <w:pPr>
        <w:pStyle w:val="28"/>
        <w:keepNext w:val="0"/>
        <w:keepLines w:val="0"/>
        <w:widowControl/>
        <w:numPr>
          <w:ilvl w:val="0"/>
          <w:numId w:val="9"/>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项目名称：喀什市景区景点道路标识牌增设及规范改造项目</w:t>
      </w:r>
    </w:p>
    <w:p>
      <w:pPr>
        <w:pStyle w:val="28"/>
        <w:keepNext w:val="0"/>
        <w:keepLines w:val="0"/>
        <w:widowControl/>
        <w:numPr>
          <w:ilvl w:val="0"/>
          <w:numId w:val="9"/>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采购方式：公开招标</w:t>
      </w:r>
    </w:p>
    <w:p>
      <w:pPr>
        <w:pStyle w:val="28"/>
        <w:keepNext w:val="0"/>
        <w:keepLines w:val="0"/>
        <w:widowControl/>
        <w:numPr>
          <w:ilvl w:val="0"/>
          <w:numId w:val="9"/>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总预算金额（元）：2450000</w:t>
      </w:r>
    </w:p>
    <w:p>
      <w:pPr>
        <w:pStyle w:val="28"/>
        <w:keepNext w:val="0"/>
        <w:keepLines w:val="0"/>
        <w:widowControl/>
        <w:numPr>
          <w:ilvl w:val="0"/>
          <w:numId w:val="9"/>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eastAsia="仿宋_GB2312" w:cs="Times New Roman"/>
          <w:sz w:val="24"/>
          <w:lang w:val="en-US" w:eastAsia="zh-CN"/>
        </w:rPr>
        <w:t>最高限价（元）：2450000</w:t>
      </w:r>
    </w:p>
    <w:p>
      <w:pPr>
        <w:keepNext w:val="0"/>
        <w:keepLines w:val="0"/>
        <w:widowControl/>
        <w:suppressLineNumbers w:val="0"/>
        <w:spacing w:before="75" w:beforeAutospacing="0" w:after="75" w:afterAutospacing="0" w:line="300" w:lineRule="atLeast"/>
        <w:ind w:right="0"/>
        <w:jc w:val="left"/>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r>
        <w:rPr>
          <w:rFonts w:hint="eastAsia" w:ascii="仿宋_GB2312" w:hAnsi="Times New Roman" w:eastAsia="仿宋_GB2312" w:cs="Times New Roman"/>
          <w:sz w:val="24"/>
          <w:lang w:val="en-US" w:eastAsia="zh-CN"/>
        </w:rPr>
        <w:t>、采购需求：道路标识牌增设及规范改造</w:t>
      </w:r>
      <w:r>
        <w:rPr>
          <w:rFonts w:hint="eastAsia" w:ascii="仿宋_GB2312" w:eastAsia="仿宋_GB2312" w:cs="Times New Roman"/>
          <w:sz w:val="24"/>
          <w:lang w:val="en-US" w:eastAsia="zh-CN"/>
        </w:rPr>
        <w:t>一批，简要规格描述详见招标文件。</w:t>
      </w:r>
    </w:p>
    <w:p>
      <w:pPr>
        <w:pStyle w:val="28"/>
        <w:keepNext w:val="0"/>
        <w:keepLines w:val="0"/>
        <w:widowControl/>
        <w:numPr>
          <w:ilvl w:val="0"/>
          <w:numId w:val="0"/>
        </w:numPr>
        <w:suppressLineNumbers w:val="0"/>
        <w:spacing w:before="255" w:beforeAutospacing="0" w:after="255" w:afterAutospacing="0" w:line="300" w:lineRule="atLeast"/>
        <w:ind w:right="0" w:rightChars="0"/>
        <w:jc w:val="both"/>
        <w:rPr>
          <w:rFonts w:hint="eastAsia" w:ascii="仿宋_GB2312" w:hAnsi="Times New Roman" w:eastAsia="仿宋_GB2312" w:cs="Times New Roman"/>
          <w:sz w:val="24"/>
          <w:lang w:val="en-US" w:eastAsia="zh-CN"/>
        </w:rPr>
      </w:pPr>
      <w:r>
        <w:rPr>
          <w:rFonts w:hint="eastAsia" w:ascii="仿宋_GB2312" w:eastAsia="仿宋_GB2312" w:cs="Times New Roman"/>
          <w:sz w:val="24"/>
          <w:lang w:val="en-US" w:eastAsia="zh-CN"/>
        </w:rPr>
        <w:t>7</w:t>
      </w:r>
      <w:r>
        <w:rPr>
          <w:rFonts w:hint="eastAsia" w:ascii="仿宋_GB2312" w:hAnsi="Times New Roman" w:eastAsia="仿宋_GB2312" w:cs="Times New Roman"/>
          <w:sz w:val="24"/>
          <w:lang w:val="en-US" w:eastAsia="zh-CN"/>
        </w:rPr>
        <w:t>、本项目（否）接受联合体投标。</w:t>
      </w:r>
    </w:p>
    <w:p>
      <w:pPr>
        <w:pStyle w:val="28"/>
        <w:keepNext w:val="0"/>
        <w:keepLines w:val="0"/>
        <w:widowControl/>
        <w:numPr>
          <w:ilvl w:val="0"/>
          <w:numId w:val="10"/>
        </w:numPr>
        <w:suppressLineNumbers w:val="0"/>
        <w:spacing w:before="255" w:beforeAutospacing="0" w:after="255" w:afterAutospacing="0" w:line="300" w:lineRule="atLeast"/>
        <w:ind w:left="0" w:right="0" w:firstLine="0"/>
        <w:jc w:val="both"/>
        <w:rPr>
          <w:rStyle w:val="35"/>
          <w:rFonts w:hint="eastAsia" w:ascii="黑体" w:hAnsi="宋体" w:eastAsia="黑体" w:cs="黑体"/>
          <w:i w:val="0"/>
          <w:iCs w:val="0"/>
          <w:caps w:val="0"/>
          <w:color w:val="000000"/>
          <w:spacing w:val="0"/>
          <w:sz w:val="27"/>
          <w:szCs w:val="27"/>
        </w:rPr>
      </w:pPr>
      <w:r>
        <w:rPr>
          <w:rStyle w:val="35"/>
          <w:rFonts w:hint="eastAsia" w:ascii="黑体" w:hAnsi="宋体" w:eastAsia="黑体" w:cs="黑体"/>
          <w:i w:val="0"/>
          <w:iCs w:val="0"/>
          <w:caps w:val="0"/>
          <w:color w:val="000000"/>
          <w:spacing w:val="0"/>
          <w:sz w:val="27"/>
          <w:szCs w:val="27"/>
        </w:rPr>
        <w:t>投标供应商资格要求：</w:t>
      </w:r>
    </w:p>
    <w:p>
      <w:pPr>
        <w:numPr>
          <w:ilvl w:val="0"/>
          <w:numId w:val="11"/>
        </w:numPr>
        <w:spacing w:line="480" w:lineRule="auto"/>
        <w:rPr>
          <w:rFonts w:hint="eastAsia" w:ascii="仿宋_GB2312" w:hAnsi="Times New Roman" w:eastAsia="仿宋_GB2312" w:cs="Times New Roman"/>
          <w:kern w:val="2"/>
          <w:sz w:val="24"/>
          <w:szCs w:val="24"/>
          <w:lang w:val="en-US" w:eastAsia="zh-CN" w:bidi="ar-SA"/>
        </w:rPr>
      </w:pPr>
      <w:bookmarkStart w:id="365" w:name="_Toc2007"/>
      <w:bookmarkStart w:id="366" w:name="_Toc5080"/>
      <w:bookmarkStart w:id="367" w:name="_Toc11831"/>
      <w:r>
        <w:rPr>
          <w:rFonts w:hint="eastAsia" w:ascii="仿宋_GB2312" w:hAnsi="Times New Roman" w:eastAsia="仿宋_GB2312" w:cs="Times New Roman"/>
          <w:kern w:val="2"/>
          <w:sz w:val="24"/>
          <w:szCs w:val="24"/>
          <w:lang w:val="en-US" w:eastAsia="zh-CN" w:bidi="ar-SA"/>
        </w:rPr>
        <w:t>具有有效的营业执照；</w:t>
      </w:r>
    </w:p>
    <w:p>
      <w:pPr>
        <w:pStyle w:val="2"/>
        <w:numPr>
          <w:ilvl w:val="0"/>
          <w:numId w:val="0"/>
        </w:numPr>
        <w:spacing w:line="480" w:lineRule="auto"/>
        <w:rPr>
          <w:rFonts w:hint="default"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2.具备市政公用工程施工总承包叁级(含)以上资质；</w:t>
      </w:r>
    </w:p>
    <w:p>
      <w:pPr>
        <w:spacing w:line="48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3.法人本人投标的需提供法人身份证原件；被授权委托人需提供法人授权委托书、法人身份证复印件及被授权委托人身份证原件；</w:t>
      </w:r>
    </w:p>
    <w:p>
      <w:pPr>
        <w:spacing w:line="48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4.提供社保部门出具授权委托人近3个月（9、10、11）缴纳社保证明（社保缴费凭证和个人明细表）；</w:t>
      </w:r>
    </w:p>
    <w:p>
      <w:pPr>
        <w:spacing w:line="48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5.良好的商业信誉和健全的财务会计制度证明材料（会计事务所出具的2020年度财务审计报告书原件或影印件；新办企业提供银行资信证明）；</w:t>
      </w:r>
    </w:p>
    <w:p>
      <w:pPr>
        <w:spacing w:line="48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6.提供具有依法缴纳近3个月（9、10、11）的税收良好记录证明；税务部门出具的完税凭证或缴税证明或银行出具的“银行电子缴税付款凭证”（新公司或其他组织和自然人提供近三个月内银行出具的资信证明）；</w:t>
      </w:r>
    </w:p>
    <w:p>
      <w:pPr>
        <w:spacing w:line="48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7.投标人须提供《反商业贿赂承诺书》、《三年内无重大违法违规记录承诺书》；</w:t>
      </w:r>
    </w:p>
    <w:p>
      <w:pPr>
        <w:spacing w:line="48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8.符合《中华人民共和国政府采购法》第二十二条的规定，且必须为未被列入“信用中国”网站（www.creditchina.gov.cn）、中国政府采购网（www.ccgp.gov.cn）渠道信用记录失信执行人、重大税收违法案件当事人名单、政府采购严重违法失信行为记录名单的投标人，裁判文书网（wenshu.couet.gov.cn）查询在合同纠纷裁决中不得参加本项目招标，国家企业公示信息系统（www.gst.gov.cn）查询诚信记录如有重大处罚信息不得参加本项目（提供查询结果网页截图并加盖供应商公章）；</w:t>
      </w:r>
    </w:p>
    <w:p>
      <w:pPr>
        <w:spacing w:line="48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9.投标保证金收据原件及打款凭证；</w:t>
      </w:r>
    </w:p>
    <w:p>
      <w:pPr>
        <w:pStyle w:val="5"/>
        <w:ind w:left="0" w:leftChars="0" w:firstLine="0" w:firstLineChars="0"/>
        <w:outlineLvl w:val="1"/>
        <w:rPr>
          <w:rStyle w:val="35"/>
          <w:rFonts w:hint="default" w:ascii="黑体" w:hAnsi="宋体" w:eastAsia="黑体" w:cs="黑体"/>
          <w:i w:val="0"/>
          <w:iCs w:val="0"/>
          <w:caps w:val="0"/>
          <w:color w:val="000000"/>
          <w:spacing w:val="0"/>
          <w:kern w:val="0"/>
          <w:sz w:val="27"/>
          <w:szCs w:val="27"/>
          <w:lang w:val="en-US" w:eastAsia="zh-CN" w:bidi="ar"/>
        </w:rPr>
      </w:pPr>
      <w:r>
        <w:rPr>
          <w:rStyle w:val="35"/>
          <w:rFonts w:hint="default" w:ascii="黑体" w:hAnsi="宋体" w:eastAsia="黑体" w:cs="黑体"/>
          <w:i w:val="0"/>
          <w:iCs w:val="0"/>
          <w:caps w:val="0"/>
          <w:color w:val="000000"/>
          <w:spacing w:val="0"/>
          <w:kern w:val="0"/>
          <w:sz w:val="27"/>
          <w:szCs w:val="27"/>
          <w:lang w:val="en-US" w:eastAsia="zh-CN" w:bidi="ar"/>
        </w:rPr>
        <w:t>三、获取招标文件</w:t>
      </w:r>
      <w:bookmarkEnd w:id="365"/>
      <w:bookmarkEnd w:id="366"/>
      <w:bookmarkEnd w:id="367"/>
    </w:p>
    <w:p>
      <w:pPr>
        <w:pStyle w:val="28"/>
        <w:keepNext w:val="0"/>
        <w:keepLines w:val="0"/>
        <w:widowControl/>
        <w:suppressLineNumbers w:val="0"/>
        <w:spacing w:line="300" w:lineRule="atLeast"/>
        <w:ind w:left="0" w:firstLine="42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1、获取时间：2021年12月3日至2021年12月</w:t>
      </w:r>
      <w:r>
        <w:rPr>
          <w:rFonts w:hint="eastAsia" w:ascii="仿宋_GB2312" w:eastAsia="仿宋_GB2312" w:cs="Times New Roman"/>
          <w:kern w:val="2"/>
          <w:sz w:val="24"/>
          <w:szCs w:val="24"/>
          <w:lang w:val="en-US" w:eastAsia="zh-CN" w:bidi="ar-SA"/>
        </w:rPr>
        <w:t>10</w:t>
      </w:r>
      <w:bookmarkStart w:id="812" w:name="_GoBack"/>
      <w:bookmarkEnd w:id="812"/>
      <w:r>
        <w:rPr>
          <w:rFonts w:hint="eastAsia" w:ascii="仿宋_GB2312" w:hAnsi="Times New Roman" w:eastAsia="仿宋_GB2312" w:cs="Times New Roman"/>
          <w:kern w:val="2"/>
          <w:sz w:val="24"/>
          <w:szCs w:val="24"/>
          <w:lang w:val="en-US" w:eastAsia="zh-CN" w:bidi="ar-SA"/>
        </w:rPr>
        <w:t>日，每天上午10:00至14:00，下午16:00至20:00（北京时间，法定节假日除外）</w:t>
      </w:r>
    </w:p>
    <w:p>
      <w:pPr>
        <w:pStyle w:val="28"/>
        <w:keepNext w:val="0"/>
        <w:keepLines w:val="0"/>
        <w:widowControl/>
        <w:suppressLineNumbers w:val="0"/>
        <w:spacing w:line="300" w:lineRule="atLeast"/>
        <w:ind w:left="0" w:firstLine="42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2、获取方式：现场获取</w:t>
      </w:r>
    </w:p>
    <w:p>
      <w:pPr>
        <w:pStyle w:val="28"/>
        <w:keepNext w:val="0"/>
        <w:keepLines w:val="0"/>
        <w:widowControl/>
        <w:suppressLineNumbers w:val="0"/>
        <w:spacing w:line="300" w:lineRule="atLeast"/>
        <w:ind w:left="0" w:firstLine="42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3、获取地点：喀什市滨河南路003号(新隆大酒店旁)南湖假日大酒店后院内招商中心 </w:t>
      </w:r>
    </w:p>
    <w:p>
      <w:pPr>
        <w:pStyle w:val="5"/>
        <w:ind w:left="0" w:leftChars="0" w:firstLine="0" w:firstLineChars="0"/>
        <w:outlineLvl w:val="1"/>
        <w:rPr>
          <w:rStyle w:val="35"/>
          <w:rFonts w:hint="default" w:ascii="黑体" w:hAnsi="宋体" w:eastAsia="黑体" w:cs="黑体"/>
          <w:i w:val="0"/>
          <w:iCs w:val="0"/>
          <w:caps w:val="0"/>
          <w:color w:val="000000"/>
          <w:spacing w:val="0"/>
          <w:kern w:val="0"/>
          <w:sz w:val="27"/>
          <w:szCs w:val="27"/>
          <w:lang w:val="en-US" w:eastAsia="zh-CN" w:bidi="ar"/>
        </w:rPr>
      </w:pPr>
      <w:bookmarkStart w:id="368" w:name="_Toc30763"/>
      <w:bookmarkStart w:id="369" w:name="_Toc545"/>
      <w:bookmarkStart w:id="370" w:name="_Toc4637"/>
      <w:r>
        <w:rPr>
          <w:rStyle w:val="35"/>
          <w:rFonts w:hint="default" w:ascii="黑体" w:hAnsi="宋体" w:eastAsia="黑体" w:cs="黑体"/>
          <w:i w:val="0"/>
          <w:iCs w:val="0"/>
          <w:caps w:val="0"/>
          <w:color w:val="000000"/>
          <w:spacing w:val="0"/>
          <w:kern w:val="0"/>
          <w:sz w:val="27"/>
          <w:szCs w:val="27"/>
          <w:lang w:val="en-US" w:eastAsia="zh-CN" w:bidi="ar"/>
        </w:rPr>
        <w:t>四、提交投标文件截止时间、开标时间和地点</w:t>
      </w:r>
      <w:bookmarkEnd w:id="368"/>
      <w:bookmarkEnd w:id="369"/>
      <w:bookmarkEnd w:id="370"/>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1、提交投标文件截止时间：</w:t>
      </w:r>
      <w:r>
        <w:rPr>
          <w:rFonts w:hint="eastAsia" w:ascii="仿宋" w:hAnsi="仿宋" w:eastAsia="仿宋" w:cs="仿宋"/>
          <w:color w:val="auto"/>
          <w:sz w:val="24"/>
          <w:szCs w:val="24"/>
          <w:lang w:val="en-US" w:eastAsia="zh-CN"/>
        </w:rPr>
        <w:t>2021年12月24日11点00分(北京时间）</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2、投标地点：喀什市滨河南路003号(新隆大酒店旁)南湖假日大酒店后院内招商中心 </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3、开标时间：</w:t>
      </w:r>
      <w:r>
        <w:rPr>
          <w:rFonts w:hint="eastAsia" w:ascii="仿宋" w:hAnsi="仿宋" w:eastAsia="仿宋" w:cs="仿宋"/>
          <w:color w:val="auto"/>
          <w:sz w:val="24"/>
          <w:szCs w:val="24"/>
          <w:lang w:val="en-US" w:eastAsia="zh-CN"/>
        </w:rPr>
        <w:t>2021年12月24日11点00分(北京时间）</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4、开标地点：喀什滨河南路003号(新隆大酒店旁)南湖假日大酒店后院内招商中心 </w:t>
      </w:r>
    </w:p>
    <w:p>
      <w:pPr>
        <w:pStyle w:val="5"/>
        <w:ind w:left="0" w:leftChars="0" w:firstLine="0" w:firstLineChars="0"/>
        <w:outlineLvl w:val="1"/>
        <w:rPr>
          <w:rStyle w:val="35"/>
          <w:rFonts w:hint="default" w:ascii="黑体" w:hAnsi="宋体" w:eastAsia="黑体" w:cs="黑体"/>
          <w:i w:val="0"/>
          <w:iCs w:val="0"/>
          <w:caps w:val="0"/>
          <w:color w:val="000000"/>
          <w:spacing w:val="0"/>
          <w:kern w:val="0"/>
          <w:sz w:val="27"/>
          <w:szCs w:val="27"/>
          <w:lang w:val="en-US" w:eastAsia="zh-CN" w:bidi="ar"/>
        </w:rPr>
      </w:pPr>
      <w:bookmarkStart w:id="371" w:name="_Toc1309"/>
      <w:bookmarkStart w:id="372" w:name="_Toc3836"/>
    </w:p>
    <w:p>
      <w:pPr>
        <w:pStyle w:val="5"/>
        <w:ind w:left="0" w:leftChars="0" w:firstLine="0" w:firstLineChars="0"/>
        <w:outlineLvl w:val="1"/>
        <w:rPr>
          <w:rStyle w:val="35"/>
          <w:rFonts w:hint="default" w:ascii="黑体" w:hAnsi="宋体" w:eastAsia="黑体" w:cs="黑体"/>
          <w:i w:val="0"/>
          <w:iCs w:val="0"/>
          <w:caps w:val="0"/>
          <w:color w:val="000000"/>
          <w:spacing w:val="0"/>
          <w:kern w:val="0"/>
          <w:sz w:val="27"/>
          <w:szCs w:val="27"/>
          <w:lang w:val="en-US" w:eastAsia="zh-CN" w:bidi="ar"/>
        </w:rPr>
      </w:pPr>
      <w:r>
        <w:rPr>
          <w:rStyle w:val="35"/>
          <w:rFonts w:hint="default" w:ascii="黑体" w:hAnsi="宋体" w:eastAsia="黑体" w:cs="黑体"/>
          <w:i w:val="0"/>
          <w:iCs w:val="0"/>
          <w:caps w:val="0"/>
          <w:color w:val="000000"/>
          <w:spacing w:val="0"/>
          <w:kern w:val="0"/>
          <w:sz w:val="27"/>
          <w:szCs w:val="27"/>
          <w:lang w:val="en-US" w:eastAsia="zh-CN" w:bidi="ar"/>
        </w:rPr>
        <w:t>五、公告期限</w:t>
      </w:r>
      <w:bookmarkEnd w:id="371"/>
      <w:bookmarkEnd w:id="372"/>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自本公告发布之日起5个工作日。</w:t>
      </w:r>
    </w:p>
    <w:p>
      <w:pPr>
        <w:pStyle w:val="5"/>
        <w:ind w:left="0" w:leftChars="0" w:firstLine="0" w:firstLineChars="0"/>
        <w:outlineLvl w:val="1"/>
        <w:rPr>
          <w:rStyle w:val="35"/>
          <w:rFonts w:hint="default" w:ascii="黑体" w:hAnsi="宋体" w:eastAsia="黑体" w:cs="黑体"/>
          <w:i w:val="0"/>
          <w:iCs w:val="0"/>
          <w:caps w:val="0"/>
          <w:color w:val="000000"/>
          <w:spacing w:val="0"/>
          <w:kern w:val="0"/>
          <w:sz w:val="27"/>
          <w:szCs w:val="27"/>
          <w:lang w:val="en-US" w:eastAsia="zh-CN" w:bidi="ar"/>
        </w:rPr>
      </w:pPr>
      <w:bookmarkStart w:id="373" w:name="_Toc11277"/>
      <w:bookmarkStart w:id="374" w:name="_Toc20023"/>
      <w:r>
        <w:rPr>
          <w:rStyle w:val="35"/>
          <w:rFonts w:hint="default" w:ascii="黑体" w:hAnsi="宋体" w:eastAsia="黑体" w:cs="黑体"/>
          <w:i w:val="0"/>
          <w:iCs w:val="0"/>
          <w:caps w:val="0"/>
          <w:color w:val="000000"/>
          <w:spacing w:val="0"/>
          <w:kern w:val="0"/>
          <w:sz w:val="27"/>
          <w:szCs w:val="27"/>
          <w:lang w:val="en-US" w:eastAsia="zh-CN" w:bidi="ar"/>
        </w:rPr>
        <w:t>六、其他补充事宜</w:t>
      </w:r>
      <w:bookmarkEnd w:id="373"/>
      <w:bookmarkEnd w:id="374"/>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无</w:t>
      </w:r>
    </w:p>
    <w:p>
      <w:pPr>
        <w:pStyle w:val="5"/>
        <w:ind w:left="0" w:leftChars="0" w:firstLine="0" w:firstLineChars="0"/>
        <w:outlineLvl w:val="1"/>
        <w:rPr>
          <w:rStyle w:val="35"/>
          <w:rFonts w:hint="default" w:ascii="黑体" w:hAnsi="宋体" w:eastAsia="黑体" w:cs="黑体"/>
          <w:i w:val="0"/>
          <w:iCs w:val="0"/>
          <w:caps w:val="0"/>
          <w:color w:val="000000"/>
          <w:spacing w:val="0"/>
          <w:kern w:val="0"/>
          <w:sz w:val="27"/>
          <w:szCs w:val="27"/>
          <w:lang w:val="en-US" w:eastAsia="zh-CN" w:bidi="ar"/>
        </w:rPr>
      </w:pPr>
      <w:bookmarkStart w:id="375" w:name="_Toc25433"/>
      <w:bookmarkStart w:id="376" w:name="_Toc22608"/>
      <w:r>
        <w:rPr>
          <w:rStyle w:val="35"/>
          <w:rFonts w:hint="default" w:ascii="黑体" w:hAnsi="宋体" w:eastAsia="黑体" w:cs="黑体"/>
          <w:i w:val="0"/>
          <w:iCs w:val="0"/>
          <w:caps w:val="0"/>
          <w:color w:val="000000"/>
          <w:spacing w:val="0"/>
          <w:kern w:val="0"/>
          <w:sz w:val="27"/>
          <w:szCs w:val="27"/>
          <w:lang w:val="en-US" w:eastAsia="zh-CN" w:bidi="ar"/>
        </w:rPr>
        <w:t>七、对本次采购提出询问，请按以下方式联系</w:t>
      </w:r>
      <w:bookmarkEnd w:id="375"/>
      <w:bookmarkEnd w:id="376"/>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1.采购人信息</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名 称：喀什市文化体育广播电视和旅游局  </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地 址：喀什市文化体育广播电视和旅游局  </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联系方式：13209932250</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2.采购代理机构信息</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名 称：新疆爱满疆工程咨询有限公司</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地 址：喀什市滨河南路003号(新隆大酒店旁)南湖假日大酒店后院内招商中心</w:t>
      </w:r>
    </w:p>
    <w:p>
      <w:pPr>
        <w:pStyle w:val="28"/>
        <w:keepNext w:val="0"/>
        <w:keepLines w:val="0"/>
        <w:widowControl/>
        <w:suppressLineNumbers w:val="0"/>
        <w:spacing w:line="300" w:lineRule="atLeast"/>
        <w:ind w:left="0" w:firstLine="420"/>
        <w:jc w:val="left"/>
        <w:rPr>
          <w:rFonts w:hint="default"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联系方式：19351150000</w:t>
      </w:r>
    </w:p>
    <w:p>
      <w:pPr>
        <w:pStyle w:val="28"/>
        <w:keepNext w:val="0"/>
        <w:keepLines w:val="0"/>
        <w:widowControl/>
        <w:suppressLineNumbers w:val="0"/>
        <w:spacing w:line="300" w:lineRule="atLeast"/>
        <w:ind w:left="0" w:firstLine="42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3.项目联系方式</w:t>
      </w:r>
    </w:p>
    <w:p>
      <w:pPr>
        <w:pStyle w:val="28"/>
        <w:keepNext w:val="0"/>
        <w:keepLines w:val="0"/>
        <w:widowControl/>
        <w:suppressLineNumbers w:val="0"/>
        <w:spacing w:line="300" w:lineRule="atLeast"/>
        <w:ind w:left="0" w:firstLine="420"/>
        <w:jc w:val="left"/>
        <w:rPr>
          <w:rFonts w:hint="default"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项目联系人：贾阳阳</w:t>
      </w:r>
    </w:p>
    <w:p>
      <w:pPr>
        <w:pStyle w:val="28"/>
        <w:keepNext w:val="0"/>
        <w:keepLines w:val="0"/>
        <w:widowControl/>
        <w:suppressLineNumbers w:val="0"/>
        <w:spacing w:line="300" w:lineRule="atLeast"/>
        <w:ind w:left="0" w:firstLine="420"/>
        <w:jc w:val="left"/>
        <w:rPr>
          <w:rFonts w:hint="default"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电 话：</w:t>
      </w:r>
      <w:bookmarkStart w:id="377" w:name="_Toc216582823"/>
      <w:bookmarkStart w:id="378" w:name="_Toc515647830"/>
      <w:bookmarkStart w:id="379" w:name="_Toc10488"/>
      <w:bookmarkStart w:id="380" w:name="_Toc512937850"/>
      <w:bookmarkStart w:id="381" w:name="_Toc507399903"/>
      <w:bookmarkStart w:id="382" w:name="_Toc31583"/>
      <w:r>
        <w:rPr>
          <w:rFonts w:hint="eastAsia" w:ascii="仿宋_GB2312" w:hAnsi="Times New Roman" w:eastAsia="仿宋_GB2312" w:cs="Times New Roman"/>
          <w:kern w:val="2"/>
          <w:sz w:val="24"/>
          <w:szCs w:val="24"/>
          <w:lang w:val="en-US" w:eastAsia="zh-CN" w:bidi="ar-SA"/>
        </w:rPr>
        <w:t>19351150000</w:t>
      </w: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p>
    <w:p>
      <w:pPr>
        <w:pStyle w:val="28"/>
        <w:keepNext w:val="0"/>
        <w:keepLines w:val="0"/>
        <w:widowControl/>
        <w:suppressLineNumbers w:val="0"/>
        <w:spacing w:before="0" w:beforeAutospacing="0" w:after="0" w:afterAutospacing="0" w:line="240" w:lineRule="auto"/>
        <w:ind w:left="0" w:firstLine="480" w:firstLineChars="200"/>
        <w:jc w:val="both"/>
        <w:outlineLvl w:val="9"/>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               </w:t>
      </w:r>
    </w:p>
    <w:p>
      <w:pPr>
        <w:pStyle w:val="28"/>
        <w:keepNext w:val="0"/>
        <w:keepLines w:val="0"/>
        <w:widowControl/>
        <w:suppressLineNumbers w:val="0"/>
        <w:spacing w:before="0" w:beforeAutospacing="0" w:after="0" w:afterAutospacing="0" w:line="240" w:lineRule="auto"/>
        <w:ind w:left="0" w:firstLine="643" w:firstLineChars="200"/>
        <w:jc w:val="center"/>
        <w:outlineLvl w:val="0"/>
        <w:rPr>
          <w:rStyle w:val="58"/>
          <w:rFonts w:hint="eastAsia"/>
        </w:rPr>
      </w:pPr>
      <w:bookmarkStart w:id="383" w:name="_Toc14104"/>
      <w:r>
        <w:rPr>
          <w:rFonts w:hint="eastAsia" w:ascii="宋体"/>
          <w:b/>
          <w:kern w:val="44"/>
          <w:sz w:val="32"/>
          <w:szCs w:val="20"/>
          <w:lang w:val="en-US" w:eastAsia="zh-CN" w:bidi="ar-SA"/>
        </w:rPr>
        <w:t>第4章  投标人须知资料表</w:t>
      </w:r>
      <w:bookmarkEnd w:id="377"/>
      <w:bookmarkEnd w:id="378"/>
      <w:bookmarkEnd w:id="379"/>
      <w:bookmarkEnd w:id="380"/>
      <w:bookmarkEnd w:id="381"/>
      <w:bookmarkEnd w:id="382"/>
      <w:bookmarkEnd w:id="383"/>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w:t>
      </w:r>
      <w:r>
        <w:rPr>
          <w:rFonts w:hint="eastAsia" w:ascii="仿宋_GB2312" w:eastAsia="仿宋_GB2312"/>
          <w:b/>
          <w:bCs/>
          <w:sz w:val="24"/>
        </w:rPr>
        <w:t>以本资料表为准</w:t>
      </w:r>
      <w:r>
        <w:rPr>
          <w:rFonts w:hint="eastAsia" w:ascii="仿宋_GB2312" w:eastAsia="仿宋_GB2312"/>
          <w:sz w:val="24"/>
        </w:rPr>
        <w:t>。</w:t>
      </w:r>
    </w:p>
    <w:tbl>
      <w:tblPr>
        <w:tblStyle w:val="3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noWrap w:val="0"/>
            <w:vAlign w:val="center"/>
          </w:tcPr>
          <w:p>
            <w:pPr>
              <w:spacing w:line="240" w:lineRule="atLeast"/>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喀什市文化体育广播电视和旅游局</w:t>
            </w:r>
          </w:p>
          <w:p>
            <w:pPr>
              <w:spacing w:line="240" w:lineRule="atLeast"/>
              <w:rPr>
                <w:rFonts w:hint="eastAsia" w:ascii="仿宋_GB2312" w:eastAsia="仿宋_GB2312"/>
                <w:sz w:val="24"/>
              </w:rPr>
            </w:pPr>
            <w:r>
              <w:rPr>
                <w:rFonts w:hint="eastAsia" w:ascii="仿宋_GB2312" w:eastAsia="仿宋_GB2312"/>
                <w:sz w:val="24"/>
              </w:rPr>
              <w:t>地  址：</w:t>
            </w:r>
            <w:r>
              <w:rPr>
                <w:rFonts w:hint="eastAsia" w:ascii="仿宋_GB2312" w:eastAsia="仿宋_GB2312"/>
                <w:sz w:val="24"/>
                <w:u w:val="single"/>
                <w:lang w:eastAsia="zh-CN"/>
              </w:rPr>
              <w:t>喀什市文化体育广播电视和旅游局</w:t>
            </w:r>
          </w:p>
          <w:p>
            <w:pPr>
              <w:spacing w:line="240" w:lineRule="atLeast"/>
              <w:rPr>
                <w:rFonts w:hint="eastAsia" w:ascii="仿宋_GB2312" w:eastAsia="仿宋_GB2312"/>
                <w:sz w:val="24"/>
                <w:lang w:eastAsia="zh-CN"/>
              </w:rPr>
            </w:pPr>
            <w:r>
              <w:rPr>
                <w:rFonts w:hint="eastAsia" w:ascii="仿宋_GB2312" w:eastAsia="仿宋_GB2312"/>
                <w:sz w:val="24"/>
                <w:lang w:eastAsia="zh-CN"/>
              </w:rPr>
              <w:t>联系人：</w:t>
            </w:r>
            <w:r>
              <w:rPr>
                <w:rFonts w:hint="eastAsia" w:ascii="仿宋_GB2312" w:eastAsia="仿宋_GB2312"/>
                <w:color w:val="000000"/>
                <w:sz w:val="24"/>
                <w:u w:val="single"/>
                <w:lang w:val="en-US" w:eastAsia="zh-CN"/>
              </w:rPr>
              <w:t>张倬铭</w:t>
            </w:r>
            <w:r>
              <w:rPr>
                <w:rFonts w:hint="eastAsia" w:ascii="仿宋_GB2312" w:eastAsia="仿宋_GB2312"/>
                <w:sz w:val="24"/>
                <w:u w:val="none"/>
                <w:lang w:val="en-US" w:eastAsia="zh-CN"/>
              </w:rPr>
              <w:t xml:space="preserve">     </w:t>
            </w:r>
            <w:r>
              <w:rPr>
                <w:rFonts w:hint="eastAsia" w:ascii="仿宋_GB2312" w:eastAsia="仿宋_GB2312"/>
                <w:sz w:val="24"/>
              </w:rPr>
              <w:t>电话：</w:t>
            </w:r>
            <w:r>
              <w:rPr>
                <w:rFonts w:hint="eastAsia" w:ascii="仿宋_GB2312" w:eastAsia="仿宋_GB2312"/>
                <w:sz w:val="24"/>
                <w:u w:val="single"/>
                <w:lang w:val="en-US" w:eastAsia="zh-CN"/>
              </w:rPr>
              <w:t>13209932250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lang w:val="en-US" w:eastAsia="zh-CN"/>
              </w:rPr>
              <w:t>新疆爱满疆工程咨询有限公司</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喀什市滨河南路003号(新隆大酒店旁)南湖假日大酒店后院内招商中心</w:t>
            </w:r>
            <w:r>
              <w:rPr>
                <w:rFonts w:hint="eastAsia" w:ascii="仿宋_GB2312" w:eastAsia="仿宋_GB2312"/>
                <w:sz w:val="24"/>
                <w:u w:val="single"/>
              </w:rPr>
              <w:t xml:space="preserve"> </w:t>
            </w:r>
            <w:r>
              <w:rPr>
                <w:rFonts w:hint="eastAsia" w:ascii="仿宋_GB2312" w:eastAsia="仿宋_GB2312"/>
                <w:sz w:val="24"/>
              </w:rPr>
              <w:t xml:space="preserve"> </w:t>
            </w:r>
          </w:p>
          <w:p>
            <w:pPr>
              <w:spacing w:line="240" w:lineRule="atLeast"/>
              <w:rPr>
                <w:rFonts w:hint="default" w:ascii="仿宋_GB2312" w:eastAsia="仿宋_GB2312"/>
                <w:sz w:val="24"/>
                <w:lang w:val="en-US" w:eastAsia="zh-CN"/>
              </w:rPr>
            </w:pPr>
            <w:r>
              <w:rPr>
                <w:rFonts w:hint="eastAsia" w:ascii="仿宋_GB2312" w:eastAsia="仿宋_GB2312"/>
                <w:sz w:val="24"/>
              </w:rPr>
              <w:t>联系人：</w:t>
            </w:r>
            <w:r>
              <w:rPr>
                <w:rFonts w:hint="eastAsia" w:ascii="仿宋_GB2312" w:eastAsia="仿宋_GB2312"/>
                <w:sz w:val="24"/>
                <w:u w:val="single"/>
                <w:lang w:val="en-US" w:eastAsia="zh-CN"/>
              </w:rPr>
              <w:t>贾阳阳</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lang w:val="en-US" w:eastAsia="zh-CN"/>
              </w:rPr>
              <w:t>19351150000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1.3</w:t>
            </w:r>
          </w:p>
        </w:tc>
        <w:tc>
          <w:tcPr>
            <w:tcW w:w="6840" w:type="dxa"/>
            <w:noWrap w:val="0"/>
            <w:vAlign w:val="center"/>
          </w:tcPr>
          <w:p>
            <w:pPr>
              <w:pStyle w:val="5"/>
              <w:numPr>
                <w:ilvl w:val="0"/>
                <w:numId w:val="0"/>
              </w:numPr>
              <w:rPr>
                <w:rFonts w:hint="default"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项目名称：喀什市景区景点道路标识牌增设及规范改造项目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eastAsia="仿宋_GB2312"/>
                <w:sz w:val="24"/>
              </w:rPr>
              <w:t>1.3.</w:t>
            </w:r>
            <w:r>
              <w:rPr>
                <w:rFonts w:hint="eastAsia" w:ascii="仿宋_GB2312" w:eastAsia="仿宋_GB2312"/>
                <w:sz w:val="24"/>
                <w:lang w:val="en-US" w:eastAsia="zh-CN"/>
              </w:rPr>
              <w:t>1</w:t>
            </w:r>
          </w:p>
        </w:tc>
        <w:tc>
          <w:tcPr>
            <w:tcW w:w="6840" w:type="dxa"/>
            <w:noWrap w:val="0"/>
            <w:vAlign w:val="center"/>
          </w:tcPr>
          <w:p>
            <w:pPr>
              <w:pStyle w:val="5"/>
              <w:numPr>
                <w:ilvl w:val="0"/>
                <w:numId w:val="0"/>
              </w:num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合格投标人的其他资格要求（开标时须携带资格条件证明原件）：1.具有有效的营业执照；</w:t>
            </w:r>
          </w:p>
          <w:p>
            <w:pPr>
              <w:rPr>
                <w:rFonts w:hint="default"/>
                <w:lang w:val="en-US" w:eastAsia="zh-CN"/>
              </w:rPr>
            </w:pPr>
            <w:r>
              <w:rPr>
                <w:rFonts w:hint="eastAsia" w:ascii="仿宋_GB2312" w:hAnsi="Calibri" w:eastAsia="仿宋_GB2312" w:cs="Times New Roman"/>
                <w:kern w:val="2"/>
                <w:sz w:val="24"/>
                <w:szCs w:val="24"/>
                <w:lang w:val="en-US" w:eastAsia="zh-CN" w:bidi="ar-SA"/>
              </w:rPr>
              <w:t>2.具备市政公用工程施工总承包叁级(含)以上资质；</w:t>
            </w:r>
          </w:p>
          <w:p>
            <w:pPr>
              <w:pStyle w:val="5"/>
              <w:numPr>
                <w:ilvl w:val="0"/>
                <w:numId w:val="0"/>
              </w:num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3.法人本人投标的需提供法人身份证原件；被授权委托人需提供法人授权委托书、法人身份证复印件及被授权委托人身份证原件；</w:t>
            </w:r>
          </w:p>
          <w:p>
            <w:pPr>
              <w:pStyle w:val="5"/>
              <w:numPr>
                <w:ilvl w:val="0"/>
                <w:numId w:val="0"/>
              </w:num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4.提供社保部门出具授权委托人近3个月（9、10、11）缴纳社保证明（社保缴费凭证和个人明细表）；</w:t>
            </w:r>
          </w:p>
          <w:p>
            <w:pPr>
              <w:pStyle w:val="5"/>
              <w:numPr>
                <w:ilvl w:val="0"/>
                <w:numId w:val="0"/>
              </w:num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5.良好的商业信誉和健全的财务会计制度证明材料（会计事务所出具的2020年度财务审计报告书原件或影印件；新办企业提供银行资信证明）；</w:t>
            </w:r>
          </w:p>
          <w:p>
            <w:pPr>
              <w:pStyle w:val="5"/>
              <w:numPr>
                <w:ilvl w:val="0"/>
                <w:numId w:val="0"/>
              </w:num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6.提供具有依法缴纳近3个月（9、10、11）的税收良好记录证明；税务部门出具的完税凭证或缴税证明或银行出具的“银行电子缴税付款凭证”（新公司或其他组织和自然人提供近三个月内银行出具的资信证明）；</w:t>
            </w:r>
          </w:p>
          <w:p>
            <w:pPr>
              <w:pStyle w:val="5"/>
              <w:numPr>
                <w:ilvl w:val="0"/>
                <w:numId w:val="0"/>
              </w:num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7.投标人须提供《反商业贿赂承诺书》、《三年内无重大违法违规记录承诺书》；</w:t>
            </w:r>
          </w:p>
          <w:p>
            <w:pPr>
              <w:pStyle w:val="5"/>
              <w:numPr>
                <w:ilvl w:val="0"/>
                <w:numId w:val="0"/>
              </w:num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符合《中华人民共和国政府采购法》第二十二条的规定，且必须为未被列入“信用中国”网站（www.creditchina.gov.cn）、中国政府采购网（www.ccgp.gov.cn）渠道信用记录失信执行人、重大税收违法案件当事人名单、政府采购严重违法失信行为记录名单的投标人，裁判文书网（wenshu.couet.gov.cn）查询在合同纠纷裁决中不得参加本项目招标，国家企业公示信息系统（www.gst.gov.cn）查询诚信记录如有重大处罚信息不得参加本项目（提供查询结果网页截图并加盖供应商公章）；            8.投标保证金收据原件及打款凭证；</w:t>
            </w:r>
          </w:p>
          <w:p>
            <w:pPr>
              <w:pStyle w:val="5"/>
              <w:numPr>
                <w:ilvl w:val="0"/>
                <w:numId w:val="0"/>
              </w:numPr>
              <w:rPr>
                <w:rFonts w:hint="eastAsia" w:eastAsia="仿宋_GB2312"/>
                <w:lang w:eastAsia="zh-CN"/>
              </w:rPr>
            </w:pPr>
            <w:r>
              <w:rPr>
                <w:rFonts w:hint="eastAsia" w:ascii="仿宋_GB2312" w:hAnsi="Calibri" w:eastAsia="仿宋_GB2312" w:cs="Times New Roman"/>
                <w:kern w:val="2"/>
                <w:sz w:val="24"/>
                <w:szCs w:val="24"/>
                <w:lang w:val="en-US" w:eastAsia="zh-CN" w:bidi="ar-SA"/>
              </w:rPr>
              <w:t>未通过资格审查的投标人不进入评标；进入评标的投标人不足3家的，不得评标。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w:t>
            </w:r>
            <w:r>
              <w:rPr>
                <w:rFonts w:hint="eastAsia" w:ascii="仿宋_GB2312" w:hAnsi="宋体" w:eastAsia="仿宋_GB2312"/>
                <w:sz w:val="24"/>
                <w:lang w:val="en-US" w:eastAsia="zh-CN"/>
              </w:rPr>
              <w:t>2</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hAnsi="宋体" w:eastAsia="仿宋_GB2312"/>
                <w:sz w:val="24"/>
                <w:u w:val="single"/>
              </w:rPr>
              <w:t>是</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lang w:eastAsia="zh-CN"/>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6"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p>
        </w:tc>
        <w:tc>
          <w:tcPr>
            <w:tcW w:w="6840" w:type="dxa"/>
            <w:noWrap w:val="0"/>
            <w:vAlign w:val="center"/>
          </w:tcPr>
          <w:p>
            <w:pPr>
              <w:spacing w:line="240" w:lineRule="atLeast"/>
              <w:rPr>
                <w:rFonts w:hint="eastAsia"/>
              </w:rPr>
            </w:pPr>
            <w:r>
              <w:rPr>
                <w:rFonts w:hint="eastAsia" w:ascii="仿宋_GB2312" w:hAnsi="Times New Roman" w:eastAsia="仿宋_GB2312" w:cs="Times New Roman"/>
                <w:sz w:val="24"/>
              </w:rPr>
              <w:t>项目</w:t>
            </w:r>
            <w:r>
              <w:rPr>
                <w:rFonts w:hint="eastAsia" w:ascii="仿宋_GB2312" w:hAnsi="Times New Roman" w:eastAsia="仿宋_GB2312" w:cs="Times New Roman"/>
                <w:sz w:val="24"/>
                <w:lang w:eastAsia="zh-CN"/>
              </w:rPr>
              <w:t>总</w:t>
            </w:r>
            <w:r>
              <w:rPr>
                <w:rFonts w:hint="eastAsia" w:ascii="仿宋_GB2312" w:hAnsi="Times New Roman" w:eastAsia="仿宋_GB2312" w:cs="Times New Roman"/>
                <w:sz w:val="24"/>
              </w:rPr>
              <w:t>预算金额：</w:t>
            </w:r>
            <w:r>
              <w:rPr>
                <w:rFonts w:hint="eastAsia" w:ascii="仿宋_GB2312" w:hAnsi="Times New Roman" w:eastAsia="仿宋_GB2312" w:cs="Times New Roman"/>
                <w:sz w:val="24"/>
                <w:lang w:val="en-US" w:eastAsia="zh-CN"/>
              </w:rPr>
              <w:t>2450000</w:t>
            </w:r>
            <w:r>
              <w:rPr>
                <w:rFonts w:hint="eastAsia" w:ascii="仿宋_GB2312" w:hAnsi="Times New Roman" w:eastAsia="仿宋_GB2312" w:cs="Times New Roman"/>
                <w:sz w:val="24"/>
              </w:rPr>
              <w:t>元；本</w:t>
            </w:r>
            <w:r>
              <w:rPr>
                <w:rFonts w:hint="eastAsia" w:ascii="仿宋_GB2312" w:hAnsi="Times New Roman" w:eastAsia="仿宋_GB2312" w:cs="Times New Roman"/>
                <w:sz w:val="24"/>
                <w:lang w:eastAsia="zh-CN"/>
              </w:rPr>
              <w:t>项目</w:t>
            </w:r>
            <w:r>
              <w:rPr>
                <w:rFonts w:hint="eastAsia" w:ascii="仿宋_GB2312" w:hAnsi="Times New Roman" w:eastAsia="仿宋_GB2312" w:cs="Times New Roman"/>
                <w:sz w:val="24"/>
              </w:rPr>
              <w:t>最高限价</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2450000</w:t>
            </w:r>
            <w:r>
              <w:rPr>
                <w:rFonts w:hint="eastAsia" w:ascii="仿宋_GB2312" w:hAnsi="Times New Roman" w:eastAsia="仿宋_GB2312" w:cs="Times New Roman"/>
                <w:sz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jc w:val="center"/>
              <w:rPr>
                <w:rFonts w:hint="eastAsia" w:ascii="仿宋_GB2312" w:eastAsia="仿宋_GB2312"/>
                <w:sz w:val="24"/>
                <w:lang w:eastAsia="zh-CN"/>
              </w:rPr>
            </w:pPr>
            <w:r>
              <w:rPr>
                <w:rFonts w:hint="eastAsia" w:ascii="仿宋_GB2312" w:eastAsia="仿宋_GB2312"/>
                <w:sz w:val="24"/>
                <w:lang w:val="en-US" w:eastAsia="zh-CN"/>
              </w:rPr>
              <w:t>3</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保证金形式：</w:t>
            </w:r>
            <w:r>
              <w:rPr>
                <w:rFonts w:hint="eastAsia" w:ascii="仿宋_GB2312" w:eastAsia="仿宋_GB2312"/>
                <w:sz w:val="24"/>
                <w:u w:val="single"/>
                <w:lang w:eastAsia="zh-CN"/>
              </w:rPr>
              <w:t>☑对公转账</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保证金数额：</w:t>
            </w:r>
            <w:r>
              <w:rPr>
                <w:rFonts w:hint="eastAsia" w:ascii="仿宋_GB2312" w:eastAsia="仿宋_GB2312"/>
                <w:sz w:val="24"/>
                <w:u w:val="single"/>
              </w:rPr>
              <w:t>（按照控制金额2%以内的整数计算）</w:t>
            </w:r>
          </w:p>
          <w:p>
            <w:pPr>
              <w:spacing w:line="240" w:lineRule="atLeast"/>
              <w:rPr>
                <w:rFonts w:hint="default" w:ascii="仿宋_GB2312" w:eastAsia="仿宋_GB2312"/>
                <w:sz w:val="24"/>
                <w:u w:val="single"/>
                <w:lang w:val="en-US" w:eastAsia="zh-CN"/>
              </w:rPr>
            </w:pPr>
            <w:r>
              <w:rPr>
                <w:rFonts w:hint="eastAsia" w:ascii="仿宋_GB2312" w:eastAsia="仿宋_GB2312"/>
                <w:sz w:val="24"/>
                <w:u w:val="none"/>
                <w:lang w:val="en-US" w:eastAsia="zh-CN"/>
              </w:rPr>
              <w:t>投标保证金：</w:t>
            </w:r>
            <w:r>
              <w:rPr>
                <w:rFonts w:hint="eastAsia" w:ascii="仿宋_GB2312" w:eastAsia="仿宋_GB2312"/>
                <w:sz w:val="24"/>
                <w:u w:val="single"/>
                <w:lang w:val="en-US" w:eastAsia="zh-CN"/>
              </w:rPr>
              <w:t xml:space="preserve"> 49000元（肆万玖仟元整）                                </w:t>
            </w:r>
          </w:p>
          <w:p>
            <w:pPr>
              <w:spacing w:line="240" w:lineRule="atLeast"/>
              <w:rPr>
                <w:rFonts w:hint="eastAsia" w:ascii="仿宋_GB2312" w:eastAsia="仿宋_GB2312"/>
                <w:sz w:val="24"/>
                <w:u w:val="single"/>
                <w:lang w:eastAsia="zh-CN"/>
              </w:rPr>
            </w:pPr>
            <w:r>
              <w:rPr>
                <w:rFonts w:hint="eastAsia" w:ascii="仿宋_GB2312" w:eastAsia="仿宋_GB2312"/>
                <w:sz w:val="24"/>
              </w:rPr>
              <w:t>保证金收款人：</w:t>
            </w:r>
            <w:r>
              <w:rPr>
                <w:rFonts w:hint="eastAsia" w:ascii="仿宋_GB2312" w:eastAsia="仿宋_GB2312"/>
                <w:sz w:val="24"/>
                <w:u w:val="single"/>
                <w:lang w:eastAsia="zh-CN"/>
              </w:rPr>
              <w:t>新疆爱满疆工程咨询有限公司</w:t>
            </w:r>
          </w:p>
          <w:p>
            <w:pPr>
              <w:spacing w:line="240" w:lineRule="atLeast"/>
              <w:rPr>
                <w:rFonts w:hint="eastAsia" w:ascii="仿宋_GB2312" w:eastAsia="仿宋_GB2312"/>
                <w:i w:val="0"/>
                <w:iCs w:val="0"/>
                <w:sz w:val="24"/>
                <w:u w:val="single"/>
              </w:rPr>
            </w:pPr>
            <w:r>
              <w:rPr>
                <w:rFonts w:hint="eastAsia" w:ascii="仿宋_GB2312" w:eastAsia="仿宋_GB2312"/>
                <w:sz w:val="24"/>
              </w:rPr>
              <w:t>开 户 行：</w:t>
            </w:r>
            <w:r>
              <w:rPr>
                <w:rFonts w:hint="eastAsia" w:ascii="仿宋_GB2312" w:eastAsia="仿宋_GB2312"/>
                <w:sz w:val="24"/>
                <w:u w:val="single"/>
              </w:rPr>
              <w:t>新疆喀什农村商业银行股份有限公司曙光商贸城支行</w:t>
            </w:r>
          </w:p>
          <w:p>
            <w:pPr>
              <w:spacing w:line="240" w:lineRule="atLeast"/>
              <w:rPr>
                <w:rFonts w:hint="eastAsia" w:ascii="仿宋_GB2312" w:eastAsia="仿宋_GB2312"/>
                <w:sz w:val="24"/>
              </w:rPr>
            </w:pPr>
            <w:r>
              <w:rPr>
                <w:rFonts w:hint="eastAsia" w:ascii="仿宋_GB2312" w:eastAsia="仿宋_GB2312"/>
                <w:sz w:val="24"/>
              </w:rPr>
              <w:t>账    号：</w:t>
            </w:r>
            <w:r>
              <w:rPr>
                <w:rFonts w:hint="eastAsia" w:ascii="仿宋_GB2312" w:eastAsia="仿宋_GB2312"/>
                <w:sz w:val="24"/>
                <w:u w:val="single"/>
              </w:rPr>
              <w:t>860040312010112607605</w:t>
            </w:r>
          </w:p>
          <w:p>
            <w:pPr>
              <w:spacing w:line="240" w:lineRule="atLeast"/>
              <w:rPr>
                <w:rFonts w:hint="eastAsia" w:ascii="仿宋_GB2312" w:eastAsia="仿宋_GB2312"/>
                <w:sz w:val="24"/>
              </w:rPr>
            </w:pPr>
            <w:r>
              <w:rPr>
                <w:rFonts w:hint="eastAsia" w:ascii="仿宋_GB2312" w:eastAsia="仿宋_GB2312"/>
                <w:sz w:val="24"/>
              </w:rPr>
              <w:t>联 系 人：</w:t>
            </w:r>
            <w:r>
              <w:rPr>
                <w:rFonts w:hint="eastAsia" w:ascii="仿宋_GB2312" w:eastAsia="仿宋_GB2312"/>
                <w:sz w:val="24"/>
                <w:u w:val="single"/>
                <w:lang w:val="en-US" w:eastAsia="zh-CN"/>
              </w:rPr>
              <w:t xml:space="preserve">陈梅芳 </w:t>
            </w:r>
            <w:r>
              <w:rPr>
                <w:rFonts w:hint="eastAsia" w:ascii="仿宋_GB2312" w:eastAsia="仿宋_GB2312"/>
                <w:sz w:val="24"/>
                <w:u w:val="single"/>
              </w:rPr>
              <w:t xml:space="preserve"> </w:t>
            </w:r>
            <w:r>
              <w:rPr>
                <w:rFonts w:hint="eastAsia" w:ascii="仿宋_GB2312" w:eastAsia="仿宋_GB2312"/>
                <w:sz w:val="24"/>
              </w:rPr>
              <w:t xml:space="preserve"> </w:t>
            </w:r>
          </w:p>
          <w:p>
            <w:pPr>
              <w:spacing w:line="240" w:lineRule="atLeast"/>
              <w:rPr>
                <w:rFonts w:hint="eastAsia" w:ascii="仿宋_GB2312" w:eastAsia="仿宋_GB2312"/>
                <w:sz w:val="24"/>
              </w:rPr>
            </w:pPr>
            <w:r>
              <w:rPr>
                <w:rFonts w:hint="eastAsia" w:ascii="仿宋_GB2312" w:eastAsia="仿宋_GB2312"/>
                <w:sz w:val="24"/>
              </w:rPr>
              <w:t>联系电话：</w:t>
            </w:r>
            <w:r>
              <w:rPr>
                <w:rFonts w:hint="eastAsia" w:ascii="仿宋_GB2312" w:eastAsia="仿宋_GB2312"/>
                <w:sz w:val="24"/>
                <w:u w:val="single"/>
              </w:rPr>
              <w:t>18160442885</w:t>
            </w:r>
          </w:p>
          <w:p>
            <w:pPr>
              <w:spacing w:line="240" w:lineRule="atLeast"/>
              <w:rPr>
                <w:rFonts w:hint="eastAsia" w:ascii="仿宋_GB2312" w:eastAsia="仿宋_GB2312"/>
                <w:sz w:val="24"/>
              </w:rPr>
            </w:pPr>
            <w:r>
              <w:rPr>
                <w:rFonts w:hint="eastAsia" w:ascii="仿宋_GB2312" w:eastAsia="仿宋_GB2312"/>
                <w:sz w:val="24"/>
                <w:lang w:eastAsia="zh-CN"/>
              </w:rPr>
              <w:t>保证金缴纳要求</w:t>
            </w:r>
            <w:r>
              <w:rPr>
                <w:rFonts w:hint="eastAsia" w:ascii="仿宋_GB2312" w:eastAsia="仿宋_GB2312"/>
                <w:sz w:val="24"/>
              </w:rPr>
              <w:t>：</w:t>
            </w:r>
            <w:r>
              <w:rPr>
                <w:rFonts w:hint="eastAsia" w:ascii="仿宋_GB2312" w:eastAsia="仿宋_GB2312"/>
                <w:sz w:val="24"/>
                <w:u w:val="single"/>
              </w:rPr>
              <w:t>打款时注明</w:t>
            </w:r>
            <w:r>
              <w:rPr>
                <w:rFonts w:hint="eastAsia" w:ascii="仿宋_GB2312" w:eastAsia="仿宋_GB2312"/>
                <w:sz w:val="24"/>
                <w:u w:val="single"/>
                <w:lang w:eastAsia="zh-CN"/>
              </w:rPr>
              <w:t>投标</w:t>
            </w:r>
            <w:r>
              <w:rPr>
                <w:rFonts w:hint="eastAsia" w:ascii="仿宋_GB2312" w:eastAsia="仿宋_GB2312"/>
                <w:sz w:val="24"/>
                <w:u w:val="single"/>
              </w:rPr>
              <w:t>保证金项目名称及项目编号。</w:t>
            </w:r>
            <w:r>
              <w:rPr>
                <w:rFonts w:hint="eastAsia" w:ascii="仿宋_GB2312" w:eastAsia="仿宋_GB2312"/>
                <w:sz w:val="24"/>
                <w:u w:val="single"/>
                <w:lang w:eastAsia="zh-CN"/>
              </w:rPr>
              <w:t>投标</w:t>
            </w:r>
            <w:r>
              <w:rPr>
                <w:rFonts w:hint="eastAsia" w:ascii="仿宋_GB2312" w:eastAsia="仿宋_GB2312"/>
                <w:sz w:val="24"/>
                <w:u w:val="single"/>
              </w:rPr>
              <w:t>保证金确认到帐后，持银行缴款单复印件加盖公章到</w:t>
            </w:r>
            <w:r>
              <w:rPr>
                <w:rFonts w:hint="eastAsia" w:ascii="仿宋_GB2312" w:eastAsia="仿宋_GB2312"/>
                <w:sz w:val="24"/>
                <w:u w:val="single"/>
                <w:lang w:eastAsia="zh-CN"/>
              </w:rPr>
              <w:t>新疆爱满疆工程咨询有限公司换取投标</w:t>
            </w:r>
            <w:r>
              <w:rPr>
                <w:rFonts w:hint="eastAsia" w:ascii="仿宋_GB2312" w:eastAsia="仿宋_GB2312"/>
                <w:sz w:val="24"/>
                <w:u w:val="single"/>
              </w:rPr>
              <w:t>保证金</w:t>
            </w:r>
            <w:r>
              <w:rPr>
                <w:rFonts w:hint="eastAsia" w:ascii="仿宋_GB2312" w:eastAsia="仿宋_GB2312"/>
                <w:sz w:val="24"/>
                <w:u w:val="single"/>
                <w:lang w:eastAsia="zh-CN"/>
              </w:rPr>
              <w:t>收据</w:t>
            </w:r>
            <w:r>
              <w:rPr>
                <w:rFonts w:hint="eastAsia" w:ascii="仿宋_GB2312" w:eastAsia="仿宋_GB2312"/>
                <w:sz w:val="24"/>
                <w:u w:val="single"/>
              </w:rPr>
              <w:t>，将保证金</w:t>
            </w:r>
            <w:r>
              <w:rPr>
                <w:rFonts w:hint="eastAsia" w:ascii="仿宋_GB2312" w:eastAsia="仿宋_GB2312"/>
                <w:sz w:val="24"/>
                <w:u w:val="single"/>
                <w:lang w:eastAsia="zh-CN"/>
              </w:rPr>
              <w:t>收据</w:t>
            </w:r>
            <w:r>
              <w:rPr>
                <w:rFonts w:hint="eastAsia" w:ascii="仿宋_GB2312" w:eastAsia="仿宋_GB2312"/>
                <w:sz w:val="24"/>
                <w:u w:val="single"/>
              </w:rPr>
              <w:t>复印件胶装至</w:t>
            </w:r>
            <w:r>
              <w:rPr>
                <w:rFonts w:hint="eastAsia" w:ascii="仿宋_GB2312" w:eastAsia="仿宋_GB2312"/>
                <w:sz w:val="24"/>
                <w:u w:val="single"/>
                <w:lang w:eastAsia="zh-CN"/>
              </w:rPr>
              <w:t>投标</w:t>
            </w:r>
            <w:r>
              <w:rPr>
                <w:rFonts w:hint="eastAsia" w:ascii="仿宋_GB2312" w:eastAsia="仿宋_GB2312"/>
                <w:sz w:val="24"/>
                <w:u w:val="single"/>
              </w:rPr>
              <w:t>文件中（原件单独放置，资格预审时一并提交）</w:t>
            </w:r>
            <w:r>
              <w:rPr>
                <w:rFonts w:hint="eastAsia" w:ascii="仿宋_GB2312" w:eastAsia="仿宋_GB2312"/>
                <w:sz w:val="24"/>
                <w:u w:val="single"/>
                <w:lang w:eastAsia="zh-CN"/>
              </w:rPr>
              <w:t>，</w:t>
            </w:r>
            <w:r>
              <w:rPr>
                <w:rFonts w:hint="eastAsia" w:ascii="仿宋_GB2312" w:eastAsia="仿宋_GB2312"/>
                <w:sz w:val="24"/>
                <w:u w:val="single"/>
              </w:rPr>
              <w:t>投标文件内未放置</w:t>
            </w:r>
            <w:r>
              <w:rPr>
                <w:rFonts w:hint="eastAsia" w:ascii="仿宋_GB2312" w:eastAsia="仿宋_GB2312"/>
                <w:sz w:val="24"/>
                <w:u w:val="single"/>
                <w:lang w:eastAsia="zh-CN"/>
              </w:rPr>
              <w:t>投标保证金</w:t>
            </w:r>
            <w:r>
              <w:rPr>
                <w:rFonts w:hint="eastAsia" w:ascii="仿宋_GB2312" w:eastAsia="仿宋_GB2312"/>
                <w:sz w:val="24"/>
                <w:u w:val="single"/>
              </w:rPr>
              <w:t>收据复印件将做无效投标处理。到账截止时间至202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12</w:t>
            </w:r>
            <w:r>
              <w:rPr>
                <w:rFonts w:hint="eastAsia" w:ascii="仿宋_GB2312" w:eastAsia="仿宋_GB2312"/>
                <w:sz w:val="24"/>
                <w:u w:val="single"/>
              </w:rPr>
              <w:t>月</w:t>
            </w:r>
            <w:r>
              <w:rPr>
                <w:rFonts w:hint="eastAsia" w:ascii="仿宋_GB2312" w:eastAsia="仿宋_GB2312"/>
                <w:sz w:val="24"/>
                <w:u w:val="single"/>
                <w:lang w:val="en-US" w:eastAsia="zh-CN"/>
              </w:rPr>
              <w:t>23</w:t>
            </w:r>
            <w:r>
              <w:rPr>
                <w:rFonts w:hint="eastAsia" w:ascii="仿宋_GB2312" w:eastAsia="仿宋_GB2312"/>
                <w:sz w:val="24"/>
                <w:u w:val="single"/>
              </w:rPr>
              <w:t>日</w:t>
            </w:r>
            <w:r>
              <w:rPr>
                <w:rFonts w:hint="eastAsia" w:ascii="仿宋_GB2312" w:eastAsia="仿宋_GB2312"/>
                <w:sz w:val="24"/>
                <w:u w:val="single"/>
                <w:lang w:val="en-US" w:eastAsia="zh-CN"/>
              </w:rPr>
              <w:t>下</w:t>
            </w:r>
            <w:r>
              <w:rPr>
                <w:rFonts w:hint="eastAsia" w:ascii="仿宋_GB2312" w:eastAsia="仿宋_GB2312"/>
                <w:sz w:val="24"/>
                <w:u w:val="single"/>
              </w:rPr>
              <w:t>午1</w:t>
            </w:r>
            <w:r>
              <w:rPr>
                <w:rFonts w:hint="eastAsia" w:ascii="仿宋_GB2312" w:eastAsia="仿宋_GB2312"/>
                <w:sz w:val="24"/>
                <w:u w:val="single"/>
                <w:lang w:val="en-US" w:eastAsia="zh-CN"/>
              </w:rPr>
              <w:t>8</w:t>
            </w:r>
            <w:r>
              <w:rPr>
                <w:rFonts w:hint="eastAsia" w:ascii="仿宋_GB2312" w:eastAsia="仿宋_GB2312"/>
                <w:sz w:val="24"/>
                <w:u w:val="single"/>
              </w:rPr>
              <w:t>点00分（北京时间）；</w:t>
            </w:r>
          </w:p>
          <w:p>
            <w:pPr>
              <w:spacing w:line="240" w:lineRule="atLeast"/>
              <w:rPr>
                <w:rFonts w:hint="eastAsia" w:ascii="仿宋_GB2312" w:eastAsia="仿宋_GB2312"/>
                <w:sz w:val="24"/>
              </w:rPr>
            </w:pPr>
            <w:r>
              <w:rPr>
                <w:rFonts w:hint="eastAsia" w:ascii="仿宋_GB2312" w:eastAsia="仿宋_GB2312"/>
                <w:sz w:val="24"/>
                <w:lang w:eastAsia="zh-CN"/>
              </w:rPr>
              <w:t>投标</w:t>
            </w:r>
            <w:r>
              <w:rPr>
                <w:rFonts w:hint="eastAsia" w:ascii="仿宋_GB2312" w:eastAsia="仿宋_GB2312"/>
                <w:sz w:val="24"/>
              </w:rPr>
              <w:t>保证金的退还：</w:t>
            </w:r>
          </w:p>
          <w:p>
            <w:pPr>
              <w:spacing w:line="240" w:lineRule="atLeast"/>
              <w:rPr>
                <w:rFonts w:hint="eastAsia" w:ascii="仿宋_GB2312" w:eastAsia="仿宋_GB2312"/>
                <w:sz w:val="24"/>
              </w:rPr>
            </w:pPr>
            <w:r>
              <w:rPr>
                <w:rFonts w:hint="eastAsia" w:ascii="仿宋_GB2312" w:eastAsia="仿宋_GB2312"/>
                <w:sz w:val="24"/>
                <w:u w:val="single"/>
              </w:rPr>
              <w:t>自</w:t>
            </w:r>
            <w:r>
              <w:rPr>
                <w:rFonts w:hint="eastAsia" w:ascii="仿宋_GB2312" w:eastAsia="仿宋_GB2312"/>
                <w:sz w:val="24"/>
                <w:u w:val="single"/>
                <w:lang w:eastAsia="zh-CN"/>
              </w:rPr>
              <w:t>中标</w:t>
            </w:r>
            <w:r>
              <w:rPr>
                <w:rFonts w:hint="eastAsia" w:ascii="仿宋_GB2312" w:eastAsia="仿宋_GB2312"/>
                <w:sz w:val="24"/>
                <w:u w:val="single"/>
              </w:rPr>
              <w:t>通知书发出之日起5个工作日内退还未成交</w:t>
            </w:r>
            <w:r>
              <w:rPr>
                <w:rFonts w:hint="eastAsia" w:ascii="仿宋_GB2312" w:eastAsia="仿宋_GB2312"/>
                <w:sz w:val="24"/>
                <w:u w:val="single"/>
                <w:lang w:eastAsia="zh-CN"/>
              </w:rPr>
              <w:t>投标单位</w:t>
            </w:r>
            <w:r>
              <w:rPr>
                <w:rFonts w:hint="eastAsia" w:ascii="仿宋_GB2312" w:eastAsia="仿宋_GB2312"/>
                <w:sz w:val="24"/>
                <w:u w:val="single"/>
              </w:rPr>
              <w:t>的保证金，自采购合同签订之日起5个工作日内退还成交</w:t>
            </w:r>
            <w:r>
              <w:rPr>
                <w:rFonts w:hint="eastAsia" w:ascii="仿宋_GB2312" w:eastAsia="仿宋_GB2312"/>
                <w:sz w:val="24"/>
                <w:u w:val="single"/>
                <w:lang w:eastAsia="zh-CN"/>
              </w:rPr>
              <w:t>投标单位</w:t>
            </w:r>
            <w:r>
              <w:rPr>
                <w:rFonts w:hint="eastAsia" w:ascii="仿宋_GB2312" w:eastAsia="仿宋_GB2312"/>
                <w:sz w:val="24"/>
                <w:u w:val="single"/>
              </w:rPr>
              <w:t>的保证金或者转为成交</w:t>
            </w:r>
            <w:r>
              <w:rPr>
                <w:rFonts w:hint="eastAsia" w:ascii="仿宋_GB2312" w:eastAsia="仿宋_GB2312"/>
                <w:sz w:val="24"/>
                <w:u w:val="single"/>
                <w:lang w:eastAsia="zh-CN"/>
              </w:rPr>
              <w:t>投标单位</w:t>
            </w:r>
            <w:r>
              <w:rPr>
                <w:rFonts w:hint="eastAsia" w:ascii="仿宋_GB2312" w:eastAsia="仿宋_GB2312"/>
                <w:sz w:val="24"/>
                <w:u w:val="single"/>
              </w:rPr>
              <w:t>的履约保证金。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eastAsia="仿宋_GB2312"/>
                <w:sz w:val="24"/>
                <w:lang w:val="en-US" w:eastAsia="zh-CN"/>
              </w:rPr>
              <w:t>4</w:t>
            </w:r>
          </w:p>
        </w:tc>
        <w:tc>
          <w:tcPr>
            <w:tcW w:w="6840"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lang w:val="en-US" w:eastAsia="zh-CN"/>
              </w:rPr>
              <w:t>60</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firstLine="480" w:firstLineChars="200"/>
              <w:rPr>
                <w:rFonts w:hint="eastAsia" w:ascii="仿宋_GB2312" w:eastAsia="仿宋_GB2312"/>
                <w:sz w:val="24"/>
                <w:lang w:eastAsia="zh-CN"/>
              </w:rPr>
            </w:pPr>
            <w:r>
              <w:rPr>
                <w:rFonts w:hint="eastAsia" w:ascii="仿宋_GB2312" w:eastAsia="仿宋_GB2312"/>
                <w:sz w:val="24"/>
                <w:lang w:val="en-US" w:eastAsia="zh-CN"/>
              </w:rPr>
              <w:t>5</w:t>
            </w:r>
          </w:p>
        </w:tc>
        <w:tc>
          <w:tcPr>
            <w:tcW w:w="6840" w:type="dxa"/>
            <w:noWrap w:val="0"/>
            <w:vAlign w:val="center"/>
          </w:tcPr>
          <w:p>
            <w:pPr>
              <w:spacing w:line="240" w:lineRule="atLeast"/>
              <w:rPr>
                <w:rFonts w:hint="eastAsia" w:ascii="仿宋_GB2312" w:eastAsia="仿宋_GB2312"/>
                <w:b/>
                <w:bCs/>
                <w:sz w:val="24"/>
              </w:rPr>
            </w:pPr>
            <w:r>
              <w:rPr>
                <w:rFonts w:hint="eastAsia" w:ascii="仿宋_GB2312" w:eastAsia="仿宋_GB2312"/>
                <w:b/>
                <w:bCs/>
                <w:sz w:val="24"/>
                <w:lang w:eastAsia="zh-CN"/>
              </w:rPr>
              <w:t>投标</w:t>
            </w:r>
            <w:r>
              <w:rPr>
                <w:rFonts w:hint="eastAsia" w:ascii="仿宋_GB2312" w:eastAsia="仿宋_GB2312"/>
                <w:b/>
                <w:bCs/>
                <w:sz w:val="24"/>
              </w:rPr>
              <w:t>文件包括“</w:t>
            </w:r>
            <w:r>
              <w:rPr>
                <w:rFonts w:hint="eastAsia" w:ascii="仿宋_GB2312" w:eastAsia="仿宋_GB2312"/>
                <w:b/>
                <w:bCs/>
                <w:sz w:val="24"/>
                <w:lang w:eastAsia="zh-CN"/>
              </w:rPr>
              <w:t>开标</w:t>
            </w:r>
            <w:r>
              <w:rPr>
                <w:rFonts w:hint="eastAsia" w:ascii="仿宋_GB2312" w:eastAsia="仿宋_GB2312"/>
                <w:b/>
                <w:bCs/>
                <w:sz w:val="24"/>
              </w:rPr>
              <w:t>一览表及资格证明文件”和“商务及技术文件”两部分，两部分合订成一册密封递交。</w:t>
            </w:r>
          </w:p>
          <w:p>
            <w:pPr>
              <w:spacing w:line="240" w:lineRule="atLeast"/>
              <w:rPr>
                <w:rFonts w:hint="eastAsia" w:ascii="仿宋_GB2312" w:eastAsia="仿宋_GB2312"/>
                <w:b/>
                <w:bCs/>
                <w:sz w:val="24"/>
              </w:rPr>
            </w:pPr>
            <w:r>
              <w:rPr>
                <w:rFonts w:hint="eastAsia" w:ascii="仿宋_GB2312" w:eastAsia="仿宋_GB2312"/>
                <w:b/>
                <w:bCs/>
                <w:sz w:val="24"/>
                <w:lang w:eastAsia="zh-CN"/>
              </w:rPr>
              <w:t>招标</w:t>
            </w:r>
            <w:r>
              <w:rPr>
                <w:rFonts w:hint="eastAsia" w:ascii="仿宋_GB2312" w:eastAsia="仿宋_GB2312"/>
                <w:b/>
                <w:bCs/>
                <w:sz w:val="24"/>
              </w:rPr>
              <w:t>文件：正本：壹份、副本：</w:t>
            </w:r>
            <w:r>
              <w:rPr>
                <w:rFonts w:hint="eastAsia" w:ascii="仿宋_GB2312" w:eastAsia="仿宋_GB2312"/>
                <w:b/>
                <w:bCs/>
                <w:sz w:val="24"/>
                <w:lang w:val="en-US" w:eastAsia="zh-CN"/>
              </w:rPr>
              <w:t>肆</w:t>
            </w:r>
            <w:r>
              <w:rPr>
                <w:rFonts w:hint="eastAsia" w:ascii="仿宋_GB2312" w:eastAsia="仿宋_GB2312"/>
                <w:b/>
                <w:bCs/>
                <w:sz w:val="24"/>
              </w:rPr>
              <w:t>份；（正、副本分别单独密封提交，密封袋封面右上角标明“正本”和“副本”字样）</w:t>
            </w:r>
          </w:p>
          <w:p>
            <w:pPr>
              <w:spacing w:line="240" w:lineRule="atLeast"/>
              <w:rPr>
                <w:rFonts w:hint="eastAsia" w:ascii="仿宋_GB2312" w:eastAsia="仿宋_GB2312"/>
                <w:b/>
                <w:bCs/>
                <w:sz w:val="24"/>
              </w:rPr>
            </w:pPr>
            <w:r>
              <w:rPr>
                <w:rFonts w:hint="eastAsia" w:ascii="仿宋_GB2312" w:eastAsia="仿宋_GB2312"/>
                <w:b/>
                <w:bCs/>
                <w:sz w:val="24"/>
                <w:lang w:eastAsia="zh-CN"/>
              </w:rPr>
              <w:t>投标单位</w:t>
            </w:r>
            <w:r>
              <w:rPr>
                <w:rFonts w:hint="eastAsia" w:ascii="仿宋_GB2312" w:eastAsia="仿宋_GB2312"/>
                <w:b/>
                <w:bCs/>
                <w:sz w:val="24"/>
              </w:rPr>
              <w:t>必须制作“</w:t>
            </w:r>
            <w:r>
              <w:rPr>
                <w:rFonts w:hint="eastAsia" w:ascii="仿宋_GB2312" w:eastAsia="仿宋_GB2312"/>
                <w:b/>
                <w:bCs/>
                <w:sz w:val="24"/>
                <w:lang w:eastAsia="zh-CN"/>
              </w:rPr>
              <w:t>开标一览表</w:t>
            </w:r>
            <w:r>
              <w:rPr>
                <w:rFonts w:hint="eastAsia" w:ascii="仿宋_GB2312" w:eastAsia="仿宋_GB2312"/>
                <w:b/>
                <w:bCs/>
                <w:sz w:val="24"/>
              </w:rPr>
              <w:t>”并单独密封提交，并在密封袋上标明“</w:t>
            </w:r>
            <w:r>
              <w:rPr>
                <w:rFonts w:hint="eastAsia" w:ascii="仿宋_GB2312" w:eastAsia="仿宋_GB2312"/>
                <w:b/>
                <w:bCs/>
                <w:sz w:val="24"/>
                <w:lang w:eastAsia="zh-CN"/>
              </w:rPr>
              <w:t>开标一览表</w:t>
            </w:r>
            <w:r>
              <w:rPr>
                <w:rFonts w:hint="eastAsia" w:ascii="仿宋_GB2312" w:eastAsia="仿宋_GB2312"/>
                <w:b/>
                <w:bCs/>
                <w:sz w:val="24"/>
              </w:rPr>
              <w:t>”的字样。不按要求标注或不单独提交</w:t>
            </w:r>
            <w:r>
              <w:rPr>
                <w:rFonts w:hint="eastAsia" w:ascii="仿宋_GB2312" w:eastAsia="仿宋_GB2312"/>
                <w:b/>
                <w:bCs/>
                <w:sz w:val="24"/>
                <w:lang w:eastAsia="zh-CN"/>
              </w:rPr>
              <w:t>开标一览表</w:t>
            </w:r>
            <w:r>
              <w:rPr>
                <w:rFonts w:hint="eastAsia" w:ascii="仿宋_GB2312" w:eastAsia="仿宋_GB2312"/>
                <w:b/>
                <w:bCs/>
                <w:sz w:val="24"/>
              </w:rPr>
              <w:t>，其</w:t>
            </w:r>
            <w:r>
              <w:rPr>
                <w:rFonts w:hint="eastAsia" w:ascii="仿宋_GB2312" w:eastAsia="仿宋_GB2312"/>
                <w:b/>
                <w:bCs/>
                <w:sz w:val="24"/>
                <w:lang w:eastAsia="zh-CN"/>
              </w:rPr>
              <w:t>投标</w:t>
            </w:r>
            <w:r>
              <w:rPr>
                <w:rFonts w:hint="eastAsia" w:ascii="仿宋_GB2312" w:eastAsia="仿宋_GB2312"/>
                <w:b/>
                <w:bCs/>
                <w:sz w:val="24"/>
              </w:rPr>
              <w:t>文件将被拒绝。</w:t>
            </w:r>
          </w:p>
          <w:p>
            <w:pPr>
              <w:spacing w:line="240" w:lineRule="atLeast"/>
              <w:rPr>
                <w:rFonts w:hint="eastAsia" w:ascii="仿宋_GB2312" w:eastAsia="仿宋_GB2312"/>
                <w:b/>
                <w:bCs/>
                <w:sz w:val="24"/>
              </w:rPr>
            </w:pPr>
            <w:r>
              <w:rPr>
                <w:rFonts w:hint="eastAsia" w:ascii="仿宋_GB2312" w:eastAsia="仿宋_GB2312"/>
                <w:b/>
                <w:bCs/>
                <w:sz w:val="24"/>
              </w:rPr>
              <w:t>除上述文件外，还须密封递交</w:t>
            </w:r>
            <w:r>
              <w:rPr>
                <w:rFonts w:hint="eastAsia" w:ascii="仿宋_GB2312" w:eastAsia="仿宋_GB2312"/>
                <w:b/>
                <w:bCs/>
                <w:sz w:val="24"/>
                <w:lang w:eastAsia="zh-CN"/>
              </w:rPr>
              <w:t>投标</w:t>
            </w:r>
            <w:r>
              <w:rPr>
                <w:rFonts w:hint="eastAsia" w:ascii="仿宋_GB2312" w:eastAsia="仿宋_GB2312"/>
                <w:b/>
                <w:bCs/>
                <w:sz w:val="24"/>
              </w:rPr>
              <w:t>文件电子文档1份。</w:t>
            </w:r>
            <w:r>
              <w:rPr>
                <w:rFonts w:hint="eastAsia" w:ascii="仿宋_GB2312" w:eastAsia="仿宋_GB2312"/>
                <w:b/>
                <w:bCs/>
                <w:sz w:val="24"/>
                <w:lang w:eastAsia="zh-CN"/>
              </w:rPr>
              <w:t>投标人</w:t>
            </w:r>
            <w:r>
              <w:rPr>
                <w:rFonts w:hint="eastAsia" w:ascii="仿宋_GB2312" w:eastAsia="仿宋_GB2312"/>
                <w:b/>
                <w:bCs/>
                <w:sz w:val="24"/>
              </w:rPr>
              <w:t>必须制作“电子版U盘”并单独密封提交。电子版U盘必须是正本扫描件，并制作成与正本完全一致PDF格式文本</w:t>
            </w:r>
            <w:r>
              <w:rPr>
                <w:rFonts w:hint="eastAsia" w:ascii="仿宋_GB2312" w:eastAsia="仿宋_GB2312"/>
                <w:b/>
                <w:bCs/>
                <w:sz w:val="24"/>
                <w:highlight w:val="none"/>
              </w:rPr>
              <w:t>及Word文档两个格式</w:t>
            </w:r>
            <w:r>
              <w:rPr>
                <w:rFonts w:hint="eastAsia" w:ascii="仿宋_GB2312" w:eastAsia="仿宋_GB2312"/>
                <w:b/>
                <w:bCs/>
                <w:sz w:val="24"/>
                <w:highlight w:val="none"/>
                <w:lang w:eastAsia="zh-CN"/>
              </w:rPr>
              <w:t>。</w:t>
            </w:r>
            <w:r>
              <w:rPr>
                <w:rFonts w:hint="eastAsia" w:ascii="仿宋_GB2312" w:eastAsia="仿宋_GB2312"/>
                <w:b/>
                <w:bCs/>
                <w:sz w:val="24"/>
              </w:rPr>
              <w:t>不按要求提交电子版U盘，其</w:t>
            </w:r>
            <w:r>
              <w:rPr>
                <w:rFonts w:hint="eastAsia" w:ascii="仿宋_GB2312" w:eastAsia="仿宋_GB2312"/>
                <w:b/>
                <w:bCs/>
                <w:sz w:val="24"/>
                <w:lang w:eastAsia="zh-CN"/>
              </w:rPr>
              <w:t>投标</w:t>
            </w:r>
            <w:r>
              <w:rPr>
                <w:rFonts w:hint="eastAsia" w:ascii="仿宋_GB2312" w:eastAsia="仿宋_GB2312"/>
                <w:b/>
                <w:bCs/>
                <w:sz w:val="24"/>
              </w:rPr>
              <w:t>无效。</w:t>
            </w:r>
          </w:p>
          <w:p>
            <w:pPr>
              <w:spacing w:line="240" w:lineRule="atLeast"/>
              <w:rPr>
                <w:rFonts w:hint="eastAsia" w:ascii="仿宋_GB2312" w:eastAsia="仿宋_GB2312"/>
                <w:b/>
                <w:bCs/>
                <w:sz w:val="24"/>
              </w:rPr>
            </w:pPr>
            <w:r>
              <w:rPr>
                <w:rFonts w:hint="eastAsia" w:ascii="仿宋_GB2312" w:eastAsia="仿宋_GB2312"/>
                <w:b/>
                <w:bCs/>
                <w:sz w:val="24"/>
                <w:lang w:eastAsia="zh-CN"/>
              </w:rPr>
              <w:t>投标</w:t>
            </w:r>
            <w:r>
              <w:rPr>
                <w:rFonts w:hint="eastAsia" w:ascii="仿宋_GB2312" w:eastAsia="仿宋_GB2312"/>
                <w:b/>
                <w:bCs/>
                <w:sz w:val="24"/>
              </w:rPr>
              <w:t>文件使用A4，胶装，每册装订应牢固、不易拆散和换页，不得采用活页装订。除上述文件外，还须密封递交投标文件电子文档</w:t>
            </w:r>
            <w:r>
              <w:rPr>
                <w:rFonts w:hint="eastAsia" w:ascii="仿宋_GB2312" w:eastAsia="仿宋_GB2312"/>
                <w:b/>
                <w:bCs/>
                <w:sz w:val="24"/>
                <w:lang w:val="en-US" w:eastAsia="zh-CN"/>
              </w:rPr>
              <w:t>1</w:t>
            </w:r>
            <w:r>
              <w:rPr>
                <w:rFonts w:hint="eastAsia" w:ascii="仿宋_GB2312" w:eastAsia="仿宋_GB2312"/>
                <w:b/>
                <w:bCs/>
                <w:sz w:val="24"/>
              </w:rPr>
              <w:t>份。</w:t>
            </w:r>
          </w:p>
          <w:p>
            <w:pPr>
              <w:spacing w:line="240" w:lineRule="atLeast"/>
              <w:rPr>
                <w:rFonts w:hint="eastAsia" w:ascii="仿宋_GB2312" w:eastAsia="仿宋_GB2312"/>
                <w:b/>
                <w:bCs/>
                <w:sz w:val="24"/>
              </w:rPr>
            </w:pPr>
            <w:r>
              <w:rPr>
                <w:rFonts w:hint="eastAsia" w:ascii="仿宋_GB2312" w:eastAsia="仿宋_GB2312"/>
                <w:b/>
                <w:bCs/>
                <w:sz w:val="24"/>
              </w:rPr>
              <w:t>投标文件的签署及规定：</w:t>
            </w:r>
          </w:p>
          <w:p>
            <w:pPr>
              <w:spacing w:line="240" w:lineRule="atLeast"/>
              <w:rPr>
                <w:rFonts w:hint="eastAsia" w:ascii="仿宋_GB2312" w:eastAsia="仿宋_GB2312"/>
                <w:b/>
                <w:bCs/>
                <w:sz w:val="24"/>
              </w:rPr>
            </w:pPr>
            <w:r>
              <w:rPr>
                <w:rFonts w:hint="eastAsia" w:ascii="仿宋_GB2312" w:eastAsia="仿宋_GB2312"/>
                <w:b/>
                <w:bCs/>
                <w:sz w:val="24"/>
              </w:rPr>
              <w:t>投标人应按投标人须知资料表中的规定，准备和递交投标文件，每份</w:t>
            </w:r>
            <w:r>
              <w:rPr>
                <w:rFonts w:hint="eastAsia" w:ascii="仿宋_GB2312" w:eastAsia="仿宋_GB2312"/>
                <w:b/>
                <w:bCs/>
                <w:sz w:val="24"/>
                <w:lang w:eastAsia="zh-CN"/>
              </w:rPr>
              <w:t>投标文件</w:t>
            </w:r>
            <w:r>
              <w:rPr>
                <w:rFonts w:hint="eastAsia" w:ascii="仿宋_GB2312" w:eastAsia="仿宋_GB2312"/>
                <w:b/>
                <w:bCs/>
                <w:sz w:val="24"/>
              </w:rPr>
              <w:t>封皮须清楚地标明“正本”或“副本”。若正本和副本不符，以正本为准。</w:t>
            </w:r>
          </w:p>
          <w:p>
            <w:pPr>
              <w:spacing w:line="240" w:lineRule="atLeast"/>
              <w:rPr>
                <w:rFonts w:hint="eastAsia" w:ascii="仿宋_GB2312" w:eastAsia="仿宋_GB2312"/>
                <w:b/>
                <w:bCs/>
                <w:sz w:val="24"/>
              </w:rPr>
            </w:pPr>
            <w:r>
              <w:rPr>
                <w:rFonts w:hint="eastAsia" w:ascii="仿宋_GB2312" w:eastAsia="仿宋_GB2312"/>
                <w:b/>
                <w:bCs/>
                <w:sz w:val="24"/>
              </w:rPr>
              <w:t>投标文件的正本需打印或用不褪色墨水书写，并由投标人的法定代表人或经其正式委托代理人按招标文件规定在投标文件上签字并加盖单位印章。委托代理人须持有书面的“法定代表人授权委托书”，并将其附在投标文件中。如对投标文件进行了修改，则应由投标人的法定代表人或其委托代理人在每一修改处签字。投标文件的副本可采用正本的复印件。</w:t>
            </w:r>
          </w:p>
          <w:p>
            <w:pPr>
              <w:spacing w:line="240" w:lineRule="atLeast"/>
              <w:rPr>
                <w:rFonts w:hint="eastAsia" w:ascii="仿宋_GB2312" w:eastAsia="仿宋_GB2312"/>
                <w:b/>
                <w:bCs/>
                <w:sz w:val="24"/>
              </w:rPr>
            </w:pPr>
            <w:r>
              <w:rPr>
                <w:rFonts w:hint="eastAsia" w:ascii="仿宋_GB2312" w:eastAsia="仿宋_GB2312"/>
                <w:b/>
                <w:bCs/>
                <w:sz w:val="24"/>
              </w:rPr>
              <w:t>所有包装封皮和信封上均应：</w:t>
            </w:r>
          </w:p>
          <w:p>
            <w:pPr>
              <w:spacing w:line="240" w:lineRule="atLeast"/>
              <w:rPr>
                <w:rFonts w:hint="eastAsia" w:ascii="仿宋_GB2312" w:eastAsia="仿宋_GB2312"/>
                <w:b/>
                <w:bCs/>
                <w:sz w:val="24"/>
              </w:rPr>
            </w:pPr>
            <w:r>
              <w:rPr>
                <w:rFonts w:hint="eastAsia" w:ascii="仿宋_GB2312" w:eastAsia="仿宋_GB2312"/>
                <w:b/>
                <w:bCs/>
                <w:sz w:val="24"/>
              </w:rPr>
              <w:t>注明招标公告指明的项目名称、招标编号、投标人名称和“在（开标时间）之前不得启封”的字样。</w:t>
            </w:r>
          </w:p>
          <w:p>
            <w:pPr>
              <w:spacing w:line="240" w:lineRule="atLeast"/>
              <w:rPr>
                <w:rFonts w:hint="default" w:ascii="仿宋_GB2312" w:eastAsia="仿宋_GB2312"/>
                <w:sz w:val="24"/>
                <w:lang w:val="en-US" w:eastAsia="zh-CN"/>
              </w:rPr>
            </w:pPr>
            <w:r>
              <w:rPr>
                <w:rFonts w:hint="eastAsia" w:ascii="仿宋_GB2312" w:eastAsia="仿宋_GB2312"/>
                <w:b/>
                <w:bCs/>
                <w:sz w:val="24"/>
              </w:rPr>
              <w:t>在封口处加盖投标人</w:t>
            </w:r>
            <w:r>
              <w:rPr>
                <w:rFonts w:hint="eastAsia" w:ascii="仿宋_GB2312" w:eastAsia="仿宋_GB2312"/>
                <w:b/>
                <w:bCs/>
                <w:sz w:val="24"/>
                <w:lang w:val="en-US" w:eastAsia="zh-CN"/>
              </w:rPr>
              <w:t>私章及</w:t>
            </w:r>
            <w:r>
              <w:rPr>
                <w:rFonts w:hint="eastAsia" w:ascii="仿宋_GB2312" w:eastAsia="仿宋_GB2312"/>
                <w:b/>
                <w:bCs/>
                <w:sz w:val="24"/>
              </w:rPr>
              <w:t>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eastAsia="仿宋_GB2312"/>
                <w:sz w:val="24"/>
                <w:lang w:val="en-US" w:eastAsia="zh-CN"/>
              </w:rPr>
              <w:t>6</w:t>
            </w:r>
          </w:p>
        </w:tc>
        <w:tc>
          <w:tcPr>
            <w:tcW w:w="6840" w:type="dxa"/>
            <w:noWrap w:val="0"/>
            <w:vAlign w:val="center"/>
          </w:tcPr>
          <w:p>
            <w:pPr>
              <w:spacing w:line="240" w:lineRule="atLeast"/>
              <w:rPr>
                <w:rFonts w:hint="eastAsia" w:ascii="仿宋_GB2312" w:eastAsia="仿宋_GB2312"/>
                <w:color w:val="auto"/>
                <w:sz w:val="24"/>
              </w:rPr>
            </w:pPr>
            <w:r>
              <w:rPr>
                <w:rFonts w:hint="eastAsia" w:ascii="仿宋_GB2312" w:eastAsia="仿宋_GB2312"/>
                <w:color w:val="auto"/>
                <w:sz w:val="24"/>
              </w:rPr>
              <w:t>投标截止时间：</w:t>
            </w:r>
            <w:r>
              <w:rPr>
                <w:rFonts w:hint="eastAsia" w:ascii="仿宋_GB2312" w:eastAsia="仿宋_GB2312"/>
                <w:color w:val="auto"/>
                <w:sz w:val="24"/>
                <w:u w:val="single"/>
                <w:lang w:val="en-US" w:eastAsia="zh-CN"/>
              </w:rPr>
              <w:t>2021年12月24日11点00分(北京时间）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eastAsia="仿宋_GB2312"/>
                <w:sz w:val="24"/>
                <w:lang w:val="en-US" w:eastAsia="zh-CN"/>
              </w:rPr>
              <w:t>7</w:t>
            </w:r>
          </w:p>
        </w:tc>
        <w:tc>
          <w:tcPr>
            <w:tcW w:w="6840" w:type="dxa"/>
            <w:noWrap w:val="0"/>
            <w:vAlign w:val="center"/>
          </w:tcPr>
          <w:p>
            <w:pPr>
              <w:spacing w:line="240" w:lineRule="atLeast"/>
              <w:rPr>
                <w:rFonts w:hint="eastAsia" w:ascii="仿宋_GB2312" w:eastAsia="仿宋_GB2312"/>
                <w:color w:val="auto"/>
                <w:sz w:val="24"/>
                <w:u w:val="single"/>
              </w:rPr>
            </w:pPr>
            <w:r>
              <w:rPr>
                <w:rFonts w:hint="eastAsia" w:ascii="仿宋_GB2312" w:eastAsia="仿宋_GB2312"/>
                <w:color w:val="auto"/>
                <w:sz w:val="24"/>
              </w:rPr>
              <w:t>开标时间：</w:t>
            </w:r>
            <w:r>
              <w:rPr>
                <w:rFonts w:hint="eastAsia" w:ascii="仿宋_GB2312" w:eastAsia="仿宋_GB2312"/>
                <w:color w:val="auto"/>
                <w:sz w:val="24"/>
                <w:u w:val="single"/>
                <w:lang w:val="en-US" w:eastAsia="zh-CN"/>
              </w:rPr>
              <w:t>2021年12月24日11点00分(北京时间）</w:t>
            </w:r>
          </w:p>
          <w:p>
            <w:pPr>
              <w:spacing w:line="240" w:lineRule="atLeast"/>
              <w:rPr>
                <w:rFonts w:ascii="仿宋_GB2312" w:eastAsia="仿宋_GB2312"/>
                <w:color w:val="auto"/>
                <w:sz w:val="24"/>
              </w:rPr>
            </w:pPr>
            <w:r>
              <w:rPr>
                <w:rFonts w:hint="eastAsia" w:ascii="仿宋_GB2312" w:eastAsia="仿宋_GB2312"/>
                <w:color w:val="auto"/>
                <w:sz w:val="24"/>
              </w:rPr>
              <w:t>开标地点：</w:t>
            </w:r>
            <w:r>
              <w:rPr>
                <w:rFonts w:hint="eastAsia" w:ascii="仿宋_GB2312" w:eastAsia="仿宋_GB2312"/>
                <w:color w:val="auto"/>
                <w:sz w:val="24"/>
                <w:u w:val="single"/>
                <w:lang w:val="en-US" w:eastAsia="zh-CN"/>
              </w:rPr>
              <w:t xml:space="preserve">喀什市滨河南路003号(新隆大酒店旁)南湖假日大酒店后院内招商中心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eastAsia="仿宋_GB2312"/>
                <w:sz w:val="24"/>
                <w:lang w:val="en-US" w:eastAsia="zh-CN"/>
              </w:rPr>
              <w:t>8</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评标方法：适用</w:t>
            </w:r>
            <w:r>
              <w:rPr>
                <w:rFonts w:hint="eastAsia" w:ascii="仿宋_GB2312" w:eastAsia="仿宋_GB2312"/>
                <w:sz w:val="24"/>
                <w:u w:val="single"/>
              </w:rPr>
              <w:t>综合评分法</w:t>
            </w:r>
            <w:r>
              <w:rPr>
                <w:rFonts w:hint="eastAsia" w:ascii="仿宋_GB2312" w:eastAsia="仿宋_GB2312"/>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eastAsia="仿宋_GB2312"/>
                <w:sz w:val="24"/>
                <w:lang w:val="en-US" w:eastAsia="zh-CN"/>
              </w:rPr>
              <w:t>9</w:t>
            </w:r>
          </w:p>
        </w:tc>
        <w:tc>
          <w:tcPr>
            <w:tcW w:w="6840" w:type="dxa"/>
            <w:noWrap w:val="0"/>
            <w:vAlign w:val="center"/>
          </w:tcPr>
          <w:p>
            <w:pPr>
              <w:spacing w:line="240" w:lineRule="atLeast"/>
              <w:rPr>
                <w:rFonts w:hint="default" w:ascii="仿宋_GB2312" w:eastAsia="仿宋_GB2312"/>
                <w:sz w:val="24"/>
                <w:lang w:val="en-US" w:eastAsia="zh-CN"/>
              </w:rPr>
            </w:pPr>
            <w:r>
              <w:rPr>
                <w:rFonts w:hint="eastAsia" w:ascii="仿宋_GB2312" w:eastAsia="仿宋_GB2312"/>
                <w:sz w:val="24"/>
              </w:rPr>
              <w:t>推荐</w:t>
            </w:r>
            <w:r>
              <w:rPr>
                <w:rFonts w:ascii="仿宋_GB2312" w:eastAsia="仿宋_GB2312"/>
                <w:sz w:val="24"/>
              </w:rPr>
              <w:t>中标候选</w:t>
            </w:r>
            <w:r>
              <w:rPr>
                <w:rFonts w:hint="eastAsia" w:ascii="仿宋_GB2312" w:eastAsia="仿宋_GB2312"/>
                <w:sz w:val="24"/>
                <w:lang w:eastAsia="zh-CN"/>
              </w:rPr>
              <w:t>投标单位</w:t>
            </w:r>
            <w:r>
              <w:rPr>
                <w:rFonts w:ascii="仿宋_GB2312" w:eastAsia="仿宋_GB2312"/>
                <w:sz w:val="24"/>
              </w:rPr>
              <w:t>的数量：</w:t>
            </w:r>
            <w:r>
              <w:rPr>
                <w:rFonts w:hint="eastAsia" w:ascii="仿宋_GB2312" w:eastAsia="仿宋_GB2312"/>
                <w:sz w:val="24"/>
                <w:u w:val="single"/>
                <w:lang w:val="en-US" w:eastAsia="zh-CN"/>
              </w:rPr>
              <w:t xml:space="preserve">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10</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lang w:eastAsia="zh-CN"/>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11</w:t>
            </w:r>
          </w:p>
        </w:tc>
        <w:tc>
          <w:tcPr>
            <w:tcW w:w="6840" w:type="dxa"/>
            <w:noWrap w:val="0"/>
            <w:vAlign w:val="center"/>
          </w:tcPr>
          <w:p>
            <w:pPr>
              <w:spacing w:line="240" w:lineRule="atLeast"/>
              <w:rPr>
                <w:rFonts w:hint="default" w:ascii="仿宋_GB2312" w:eastAsia="仿宋_GB2312"/>
                <w:color w:val="auto"/>
                <w:sz w:val="24"/>
                <w:u w:val="single"/>
                <w:lang w:val="en-US" w:eastAsia="zh-CN"/>
              </w:rPr>
            </w:pPr>
            <w:r>
              <w:rPr>
                <w:rFonts w:hint="eastAsia" w:ascii="仿宋_GB2312" w:eastAsia="仿宋_GB2312"/>
                <w:color w:val="auto"/>
                <w:sz w:val="24"/>
              </w:rPr>
              <w:t>履约保证金金额：合同总价的</w:t>
            </w:r>
            <w:r>
              <w:rPr>
                <w:rFonts w:hint="eastAsia" w:ascii="仿宋_GB2312" w:eastAsia="仿宋_GB2312"/>
                <w:color w:val="auto"/>
                <w:sz w:val="24"/>
                <w:u w:val="single"/>
                <w:lang w:val="en-US" w:eastAsia="zh-CN"/>
              </w:rPr>
              <w:t>5%</w:t>
            </w:r>
          </w:p>
          <w:p>
            <w:pPr>
              <w:spacing w:line="240" w:lineRule="atLeast"/>
              <w:rPr>
                <w:rFonts w:hint="eastAsia" w:ascii="仿宋_GB2312" w:eastAsia="仿宋_GB2312"/>
                <w:i/>
                <w:color w:val="auto"/>
                <w:sz w:val="24"/>
              </w:rPr>
            </w:pPr>
            <w:r>
              <w:rPr>
                <w:rFonts w:hint="eastAsia" w:ascii="仿宋_GB2312" w:eastAsia="仿宋_GB2312"/>
                <w:i/>
                <w:color w:val="auto"/>
                <w:sz w:val="24"/>
              </w:rPr>
              <w:t>（</w:t>
            </w:r>
            <w:r>
              <w:rPr>
                <w:rFonts w:ascii="仿宋_GB2312" w:eastAsia="仿宋_GB2312"/>
                <w:i/>
                <w:color w:val="auto"/>
                <w:sz w:val="24"/>
              </w:rPr>
              <w:t>不得超过政府采购</w:t>
            </w:r>
            <w:r>
              <w:rPr>
                <w:rFonts w:hint="eastAsia" w:ascii="仿宋_GB2312" w:eastAsia="仿宋_GB2312"/>
                <w:i/>
                <w:color w:val="auto"/>
                <w:sz w:val="24"/>
              </w:rPr>
              <w:t>合同</w:t>
            </w:r>
            <w:r>
              <w:rPr>
                <w:rFonts w:ascii="仿宋_GB2312" w:eastAsia="仿宋_GB2312"/>
                <w:i/>
                <w:color w:val="auto"/>
                <w:sz w:val="24"/>
              </w:rPr>
              <w:t>金额的</w:t>
            </w:r>
            <w:r>
              <w:rPr>
                <w:rFonts w:hint="eastAsia" w:ascii="仿宋_GB2312" w:eastAsia="仿宋_GB2312"/>
                <w:i/>
                <w:color w:val="auto"/>
                <w:sz w:val="24"/>
              </w:rPr>
              <w:t>10%）</w:t>
            </w:r>
          </w:p>
          <w:p>
            <w:pPr>
              <w:spacing w:line="240" w:lineRule="atLeast"/>
              <w:rPr>
                <w:rFonts w:ascii="仿宋_GB2312" w:eastAsia="仿宋_GB2312"/>
                <w:color w:val="auto"/>
                <w:sz w:val="24"/>
                <w:u w:val="single"/>
              </w:rPr>
            </w:pPr>
            <w:r>
              <w:rPr>
                <w:rFonts w:hint="eastAsia" w:ascii="仿宋_GB2312" w:eastAsia="仿宋_GB2312"/>
                <w:color w:val="auto"/>
                <w:sz w:val="24"/>
              </w:rPr>
              <w:t>履约保证金形式</w:t>
            </w:r>
            <w:r>
              <w:rPr>
                <w:rFonts w:hint="eastAsia" w:ascii="仿宋_GB2312" w:eastAsia="仿宋_GB2312"/>
                <w:color w:val="auto"/>
                <w:sz w:val="24"/>
                <w:lang w:eastAsia="zh-CN"/>
              </w:rPr>
              <w:t>：</w:t>
            </w:r>
            <w:r>
              <w:rPr>
                <w:rFonts w:hint="eastAsia" w:ascii="仿宋_GB2312" w:hAnsi="Times New Roman" w:eastAsia="仿宋_GB2312" w:cs="Times New Roman"/>
                <w:color w:val="auto"/>
                <w:sz w:val="24"/>
                <w:u w:val="single"/>
                <w:lang w:val="en-US" w:eastAsia="zh-Hans"/>
              </w:rPr>
              <w:t>转账、银行保函</w:t>
            </w:r>
          </w:p>
          <w:p>
            <w:pPr>
              <w:spacing w:line="240" w:lineRule="atLeast"/>
              <w:rPr>
                <w:rFonts w:hint="eastAsia" w:ascii="仿宋_GB2312" w:eastAsia="仿宋_GB2312"/>
                <w:sz w:val="24"/>
                <w:u w:val="single"/>
              </w:rPr>
            </w:pPr>
            <w:r>
              <w:rPr>
                <w:rFonts w:hint="eastAsia" w:ascii="仿宋_GB2312" w:eastAsia="仿宋_GB2312"/>
                <w:color w:val="auto"/>
                <w:sz w:val="24"/>
              </w:rPr>
              <w:t>提交履约保证金的时间：签订合同</w:t>
            </w:r>
            <w:r>
              <w:rPr>
                <w:rFonts w:hint="eastAsia" w:ascii="仿宋_GB2312" w:eastAsia="仿宋_GB2312"/>
                <w:color w:val="auto"/>
                <w:sz w:val="24"/>
                <w:lang w:eastAsia="zh-CN"/>
              </w:rPr>
              <w:t>前</w:t>
            </w:r>
            <w:r>
              <w:rPr>
                <w:rFonts w:hint="eastAsia" w:ascii="仿宋_GB2312" w:eastAsia="仿宋_GB2312"/>
                <w:sz w:val="24"/>
                <w:u w:val="single"/>
              </w:rPr>
              <w:t xml:space="preserve"> </w:t>
            </w:r>
            <w:r>
              <w:rPr>
                <w:rFonts w:hint="eastAsia" w:ascii="仿宋_GB2312" w:eastAsia="仿宋_GB2312"/>
                <w:sz w:val="24"/>
                <w:u w:val="single"/>
                <w:lang w:val="en-US" w:eastAsia="zh-CN"/>
              </w:rPr>
              <w:t>5</w:t>
            </w:r>
            <w:r>
              <w:rPr>
                <w:rFonts w:hint="eastAsia" w:ascii="仿宋_GB2312" w:eastAsia="仿宋_GB2312"/>
                <w:sz w:val="24"/>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7" w:hRule="atLeast"/>
        </w:trPr>
        <w:tc>
          <w:tcPr>
            <w:tcW w:w="1468" w:type="dxa"/>
            <w:noWrap w:val="0"/>
            <w:vAlign w:val="center"/>
          </w:tcPr>
          <w:p>
            <w:pPr>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12</w:t>
            </w:r>
          </w:p>
        </w:tc>
        <w:tc>
          <w:tcPr>
            <w:tcW w:w="6840" w:type="dxa"/>
            <w:noWrap w:val="0"/>
            <w:vAlign w:val="center"/>
          </w:tcPr>
          <w:p>
            <w:pPr>
              <w:pStyle w:val="5"/>
              <w:ind w:left="0" w:leftChars="0" w:firstLine="0" w:firstLineChars="0"/>
              <w:rPr>
                <w:rFonts w:hint="eastAsia" w:ascii="仿宋_GB2312" w:hAnsi="Times New Roman" w:eastAsia="仿宋_GB2312" w:cs="Times New Roman"/>
                <w:sz w:val="24"/>
              </w:rPr>
            </w:pPr>
            <w:r>
              <w:rPr>
                <w:rFonts w:hint="eastAsia" w:ascii="仿宋_GB2312" w:eastAsia="仿宋_GB2312"/>
                <w:b/>
                <w:bCs/>
                <w:sz w:val="24"/>
              </w:rPr>
              <w:t>中标服务费：参照发改办价格[2015]299号文件，并参照原国家计委计[2002]1980号文件和国家发改价格[2011]534号文件为计价依据的计算方法收取。</w:t>
            </w:r>
          </w:p>
          <w:p>
            <w:pPr>
              <w:pStyle w:val="5"/>
              <w:ind w:left="0" w:leftChars="0" w:firstLine="0" w:firstLineChars="0"/>
              <w:rPr>
                <w:rFonts w:hint="eastAsia" w:eastAsia="仿宋_GB2312"/>
                <w:lang w:eastAsia="zh-CN"/>
              </w:rPr>
            </w:pPr>
            <w:r>
              <w:rPr>
                <w:rFonts w:hint="eastAsia" w:ascii="仿宋_GB2312" w:eastAsia="仿宋_GB2312"/>
                <w:sz w:val="24"/>
                <w:lang w:eastAsia="zh-CN"/>
              </w:rPr>
              <w:t>支</w:t>
            </w:r>
            <w:r>
              <w:rPr>
                <w:rFonts w:hint="eastAsia" w:ascii="仿宋_GB2312" w:eastAsia="仿宋_GB2312"/>
                <w:sz w:val="24"/>
                <w:lang w:val="en-US" w:eastAsia="zh-CN"/>
              </w:rPr>
              <w:t xml:space="preserve"> </w:t>
            </w:r>
            <w:r>
              <w:rPr>
                <w:rFonts w:hint="eastAsia" w:ascii="仿宋_GB2312" w:eastAsia="仿宋_GB2312"/>
                <w:sz w:val="24"/>
                <w:lang w:eastAsia="zh-CN"/>
              </w:rPr>
              <w:t>付</w:t>
            </w:r>
            <w:r>
              <w:rPr>
                <w:rFonts w:hint="eastAsia" w:ascii="仿宋_GB2312" w:eastAsia="仿宋_GB2312"/>
                <w:sz w:val="24"/>
                <w:lang w:val="en-US" w:eastAsia="zh-CN"/>
              </w:rPr>
              <w:t xml:space="preserve"> </w:t>
            </w:r>
            <w:r>
              <w:rPr>
                <w:rFonts w:hint="eastAsia" w:ascii="仿宋_GB2312" w:eastAsia="仿宋_GB2312"/>
                <w:sz w:val="24"/>
                <w:lang w:eastAsia="zh-CN"/>
              </w:rPr>
              <w:t>方：</w:t>
            </w:r>
            <w:r>
              <w:rPr>
                <w:rFonts w:hint="eastAsia" w:ascii="仿宋_GB2312" w:hAnsi="宋体" w:eastAsia="仿宋_GB2312"/>
                <w:sz w:val="24"/>
                <w:u w:val="single"/>
                <w:lang w:eastAsia="zh-CN"/>
              </w:rPr>
              <w:t>由</w:t>
            </w:r>
            <w:r>
              <w:rPr>
                <w:rFonts w:hint="eastAsia" w:ascii="仿宋_GB2312" w:hAnsi="宋体" w:eastAsia="仿宋_GB2312"/>
                <w:sz w:val="24"/>
                <w:u w:val="single"/>
              </w:rPr>
              <w:t>中标人</w:t>
            </w:r>
            <w:r>
              <w:rPr>
                <w:rFonts w:hint="eastAsia" w:ascii="仿宋_GB2312" w:hAnsi="宋体" w:eastAsia="仿宋_GB2312"/>
                <w:sz w:val="24"/>
                <w:u w:val="single"/>
                <w:lang w:eastAsia="zh-CN"/>
              </w:rPr>
              <w:t>支付</w:t>
            </w:r>
          </w:p>
          <w:p>
            <w:pPr>
              <w:spacing w:line="240" w:lineRule="atLeast"/>
              <w:ind w:left="900" w:hanging="900" w:hangingChars="375"/>
              <w:rPr>
                <w:rFonts w:hint="eastAsia" w:ascii="仿宋_GB2312" w:hAnsi="宋体" w:eastAsia="仿宋_GB2312"/>
                <w:sz w:val="24"/>
                <w:lang w:eastAsia="zh-CN"/>
              </w:rPr>
            </w:pPr>
            <w:r>
              <w:rPr>
                <w:rFonts w:hint="eastAsia" w:ascii="仿宋_GB2312" w:hAnsi="宋体" w:eastAsia="仿宋_GB2312"/>
                <w:sz w:val="24"/>
              </w:rPr>
              <w:t>支付形式：</w:t>
            </w:r>
            <w:r>
              <w:rPr>
                <w:rFonts w:hint="eastAsia" w:ascii="仿宋_GB2312" w:hAnsi="宋体" w:eastAsia="仿宋_GB2312"/>
                <w:sz w:val="24"/>
                <w:u w:val="single"/>
                <w:lang w:val="en-US" w:eastAsia="zh-CN"/>
              </w:rPr>
              <w:t>对公</w:t>
            </w:r>
            <w:r>
              <w:rPr>
                <w:rFonts w:hint="eastAsia" w:ascii="仿宋_GB2312" w:hAnsi="宋体" w:eastAsia="仿宋_GB2312"/>
                <w:sz w:val="24"/>
                <w:u w:val="single"/>
              </w:rPr>
              <w:t xml:space="preserve">转账 </w:t>
            </w:r>
          </w:p>
          <w:p>
            <w:pPr>
              <w:spacing w:line="240" w:lineRule="atLeast"/>
              <w:rPr>
                <w:rFonts w:hint="default" w:ascii="仿宋_GB2312" w:eastAsia="仿宋_GB2312"/>
                <w:sz w:val="24"/>
                <w:lang w:val="en-US" w:eastAsia="zh-CN"/>
              </w:rPr>
            </w:pPr>
            <w:r>
              <w:rPr>
                <w:rFonts w:hint="eastAsia" w:ascii="仿宋_GB2312" w:hAnsi="宋体" w:eastAsia="仿宋_GB2312"/>
                <w:sz w:val="24"/>
              </w:rPr>
              <w:t>支付时间：</w:t>
            </w:r>
            <w:r>
              <w:rPr>
                <w:rFonts w:hint="eastAsia" w:ascii="仿宋_GB2312" w:hAnsi="宋体" w:eastAsia="仿宋_GB2312"/>
                <w:sz w:val="24"/>
                <w:u w:val="single"/>
              </w:rPr>
              <w:t>领取中标通知书时</w:t>
            </w:r>
            <w:r>
              <w:rPr>
                <w:rFonts w:hint="eastAsia" w:ascii="仿宋_GB2312" w:hAnsi="宋体" w:eastAsia="仿宋_GB2312"/>
                <w:sz w:val="24"/>
                <w:u w:val="single"/>
                <w:lang w:val="en-US" w:eastAsia="zh-CN"/>
              </w:rPr>
              <w:t>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lang w:eastAsia="zh-CN"/>
              </w:rPr>
              <w:t>否</w:t>
            </w:r>
            <w:r>
              <w:rPr>
                <w:rFonts w:hint="eastAsia" w:ascii="仿宋_GB2312" w:eastAsia="仿宋_GB2312"/>
                <w:sz w:val="24"/>
              </w:rPr>
              <w:t xml:space="preserve"> </w:t>
            </w:r>
            <w:r>
              <w:rPr>
                <w:rFonts w:hint="eastAsia" w:ascii="仿宋_GB2312" w:hAnsi="宋体" w:eastAsia="仿宋_GB2312"/>
                <w:i/>
                <w:sz w:val="24"/>
              </w:rPr>
              <w:t>（是、否）</w:t>
            </w:r>
          </w:p>
        </w:tc>
      </w:tr>
    </w:tbl>
    <w:p>
      <w:pPr>
        <w:spacing w:line="240" w:lineRule="atLeast"/>
        <w:ind w:left="1080" w:leftChars="257" w:hanging="540"/>
        <w:rPr>
          <w:rFonts w:ascii="仿宋_GB2312" w:eastAsia="仿宋_GB2312"/>
          <w:sz w:val="24"/>
        </w:rPr>
        <w:sectPr>
          <w:headerReference r:id="rId6" w:type="default"/>
          <w:headerReference r:id="rId7" w:type="even"/>
          <w:footerReference r:id="rId8"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384" w:name="_Toc216513787"/>
      <w:bookmarkStart w:id="385" w:name="_Toc219175635"/>
      <w:bookmarkStart w:id="386" w:name="_Toc216582811"/>
      <w:bookmarkStart w:id="387" w:name="_Toc21893535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32"/>
        <w:tblW w:w="15492" w:type="dxa"/>
        <w:tblInd w:w="-176" w:type="dxa"/>
        <w:tblLayout w:type="fixed"/>
        <w:tblCellMar>
          <w:top w:w="0" w:type="dxa"/>
          <w:left w:w="108" w:type="dxa"/>
          <w:bottom w:w="0" w:type="dxa"/>
          <w:right w:w="108" w:type="dxa"/>
        </w:tblCellMar>
      </w:tblPr>
      <w:tblGrid>
        <w:gridCol w:w="792"/>
        <w:gridCol w:w="1251"/>
        <w:gridCol w:w="1335"/>
        <w:gridCol w:w="1470"/>
        <w:gridCol w:w="949"/>
        <w:gridCol w:w="2191"/>
        <w:gridCol w:w="1878"/>
        <w:gridCol w:w="946"/>
        <w:gridCol w:w="743"/>
        <w:gridCol w:w="2420"/>
        <w:gridCol w:w="752"/>
        <w:gridCol w:w="765"/>
      </w:tblGrid>
      <w:tr>
        <w:tblPrEx>
          <w:tblCellMar>
            <w:top w:w="0" w:type="dxa"/>
            <w:left w:w="108" w:type="dxa"/>
            <w:bottom w:w="0" w:type="dxa"/>
            <w:right w:w="108" w:type="dxa"/>
          </w:tblCellMar>
        </w:tblPrEx>
        <w:trPr>
          <w:trHeight w:val="563" w:hRule="atLeast"/>
        </w:trPr>
        <w:tc>
          <w:tcPr>
            <w:tcW w:w="7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投标人名称</w:t>
            </w:r>
          </w:p>
        </w:tc>
        <w:tc>
          <w:tcPr>
            <w:tcW w:w="13935" w:type="dxa"/>
            <w:gridSpan w:val="10"/>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审查项目</w:t>
            </w:r>
          </w:p>
        </w:tc>
        <w:tc>
          <w:tcPr>
            <w:tcW w:w="7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结论</w:t>
            </w:r>
          </w:p>
        </w:tc>
      </w:tr>
      <w:tr>
        <w:trPr>
          <w:trHeight w:val="5170" w:hRule="atLeast"/>
        </w:trPr>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p>
        </w:tc>
        <w:tc>
          <w:tcPr>
            <w:tcW w:w="1251"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具有有效的营业执照</w:t>
            </w:r>
          </w:p>
        </w:tc>
        <w:tc>
          <w:tcPr>
            <w:tcW w:w="1335"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法人本人投标的需提供法人身份证原件；被授权委托人需提供法人授权委托书、法人身份证复印件及被授权委托人身份证原件；</w:t>
            </w:r>
          </w:p>
        </w:tc>
        <w:tc>
          <w:tcPr>
            <w:tcW w:w="1470"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具备市政公用工程施工总承包叁级(含)以上资质</w:t>
            </w:r>
          </w:p>
        </w:tc>
        <w:tc>
          <w:tcPr>
            <w:tcW w:w="949"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提供社保部门出具授权委托人近3个月（8、9、10）缴纳社保证明（社保缴费凭证和个人明细表）</w:t>
            </w:r>
          </w:p>
        </w:tc>
        <w:tc>
          <w:tcPr>
            <w:tcW w:w="2191"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良好的商业信誉和健全的财务会计制度证明材料良好的商业信誉和健全的财务会计制度证明材料（会计事务所出具的2020年度财务审计报告书原件或影印件；新办企业提供银行资信证明）；</w:t>
            </w:r>
          </w:p>
        </w:tc>
        <w:tc>
          <w:tcPr>
            <w:tcW w:w="1878"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提供具有依法缴纳近3个月（8、9、10）的税收良好记录证明；税务部门出具的完税凭证或缴税证明或银行出具的“银行电子缴税付款凭证”（新公司或其他组织和自然人提供近三个月内银行出具的资信证明）；</w:t>
            </w:r>
          </w:p>
          <w:p>
            <w:pPr>
              <w:widowControl/>
              <w:jc w:val="center"/>
              <w:rPr>
                <w:rFonts w:hint="eastAsia" w:ascii="仿宋_GB2312" w:hAnsi="Calibri" w:eastAsia="仿宋_GB2312" w:cs="Times New Roman"/>
                <w:kern w:val="2"/>
                <w:sz w:val="24"/>
                <w:szCs w:val="24"/>
                <w:lang w:val="en-US" w:eastAsia="zh-CN" w:bidi="ar-SA"/>
              </w:rPr>
            </w:pPr>
          </w:p>
        </w:tc>
        <w:tc>
          <w:tcPr>
            <w:tcW w:w="946"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投标人须提供《反商业贿赂承诺书》</w:t>
            </w:r>
          </w:p>
        </w:tc>
        <w:tc>
          <w:tcPr>
            <w:tcW w:w="743" w:type="dxa"/>
            <w:tcBorders>
              <w:top w:val="nil"/>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《三年内无重大违法违规记录承诺书》</w:t>
            </w:r>
          </w:p>
        </w:tc>
        <w:tc>
          <w:tcPr>
            <w:tcW w:w="2420"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“信用中国”网站、中国政府采购网、裁判文书网、国家企业公示信息系统查询诚信记录如有重大处罚信息不得参加本项目（提供查询结果网页截图并加盖供应商公章）；</w:t>
            </w:r>
          </w:p>
        </w:tc>
        <w:tc>
          <w:tcPr>
            <w:tcW w:w="752" w:type="dxa"/>
            <w:tcBorders>
              <w:top w:val="nil"/>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投标保证金收据原件及打款凭证；</w:t>
            </w:r>
          </w:p>
          <w:p>
            <w:pPr>
              <w:widowControl/>
              <w:jc w:val="center"/>
              <w:rPr>
                <w:rFonts w:hint="eastAsia" w:ascii="仿宋_GB2312" w:hAnsi="Calibri" w:eastAsia="仿宋_GB2312" w:cs="Times New Roman"/>
                <w:kern w:val="2"/>
                <w:sz w:val="24"/>
                <w:szCs w:val="24"/>
                <w:lang w:val="en-US" w:eastAsia="zh-CN" w:bidi="ar-SA"/>
              </w:rPr>
            </w:pPr>
          </w:p>
        </w:tc>
        <w:tc>
          <w:tcPr>
            <w:tcW w:w="7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i/>
                <w:iCs/>
                <w:kern w:val="0"/>
                <w:sz w:val="22"/>
                <w:szCs w:val="22"/>
              </w:rPr>
            </w:pPr>
          </w:p>
        </w:tc>
      </w:tr>
      <w:tr>
        <w:tblPrEx>
          <w:tblCellMar>
            <w:top w:w="0" w:type="dxa"/>
            <w:left w:w="108" w:type="dxa"/>
            <w:bottom w:w="0" w:type="dxa"/>
            <w:right w:w="108" w:type="dxa"/>
          </w:tblCellMar>
        </w:tblPrEx>
        <w:trPr>
          <w:trHeight w:val="891"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2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p>
        </w:tc>
        <w:tc>
          <w:tcPr>
            <w:tcW w:w="13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p>
        </w:tc>
        <w:tc>
          <w:tcPr>
            <w:tcW w:w="14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p>
        </w:tc>
        <w:tc>
          <w:tcPr>
            <w:tcW w:w="9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p>
        </w:tc>
        <w:tc>
          <w:tcPr>
            <w:tcW w:w="21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p>
        </w:tc>
        <w:tc>
          <w:tcPr>
            <w:tcW w:w="187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lang w:val="en-US" w:eastAsia="zh-CN"/>
              </w:rPr>
            </w:pPr>
          </w:p>
        </w:tc>
        <w:tc>
          <w:tcPr>
            <w:tcW w:w="7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p>
        </w:tc>
        <w:tc>
          <w:tcPr>
            <w:tcW w:w="2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p>
        </w:tc>
        <w:tc>
          <w:tcPr>
            <w:tcW w:w="75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p>
        </w:tc>
        <w:tc>
          <w:tcPr>
            <w:tcW w:w="7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i/>
                <w:iCs/>
                <w:kern w:val="0"/>
                <w:sz w:val="22"/>
                <w:szCs w:val="22"/>
              </w:rPr>
            </w:pPr>
          </w:p>
        </w:tc>
      </w:tr>
    </w:tbl>
    <w:p>
      <w:pPr>
        <w:pStyle w:val="2"/>
        <w:ind w:left="0" w:leftChars="0" w:firstLine="0" w:firstLineChars="0"/>
        <w:rPr>
          <w:rFonts w:ascii="仿宋_GB2312" w:eastAsia="仿宋_GB2312"/>
        </w:rPr>
      </w:pPr>
    </w:p>
    <w:p>
      <w:pPr>
        <w:pStyle w:val="2"/>
        <w:rPr>
          <w:rFonts w:ascii="仿宋_GB2312" w:eastAsia="仿宋_GB2312"/>
        </w:rPr>
      </w:pPr>
    </w:p>
    <w:p>
      <w:pPr>
        <w:pStyle w:val="2"/>
        <w:rPr>
          <w:rFonts w:ascii="仿宋_GB2312" w:eastAsia="仿宋_GB2312"/>
        </w:rPr>
      </w:pPr>
    </w:p>
    <w:p>
      <w:pPr>
        <w:pStyle w:val="3"/>
        <w:numPr>
          <w:ilvl w:val="0"/>
          <w:numId w:val="12"/>
        </w:numPr>
        <w:bidi w:val="0"/>
        <w:rPr>
          <w:rFonts w:hint="eastAsia"/>
        </w:rPr>
      </w:pPr>
      <w:r>
        <w:rPr>
          <w:rFonts w:hint="eastAsia"/>
        </w:rPr>
        <w:t>货物需求一览表及技术规</w:t>
      </w:r>
      <w:r>
        <w:rPr>
          <w:rFonts w:hint="eastAsia"/>
          <w:lang w:val="en-US" w:eastAsia="zh-CN"/>
        </w:rPr>
        <w:t>格一览表</w:t>
      </w:r>
    </w:p>
    <w:tbl>
      <w:tblPr>
        <w:tblStyle w:val="33"/>
        <w:tblW w:w="1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70"/>
        <w:gridCol w:w="4935"/>
        <w:gridCol w:w="690"/>
        <w:gridCol w:w="675"/>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3" w:type="dxa"/>
            <w:noWrap w:val="0"/>
            <w:vAlign w:val="center"/>
          </w:tcPr>
          <w:p>
            <w:pPr>
              <w:jc w:val="center"/>
              <w:rPr>
                <w:rFonts w:hint="eastAsia" w:eastAsia="宋体"/>
                <w:b/>
                <w:bCs/>
                <w:sz w:val="22"/>
                <w:szCs w:val="28"/>
                <w:vertAlign w:val="baseline"/>
                <w:lang w:val="en-US" w:eastAsia="zh-CN"/>
              </w:rPr>
            </w:pPr>
            <w:r>
              <w:rPr>
                <w:rFonts w:hint="eastAsia"/>
                <w:b/>
                <w:bCs/>
                <w:sz w:val="22"/>
                <w:szCs w:val="28"/>
                <w:vertAlign w:val="baseline"/>
                <w:lang w:val="en-US" w:eastAsia="zh-CN"/>
              </w:rPr>
              <w:t>序号</w:t>
            </w:r>
          </w:p>
        </w:tc>
        <w:tc>
          <w:tcPr>
            <w:tcW w:w="870" w:type="dxa"/>
            <w:noWrap w:val="0"/>
            <w:vAlign w:val="center"/>
          </w:tcPr>
          <w:p>
            <w:pPr>
              <w:jc w:val="center"/>
              <w:rPr>
                <w:rFonts w:hint="eastAsia" w:ascii="Times New Roman" w:hAnsi="Times New Roman" w:eastAsia="宋体" w:cs="Times New Roman"/>
                <w:b/>
                <w:bCs/>
                <w:sz w:val="22"/>
                <w:szCs w:val="28"/>
                <w:vertAlign w:val="baseline"/>
                <w:lang w:val="en-US" w:eastAsia="zh-CN"/>
              </w:rPr>
            </w:pPr>
            <w:r>
              <w:rPr>
                <w:rFonts w:hint="default" w:ascii="Times New Roman" w:hAnsi="Times New Roman" w:eastAsia="宋体" w:cs="Times New Roman"/>
                <w:b/>
                <w:bCs/>
                <w:sz w:val="22"/>
                <w:szCs w:val="28"/>
                <w:vertAlign w:val="baseline"/>
                <w:lang w:val="en-US" w:eastAsia="zh-CN"/>
              </w:rPr>
              <w:t>名称</w:t>
            </w:r>
          </w:p>
        </w:tc>
        <w:tc>
          <w:tcPr>
            <w:tcW w:w="4935" w:type="dxa"/>
            <w:noWrap w:val="0"/>
            <w:vAlign w:val="center"/>
          </w:tcPr>
          <w:p>
            <w:pPr>
              <w:jc w:val="center"/>
              <w:rPr>
                <w:rFonts w:hint="eastAsia" w:ascii="Times New Roman" w:hAnsi="Times New Roman" w:eastAsia="宋体" w:cs="Times New Roman"/>
                <w:b/>
                <w:bCs/>
                <w:sz w:val="22"/>
                <w:szCs w:val="28"/>
                <w:vertAlign w:val="baseline"/>
                <w:lang w:val="en-US" w:eastAsia="zh-CN"/>
              </w:rPr>
            </w:pPr>
            <w:r>
              <w:rPr>
                <w:rFonts w:hint="default" w:ascii="Times New Roman" w:hAnsi="Times New Roman" w:eastAsia="宋体" w:cs="Times New Roman"/>
                <w:b/>
                <w:bCs/>
                <w:sz w:val="22"/>
                <w:szCs w:val="28"/>
                <w:vertAlign w:val="baseline"/>
                <w:lang w:val="en-US" w:eastAsia="zh-CN"/>
              </w:rPr>
              <w:t>参数</w:t>
            </w:r>
          </w:p>
        </w:tc>
        <w:tc>
          <w:tcPr>
            <w:tcW w:w="690" w:type="dxa"/>
            <w:noWrap w:val="0"/>
            <w:vAlign w:val="center"/>
          </w:tcPr>
          <w:p>
            <w:pPr>
              <w:jc w:val="center"/>
              <w:rPr>
                <w:rFonts w:hint="eastAsia" w:ascii="Times New Roman" w:hAnsi="Times New Roman" w:eastAsia="宋体" w:cs="Times New Roman"/>
                <w:b/>
                <w:bCs/>
                <w:sz w:val="22"/>
                <w:szCs w:val="28"/>
                <w:vertAlign w:val="baseline"/>
                <w:lang w:val="en-US" w:eastAsia="zh-CN"/>
              </w:rPr>
            </w:pPr>
            <w:r>
              <w:rPr>
                <w:rFonts w:hint="default" w:ascii="Times New Roman" w:hAnsi="Times New Roman" w:eastAsia="宋体" w:cs="Times New Roman"/>
                <w:b/>
                <w:bCs/>
                <w:sz w:val="22"/>
                <w:szCs w:val="28"/>
                <w:vertAlign w:val="baseline"/>
                <w:lang w:val="en-US" w:eastAsia="zh-CN"/>
              </w:rPr>
              <w:t>单位</w:t>
            </w:r>
          </w:p>
        </w:tc>
        <w:tc>
          <w:tcPr>
            <w:tcW w:w="675" w:type="dxa"/>
            <w:noWrap w:val="0"/>
            <w:vAlign w:val="center"/>
          </w:tcPr>
          <w:p>
            <w:pPr>
              <w:jc w:val="center"/>
              <w:rPr>
                <w:rFonts w:hint="eastAsia" w:ascii="Times New Roman" w:hAnsi="Times New Roman" w:eastAsia="宋体" w:cs="Times New Roman"/>
                <w:b/>
                <w:bCs/>
                <w:sz w:val="22"/>
                <w:szCs w:val="28"/>
                <w:vertAlign w:val="baseline"/>
                <w:lang w:val="en-US" w:eastAsia="zh-CN"/>
              </w:rPr>
            </w:pPr>
            <w:r>
              <w:rPr>
                <w:rFonts w:hint="default" w:ascii="Times New Roman" w:hAnsi="Times New Roman" w:eastAsia="宋体" w:cs="Times New Roman"/>
                <w:b/>
                <w:bCs/>
                <w:sz w:val="22"/>
                <w:szCs w:val="28"/>
                <w:vertAlign w:val="baseline"/>
                <w:lang w:val="en-US" w:eastAsia="zh-CN"/>
              </w:rPr>
              <w:t>数量</w:t>
            </w:r>
          </w:p>
        </w:tc>
        <w:tc>
          <w:tcPr>
            <w:tcW w:w="6493" w:type="dxa"/>
            <w:noWrap w:val="0"/>
            <w:vAlign w:val="center"/>
          </w:tcPr>
          <w:p>
            <w:pPr>
              <w:jc w:val="center"/>
              <w:rPr>
                <w:rFonts w:hint="eastAsia" w:ascii="Times New Roman" w:hAnsi="Times New Roman" w:eastAsia="宋体" w:cs="Times New Roman"/>
                <w:b/>
                <w:bCs/>
                <w:sz w:val="22"/>
                <w:szCs w:val="28"/>
                <w:vertAlign w:val="baseline"/>
                <w:lang w:val="en-US" w:eastAsia="zh-CN"/>
              </w:rPr>
            </w:pPr>
            <w:r>
              <w:rPr>
                <w:rFonts w:hint="default" w:ascii="Times New Roman" w:hAnsi="Times New Roman" w:eastAsia="宋体" w:cs="Times New Roman"/>
                <w:b/>
                <w:bCs/>
                <w:sz w:val="22"/>
                <w:szCs w:val="28"/>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853" w:type="dxa"/>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870"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标识牌改造</w:t>
            </w:r>
          </w:p>
        </w:tc>
        <w:tc>
          <w:tcPr>
            <w:tcW w:w="4935"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3M二级及以上反光膜(平均尺寸3*2m)</w:t>
            </w:r>
          </w:p>
        </w:tc>
        <w:tc>
          <w:tcPr>
            <w:tcW w:w="690" w:type="dxa"/>
            <w:noWrap w:val="0"/>
            <w:vAlign w:val="center"/>
          </w:tcPr>
          <w:p>
            <w:pPr>
              <w:widowControl/>
              <w:jc w:val="center"/>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块</w:t>
            </w:r>
          </w:p>
        </w:tc>
        <w:tc>
          <w:tcPr>
            <w:tcW w:w="675" w:type="dxa"/>
            <w:noWrap w:val="0"/>
            <w:vAlign w:val="center"/>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55</w:t>
            </w:r>
          </w:p>
        </w:tc>
        <w:tc>
          <w:tcPr>
            <w:tcW w:w="6493" w:type="dxa"/>
            <w:noWrap w:val="0"/>
            <w:vAlign w:val="center"/>
          </w:tcPr>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1.版面的颜色为棕色底白色字符，版面文字用中、维、英三</w:t>
            </w:r>
            <w:r>
              <w:rPr>
                <w:rFonts w:hint="eastAsia" w:ascii="仿宋_GB2312" w:hAnsi="Calibri" w:eastAsia="仿宋_GB2312" w:cs="Times New Roman"/>
                <w:kern w:val="2"/>
                <w:sz w:val="24"/>
                <w:szCs w:val="24"/>
                <w:lang w:val="en-US" w:eastAsia="zh-CN" w:bidi="ar-SA"/>
              </w:rPr>
              <w:t>中</w:t>
            </w:r>
            <w:r>
              <w:rPr>
                <w:rFonts w:hint="default" w:ascii="仿宋_GB2312" w:hAnsi="Calibri" w:eastAsia="仿宋_GB2312" w:cs="Times New Roman"/>
                <w:kern w:val="2"/>
                <w:sz w:val="24"/>
                <w:szCs w:val="24"/>
                <w:lang w:val="en-US" w:eastAsia="zh-CN" w:bidi="ar-SA"/>
              </w:rPr>
              <w:t>文字，色号应符合GB/T 8416的色号规定；</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2.反光膜安装需将现有旧反光膜拆除并清理干净后安装新膜，不得有拼接缝;</w:t>
            </w:r>
          </w:p>
          <w:p>
            <w:pPr>
              <w:widowControl/>
              <w:jc w:val="left"/>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3.包安装,并对现有破损、歪斜版面进行矫正、修复，具体做法根据甲方要求。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53" w:type="dxa"/>
            <w:noWrap w:val="0"/>
            <w:vAlign w:val="center"/>
          </w:tcPr>
          <w:p>
            <w:pPr>
              <w:jc w:val="center"/>
              <w:rPr>
                <w:rFonts w:hint="eastAsia" w:eastAsia="宋体"/>
                <w:vertAlign w:val="baseline"/>
                <w:lang w:val="en-US" w:eastAsia="zh-CN"/>
              </w:rPr>
            </w:pPr>
            <w:r>
              <w:rPr>
                <w:rFonts w:hint="eastAsia"/>
                <w:vertAlign w:val="baseline"/>
                <w:lang w:val="en-US" w:eastAsia="zh-CN"/>
              </w:rPr>
              <w:t>2</w:t>
            </w:r>
          </w:p>
        </w:tc>
        <w:tc>
          <w:tcPr>
            <w:tcW w:w="870"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悬臂式标识牌</w:t>
            </w:r>
          </w:p>
        </w:tc>
        <w:tc>
          <w:tcPr>
            <w:tcW w:w="4935" w:type="dxa"/>
            <w:noWrap w:val="0"/>
            <w:vAlign w:val="center"/>
          </w:tcPr>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1、类型：指路标识牌</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2、规格：3m*2.2m</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3、材质：（1）立柱为273无缝钢管，热镀锌，高7400mm*厚12mm；</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（2）横梁为2-159x4100x8mm、2-159x780x8mm镀锌管，横梁法兰为340x20mm；</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（3）立柱法兰、底座法兰：600x600x20mm ；</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（4）铝板为3mm厚3004铝合金板制作，尺寸为3000mmmx2200mm；</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（5）反光膜为3M二级及以上反光膜；</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（6）底座C20混凝土垫层、C30混凝土现浇；</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（7）滑动槽铝为70*15*3*2000mm；</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（8）标志板下缘卷边内泄水孔，孔径1cm，孔距10cm；</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4.除锈、防腐；</w:t>
            </w:r>
          </w:p>
          <w:p>
            <w:pPr>
              <w:widowControl/>
              <w:jc w:val="left"/>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5.具体做法详甲方要求。</w:t>
            </w:r>
          </w:p>
        </w:tc>
        <w:tc>
          <w:tcPr>
            <w:tcW w:w="690" w:type="dxa"/>
            <w:noWrap w:val="0"/>
            <w:vAlign w:val="center"/>
          </w:tcPr>
          <w:p>
            <w:pPr>
              <w:widowControl/>
              <w:jc w:val="center"/>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块</w:t>
            </w:r>
          </w:p>
        </w:tc>
        <w:tc>
          <w:tcPr>
            <w:tcW w:w="675" w:type="dxa"/>
            <w:noWrap w:val="0"/>
            <w:vAlign w:val="center"/>
          </w:tcPr>
          <w:p>
            <w:pPr>
              <w:widowControl/>
              <w:jc w:val="center"/>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30</w:t>
            </w:r>
          </w:p>
        </w:tc>
        <w:tc>
          <w:tcPr>
            <w:tcW w:w="6493" w:type="dxa"/>
            <w:noWrap w:val="0"/>
            <w:vAlign w:val="center"/>
          </w:tcPr>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1.标志板的铝制材料应符合JT/T 279的规定；</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2.版面的颜色为棕色底白色字符，版面文字用中、维、英三种文字，色号应符合GB/T 8416的色号规定；</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3.设计图绘制需符合《城市道路交通标志和标线》要求；</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4.钢材除特殊说明外均采用Q235钢，钢构件需进行热镀锌、静电喷涂处理；</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5.需根据甲方要求进行排版、设计；</w:t>
            </w:r>
          </w:p>
          <w:p>
            <w:pPr>
              <w:widowControl/>
              <w:jc w:val="left"/>
              <w:rPr>
                <w:rFonts w:hint="eastAsia" w:ascii="Times New Roman" w:hAnsi="Times New Roman" w:eastAsia="宋体" w:cs="Times New Roman"/>
                <w:vertAlign w:val="baseline"/>
                <w:lang w:val="en-US" w:eastAsia="zh-CN"/>
              </w:rPr>
            </w:pPr>
            <w:r>
              <w:rPr>
                <w:rFonts w:hint="default" w:ascii="仿宋_GB2312" w:hAnsi="Calibri" w:eastAsia="仿宋_GB2312" w:cs="Times New Roman"/>
                <w:kern w:val="2"/>
                <w:sz w:val="24"/>
                <w:szCs w:val="24"/>
                <w:lang w:val="en-US" w:eastAsia="zh-CN" w:bidi="ar-SA"/>
              </w:rPr>
              <w:t>5.其他现场实施情况根据甲方要求。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3" w:type="dxa"/>
            <w:noWrap w:val="0"/>
            <w:vAlign w:val="center"/>
          </w:tcPr>
          <w:p>
            <w:pPr>
              <w:jc w:val="center"/>
              <w:rPr>
                <w:rFonts w:hint="eastAsia" w:eastAsia="宋体"/>
                <w:vertAlign w:val="baseline"/>
                <w:lang w:val="en-US" w:eastAsia="zh-CN"/>
              </w:rPr>
            </w:pPr>
            <w:r>
              <w:rPr>
                <w:rFonts w:hint="eastAsia"/>
                <w:vertAlign w:val="baseline"/>
                <w:lang w:val="en-US" w:eastAsia="zh-CN"/>
              </w:rPr>
              <w:t>3</w:t>
            </w:r>
          </w:p>
        </w:tc>
        <w:tc>
          <w:tcPr>
            <w:tcW w:w="87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双柱式标识牌</w:t>
            </w:r>
          </w:p>
        </w:tc>
        <w:tc>
          <w:tcPr>
            <w:tcW w:w="4935" w:type="dxa"/>
            <w:noWrap w:val="0"/>
            <w:vAlign w:val="center"/>
          </w:tcPr>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1、类型：指路标识牌</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2、规格：5*3.5m</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3、材质：（1）立柱为273无缝钢管，热镀锌，高5200mm/7100mm，厚12mm（标识处于挖方路段时，可根据现场情况适当调整立柱高度）； </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（2）滑动槽铝为80*18*4*5000mm，2024铝制作；</w:t>
            </w:r>
          </w:p>
          <w:p>
            <w:pPr>
              <w:widowControl/>
              <w:jc w:val="left"/>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（3）铝板为3mm厚3004铝，尺寸为5000mmm*高3500mm </w:t>
            </w:r>
            <w:r>
              <w:rPr>
                <w:rFonts w:hint="eastAsia" w:ascii="仿宋_GB2312" w:hAnsi="Calibri" w:eastAsia="仿宋_GB2312" w:cs="Times New Roman"/>
                <w:kern w:val="2"/>
                <w:sz w:val="24"/>
                <w:szCs w:val="24"/>
                <w:lang w:val="en-US" w:eastAsia="zh-CN" w:bidi="ar-SA"/>
              </w:rPr>
              <w:t>；</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（4）反光膜为3M二级及以上反光膜；</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（5）底座C20混凝土垫层、C30混凝土现浇；</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 xml:space="preserve">    （6）反光膜3M二级及以上；</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4.除锈、防腐；</w:t>
            </w:r>
          </w:p>
          <w:p>
            <w:pPr>
              <w:widowControl/>
              <w:jc w:val="left"/>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5.具体做法详甲方要求。</w:t>
            </w:r>
          </w:p>
        </w:tc>
        <w:tc>
          <w:tcPr>
            <w:tcW w:w="69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块</w:t>
            </w:r>
          </w:p>
        </w:tc>
        <w:tc>
          <w:tcPr>
            <w:tcW w:w="675"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10</w:t>
            </w:r>
          </w:p>
        </w:tc>
        <w:tc>
          <w:tcPr>
            <w:tcW w:w="6493" w:type="dxa"/>
            <w:noWrap w:val="0"/>
            <w:vAlign w:val="center"/>
          </w:tcPr>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1.标志板的铝制材料应符合JT/T 279的规定；</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2.版面的颜色为棕色底白色字符，版面文字用中、维、英三种文字，色号应符合GB/T 8416的色号规定；</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3.设计图绘制需符合《城市道路交通标志和标线》要求；</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4.钢材除特殊说明外均采用Q235钢，钢构件需进行热镀锌、静电喷涂处理；</w:t>
            </w:r>
          </w:p>
          <w:p>
            <w:pPr>
              <w:widowControl/>
              <w:jc w:val="left"/>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5.需根据甲方要求进行排版、设计；</w:t>
            </w:r>
          </w:p>
          <w:p>
            <w:pPr>
              <w:widowControl/>
              <w:jc w:val="left"/>
              <w:rPr>
                <w:rFonts w:hint="eastAsia"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5.其他现场实施情况根据甲方要求。</w:t>
            </w:r>
          </w:p>
        </w:tc>
      </w:tr>
    </w:tbl>
    <w:p>
      <w:pPr>
        <w:pStyle w:val="2"/>
        <w:ind w:left="0" w:leftChars="0" w:firstLine="0" w:firstLineChars="0"/>
        <w:rPr>
          <w:rFonts w:ascii="仿宋_GB2312" w:eastAsia="仿宋_GB2312"/>
        </w:rPr>
        <w:sectPr>
          <w:pgSz w:w="16838" w:h="11906" w:orient="landscape"/>
          <w:pgMar w:top="1797" w:right="1440" w:bottom="1797" w:left="1440" w:header="851" w:footer="992" w:gutter="0"/>
          <w:cols w:space="720" w:num="1"/>
          <w:docGrid w:linePitch="312" w:charSpace="0"/>
        </w:sectPr>
      </w:pPr>
    </w:p>
    <w:bookmarkEnd w:id="384"/>
    <w:bookmarkEnd w:id="385"/>
    <w:bookmarkEnd w:id="386"/>
    <w:bookmarkEnd w:id="387"/>
    <w:p>
      <w:pPr>
        <w:tabs>
          <w:tab w:val="left" w:pos="2511"/>
        </w:tabs>
        <w:rPr>
          <w:rFonts w:hint="eastAsia"/>
        </w:rPr>
      </w:pPr>
      <w:bookmarkStart w:id="388" w:name="_Toc512937852"/>
    </w:p>
    <w:p>
      <w:pPr>
        <w:rPr>
          <w:rFonts w:hint="eastAsia"/>
        </w:rPr>
      </w:pPr>
    </w:p>
    <w:bookmarkEnd w:id="388"/>
    <w:p>
      <w:pPr>
        <w:spacing w:line="240" w:lineRule="atLeast"/>
        <w:jc w:val="both"/>
        <w:rPr>
          <w:rFonts w:hint="eastAsia" w:ascii="仿宋_GB2312" w:eastAsia="仿宋_GB2312"/>
          <w:b/>
          <w:sz w:val="28"/>
          <w:szCs w:val="28"/>
        </w:rPr>
      </w:pPr>
      <w:r>
        <w:rPr>
          <w:rFonts w:hint="eastAsia" w:ascii="仿宋_GB2312" w:eastAsia="仿宋_GB2312"/>
          <w:b/>
          <w:sz w:val="28"/>
          <w:szCs w:val="28"/>
        </w:rPr>
        <w:t>二、</w:t>
      </w:r>
      <w:r>
        <w:rPr>
          <w:rFonts w:ascii="仿宋_GB2312" w:eastAsia="仿宋_GB2312"/>
          <w:b/>
          <w:sz w:val="28"/>
          <w:szCs w:val="28"/>
        </w:rPr>
        <w:t>技术规格及要求</w:t>
      </w:r>
    </w:p>
    <w:p>
      <w:pPr>
        <w:spacing w:line="240" w:lineRule="atLeast"/>
        <w:rPr>
          <w:rFonts w:hint="eastAsia" w:ascii="仿宋_GB2312" w:eastAsia="仿宋_GB2312"/>
          <w:sz w:val="24"/>
        </w:rPr>
      </w:pPr>
    </w:p>
    <w:p>
      <w:pPr>
        <w:ind w:firstLine="562" w:firstLineChars="200"/>
        <w:rPr>
          <w:rFonts w:hint="eastAsia" w:ascii="仿宋_GB2312" w:hAnsi="Calibri" w:eastAsia="仿宋_GB2312" w:cs="Times New Roman"/>
          <w:b/>
          <w:bCs/>
          <w:kern w:val="2"/>
          <w:sz w:val="24"/>
          <w:szCs w:val="24"/>
          <w:lang w:val="en-US" w:eastAsia="zh-CN" w:bidi="ar-SA"/>
        </w:rPr>
      </w:pPr>
      <w:r>
        <w:rPr>
          <w:rFonts w:hint="eastAsia" w:ascii="宋体" w:hAnsi="Times New Roman" w:eastAsia="宋体" w:cs="Times New Roman"/>
          <w:b/>
          <w:color w:val="auto"/>
          <w:kern w:val="0"/>
          <w:sz w:val="28"/>
          <w:szCs w:val="21"/>
          <w:u w:val="none"/>
          <w:lang w:val="en-US" w:eastAsia="zh-CN" w:bidi="ar-SA"/>
        </w:rPr>
        <w:t>1.工作要求：</w:t>
      </w:r>
    </w:p>
    <w:p>
      <w:pPr>
        <w:rPr>
          <w:rFonts w:hint="default" w:ascii="仿宋_GB2312" w:hAnsi="Times New Roman" w:eastAsia="仿宋_GB2312" w:cs="Times New Roman"/>
          <w:kern w:val="2"/>
          <w:sz w:val="28"/>
          <w:szCs w:val="28"/>
          <w:lang w:val="en-US" w:eastAsia="zh-CN" w:bidi="ar-SA"/>
        </w:rPr>
      </w:pPr>
      <w:r>
        <w:rPr>
          <w:rFonts w:hint="eastAsia" w:ascii="仿宋_GB2312" w:hAnsi="Calibri" w:eastAsia="仿宋_GB2312" w:cs="Times New Roman"/>
          <w:kern w:val="2"/>
          <w:sz w:val="24"/>
          <w:szCs w:val="24"/>
          <w:lang w:val="en-US" w:eastAsia="zh-CN" w:bidi="ar-SA"/>
        </w:rPr>
        <w:t xml:space="preserve">   </w:t>
      </w:r>
      <w:r>
        <w:rPr>
          <w:rFonts w:hint="eastAsia" w:ascii="仿宋_GB2312" w:hAnsi="Times New Roman" w:eastAsia="仿宋_GB2312" w:cs="Times New Roman"/>
          <w:kern w:val="2"/>
          <w:sz w:val="28"/>
          <w:szCs w:val="28"/>
          <w:lang w:val="en-US" w:eastAsia="zh-CN" w:bidi="ar-SA"/>
        </w:rPr>
        <w:t xml:space="preserve"> 投标人需提供详细的安装方案，安装方案中包括前期供货阶段、安装阶段、售后服务阶段，所有实施方案需满足本次招标内容。</w:t>
      </w:r>
    </w:p>
    <w:p>
      <w:pPr>
        <w:pStyle w:val="31"/>
        <w:numPr>
          <w:ilvl w:val="0"/>
          <w:numId w:val="0"/>
        </w:numPr>
        <w:ind w:firstLine="562" w:firstLineChars="200"/>
        <w:rPr>
          <w:rFonts w:hint="eastAsia" w:ascii="宋体" w:hAnsi="Times New Roman" w:eastAsia="宋体" w:cs="Times New Roman"/>
          <w:b/>
          <w:color w:val="auto"/>
          <w:kern w:val="0"/>
          <w:sz w:val="28"/>
          <w:szCs w:val="21"/>
          <w:u w:val="none"/>
          <w:lang w:val="en-US" w:eastAsia="zh-CN" w:bidi="ar-SA"/>
        </w:rPr>
      </w:pPr>
      <w:r>
        <w:rPr>
          <w:rFonts w:hint="eastAsia" w:ascii="宋体" w:hAnsi="Times New Roman" w:eastAsia="宋体" w:cs="Times New Roman"/>
          <w:b/>
          <w:color w:val="auto"/>
          <w:kern w:val="0"/>
          <w:sz w:val="28"/>
          <w:szCs w:val="21"/>
          <w:u w:val="none"/>
          <w:lang w:val="en-US" w:eastAsia="zh-CN" w:bidi="ar-SA"/>
        </w:rPr>
        <w:t>2.交货期及交货地点：</w:t>
      </w:r>
    </w:p>
    <w:p>
      <w:pPr>
        <w:pStyle w:val="31"/>
        <w:numPr>
          <w:ilvl w:val="0"/>
          <w:numId w:val="0"/>
        </w:numPr>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交货期：签订合同后30天内（日历天）完工（包括安装调试）；</w:t>
      </w:r>
    </w:p>
    <w:p>
      <w:pPr>
        <w:pStyle w:val="31"/>
        <w:numPr>
          <w:ilvl w:val="0"/>
          <w:numId w:val="0"/>
        </w:numPr>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交货地点：采购人指定地点</w:t>
      </w:r>
    </w:p>
    <w:p>
      <w:pPr>
        <w:pStyle w:val="31"/>
        <w:numPr>
          <w:ilvl w:val="0"/>
          <w:numId w:val="0"/>
        </w:numPr>
        <w:ind w:left="420" w:leftChars="0"/>
        <w:rPr>
          <w:rFonts w:hint="eastAsia" w:ascii="宋体" w:hAnsi="宋体" w:cs="宋体"/>
          <w:b/>
          <w:bCs/>
          <w:color w:val="auto"/>
          <w:kern w:val="0"/>
          <w:sz w:val="22"/>
          <w:szCs w:val="22"/>
          <w:lang w:val="en-US" w:eastAsia="zh-CN"/>
        </w:rPr>
      </w:pPr>
      <w:r>
        <w:rPr>
          <w:rFonts w:hint="eastAsia" w:ascii="宋体" w:hAnsi="Times New Roman" w:eastAsia="宋体" w:cs="Times New Roman"/>
          <w:b/>
          <w:color w:val="auto"/>
          <w:kern w:val="0"/>
          <w:sz w:val="28"/>
          <w:szCs w:val="21"/>
          <w:u w:val="none"/>
          <w:lang w:val="en-US" w:eastAsia="zh-CN" w:bidi="ar-SA"/>
        </w:rPr>
        <w:t>3.质保期及售后服务：</w:t>
      </w:r>
    </w:p>
    <w:p>
      <w:pPr>
        <w:pStyle w:val="5"/>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（1）质保期：自验收合格之日起算，质保期2年。</w:t>
      </w:r>
    </w:p>
    <w:p>
      <w:p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 xml:space="preserve">   （2）服务要求：本项目中成交供应商须负责整个项目所有的实施任务，包括材料的采购、安装、保护及保修，不论是永久性质的或是临时性质的。</w:t>
      </w:r>
    </w:p>
    <w:p>
      <w:p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成交供应商在安装、搬运过程必须接受采购人的监督和安排。如采购人发现成交供应商不按承诺采购的产品存在质量问题，有权暂停或终止合同。项目负责人和管理人员须坚守岗位，因事需离开项目现场的，须提前向采购人请假，经采购人同意方可离开。成交供应商须确保项目现场的清洁卫生，生产垃圾须当日清理干净，不得留在现场过夜。</w:t>
      </w:r>
    </w:p>
    <w:p>
      <w:pP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成交供应商须严格遵守国家、省、市有关防火、防爆破、环卫、安全生产及文明作业等规定，建立规章制度和防护措施。项目实施须严格管理工作人员，保护好已完工项目成品，否则，由此造成的损失或被有关部门处罚，均由成交供应商负责。</w:t>
      </w:r>
    </w:p>
    <w:p>
      <w:pPr>
        <w:pStyle w:val="31"/>
        <w:numPr>
          <w:ilvl w:val="0"/>
          <w:numId w:val="0"/>
        </w:numPr>
        <w:ind w:left="420" w:leftChars="0"/>
        <w:rPr>
          <w:rFonts w:hint="eastAsia" w:ascii="宋体" w:hAnsi="Times New Roman" w:eastAsia="宋体" w:cs="Times New Roman"/>
          <w:b/>
          <w:color w:val="auto"/>
          <w:kern w:val="0"/>
          <w:sz w:val="28"/>
          <w:szCs w:val="21"/>
          <w:u w:val="none"/>
          <w:lang w:val="en-US" w:eastAsia="zh-CN" w:bidi="ar-SA"/>
        </w:rPr>
      </w:pPr>
      <w:r>
        <w:rPr>
          <w:rFonts w:hint="eastAsia" w:ascii="宋体" w:hAnsi="Times New Roman" w:eastAsia="宋体" w:cs="Times New Roman"/>
          <w:b/>
          <w:color w:val="auto"/>
          <w:kern w:val="0"/>
          <w:sz w:val="28"/>
          <w:szCs w:val="21"/>
          <w:u w:val="none"/>
          <w:lang w:val="en-US" w:eastAsia="zh-CN" w:bidi="ar-SA"/>
        </w:rPr>
        <w:t>4.验收标准：</w:t>
      </w:r>
    </w:p>
    <w:p>
      <w:pPr>
        <w:numPr>
          <w:ilvl w:val="0"/>
          <w:numId w:val="0"/>
        </w:numPr>
        <w:ind w:leftChars="0"/>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实物验收，严格响应招标文件参数；因货物质量问题发生争议时，由本地质量技术监督部门鉴定。货物符合质量技术标准的，鉴定费由采购人承担；否则鉴定费由中标人承担，供应商针对此点提供书面承诺。（以提供承诺函响应该条款，格式由供应商自拟。）</w:t>
      </w:r>
    </w:p>
    <w:p>
      <w:pPr>
        <w:ind w:firstLine="562" w:firstLineChars="200"/>
        <w:rPr>
          <w:rFonts w:hint="eastAsia" w:ascii="宋体" w:hAnsi="Times New Roman" w:eastAsia="宋体" w:cs="Times New Roman"/>
          <w:b/>
          <w:color w:val="auto"/>
          <w:kern w:val="0"/>
          <w:sz w:val="28"/>
          <w:szCs w:val="21"/>
          <w:u w:val="none"/>
          <w:lang w:val="en-US" w:eastAsia="zh-CN" w:bidi="ar-SA"/>
        </w:rPr>
      </w:pPr>
      <w:r>
        <w:rPr>
          <w:rFonts w:hint="eastAsia" w:ascii="宋体" w:hAnsi="Times New Roman" w:eastAsia="宋体" w:cs="Times New Roman"/>
          <w:b/>
          <w:color w:val="auto"/>
          <w:kern w:val="0"/>
          <w:sz w:val="28"/>
          <w:szCs w:val="21"/>
          <w:u w:val="none"/>
          <w:lang w:val="en-US" w:eastAsia="zh-CN" w:bidi="ar-SA"/>
        </w:rPr>
        <w:t>5.其他要求：</w:t>
      </w:r>
    </w:p>
    <w:p>
      <w:pPr>
        <w:pStyle w:val="2"/>
        <w:numPr>
          <w:ilvl w:val="0"/>
          <w:numId w:val="0"/>
        </w:numPr>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（1）中标后7天内缴纳中标价5%作为保证金后签订合同，否则视为放弃。</w:t>
      </w:r>
    </w:p>
    <w:p>
      <w:pPr>
        <w:pStyle w:val="2"/>
        <w:numPr>
          <w:ilvl w:val="0"/>
          <w:numId w:val="0"/>
        </w:numPr>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（2）本次采购的项目为包括材料、人工、运输、安装后交付使用。</w:t>
      </w:r>
    </w:p>
    <w:p>
      <w:pPr>
        <w:pStyle w:val="2"/>
        <w:numPr>
          <w:ilvl w:val="0"/>
          <w:numId w:val="0"/>
        </w:numPr>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（3）施工完成后由甲方、乙方双方确定工程量作为支付依据。</w:t>
      </w:r>
    </w:p>
    <w:p>
      <w:pPr>
        <w:pStyle w:val="2"/>
        <w:numPr>
          <w:ilvl w:val="0"/>
          <w:numId w:val="0"/>
        </w:numPr>
        <w:rPr>
          <w:rFonts w:hint="default" w:ascii="仿宋_GB2312" w:hAnsi="Calibri" w:eastAsia="仿宋_GB2312" w:cs="Times New Roman"/>
          <w:kern w:val="2"/>
          <w:sz w:val="24"/>
          <w:szCs w:val="24"/>
          <w:lang w:val="en-US" w:eastAsia="zh-CN" w:bidi="ar-SA"/>
        </w:rPr>
      </w:pPr>
      <w:r>
        <w:rPr>
          <w:rFonts w:hint="default" w:ascii="仿宋_GB2312" w:hAnsi="Calibri" w:eastAsia="仿宋_GB2312" w:cs="Times New Roman"/>
          <w:kern w:val="2"/>
          <w:sz w:val="24"/>
          <w:szCs w:val="24"/>
          <w:lang w:val="en-US" w:eastAsia="zh-CN" w:bidi="ar-SA"/>
        </w:rPr>
        <w:t>（4）一旦中标后不允许投标单位以转包或者分包形式给他人承包，否则视为弃标。</w:t>
      </w:r>
    </w:p>
    <w:p>
      <w:pPr>
        <w:pStyle w:val="2"/>
        <w:numPr>
          <w:ilvl w:val="0"/>
          <w:numId w:val="0"/>
        </w:numPr>
        <w:rPr>
          <w:rFonts w:hint="default"/>
          <w:lang w:val="en-US" w:eastAsia="zh-CN"/>
        </w:rPr>
      </w:pPr>
    </w:p>
    <w:p>
      <w:pPr>
        <w:rPr>
          <w:rFonts w:hint="default"/>
          <w:lang w:val="en-US" w:eastAsia="zh-CN"/>
        </w:rPr>
      </w:pPr>
    </w:p>
    <w:p>
      <w:pPr>
        <w:pStyle w:val="3"/>
        <w:numPr>
          <w:ilvl w:val="0"/>
          <w:numId w:val="0"/>
        </w:numPr>
        <w:tabs>
          <w:tab w:val="left" w:pos="0"/>
        </w:tabs>
        <w:spacing w:before="0" w:after="0" w:line="240" w:lineRule="atLeast"/>
        <w:jc w:val="both"/>
        <w:rPr>
          <w:rFonts w:hint="eastAsia" w:ascii="仿宋_GB2312" w:eastAsia="仿宋_GB2312"/>
          <w:lang w:val="en-US" w:eastAsia="zh-CN"/>
        </w:rPr>
      </w:pPr>
      <w:bookmarkStart w:id="389" w:name="_Toc219175639"/>
      <w:bookmarkStart w:id="390" w:name="_Toc218935355"/>
      <w:bookmarkStart w:id="391" w:name="_Toc216582826"/>
      <w:bookmarkStart w:id="392" w:name="_Toc28149"/>
    </w:p>
    <w:p>
      <w:pPr>
        <w:pStyle w:val="3"/>
        <w:numPr>
          <w:ilvl w:val="0"/>
          <w:numId w:val="0"/>
        </w:numPr>
        <w:tabs>
          <w:tab w:val="left" w:pos="0"/>
        </w:tabs>
        <w:spacing w:before="0" w:after="0" w:line="240" w:lineRule="atLeast"/>
        <w:ind w:left="-15" w:leftChars="0"/>
        <w:jc w:val="center"/>
        <w:rPr>
          <w:rFonts w:hint="eastAsia" w:ascii="仿宋_GB2312" w:eastAsia="仿宋_GB2312"/>
          <w:lang w:val="en-US" w:eastAsia="zh-CN"/>
        </w:rPr>
      </w:pPr>
    </w:p>
    <w:p>
      <w:pPr>
        <w:pStyle w:val="3"/>
        <w:numPr>
          <w:ilvl w:val="0"/>
          <w:numId w:val="0"/>
        </w:numPr>
        <w:tabs>
          <w:tab w:val="left" w:pos="0"/>
        </w:tabs>
        <w:spacing w:before="0" w:after="0" w:line="240" w:lineRule="atLeast"/>
        <w:ind w:left="-15" w:leftChars="0"/>
        <w:jc w:val="center"/>
        <w:rPr>
          <w:rFonts w:hint="eastAsia" w:ascii="仿宋_GB2312" w:eastAsia="仿宋_GB2312"/>
        </w:rPr>
      </w:pPr>
      <w:r>
        <w:rPr>
          <w:rFonts w:hint="eastAsia" w:ascii="仿宋_GB2312" w:eastAsia="仿宋_GB2312"/>
          <w:lang w:val="en-US" w:eastAsia="zh-CN"/>
        </w:rPr>
        <w:t>第6章</w:t>
      </w:r>
      <w:r>
        <w:rPr>
          <w:rFonts w:hint="eastAsia" w:ascii="仿宋_GB2312" w:eastAsia="仿宋_GB2312"/>
        </w:rPr>
        <w:t xml:space="preserve">  </w:t>
      </w:r>
      <w:bookmarkStart w:id="393" w:name="_Toc32647"/>
      <w:bookmarkStart w:id="394" w:name="_Toc515647832"/>
      <w:bookmarkStart w:id="395" w:name="_Toc7971"/>
      <w:bookmarkStart w:id="396" w:name="_Toc507399907"/>
      <w:r>
        <w:rPr>
          <w:rFonts w:hint="eastAsia" w:ascii="仿宋_GB2312" w:eastAsia="仿宋_GB2312"/>
        </w:rPr>
        <w:t>评标方法和标准</w:t>
      </w:r>
      <w:bookmarkEnd w:id="389"/>
      <w:bookmarkEnd w:id="390"/>
      <w:bookmarkEnd w:id="391"/>
      <w:bookmarkEnd w:id="392"/>
      <w:bookmarkEnd w:id="393"/>
      <w:bookmarkEnd w:id="394"/>
      <w:bookmarkEnd w:id="395"/>
      <w:bookmarkEnd w:id="396"/>
    </w:p>
    <w:p>
      <w:pPr>
        <w:pStyle w:val="10"/>
        <w:tabs>
          <w:tab w:val="clear" w:pos="567"/>
        </w:tabs>
        <w:spacing w:before="0" w:line="240" w:lineRule="atLeast"/>
        <w:ind w:firstLine="540" w:firstLineChars="225"/>
        <w:rPr>
          <w:rFonts w:hint="eastAsia" w:ascii="仿宋_GB2312" w:hAnsi="Calibri" w:eastAsia="仿宋_GB2312" w:cs="Times New Roman"/>
          <w:kern w:val="2"/>
          <w:sz w:val="24"/>
          <w:szCs w:val="24"/>
          <w:lang w:val="en-US" w:eastAsia="zh-CN" w:bidi="ar-SA"/>
        </w:rPr>
      </w:pPr>
    </w:p>
    <w:p>
      <w:pPr>
        <w:pStyle w:val="10"/>
        <w:tabs>
          <w:tab w:val="clear" w:pos="567"/>
        </w:tabs>
        <w:spacing w:before="0" w:line="240" w:lineRule="atLeast"/>
        <w:ind w:firstLine="540" w:firstLineChars="225"/>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本项目将按照招标文件第一章投标人须知中“五 开标及评标”、“六 确定中标”及本章的规定评标。（内容要包括投标无效界定和详细评标标准）</w:t>
      </w:r>
    </w:p>
    <w:p>
      <w:pPr>
        <w:pStyle w:val="10"/>
        <w:tabs>
          <w:tab w:val="clear" w:pos="567"/>
        </w:tabs>
        <w:spacing w:before="0" w:line="360" w:lineRule="auto"/>
        <w:ind w:left="-181" w:leftChars="-86" w:firstLine="660" w:firstLineChars="275"/>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1. 总则</w:t>
      </w:r>
    </w:p>
    <w:p>
      <w:pPr>
        <w:pStyle w:val="10"/>
        <w:tabs>
          <w:tab w:val="clear" w:pos="567"/>
        </w:tabs>
        <w:spacing w:before="0" w:line="360" w:lineRule="auto"/>
        <w:ind w:left="-181" w:leftChars="-86" w:firstLine="660" w:firstLineChars="275"/>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1.1 根据《中华人民共和国政府采购法》、《中华人民共和国政府采购法实施条例》、《政府采购货物和服务招标投标管理办法（财政部第87号令）》等法律制度，结合采购项目特点制定本评标办法。</w:t>
      </w:r>
    </w:p>
    <w:p>
      <w:pPr>
        <w:pStyle w:val="10"/>
        <w:tabs>
          <w:tab w:val="clear" w:pos="567"/>
        </w:tabs>
        <w:spacing w:before="0" w:line="360" w:lineRule="auto"/>
        <w:ind w:left="-181" w:leftChars="-86" w:firstLine="660" w:firstLineChars="275"/>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1.2 评标工作由采购代理机构负责组织，具体评标事务由采</w:t>
      </w:r>
      <w:r>
        <w:rPr>
          <w:rFonts w:hint="eastAsia" w:ascii="仿宋_GB2312" w:hAnsi="Times New Roman" w:eastAsia="仿宋_GB2312" w:cs="Times New Roman"/>
          <w:kern w:val="0"/>
          <w:sz w:val="24"/>
          <w:szCs w:val="24"/>
          <w:lang w:val="en-US" w:eastAsia="zh-CN" w:bidi="ar"/>
        </w:rPr>
        <w:t>购代理机构依法组建的评标委员会</w:t>
      </w:r>
      <w:r>
        <w:rPr>
          <w:rFonts w:hint="eastAsia" w:ascii="仿宋_GB2312" w:hAnsi="Calibri" w:eastAsia="仿宋_GB2312" w:cs="Times New Roman"/>
          <w:kern w:val="2"/>
          <w:sz w:val="24"/>
          <w:szCs w:val="24"/>
          <w:lang w:val="en-US" w:eastAsia="zh-CN" w:bidi="ar-SA"/>
        </w:rPr>
        <w:t>负责。评标委员会由采购人代表和有关技术、经济、法律等方面的专家组成。（本项目评标委员会由5人单数组成，从喀什地区专家库随机抽取）</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1.3 评标工作应遵循公平、公正、科学及择优的原则，并以相同的评标程序和标准对待所有的投标人。</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1.4 评标委员会按照招标文件规定的评标方法和标准进行评标，并独立履行下列职责：</w:t>
      </w:r>
    </w:p>
    <w:p>
      <w:pPr>
        <w:pStyle w:val="10"/>
        <w:tabs>
          <w:tab w:val="clear" w:pos="567"/>
        </w:tabs>
        <w:spacing w:before="0" w:line="360" w:lineRule="auto"/>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（一）审查、评价投标文件是否符合招标文件的商务、技术等实质性要求；</w:t>
      </w:r>
    </w:p>
    <w:p>
      <w:pPr>
        <w:pStyle w:val="10"/>
        <w:tabs>
          <w:tab w:val="clear" w:pos="567"/>
        </w:tabs>
        <w:spacing w:before="0" w:line="360" w:lineRule="auto"/>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（二）要求投标人对投标文件有关事项作出澄清或者说明；</w:t>
      </w:r>
    </w:p>
    <w:p>
      <w:pPr>
        <w:pStyle w:val="10"/>
        <w:tabs>
          <w:tab w:val="clear" w:pos="567"/>
        </w:tabs>
        <w:spacing w:before="0" w:line="360" w:lineRule="auto"/>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（三）对投标文件进行比较和评价；</w:t>
      </w:r>
    </w:p>
    <w:p>
      <w:pPr>
        <w:pStyle w:val="10"/>
        <w:tabs>
          <w:tab w:val="clear" w:pos="567"/>
        </w:tabs>
        <w:spacing w:before="0" w:line="360" w:lineRule="auto"/>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（四）在评标报告确定的中标候选人名单中按顺序确定中标人。中标候选人并列的，由采购人或者采购人委托评标委员会按照招标文件规定的方式确定中标人;招标文件未规定的，采取随机抽取的方式确定。</w:t>
      </w:r>
    </w:p>
    <w:p>
      <w:pPr>
        <w:pStyle w:val="10"/>
        <w:tabs>
          <w:tab w:val="clear" w:pos="567"/>
        </w:tabs>
        <w:spacing w:before="0" w:line="360" w:lineRule="auto"/>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（五）向采购人、采购代理机构或者有关部门报告评标中发现的违法行为。</w:t>
      </w:r>
    </w:p>
    <w:p>
      <w:pPr>
        <w:pStyle w:val="10"/>
        <w:tabs>
          <w:tab w:val="clear" w:pos="567"/>
        </w:tabs>
        <w:spacing w:before="0" w:line="360" w:lineRule="auto"/>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（六）法律、法规和规章规定的其他职责。</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1.5 评标过程独立、保密。投标人非法干预评标过程的行为将导致其投标文件作为无效处理。</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1.6评标委员会评价投标文件的响应性，对于投标人而言，除评标委员会要求其澄清、说明或者更正而提供的资料外，仅依据投标文件本身的内容，不寻求其他外部证据。</w:t>
      </w:r>
    </w:p>
    <w:p>
      <w:pPr>
        <w:pStyle w:val="10"/>
        <w:bidi w:val="0"/>
        <w:rPr>
          <w:rFonts w:hint="eastAsia" w:ascii="仿宋_GB2312" w:hAnsi="Times New Roman" w:eastAsia="仿宋_GB2312" w:cs="Times New Roman"/>
          <w:kern w:val="0"/>
          <w:sz w:val="24"/>
          <w:szCs w:val="24"/>
          <w:lang w:val="en-US" w:eastAsia="zh-CN" w:bidi="ar"/>
        </w:rPr>
      </w:pPr>
      <w:r>
        <w:rPr>
          <w:rFonts w:hint="eastAsia"/>
          <w:lang w:val="en-US" w:eastAsia="zh-CN"/>
        </w:rPr>
        <w:t xml:space="preserve"> </w:t>
      </w:r>
      <w:r>
        <w:rPr>
          <w:rFonts w:hint="eastAsia" w:ascii="仿宋_GB2312" w:hAnsi="Times New Roman" w:eastAsia="仿宋_GB2312" w:cs="Times New Roman"/>
          <w:kern w:val="0"/>
          <w:sz w:val="24"/>
          <w:szCs w:val="24"/>
          <w:lang w:val="en-US" w:eastAsia="zh-CN" w:bidi="ar"/>
        </w:rPr>
        <w:t>1.7采购人或者采购代理机构负责组织评标工作，并履行下列职责：</w:t>
      </w:r>
    </w:p>
    <w:p>
      <w:pPr>
        <w:pStyle w:val="10"/>
        <w:tabs>
          <w:tab w:val="clear" w:pos="567"/>
        </w:tabs>
        <w:spacing w:before="0" w:line="360" w:lineRule="auto"/>
        <w:ind w:firstLine="240" w:firstLineChars="100"/>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（一）核对评审专家身份和采购人代表信息，对评审专家在政府采购活动中的职责履行情况予以记录，并及时将有关违法违规行为向财政部门报告；</w:t>
      </w:r>
    </w:p>
    <w:p>
      <w:pPr>
        <w:pStyle w:val="10"/>
        <w:tabs>
          <w:tab w:val="clear" w:pos="567"/>
        </w:tabs>
        <w:spacing w:before="0" w:line="360" w:lineRule="auto"/>
        <w:ind w:firstLine="240" w:firstLineChars="100"/>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（二）宣布评标纪律；</w:t>
      </w:r>
    </w:p>
    <w:p>
      <w:pPr>
        <w:pStyle w:val="10"/>
        <w:tabs>
          <w:tab w:val="clear" w:pos="567"/>
        </w:tabs>
        <w:spacing w:before="0" w:line="360" w:lineRule="auto"/>
        <w:ind w:firstLine="240" w:firstLineChars="100"/>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（三）公布投标人名单，告知评审专家应当回避的情形；</w:t>
      </w:r>
    </w:p>
    <w:p>
      <w:pPr>
        <w:pStyle w:val="10"/>
        <w:tabs>
          <w:tab w:val="clear" w:pos="567"/>
        </w:tabs>
        <w:spacing w:before="0" w:line="360" w:lineRule="auto"/>
        <w:ind w:firstLine="240" w:firstLineChars="100"/>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（四）组织评标委员会推选评标组长，采购人代表不得担任组长；</w:t>
      </w:r>
    </w:p>
    <w:p>
      <w:pPr>
        <w:pStyle w:val="10"/>
        <w:tabs>
          <w:tab w:val="clear" w:pos="567"/>
        </w:tabs>
        <w:spacing w:before="0" w:line="360" w:lineRule="auto"/>
        <w:ind w:firstLine="240" w:firstLineChars="100"/>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（五）在评标期间采取必要的通讯管理措施，保证评标活动不受外界干扰；</w:t>
      </w:r>
    </w:p>
    <w:p>
      <w:pPr>
        <w:pStyle w:val="10"/>
        <w:tabs>
          <w:tab w:val="clear" w:pos="567"/>
        </w:tabs>
        <w:spacing w:before="0" w:line="360" w:lineRule="auto"/>
        <w:ind w:firstLine="240" w:firstLineChars="100"/>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（六）根据评标委员会的要求介绍政府采购相关政策法规、招标文件；</w:t>
      </w:r>
    </w:p>
    <w:p>
      <w:pPr>
        <w:pStyle w:val="10"/>
        <w:tabs>
          <w:tab w:val="clear" w:pos="567"/>
        </w:tabs>
        <w:spacing w:before="0" w:line="360" w:lineRule="auto"/>
        <w:ind w:firstLine="240" w:firstLineChars="100"/>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（七）维护评标秩序，监督评标委员会依照招标文件规定的评标程序、方法和标准进行独立评审，及时制止和纠正采购人代表、评审专家的倾向性言论或者违法违规行为；</w:t>
      </w:r>
    </w:p>
    <w:p>
      <w:pPr>
        <w:pStyle w:val="10"/>
        <w:tabs>
          <w:tab w:val="clear" w:pos="567"/>
        </w:tabs>
        <w:spacing w:before="0" w:line="360" w:lineRule="auto"/>
        <w:ind w:firstLine="240" w:firstLineChars="100"/>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（八）核对评标结果，有财政部87号令第六十四条规定情形的，要求评标委员会复核或者书面说明理由，评标委员会拒绝的，应予记录并向本级财政部门报告；</w:t>
      </w:r>
    </w:p>
    <w:p>
      <w:pPr>
        <w:pStyle w:val="10"/>
        <w:tabs>
          <w:tab w:val="clear" w:pos="567"/>
        </w:tabs>
        <w:spacing w:before="0" w:line="360" w:lineRule="auto"/>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　（九）处理与评标有关的其他事项。</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采购人可以在评标前说明项目背景和采购需求，说明内容不得含有歧视性、倾向性意见，不得超出招标文件所述范围。说明应当提交书面材料，并随采购文件一并存档。</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2、评标方法</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 xml:space="preserve">本项目评标方法为：综合评分法。详细评标标准：采用综合评标法，则： 评标结果按评审后得分由高到低顺序排列。得分相同的，按投标报价由低到高顺序排列。得分且投标报价相同的并列。投标文件满足招标文件全部实质性要求，且按照评审因素的量化指标评审得分最高的投标单位为排名第一的中标候选人。 </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 评标程序</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3.1熟悉和理解招标文件和停止评标。</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3.1.1评标委员会正式评标前，应当对招标文件进行熟悉和理解，内容主要包括招标文件中采购项目技术、规格型号和商务要求、评标方法和标准以及可能涉及签订政府采购合同的内容等。</w:t>
      </w:r>
    </w:p>
    <w:p>
      <w:pPr>
        <w:pStyle w:val="10"/>
        <w:tabs>
          <w:tab w:val="clear" w:pos="567"/>
        </w:tabs>
        <w:spacing w:before="0" w:line="360" w:lineRule="auto"/>
        <w:ind w:left="-199" w:leftChars="-95" w:firstLine="199" w:firstLineChars="83"/>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3.2资格性检查（见综合评分表前附表）。</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3.3符合性检查（见综合评分表前附表）。</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3.3.1评标委员会依据本招标文件的实质性要求，对符合资格的投标文件进行审查，以确定其是否满足本招标文件的实质性要求。</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3.3.3投标文件正本、副本以骑缝章的形式代替投标文件内容逐页盖章的（但是骑缝章模糊不清，印章名称无法辨认的除外）本项目不作为实质性要求进行规定，即不作为符合性审查事项，不得作为无效投标处理：</w:t>
      </w:r>
    </w:p>
    <w:p>
      <w:pPr>
        <w:spacing w:line="240" w:lineRule="atLeast"/>
        <w:ind w:left="899" w:leftChars="228" w:hanging="420" w:hangingChars="175"/>
        <w:jc w:val="left"/>
        <w:rPr>
          <w:rFonts w:hint="eastAsia" w:ascii="仿宋_GB2312" w:hAnsi="宋体" w:eastAsia="仿宋_GB2312"/>
          <w:sz w:val="24"/>
        </w:rPr>
      </w:pPr>
      <w:r>
        <w:rPr>
          <w:rFonts w:hint="eastAsia" w:ascii="仿宋_GB2312" w:hAnsi="Times New Roman" w:eastAsia="仿宋_GB2312" w:cs="Times New Roman"/>
          <w:kern w:val="0"/>
          <w:sz w:val="24"/>
          <w:szCs w:val="24"/>
          <w:lang w:val="en-US" w:eastAsia="zh-CN" w:bidi="ar"/>
        </w:rPr>
        <w:t>3.3.4</w:t>
      </w:r>
      <w:r>
        <w:rPr>
          <w:rFonts w:hint="eastAsia" w:ascii="仿宋_GB2312" w:hAnsi="宋体" w:eastAsia="仿宋_GB2312"/>
          <w:sz w:val="24"/>
          <w:lang w:val="en-US" w:eastAsia="zh-CN"/>
        </w:rPr>
        <w:t>如发现下列</w:t>
      </w:r>
      <w:r>
        <w:rPr>
          <w:rFonts w:hint="eastAsia" w:ascii="仿宋_GB2312" w:hAnsi="宋体" w:eastAsia="仿宋_GB2312"/>
          <w:sz w:val="24"/>
        </w:rPr>
        <w:t>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numPr>
          <w:ilvl w:val="0"/>
          <w:numId w:val="0"/>
        </w:numPr>
        <w:spacing w:line="240" w:lineRule="atLeast"/>
        <w:jc w:val="left"/>
        <w:rPr>
          <w:rFonts w:hint="eastAsia" w:ascii="仿宋_GB2312" w:hAnsi="宋体" w:eastAsia="仿宋_GB2312"/>
          <w:b/>
          <w:bCs/>
          <w:sz w:val="24"/>
        </w:rPr>
      </w:pPr>
      <w:r>
        <w:rPr>
          <w:rFonts w:hint="eastAsia" w:ascii="仿宋_GB2312" w:hAnsi="宋体" w:eastAsia="仿宋_GB2312"/>
          <w:b/>
          <w:bCs/>
          <w:sz w:val="24"/>
          <w:lang w:val="en-US" w:eastAsia="zh-CN"/>
        </w:rPr>
        <w:t>1.</w:t>
      </w:r>
      <w:r>
        <w:rPr>
          <w:rFonts w:hint="eastAsia" w:ascii="仿宋_GB2312" w:hAnsi="宋体" w:eastAsia="仿宋_GB2312"/>
          <w:b/>
          <w:bCs/>
          <w:sz w:val="24"/>
        </w:rPr>
        <w:t>未按招标文件规定的形式和金额提交投标保证金的；</w:t>
      </w:r>
    </w:p>
    <w:p>
      <w:pPr>
        <w:numPr>
          <w:ilvl w:val="0"/>
          <w:numId w:val="0"/>
        </w:numPr>
        <w:spacing w:line="240" w:lineRule="atLeast"/>
        <w:jc w:val="left"/>
        <w:rPr>
          <w:rFonts w:hint="eastAsia" w:ascii="仿宋_GB2312" w:hAnsi="宋体" w:eastAsia="仿宋_GB2312"/>
          <w:b/>
          <w:bCs/>
          <w:sz w:val="24"/>
        </w:rPr>
      </w:pPr>
      <w:r>
        <w:rPr>
          <w:rFonts w:hint="eastAsia" w:ascii="仿宋_GB2312" w:hAnsi="宋体" w:eastAsia="仿宋_GB2312"/>
          <w:b/>
          <w:bCs/>
          <w:sz w:val="24"/>
          <w:lang w:val="en-US" w:eastAsia="zh-CN"/>
        </w:rPr>
        <w:t>2.</w:t>
      </w:r>
      <w:r>
        <w:rPr>
          <w:rFonts w:hint="eastAsia" w:ascii="仿宋_GB2312" w:hAnsi="宋体" w:eastAsia="仿宋_GB2312"/>
          <w:b/>
          <w:bCs/>
          <w:sz w:val="24"/>
        </w:rPr>
        <w:t>未按照招标文件规定要求签署、盖章的；</w:t>
      </w:r>
    </w:p>
    <w:p>
      <w:pPr>
        <w:numPr>
          <w:ilvl w:val="0"/>
          <w:numId w:val="0"/>
        </w:numPr>
        <w:spacing w:line="240" w:lineRule="atLeast"/>
        <w:jc w:val="left"/>
        <w:rPr>
          <w:rFonts w:ascii="仿宋_GB2312" w:hAnsi="宋体" w:eastAsia="仿宋_GB2312"/>
          <w:b/>
          <w:bCs/>
          <w:sz w:val="24"/>
        </w:rPr>
      </w:pPr>
      <w:r>
        <w:rPr>
          <w:rFonts w:hint="eastAsia" w:ascii="仿宋_GB2312" w:hAnsi="宋体" w:eastAsia="仿宋_GB2312"/>
          <w:b/>
          <w:bCs/>
          <w:sz w:val="24"/>
          <w:lang w:val="en-US" w:eastAsia="zh-CN"/>
        </w:rPr>
        <w:t>3.</w:t>
      </w:r>
      <w:r>
        <w:rPr>
          <w:rFonts w:hint="eastAsia" w:ascii="仿宋_GB2312" w:hAnsi="宋体" w:eastAsia="仿宋_GB2312"/>
          <w:b/>
          <w:bCs/>
          <w:sz w:val="24"/>
        </w:rPr>
        <w:t>未满足招标文件中技术</w:t>
      </w:r>
      <w:r>
        <w:rPr>
          <w:rFonts w:ascii="仿宋_GB2312" w:hAnsi="宋体" w:eastAsia="仿宋_GB2312"/>
          <w:b/>
          <w:bCs/>
          <w:sz w:val="24"/>
        </w:rPr>
        <w:t>条款</w:t>
      </w:r>
      <w:r>
        <w:rPr>
          <w:rFonts w:hint="eastAsia" w:ascii="仿宋_GB2312" w:hAnsi="宋体" w:eastAsia="仿宋_GB2312"/>
          <w:b/>
          <w:bCs/>
          <w:sz w:val="24"/>
        </w:rPr>
        <w:t>的实质性要求；</w:t>
      </w:r>
    </w:p>
    <w:p>
      <w:pPr>
        <w:numPr>
          <w:ilvl w:val="0"/>
          <w:numId w:val="0"/>
        </w:numPr>
        <w:spacing w:line="240" w:lineRule="atLeast"/>
        <w:jc w:val="left"/>
        <w:rPr>
          <w:rFonts w:hint="eastAsia" w:ascii="仿宋_GB2312" w:hAnsi="宋体" w:eastAsia="仿宋_GB2312"/>
          <w:b/>
          <w:bCs/>
          <w:sz w:val="24"/>
        </w:rPr>
      </w:pPr>
      <w:r>
        <w:rPr>
          <w:rFonts w:hint="eastAsia" w:ascii="仿宋_GB2312" w:hAnsi="宋体" w:eastAsia="仿宋_GB2312"/>
          <w:b/>
          <w:bCs/>
          <w:sz w:val="24"/>
          <w:lang w:val="en-US" w:eastAsia="zh-CN"/>
        </w:rPr>
        <w:t>4.</w:t>
      </w:r>
      <w:r>
        <w:rPr>
          <w:rFonts w:ascii="仿宋_GB2312" w:hAnsi="宋体" w:eastAsia="仿宋_GB2312"/>
          <w:b/>
          <w:bCs/>
          <w:sz w:val="24"/>
        </w:rPr>
        <w:t>与其他投标人串通投标</w:t>
      </w:r>
      <w:r>
        <w:rPr>
          <w:rFonts w:hint="eastAsia" w:ascii="仿宋_GB2312" w:hAnsi="宋体" w:eastAsia="仿宋_GB2312"/>
          <w:b/>
          <w:bCs/>
          <w:sz w:val="24"/>
        </w:rPr>
        <w:t>，</w:t>
      </w:r>
      <w:r>
        <w:rPr>
          <w:rFonts w:ascii="仿宋_GB2312" w:hAnsi="宋体" w:eastAsia="仿宋_GB2312"/>
          <w:b/>
          <w:bCs/>
          <w:sz w:val="24"/>
        </w:rPr>
        <w:t>或者与招标人串通投标</w:t>
      </w:r>
      <w:r>
        <w:rPr>
          <w:rFonts w:hint="eastAsia" w:ascii="仿宋_GB2312" w:hAnsi="宋体" w:eastAsia="仿宋_GB2312"/>
          <w:b/>
          <w:bCs/>
          <w:sz w:val="24"/>
        </w:rPr>
        <w:t>；</w:t>
      </w:r>
    </w:p>
    <w:p>
      <w:pPr>
        <w:numPr>
          <w:ilvl w:val="0"/>
          <w:numId w:val="0"/>
        </w:numPr>
        <w:spacing w:line="240" w:lineRule="atLeast"/>
        <w:jc w:val="left"/>
        <w:rPr>
          <w:rFonts w:ascii="仿宋_GB2312" w:hAnsi="宋体" w:eastAsia="仿宋_GB2312"/>
          <w:b/>
          <w:bCs/>
          <w:sz w:val="24"/>
        </w:rPr>
      </w:pPr>
      <w:r>
        <w:rPr>
          <w:rFonts w:hint="eastAsia" w:ascii="仿宋_GB2312" w:hAnsi="宋体" w:eastAsia="仿宋_GB2312"/>
          <w:b/>
          <w:bCs/>
          <w:sz w:val="24"/>
          <w:lang w:val="en-US" w:eastAsia="zh-CN"/>
        </w:rPr>
        <w:t>5.</w:t>
      </w:r>
      <w:r>
        <w:rPr>
          <w:rFonts w:hint="eastAsia" w:ascii="仿宋_GB2312" w:hAnsi="宋体" w:eastAsia="仿宋_GB2312"/>
          <w:b/>
          <w:bCs/>
          <w:sz w:val="24"/>
        </w:rPr>
        <w:t>属于招标文件规定的其他投标无效情形；</w:t>
      </w:r>
    </w:p>
    <w:p>
      <w:pPr>
        <w:numPr>
          <w:ilvl w:val="0"/>
          <w:numId w:val="0"/>
        </w:numPr>
        <w:spacing w:line="240" w:lineRule="atLeast"/>
        <w:jc w:val="left"/>
        <w:rPr>
          <w:rFonts w:hint="eastAsia" w:ascii="仿宋_GB2312" w:hAnsi="宋体" w:eastAsia="仿宋_GB2312"/>
          <w:b/>
          <w:bCs/>
          <w:sz w:val="24"/>
        </w:rPr>
      </w:pPr>
      <w:r>
        <w:rPr>
          <w:rFonts w:hint="eastAsia" w:ascii="仿宋_GB2312" w:hAnsi="宋体" w:eastAsia="仿宋_GB2312"/>
          <w:b/>
          <w:bCs/>
          <w:sz w:val="24"/>
          <w:lang w:val="en-US" w:eastAsia="zh-CN"/>
        </w:rPr>
        <w:t>6.</w:t>
      </w:r>
      <w:r>
        <w:rPr>
          <w:rFonts w:ascii="仿宋_GB2312" w:hAnsi="宋体" w:eastAsia="仿宋_GB2312"/>
          <w:b/>
          <w:bCs/>
          <w:sz w:val="24"/>
        </w:rPr>
        <w:t>评标委员会认为投标人的报价明显低于其他通过符合性检查投标人的报价</w:t>
      </w:r>
      <w:r>
        <w:rPr>
          <w:rFonts w:hint="eastAsia" w:ascii="仿宋_GB2312" w:hAnsi="宋体" w:eastAsia="仿宋_GB2312"/>
          <w:b/>
          <w:bCs/>
          <w:sz w:val="24"/>
        </w:rPr>
        <w:t>，</w:t>
      </w:r>
      <w:r>
        <w:rPr>
          <w:rFonts w:ascii="仿宋_GB2312" w:hAnsi="宋体" w:eastAsia="仿宋_GB2312"/>
          <w:b/>
          <w:bCs/>
          <w:sz w:val="24"/>
        </w:rPr>
        <w:t>有可能影响履约的</w:t>
      </w:r>
      <w:r>
        <w:rPr>
          <w:rFonts w:hint="eastAsia" w:ascii="仿宋_GB2312" w:hAnsi="宋体" w:eastAsia="仿宋_GB2312"/>
          <w:b/>
          <w:bCs/>
          <w:sz w:val="24"/>
        </w:rPr>
        <w:t>，且</w:t>
      </w:r>
      <w:r>
        <w:rPr>
          <w:rFonts w:ascii="仿宋_GB2312" w:hAnsi="宋体" w:eastAsia="仿宋_GB2312"/>
          <w:b/>
          <w:bCs/>
          <w:sz w:val="24"/>
        </w:rPr>
        <w:t>投标人未按照规定证明其报价合理性的</w:t>
      </w:r>
      <w:r>
        <w:rPr>
          <w:rFonts w:hint="eastAsia" w:ascii="仿宋_GB2312" w:hAnsi="宋体" w:eastAsia="仿宋_GB2312"/>
          <w:b/>
          <w:bCs/>
          <w:sz w:val="24"/>
        </w:rPr>
        <w:t>；</w:t>
      </w:r>
    </w:p>
    <w:p>
      <w:pPr>
        <w:numPr>
          <w:ilvl w:val="0"/>
          <w:numId w:val="0"/>
        </w:numPr>
        <w:spacing w:line="240" w:lineRule="atLeast"/>
        <w:jc w:val="left"/>
        <w:rPr>
          <w:rFonts w:hint="eastAsia" w:ascii="仿宋_GB2312" w:hAnsi="宋体" w:eastAsia="仿宋_GB2312"/>
          <w:b/>
          <w:bCs/>
          <w:sz w:val="24"/>
        </w:rPr>
      </w:pPr>
      <w:r>
        <w:rPr>
          <w:rFonts w:hint="eastAsia" w:ascii="仿宋_GB2312" w:hAnsi="宋体" w:eastAsia="仿宋_GB2312"/>
          <w:b/>
          <w:bCs/>
          <w:sz w:val="24"/>
          <w:lang w:val="en-US" w:eastAsia="zh-CN"/>
        </w:rPr>
        <w:t>7.</w:t>
      </w:r>
      <w:r>
        <w:rPr>
          <w:rFonts w:hint="eastAsia" w:ascii="仿宋_GB2312" w:hAnsi="宋体" w:eastAsia="仿宋_GB2312"/>
          <w:b/>
          <w:bCs/>
          <w:sz w:val="24"/>
        </w:rPr>
        <w:t>投标文件含有采购人不能接受的附加条件的；</w:t>
      </w:r>
    </w:p>
    <w:p>
      <w:pPr>
        <w:numPr>
          <w:ilvl w:val="0"/>
          <w:numId w:val="0"/>
        </w:numPr>
        <w:tabs>
          <w:tab w:val="left" w:pos="0"/>
        </w:tabs>
        <w:spacing w:line="240" w:lineRule="atLeast"/>
        <w:jc w:val="left"/>
        <w:rPr>
          <w:rFonts w:hint="eastAsia" w:ascii="仿宋_GB2312" w:hAnsi="Times New Roman" w:eastAsia="仿宋_GB2312" w:cs="Times New Roman"/>
          <w:kern w:val="0"/>
          <w:sz w:val="24"/>
          <w:szCs w:val="24"/>
          <w:lang w:val="en-US" w:eastAsia="zh-CN" w:bidi="ar"/>
        </w:rPr>
      </w:pPr>
      <w:r>
        <w:rPr>
          <w:rFonts w:hint="eastAsia" w:ascii="仿宋_GB2312" w:hAnsi="宋体" w:eastAsia="仿宋_GB2312"/>
          <w:b/>
          <w:bCs/>
          <w:sz w:val="24"/>
          <w:lang w:val="en-US" w:eastAsia="zh-CN"/>
        </w:rPr>
        <w:t>8.</w:t>
      </w:r>
      <w:r>
        <w:rPr>
          <w:rFonts w:hint="eastAsia" w:ascii="仿宋_GB2312" w:hAnsi="宋体" w:eastAsia="仿宋_GB2312"/>
          <w:b/>
          <w:bCs/>
          <w:sz w:val="24"/>
        </w:rPr>
        <w:t>不符合法规和招标文件中规定的其他实质性要求的。</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3.4比较与评价。按招标文件中规定的评标方法和标准，对未作无效投标处理的投标文件进行技术、型号、商务等方面评估，综合比较与评价。</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评审完毕，评标委员会根据汇总各投标企业的综合得分，按照得分高低进行排序，取前三名作为中标候选人推荐给招标委员会。如果两投标人的得分相同，投标价格低者排在前。</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本项目参数要求、评审内容如有指向性，仅作为招标参考，投标产品不应低于招标要求，如有不符合要求，视为不响应招标文件规定。</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3.5复核。评分汇总结束后，评标委员会应当进行复核，特别要对拟推荐为中标候选供应商的、报价最低的、投标文件被认定为无效的进行重点复核。</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3.6推荐中标候选供应商。中标候选供应商应当排序。</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3.7出具评标报告。评标委员会推荐中标候选供应商后，应当向招标采购单位出具评标报告。评标报告应当包括下列内容：</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（一）招标公告刊登的媒体名称、开标日期和地点；</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（二）评标委员会成员名单；</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（三）评标方法和标准；</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（四）开标记录和评标情况及说明，包括无效投标人名单及原因；</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（五）评标结果，确定的中标候选人名单或者经采购人委托直接确定的中标人；</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（六）其他需要说明的情况，包括评标过程中投标人根据评标委员会要求进行的澄清、说明或者补正，评标委员会成员的更换等。</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3.9供应商应当书面澄清、说明或者更正。</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3.9.3评标委员会要求供应商澄清、说明或者更正，不得超出招标文件的范围，不得以此让供应商实质改变投标文件的内容，不得影响供应商公平竞争。本项目下列内容不得澄清：</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（一）按财政部规定应当在评标时不予承认的投标文件内容事项；</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（二）投标文件中已经明确的内容事项；</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（三）投标文件未提供的材料。</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3.11招标采购单位现场复核评标结果。</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0"/>
        <w:tabs>
          <w:tab w:val="clear" w:pos="567"/>
        </w:tabs>
        <w:spacing w:before="0" w:line="360" w:lineRule="auto"/>
        <w:ind w:left="-181" w:leftChars="-86" w:firstLine="663" w:firstLineChars="275"/>
        <w:rPr>
          <w:rFonts w:hint="eastAsia" w:ascii="仿宋_GB2312" w:hAnsi="Times New Roman" w:eastAsia="仿宋_GB2312" w:cs="Times New Roman"/>
          <w:b/>
          <w:bCs/>
          <w:kern w:val="0"/>
          <w:sz w:val="24"/>
          <w:szCs w:val="24"/>
          <w:lang w:val="en-US" w:eastAsia="zh-CN" w:bidi="ar"/>
        </w:rPr>
      </w:pPr>
      <w:r>
        <w:rPr>
          <w:rFonts w:hint="eastAsia" w:ascii="仿宋_GB2312" w:hAnsi="Times New Roman" w:eastAsia="仿宋_GB2312" w:cs="Times New Roman"/>
          <w:b/>
          <w:bCs/>
          <w:kern w:val="0"/>
          <w:sz w:val="24"/>
          <w:szCs w:val="24"/>
          <w:lang w:val="en-US" w:eastAsia="zh-CN" w:bidi="ar"/>
        </w:rPr>
        <w:t>5、废标</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废标后，采购代理机构应在网上公告。投标人需要知晓导致废标情形的具体原因和理由的，可以通过书面形式询问招标采购单位。</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对于评标过程中废标的采购项目，评标委员会应当对招标文件是否存在倾向性和歧视性、是否存在不合理条款进行论证，并出具书面论证意见。</w:t>
      </w:r>
    </w:p>
    <w:p>
      <w:pPr>
        <w:pStyle w:val="10"/>
        <w:tabs>
          <w:tab w:val="clear" w:pos="567"/>
        </w:tabs>
        <w:spacing w:before="0" w:line="360" w:lineRule="auto"/>
        <w:ind w:left="-181" w:leftChars="-86" w:firstLine="663" w:firstLineChars="275"/>
        <w:rPr>
          <w:rFonts w:hint="eastAsia" w:ascii="仿宋_GB2312" w:hAnsi="Times New Roman" w:eastAsia="仿宋_GB2312" w:cs="Times New Roman"/>
          <w:b/>
          <w:bCs/>
          <w:kern w:val="0"/>
          <w:sz w:val="24"/>
          <w:szCs w:val="24"/>
          <w:lang w:val="en-US" w:eastAsia="zh-CN" w:bidi="ar"/>
        </w:rPr>
      </w:pPr>
      <w:r>
        <w:rPr>
          <w:rFonts w:hint="eastAsia" w:ascii="仿宋_GB2312" w:hAnsi="Times New Roman" w:eastAsia="仿宋_GB2312" w:cs="Times New Roman"/>
          <w:b/>
          <w:bCs/>
          <w:kern w:val="0"/>
          <w:sz w:val="24"/>
          <w:szCs w:val="24"/>
          <w:lang w:val="en-US" w:eastAsia="zh-CN" w:bidi="ar"/>
        </w:rPr>
        <w:t>6、定标</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6.1. 定标原则：由采购人根据评标委员会的推荐意见确定中标供应商。</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6.2. 定标程序</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6.2.1 评标委员会将评标情况写出书面报告，推荐中标候选供应商。</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6.2.2 采购代理机构在评标结束后2个工作日内将评标报告送采购人。</w:t>
      </w:r>
    </w:p>
    <w:p>
      <w:pPr>
        <w:pStyle w:val="10"/>
        <w:tabs>
          <w:tab w:val="clear" w:pos="567"/>
        </w:tabs>
        <w:spacing w:before="0" w:line="360" w:lineRule="auto"/>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并列的，由采购人或者采购人委托评标委员会按照招标文件规定的方式确定中标人;招标文件未规定的，采取随机抽取的方式确定。</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0"/>
          <w:sz w:val="24"/>
          <w:szCs w:val="24"/>
          <w:lang w:val="en-US" w:eastAsia="zh-CN" w:bidi="ar"/>
        </w:rPr>
      </w:pPr>
      <w:r>
        <w:rPr>
          <w:rFonts w:hint="eastAsia" w:ascii="仿宋_GB2312" w:hAnsi="Times New Roman" w:eastAsia="仿宋_GB2312" w:cs="Times New Roman"/>
          <w:kern w:val="0"/>
          <w:sz w:val="24"/>
          <w:szCs w:val="24"/>
          <w:lang w:val="en-US" w:eastAsia="zh-CN" w:bidi="ar"/>
        </w:rPr>
        <w:t>6.2.4 根据采购人确定的中标供应商，采购代理机构在新疆政府采购网上发布中标公告，并自采购人确定中标之日起3个工作日内向中标供应商发出中标通知书。</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0"/>
          <w:sz w:val="24"/>
          <w:szCs w:val="24"/>
          <w:lang w:val="en-US" w:eastAsia="zh-CN" w:bidi="ar"/>
        </w:rPr>
        <w:t>6.2.5 招标采购单位不退回投标人投标文件和其他投标资料。</w:t>
      </w:r>
    </w:p>
    <w:p>
      <w:pPr>
        <w:widowControl/>
        <w:spacing w:line="360" w:lineRule="auto"/>
        <w:rPr>
          <w:rFonts w:hint="eastAsia" w:ascii="仿宋_GB2312" w:hAnsi="Times New Roman" w:eastAsia="仿宋_GB2312" w:cs="Times New Roman"/>
          <w:kern w:val="2"/>
          <w:sz w:val="24"/>
          <w:szCs w:val="24"/>
          <w:lang w:val="en-US" w:eastAsia="zh-CN" w:bidi="ar-SA"/>
        </w:rPr>
      </w:pPr>
    </w:p>
    <w:p>
      <w:pPr>
        <w:widowControl/>
        <w:spacing w:line="36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注：1.根据《关于印发政府采购促进中小企业发展管理办法》的通知》（财库【2020】  46号）；《财政部、司法部关于政府采购支持监狱企业发展有关问题的 通知》（财库【2014】68号）和《三部门联合发布关于促进残疾人就业政府采购政策的通知》（财库〔2017〕141号）的规定，对满足价格扣除条件且在投标文件中提交了《投标单位企业类型声明函》或省级以上监狱管理局、戒毒管理局（含新疆生产建设兵团）出具的属于监狱企业的证明文件的投标单位，其投标报价扣除6%后参与评审。对于同时属于小微企业、监狱企业或残疾人福利性单位的，不重复进行投标报价扣除。</w:t>
      </w:r>
    </w:p>
    <w:p>
      <w:pPr>
        <w:widowControl/>
        <w:spacing w:line="360" w:lineRule="auto"/>
        <w:ind w:firstLine="480" w:firstLineChars="200"/>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2.联合协议中约定，小型、微型企业和监狱企业的协议合同金额占到联合体协议合同总金额30%以上的，可给予联合体6%的价格扣除。</w:t>
      </w:r>
    </w:p>
    <w:p>
      <w:pPr>
        <w:widowControl/>
        <w:spacing w:line="360" w:lineRule="auto"/>
        <w:jc w:val="left"/>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联合体各方均为小型、微型企业和监狱企业的，联合体视同为小型、微型企业和监狱企业。</w:t>
      </w:r>
    </w:p>
    <w:p>
      <w:pPr>
        <w:pStyle w:val="10"/>
        <w:tabs>
          <w:tab w:val="clear" w:pos="567"/>
        </w:tabs>
        <w:spacing w:before="0" w:line="360" w:lineRule="auto"/>
        <w:ind w:left="-61" w:leftChars="-29" w:firstLine="540" w:firstLineChars="225"/>
        <w:rPr>
          <w:rFonts w:hint="default"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3.投标人所投产品如被列入财政部与国家主管部门颁发的节能产品目录或环境标志产品目录或无线局域网产品目录，应提供相关证明，在评标时予以优先采购，具体优惠措施为</w:t>
      </w:r>
      <w:r>
        <w:rPr>
          <w:rFonts w:hint="eastAsia" w:ascii="仿宋_GB2312" w:hAnsi="Times New Roman" w:eastAsia="仿宋_GB2312" w:cs="Times New Roman"/>
          <w:kern w:val="2"/>
          <w:sz w:val="24"/>
          <w:szCs w:val="24"/>
          <w:u w:val="single"/>
          <w:lang w:val="en-US" w:eastAsia="zh-CN" w:bidi="ar-SA"/>
        </w:rPr>
        <w:t xml:space="preserve">  /  </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4.如采购人所采购产品为政府强制采购的节能产品，投标人所投产品的品牌及型号必须为清单中有效期内产品并提供证明文件，否则其投标将被认定为投标无效。</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5.对创新产品或创新性企业的优惠措施为：</w:t>
      </w:r>
      <w:r>
        <w:rPr>
          <w:rFonts w:hint="eastAsia" w:ascii="仿宋_GB2312" w:hAnsi="Times New Roman" w:eastAsia="仿宋_GB2312" w:cs="Times New Roman"/>
          <w:kern w:val="2"/>
          <w:sz w:val="24"/>
          <w:szCs w:val="24"/>
          <w:u w:val="single"/>
          <w:lang w:val="en-US" w:eastAsia="zh-CN" w:bidi="ar-SA"/>
        </w:rPr>
        <w:t xml:space="preserve">  /  </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6.同品牌处理办法：</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采用综合评标法，则：提供相同品牌产品且通过资格审查、符合性审查的不同投标单位参加同一合同项下投标的，按一家投标单位计算，评审后得分最高的同品牌投标单位获得中标人推荐资格;评审得分相同的，由采购人或者采购人委托评标委员会按照招标文件规定的方式确定一个投标单位获得中标人推荐资格，招标文件未规定的采取随机抽取方式确定，其他同品牌投标单位不作为中标候选人。   </w:t>
      </w:r>
    </w:p>
    <w:p>
      <w:pPr>
        <w:pStyle w:val="5"/>
        <w:spacing w:line="4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7.中标候选人并列式时的处理方式：   </w:t>
      </w:r>
    </w:p>
    <w:p>
      <w:pPr>
        <w:pStyle w:val="10"/>
        <w:tabs>
          <w:tab w:val="clear" w:pos="567"/>
        </w:tabs>
        <w:spacing w:before="0" w:line="360" w:lineRule="auto"/>
        <w:ind w:left="-181" w:leftChars="-86" w:firstLine="660" w:firstLineChars="275"/>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采用综合评标法，则： 评标结果按评审后得分由高到低顺序排列。得分相同的，按投标报价由低到高顺序排列。得分且投标报价相同的并列。投标文件满足招标文件全部实质性要求，且按照评审因素的量化指标评审得分最高的投标单位为排名第一的中标候选人。  </w:t>
      </w: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b/>
          <w:bCs/>
          <w:kern w:val="2"/>
          <w:sz w:val="28"/>
          <w:szCs w:val="28"/>
          <w:lang w:val="en-US" w:eastAsia="zh-CN" w:bidi="ar-SA"/>
        </w:rPr>
      </w:pPr>
    </w:p>
    <w:p>
      <w:pPr>
        <w:spacing w:line="300" w:lineRule="auto"/>
        <w:ind w:firstLine="2249" w:firstLineChars="800"/>
        <w:jc w:val="left"/>
        <w:outlineLvl w:val="2"/>
        <w:rPr>
          <w:rFonts w:hint="eastAsia" w:ascii="仿宋_GB2312" w:hAnsi="Calibri" w:eastAsia="仿宋_GB2312"/>
          <w:kern w:val="2"/>
          <w:sz w:val="24"/>
          <w:szCs w:val="24"/>
          <w:lang w:val="en-US" w:eastAsia="zh-CN" w:bidi="ar-SA"/>
        </w:rPr>
      </w:pPr>
      <w:r>
        <w:rPr>
          <w:rFonts w:hint="eastAsia" w:ascii="仿宋_GB2312" w:hAnsi="Calibri" w:eastAsia="仿宋_GB2312"/>
          <w:b/>
          <w:bCs/>
          <w:kern w:val="2"/>
          <w:sz w:val="28"/>
          <w:szCs w:val="28"/>
          <w:lang w:val="en-US" w:eastAsia="zh-CN" w:bidi="ar-SA"/>
        </w:rPr>
        <w:t xml:space="preserve"> </w:t>
      </w:r>
      <w:bookmarkStart w:id="397" w:name="_Toc24319"/>
      <w:r>
        <w:rPr>
          <w:rFonts w:hint="eastAsia" w:ascii="仿宋_GB2312" w:hAnsi="Calibri" w:eastAsia="仿宋_GB2312"/>
          <w:b/>
          <w:bCs/>
          <w:kern w:val="2"/>
          <w:sz w:val="28"/>
          <w:szCs w:val="28"/>
          <w:lang w:val="en-US" w:eastAsia="zh-CN" w:bidi="ar-SA"/>
        </w:rPr>
        <w:t>初步评审-资格性审查表</w:t>
      </w:r>
      <w:bookmarkEnd w:id="397"/>
    </w:p>
    <w:tbl>
      <w:tblPr>
        <w:tblStyle w:val="32"/>
        <w:tblpPr w:leftFromText="180" w:rightFromText="180" w:vertAnchor="text" w:horzAnchor="page" w:tblpXSpec="center" w:tblpY="116"/>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620"/>
        <w:gridCol w:w="1005"/>
        <w:gridCol w:w="970"/>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3" w:type="dxa"/>
            <w:vMerge w:val="restart"/>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序号</w:t>
            </w:r>
          </w:p>
        </w:tc>
        <w:tc>
          <w:tcPr>
            <w:tcW w:w="6620" w:type="dxa"/>
            <w:vMerge w:val="restart"/>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评审内容</w:t>
            </w:r>
          </w:p>
        </w:tc>
        <w:tc>
          <w:tcPr>
            <w:tcW w:w="2872" w:type="dxa"/>
            <w:gridSpan w:val="3"/>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投标单位名称及审查情况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3" w:type="dxa"/>
            <w:vMerge w:val="continue"/>
            <w:noWrap w:val="0"/>
            <w:vAlign w:val="center"/>
          </w:tcPr>
          <w:p>
            <w:pPr>
              <w:jc w:val="center"/>
              <w:rPr>
                <w:rFonts w:hint="eastAsia" w:ascii="仿宋_GB2312" w:hAnsi="Calibri" w:eastAsia="仿宋_GB2312"/>
                <w:kern w:val="2"/>
                <w:sz w:val="24"/>
                <w:szCs w:val="24"/>
                <w:lang w:val="en-US" w:eastAsia="zh-CN" w:bidi="ar-SA"/>
              </w:rPr>
            </w:pPr>
          </w:p>
        </w:tc>
        <w:tc>
          <w:tcPr>
            <w:tcW w:w="6620" w:type="dxa"/>
            <w:vMerge w:val="continue"/>
            <w:noWrap w:val="0"/>
            <w:vAlign w:val="center"/>
          </w:tcPr>
          <w:p>
            <w:pPr>
              <w:jc w:val="center"/>
              <w:rPr>
                <w:rFonts w:hint="eastAsia" w:ascii="仿宋_GB2312" w:hAnsi="Calibri" w:eastAsia="仿宋_GB2312"/>
                <w:kern w:val="2"/>
                <w:sz w:val="24"/>
                <w:szCs w:val="24"/>
                <w:lang w:val="en-US" w:eastAsia="zh-CN" w:bidi="ar-SA"/>
              </w:rPr>
            </w:pPr>
          </w:p>
        </w:tc>
        <w:tc>
          <w:tcPr>
            <w:tcW w:w="1005"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是否合格</w:t>
            </w:r>
          </w:p>
        </w:tc>
        <w:tc>
          <w:tcPr>
            <w:tcW w:w="970"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是否合格</w:t>
            </w:r>
          </w:p>
        </w:tc>
        <w:tc>
          <w:tcPr>
            <w:tcW w:w="897"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13"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1</w:t>
            </w:r>
          </w:p>
        </w:tc>
        <w:tc>
          <w:tcPr>
            <w:tcW w:w="6620"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cs="Times New Roman"/>
                <w:kern w:val="2"/>
                <w:sz w:val="24"/>
                <w:szCs w:val="24"/>
                <w:lang w:val="en-US" w:eastAsia="zh-CN" w:bidi="ar-SA"/>
              </w:rPr>
              <w:t>具有有效的营业执照</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13" w:type="dxa"/>
            <w:noWrap w:val="0"/>
            <w:vAlign w:val="center"/>
          </w:tcPr>
          <w:p>
            <w:pPr>
              <w:jc w:val="center"/>
              <w:rPr>
                <w:rFonts w:hint="default"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2</w:t>
            </w:r>
          </w:p>
        </w:tc>
        <w:tc>
          <w:tcPr>
            <w:tcW w:w="6620" w:type="dxa"/>
            <w:noWrap w:val="0"/>
            <w:vAlign w:val="center"/>
          </w:tcPr>
          <w:p>
            <w:pPr>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具备市政公用工程施工总承包叁级(含)以上资质；</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13"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3</w:t>
            </w:r>
          </w:p>
        </w:tc>
        <w:tc>
          <w:tcPr>
            <w:tcW w:w="6620"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cs="Times New Roman"/>
                <w:kern w:val="2"/>
                <w:sz w:val="24"/>
                <w:szCs w:val="24"/>
                <w:lang w:val="en-US" w:eastAsia="zh-CN" w:bidi="ar-SA"/>
              </w:rPr>
              <w:t>法人本人投标的需提供法人身份证复印件；被授权委托人需提供法人授权委托书、法人身份证复印件及被授权委托人身份证复印件；</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3"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4</w:t>
            </w:r>
          </w:p>
        </w:tc>
        <w:tc>
          <w:tcPr>
            <w:tcW w:w="6620"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cs="Times New Roman"/>
                <w:kern w:val="2"/>
                <w:sz w:val="24"/>
                <w:szCs w:val="24"/>
                <w:lang w:val="en-US" w:eastAsia="zh-CN" w:bidi="ar-SA"/>
              </w:rPr>
              <w:t>提供社保部门出具授权委托人近3个月（9、10、11）缴纳社保证明（社保缴费凭证和个人明细表）</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3"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5</w:t>
            </w:r>
          </w:p>
        </w:tc>
        <w:tc>
          <w:tcPr>
            <w:tcW w:w="6620"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cs="Times New Roman"/>
                <w:kern w:val="2"/>
                <w:sz w:val="24"/>
                <w:szCs w:val="24"/>
                <w:lang w:val="en-US" w:eastAsia="zh-CN" w:bidi="ar-SA"/>
              </w:rPr>
              <w:t>良好的商业信誉和健全的财务会计制度证明材料（会计事务所出具的2020年度财务审计报告书复印件或影印件；新办企业提供银行资信证明）；</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6</w:t>
            </w:r>
          </w:p>
        </w:tc>
        <w:tc>
          <w:tcPr>
            <w:tcW w:w="6620"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提供具有依法缴纳近3个月（9、10、11）的税收良好记录证明；税务部门出具的完税凭证或缴税证明或银行出具的“银行电子缴税付款凭证”（新公司或其他组织和自然人提供近三个月内银行出具的资信证明）；</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13"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7</w:t>
            </w:r>
          </w:p>
        </w:tc>
        <w:tc>
          <w:tcPr>
            <w:tcW w:w="6620"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投标人须提供《反商业贿赂承诺书》、《三年内无重大违法违规记录承诺书》</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3" w:type="dxa"/>
            <w:noWrap w:val="0"/>
            <w:vAlign w:val="center"/>
          </w:tcPr>
          <w:p>
            <w:pPr>
              <w:jc w:val="center"/>
              <w:rPr>
                <w:rFonts w:hint="default"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8</w:t>
            </w:r>
          </w:p>
        </w:tc>
        <w:tc>
          <w:tcPr>
            <w:tcW w:w="6620"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cs="Times New Roman"/>
                <w:kern w:val="2"/>
                <w:sz w:val="24"/>
                <w:szCs w:val="24"/>
                <w:lang w:val="en-US" w:eastAsia="zh-CN" w:bidi="ar-SA"/>
              </w:rPr>
              <w:t>符合《中华人民共和国政府采购法》第二十二条的规定，且必须为未被列入“信用中国”网站（www.creditchina.gov.cn）、中国政府采购网（www.ccgp.gov.cn）渠道信用记录失信执行人、重大税收违法案件当事人名单、政府采购严重违法失信行为记录名单的投标人，裁判文书网（wenshu.couet.gov.cn）查询在合同纠纷裁决中不得参加本项目招标，国家企业公示信息系统（www.gst.gov.cn）查询诚信记录如有重大处罚信息不得参加本项目（提供查询结果网页截图并加盖供应商公章）；</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3"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9</w:t>
            </w:r>
          </w:p>
        </w:tc>
        <w:tc>
          <w:tcPr>
            <w:tcW w:w="6620"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投标保证金收据</w:t>
            </w:r>
            <w:r>
              <w:rPr>
                <w:rFonts w:hint="eastAsia" w:ascii="仿宋_GB2312" w:hAnsi="Calibri" w:eastAsia="仿宋_GB2312" w:cs="Times New Roman"/>
                <w:kern w:val="2"/>
                <w:sz w:val="24"/>
                <w:szCs w:val="24"/>
                <w:lang w:val="en-US" w:eastAsia="zh-CN" w:bidi="ar-SA"/>
              </w:rPr>
              <w:t>复印</w:t>
            </w:r>
            <w:r>
              <w:rPr>
                <w:rFonts w:hint="eastAsia" w:ascii="仿宋_GB2312" w:hAnsi="Calibri" w:eastAsia="仿宋_GB2312"/>
                <w:kern w:val="2"/>
                <w:sz w:val="24"/>
                <w:szCs w:val="24"/>
                <w:lang w:val="en-US" w:eastAsia="zh-CN" w:bidi="ar-SA"/>
              </w:rPr>
              <w:t>件及打款凭证；</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333" w:type="dxa"/>
            <w:gridSpan w:val="2"/>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结论（通过评审写“通过”，未通过评审写“不通过”）</w:t>
            </w:r>
          </w:p>
        </w:tc>
        <w:tc>
          <w:tcPr>
            <w:tcW w:w="1005" w:type="dxa"/>
            <w:noWrap w:val="0"/>
            <w:vAlign w:val="center"/>
          </w:tcPr>
          <w:p>
            <w:pPr>
              <w:jc w:val="center"/>
              <w:rPr>
                <w:rFonts w:hint="eastAsia" w:ascii="仿宋_GB2312" w:hAnsi="Calibri" w:eastAsia="仿宋_GB2312"/>
                <w:kern w:val="2"/>
                <w:sz w:val="24"/>
                <w:szCs w:val="24"/>
                <w:lang w:val="en-US" w:eastAsia="zh-CN" w:bidi="ar-SA"/>
              </w:rPr>
            </w:pPr>
          </w:p>
        </w:tc>
        <w:tc>
          <w:tcPr>
            <w:tcW w:w="970" w:type="dxa"/>
            <w:noWrap w:val="0"/>
            <w:vAlign w:val="center"/>
          </w:tcPr>
          <w:p>
            <w:pPr>
              <w:jc w:val="center"/>
              <w:rPr>
                <w:rFonts w:hint="eastAsia" w:ascii="仿宋_GB2312" w:hAnsi="Calibri" w:eastAsia="仿宋_GB2312"/>
                <w:kern w:val="2"/>
                <w:sz w:val="24"/>
                <w:szCs w:val="24"/>
                <w:lang w:val="en-US" w:eastAsia="zh-CN" w:bidi="ar-SA"/>
              </w:rPr>
            </w:pPr>
          </w:p>
        </w:tc>
        <w:tc>
          <w:tcPr>
            <w:tcW w:w="897" w:type="dxa"/>
            <w:noWrap w:val="0"/>
            <w:vAlign w:val="center"/>
          </w:tcPr>
          <w:p>
            <w:pPr>
              <w:jc w:val="center"/>
              <w:rPr>
                <w:rFonts w:hint="eastAsia" w:ascii="仿宋_GB2312" w:hAnsi="Calibri" w:eastAsia="仿宋_GB2312"/>
                <w:kern w:val="2"/>
                <w:sz w:val="24"/>
                <w:szCs w:val="24"/>
                <w:lang w:val="en-US" w:eastAsia="zh-CN" w:bidi="ar-SA"/>
              </w:rPr>
            </w:pPr>
          </w:p>
        </w:tc>
      </w:tr>
    </w:tbl>
    <w:p>
      <w:pPr>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说明：（1）上述各项中用“√”表示通过，“×”表示不通过；</w:t>
      </w:r>
    </w:p>
    <w:p>
      <w:pPr>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（2）上述各项中如有一项为“×”，则结论为“×”，表示该投标 文件中存在重大偏差，不能通过初步评审；评委对某一分项评审认为不合格时，必须要写明原因。</w:t>
      </w:r>
    </w:p>
    <w:p>
      <w:pPr>
        <w:ind w:left="60"/>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（3）投标文件最终合格与否，以所有评委的评审意见中少数服从多数为原则定论。</w:t>
      </w:r>
    </w:p>
    <w:p>
      <w:pPr>
        <w:spacing w:line="240" w:lineRule="atLeast"/>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未通过资格审查的投标单位不进入评审；通过资格审查的投标单位不足三家的，不得评审。</w:t>
      </w:r>
    </w:p>
    <w:p>
      <w:pPr>
        <w:pStyle w:val="5"/>
        <w:spacing w:line="300" w:lineRule="auto"/>
        <w:ind w:firstLine="0"/>
        <w:jc w:val="center"/>
        <w:outlineLvl w:val="2"/>
        <w:rPr>
          <w:rFonts w:hint="eastAsia" w:ascii="仿宋_GB2312" w:hAnsi="Calibri" w:eastAsia="仿宋_GB2312"/>
          <w:kern w:val="2"/>
          <w:sz w:val="24"/>
          <w:szCs w:val="24"/>
          <w:lang w:val="en-US" w:eastAsia="zh-CN" w:bidi="ar-SA"/>
        </w:rPr>
      </w:pPr>
    </w:p>
    <w:p>
      <w:pPr>
        <w:pStyle w:val="5"/>
        <w:spacing w:line="300" w:lineRule="auto"/>
        <w:ind w:firstLine="0"/>
        <w:jc w:val="center"/>
        <w:outlineLvl w:val="2"/>
        <w:rPr>
          <w:rFonts w:hint="eastAsia" w:ascii="仿宋_GB2312" w:hAnsi="Calibri" w:eastAsia="仿宋_GB2312"/>
          <w:kern w:val="2"/>
          <w:sz w:val="24"/>
          <w:szCs w:val="24"/>
          <w:lang w:val="en-US" w:eastAsia="zh-CN" w:bidi="ar-SA"/>
        </w:rPr>
      </w:pPr>
    </w:p>
    <w:p>
      <w:pPr>
        <w:pStyle w:val="5"/>
        <w:spacing w:line="300" w:lineRule="auto"/>
        <w:ind w:firstLine="0"/>
        <w:jc w:val="center"/>
        <w:outlineLvl w:val="2"/>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xml:space="preserve"> </w:t>
      </w:r>
      <w:bookmarkStart w:id="398" w:name="_Toc22891"/>
      <w:bookmarkStart w:id="399" w:name="_Toc21824"/>
      <w:r>
        <w:rPr>
          <w:rFonts w:hint="eastAsia" w:ascii="仿宋_GB2312" w:hAnsi="Calibri" w:eastAsia="仿宋_GB2312"/>
          <w:b/>
          <w:bCs/>
          <w:kern w:val="2"/>
          <w:sz w:val="28"/>
          <w:szCs w:val="28"/>
          <w:lang w:val="en-US" w:eastAsia="zh-CN" w:bidi="ar-SA"/>
        </w:rPr>
        <w:t>初步评审—符合性审查表</w:t>
      </w:r>
      <w:bookmarkEnd w:id="398"/>
      <w:bookmarkEnd w:id="399"/>
    </w:p>
    <w:tbl>
      <w:tblPr>
        <w:tblStyle w:val="32"/>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7603" w:type="dxa"/>
            <w:gridSpan w:val="2"/>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评审内容</w:t>
            </w:r>
          </w:p>
        </w:tc>
        <w:tc>
          <w:tcPr>
            <w:tcW w:w="1637"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序号</w:t>
            </w:r>
          </w:p>
        </w:tc>
        <w:tc>
          <w:tcPr>
            <w:tcW w:w="6755" w:type="dxa"/>
            <w:noWrap w:val="0"/>
            <w:vAlign w:val="center"/>
          </w:tcPr>
          <w:p>
            <w:pPr>
              <w:jc w:val="center"/>
              <w:rPr>
                <w:rFonts w:hint="eastAsia" w:ascii="仿宋_GB2312" w:hAnsi="Calibri" w:eastAsia="仿宋_GB2312"/>
                <w:kern w:val="2"/>
                <w:sz w:val="24"/>
                <w:szCs w:val="24"/>
                <w:lang w:val="en-US" w:eastAsia="zh-CN" w:bidi="ar-SA"/>
              </w:rPr>
            </w:pPr>
          </w:p>
        </w:tc>
        <w:tc>
          <w:tcPr>
            <w:tcW w:w="1637"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1</w:t>
            </w:r>
          </w:p>
        </w:tc>
        <w:tc>
          <w:tcPr>
            <w:tcW w:w="6755" w:type="dxa"/>
            <w:noWrap w:val="0"/>
            <w:vAlign w:val="center"/>
          </w:tcPr>
          <w:p>
            <w:pPr>
              <w:spacing w:line="240" w:lineRule="atLeas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各投标单位报价未高于最高限价；</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2</w:t>
            </w:r>
          </w:p>
        </w:tc>
        <w:tc>
          <w:tcPr>
            <w:tcW w:w="6755" w:type="dxa"/>
            <w:noWrap w:val="0"/>
            <w:vAlign w:val="center"/>
          </w:tcPr>
          <w:p>
            <w:pPr>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评审小组认为投标单位的报价无明显低于其他通过符合性审查投标单位的报价的，投标单位的报价不存在异常一致并成规律性的，其报价合理。</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3</w:t>
            </w:r>
          </w:p>
        </w:tc>
        <w:tc>
          <w:tcPr>
            <w:tcW w:w="6755" w:type="dxa"/>
            <w:noWrap w:val="0"/>
            <w:vAlign w:val="center"/>
          </w:tcPr>
          <w:p>
            <w:pPr>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投标单位按招标文件规定提交投标文件份数，正本壹份；副本肆份；电子版壹份，开标一览表壹份。</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4</w:t>
            </w:r>
          </w:p>
        </w:tc>
        <w:tc>
          <w:tcPr>
            <w:tcW w:w="6755" w:type="dxa"/>
            <w:noWrap w:val="0"/>
            <w:vAlign w:val="center"/>
          </w:tcPr>
          <w:p>
            <w:pPr>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投标文件按照招标文件的规定编制、标记及签署盖章的，法定代表人或其授权代表签字（章）和加盖投标单位单位公章的（投标文件正本的印章和签字不能为复印件）；</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5</w:t>
            </w:r>
          </w:p>
        </w:tc>
        <w:tc>
          <w:tcPr>
            <w:tcW w:w="6755" w:type="dxa"/>
            <w:noWrap w:val="0"/>
            <w:vAlign w:val="center"/>
          </w:tcPr>
          <w:p>
            <w:pPr>
              <w:jc w:val="left"/>
              <w:rPr>
                <w:rFonts w:hint="eastAsia" w:ascii="仿宋_GB2312" w:hAnsi="Calibri" w:eastAsia="仿宋_GB2312"/>
                <w:color w:val="auto"/>
                <w:kern w:val="2"/>
                <w:sz w:val="24"/>
                <w:szCs w:val="24"/>
                <w:lang w:val="en-US" w:eastAsia="zh-CN" w:bidi="ar-SA"/>
              </w:rPr>
            </w:pPr>
            <w:r>
              <w:rPr>
                <w:rFonts w:hint="eastAsia" w:ascii="仿宋_GB2312" w:hAnsi="Calibri" w:eastAsia="仿宋_GB2312"/>
                <w:color w:val="auto"/>
                <w:kern w:val="2"/>
                <w:sz w:val="24"/>
                <w:szCs w:val="24"/>
                <w:lang w:val="en-US" w:eastAsia="zh-CN" w:bidi="ar-SA"/>
              </w:rPr>
              <w:t>投标文件载明的技术标准、技术指标等，符合招标文件要求的（可参考技术偏离表）</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6</w:t>
            </w:r>
          </w:p>
        </w:tc>
        <w:tc>
          <w:tcPr>
            <w:tcW w:w="6755"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按招标文件规定的格式填写，内容全或关键字迹清晰、数量等齐全，所有原件的复印件清晰可辨。</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7</w:t>
            </w:r>
          </w:p>
        </w:tc>
        <w:tc>
          <w:tcPr>
            <w:tcW w:w="6755"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没有采购人不能接受的附加条件的</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8</w:t>
            </w:r>
          </w:p>
        </w:tc>
        <w:tc>
          <w:tcPr>
            <w:tcW w:w="6755"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不同投标单位的投标文件没有错漏一致的情况</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9</w:t>
            </w:r>
          </w:p>
        </w:tc>
        <w:tc>
          <w:tcPr>
            <w:tcW w:w="6755"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投标单位附有详细地址、联系人、电话标明的。</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jc w:val="center"/>
              <w:rPr>
                <w:rFonts w:hint="default"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10</w:t>
            </w:r>
          </w:p>
        </w:tc>
        <w:tc>
          <w:tcPr>
            <w:tcW w:w="6755" w:type="dxa"/>
            <w:noWrap w:val="0"/>
            <w:vAlign w:val="center"/>
          </w:tcPr>
          <w:p>
            <w:pPr>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投标文件没有散页、活页、未胶装的。</w:t>
            </w:r>
          </w:p>
        </w:tc>
        <w:tc>
          <w:tcPr>
            <w:tcW w:w="1637" w:type="dxa"/>
            <w:noWrap w:val="0"/>
            <w:vAlign w:val="center"/>
          </w:tcPr>
          <w:p>
            <w:pPr>
              <w:jc w:val="center"/>
              <w:rPr>
                <w:rFonts w:hint="eastAsia" w:ascii="仿宋_GB2312" w:hAnsi="Calibri"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7603" w:type="dxa"/>
            <w:gridSpan w:val="2"/>
            <w:noWrap w:val="0"/>
            <w:vAlign w:val="center"/>
          </w:tcPr>
          <w:p>
            <w:pPr>
              <w:ind w:firstLine="432" w:firstLineChars="180"/>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结论：通过评审打“√”，未通过评审打“×”</w:t>
            </w:r>
          </w:p>
        </w:tc>
        <w:tc>
          <w:tcPr>
            <w:tcW w:w="1637" w:type="dxa"/>
            <w:noWrap w:val="0"/>
            <w:vAlign w:val="center"/>
          </w:tcPr>
          <w:p>
            <w:pPr>
              <w:ind w:firstLine="432" w:firstLineChars="180"/>
              <w:jc w:val="center"/>
              <w:rPr>
                <w:rFonts w:hint="eastAsia" w:ascii="仿宋_GB2312" w:hAnsi="Calibri" w:eastAsia="仿宋_GB2312"/>
                <w:kern w:val="2"/>
                <w:sz w:val="24"/>
                <w:szCs w:val="24"/>
                <w:lang w:val="en-US" w:eastAsia="zh-CN" w:bidi="ar-SA"/>
              </w:rPr>
            </w:pPr>
          </w:p>
        </w:tc>
      </w:tr>
    </w:tbl>
    <w:p>
      <w:pPr>
        <w:spacing w:line="300" w:lineRule="auto"/>
        <w:ind w:left="60"/>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说明：</w:t>
      </w:r>
    </w:p>
    <w:p>
      <w:pPr>
        <w:spacing w:line="300" w:lineRule="auto"/>
        <w:ind w:left="60"/>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（1）上述各项中用“√”表示合格，“×”表示不合格；</w:t>
      </w:r>
    </w:p>
    <w:p>
      <w:pPr>
        <w:spacing w:line="300" w:lineRule="auto"/>
        <w:ind w:left="782" w:leftChars="28" w:hanging="723" w:hangingChars="300"/>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（2）上述各项中如有一项为“×”，则结论为“×”，表示该投标文件中存在重大偏差，不能通过初步评审；评审小组对某一分项评审认为不合格时，必须要写明原因。</w:t>
      </w:r>
    </w:p>
    <w:p>
      <w:pPr>
        <w:pStyle w:val="5"/>
        <w:spacing w:line="300" w:lineRule="auto"/>
        <w:ind w:left="720" w:hanging="723" w:hangingChars="300"/>
        <w:jc w:val="both"/>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（3）投标文件最终合格与否，以所有评审小组的评审意见中少数服从多数为原则定论。</w:t>
      </w:r>
    </w:p>
    <w:p>
      <w:pPr>
        <w:spacing w:line="240" w:lineRule="atLeast"/>
        <w:rPr>
          <w:rFonts w:hint="eastAsia" w:ascii="仿宋_GB2312" w:hAnsi="Calibri" w:eastAsia="仿宋_GB2312"/>
          <w:b/>
          <w:bCs/>
          <w:kern w:val="2"/>
          <w:sz w:val="24"/>
          <w:szCs w:val="24"/>
          <w:lang w:val="en-US" w:eastAsia="zh-CN" w:bidi="ar-SA"/>
        </w:rPr>
      </w:pPr>
      <w:r>
        <w:rPr>
          <w:rFonts w:hint="eastAsia" w:ascii="仿宋_GB2312" w:hAnsi="Calibri" w:eastAsia="仿宋_GB2312"/>
          <w:b/>
          <w:bCs/>
          <w:kern w:val="2"/>
          <w:sz w:val="24"/>
          <w:szCs w:val="24"/>
          <w:lang w:val="en-US" w:eastAsia="zh-CN" w:bidi="ar-SA"/>
        </w:rPr>
        <w:t>未通过资格审查的投标单位不进入评审；通过资格审查的投标单位少于不足三家的，不得评审。</w:t>
      </w:r>
    </w:p>
    <w:p>
      <w:pPr>
        <w:pStyle w:val="23"/>
        <w:rPr>
          <w:rFonts w:hint="eastAsia" w:ascii="仿宋_GB2312" w:hAnsi="Calibri" w:eastAsia="仿宋_GB2312"/>
          <w:b w:val="0"/>
          <w:bCs w:val="0"/>
          <w:kern w:val="2"/>
          <w:sz w:val="24"/>
          <w:szCs w:val="24"/>
          <w:lang w:val="en-US" w:eastAsia="zh-CN" w:bidi="ar-SA"/>
        </w:rPr>
      </w:pPr>
    </w:p>
    <w:p>
      <w:pPr>
        <w:pStyle w:val="23"/>
        <w:rPr>
          <w:rFonts w:hint="eastAsia" w:ascii="仿宋_GB2312" w:hAnsi="Calibri" w:eastAsia="仿宋_GB2312"/>
          <w:kern w:val="2"/>
          <w:sz w:val="24"/>
          <w:szCs w:val="24"/>
          <w:lang w:val="en-US" w:eastAsia="zh-CN" w:bidi="ar-SA"/>
        </w:rPr>
      </w:pPr>
    </w:p>
    <w:p>
      <w:pPr>
        <w:pStyle w:val="23"/>
        <w:rPr>
          <w:rFonts w:hint="eastAsia" w:ascii="仿宋_GB2312" w:hAnsi="Calibri" w:eastAsia="仿宋_GB2312"/>
          <w:kern w:val="2"/>
          <w:sz w:val="24"/>
          <w:szCs w:val="24"/>
          <w:lang w:val="en-US" w:eastAsia="zh-CN" w:bidi="ar-SA"/>
        </w:rPr>
      </w:pPr>
    </w:p>
    <w:p>
      <w:pPr>
        <w:pStyle w:val="23"/>
        <w:rPr>
          <w:rFonts w:hint="eastAsia" w:ascii="仿宋_GB2312" w:hAnsi="Calibri" w:eastAsia="仿宋_GB2312"/>
          <w:kern w:val="2"/>
          <w:sz w:val="24"/>
          <w:szCs w:val="24"/>
          <w:lang w:val="en-US" w:eastAsia="zh-CN" w:bidi="ar-SA"/>
        </w:rPr>
      </w:pPr>
    </w:p>
    <w:p>
      <w:pPr>
        <w:pStyle w:val="23"/>
        <w:rPr>
          <w:rFonts w:hint="eastAsia" w:ascii="仿宋_GB2312" w:hAnsi="Calibri" w:eastAsia="仿宋_GB2312"/>
          <w:kern w:val="2"/>
          <w:sz w:val="24"/>
          <w:szCs w:val="24"/>
          <w:lang w:val="en-US" w:eastAsia="zh-CN" w:bidi="ar-SA"/>
        </w:rPr>
      </w:pPr>
    </w:p>
    <w:p>
      <w:pPr>
        <w:pStyle w:val="23"/>
        <w:jc w:val="both"/>
        <w:outlineLvl w:val="2"/>
        <w:rPr>
          <w:rFonts w:hint="eastAsia" w:ascii="仿宋_GB2312" w:hAnsi="Calibri" w:eastAsia="仿宋_GB2312"/>
          <w:b/>
          <w:bCs/>
          <w:kern w:val="2"/>
          <w:sz w:val="28"/>
          <w:szCs w:val="28"/>
          <w:lang w:val="en-US" w:eastAsia="zh-CN" w:bidi="ar-SA"/>
        </w:rPr>
      </w:pPr>
      <w:bookmarkStart w:id="400" w:name="_Toc24173"/>
      <w:bookmarkStart w:id="401" w:name="_Toc2382"/>
    </w:p>
    <w:p>
      <w:pPr>
        <w:pStyle w:val="23"/>
        <w:jc w:val="center"/>
        <w:outlineLvl w:val="2"/>
        <w:rPr>
          <w:rFonts w:hint="eastAsia" w:ascii="仿宋_GB2312" w:hAnsi="Calibri" w:eastAsia="仿宋_GB2312"/>
          <w:b/>
          <w:bCs/>
          <w:kern w:val="2"/>
          <w:sz w:val="28"/>
          <w:szCs w:val="28"/>
          <w:lang w:val="en-US" w:eastAsia="zh-CN" w:bidi="ar-SA"/>
        </w:rPr>
      </w:pPr>
    </w:p>
    <w:p>
      <w:pPr>
        <w:pStyle w:val="23"/>
        <w:jc w:val="center"/>
        <w:outlineLvl w:val="2"/>
        <w:rPr>
          <w:rFonts w:hint="eastAsia" w:ascii="仿宋_GB2312" w:hAnsi="Calibri" w:eastAsia="仿宋_GB2312"/>
          <w:b/>
          <w:bCs/>
          <w:kern w:val="2"/>
          <w:sz w:val="28"/>
          <w:szCs w:val="28"/>
          <w:lang w:val="en-US" w:eastAsia="zh-CN" w:bidi="ar-SA"/>
        </w:rPr>
      </w:pPr>
    </w:p>
    <w:p>
      <w:pPr>
        <w:pStyle w:val="23"/>
        <w:jc w:val="center"/>
        <w:outlineLvl w:val="2"/>
        <w:rPr>
          <w:rFonts w:hint="eastAsia" w:ascii="仿宋_GB2312" w:hAnsi="Calibri" w:eastAsia="仿宋_GB2312"/>
          <w:b/>
          <w:bCs/>
          <w:kern w:val="2"/>
          <w:sz w:val="28"/>
          <w:szCs w:val="28"/>
          <w:lang w:val="en-US" w:eastAsia="zh-CN" w:bidi="ar-SA"/>
        </w:rPr>
      </w:pPr>
      <w:r>
        <w:rPr>
          <w:rFonts w:hint="eastAsia" w:ascii="仿宋_GB2312" w:hAnsi="Calibri" w:eastAsia="仿宋_GB2312"/>
          <w:b/>
          <w:bCs/>
          <w:kern w:val="2"/>
          <w:sz w:val="28"/>
          <w:szCs w:val="28"/>
          <w:lang w:val="en-US" w:eastAsia="zh-CN" w:bidi="ar-SA"/>
        </w:rPr>
        <w:t>商务符合性审查表</w:t>
      </w:r>
      <w:bookmarkEnd w:id="400"/>
      <w:bookmarkEnd w:id="401"/>
    </w:p>
    <w:tbl>
      <w:tblPr>
        <w:tblStyle w:val="32"/>
        <w:tblpPr w:leftFromText="180" w:rightFromText="180" w:vertAnchor="text" w:horzAnchor="page" w:tblpXSpec="center" w:tblpY="215"/>
        <w:tblOverlap w:val="never"/>
        <w:tblW w:w="10205" w:type="dxa"/>
        <w:jc w:val="center"/>
        <w:tblLayout w:type="fixed"/>
        <w:tblCellMar>
          <w:top w:w="0" w:type="dxa"/>
          <w:left w:w="108" w:type="dxa"/>
          <w:bottom w:w="0" w:type="dxa"/>
          <w:right w:w="108" w:type="dxa"/>
        </w:tblCellMar>
      </w:tblPr>
      <w:tblGrid>
        <w:gridCol w:w="2743"/>
        <w:gridCol w:w="5812"/>
        <w:gridCol w:w="591"/>
        <w:gridCol w:w="563"/>
        <w:gridCol w:w="496"/>
      </w:tblGrid>
      <w:tr>
        <w:tblPrEx>
          <w:tblCellMar>
            <w:top w:w="0" w:type="dxa"/>
            <w:left w:w="108" w:type="dxa"/>
            <w:bottom w:w="0" w:type="dxa"/>
            <w:right w:w="108" w:type="dxa"/>
          </w:tblCellMar>
        </w:tblPrEx>
        <w:trPr>
          <w:trHeight w:val="645" w:hRule="atLeast"/>
          <w:jc w:val="center"/>
        </w:trPr>
        <w:tc>
          <w:tcPr>
            <w:tcW w:w="76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审查事项</w:t>
            </w:r>
          </w:p>
        </w:tc>
        <w:tc>
          <w:tcPr>
            <w:tcW w:w="146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投标单位名称及审查情况</w:t>
            </w:r>
          </w:p>
        </w:tc>
      </w:tr>
      <w:tr>
        <w:tblPrEx>
          <w:tblCellMar>
            <w:top w:w="0" w:type="dxa"/>
            <w:left w:w="108" w:type="dxa"/>
            <w:bottom w:w="0" w:type="dxa"/>
            <w:right w:w="108" w:type="dxa"/>
          </w:tblCellMar>
        </w:tblPrEx>
        <w:trPr>
          <w:trHeight w:val="633"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招标文件条款（投标单位须知条款号）</w:t>
            </w:r>
          </w:p>
        </w:tc>
        <w:tc>
          <w:tcPr>
            <w:tcW w:w="51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本项目要求</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中小企业招标要求（1.3.5）</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cs="Times New Roman"/>
                <w:kern w:val="2"/>
                <w:sz w:val="24"/>
                <w:szCs w:val="24"/>
                <w:lang w:val="en-US" w:eastAsia="zh-CN" w:bidi="ar-SA"/>
              </w:rPr>
              <w:t>本项目适用</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联合体投标规定（1.4）</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本项目不接受联合体</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投标单位的关联性（1.5）</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xml:space="preserve">在同一包内，单位负责人非同一人或者不存在直接控股、管理关系的不同投标单位。 </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未参与其他服务（1.6）</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未为本项目提供整体设计、规范编制或者项目管理、监理、检测等服务。</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未发现影响采购人决策行为（1.7）</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投标单位在招标过程中未向采购人提供、给予任何有价值的物品，影响其正常决策行为。</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满足招标范围的完整性要求（8.1）</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xml:space="preserve">投标单位对所投分包招标文件中所列的所有服务内容进行招标及报价。 </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r>
      <w:tr>
        <w:tblPrEx>
          <w:tblCellMar>
            <w:top w:w="0" w:type="dxa"/>
            <w:left w:w="108" w:type="dxa"/>
            <w:bottom w:w="0" w:type="dxa"/>
            <w:right w:w="108" w:type="dxa"/>
          </w:tblCellMar>
        </w:tblPrEx>
        <w:trPr>
          <w:trHeight w:val="228"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未包含价格调整要求</w:t>
            </w:r>
          </w:p>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（11.4）</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投标单位所报的各分项招标报价在合同履行过程中是固定不变的，不得以任何理由予以变更。</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招标保证金（12.1）</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符合招标文件要求</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招标有效期满足要求</w:t>
            </w:r>
          </w:p>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（13.1）</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自提交投标文件截止之日起60日历日内</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投标文件的签署和盖章符合要求（14.2、14.4）</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按照招标文件规定要求签署、盖章。</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7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投标文件的装订方式</w:t>
            </w:r>
          </w:p>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（14.3）</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所有投标文件采用不可拆装的胶订方式装订</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接受价格的算术修正</w:t>
            </w: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（20.2）</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投标文件报价出现前后不一致的，应按照招标文件规定的顺序修正。</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符合强制采购节能产品要求（20.3）</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本项目适用</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未发现串通投标（22.2）</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未与其他投标单位串通参加招标，或者与采购人串通参加招标。</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报价说明可以接受（22.2）</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投标单位的报价明显低于其他通过符合性审查投标单位的报价，有可能影响履约的，投标单位能按照规定证明其报价合理性。</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w:t>
            </w:r>
          </w:p>
        </w:tc>
      </w:tr>
      <w:tr>
        <w:tblPrEx>
          <w:tblCellMar>
            <w:top w:w="0" w:type="dxa"/>
            <w:left w:w="108" w:type="dxa"/>
            <w:bottom w:w="0" w:type="dxa"/>
            <w:right w:w="108" w:type="dxa"/>
          </w:tblCellMar>
        </w:tblPrEx>
        <w:trPr>
          <w:trHeight w:val="510" w:hRule="atLeast"/>
          <w:jc w:val="center"/>
        </w:trPr>
        <w:tc>
          <w:tcPr>
            <w:tcW w:w="2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无采购人不能接受的附加条件（22.2）</w:t>
            </w:r>
          </w:p>
        </w:tc>
        <w:tc>
          <w:tcPr>
            <w:tcW w:w="51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 xml:space="preserve">投标文件未含有采购人不能接受的附加条件。 </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c>
          <w:tcPr>
            <w:tcW w:w="50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c>
          <w:tcPr>
            <w:tcW w:w="4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kern w:val="2"/>
                <w:sz w:val="24"/>
                <w:szCs w:val="24"/>
                <w:lang w:val="en-US" w:eastAsia="zh-CN" w:bidi="ar-SA"/>
              </w:rPr>
            </w:pPr>
          </w:p>
        </w:tc>
      </w:tr>
      <w:tr>
        <w:tblPrEx>
          <w:tblCellMar>
            <w:top w:w="0" w:type="dxa"/>
            <w:left w:w="108" w:type="dxa"/>
            <w:bottom w:w="0" w:type="dxa"/>
            <w:right w:w="108" w:type="dxa"/>
          </w:tblCellMar>
        </w:tblPrEx>
        <w:trPr>
          <w:trHeight w:val="519" w:hRule="atLeast"/>
          <w:jc w:val="center"/>
        </w:trPr>
        <w:tc>
          <w:tcPr>
            <w:tcW w:w="76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r>
              <w:rPr>
                <w:rFonts w:hint="eastAsia" w:ascii="仿宋_GB2312" w:hAnsi="Calibri" w:eastAsia="仿宋_GB2312"/>
                <w:kern w:val="2"/>
                <w:sz w:val="24"/>
                <w:szCs w:val="24"/>
                <w:lang w:val="en-US" w:eastAsia="zh-CN" w:bidi="ar-SA"/>
              </w:rPr>
              <w:t>结论</w:t>
            </w:r>
          </w:p>
        </w:tc>
        <w:tc>
          <w:tcPr>
            <w:tcW w:w="5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p>
        </w:tc>
        <w:tc>
          <w:tcPr>
            <w:tcW w:w="5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p>
        </w:tc>
        <w:tc>
          <w:tcPr>
            <w:tcW w:w="4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kern w:val="2"/>
                <w:sz w:val="24"/>
                <w:szCs w:val="24"/>
                <w:lang w:val="en-US" w:eastAsia="zh-CN" w:bidi="ar-SA"/>
              </w:rPr>
            </w:pPr>
          </w:p>
        </w:tc>
      </w:tr>
    </w:tbl>
    <w:p>
      <w:pPr>
        <w:spacing w:line="300" w:lineRule="auto"/>
        <w:jc w:val="left"/>
        <w:outlineLvl w:val="1"/>
        <w:rPr>
          <w:rFonts w:hint="eastAsia" w:ascii="微软雅黑" w:hAnsi="微软雅黑" w:eastAsia="微软雅黑" w:cs="微软雅黑"/>
          <w:b/>
          <w:bCs/>
          <w:sz w:val="22"/>
          <w:szCs w:val="22"/>
        </w:rPr>
      </w:pPr>
      <w:bookmarkStart w:id="402" w:name="_Toc25844"/>
      <w:bookmarkStart w:id="403" w:name="_Toc19967"/>
      <w:bookmarkStart w:id="404" w:name="_Toc16172"/>
      <w:bookmarkStart w:id="405" w:name="_Toc11449"/>
      <w:bookmarkStart w:id="406" w:name="_Toc359"/>
      <w:bookmarkStart w:id="407" w:name="_Toc31737"/>
      <w:bookmarkStart w:id="408" w:name="_Toc23405"/>
    </w:p>
    <w:p>
      <w:pPr>
        <w:spacing w:line="300" w:lineRule="auto"/>
        <w:jc w:val="center"/>
        <w:outlineLvl w:val="1"/>
        <w:rPr>
          <w:rFonts w:hint="eastAsia" w:ascii="微软雅黑" w:hAnsi="微软雅黑" w:eastAsia="微软雅黑" w:cs="微软雅黑"/>
          <w:b/>
          <w:sz w:val="52"/>
          <w:szCs w:val="44"/>
        </w:rPr>
      </w:pPr>
      <w:r>
        <w:rPr>
          <w:rFonts w:hint="eastAsia" w:ascii="微软雅黑" w:hAnsi="微软雅黑" w:eastAsia="微软雅黑" w:cs="微软雅黑"/>
          <w:b/>
          <w:bCs/>
          <w:sz w:val="36"/>
          <w:szCs w:val="36"/>
        </w:rPr>
        <w:t>综合评分表</w:t>
      </w:r>
      <w:bookmarkEnd w:id="402"/>
      <w:bookmarkEnd w:id="403"/>
      <w:bookmarkEnd w:id="404"/>
      <w:bookmarkEnd w:id="405"/>
      <w:bookmarkEnd w:id="406"/>
      <w:bookmarkEnd w:id="407"/>
      <w:bookmarkEnd w:id="408"/>
    </w:p>
    <w:tbl>
      <w:tblPr>
        <w:tblStyle w:val="32"/>
        <w:tblpPr w:leftFromText="180" w:rightFromText="180" w:vertAnchor="text" w:horzAnchor="page" w:tblpXSpec="center" w:tblpY="151"/>
        <w:tblOverlap w:val="never"/>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499"/>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评分</w:t>
            </w: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因素</w:t>
            </w:r>
          </w:p>
        </w:tc>
        <w:tc>
          <w:tcPr>
            <w:tcW w:w="49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分项</w:t>
            </w:r>
          </w:p>
        </w:tc>
        <w:tc>
          <w:tcPr>
            <w:tcW w:w="8860"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评分标准 （价格30分      商务15分    技术55分）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278" w:type="dxa"/>
            <w:gridSpan w:val="3"/>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一、价格部分（30分）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投标</w:t>
            </w: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报价</w:t>
            </w:r>
          </w:p>
        </w:tc>
        <w:tc>
          <w:tcPr>
            <w:tcW w:w="49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30分</w:t>
            </w:r>
          </w:p>
        </w:tc>
        <w:tc>
          <w:tcPr>
            <w:tcW w:w="8860"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评标基准价=有效投标报价的最低值，有效投标报价等于基准值的得满分30分，投标报价得分=（评标基准价/投标报价）×价格权重×100；有效投标报价为通过初步审查的投标人报价。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278" w:type="dxa"/>
            <w:gridSpan w:val="3"/>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二、商务部分（15分）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项目负责人</w:t>
            </w:r>
          </w:p>
        </w:tc>
        <w:tc>
          <w:tcPr>
            <w:tcW w:w="499" w:type="dxa"/>
            <w:noWrap w:val="0"/>
            <w:vAlign w:val="center"/>
          </w:tcPr>
          <w:p>
            <w:pPr>
              <w:widowControl/>
              <w:jc w:val="center"/>
              <w:rPr>
                <w:rFonts w:hint="default"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4分</w:t>
            </w:r>
          </w:p>
        </w:tc>
        <w:tc>
          <w:tcPr>
            <w:tcW w:w="886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为了确保项目安装服务水平与质量配备担任项目负责人需提供项目负责人市政公用工程二级及以上建造师证及安全B</w:t>
            </w: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证并提供社保等相关资料，提</w:t>
            </w:r>
            <w:r>
              <w:rPr>
                <w:rFonts w:hint="eastAsia" w:ascii="仿宋_GB2312" w:hAnsi="Calibri" w:eastAsia="仿宋_GB2312" w:cs="Times New Roman"/>
                <w:kern w:val="2"/>
                <w:sz w:val="24"/>
                <w:szCs w:val="24"/>
                <w:lang w:val="en-US" w:eastAsia="zh-CN" w:bidi="ar-SA"/>
              </w:rPr>
              <w:t>供资料完整得4分；提供不全本项不得分。（</w:t>
            </w:r>
            <w:r>
              <w:rPr>
                <w:rFonts w:hint="eastAsia" w:ascii="仿宋_GB2312" w:hAnsi="Calibri" w:eastAsia="仿宋_GB2312" w:cs="Times New Roman"/>
                <w:kern w:val="2"/>
                <w:sz w:val="24"/>
                <w:szCs w:val="24"/>
                <w:highlight w:val="none"/>
                <w:lang w:val="en-US" w:eastAsia="zh-CN" w:bidi="ar-SA"/>
              </w:rPr>
              <w:t>附相关证明资料原件或复印件密封提交备查）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项目人员配备表</w:t>
            </w:r>
          </w:p>
        </w:tc>
        <w:tc>
          <w:tcPr>
            <w:tcW w:w="499" w:type="dxa"/>
            <w:noWrap w:val="0"/>
            <w:vAlign w:val="center"/>
          </w:tcPr>
          <w:p>
            <w:pPr>
              <w:widowControl/>
              <w:jc w:val="center"/>
              <w:rPr>
                <w:rFonts w:hint="default"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11分</w:t>
            </w:r>
          </w:p>
        </w:tc>
        <w:tc>
          <w:tcPr>
            <w:tcW w:w="886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项目组成员配备齐全(指五大员），分工明确，职责合理。根据供应商提交的拟投入项目组成员（如：技术人员、配送安装人员、司机等），项目组成员不得少于15人，且提供资料完整得11分；项目组成员8人以上且提供资料完整得7分；项目组成员5人以上且提供资料完整得4分；提供不全或不提供不得分。（提供固定劳务人员聘用合同、简历表、学历及身份证复印件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278" w:type="dxa"/>
            <w:gridSpan w:val="3"/>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二、技术部分（55分）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总体技术方案</w:t>
            </w:r>
          </w:p>
        </w:tc>
        <w:tc>
          <w:tcPr>
            <w:tcW w:w="49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20分</w:t>
            </w:r>
          </w:p>
        </w:tc>
        <w:tc>
          <w:tcPr>
            <w:tcW w:w="886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据投标人对本项目的运输、安装等技术方案的科学性、合理性、先进性等方面服务进行综合考量评定:优：方案完整合理专职人员进行管理实施、可行性强得16-20分；一般：方案完整、后续实施无明确方向一般得10-14分；差：方案不完整，可行性很差、实施计划方案杂乱，无条理性得2-5分。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质量保证措施</w:t>
            </w:r>
          </w:p>
        </w:tc>
        <w:tc>
          <w:tcPr>
            <w:tcW w:w="499" w:type="dxa"/>
            <w:noWrap w:val="0"/>
            <w:vAlign w:val="center"/>
          </w:tcPr>
          <w:p>
            <w:pPr>
              <w:widowControl/>
              <w:jc w:val="center"/>
              <w:rPr>
                <w:rFonts w:hint="default"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10分</w:t>
            </w:r>
          </w:p>
        </w:tc>
        <w:tc>
          <w:tcPr>
            <w:tcW w:w="886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为确保项目实施质量而采取的保证措施。保证措施合理、可实施性高6-10分；保证措施较合理、可实施性一般的3-5分；保证措施合理性较低、可实施性较低的1-2分；未提供的不得分。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服务</w:t>
            </w: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措施</w:t>
            </w:r>
          </w:p>
          <w:p>
            <w:pPr>
              <w:widowControl/>
              <w:jc w:val="center"/>
              <w:rPr>
                <w:rFonts w:hint="eastAsia" w:ascii="仿宋_GB2312" w:hAnsi="Calibri" w:eastAsia="仿宋_GB2312" w:cs="Times New Roman"/>
                <w:kern w:val="2"/>
                <w:sz w:val="24"/>
                <w:szCs w:val="24"/>
                <w:lang w:val="en-US" w:eastAsia="zh-CN" w:bidi="ar-SA"/>
              </w:rPr>
            </w:pPr>
          </w:p>
        </w:tc>
        <w:tc>
          <w:tcPr>
            <w:tcW w:w="499" w:type="dxa"/>
            <w:noWrap w:val="0"/>
            <w:vAlign w:val="center"/>
          </w:tcPr>
          <w:p>
            <w:pPr>
              <w:widowControl/>
              <w:jc w:val="center"/>
              <w:rPr>
                <w:rFonts w:hint="default"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8分</w:t>
            </w:r>
          </w:p>
        </w:tc>
        <w:tc>
          <w:tcPr>
            <w:tcW w:w="886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工作安排满足任务要求，进度安排合理。内部管理制度完善，服务意识强，管理水平高，对完成本项目有较好承诺，服务质量的保障措施具体、合理、可行、针对性强，能够持续提供完整、优质后续服务的进行评审，优得6-8分；良得3-5分；一般得1-2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进度保障措施</w:t>
            </w:r>
          </w:p>
        </w:tc>
        <w:tc>
          <w:tcPr>
            <w:tcW w:w="49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5分</w:t>
            </w:r>
          </w:p>
        </w:tc>
        <w:tc>
          <w:tcPr>
            <w:tcW w:w="886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为确保项目实施时间及进度而采取的保证措施，保证措施合理、可实施性高5分；保证措施合理性较低、可实施性较低的3分；保证措施不合理、不便于实施得1分；未提供的不得分。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售后</w:t>
            </w: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服务</w:t>
            </w:r>
          </w:p>
        </w:tc>
        <w:tc>
          <w:tcPr>
            <w:tcW w:w="499" w:type="dxa"/>
            <w:noWrap w:val="0"/>
            <w:vAlign w:val="center"/>
          </w:tcPr>
          <w:p>
            <w:pPr>
              <w:widowControl/>
              <w:jc w:val="center"/>
              <w:rPr>
                <w:rFonts w:hint="default"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6分</w:t>
            </w:r>
          </w:p>
        </w:tc>
        <w:tc>
          <w:tcPr>
            <w:tcW w:w="886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售后服务承诺需明确服务质量及延伸服务、合同履行完后续服务方案等内容。服务方案全面、具体可行性高的3-6分，服务方案较全面、较具体、可行性一般的2分，服务方案较不全面、不具体、可行性低的1分，无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文明</w:t>
            </w: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施工</w:t>
            </w:r>
          </w:p>
        </w:tc>
        <w:tc>
          <w:tcPr>
            <w:tcW w:w="499" w:type="dxa"/>
            <w:noWrap w:val="0"/>
            <w:vAlign w:val="center"/>
          </w:tcPr>
          <w:p>
            <w:pPr>
              <w:widowControl/>
              <w:jc w:val="center"/>
              <w:rPr>
                <w:rFonts w:hint="default"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4分</w:t>
            </w:r>
          </w:p>
        </w:tc>
        <w:tc>
          <w:tcPr>
            <w:tcW w:w="8860" w:type="dxa"/>
            <w:noWrap w:val="0"/>
            <w:vAlign w:val="center"/>
          </w:tcPr>
          <w:p>
            <w:pPr>
              <w:widowControl/>
              <w:jc w:val="left"/>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文明施工保证措施具体得当方案详细合理的施方案（包含文明施工管理目标、文明施工管理措施）。合理、可实施性高2-4分;措施合理性较低、可行性较低的1分，未提供的不得分。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19"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文件</w:t>
            </w:r>
          </w:p>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制作</w:t>
            </w:r>
          </w:p>
        </w:tc>
        <w:tc>
          <w:tcPr>
            <w:tcW w:w="499" w:type="dxa"/>
            <w:noWrap w:val="0"/>
            <w:vAlign w:val="center"/>
          </w:tcPr>
          <w:p>
            <w:pPr>
              <w:widowControl/>
              <w:jc w:val="center"/>
              <w:rPr>
                <w:rFonts w:hint="default"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2分</w:t>
            </w:r>
          </w:p>
        </w:tc>
        <w:tc>
          <w:tcPr>
            <w:tcW w:w="8860" w:type="dxa"/>
            <w:noWrap w:val="0"/>
            <w:vAlign w:val="center"/>
          </w:tcPr>
          <w:p>
            <w:pPr>
              <w:widowControl/>
              <w:jc w:val="center"/>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投标文件页码连续、目录清晰准确，评审内容便于查找得2分，否则得0分。</w:t>
            </w:r>
          </w:p>
        </w:tc>
      </w:tr>
    </w:tbl>
    <w:p>
      <w:pPr>
        <w:widowControl/>
        <w:jc w:val="center"/>
        <w:rPr>
          <w:rFonts w:hint="eastAsia" w:ascii="仿宋_GB2312" w:hAnsi="Calibri" w:eastAsia="仿宋_GB2312" w:cs="Times New Roman"/>
          <w:kern w:val="2"/>
          <w:sz w:val="24"/>
          <w:szCs w:val="24"/>
          <w:lang w:val="en-US" w:eastAsia="zh-CN" w:bidi="ar-SA"/>
        </w:rPr>
      </w:pPr>
    </w:p>
    <w:p>
      <w:pPr>
        <w:spacing w:line="240" w:lineRule="atLeast"/>
        <w:jc w:val="center"/>
        <w:rPr>
          <w:rFonts w:hint="eastAsia" w:ascii="仿宋_GB2312" w:eastAsia="仿宋_GB2312"/>
          <w:b/>
          <w:sz w:val="52"/>
          <w:szCs w:val="52"/>
        </w:rPr>
      </w:pPr>
      <w:bookmarkStart w:id="409" w:name="_Toc507399904"/>
    </w:p>
    <w:p>
      <w:pPr>
        <w:spacing w:line="240" w:lineRule="atLeast"/>
        <w:jc w:val="center"/>
        <w:rPr>
          <w:rFonts w:hint="eastAsia" w:ascii="仿宋_GB2312" w:eastAsia="仿宋_GB2312"/>
          <w:b/>
          <w:sz w:val="52"/>
          <w:szCs w:val="52"/>
        </w:rPr>
      </w:pPr>
    </w:p>
    <w:p>
      <w:pPr>
        <w:spacing w:line="240" w:lineRule="atLeast"/>
        <w:jc w:val="both"/>
        <w:rPr>
          <w:rFonts w:hint="eastAsia" w:ascii="仿宋_GB2312" w:eastAsia="仿宋_GB2312"/>
          <w:b/>
          <w:sz w:val="52"/>
          <w:szCs w:val="52"/>
        </w:rPr>
      </w:pPr>
    </w:p>
    <w:p>
      <w:pPr>
        <w:spacing w:line="240" w:lineRule="atLeast"/>
        <w:jc w:val="center"/>
        <w:rPr>
          <w:rFonts w:hint="eastAsia" w:ascii="仿宋_GB2312" w:eastAsia="仿宋_GB2312"/>
          <w:b/>
          <w:sz w:val="52"/>
          <w:szCs w:val="52"/>
        </w:rPr>
      </w:pPr>
      <w:r>
        <w:rPr>
          <w:rFonts w:hint="eastAsia" w:ascii="仿宋_GB2312" w:eastAsia="仿宋_GB2312"/>
          <w:b/>
          <w:sz w:val="52"/>
          <w:szCs w:val="52"/>
        </w:rPr>
        <w:t>喀什市景区景点道路标识牌增设及规范改造项目招标文件</w:t>
      </w:r>
    </w:p>
    <w:p>
      <w:pPr>
        <w:pStyle w:val="5"/>
        <w:ind w:left="0" w:leftChars="0" w:firstLine="0" w:firstLineChars="0"/>
        <w:rPr>
          <w:rFonts w:hint="eastAsia" w:ascii="仿宋_GB2312" w:eastAsia="仿宋_GB2312"/>
          <w:b/>
          <w:sz w:val="52"/>
        </w:rPr>
      </w:pPr>
    </w:p>
    <w:p>
      <w:pPr>
        <w:rPr>
          <w:rFonts w:hint="eastAsia"/>
        </w:rPr>
      </w:pPr>
    </w:p>
    <w:p>
      <w:pPr>
        <w:spacing w:line="240" w:lineRule="atLeast"/>
        <w:jc w:val="center"/>
        <w:rPr>
          <w:rFonts w:hint="eastAsia" w:ascii="华文中宋" w:hAnsi="华文中宋" w:eastAsia="华文中宋" w:cs="华文中宋"/>
          <w:b/>
          <w:bCs w:val="0"/>
          <w:sz w:val="32"/>
          <w:szCs w:val="32"/>
        </w:rPr>
      </w:pPr>
      <w:r>
        <w:rPr>
          <w:rFonts w:hint="eastAsia" w:ascii="华文中宋" w:hAnsi="华文中宋" w:eastAsia="华文中宋" w:cs="华文中宋"/>
          <w:b/>
          <w:bCs w:val="0"/>
          <w:sz w:val="32"/>
          <w:szCs w:val="32"/>
        </w:rPr>
        <w:t>项目编号：</w:t>
      </w:r>
      <w:r>
        <w:rPr>
          <w:rFonts w:hint="eastAsia" w:ascii="华文中宋" w:hAnsi="华文中宋" w:eastAsia="华文中宋" w:cs="华文中宋"/>
          <w:b/>
          <w:bCs w:val="0"/>
          <w:sz w:val="32"/>
          <w:szCs w:val="32"/>
          <w:lang w:eastAsia="zh-CN"/>
        </w:rPr>
        <w:t>XJAMJ-2021-030</w:t>
      </w:r>
    </w:p>
    <w:p>
      <w:pPr>
        <w:pStyle w:val="60"/>
        <w:rPr>
          <w:rFonts w:hint="eastAsia"/>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r>
        <w:rPr>
          <w:rFonts w:hint="eastAsia" w:ascii="仿宋_GB2312" w:eastAsia="仿宋_GB2312"/>
          <w:b/>
          <w:sz w:val="48"/>
          <w:szCs w:val="48"/>
        </w:rPr>
        <w:t>第三册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ascii="仿宋_GB2312" w:eastAsia="仿宋_GB2312"/>
          <w:b/>
          <w:sz w:val="52"/>
        </w:rPr>
      </w:pPr>
      <w:r>
        <w:rPr>
          <w:rFonts w:hint="eastAsia" w:ascii="仿宋_GB2312" w:eastAsia="仿宋_GB2312"/>
          <w:b/>
          <w:sz w:val="52"/>
        </w:rPr>
        <w:t xml:space="preserve">  </w:t>
      </w:r>
    </w:p>
    <w:p>
      <w:pPr>
        <w:rPr>
          <w:rFonts w:ascii="仿宋_GB2312" w:eastAsia="仿宋_GB2312"/>
        </w:rPr>
      </w:pPr>
      <w:r>
        <w:rPr>
          <w:rFonts w:ascii="仿宋_GB2312" w:eastAsia="仿宋_GB2312"/>
          <w:b/>
          <w:sz w:val="52"/>
        </w:rPr>
        <w:br w:type="page"/>
      </w:r>
    </w:p>
    <w:p>
      <w:pPr>
        <w:pStyle w:val="3"/>
        <w:numPr>
          <w:ilvl w:val="0"/>
          <w:numId w:val="0"/>
        </w:numPr>
        <w:tabs>
          <w:tab w:val="left" w:pos="0"/>
        </w:tabs>
        <w:spacing w:before="0" w:after="0" w:line="240" w:lineRule="atLeast"/>
        <w:ind w:left="-15" w:leftChars="0"/>
        <w:jc w:val="center"/>
        <w:rPr>
          <w:rFonts w:hint="eastAsia" w:ascii="仿宋_GB2312" w:eastAsia="仿宋_GB2312"/>
        </w:rPr>
      </w:pPr>
      <w:bookmarkStart w:id="410" w:name="_Toc515647833"/>
      <w:bookmarkStart w:id="411" w:name="_Toc4067"/>
      <w:bookmarkStart w:id="412" w:name="_Toc4796"/>
      <w:bookmarkStart w:id="413" w:name="_Toc6865"/>
      <w:r>
        <w:rPr>
          <w:rFonts w:hint="eastAsia" w:ascii="仿宋_GB2312" w:eastAsia="仿宋_GB2312"/>
          <w:lang w:val="en-US" w:eastAsia="zh-CN"/>
        </w:rPr>
        <w:t xml:space="preserve">第7章 </w:t>
      </w:r>
      <w:r>
        <w:rPr>
          <w:rFonts w:hint="eastAsia" w:ascii="仿宋_GB2312" w:eastAsia="仿宋_GB2312"/>
        </w:rPr>
        <w:t>政府采购合同</w:t>
      </w:r>
      <w:bookmarkEnd w:id="409"/>
      <w:bookmarkEnd w:id="410"/>
      <w:bookmarkEnd w:id="411"/>
      <w:bookmarkEnd w:id="412"/>
      <w:bookmarkEnd w:id="413"/>
      <w:bookmarkStart w:id="414" w:name="_Hlt487972895"/>
      <w:bookmarkEnd w:id="414"/>
      <w:bookmarkStart w:id="415" w:name="_Toc216513788"/>
      <w:bookmarkStart w:id="416" w:name="_Toc487900382"/>
    </w:p>
    <w:bookmarkEnd w:id="415"/>
    <w:bookmarkEnd w:id="416"/>
    <w:p>
      <w:pPr>
        <w:spacing w:line="240" w:lineRule="atLeast"/>
        <w:rPr>
          <w:rFonts w:hint="eastAsia" w:ascii="仿宋_GB2312" w:eastAsia="仿宋_GB2312"/>
          <w:b/>
          <w:kern w:val="44"/>
          <w:sz w:val="32"/>
          <w:szCs w:val="20"/>
        </w:rPr>
      </w:pPr>
    </w:p>
    <w:p>
      <w:pPr>
        <w:pStyle w:val="5"/>
        <w:spacing w:line="240" w:lineRule="atLeast"/>
        <w:ind w:left="1080" w:leftChars="257" w:hanging="540"/>
        <w:rPr>
          <w:rFonts w:hint="eastAsia" w:ascii="仿宋_GB2312" w:hAnsi="Times New Roman" w:eastAsia="仿宋_GB2312"/>
          <w:b w:val="0"/>
          <w:kern w:val="2"/>
          <w:sz w:val="24"/>
          <w:szCs w:val="24"/>
          <w:lang w:val="en-US" w:eastAsia="zh-CN" w:bidi="ar-SA"/>
        </w:rPr>
      </w:pPr>
    </w:p>
    <w:p>
      <w:pPr>
        <w:pStyle w:val="3"/>
        <w:tabs>
          <w:tab w:val="left" w:pos="0"/>
        </w:tabs>
        <w:spacing w:before="0" w:after="0" w:line="400" w:lineRule="exact"/>
        <w:rPr>
          <w:rFonts w:hint="eastAsia" w:ascii="仿宋_GB2312" w:hAnsi="Times New Roman" w:eastAsia="仿宋_GB2312"/>
          <w:b w:val="0"/>
          <w:kern w:val="2"/>
          <w:sz w:val="24"/>
          <w:szCs w:val="24"/>
          <w:lang w:val="en-US" w:eastAsia="zh-CN" w:bidi="ar-SA"/>
        </w:rPr>
      </w:pPr>
      <w:r>
        <w:rPr>
          <w:rFonts w:hint="eastAsia" w:ascii="仿宋_GB2312" w:hAnsi="Times New Roman" w:eastAsia="仿宋_GB2312"/>
          <w:b w:val="0"/>
          <w:kern w:val="2"/>
          <w:sz w:val="24"/>
          <w:szCs w:val="24"/>
          <w:lang w:val="zh-CN" w:eastAsia="zh-CN" w:bidi="ar-SA"/>
        </w:rPr>
        <w:t xml:space="preserve">  </w:t>
      </w:r>
    </w:p>
    <w:p>
      <w:pPr>
        <w:rPr>
          <w:rFonts w:ascii="宋体" w:hAnsi="宋体" w:cs="宋体"/>
        </w:rPr>
      </w:pPr>
    </w:p>
    <w:p>
      <w:pPr>
        <w:rPr>
          <w:rFonts w:ascii="宋体" w:hAnsi="宋体" w:cs="宋体"/>
        </w:rPr>
      </w:pPr>
      <w:r>
        <w:rPr>
          <w:rFonts w:hint="eastAsia" w:ascii="宋体" w:hAnsi="宋体" w:cs="宋体"/>
          <w:sz w:val="24"/>
        </w:rPr>
        <w:t xml:space="preserve">合同编号：   </w:t>
      </w:r>
      <w:r>
        <w:rPr>
          <w:rFonts w:hint="eastAsia" w:ascii="宋体" w:hAnsi="宋体" w:cs="宋体"/>
        </w:rPr>
        <w:t xml:space="preserve">        </w:t>
      </w:r>
    </w:p>
    <w:p>
      <w:pPr>
        <w:rPr>
          <w:rFonts w:ascii="宋体" w:hAnsi="宋体" w:cs="宋体"/>
        </w:rPr>
      </w:pPr>
    </w:p>
    <w:p>
      <w:pPr>
        <w:rPr>
          <w:rFonts w:ascii="宋体" w:hAnsi="宋体" w:cs="宋体"/>
        </w:rPr>
      </w:pPr>
    </w:p>
    <w:p>
      <w:pPr>
        <w:rPr>
          <w:rFonts w:ascii="宋体" w:hAnsi="宋体" w:cs="宋体"/>
        </w:rPr>
      </w:pPr>
    </w:p>
    <w:p>
      <w:pPr>
        <w:spacing w:line="500" w:lineRule="exact"/>
        <w:jc w:val="center"/>
        <w:rPr>
          <w:rFonts w:hint="eastAsia" w:ascii="仿宋_GB2312" w:hAnsi="Times New Roman" w:eastAsia="仿宋_GB2312" w:cs="Times New Roman"/>
          <w:b/>
          <w:bCs/>
          <w:kern w:val="2"/>
          <w:sz w:val="40"/>
          <w:szCs w:val="40"/>
          <w:lang w:val="en-US" w:eastAsia="zh-CN" w:bidi="ar-SA"/>
        </w:rPr>
      </w:pPr>
      <w:r>
        <w:rPr>
          <w:rFonts w:hint="eastAsia" w:ascii="仿宋_GB2312" w:hAnsi="Times New Roman" w:eastAsia="仿宋_GB2312" w:cs="Times New Roman"/>
          <w:b/>
          <w:bCs/>
          <w:kern w:val="2"/>
          <w:sz w:val="40"/>
          <w:szCs w:val="40"/>
          <w:lang w:val="en-US" w:eastAsia="zh-CN" w:bidi="ar-SA"/>
        </w:rPr>
        <w:t>政府采购合同参考范本</w:t>
      </w:r>
    </w:p>
    <w:p>
      <w:pPr>
        <w:spacing w:line="500" w:lineRule="exact"/>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（货物类）</w:t>
      </w:r>
    </w:p>
    <w:p>
      <w:pPr>
        <w:rPr>
          <w:rFonts w:ascii="宋体" w:hAnsi="宋体" w:cs="宋体"/>
        </w:rPr>
      </w:pPr>
    </w:p>
    <w:p>
      <w:pPr>
        <w:rPr>
          <w:rFonts w:ascii="宋体" w:hAnsi="宋体" w:cs="宋体"/>
        </w:rPr>
      </w:pPr>
    </w:p>
    <w:p>
      <w:pPr>
        <w:pStyle w:val="67"/>
        <w:spacing w:line="360" w:lineRule="exact"/>
        <w:ind w:firstLine="0"/>
        <w:jc w:val="center"/>
        <w:rPr>
          <w:rFonts w:hAnsi="宋体" w:cs="宋体"/>
          <w:b/>
          <w:color w:val="000000"/>
          <w:szCs w:val="24"/>
        </w:rPr>
      </w:pPr>
      <w:r>
        <w:rPr>
          <w:rFonts w:hint="eastAsia" w:hAnsi="宋体" w:cs="宋体"/>
          <w:b/>
          <w:color w:val="000000"/>
          <w:szCs w:val="24"/>
        </w:rPr>
        <w:t>第一部分 合同书</w:t>
      </w:r>
    </w:p>
    <w:p>
      <w:pPr>
        <w:rPr>
          <w:rFonts w:ascii="宋体" w:hAnsi="宋体" w:cs="宋体"/>
        </w:rPr>
      </w:pPr>
    </w:p>
    <w:p>
      <w:pPr>
        <w:spacing w:before="120" w:line="360" w:lineRule="exact"/>
        <w:ind w:left="960"/>
        <w:rPr>
          <w:rFonts w:ascii="宋体" w:hAnsi="宋体" w:cs="宋体"/>
          <w:color w:val="000000"/>
          <w:sz w:val="24"/>
        </w:rPr>
      </w:pPr>
      <w:r>
        <w:rPr>
          <w:rFonts w:hint="eastAsia" w:ascii="仿宋_GB2312" w:hAnsi="Calibri" w:eastAsia="仿宋_GB2312" w:cs="Times New Roman"/>
          <w:kern w:val="2"/>
          <w:sz w:val="24"/>
          <w:szCs w:val="24"/>
          <w:lang w:val="en-US" w:eastAsia="zh-CN" w:bidi="ar-SA"/>
        </w:rPr>
        <w:t xml:space="preserve">项目名称： </w:t>
      </w:r>
      <w:r>
        <w:rPr>
          <w:rFonts w:hint="eastAsia" w:ascii="宋体" w:hAnsi="宋体" w:cs="宋体"/>
          <w:color w:val="000000"/>
          <w:sz w:val="24"/>
          <w:u w:val="single"/>
        </w:rPr>
        <w:t xml:space="preserve">                                  </w:t>
      </w:r>
    </w:p>
    <w:p>
      <w:pPr>
        <w:pStyle w:val="78"/>
        <w:spacing w:before="120" w:line="360" w:lineRule="exact"/>
        <w:rPr>
          <w:rFonts w:ascii="宋体" w:hAnsi="宋体" w:eastAsia="宋体" w:cs="宋体"/>
          <w:color w:val="000000"/>
          <w:szCs w:val="24"/>
        </w:rPr>
      </w:pPr>
    </w:p>
    <w:p>
      <w:pPr>
        <w:pStyle w:val="78"/>
        <w:spacing w:before="120" w:line="360" w:lineRule="exact"/>
        <w:rPr>
          <w:rFonts w:ascii="宋体" w:hAnsi="宋体" w:eastAsia="宋体" w:cs="宋体"/>
          <w:color w:val="000000"/>
          <w:szCs w:val="24"/>
        </w:rPr>
      </w:pPr>
    </w:p>
    <w:p>
      <w:pPr>
        <w:spacing w:line="360" w:lineRule="exact"/>
        <w:rPr>
          <w:rFonts w:ascii="宋体" w:hAnsi="宋体" w:cs="宋体"/>
          <w:color w:val="000000"/>
        </w:rPr>
      </w:pPr>
    </w:p>
    <w:p>
      <w:pPr>
        <w:spacing w:before="120" w:line="360" w:lineRule="exact"/>
        <w:ind w:left="960"/>
        <w:rPr>
          <w:rFonts w:ascii="宋体" w:hAnsi="宋体" w:cs="宋体"/>
          <w:color w:val="000000"/>
          <w:sz w:val="24"/>
          <w:u w:val="single"/>
        </w:rPr>
      </w:pPr>
      <w:r>
        <w:rPr>
          <w:rFonts w:hint="eastAsia" w:ascii="仿宋_GB2312" w:hAnsi="Calibri" w:eastAsia="仿宋_GB2312" w:cs="Times New Roman"/>
          <w:kern w:val="2"/>
          <w:sz w:val="24"/>
          <w:szCs w:val="24"/>
          <w:lang w:val="en-US" w:eastAsia="zh-CN" w:bidi="ar-SA"/>
        </w:rPr>
        <w:t>甲方</w:t>
      </w:r>
      <w:r>
        <w:rPr>
          <w:rFonts w:hint="eastAsia" w:ascii="宋体" w:hAnsi="宋体" w:cs="宋体"/>
          <w:color w:val="000000"/>
          <w:sz w:val="24"/>
        </w:rPr>
        <w:t>：</w:t>
      </w:r>
      <w:r>
        <w:rPr>
          <w:rFonts w:hint="eastAsia" w:ascii="宋体" w:hAnsi="宋体" w:cs="宋体"/>
          <w:color w:val="000000"/>
          <w:sz w:val="24"/>
          <w:u w:val="single"/>
        </w:rPr>
        <w:t xml:space="preserve">                                       </w:t>
      </w:r>
    </w:p>
    <w:p>
      <w:pPr>
        <w:spacing w:before="120" w:line="360" w:lineRule="exact"/>
        <w:rPr>
          <w:rFonts w:ascii="宋体" w:hAnsi="宋体" w:cs="宋体"/>
          <w:color w:val="000000"/>
          <w:sz w:val="24"/>
        </w:rPr>
      </w:pPr>
    </w:p>
    <w:p>
      <w:pPr>
        <w:spacing w:before="120" w:line="360" w:lineRule="exact"/>
        <w:ind w:left="960"/>
        <w:rPr>
          <w:rFonts w:ascii="宋体" w:hAnsi="宋体" w:cs="宋体"/>
          <w:color w:val="000000"/>
          <w:sz w:val="24"/>
          <w:u w:val="single"/>
        </w:rPr>
      </w:pPr>
      <w:r>
        <w:rPr>
          <w:rFonts w:hint="eastAsia" w:ascii="仿宋_GB2312" w:hAnsi="Calibri" w:eastAsia="仿宋_GB2312" w:cs="Times New Roman"/>
          <w:kern w:val="2"/>
          <w:sz w:val="24"/>
          <w:szCs w:val="24"/>
          <w:lang w:val="en-US" w:eastAsia="zh-CN" w:bidi="ar-SA"/>
        </w:rPr>
        <w:t>乙方</w:t>
      </w:r>
      <w:r>
        <w:rPr>
          <w:rFonts w:hint="eastAsia" w:ascii="宋体" w:hAnsi="宋体" w:cs="宋体"/>
          <w:color w:val="000000"/>
          <w:sz w:val="24"/>
        </w:rPr>
        <w:t>：</w:t>
      </w:r>
      <w:r>
        <w:rPr>
          <w:rFonts w:hint="eastAsia" w:ascii="宋体" w:hAnsi="宋体" w:cs="宋体"/>
          <w:color w:val="000000"/>
          <w:sz w:val="24"/>
          <w:u w:val="single"/>
        </w:rPr>
        <w:t xml:space="preserve">                                       </w:t>
      </w:r>
    </w:p>
    <w:p>
      <w:pPr>
        <w:spacing w:before="120" w:line="360" w:lineRule="exact"/>
        <w:rPr>
          <w:rFonts w:ascii="宋体" w:hAnsi="宋体" w:cs="宋体"/>
          <w:color w:val="000000"/>
          <w:sz w:val="24"/>
        </w:rPr>
      </w:pPr>
    </w:p>
    <w:p>
      <w:pPr>
        <w:spacing w:before="120" w:line="360" w:lineRule="exact"/>
        <w:ind w:firstLine="960" w:firstLineChars="400"/>
        <w:rPr>
          <w:rFonts w:ascii="宋体" w:hAnsi="宋体" w:cs="宋体"/>
          <w:color w:val="000000"/>
          <w:sz w:val="24"/>
          <w:u w:val="single"/>
        </w:rPr>
      </w:pPr>
      <w:r>
        <w:rPr>
          <w:rFonts w:hint="eastAsia" w:ascii="仿宋_GB2312" w:hAnsi="Calibri" w:eastAsia="仿宋_GB2312" w:cs="Times New Roman"/>
          <w:kern w:val="2"/>
          <w:sz w:val="24"/>
          <w:szCs w:val="24"/>
          <w:lang w:val="en-US" w:eastAsia="zh-CN" w:bidi="ar-SA"/>
        </w:rPr>
        <w:t>签订地</w:t>
      </w:r>
      <w:r>
        <w:rPr>
          <w:rFonts w:hint="eastAsia" w:ascii="宋体" w:hAnsi="宋体" w:cs="宋体"/>
          <w:color w:val="000000"/>
          <w:sz w:val="24"/>
        </w:rPr>
        <w:t>：</w:t>
      </w:r>
      <w:r>
        <w:rPr>
          <w:rFonts w:hint="eastAsia" w:ascii="宋体" w:hAnsi="宋体" w:cs="宋体"/>
          <w:color w:val="000000"/>
          <w:sz w:val="24"/>
          <w:u w:val="single"/>
        </w:rPr>
        <w:t xml:space="preserve">                                     </w:t>
      </w:r>
    </w:p>
    <w:p>
      <w:pPr>
        <w:spacing w:before="120" w:line="360" w:lineRule="exact"/>
        <w:rPr>
          <w:rFonts w:ascii="宋体" w:hAnsi="宋体" w:cs="宋体"/>
          <w:color w:val="000000"/>
          <w:sz w:val="24"/>
        </w:rPr>
      </w:pPr>
    </w:p>
    <w:p>
      <w:pPr>
        <w:spacing w:before="120" w:line="360" w:lineRule="exact"/>
        <w:ind w:firstLine="960" w:firstLineChars="400"/>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签订日期</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仿宋_GB2312" w:hAnsi="Calibri" w:eastAsia="仿宋_GB2312" w:cs="Times New Roman"/>
          <w:kern w:val="2"/>
          <w:sz w:val="24"/>
          <w:szCs w:val="24"/>
          <w:lang w:val="en-US" w:eastAsia="zh-CN" w:bidi="ar-SA"/>
        </w:rPr>
        <w:t>年</w:t>
      </w:r>
      <w:r>
        <w:rPr>
          <w:rFonts w:hint="eastAsia" w:ascii="宋体" w:hAnsi="宋体" w:cs="宋体"/>
          <w:color w:val="000000"/>
          <w:sz w:val="24"/>
          <w:u w:val="single"/>
        </w:rPr>
        <w:t xml:space="preserve">       </w:t>
      </w:r>
      <w:r>
        <w:rPr>
          <w:rFonts w:hint="eastAsia" w:ascii="仿宋_GB2312" w:hAnsi="Calibri" w:eastAsia="仿宋_GB2312" w:cs="Times New Roman"/>
          <w:kern w:val="2"/>
          <w:sz w:val="24"/>
          <w:szCs w:val="24"/>
          <w:lang w:val="en-US" w:eastAsia="zh-CN" w:bidi="ar-SA"/>
        </w:rPr>
        <w:t xml:space="preserve">月 </w:t>
      </w:r>
      <w:r>
        <w:rPr>
          <w:rFonts w:hint="eastAsia" w:ascii="宋体" w:hAnsi="宋体" w:cs="宋体"/>
          <w:color w:val="000000"/>
          <w:sz w:val="24"/>
          <w:u w:val="single"/>
        </w:rPr>
        <w:t xml:space="preserve">      </w:t>
      </w:r>
      <w:r>
        <w:rPr>
          <w:rFonts w:hint="eastAsia" w:ascii="仿宋_GB2312" w:hAnsi="Calibri" w:eastAsia="仿宋_GB2312" w:cs="Times New Roman"/>
          <w:kern w:val="2"/>
          <w:sz w:val="24"/>
          <w:szCs w:val="24"/>
          <w:lang w:val="en-US" w:eastAsia="zh-CN" w:bidi="ar-SA"/>
        </w:rPr>
        <w:t>日</w:t>
      </w:r>
    </w:p>
    <w:p>
      <w:pPr>
        <w:autoSpaceDE w:val="0"/>
        <w:autoSpaceDN w:val="0"/>
        <w:adjustRightInd w:val="0"/>
        <w:spacing w:line="360" w:lineRule="exact"/>
        <w:ind w:firstLine="640"/>
        <w:jc w:val="center"/>
        <w:rPr>
          <w:rFonts w:ascii="宋体" w:hAnsi="宋体" w:cs="宋体"/>
          <w:color w:val="000000"/>
          <w:sz w:val="24"/>
        </w:rPr>
        <w:sectPr>
          <w:footerReference r:id="rId9" w:type="default"/>
          <w:pgSz w:w="11907" w:h="16840"/>
          <w:pgMar w:top="1474" w:right="1814" w:bottom="1474" w:left="1814" w:header="851" w:footer="851" w:gutter="0"/>
          <w:cols w:space="720" w:num="1"/>
          <w:docGrid w:linePitch="462" w:charSpace="0"/>
        </w:sectPr>
      </w:pPr>
    </w:p>
    <w:p>
      <w:pPr>
        <w:spacing w:line="360" w:lineRule="exact"/>
        <w:ind w:firstLine="480" w:firstLineChars="200"/>
        <w:rPr>
          <w:rFonts w:hint="eastAsia" w:ascii="仿宋_GB2312" w:hAnsi="Calibri" w:eastAsia="仿宋_GB2312" w:cs="Times New Roman"/>
          <w:kern w:val="2"/>
          <w:sz w:val="24"/>
          <w:szCs w:val="24"/>
          <w:lang w:val="zh-CN" w:eastAsia="zh-CN" w:bidi="ar-SA"/>
        </w:rPr>
      </w:pPr>
      <w:bookmarkStart w:id="417" w:name="_Toc3029"/>
      <w:bookmarkStart w:id="418" w:name="_Toc2659"/>
      <w:bookmarkStart w:id="419" w:name="_Toc26721"/>
      <w:bookmarkStart w:id="420" w:name="_Toc2232"/>
      <w:bookmarkStart w:id="421" w:name="_Toc1846"/>
      <w:bookmarkStart w:id="422" w:name="_Toc24059"/>
      <w:r>
        <w:rPr>
          <w:rFonts w:hint="eastAsia" w:ascii="宋体" w:hAnsi="宋体" w:cs="宋体"/>
          <w:color w:val="000000"/>
          <w:sz w:val="24"/>
          <w:u w:val="single"/>
          <w:lang w:val="zh-CN"/>
        </w:rPr>
        <w:t xml:space="preserve"> </w:t>
      </w:r>
      <w:r>
        <w:rPr>
          <w:rFonts w:hint="eastAsia" w:ascii="宋体" w:hAnsi="宋体" w:eastAsia="宋体" w:cs="宋体"/>
          <w:color w:val="000000"/>
          <w:sz w:val="24"/>
          <w:lang w:val="zh-CN"/>
        </w:rPr>
        <w:t xml:space="preserve">   </w:t>
      </w:r>
      <w:r>
        <w:rPr>
          <w:rFonts w:hint="eastAsia" w:ascii="仿宋_GB2312" w:hAnsi="Calibri" w:eastAsia="仿宋_GB2312" w:cs="Times New Roman"/>
          <w:kern w:val="2"/>
          <w:sz w:val="24"/>
          <w:szCs w:val="24"/>
          <w:lang w:val="zh-CN" w:eastAsia="zh-CN" w:bidi="ar-SA"/>
        </w:rPr>
        <w:t xml:space="preserve">    年    月  </w:t>
      </w:r>
      <w:r>
        <w:rPr>
          <w:rFonts w:hint="eastAsia" w:ascii="宋体" w:hAnsi="宋体" w:eastAsia="宋体" w:cs="宋体"/>
          <w:color w:val="000000"/>
          <w:sz w:val="24"/>
          <w:lang w:val="zh-CN"/>
        </w:rPr>
        <w:t xml:space="preserve"> </w:t>
      </w:r>
      <w:r>
        <w:rPr>
          <w:rFonts w:hint="eastAsia" w:ascii="仿宋_GB2312" w:hAnsi="Calibri" w:eastAsia="仿宋_GB2312" w:cs="Times New Roman"/>
          <w:kern w:val="2"/>
          <w:sz w:val="24"/>
          <w:szCs w:val="24"/>
          <w:lang w:val="zh-CN" w:eastAsia="zh-CN" w:bidi="ar-SA"/>
        </w:rPr>
        <w:t xml:space="preserve"> 日，   （采购人名称）   以   （政府采购方式） </w:t>
      </w:r>
      <w:r>
        <w:rPr>
          <w:rFonts w:hint="eastAsia" w:ascii="宋体" w:hAnsi="宋体" w:eastAsia="宋体" w:cs="宋体"/>
          <w:color w:val="000000"/>
          <w:sz w:val="24"/>
        </w:rPr>
        <w:t xml:space="preserve"> </w:t>
      </w:r>
      <w:r>
        <w:rPr>
          <w:rFonts w:hint="eastAsia" w:ascii="仿宋_GB2312" w:hAnsi="Calibri" w:eastAsia="仿宋_GB2312" w:cs="Times New Roman"/>
          <w:kern w:val="2"/>
          <w:sz w:val="24"/>
          <w:szCs w:val="24"/>
          <w:lang w:val="zh-CN" w:eastAsia="zh-CN" w:bidi="ar-SA"/>
        </w:rPr>
        <w:t>对   （同前页项目名称）   项目进行了采购。经   （相关评定主体名称）   评定，   （中标供应商名称）为该项目中标供应商。现于中标通知书发出之日起三十日内，按照采购文件确定的事项签订本合同。</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根据《中华人民共和国合同法》、《中华人民共和国政府采购法》等相关法律法规之规定，按照平等、自愿、公平和诚实信用的原则，经   （采购人名称）   (以下简称：甲方)和   （中标供应商名称）   (以下简称：乙方)协商一致，约定以下合同条款，以兹共同遵守、全面履行。</w:t>
      </w:r>
    </w:p>
    <w:bookmarkEnd w:id="417"/>
    <w:bookmarkEnd w:id="418"/>
    <w:bookmarkEnd w:id="419"/>
    <w:bookmarkEnd w:id="420"/>
    <w:bookmarkEnd w:id="421"/>
    <w:bookmarkEnd w:id="422"/>
    <w:p>
      <w:pPr>
        <w:spacing w:line="360" w:lineRule="exact"/>
        <w:ind w:firstLine="482" w:firstLineChars="200"/>
        <w:outlineLvl w:val="0"/>
        <w:rPr>
          <w:rFonts w:ascii="宋体" w:hAnsi="宋体" w:cs="宋体"/>
          <w:b/>
          <w:color w:val="000000"/>
          <w:sz w:val="24"/>
        </w:rPr>
      </w:pPr>
      <w:bookmarkStart w:id="423" w:name="_Toc5347"/>
      <w:bookmarkStart w:id="424" w:name="_Toc14020"/>
      <w:bookmarkStart w:id="425" w:name="_Toc1657"/>
      <w:bookmarkStart w:id="426" w:name="_Toc7767"/>
      <w:bookmarkStart w:id="427" w:name="_Toc13635"/>
      <w:r>
        <w:rPr>
          <w:rFonts w:hint="eastAsia" w:ascii="宋体" w:hAnsi="宋体" w:cs="宋体"/>
          <w:b/>
          <w:color w:val="000000"/>
          <w:sz w:val="24"/>
        </w:rPr>
        <w:t>1.1 合同组成部分</w:t>
      </w:r>
      <w:bookmarkEnd w:id="423"/>
      <w:bookmarkEnd w:id="424"/>
      <w:bookmarkEnd w:id="425"/>
      <w:bookmarkEnd w:id="426"/>
      <w:bookmarkEnd w:id="427"/>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1.1.1 本合同及其补充合同、变更协议；</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1.1.2 中标通知书；</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1.1.3 投标文件（含澄清或者说明文件）；</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1.1.4 招标文件（含澄清或者修改文件）；</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1.1.5 其他相关采购文件。</w:t>
      </w:r>
    </w:p>
    <w:p>
      <w:pPr>
        <w:spacing w:line="360" w:lineRule="exact"/>
        <w:ind w:firstLine="482" w:firstLineChars="200"/>
        <w:outlineLvl w:val="0"/>
        <w:rPr>
          <w:rFonts w:ascii="宋体" w:hAnsi="宋体" w:cs="宋体"/>
          <w:b/>
          <w:color w:val="000000"/>
          <w:sz w:val="24"/>
        </w:rPr>
      </w:pPr>
      <w:bookmarkStart w:id="428" w:name="_Toc11718"/>
      <w:bookmarkStart w:id="429" w:name="_Toc24300"/>
      <w:bookmarkStart w:id="430" w:name="_Toc21295"/>
      <w:bookmarkStart w:id="431" w:name="_Toc11260"/>
      <w:bookmarkStart w:id="432" w:name="_Toc2800"/>
      <w:bookmarkStart w:id="433" w:name="_Toc31497"/>
      <w:bookmarkStart w:id="434" w:name="_Toc14235"/>
      <w:bookmarkStart w:id="435" w:name="_Toc11545"/>
      <w:bookmarkStart w:id="436" w:name="_Toc13138"/>
      <w:bookmarkStart w:id="437" w:name="_Toc27126"/>
      <w:r>
        <w:rPr>
          <w:rFonts w:hint="eastAsia" w:ascii="宋体" w:hAnsi="宋体" w:cs="宋体"/>
          <w:b/>
          <w:color w:val="000000"/>
          <w:sz w:val="24"/>
        </w:rPr>
        <w:t>1.2 货物</w:t>
      </w:r>
      <w:bookmarkEnd w:id="428"/>
      <w:bookmarkEnd w:id="429"/>
      <w:bookmarkEnd w:id="430"/>
      <w:bookmarkEnd w:id="431"/>
      <w:bookmarkEnd w:id="432"/>
      <w:bookmarkEnd w:id="433"/>
      <w:bookmarkEnd w:id="434"/>
      <w:bookmarkEnd w:id="435"/>
      <w:bookmarkEnd w:id="436"/>
      <w:bookmarkEnd w:id="437"/>
    </w:p>
    <w:p>
      <w:pPr>
        <w:spacing w:line="360" w:lineRule="exact"/>
        <w:ind w:firstLine="480" w:firstLineChars="200"/>
        <w:rPr>
          <w:rFonts w:ascii="宋体" w:hAnsi="宋体" w:cs="宋体"/>
          <w:color w:val="000000"/>
          <w:sz w:val="24"/>
          <w:u w:val="single"/>
        </w:rPr>
      </w:pPr>
      <w:r>
        <w:rPr>
          <w:rFonts w:hint="eastAsia" w:ascii="仿宋_GB2312" w:hAnsi="Calibri" w:eastAsia="仿宋_GB2312" w:cs="Times New Roman"/>
          <w:kern w:val="2"/>
          <w:sz w:val="24"/>
          <w:szCs w:val="24"/>
          <w:lang w:val="zh-CN" w:eastAsia="zh-CN" w:bidi="ar-SA"/>
        </w:rPr>
        <w:t>1.2.1 货物名称：</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exact"/>
        <w:ind w:firstLine="480" w:firstLineChars="200"/>
        <w:rPr>
          <w:rFonts w:ascii="宋体" w:hAnsi="宋体" w:cs="宋体"/>
          <w:color w:val="000000"/>
          <w:sz w:val="24"/>
          <w:u w:val="single"/>
        </w:rPr>
      </w:pPr>
      <w:r>
        <w:rPr>
          <w:rFonts w:hint="eastAsia" w:ascii="仿宋_GB2312" w:hAnsi="Calibri" w:eastAsia="仿宋_GB2312" w:cs="Times New Roman"/>
          <w:kern w:val="2"/>
          <w:sz w:val="24"/>
          <w:szCs w:val="24"/>
          <w:lang w:val="zh-CN" w:eastAsia="zh-CN" w:bidi="ar-SA"/>
        </w:rPr>
        <w:t>1.2.2 货物数量：</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exact"/>
        <w:ind w:firstLine="480" w:firstLineChars="200"/>
        <w:rPr>
          <w:rFonts w:ascii="宋体" w:hAnsi="宋体" w:cs="宋体"/>
          <w:color w:val="000000"/>
          <w:sz w:val="24"/>
        </w:rPr>
      </w:pPr>
      <w:r>
        <w:rPr>
          <w:rFonts w:hint="eastAsia" w:ascii="仿宋_GB2312" w:hAnsi="Calibri" w:eastAsia="仿宋_GB2312" w:cs="Times New Roman"/>
          <w:kern w:val="2"/>
          <w:sz w:val="24"/>
          <w:szCs w:val="24"/>
          <w:lang w:val="zh-CN" w:eastAsia="zh-CN" w:bidi="ar-SA"/>
        </w:rPr>
        <w:t>1.2.3 货物质量：</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exact"/>
        <w:ind w:firstLine="482" w:firstLineChars="200"/>
        <w:outlineLvl w:val="0"/>
        <w:rPr>
          <w:rFonts w:ascii="宋体" w:hAnsi="宋体" w:cs="宋体"/>
          <w:b/>
          <w:color w:val="000000"/>
          <w:sz w:val="24"/>
        </w:rPr>
      </w:pPr>
      <w:bookmarkStart w:id="438" w:name="_Toc23991"/>
      <w:bookmarkStart w:id="439" w:name="_Toc12266"/>
      <w:bookmarkStart w:id="440" w:name="_Toc1267"/>
      <w:bookmarkStart w:id="441" w:name="_Toc21631"/>
      <w:bookmarkStart w:id="442" w:name="_Toc10805"/>
      <w:bookmarkStart w:id="443" w:name="_Toc346"/>
      <w:bookmarkStart w:id="444" w:name="_Toc12390"/>
      <w:bookmarkStart w:id="445" w:name="_Toc23292"/>
      <w:bookmarkStart w:id="446" w:name="_Toc21551"/>
      <w:bookmarkStart w:id="447" w:name="_Toc7480"/>
      <w:bookmarkStart w:id="448" w:name="_Toc11045"/>
      <w:r>
        <w:rPr>
          <w:rFonts w:hint="eastAsia" w:ascii="宋体" w:hAnsi="宋体" w:cs="宋体"/>
          <w:b/>
          <w:color w:val="000000"/>
          <w:sz w:val="24"/>
        </w:rPr>
        <w:t>1.3 价款</w:t>
      </w:r>
      <w:bookmarkEnd w:id="438"/>
      <w:bookmarkEnd w:id="439"/>
      <w:bookmarkEnd w:id="440"/>
      <w:bookmarkEnd w:id="441"/>
      <w:bookmarkEnd w:id="442"/>
      <w:bookmarkEnd w:id="443"/>
      <w:bookmarkEnd w:id="444"/>
      <w:bookmarkEnd w:id="445"/>
      <w:bookmarkEnd w:id="446"/>
      <w:bookmarkEnd w:id="447"/>
      <w:bookmarkEnd w:id="448"/>
    </w:p>
    <w:p>
      <w:pPr>
        <w:spacing w:line="360" w:lineRule="exact"/>
        <w:ind w:firstLine="480" w:firstLineChars="200"/>
        <w:rPr>
          <w:rFonts w:ascii="宋体" w:hAnsi="宋体" w:cs="宋体"/>
          <w:color w:val="000000"/>
          <w:sz w:val="24"/>
        </w:rPr>
      </w:pPr>
      <w:r>
        <w:rPr>
          <w:rFonts w:hint="eastAsia" w:ascii="仿宋_GB2312" w:hAnsi="Calibri" w:eastAsia="仿宋_GB2312" w:cs="Times New Roman"/>
          <w:kern w:val="2"/>
          <w:sz w:val="24"/>
          <w:szCs w:val="24"/>
          <w:lang w:val="zh-CN" w:eastAsia="zh-CN" w:bidi="ar-SA"/>
        </w:rPr>
        <w:t>本合同总价为：</w:t>
      </w:r>
      <w:r>
        <w:rPr>
          <w:rFonts w:hint="default" w:ascii="Arial" w:hAnsi="Arial" w:cs="Arial"/>
          <w:color w:val="000000"/>
          <w:sz w:val="24"/>
        </w:rPr>
        <w:t>¥</w:t>
      </w:r>
      <w:r>
        <w:rPr>
          <w:rFonts w:hint="eastAsia" w:ascii="宋体" w:hAnsi="宋体" w:cs="宋体"/>
          <w:color w:val="000000"/>
          <w:sz w:val="24"/>
          <w:u w:val="single"/>
        </w:rPr>
        <w:t xml:space="preserve">           </w:t>
      </w:r>
      <w:r>
        <w:rPr>
          <w:rFonts w:hint="eastAsia" w:ascii="仿宋_GB2312" w:hAnsi="Calibri" w:eastAsia="仿宋_GB2312" w:cs="Times New Roman"/>
          <w:kern w:val="2"/>
          <w:sz w:val="24"/>
          <w:szCs w:val="24"/>
          <w:lang w:val="zh-CN" w:eastAsia="zh-CN" w:bidi="ar-SA"/>
        </w:rPr>
        <w:t>元</w:t>
      </w:r>
      <w:r>
        <w:rPr>
          <w:rFonts w:hint="eastAsia" w:ascii="宋体" w:hAnsi="宋体" w:cs="宋体"/>
          <w:color w:val="000000"/>
          <w:sz w:val="24"/>
        </w:rPr>
        <w:t>（</w:t>
      </w:r>
      <w:r>
        <w:rPr>
          <w:rFonts w:hint="eastAsia" w:ascii="仿宋_GB2312" w:hAnsi="Calibri" w:eastAsia="仿宋_GB2312" w:cs="Times New Roman"/>
          <w:kern w:val="2"/>
          <w:sz w:val="24"/>
          <w:szCs w:val="24"/>
          <w:lang w:val="zh-CN" w:eastAsia="zh-CN" w:bidi="ar-SA"/>
        </w:rPr>
        <w:t>大写</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仿宋_GB2312" w:hAnsi="Calibri" w:eastAsia="仿宋_GB2312" w:cs="Times New Roman"/>
          <w:kern w:val="2"/>
          <w:sz w:val="24"/>
          <w:szCs w:val="24"/>
          <w:lang w:val="zh-CN" w:eastAsia="zh-CN" w:bidi="ar-SA"/>
        </w:rPr>
        <w:t>元人民币）</w:t>
      </w:r>
      <w:r>
        <w:rPr>
          <w:rFonts w:hint="eastAsia" w:ascii="宋体" w:hAnsi="宋体" w:cs="宋体"/>
          <w:color w:val="000000"/>
          <w:sz w:val="24"/>
        </w:rPr>
        <w:t>。</w:t>
      </w:r>
    </w:p>
    <w:p>
      <w:pPr>
        <w:spacing w:line="360" w:lineRule="exact"/>
        <w:ind w:firstLine="480" w:firstLineChars="200"/>
        <w:rPr>
          <w:rFonts w:ascii="宋体" w:hAnsi="宋体" w:cs="宋体"/>
          <w:color w:val="000000"/>
          <w:sz w:val="24"/>
          <w:u w:val="single"/>
        </w:rPr>
      </w:pPr>
      <w:r>
        <w:rPr>
          <w:rFonts w:hint="eastAsia" w:ascii="仿宋_GB2312" w:hAnsi="Calibri" w:eastAsia="仿宋_GB2312" w:cs="Times New Roman"/>
          <w:kern w:val="2"/>
          <w:sz w:val="24"/>
          <w:szCs w:val="24"/>
          <w:lang w:val="zh-CN" w:eastAsia="zh-CN" w:bidi="ar-SA"/>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69"/>
              <w:spacing w:line="360" w:lineRule="exact"/>
              <w:jc w:val="center"/>
              <w:rPr>
                <w:rFonts w:hAnsi="宋体" w:cs="宋体"/>
                <w:color w:val="000000"/>
                <w:kern w:val="2"/>
                <w:sz w:val="24"/>
                <w:szCs w:val="24"/>
              </w:rPr>
            </w:pPr>
            <w:r>
              <w:rPr>
                <w:rFonts w:hint="eastAsia" w:ascii="仿宋_GB2312" w:hAnsi="Calibri" w:eastAsia="仿宋_GB2312" w:cs="Times New Roman"/>
                <w:kern w:val="2"/>
                <w:sz w:val="24"/>
                <w:szCs w:val="24"/>
                <w:lang w:val="zh-CN" w:eastAsia="zh-CN" w:bidi="ar-SA"/>
              </w:rPr>
              <w:t>序号</w:t>
            </w:r>
          </w:p>
        </w:tc>
        <w:tc>
          <w:tcPr>
            <w:tcW w:w="3738" w:type="dxa"/>
            <w:noWrap w:val="0"/>
            <w:vAlign w:val="center"/>
          </w:tcPr>
          <w:p>
            <w:pPr>
              <w:pStyle w:val="69"/>
              <w:spacing w:line="360" w:lineRule="exact"/>
              <w:ind w:firstLine="200"/>
              <w:jc w:val="center"/>
              <w:rPr>
                <w:rFonts w:hAnsi="宋体" w:cs="宋体"/>
                <w:color w:val="000000"/>
                <w:kern w:val="2"/>
                <w:sz w:val="24"/>
                <w:szCs w:val="24"/>
              </w:rPr>
            </w:pPr>
            <w:r>
              <w:rPr>
                <w:rFonts w:hint="eastAsia" w:ascii="仿宋_GB2312" w:hAnsi="Calibri" w:eastAsia="仿宋_GB2312" w:cs="Times New Roman"/>
                <w:kern w:val="2"/>
                <w:sz w:val="24"/>
                <w:szCs w:val="24"/>
                <w:lang w:val="zh-CN" w:eastAsia="zh-CN" w:bidi="ar-SA"/>
              </w:rPr>
              <w:t>分项名称</w:t>
            </w:r>
          </w:p>
        </w:tc>
        <w:tc>
          <w:tcPr>
            <w:tcW w:w="2803" w:type="dxa"/>
            <w:noWrap w:val="0"/>
            <w:vAlign w:val="center"/>
          </w:tcPr>
          <w:p>
            <w:pPr>
              <w:pStyle w:val="69"/>
              <w:spacing w:line="360" w:lineRule="exact"/>
              <w:jc w:val="center"/>
              <w:rPr>
                <w:rFonts w:hAnsi="宋体" w:cs="宋体"/>
                <w:color w:val="000000"/>
                <w:kern w:val="2"/>
                <w:sz w:val="24"/>
                <w:szCs w:val="24"/>
              </w:rPr>
            </w:pPr>
            <w:r>
              <w:rPr>
                <w:rFonts w:hint="eastAsia" w:ascii="仿宋_GB2312" w:hAnsi="Calibri" w:eastAsia="仿宋_GB2312" w:cs="Times New Roman"/>
                <w:kern w:val="2"/>
                <w:sz w:val="24"/>
                <w:szCs w:val="24"/>
                <w:lang w:val="zh-CN" w:eastAsia="zh-CN" w:bidi="ar-S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69"/>
              <w:spacing w:line="360" w:lineRule="exact"/>
              <w:ind w:firstLine="200"/>
              <w:jc w:val="center"/>
              <w:rPr>
                <w:rFonts w:hAnsi="宋体" w:cs="宋体"/>
                <w:color w:val="000000"/>
                <w:kern w:val="2"/>
                <w:sz w:val="24"/>
                <w:szCs w:val="24"/>
              </w:rPr>
            </w:pPr>
          </w:p>
        </w:tc>
        <w:tc>
          <w:tcPr>
            <w:tcW w:w="3738" w:type="dxa"/>
            <w:noWrap w:val="0"/>
            <w:vAlign w:val="center"/>
          </w:tcPr>
          <w:p>
            <w:pPr>
              <w:pStyle w:val="69"/>
              <w:spacing w:line="360" w:lineRule="exact"/>
              <w:ind w:firstLine="200"/>
              <w:jc w:val="center"/>
              <w:rPr>
                <w:rFonts w:hAnsi="宋体" w:cs="宋体"/>
                <w:color w:val="000000"/>
                <w:kern w:val="2"/>
                <w:sz w:val="24"/>
                <w:szCs w:val="24"/>
              </w:rPr>
            </w:pPr>
          </w:p>
        </w:tc>
        <w:tc>
          <w:tcPr>
            <w:tcW w:w="2803" w:type="dxa"/>
            <w:noWrap w:val="0"/>
            <w:vAlign w:val="center"/>
          </w:tcPr>
          <w:p>
            <w:pPr>
              <w:pStyle w:val="69"/>
              <w:spacing w:line="360" w:lineRule="exact"/>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69"/>
              <w:spacing w:line="360" w:lineRule="exact"/>
              <w:ind w:firstLine="200"/>
              <w:jc w:val="center"/>
              <w:rPr>
                <w:rFonts w:hAnsi="宋体" w:cs="宋体"/>
                <w:color w:val="000000"/>
                <w:kern w:val="2"/>
                <w:sz w:val="24"/>
                <w:szCs w:val="24"/>
              </w:rPr>
            </w:pPr>
          </w:p>
        </w:tc>
        <w:tc>
          <w:tcPr>
            <w:tcW w:w="3738" w:type="dxa"/>
            <w:noWrap w:val="0"/>
            <w:vAlign w:val="center"/>
          </w:tcPr>
          <w:p>
            <w:pPr>
              <w:pStyle w:val="69"/>
              <w:spacing w:line="360" w:lineRule="exact"/>
              <w:ind w:firstLine="200"/>
              <w:jc w:val="center"/>
              <w:rPr>
                <w:rFonts w:hAnsi="宋体" w:cs="宋体"/>
                <w:color w:val="000000"/>
                <w:kern w:val="2"/>
                <w:sz w:val="24"/>
                <w:szCs w:val="24"/>
              </w:rPr>
            </w:pPr>
          </w:p>
        </w:tc>
        <w:tc>
          <w:tcPr>
            <w:tcW w:w="2803" w:type="dxa"/>
            <w:noWrap w:val="0"/>
            <w:vAlign w:val="center"/>
          </w:tcPr>
          <w:p>
            <w:pPr>
              <w:pStyle w:val="69"/>
              <w:spacing w:line="360" w:lineRule="exact"/>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pStyle w:val="69"/>
              <w:spacing w:line="360" w:lineRule="exact"/>
              <w:ind w:firstLine="200"/>
              <w:jc w:val="center"/>
              <w:rPr>
                <w:rFonts w:hAnsi="宋体" w:cs="宋体"/>
                <w:color w:val="000000"/>
                <w:kern w:val="2"/>
                <w:sz w:val="24"/>
                <w:szCs w:val="24"/>
              </w:rPr>
            </w:pPr>
            <w:r>
              <w:rPr>
                <w:rFonts w:hint="eastAsia" w:ascii="仿宋_GB2312" w:hAnsi="Calibri" w:eastAsia="仿宋_GB2312" w:cs="Times New Roman"/>
                <w:kern w:val="2"/>
                <w:sz w:val="24"/>
                <w:szCs w:val="24"/>
                <w:lang w:val="zh-CN" w:eastAsia="zh-CN" w:bidi="ar-SA"/>
              </w:rPr>
              <w:t>总价</w:t>
            </w:r>
          </w:p>
        </w:tc>
        <w:tc>
          <w:tcPr>
            <w:tcW w:w="2803" w:type="dxa"/>
            <w:noWrap w:val="0"/>
            <w:vAlign w:val="center"/>
          </w:tcPr>
          <w:p>
            <w:pPr>
              <w:pStyle w:val="69"/>
              <w:spacing w:line="360" w:lineRule="exact"/>
              <w:ind w:firstLine="200"/>
              <w:jc w:val="center"/>
              <w:rPr>
                <w:rFonts w:hAnsi="宋体" w:cs="宋体"/>
                <w:color w:val="000000"/>
                <w:kern w:val="2"/>
                <w:sz w:val="24"/>
                <w:szCs w:val="24"/>
              </w:rPr>
            </w:pPr>
          </w:p>
        </w:tc>
      </w:tr>
    </w:tbl>
    <w:p>
      <w:pPr>
        <w:spacing w:line="360" w:lineRule="exact"/>
        <w:ind w:firstLine="482" w:firstLineChars="200"/>
        <w:outlineLvl w:val="0"/>
        <w:rPr>
          <w:rFonts w:ascii="宋体" w:hAnsi="宋体" w:cs="宋体"/>
          <w:b/>
          <w:color w:val="000000"/>
          <w:sz w:val="24"/>
        </w:rPr>
      </w:pPr>
      <w:bookmarkStart w:id="449" w:name="_Toc1814"/>
      <w:bookmarkStart w:id="450" w:name="_Toc863"/>
      <w:bookmarkStart w:id="451" w:name="_Toc22618"/>
      <w:bookmarkStart w:id="452" w:name="_Toc28773"/>
      <w:bookmarkStart w:id="453" w:name="_Toc10340"/>
      <w:bookmarkStart w:id="454" w:name="_Toc15860"/>
      <w:bookmarkStart w:id="455" w:name="_Toc30643"/>
      <w:bookmarkStart w:id="456" w:name="_Toc21591"/>
      <w:bookmarkStart w:id="457" w:name="_Toc18263"/>
      <w:bookmarkStart w:id="458" w:name="_Toc16259"/>
      <w:r>
        <w:rPr>
          <w:rFonts w:hint="eastAsia" w:ascii="宋体" w:hAnsi="宋体" w:cs="宋体"/>
          <w:b/>
          <w:color w:val="000000"/>
          <w:sz w:val="24"/>
        </w:rPr>
        <w:t>1.4 付款方式和发票开具方式</w:t>
      </w:r>
      <w:bookmarkEnd w:id="449"/>
      <w:bookmarkEnd w:id="450"/>
      <w:bookmarkEnd w:id="451"/>
      <w:bookmarkEnd w:id="452"/>
      <w:bookmarkEnd w:id="453"/>
      <w:bookmarkEnd w:id="454"/>
      <w:bookmarkEnd w:id="455"/>
      <w:bookmarkEnd w:id="456"/>
      <w:bookmarkEnd w:id="457"/>
      <w:bookmarkEnd w:id="458"/>
    </w:p>
    <w:p>
      <w:pPr>
        <w:spacing w:line="360" w:lineRule="exact"/>
        <w:ind w:firstLine="480" w:firstLineChars="200"/>
        <w:rPr>
          <w:rFonts w:ascii="宋体" w:hAnsi="宋体" w:cs="宋体"/>
          <w:color w:val="000000"/>
          <w:sz w:val="24"/>
        </w:rPr>
      </w:pPr>
      <w:r>
        <w:rPr>
          <w:rFonts w:hint="eastAsia" w:ascii="宋体" w:hAnsi="宋体" w:cs="宋体"/>
          <w:color w:val="000000"/>
          <w:sz w:val="24"/>
        </w:rPr>
        <w:t xml:space="preserve">1.4.1 </w:t>
      </w:r>
      <w:r>
        <w:rPr>
          <w:rFonts w:hint="eastAsia" w:ascii="仿宋_GB2312" w:hAnsi="Calibri" w:eastAsia="仿宋_GB2312" w:cs="Times New Roman"/>
          <w:kern w:val="2"/>
          <w:sz w:val="24"/>
          <w:szCs w:val="24"/>
          <w:lang w:val="zh-CN" w:eastAsia="zh-CN" w:bidi="ar-SA"/>
        </w:rPr>
        <w:t>付款方式</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exact"/>
        <w:ind w:firstLine="480" w:firstLineChars="200"/>
        <w:rPr>
          <w:rFonts w:ascii="宋体" w:hAnsi="宋体" w:cs="宋体"/>
          <w:color w:val="000000"/>
          <w:sz w:val="24"/>
        </w:rPr>
      </w:pPr>
      <w:r>
        <w:rPr>
          <w:rFonts w:hint="eastAsia" w:ascii="宋体" w:hAnsi="宋体" w:cs="宋体"/>
          <w:color w:val="000000"/>
          <w:sz w:val="24"/>
        </w:rPr>
        <w:t xml:space="preserve">1.4.2 </w:t>
      </w:r>
      <w:r>
        <w:rPr>
          <w:rFonts w:hint="eastAsia" w:ascii="仿宋_GB2312" w:hAnsi="Calibri" w:eastAsia="仿宋_GB2312" w:cs="Times New Roman"/>
          <w:kern w:val="2"/>
          <w:sz w:val="24"/>
          <w:szCs w:val="24"/>
          <w:lang w:val="zh-CN" w:eastAsia="zh-CN" w:bidi="ar-SA"/>
        </w:rPr>
        <w:t>发票开具方式</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exact"/>
        <w:ind w:firstLine="482" w:firstLineChars="200"/>
        <w:outlineLvl w:val="0"/>
        <w:rPr>
          <w:rFonts w:ascii="宋体" w:hAnsi="宋体" w:cs="宋体"/>
          <w:b/>
          <w:color w:val="000000"/>
          <w:sz w:val="24"/>
        </w:rPr>
      </w:pPr>
      <w:bookmarkStart w:id="459" w:name="_Toc10276"/>
      <w:bookmarkStart w:id="460" w:name="_Toc16823"/>
      <w:bookmarkStart w:id="461" w:name="_Toc30447"/>
      <w:bookmarkStart w:id="462" w:name="_Toc2846"/>
      <w:bookmarkStart w:id="463" w:name="_Toc16905"/>
      <w:bookmarkStart w:id="464" w:name="_Toc19304"/>
      <w:bookmarkStart w:id="465" w:name="_Toc32071"/>
      <w:bookmarkStart w:id="466" w:name="_Toc5475"/>
      <w:bookmarkStart w:id="467" w:name="_Toc7259"/>
      <w:bookmarkStart w:id="468" w:name="_Toc29257"/>
      <w:bookmarkStart w:id="469" w:name="_Toc21587"/>
      <w:r>
        <w:rPr>
          <w:rFonts w:hint="eastAsia" w:ascii="宋体" w:hAnsi="宋体" w:cs="宋体"/>
          <w:b/>
          <w:color w:val="000000"/>
          <w:sz w:val="24"/>
        </w:rPr>
        <w:t>1.5 货物交付期限、地点和方式</w:t>
      </w:r>
      <w:bookmarkEnd w:id="459"/>
      <w:bookmarkEnd w:id="460"/>
      <w:bookmarkEnd w:id="461"/>
      <w:bookmarkEnd w:id="462"/>
      <w:bookmarkEnd w:id="463"/>
      <w:bookmarkEnd w:id="464"/>
      <w:bookmarkEnd w:id="465"/>
      <w:bookmarkEnd w:id="466"/>
      <w:bookmarkEnd w:id="467"/>
      <w:bookmarkEnd w:id="468"/>
      <w:bookmarkEnd w:id="469"/>
    </w:p>
    <w:p>
      <w:pPr>
        <w:spacing w:line="360" w:lineRule="exact"/>
        <w:ind w:firstLine="480" w:firstLineChars="200"/>
        <w:rPr>
          <w:rFonts w:ascii="宋体" w:hAnsi="宋体" w:cs="宋体"/>
          <w:color w:val="000000"/>
          <w:sz w:val="24"/>
          <w:u w:val="single"/>
        </w:rPr>
      </w:pPr>
      <w:r>
        <w:rPr>
          <w:rFonts w:hint="eastAsia" w:ascii="宋体" w:hAnsi="宋体" w:cs="宋体"/>
          <w:color w:val="000000"/>
          <w:sz w:val="24"/>
        </w:rPr>
        <w:t xml:space="preserve">1.5.1 </w:t>
      </w:r>
      <w:r>
        <w:rPr>
          <w:rFonts w:hint="eastAsia" w:ascii="仿宋_GB2312" w:hAnsi="Calibri" w:eastAsia="仿宋_GB2312" w:cs="Times New Roman"/>
          <w:kern w:val="2"/>
          <w:sz w:val="24"/>
          <w:szCs w:val="24"/>
          <w:lang w:val="zh-CN" w:eastAsia="zh-CN" w:bidi="ar-SA"/>
        </w:rPr>
        <w:t>交付期限</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exact"/>
        <w:ind w:firstLine="480" w:firstLineChars="200"/>
        <w:rPr>
          <w:rFonts w:ascii="宋体" w:hAnsi="宋体" w:cs="宋体"/>
          <w:color w:val="000000"/>
          <w:sz w:val="24"/>
        </w:rPr>
      </w:pPr>
      <w:r>
        <w:rPr>
          <w:rFonts w:hint="eastAsia" w:ascii="宋体" w:hAnsi="宋体" w:cs="宋体"/>
          <w:color w:val="000000"/>
          <w:sz w:val="24"/>
        </w:rPr>
        <w:t xml:space="preserve">1.5.2 </w:t>
      </w:r>
      <w:r>
        <w:rPr>
          <w:rFonts w:hint="eastAsia" w:ascii="仿宋_GB2312" w:hAnsi="Calibri" w:eastAsia="仿宋_GB2312" w:cs="Times New Roman"/>
          <w:kern w:val="2"/>
          <w:sz w:val="24"/>
          <w:szCs w:val="24"/>
          <w:lang w:val="zh-CN" w:eastAsia="zh-CN" w:bidi="ar-SA"/>
        </w:rPr>
        <w:t>交付地点</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exact"/>
        <w:ind w:firstLine="480" w:firstLineChars="200"/>
        <w:rPr>
          <w:rFonts w:ascii="宋体" w:hAnsi="宋体" w:cs="宋体"/>
          <w:color w:val="000000"/>
          <w:sz w:val="24"/>
        </w:rPr>
      </w:pPr>
      <w:r>
        <w:rPr>
          <w:rFonts w:hint="eastAsia" w:ascii="宋体" w:hAnsi="宋体" w:cs="宋体"/>
          <w:color w:val="000000"/>
          <w:sz w:val="24"/>
        </w:rPr>
        <w:t xml:space="preserve">1.5.3 </w:t>
      </w:r>
      <w:r>
        <w:rPr>
          <w:rFonts w:hint="eastAsia" w:ascii="仿宋_GB2312" w:hAnsi="Calibri" w:eastAsia="仿宋_GB2312" w:cs="Times New Roman"/>
          <w:kern w:val="2"/>
          <w:sz w:val="24"/>
          <w:szCs w:val="24"/>
          <w:lang w:val="zh-CN" w:eastAsia="zh-CN" w:bidi="ar-SA"/>
        </w:rPr>
        <w:t>交付方式</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exact"/>
        <w:ind w:firstLine="482" w:firstLineChars="200"/>
        <w:outlineLvl w:val="0"/>
        <w:rPr>
          <w:rFonts w:ascii="宋体" w:hAnsi="宋体" w:cs="宋体"/>
          <w:b/>
          <w:color w:val="000000"/>
          <w:sz w:val="24"/>
        </w:rPr>
      </w:pPr>
      <w:bookmarkStart w:id="470" w:name="_Toc5785"/>
      <w:bookmarkStart w:id="471" w:name="_Toc21423"/>
      <w:bookmarkStart w:id="472" w:name="_Toc4190"/>
      <w:bookmarkStart w:id="473" w:name="_Toc27250"/>
      <w:bookmarkStart w:id="474" w:name="_Toc12629"/>
      <w:bookmarkStart w:id="475" w:name="_Toc13854"/>
      <w:bookmarkStart w:id="476" w:name="_Toc17312"/>
      <w:bookmarkStart w:id="477" w:name="_Toc22189"/>
      <w:bookmarkStart w:id="478" w:name="_Toc2663"/>
      <w:bookmarkStart w:id="479" w:name="_Toc19554"/>
      <w:bookmarkStart w:id="480" w:name="_Toc2740"/>
      <w:r>
        <w:rPr>
          <w:rFonts w:hint="eastAsia" w:ascii="宋体" w:hAnsi="宋体" w:cs="宋体"/>
          <w:b/>
          <w:color w:val="000000"/>
          <w:sz w:val="24"/>
        </w:rPr>
        <w:t>1.6 违约责任</w:t>
      </w:r>
      <w:bookmarkEnd w:id="470"/>
      <w:bookmarkEnd w:id="471"/>
      <w:bookmarkEnd w:id="472"/>
      <w:bookmarkEnd w:id="473"/>
      <w:bookmarkEnd w:id="474"/>
      <w:bookmarkEnd w:id="475"/>
      <w:bookmarkEnd w:id="476"/>
      <w:bookmarkEnd w:id="477"/>
      <w:bookmarkEnd w:id="478"/>
      <w:bookmarkEnd w:id="479"/>
      <w:bookmarkEnd w:id="480"/>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 xml:space="preserve">1.6.1 </w:t>
      </w:r>
      <w:r>
        <w:rPr>
          <w:rFonts w:hint="eastAsia" w:ascii="仿宋_GB2312" w:hAnsi="Calibri" w:eastAsia="仿宋_GB2312" w:cs="Times New Roman"/>
          <w:kern w:val="2"/>
          <w:sz w:val="24"/>
          <w:szCs w:val="24"/>
          <w:lang w:val="zh-CN" w:eastAsia="zh-CN" w:bidi="ar-SA"/>
        </w:rPr>
        <w:t>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 xml:space="preserve">1.6.2 </w:t>
      </w:r>
      <w:r>
        <w:rPr>
          <w:rFonts w:hint="eastAsia" w:ascii="仿宋_GB2312" w:hAnsi="Calibri" w:eastAsia="仿宋_GB2312" w:cs="Times New Roman"/>
          <w:kern w:val="2"/>
          <w:sz w:val="24"/>
          <w:szCs w:val="24"/>
          <w:lang w:val="zh-CN" w:eastAsia="zh-CN" w:bidi="ar-SA"/>
        </w:rPr>
        <w:t>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 xml:space="preserve">1.6.3 </w:t>
      </w:r>
      <w:r>
        <w:rPr>
          <w:rFonts w:hint="eastAsia" w:ascii="仿宋_GB2312" w:hAnsi="Calibri" w:eastAsia="仿宋_GB2312" w:cs="Times New Roman"/>
          <w:kern w:val="2"/>
          <w:sz w:val="24"/>
          <w:szCs w:val="24"/>
          <w:lang w:val="zh-CN" w:eastAsia="zh-CN" w:bidi="ar-SA"/>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1.6.4</w:t>
      </w:r>
      <w:r>
        <w:rPr>
          <w:rFonts w:hint="eastAsia" w:ascii="仿宋_GB2312" w:hAnsi="Calibri" w:eastAsia="仿宋_GB2312" w:cs="Times New Roman"/>
          <w:kern w:val="2"/>
          <w:sz w:val="24"/>
          <w:szCs w:val="24"/>
          <w:lang w:val="zh-CN" w:eastAsia="zh-CN" w:bidi="ar-SA"/>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2" w:firstLineChars="200"/>
        <w:outlineLvl w:val="0"/>
        <w:rPr>
          <w:rFonts w:ascii="宋体" w:hAnsi="宋体" w:cs="宋体"/>
          <w:b/>
          <w:color w:val="000000"/>
          <w:sz w:val="24"/>
        </w:rPr>
      </w:pPr>
      <w:bookmarkStart w:id="481" w:name="_Toc16021"/>
      <w:bookmarkStart w:id="482" w:name="_Toc32341"/>
      <w:bookmarkStart w:id="483" w:name="_Toc19011"/>
      <w:bookmarkStart w:id="484" w:name="_Toc28375"/>
      <w:bookmarkStart w:id="485" w:name="_Toc7216"/>
      <w:bookmarkStart w:id="486" w:name="_Toc2096"/>
      <w:bookmarkStart w:id="487" w:name="_Toc16213"/>
      <w:bookmarkStart w:id="488" w:name="_Toc4196"/>
      <w:bookmarkStart w:id="489" w:name="_Toc27927"/>
      <w:bookmarkStart w:id="490" w:name="_Toc15583"/>
      <w:bookmarkStart w:id="491" w:name="_Toc18675"/>
      <w:r>
        <w:rPr>
          <w:rFonts w:hint="eastAsia" w:ascii="宋体" w:hAnsi="宋体" w:cs="宋体"/>
          <w:b/>
          <w:color w:val="000000"/>
          <w:sz w:val="24"/>
        </w:rPr>
        <w:t>1.7 合同争议的解决</w:t>
      </w:r>
      <w:bookmarkEnd w:id="481"/>
      <w:bookmarkEnd w:id="482"/>
      <w:bookmarkEnd w:id="483"/>
      <w:bookmarkEnd w:id="484"/>
      <w:bookmarkEnd w:id="485"/>
      <w:bookmarkEnd w:id="486"/>
      <w:bookmarkEnd w:id="487"/>
      <w:bookmarkEnd w:id="488"/>
      <w:bookmarkEnd w:id="489"/>
      <w:bookmarkEnd w:id="490"/>
      <w:bookmarkEnd w:id="491"/>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本合同履行过程中发生的任何争议，双方当事人均可通过和解或者调解解决；不愿和解、调解或者和解、调解不成的，可以选择下列第    种方式解决：</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1.7.1 将争议提交              仲裁委员会依申请仲裁时其现行有效的仲裁规则裁决；</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1.7.2 向   （被告住所地、合同履行地、合同签订地、原告住所地、标的物所在地等与争议有实际联系的地点中选出的人民法院名称）    人民法院起诉。</w:t>
      </w:r>
    </w:p>
    <w:p>
      <w:pPr>
        <w:spacing w:line="360" w:lineRule="exact"/>
        <w:ind w:firstLine="482" w:firstLineChars="200"/>
        <w:outlineLvl w:val="0"/>
        <w:rPr>
          <w:rFonts w:ascii="宋体" w:hAnsi="宋体" w:cs="宋体"/>
          <w:b/>
          <w:color w:val="000000"/>
          <w:sz w:val="24"/>
        </w:rPr>
      </w:pPr>
      <w:bookmarkStart w:id="492" w:name="_Toc2526"/>
      <w:bookmarkStart w:id="493" w:name="_Toc7245"/>
      <w:bookmarkStart w:id="494" w:name="_Toc30237"/>
      <w:bookmarkStart w:id="495" w:name="_Toc2894"/>
      <w:bookmarkStart w:id="496" w:name="_Toc11173"/>
      <w:bookmarkStart w:id="497" w:name="_Toc15322"/>
      <w:bookmarkStart w:id="498" w:name="_Toc15544"/>
      <w:bookmarkStart w:id="499" w:name="_Toc6411"/>
      <w:bookmarkStart w:id="500" w:name="_Toc1647"/>
      <w:bookmarkStart w:id="501" w:name="_Toc4837"/>
      <w:bookmarkStart w:id="502" w:name="_Toc3289"/>
      <w:r>
        <w:rPr>
          <w:rFonts w:hint="eastAsia" w:ascii="宋体" w:hAnsi="宋体" w:cs="宋体"/>
          <w:b/>
          <w:color w:val="000000"/>
          <w:sz w:val="24"/>
        </w:rPr>
        <w:t>1.8 合同生效</w:t>
      </w:r>
      <w:bookmarkEnd w:id="492"/>
      <w:bookmarkEnd w:id="493"/>
      <w:bookmarkEnd w:id="494"/>
      <w:bookmarkEnd w:id="495"/>
      <w:bookmarkEnd w:id="496"/>
      <w:bookmarkEnd w:id="497"/>
      <w:bookmarkEnd w:id="498"/>
      <w:bookmarkEnd w:id="499"/>
      <w:bookmarkEnd w:id="500"/>
      <w:bookmarkEnd w:id="501"/>
      <w:bookmarkEnd w:id="502"/>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本合同自双方当事人盖章或者签字时生效。</w:t>
      </w:r>
    </w:p>
    <w:p>
      <w:pPr>
        <w:autoSpaceDE w:val="0"/>
        <w:autoSpaceDN w:val="0"/>
        <w:adjustRightInd w:val="0"/>
        <w:spacing w:line="360" w:lineRule="exact"/>
        <w:rPr>
          <w:rFonts w:ascii="宋体" w:hAnsi="宋体" w:cs="宋体"/>
          <w:color w:val="000000"/>
          <w:sz w:val="24"/>
          <w:lang w:val="zh-CN"/>
        </w:rPr>
      </w:pPr>
    </w:p>
    <w:p>
      <w:pPr>
        <w:autoSpaceDE w:val="0"/>
        <w:autoSpaceDN w:val="0"/>
        <w:adjustRightInd w:val="0"/>
        <w:spacing w:line="360" w:lineRule="exact"/>
        <w:rPr>
          <w:rFonts w:ascii="宋体" w:hAnsi="宋体" w:cs="宋体"/>
          <w:color w:val="000000"/>
          <w:sz w:val="24"/>
          <w:lang w:val="zh-CN"/>
        </w:rPr>
      </w:pPr>
      <w:r>
        <w:rPr>
          <w:rFonts w:hint="eastAsia" w:ascii="宋体" w:hAnsi="宋体" w:cs="宋体"/>
          <w:b/>
          <w:color w:val="000000"/>
          <w:sz w:val="24"/>
          <w:lang w:val="zh-CN"/>
        </w:rPr>
        <w:t>甲方</w:t>
      </w:r>
      <w:r>
        <w:rPr>
          <w:rFonts w:hint="eastAsia" w:ascii="宋体" w:hAnsi="宋体" w:cs="宋体"/>
          <w:color w:val="000000"/>
          <w:sz w:val="24"/>
          <w:lang w:val="zh-CN"/>
        </w:rPr>
        <w:t xml:space="preserve">：                             </w:t>
      </w:r>
      <w:r>
        <w:rPr>
          <w:rFonts w:hint="eastAsia" w:ascii="宋体" w:hAnsi="宋体" w:cs="宋体"/>
          <w:b/>
          <w:color w:val="000000"/>
          <w:sz w:val="24"/>
          <w:lang w:val="zh-CN"/>
        </w:rPr>
        <w:t xml:space="preserve">      乙方</w:t>
      </w:r>
      <w:r>
        <w:rPr>
          <w:rFonts w:hint="eastAsia" w:ascii="宋体" w:hAnsi="宋体" w:cs="宋体"/>
          <w:color w:val="000000"/>
          <w:sz w:val="24"/>
          <w:lang w:val="zh-CN"/>
        </w:rPr>
        <w:t>：</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统一社会信用代码：                  统一社会信用代码或身份证号码：</w:t>
      </w:r>
    </w:p>
    <w:p>
      <w:pPr>
        <w:spacing w:line="360" w:lineRule="exact"/>
        <w:ind w:firstLine="480" w:firstLineChars="200"/>
        <w:rPr>
          <w:rFonts w:hint="eastAsia" w:ascii="仿宋_GB2312" w:hAnsi="Calibri" w:eastAsia="仿宋_GB2312" w:cs="Times New Roman"/>
          <w:kern w:val="2"/>
          <w:sz w:val="24"/>
          <w:szCs w:val="24"/>
          <w:lang w:val="zh-CN" w:eastAsia="zh-CN" w:bidi="ar-SA"/>
        </w:rPr>
      </w:pP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住所：                                   住所：</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法定代表人或                             法定代表人</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 xml:space="preserve">授权代表（签字）：                        或授权代表（签字）: </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联系人：                                 联系人：</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约定送达地址：                           约定送达地址：</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邮政编码：                               邮政编码：</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 xml:space="preserve">电话:                                    电话: </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传真:                                    传真:</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电子邮箱：                               电子邮箱：</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 xml:space="preserve">开户银行：                               开户银行： </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 xml:space="preserve">开户名称：                               开户名称： </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开户账号：                               开户账号：</w:t>
      </w:r>
    </w:p>
    <w:p>
      <w:pPr>
        <w:widowControl/>
        <w:spacing w:line="360" w:lineRule="exact"/>
        <w:jc w:val="left"/>
        <w:rPr>
          <w:rFonts w:ascii="宋体" w:hAnsi="宋体" w:cs="宋体"/>
          <w:b/>
          <w:color w:val="000000"/>
        </w:rPr>
      </w:pPr>
      <w:bookmarkStart w:id="503" w:name="_Toc331685783"/>
    </w:p>
    <w:p>
      <w:pPr>
        <w:widowControl/>
        <w:spacing w:line="360" w:lineRule="exact"/>
        <w:jc w:val="left"/>
        <w:rPr>
          <w:rFonts w:ascii="宋体" w:hAnsi="宋体" w:cs="宋体"/>
          <w:b/>
          <w:color w:val="000000"/>
        </w:rPr>
      </w:pPr>
    </w:p>
    <w:p>
      <w:pPr>
        <w:pStyle w:val="67"/>
        <w:spacing w:line="360" w:lineRule="exact"/>
        <w:ind w:firstLine="200"/>
        <w:jc w:val="center"/>
        <w:rPr>
          <w:rFonts w:hAnsi="宋体" w:cs="宋体"/>
          <w:b/>
          <w:color w:val="000000"/>
          <w:szCs w:val="24"/>
        </w:rPr>
      </w:pPr>
      <w:r>
        <w:rPr>
          <w:rFonts w:hint="eastAsia" w:hAnsi="宋体" w:cs="宋体"/>
          <w:b/>
          <w:color w:val="000000"/>
          <w:szCs w:val="24"/>
        </w:rPr>
        <w:t>第二部分 合同一般条款</w:t>
      </w:r>
      <w:bookmarkEnd w:id="503"/>
    </w:p>
    <w:p>
      <w:pPr>
        <w:spacing w:line="360" w:lineRule="exact"/>
        <w:ind w:firstLine="482" w:firstLineChars="200"/>
        <w:outlineLvl w:val="0"/>
        <w:rPr>
          <w:rFonts w:ascii="宋体" w:hAnsi="宋体" w:cs="宋体"/>
          <w:b/>
          <w:color w:val="000000"/>
          <w:sz w:val="24"/>
        </w:rPr>
      </w:pPr>
      <w:bookmarkStart w:id="504" w:name="_Toc259093669"/>
      <w:bookmarkStart w:id="505" w:name="_Ref467379094"/>
      <w:bookmarkStart w:id="506" w:name="_Toc31417"/>
      <w:bookmarkStart w:id="507" w:name="_Ref467379214"/>
      <w:bookmarkStart w:id="508" w:name="_Ref467378499"/>
      <w:bookmarkStart w:id="509" w:name="_Ref467379195"/>
      <w:bookmarkStart w:id="510" w:name="_Ref467379109"/>
      <w:bookmarkStart w:id="511" w:name="_Toc19614"/>
      <w:bookmarkStart w:id="512" w:name="_Ref467379205"/>
      <w:bookmarkStart w:id="513" w:name="_Toc17718"/>
      <w:bookmarkStart w:id="514" w:name="_Toc487900349"/>
      <w:bookmarkStart w:id="515" w:name="_Toc11969"/>
      <w:bookmarkStart w:id="516" w:name="_Toc25294"/>
      <w:bookmarkStart w:id="517" w:name="_Toc16917"/>
      <w:bookmarkStart w:id="518" w:name="_Toc2128"/>
      <w:bookmarkStart w:id="519" w:name="_Ref467379101"/>
      <w:bookmarkStart w:id="520" w:name="_Ref467378463"/>
      <w:bookmarkStart w:id="521" w:name="_Ref467378404"/>
      <w:bookmarkStart w:id="522" w:name="_Toc32624"/>
      <w:bookmarkStart w:id="523" w:name="_Toc2413"/>
      <w:bookmarkStart w:id="524" w:name="_Toc12322"/>
      <w:bookmarkStart w:id="525" w:name="_Ref467379225"/>
      <w:bookmarkStart w:id="526" w:name="_Toc28763"/>
      <w:bookmarkStart w:id="527" w:name="_Toc279701240"/>
      <w:r>
        <w:rPr>
          <w:rFonts w:hint="eastAsia" w:ascii="宋体" w:hAnsi="宋体" w:cs="宋体"/>
          <w:b/>
          <w:color w:val="000000"/>
          <w:sz w:val="24"/>
        </w:rPr>
        <w:t>2.1 定义</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本合同中的下列词语应按以下内容进行解释：</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2.1.1 “合同”系指采购人和中标供应商签订的载明双方当事人所达成的协议，并包括所有的附件、附录和构成合同的其他文件。</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2.1.2 “合同价”系指根据合同约定，中标供应商在完全履行合同义务后，采购人应支付给中标供应商的价格。</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rPr>
          <w:rFonts w:hint="eastAsia" w:ascii="仿宋_GB2312" w:hAnsi="Calibri" w:eastAsia="仿宋_GB2312" w:cs="Times New Roman"/>
          <w:kern w:val="2"/>
          <w:sz w:val="24"/>
          <w:szCs w:val="24"/>
          <w:lang w:val="zh-CN" w:eastAsia="zh-CN" w:bidi="ar-SA"/>
        </w:rPr>
      </w:pPr>
      <w:bookmarkStart w:id="528" w:name="_Ref467378840"/>
      <w:r>
        <w:rPr>
          <w:rFonts w:hint="eastAsia" w:ascii="仿宋_GB2312" w:hAnsi="Calibri" w:eastAsia="仿宋_GB2312" w:cs="Times New Roman"/>
          <w:kern w:val="2"/>
          <w:sz w:val="24"/>
          <w:szCs w:val="24"/>
          <w:lang w:val="zh-CN" w:eastAsia="zh-CN" w:bidi="ar-SA"/>
        </w:rPr>
        <w:t>2.1.4 “甲方”系指与中标供应商签署合同的采购人</w:t>
      </w:r>
      <w:bookmarkEnd w:id="528"/>
      <w:r>
        <w:rPr>
          <w:rFonts w:hint="eastAsia" w:ascii="仿宋_GB2312" w:hAnsi="Calibri" w:eastAsia="仿宋_GB2312" w:cs="Times New Roman"/>
          <w:kern w:val="2"/>
          <w:sz w:val="24"/>
          <w:szCs w:val="24"/>
          <w:lang w:val="zh-CN" w:eastAsia="zh-CN" w:bidi="ar-SA"/>
        </w:rPr>
        <w:t>；采购人委托采购代理机构代表其与乙方签订合同的，采购人的授权委托书作为合同附件。</w:t>
      </w:r>
    </w:p>
    <w:p>
      <w:pPr>
        <w:spacing w:line="360" w:lineRule="exact"/>
        <w:ind w:firstLine="480" w:firstLineChars="200"/>
        <w:rPr>
          <w:rFonts w:hint="eastAsia" w:ascii="仿宋_GB2312" w:hAnsi="Calibri" w:eastAsia="仿宋_GB2312" w:cs="Times New Roman"/>
          <w:kern w:val="2"/>
          <w:sz w:val="24"/>
          <w:szCs w:val="24"/>
          <w:lang w:val="zh-CN" w:eastAsia="zh-CN" w:bidi="ar-SA"/>
        </w:rPr>
      </w:pPr>
      <w:bookmarkStart w:id="529" w:name="_Ref467379400"/>
      <w:r>
        <w:rPr>
          <w:rFonts w:hint="eastAsia" w:ascii="仿宋_GB2312" w:hAnsi="Calibri" w:eastAsia="仿宋_GB2312" w:cs="Times New Roman"/>
          <w:kern w:val="2"/>
          <w:sz w:val="24"/>
          <w:szCs w:val="24"/>
          <w:lang w:val="zh-CN" w:eastAsia="zh-CN" w:bidi="ar-SA"/>
        </w:rPr>
        <w:t>2.1.5 “乙方”系指根据合同约定交付货物的中标供应商</w:t>
      </w:r>
      <w:bookmarkEnd w:id="529"/>
      <w:r>
        <w:rPr>
          <w:rFonts w:hint="eastAsia" w:ascii="仿宋_GB2312" w:hAnsi="Calibri" w:eastAsia="仿宋_GB2312" w:cs="Times New Roman"/>
          <w:kern w:val="2"/>
          <w:sz w:val="24"/>
          <w:szCs w:val="24"/>
          <w:lang w:val="zh-CN" w:eastAsia="zh-CN" w:bidi="ar-SA"/>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rPr>
          <w:rFonts w:hint="eastAsia" w:ascii="仿宋_GB2312" w:hAnsi="Calibri" w:eastAsia="仿宋_GB2312" w:cs="Times New Roman"/>
          <w:kern w:val="2"/>
          <w:sz w:val="24"/>
          <w:szCs w:val="24"/>
          <w:lang w:val="zh-CN" w:eastAsia="zh-CN" w:bidi="ar-SA"/>
        </w:rPr>
      </w:pPr>
      <w:bookmarkStart w:id="530" w:name="_Ref467379436"/>
      <w:r>
        <w:rPr>
          <w:rFonts w:hint="eastAsia" w:ascii="仿宋_GB2312" w:hAnsi="Calibri" w:eastAsia="仿宋_GB2312" w:cs="Times New Roman"/>
          <w:kern w:val="2"/>
          <w:sz w:val="24"/>
          <w:szCs w:val="24"/>
          <w:lang w:val="zh-CN" w:eastAsia="zh-CN" w:bidi="ar-SA"/>
        </w:rPr>
        <w:t>2.1.6 “现场”系指合同约定货物将要运至或者安装的地点。</w:t>
      </w:r>
      <w:bookmarkEnd w:id="530"/>
    </w:p>
    <w:p>
      <w:pPr>
        <w:spacing w:line="360" w:lineRule="exact"/>
        <w:ind w:firstLine="482" w:firstLineChars="200"/>
        <w:outlineLvl w:val="0"/>
        <w:rPr>
          <w:rFonts w:ascii="宋体" w:hAnsi="宋体" w:cs="宋体"/>
          <w:b/>
          <w:color w:val="000000"/>
          <w:sz w:val="24"/>
        </w:rPr>
      </w:pPr>
      <w:bookmarkStart w:id="531" w:name="_Toc25633"/>
      <w:bookmarkStart w:id="532" w:name="_Toc13336"/>
      <w:bookmarkStart w:id="533" w:name="_Toc259093670"/>
      <w:bookmarkStart w:id="534" w:name="_Toc279701241"/>
      <w:bookmarkStart w:id="535" w:name="_Toc32504"/>
      <w:bookmarkStart w:id="536" w:name="_Toc1183"/>
      <w:bookmarkStart w:id="537" w:name="_Toc1221"/>
      <w:bookmarkStart w:id="538" w:name="_Toc23689"/>
      <w:bookmarkStart w:id="539" w:name="_Toc487900350"/>
      <w:bookmarkStart w:id="540" w:name="_Toc27635"/>
      <w:bookmarkStart w:id="541" w:name="_Toc15507"/>
      <w:bookmarkStart w:id="542" w:name="_Toc19052"/>
      <w:r>
        <w:rPr>
          <w:rFonts w:hint="eastAsia" w:ascii="宋体" w:hAnsi="宋体" w:cs="宋体"/>
          <w:b/>
          <w:color w:val="000000"/>
          <w:sz w:val="24"/>
        </w:rPr>
        <w:t>2.2 技术规范</w:t>
      </w:r>
      <w:bookmarkEnd w:id="531"/>
      <w:bookmarkEnd w:id="532"/>
      <w:bookmarkEnd w:id="533"/>
      <w:bookmarkEnd w:id="534"/>
      <w:bookmarkEnd w:id="535"/>
      <w:bookmarkEnd w:id="536"/>
      <w:bookmarkEnd w:id="537"/>
      <w:bookmarkEnd w:id="538"/>
      <w:bookmarkEnd w:id="539"/>
      <w:bookmarkEnd w:id="540"/>
      <w:bookmarkEnd w:id="541"/>
      <w:bookmarkEnd w:id="542"/>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2" w:firstLineChars="200"/>
        <w:outlineLvl w:val="0"/>
        <w:rPr>
          <w:rFonts w:ascii="宋体" w:hAnsi="宋体" w:cs="宋体"/>
          <w:b/>
          <w:color w:val="000000"/>
          <w:sz w:val="24"/>
        </w:rPr>
      </w:pPr>
      <w:bookmarkStart w:id="543" w:name="_Toc27853"/>
      <w:bookmarkStart w:id="544" w:name="_Toc31634"/>
      <w:bookmarkStart w:id="545" w:name="_Toc7722"/>
      <w:bookmarkStart w:id="546" w:name="_Toc30772"/>
      <w:bookmarkStart w:id="547" w:name="_Toc23174"/>
      <w:bookmarkStart w:id="548" w:name="_Toc11777"/>
      <w:bookmarkStart w:id="549" w:name="_Toc259093671"/>
      <w:bookmarkStart w:id="550" w:name="_Toc9829"/>
      <w:bookmarkStart w:id="551" w:name="_Toc279701242"/>
      <w:bookmarkStart w:id="552" w:name="_Toc487900351"/>
      <w:bookmarkStart w:id="553" w:name="_Toc10734"/>
      <w:bookmarkStart w:id="554" w:name="_Toc4029"/>
      <w:bookmarkStart w:id="555" w:name="_Toc15733"/>
      <w:bookmarkStart w:id="556" w:name="_Toc19545"/>
      <w:r>
        <w:rPr>
          <w:rFonts w:hint="eastAsia" w:ascii="宋体" w:hAnsi="宋体" w:cs="宋体"/>
          <w:b/>
          <w:color w:val="000000"/>
          <w:sz w:val="24"/>
        </w:rPr>
        <w:t>2.3 知识产权</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2</w:t>
      </w:r>
      <w:r>
        <w:rPr>
          <w:rFonts w:hint="eastAsia" w:ascii="仿宋_GB2312" w:hAnsi="Calibri" w:eastAsia="仿宋_GB2312" w:cs="Times New Roman"/>
          <w:kern w:val="2"/>
          <w:sz w:val="24"/>
          <w:szCs w:val="24"/>
          <w:lang w:val="zh-CN" w:eastAsia="zh-CN" w:bidi="ar-SA"/>
        </w:rPr>
        <w:t>.3.1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rPr>
          <w:rFonts w:hint="eastAsia" w:ascii="仿宋_GB2312" w:hAnsi="Calibri" w:eastAsia="仿宋_GB2312" w:cs="Times New Roman"/>
          <w:b/>
          <w:bCs/>
          <w:kern w:val="2"/>
          <w:sz w:val="24"/>
          <w:szCs w:val="24"/>
          <w:u w:val="single"/>
          <w:lang w:val="zh-CN" w:eastAsia="zh-CN" w:bidi="ar-SA"/>
        </w:rPr>
      </w:pPr>
      <w:r>
        <w:rPr>
          <w:rFonts w:hint="eastAsia" w:ascii="宋体" w:hAnsi="宋体" w:cs="宋体"/>
          <w:color w:val="000000"/>
          <w:sz w:val="24"/>
        </w:rPr>
        <w:t>2.3.2</w:t>
      </w:r>
      <w:r>
        <w:rPr>
          <w:rFonts w:hint="eastAsia" w:ascii="仿宋_GB2312" w:hAnsi="Calibri" w:eastAsia="仿宋_GB2312" w:cs="Times New Roman"/>
          <w:kern w:val="2"/>
          <w:sz w:val="24"/>
          <w:szCs w:val="24"/>
          <w:lang w:val="zh-CN" w:eastAsia="zh-CN" w:bidi="ar-SA"/>
        </w:rPr>
        <w:t>具有知识产权的计算机软件等货物的知识产权归属，详见</w:t>
      </w:r>
      <w:r>
        <w:rPr>
          <w:rFonts w:hint="eastAsia" w:ascii="仿宋_GB2312" w:hAnsi="Calibri" w:eastAsia="仿宋_GB2312" w:cs="Times New Roman"/>
          <w:b/>
          <w:bCs/>
          <w:kern w:val="2"/>
          <w:sz w:val="24"/>
          <w:szCs w:val="24"/>
          <w:u w:val="single"/>
          <w:lang w:val="zh-CN" w:eastAsia="zh-CN" w:bidi="ar-SA"/>
        </w:rPr>
        <w:t>合同专用条款。</w:t>
      </w:r>
    </w:p>
    <w:p>
      <w:pPr>
        <w:spacing w:line="360" w:lineRule="exact"/>
        <w:ind w:firstLine="482" w:firstLineChars="200"/>
        <w:outlineLvl w:val="0"/>
        <w:rPr>
          <w:rFonts w:ascii="宋体" w:hAnsi="宋体" w:cs="宋体"/>
          <w:b/>
          <w:color w:val="000000"/>
          <w:sz w:val="24"/>
        </w:rPr>
      </w:pPr>
      <w:bookmarkStart w:id="557" w:name="_Toc13082"/>
      <w:bookmarkStart w:id="558" w:name="_Toc29149"/>
      <w:bookmarkStart w:id="559" w:name="_Toc25767"/>
      <w:bookmarkStart w:id="560" w:name="_Toc32335"/>
      <w:bookmarkStart w:id="561" w:name="_Toc15466"/>
      <w:bookmarkStart w:id="562" w:name="_Toc15526"/>
      <w:bookmarkStart w:id="563" w:name="_Toc12219"/>
      <w:bookmarkStart w:id="564" w:name="_Toc4194"/>
      <w:bookmarkStart w:id="565" w:name="_Toc11932"/>
      <w:bookmarkStart w:id="566" w:name="_Toc9540"/>
      <w:bookmarkStart w:id="567" w:name="_Toc10546"/>
      <w:r>
        <w:rPr>
          <w:rFonts w:hint="eastAsia" w:ascii="宋体" w:hAnsi="宋体" w:cs="宋体"/>
          <w:b/>
          <w:color w:val="000000"/>
          <w:sz w:val="24"/>
        </w:rPr>
        <w:t>2.4 包装和装运</w:t>
      </w:r>
      <w:bookmarkEnd w:id="557"/>
      <w:bookmarkEnd w:id="558"/>
      <w:bookmarkEnd w:id="559"/>
      <w:bookmarkEnd w:id="560"/>
      <w:bookmarkEnd w:id="561"/>
      <w:bookmarkEnd w:id="562"/>
      <w:bookmarkEnd w:id="563"/>
      <w:bookmarkEnd w:id="564"/>
      <w:bookmarkEnd w:id="565"/>
      <w:bookmarkEnd w:id="566"/>
      <w:bookmarkEnd w:id="567"/>
    </w:p>
    <w:p>
      <w:pPr>
        <w:spacing w:line="360" w:lineRule="exact"/>
        <w:ind w:firstLine="480" w:firstLineChars="200"/>
        <w:rPr>
          <w:rFonts w:ascii="宋体" w:hAnsi="宋体" w:cs="宋体"/>
          <w:color w:val="000000"/>
          <w:sz w:val="24"/>
        </w:rPr>
      </w:pPr>
      <w:r>
        <w:rPr>
          <w:rFonts w:hint="eastAsia" w:ascii="宋体" w:hAnsi="宋体" w:cs="宋体"/>
          <w:color w:val="000000"/>
          <w:sz w:val="24"/>
        </w:rPr>
        <w:t>2.4.1</w:t>
      </w:r>
      <w:r>
        <w:rPr>
          <w:rFonts w:hint="eastAsia" w:ascii="仿宋_GB2312" w:hAnsi="Calibri" w:eastAsia="仿宋_GB2312" w:cs="Times New Roman"/>
          <w:kern w:val="2"/>
          <w:sz w:val="24"/>
          <w:szCs w:val="24"/>
          <w:lang w:val="zh-CN" w:eastAsia="zh-CN" w:bidi="ar-SA"/>
        </w:rPr>
        <w:t>除</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rPr>
          <w:rFonts w:ascii="宋体" w:hAnsi="宋体" w:cs="宋体"/>
          <w:color w:val="000000"/>
          <w:sz w:val="24"/>
        </w:rPr>
      </w:pPr>
      <w:r>
        <w:rPr>
          <w:rFonts w:hint="eastAsia" w:ascii="宋体" w:hAnsi="宋体" w:cs="宋体"/>
          <w:color w:val="000000"/>
          <w:sz w:val="24"/>
        </w:rPr>
        <w:t>2.4.2 装</w:t>
      </w:r>
      <w:r>
        <w:rPr>
          <w:rFonts w:hint="eastAsia" w:ascii="仿宋_GB2312" w:hAnsi="Calibri" w:eastAsia="仿宋_GB2312" w:cs="Times New Roman"/>
          <w:kern w:val="2"/>
          <w:sz w:val="24"/>
          <w:szCs w:val="24"/>
          <w:lang w:val="zh-CN" w:eastAsia="zh-CN" w:bidi="ar-SA"/>
        </w:rPr>
        <w:t>运货物的要求和通知，详见</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w:t>
      </w:r>
    </w:p>
    <w:p>
      <w:pPr>
        <w:spacing w:line="360" w:lineRule="exact"/>
        <w:ind w:firstLine="482" w:firstLineChars="200"/>
        <w:outlineLvl w:val="0"/>
        <w:rPr>
          <w:rFonts w:ascii="宋体" w:hAnsi="宋体" w:cs="宋体"/>
          <w:b/>
          <w:color w:val="000000"/>
          <w:sz w:val="24"/>
        </w:rPr>
      </w:pPr>
      <w:bookmarkStart w:id="568" w:name="_Toc259093674"/>
      <w:bookmarkStart w:id="569" w:name="_Ref467378591"/>
      <w:bookmarkStart w:id="570" w:name="_Toc487900354"/>
      <w:bookmarkStart w:id="571" w:name="_Ref467379536"/>
      <w:bookmarkStart w:id="572" w:name="_Ref467378541"/>
      <w:bookmarkStart w:id="573" w:name="_Ref467379542"/>
      <w:bookmarkStart w:id="574" w:name="_Toc279701245"/>
      <w:bookmarkStart w:id="575" w:name="_Ref467379527"/>
      <w:bookmarkStart w:id="576" w:name="_Toc9729"/>
      <w:bookmarkStart w:id="577" w:name="_Toc5359"/>
      <w:bookmarkStart w:id="578" w:name="_Toc19285"/>
      <w:bookmarkStart w:id="579" w:name="_Toc19074"/>
      <w:bookmarkStart w:id="580" w:name="_Toc18515"/>
      <w:bookmarkStart w:id="581" w:name="_Toc26182"/>
      <w:bookmarkStart w:id="582" w:name="_Toc27382"/>
      <w:bookmarkStart w:id="583" w:name="_Toc30272"/>
      <w:bookmarkStart w:id="584" w:name="_Toc12871"/>
      <w:bookmarkStart w:id="585" w:name="_Toc15512"/>
      <w:r>
        <w:rPr>
          <w:rFonts w:hint="eastAsia" w:ascii="宋体" w:hAnsi="宋体" w:cs="宋体"/>
          <w:b/>
          <w:color w:val="000000"/>
          <w:sz w:val="24"/>
        </w:rPr>
        <w:t>2.</w:t>
      </w:r>
      <w:bookmarkEnd w:id="568"/>
      <w:bookmarkEnd w:id="569"/>
      <w:bookmarkEnd w:id="570"/>
      <w:bookmarkEnd w:id="571"/>
      <w:bookmarkEnd w:id="572"/>
      <w:bookmarkEnd w:id="573"/>
      <w:bookmarkEnd w:id="574"/>
      <w:bookmarkEnd w:id="575"/>
      <w:r>
        <w:rPr>
          <w:rFonts w:hint="eastAsia" w:ascii="宋体" w:hAnsi="宋体" w:cs="宋体"/>
          <w:b/>
          <w:color w:val="000000"/>
          <w:sz w:val="24"/>
        </w:rPr>
        <w:t>5 履约检查和问题反馈</w:t>
      </w:r>
      <w:bookmarkEnd w:id="576"/>
      <w:bookmarkEnd w:id="577"/>
      <w:bookmarkEnd w:id="578"/>
      <w:bookmarkEnd w:id="579"/>
      <w:bookmarkEnd w:id="580"/>
      <w:bookmarkEnd w:id="581"/>
      <w:bookmarkEnd w:id="582"/>
      <w:bookmarkEnd w:id="583"/>
      <w:bookmarkEnd w:id="584"/>
      <w:bookmarkEnd w:id="585"/>
    </w:p>
    <w:p>
      <w:pPr>
        <w:spacing w:line="360" w:lineRule="exact"/>
        <w:ind w:firstLine="480" w:firstLineChars="200"/>
        <w:rPr>
          <w:rFonts w:hint="eastAsia" w:ascii="仿宋_GB2312" w:hAnsi="Calibri" w:eastAsia="仿宋_GB2312" w:cs="Times New Roman"/>
          <w:kern w:val="2"/>
          <w:sz w:val="24"/>
          <w:szCs w:val="24"/>
          <w:lang w:val="zh-CN" w:eastAsia="zh-CN" w:bidi="ar-SA"/>
        </w:rPr>
      </w:pPr>
      <w:bookmarkStart w:id="586" w:name="_Ref467379657"/>
      <w:r>
        <w:rPr>
          <w:rFonts w:hint="eastAsia" w:ascii="宋体" w:hAnsi="宋体" w:cs="宋体"/>
          <w:color w:val="000000"/>
          <w:sz w:val="24"/>
        </w:rPr>
        <w:t>2.5.1</w:t>
      </w:r>
      <w:bookmarkEnd w:id="586"/>
      <w:bookmarkStart w:id="587" w:name="_Toc186431854"/>
      <w:bookmarkStart w:id="588" w:name="_Toc259093676"/>
      <w:bookmarkStart w:id="589" w:name="_Ref467379793"/>
      <w:bookmarkStart w:id="590" w:name="_Toc279701247"/>
      <w:bookmarkStart w:id="591" w:name="_Toc487900357"/>
      <w:bookmarkStart w:id="592" w:name="_Ref467379807"/>
      <w:r>
        <w:rPr>
          <w:rFonts w:hint="eastAsia" w:ascii="仿宋_GB2312" w:hAnsi="Calibri" w:eastAsia="仿宋_GB2312" w:cs="Times New Roman"/>
          <w:kern w:val="2"/>
          <w:sz w:val="24"/>
          <w:szCs w:val="24"/>
          <w:lang w:val="zh-CN" w:eastAsia="zh-CN" w:bidi="ar-SA"/>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2.5.2 合同履行期间，甲方有权将履行过程中出现的问题反馈给乙方，双方当事人应以书面形式约定需要完善和改进的内容</w:t>
      </w:r>
      <w:bookmarkEnd w:id="587"/>
      <w:bookmarkStart w:id="593" w:name="_Toc186431855"/>
      <w:r>
        <w:rPr>
          <w:rFonts w:hint="eastAsia" w:ascii="仿宋_GB2312" w:hAnsi="Calibri" w:eastAsia="仿宋_GB2312" w:cs="Times New Roman"/>
          <w:kern w:val="2"/>
          <w:sz w:val="24"/>
          <w:szCs w:val="24"/>
          <w:lang w:val="zh-CN" w:eastAsia="zh-CN" w:bidi="ar-SA"/>
        </w:rPr>
        <w:t>。</w:t>
      </w:r>
    </w:p>
    <w:bookmarkEnd w:id="593"/>
    <w:p>
      <w:pPr>
        <w:spacing w:line="360" w:lineRule="exact"/>
        <w:ind w:firstLine="482" w:firstLineChars="200"/>
        <w:outlineLvl w:val="0"/>
        <w:rPr>
          <w:rFonts w:ascii="宋体" w:hAnsi="宋体" w:cs="宋体"/>
          <w:b/>
          <w:color w:val="000000"/>
          <w:sz w:val="24"/>
        </w:rPr>
      </w:pPr>
      <w:bookmarkStart w:id="594" w:name="_Toc26232"/>
      <w:bookmarkStart w:id="595" w:name="_Toc19219"/>
      <w:bookmarkStart w:id="596" w:name="_Toc14421"/>
      <w:bookmarkStart w:id="597" w:name="_Toc5304"/>
      <w:bookmarkStart w:id="598" w:name="_Toc7836"/>
      <w:bookmarkStart w:id="599" w:name="_Toc28451"/>
      <w:bookmarkStart w:id="600" w:name="_Toc23677"/>
      <w:bookmarkStart w:id="601" w:name="_Toc21697"/>
      <w:bookmarkStart w:id="602" w:name="_Toc23060"/>
      <w:bookmarkStart w:id="603" w:name="_Toc8744"/>
      <w:bookmarkStart w:id="604" w:name="_Toc234"/>
      <w:r>
        <w:rPr>
          <w:rFonts w:hint="eastAsia" w:ascii="宋体" w:hAnsi="宋体" w:cs="宋体"/>
          <w:b/>
          <w:color w:val="000000"/>
          <w:sz w:val="24"/>
        </w:rPr>
        <w:t>2.6 结算方式和付款条件</w:t>
      </w:r>
      <w:bookmarkEnd w:id="588"/>
      <w:bookmarkEnd w:id="589"/>
      <w:bookmarkEnd w:id="590"/>
      <w:bookmarkEnd w:id="591"/>
      <w:bookmarkEnd w:id="592"/>
      <w:bookmarkEnd w:id="594"/>
      <w:bookmarkEnd w:id="595"/>
      <w:bookmarkEnd w:id="596"/>
      <w:bookmarkEnd w:id="597"/>
      <w:bookmarkEnd w:id="598"/>
      <w:bookmarkEnd w:id="599"/>
      <w:bookmarkEnd w:id="600"/>
      <w:bookmarkEnd w:id="601"/>
      <w:bookmarkEnd w:id="602"/>
      <w:bookmarkEnd w:id="603"/>
      <w:bookmarkEnd w:id="604"/>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详见</w:t>
      </w:r>
      <w:r>
        <w:rPr>
          <w:rFonts w:hint="eastAsia" w:ascii="仿宋_GB2312" w:hAnsi="Calibri" w:eastAsia="仿宋_GB2312" w:cs="Times New Roman"/>
          <w:b/>
          <w:bCs/>
          <w:kern w:val="2"/>
          <w:sz w:val="24"/>
          <w:szCs w:val="24"/>
          <w:u w:val="single"/>
          <w:lang w:val="zh-CN" w:eastAsia="zh-CN" w:bidi="ar-SA"/>
        </w:rPr>
        <w:t>合同专用条款。</w:t>
      </w:r>
    </w:p>
    <w:p>
      <w:pPr>
        <w:spacing w:line="360" w:lineRule="exact"/>
        <w:ind w:firstLine="482" w:firstLineChars="200"/>
        <w:outlineLvl w:val="0"/>
        <w:rPr>
          <w:rFonts w:ascii="宋体" w:hAnsi="宋体" w:cs="宋体"/>
          <w:b/>
          <w:color w:val="000000"/>
          <w:sz w:val="24"/>
        </w:rPr>
      </w:pPr>
      <w:bookmarkStart w:id="605" w:name="_Ref467379852"/>
      <w:bookmarkStart w:id="606" w:name="_Toc279701248"/>
      <w:bookmarkStart w:id="607" w:name="_Toc487900358"/>
      <w:bookmarkStart w:id="608" w:name="_Ref467379923"/>
      <w:bookmarkStart w:id="609" w:name="_Toc259093677"/>
      <w:bookmarkStart w:id="610" w:name="_Ref467379863"/>
      <w:bookmarkStart w:id="611" w:name="_Toc25192"/>
      <w:bookmarkStart w:id="612" w:name="_Toc16110"/>
      <w:bookmarkStart w:id="613" w:name="_Toc29030"/>
      <w:bookmarkStart w:id="614" w:name="_Toc25255"/>
      <w:bookmarkStart w:id="615" w:name="_Toc774"/>
      <w:bookmarkStart w:id="616" w:name="_Toc31567"/>
      <w:bookmarkStart w:id="617" w:name="_Toc13023"/>
      <w:bookmarkStart w:id="618" w:name="_Toc1056"/>
      <w:bookmarkStart w:id="619" w:name="_Toc32745"/>
      <w:bookmarkStart w:id="620" w:name="_Toc3225"/>
      <w:bookmarkStart w:id="621" w:name="_Toc17051"/>
      <w:r>
        <w:rPr>
          <w:rFonts w:hint="eastAsia" w:ascii="宋体" w:hAnsi="宋体" w:cs="宋体"/>
          <w:b/>
          <w:color w:val="000000"/>
          <w:sz w:val="24"/>
        </w:rPr>
        <w:t>2.7 技术资料</w:t>
      </w:r>
      <w:bookmarkEnd w:id="605"/>
      <w:bookmarkEnd w:id="606"/>
      <w:bookmarkEnd w:id="607"/>
      <w:bookmarkEnd w:id="608"/>
      <w:bookmarkEnd w:id="609"/>
      <w:bookmarkEnd w:id="610"/>
      <w:r>
        <w:rPr>
          <w:rFonts w:hint="eastAsia" w:ascii="宋体" w:hAnsi="宋体" w:cs="宋体"/>
          <w:b/>
          <w:color w:val="000000"/>
          <w:sz w:val="24"/>
        </w:rPr>
        <w:t>和保密义务</w:t>
      </w:r>
      <w:bookmarkEnd w:id="611"/>
      <w:bookmarkEnd w:id="612"/>
      <w:bookmarkEnd w:id="613"/>
      <w:bookmarkEnd w:id="614"/>
      <w:bookmarkEnd w:id="615"/>
      <w:bookmarkEnd w:id="616"/>
      <w:bookmarkEnd w:id="617"/>
      <w:bookmarkEnd w:id="618"/>
      <w:bookmarkEnd w:id="619"/>
      <w:bookmarkEnd w:id="620"/>
      <w:bookmarkEnd w:id="621"/>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 xml:space="preserve">2.7.1 </w:t>
      </w:r>
      <w:r>
        <w:rPr>
          <w:rFonts w:hint="eastAsia" w:ascii="仿宋_GB2312" w:hAnsi="Calibri" w:eastAsia="仿宋_GB2312" w:cs="Times New Roman"/>
          <w:kern w:val="2"/>
          <w:sz w:val="24"/>
          <w:szCs w:val="24"/>
          <w:lang w:val="zh-CN" w:eastAsia="zh-CN" w:bidi="ar-SA"/>
        </w:rPr>
        <w:t>乙方有权依据合同约定和项目需要，向甲方了解有关情况，调阅有关资料等，甲方应予积极配合；</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2.7.2 乙方有义务妥善保管和保护由甲方提供的前款信息和资料等；</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2" w:firstLineChars="200"/>
        <w:outlineLvl w:val="0"/>
        <w:rPr>
          <w:rFonts w:ascii="宋体" w:hAnsi="宋体" w:cs="宋体"/>
          <w:b/>
          <w:color w:val="000000"/>
          <w:sz w:val="24"/>
        </w:rPr>
      </w:pPr>
      <w:bookmarkStart w:id="622" w:name="_Toc3156"/>
      <w:bookmarkStart w:id="623" w:name="_Toc5200"/>
      <w:bookmarkStart w:id="624" w:name="_Toc16234"/>
      <w:bookmarkStart w:id="625" w:name="_Toc11530"/>
      <w:bookmarkStart w:id="626" w:name="_Toc32115"/>
      <w:bookmarkStart w:id="627" w:name="_Toc2107"/>
      <w:bookmarkStart w:id="628" w:name="_Toc24102"/>
      <w:bookmarkStart w:id="629" w:name="_Toc14622"/>
      <w:bookmarkStart w:id="630" w:name="_Toc7860"/>
      <w:r>
        <w:rPr>
          <w:rFonts w:hint="eastAsia" w:ascii="宋体" w:hAnsi="宋体" w:cs="宋体"/>
          <w:b/>
          <w:color w:val="000000"/>
          <w:sz w:val="24"/>
        </w:rPr>
        <w:t>2.8 质量保证</w:t>
      </w:r>
      <w:bookmarkEnd w:id="622"/>
      <w:bookmarkEnd w:id="623"/>
      <w:bookmarkEnd w:id="624"/>
      <w:bookmarkEnd w:id="625"/>
      <w:bookmarkEnd w:id="626"/>
      <w:bookmarkEnd w:id="627"/>
      <w:bookmarkEnd w:id="628"/>
      <w:bookmarkEnd w:id="629"/>
      <w:bookmarkEnd w:id="630"/>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2.8.1 乙方应建立和完善履行合同的内部质量保证体系，并提供相关内部规章制度给甲方，以便甲方进行监督检查；</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2.8.2 乙方应保证履行合同的人员数量和素质、软件和硬件设备的配置、场地、环境和设施等满足全面履行合同的要求，并应接受甲方的监督检查。</w:t>
      </w:r>
    </w:p>
    <w:p>
      <w:pPr>
        <w:spacing w:line="360" w:lineRule="exact"/>
        <w:ind w:firstLine="482" w:firstLineChars="200"/>
        <w:outlineLvl w:val="0"/>
        <w:rPr>
          <w:rFonts w:ascii="宋体" w:hAnsi="宋体" w:cs="宋体"/>
          <w:b/>
          <w:color w:val="000000"/>
          <w:sz w:val="24"/>
        </w:rPr>
      </w:pPr>
      <w:bookmarkStart w:id="631" w:name="_Toc23327"/>
      <w:bookmarkStart w:id="632" w:name="_Toc17244"/>
      <w:bookmarkStart w:id="633" w:name="_Toc23172"/>
      <w:bookmarkStart w:id="634" w:name="_Toc31721"/>
      <w:bookmarkStart w:id="635" w:name="_Toc5062"/>
      <w:bookmarkStart w:id="636" w:name="_Toc27234"/>
      <w:bookmarkStart w:id="637" w:name="_Toc17030"/>
      <w:bookmarkStart w:id="638" w:name="_Toc15515"/>
      <w:bookmarkStart w:id="639" w:name="_Toc9545"/>
      <w:bookmarkStart w:id="640" w:name="_Toc259093681"/>
      <w:bookmarkStart w:id="641" w:name="_Toc487900362"/>
      <w:bookmarkStart w:id="642" w:name="_Toc279701252"/>
      <w:r>
        <w:rPr>
          <w:rFonts w:hint="eastAsia" w:ascii="宋体" w:hAnsi="宋体" w:cs="宋体"/>
          <w:b/>
          <w:color w:val="000000"/>
          <w:sz w:val="24"/>
        </w:rPr>
        <w:t>2.9 货物的风险负担</w:t>
      </w:r>
      <w:bookmarkEnd w:id="631"/>
      <w:bookmarkEnd w:id="632"/>
      <w:bookmarkEnd w:id="633"/>
      <w:bookmarkEnd w:id="634"/>
      <w:bookmarkEnd w:id="635"/>
      <w:bookmarkEnd w:id="636"/>
      <w:bookmarkEnd w:id="637"/>
      <w:bookmarkEnd w:id="638"/>
      <w:bookmarkEnd w:id="639"/>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货物或者在途货物或者交付给第一承运人后的货物毁损、灭失的风险负担详见</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w:t>
      </w:r>
    </w:p>
    <w:p>
      <w:pPr>
        <w:spacing w:line="360" w:lineRule="exact"/>
        <w:ind w:firstLine="482" w:firstLineChars="200"/>
        <w:outlineLvl w:val="0"/>
        <w:rPr>
          <w:rFonts w:ascii="宋体" w:hAnsi="宋体" w:cs="宋体"/>
          <w:b/>
          <w:color w:val="000000"/>
          <w:sz w:val="24"/>
        </w:rPr>
      </w:pPr>
      <w:bookmarkStart w:id="643" w:name="_Toc15761"/>
      <w:bookmarkStart w:id="644" w:name="_Toc18052"/>
      <w:bookmarkStart w:id="645" w:name="_Toc6602"/>
      <w:bookmarkStart w:id="646" w:name="_Toc22315"/>
      <w:bookmarkStart w:id="647" w:name="_Toc22052"/>
      <w:bookmarkStart w:id="648" w:name="_Toc19684"/>
      <w:bookmarkStart w:id="649" w:name="_Toc14055"/>
      <w:bookmarkStart w:id="650" w:name="_Toc26460"/>
      <w:bookmarkStart w:id="651" w:name="_Toc15972"/>
      <w:r>
        <w:rPr>
          <w:rFonts w:hint="eastAsia" w:ascii="宋体" w:hAnsi="宋体" w:cs="宋体"/>
          <w:b/>
          <w:color w:val="000000"/>
          <w:sz w:val="24"/>
        </w:rPr>
        <w:t>2.10 延迟交货</w:t>
      </w:r>
      <w:bookmarkEnd w:id="640"/>
      <w:bookmarkEnd w:id="641"/>
      <w:bookmarkEnd w:id="642"/>
      <w:bookmarkEnd w:id="643"/>
      <w:bookmarkEnd w:id="644"/>
      <w:bookmarkEnd w:id="645"/>
      <w:bookmarkEnd w:id="646"/>
      <w:bookmarkEnd w:id="647"/>
      <w:bookmarkEnd w:id="648"/>
      <w:bookmarkEnd w:id="649"/>
      <w:bookmarkEnd w:id="650"/>
      <w:bookmarkEnd w:id="651"/>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2" w:firstLineChars="200"/>
        <w:outlineLvl w:val="0"/>
        <w:rPr>
          <w:rFonts w:ascii="宋体" w:hAnsi="宋体" w:cs="宋体"/>
          <w:b/>
          <w:color w:val="000000"/>
          <w:sz w:val="24"/>
        </w:rPr>
      </w:pPr>
      <w:bookmarkStart w:id="652" w:name="_Toc3186"/>
      <w:bookmarkStart w:id="653" w:name="_Toc507"/>
      <w:bookmarkStart w:id="654" w:name="_Toc9605"/>
      <w:bookmarkStart w:id="655" w:name="_Toc12175"/>
      <w:bookmarkStart w:id="656" w:name="_Toc26465"/>
      <w:bookmarkStart w:id="657" w:name="_Toc7502"/>
      <w:bookmarkStart w:id="658" w:name="_Toc1965"/>
      <w:bookmarkStart w:id="659" w:name="_Toc11091"/>
      <w:bookmarkStart w:id="660" w:name="_Toc14851"/>
      <w:bookmarkStart w:id="661" w:name="_Toc279701254"/>
      <w:bookmarkStart w:id="662" w:name="_Toc259093683"/>
      <w:bookmarkStart w:id="663" w:name="_Toc487900364"/>
      <w:bookmarkStart w:id="664" w:name="_Ref467378121"/>
      <w:r>
        <w:rPr>
          <w:rFonts w:hint="eastAsia" w:ascii="宋体" w:hAnsi="宋体" w:cs="宋体"/>
          <w:b/>
          <w:color w:val="000000"/>
          <w:sz w:val="24"/>
        </w:rPr>
        <w:t>2.11 合同变更</w:t>
      </w:r>
      <w:bookmarkEnd w:id="652"/>
      <w:bookmarkEnd w:id="653"/>
      <w:bookmarkEnd w:id="654"/>
      <w:bookmarkEnd w:id="655"/>
      <w:bookmarkEnd w:id="656"/>
      <w:bookmarkEnd w:id="657"/>
      <w:bookmarkEnd w:id="658"/>
      <w:bookmarkEnd w:id="659"/>
      <w:bookmarkEnd w:id="660"/>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2.11.2 合同继续履行将损害国家利益和社会公共利益的，双方当事人应当以书面形式变更合同。有过错的一方应当承担赔偿责任，双方当事人都有过错的，各自承担相应的责任。</w:t>
      </w:r>
      <w:bookmarkStart w:id="665" w:name="_Toc259093688"/>
      <w:bookmarkStart w:id="666" w:name="_Toc487900369"/>
      <w:bookmarkStart w:id="667" w:name="_Toc279701259"/>
    </w:p>
    <w:p>
      <w:pPr>
        <w:spacing w:line="360" w:lineRule="exact"/>
        <w:ind w:firstLine="482" w:firstLineChars="200"/>
        <w:outlineLvl w:val="0"/>
        <w:rPr>
          <w:rFonts w:ascii="宋体" w:hAnsi="宋体" w:cs="宋体"/>
          <w:b/>
          <w:color w:val="000000"/>
          <w:sz w:val="24"/>
        </w:rPr>
      </w:pPr>
      <w:bookmarkStart w:id="668" w:name="_Toc24511"/>
      <w:bookmarkStart w:id="669" w:name="_Toc19076"/>
      <w:bookmarkStart w:id="670" w:name="_Toc10366"/>
      <w:bookmarkStart w:id="671" w:name="_Toc11911"/>
      <w:bookmarkStart w:id="672" w:name="_Toc12088"/>
      <w:bookmarkStart w:id="673" w:name="_Toc22955"/>
      <w:bookmarkStart w:id="674" w:name="_Toc20163"/>
      <w:bookmarkStart w:id="675" w:name="_Toc15237"/>
      <w:bookmarkStart w:id="676" w:name="_Toc11626"/>
      <w:bookmarkStart w:id="677" w:name="_Toc26224"/>
      <w:bookmarkStart w:id="678" w:name="_Toc27772"/>
      <w:r>
        <w:rPr>
          <w:rFonts w:hint="eastAsia" w:ascii="宋体" w:hAnsi="宋体" w:cs="宋体"/>
          <w:b/>
          <w:color w:val="000000"/>
          <w:sz w:val="24"/>
        </w:rPr>
        <w:t>2.12 合同转让</w:t>
      </w:r>
      <w:bookmarkEnd w:id="665"/>
      <w:bookmarkEnd w:id="666"/>
      <w:bookmarkEnd w:id="667"/>
      <w:r>
        <w:rPr>
          <w:rFonts w:hint="eastAsia" w:ascii="宋体" w:hAnsi="宋体" w:cs="宋体"/>
          <w:b/>
          <w:color w:val="000000"/>
          <w:sz w:val="24"/>
        </w:rPr>
        <w:t>和分包</w:t>
      </w:r>
      <w:bookmarkEnd w:id="668"/>
      <w:bookmarkEnd w:id="669"/>
      <w:bookmarkEnd w:id="670"/>
      <w:bookmarkEnd w:id="671"/>
      <w:bookmarkEnd w:id="672"/>
      <w:bookmarkEnd w:id="673"/>
      <w:bookmarkEnd w:id="674"/>
      <w:bookmarkEnd w:id="675"/>
      <w:bookmarkEnd w:id="676"/>
      <w:bookmarkEnd w:id="677"/>
      <w:bookmarkEnd w:id="678"/>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2" w:firstLineChars="200"/>
        <w:outlineLvl w:val="0"/>
        <w:rPr>
          <w:rFonts w:ascii="宋体" w:hAnsi="宋体" w:cs="宋体"/>
          <w:b/>
          <w:color w:val="000000"/>
          <w:sz w:val="24"/>
        </w:rPr>
      </w:pPr>
      <w:bookmarkStart w:id="679" w:name="_Toc15478"/>
      <w:bookmarkStart w:id="680" w:name="_Toc17514"/>
      <w:bookmarkStart w:id="681" w:name="_Toc13566"/>
      <w:bookmarkStart w:id="682" w:name="_Toc15879"/>
      <w:bookmarkStart w:id="683" w:name="_Toc17498"/>
      <w:bookmarkStart w:id="684" w:name="_Toc30115"/>
      <w:bookmarkStart w:id="685" w:name="_Toc22609"/>
      <w:bookmarkStart w:id="686" w:name="_Toc12809"/>
      <w:bookmarkStart w:id="687" w:name="_Toc16508"/>
      <w:bookmarkStart w:id="688" w:name="_Toc13557"/>
      <w:bookmarkStart w:id="689" w:name="_Toc14066"/>
      <w:r>
        <w:rPr>
          <w:rFonts w:hint="eastAsia" w:ascii="宋体" w:hAnsi="宋体" w:cs="宋体"/>
          <w:b/>
          <w:color w:val="000000"/>
          <w:sz w:val="24"/>
        </w:rPr>
        <w:t>2.13 不可抗力</w:t>
      </w:r>
      <w:bookmarkEnd w:id="679"/>
      <w:bookmarkEnd w:id="680"/>
      <w:bookmarkEnd w:id="681"/>
      <w:bookmarkEnd w:id="682"/>
      <w:bookmarkEnd w:id="683"/>
      <w:bookmarkEnd w:id="684"/>
      <w:bookmarkEnd w:id="685"/>
      <w:bookmarkEnd w:id="686"/>
      <w:bookmarkEnd w:id="687"/>
      <w:bookmarkEnd w:id="688"/>
      <w:bookmarkEnd w:id="689"/>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2.13.1如果任何一方遭遇法律规定的不可抗力，致使合同履行受阻时，履行合同的期限应予延长，延长的期限应相当于不可抗力所影响的时间；</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2.13.2 因不可抗力致使不能实现合同目的的，当事人可以解除合同；</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 xml:space="preserve">2.13.3 </w:t>
      </w:r>
      <w:r>
        <w:rPr>
          <w:rFonts w:hint="eastAsia" w:ascii="仿宋_GB2312" w:hAnsi="Calibri" w:eastAsia="仿宋_GB2312" w:cs="Times New Roman"/>
          <w:kern w:val="2"/>
          <w:sz w:val="24"/>
          <w:szCs w:val="24"/>
          <w:lang w:val="zh-CN" w:eastAsia="zh-CN" w:bidi="ar-SA"/>
        </w:rPr>
        <w:t>因不可抗力致使合同有变更必要的，双方当事人应在</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约定时间内以书面形式变更合同；</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2.13.4</w:t>
      </w:r>
      <w:r>
        <w:rPr>
          <w:rFonts w:hint="eastAsia" w:ascii="仿宋_GB2312" w:hAnsi="Calibri" w:eastAsia="仿宋_GB2312" w:cs="Times New Roman"/>
          <w:kern w:val="2"/>
          <w:sz w:val="24"/>
          <w:szCs w:val="24"/>
          <w:lang w:val="zh-CN" w:eastAsia="zh-CN" w:bidi="ar-SA"/>
        </w:rPr>
        <w:t>受不可抗力影响的一方在不可抗力发生后，应在</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约定时间内以书面形式通知对方当事人，并在</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约定时间内，将有关部门出具的证明文件送达对方当事人。</w:t>
      </w:r>
    </w:p>
    <w:p>
      <w:pPr>
        <w:spacing w:line="360" w:lineRule="exact"/>
        <w:ind w:firstLine="482" w:firstLineChars="200"/>
        <w:outlineLvl w:val="0"/>
        <w:rPr>
          <w:rFonts w:ascii="宋体" w:hAnsi="宋体" w:cs="宋体"/>
          <w:b/>
          <w:color w:val="000000"/>
          <w:sz w:val="24"/>
        </w:rPr>
      </w:pPr>
      <w:bookmarkStart w:id="690" w:name="_Toc487900365"/>
      <w:bookmarkStart w:id="691" w:name="_Toc6718"/>
      <w:bookmarkStart w:id="692" w:name="_Toc259093684"/>
      <w:bookmarkStart w:id="693" w:name="_Toc6969"/>
      <w:bookmarkStart w:id="694" w:name="_Toc13339"/>
      <w:bookmarkStart w:id="695" w:name="_Toc689"/>
      <w:bookmarkStart w:id="696" w:name="_Toc6288"/>
      <w:bookmarkStart w:id="697" w:name="_Toc279701255"/>
      <w:bookmarkStart w:id="698" w:name="_Toc30676"/>
      <w:bookmarkStart w:id="699" w:name="_Toc11423"/>
      <w:bookmarkStart w:id="700" w:name="_Toc31597"/>
      <w:bookmarkStart w:id="701" w:name="_Toc16712"/>
      <w:bookmarkStart w:id="702" w:name="_Toc17033"/>
      <w:bookmarkStart w:id="703" w:name="_Toc4350"/>
      <w:r>
        <w:rPr>
          <w:rFonts w:hint="eastAsia" w:ascii="宋体" w:hAnsi="宋体" w:cs="宋体"/>
          <w:b/>
          <w:color w:val="000000"/>
          <w:sz w:val="24"/>
        </w:rPr>
        <w:t>2.14 税费</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与合同有关的一切税费，均按照中华人民共和国法律的相关规定。</w:t>
      </w:r>
    </w:p>
    <w:p>
      <w:pPr>
        <w:spacing w:line="360" w:lineRule="exact"/>
        <w:ind w:firstLine="482" w:firstLineChars="200"/>
        <w:outlineLvl w:val="0"/>
        <w:rPr>
          <w:rFonts w:ascii="宋体" w:hAnsi="宋体" w:cs="宋体"/>
          <w:b/>
          <w:color w:val="000000"/>
          <w:sz w:val="24"/>
        </w:rPr>
      </w:pPr>
      <w:bookmarkStart w:id="704" w:name="_Toc7102"/>
      <w:bookmarkStart w:id="705" w:name="_Toc8298"/>
      <w:bookmarkStart w:id="706" w:name="_Toc29869"/>
      <w:bookmarkStart w:id="707" w:name="_Toc16635"/>
      <w:bookmarkStart w:id="708" w:name="_Toc12141"/>
      <w:bookmarkStart w:id="709" w:name="_Toc25260"/>
      <w:bookmarkStart w:id="710" w:name="_Toc31324"/>
      <w:bookmarkStart w:id="711" w:name="_Toc487900368"/>
      <w:bookmarkStart w:id="712" w:name="_Toc16959"/>
      <w:bookmarkStart w:id="713" w:name="_Toc20302"/>
      <w:bookmarkStart w:id="714" w:name="_Toc24980"/>
      <w:bookmarkStart w:id="715" w:name="_Toc259093687"/>
      <w:bookmarkStart w:id="716" w:name="_Toc24699"/>
      <w:bookmarkStart w:id="717" w:name="_Toc279701258"/>
      <w:r>
        <w:rPr>
          <w:rFonts w:hint="eastAsia" w:ascii="宋体" w:hAnsi="宋体" w:cs="宋体"/>
          <w:b/>
          <w:color w:val="000000"/>
          <w:sz w:val="24"/>
        </w:rPr>
        <w:t>2.15 乙方破产</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2" w:firstLineChars="200"/>
        <w:outlineLvl w:val="0"/>
        <w:rPr>
          <w:rFonts w:ascii="宋体" w:hAnsi="宋体" w:cs="宋体"/>
          <w:b/>
          <w:color w:val="000000"/>
          <w:sz w:val="24"/>
        </w:rPr>
      </w:pPr>
      <w:bookmarkStart w:id="718" w:name="_Toc15387"/>
      <w:bookmarkStart w:id="719" w:name="_Toc5919"/>
      <w:bookmarkStart w:id="720" w:name="_Toc30321"/>
      <w:bookmarkStart w:id="721" w:name="_Toc24976"/>
      <w:bookmarkStart w:id="722" w:name="_Toc23823"/>
      <w:bookmarkStart w:id="723" w:name="_Toc10602"/>
      <w:bookmarkStart w:id="724" w:name="_Toc29333"/>
      <w:bookmarkStart w:id="725" w:name="_Toc4227"/>
      <w:bookmarkStart w:id="726" w:name="_Toc6134"/>
      <w:bookmarkStart w:id="727" w:name="_Toc24867"/>
      <w:bookmarkStart w:id="728" w:name="_Toc10450"/>
      <w:r>
        <w:rPr>
          <w:rFonts w:hint="eastAsia" w:ascii="宋体" w:hAnsi="宋体" w:cs="宋体"/>
          <w:b/>
          <w:color w:val="000000"/>
          <w:sz w:val="24"/>
        </w:rPr>
        <w:t>2.16 合同中止、终止</w:t>
      </w:r>
      <w:bookmarkEnd w:id="718"/>
      <w:bookmarkEnd w:id="719"/>
      <w:bookmarkEnd w:id="720"/>
      <w:bookmarkEnd w:id="721"/>
      <w:bookmarkEnd w:id="722"/>
      <w:bookmarkEnd w:id="723"/>
      <w:bookmarkEnd w:id="724"/>
      <w:bookmarkEnd w:id="725"/>
      <w:bookmarkEnd w:id="726"/>
      <w:bookmarkEnd w:id="727"/>
      <w:bookmarkEnd w:id="728"/>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 xml:space="preserve">2.16.1 </w:t>
      </w:r>
      <w:r>
        <w:rPr>
          <w:rFonts w:hint="eastAsia" w:ascii="仿宋_GB2312" w:hAnsi="Calibri" w:eastAsia="仿宋_GB2312" w:cs="Times New Roman"/>
          <w:kern w:val="2"/>
          <w:sz w:val="24"/>
          <w:szCs w:val="24"/>
          <w:lang w:val="zh-CN" w:eastAsia="zh-CN" w:bidi="ar-SA"/>
        </w:rPr>
        <w:t>双方当事人不得擅自中止或者终止合同；</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2.16.2</w:t>
      </w:r>
      <w:r>
        <w:rPr>
          <w:rFonts w:hint="eastAsia" w:ascii="仿宋_GB2312" w:hAnsi="Calibri" w:eastAsia="仿宋_GB2312" w:cs="Times New Roman"/>
          <w:kern w:val="2"/>
          <w:sz w:val="24"/>
          <w:szCs w:val="24"/>
          <w:lang w:val="zh-CN" w:eastAsia="zh-CN" w:bidi="ar-SA"/>
        </w:rPr>
        <w:t>合同继续履行将损害国家利益和社会公共利益的，双方当事人应当中止或者终止合同。有过错的一方应当承担赔偿责任，双方当事人都有过错的，各自承担相应的责任。</w:t>
      </w:r>
    </w:p>
    <w:p>
      <w:pPr>
        <w:spacing w:line="360" w:lineRule="exact"/>
        <w:ind w:firstLine="482" w:firstLineChars="200"/>
        <w:outlineLvl w:val="0"/>
        <w:rPr>
          <w:rFonts w:ascii="宋体" w:hAnsi="宋体" w:cs="宋体"/>
          <w:b/>
          <w:color w:val="000000"/>
          <w:sz w:val="24"/>
        </w:rPr>
      </w:pPr>
      <w:bookmarkStart w:id="729" w:name="_Toc20145"/>
      <w:bookmarkStart w:id="730" w:name="_Toc12729"/>
      <w:bookmarkStart w:id="731" w:name="_Toc30958"/>
      <w:bookmarkStart w:id="732" w:name="_Toc10184"/>
      <w:bookmarkStart w:id="733" w:name="_Toc28487"/>
      <w:bookmarkStart w:id="734" w:name="_Toc9137"/>
      <w:bookmarkStart w:id="735" w:name="_Toc14563"/>
      <w:bookmarkStart w:id="736" w:name="_Toc1125"/>
      <w:bookmarkStart w:id="737" w:name="_Toc30476"/>
      <w:bookmarkStart w:id="738" w:name="_Toc25339"/>
      <w:bookmarkStart w:id="739" w:name="_Toc6596"/>
      <w:r>
        <w:rPr>
          <w:rFonts w:hint="eastAsia" w:ascii="宋体" w:hAnsi="宋体" w:cs="宋体"/>
          <w:b/>
          <w:color w:val="000000"/>
          <w:sz w:val="24"/>
        </w:rPr>
        <w:t>2.17 检验和验收</w:t>
      </w:r>
      <w:bookmarkEnd w:id="729"/>
      <w:bookmarkEnd w:id="730"/>
      <w:bookmarkEnd w:id="731"/>
      <w:bookmarkEnd w:id="732"/>
      <w:bookmarkEnd w:id="733"/>
      <w:bookmarkEnd w:id="734"/>
      <w:bookmarkEnd w:id="735"/>
      <w:bookmarkEnd w:id="736"/>
      <w:bookmarkEnd w:id="737"/>
      <w:bookmarkEnd w:id="738"/>
      <w:bookmarkEnd w:id="739"/>
    </w:p>
    <w:p>
      <w:pPr>
        <w:tabs>
          <w:tab w:val="left" w:pos="360"/>
          <w:tab w:val="left" w:pos="540"/>
          <w:tab w:val="left" w:pos="1080"/>
        </w:tabs>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2.17.1</w:t>
      </w:r>
      <w:r>
        <w:rPr>
          <w:rFonts w:hint="eastAsia" w:ascii="仿宋_GB2312" w:hAnsi="Calibri" w:eastAsia="仿宋_GB2312" w:cs="Times New Roman"/>
          <w:kern w:val="2"/>
          <w:sz w:val="24"/>
          <w:szCs w:val="24"/>
          <w:lang w:val="zh-CN" w:eastAsia="zh-CN" w:bidi="ar-SA"/>
        </w:rPr>
        <w:t>货物交付前，乙方应对货物的质量、数量等方面进行详细、全面的检验，并向甲方出具证明货物符合合同约定的文件；货物交付时，乙方在</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约定时间内组织验收，并可依法邀请相关方参加，验收应出具验收书。</w:t>
      </w:r>
    </w:p>
    <w:p>
      <w:pPr>
        <w:tabs>
          <w:tab w:val="left" w:pos="360"/>
          <w:tab w:val="left" w:pos="540"/>
          <w:tab w:val="left" w:pos="1080"/>
        </w:tabs>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rPr>
          <w:rFonts w:hint="eastAsia" w:ascii="仿宋_GB2312" w:hAnsi="Calibri" w:eastAsia="仿宋_GB2312" w:cs="Times New Roman"/>
          <w:b/>
          <w:bCs/>
          <w:kern w:val="2"/>
          <w:sz w:val="24"/>
          <w:szCs w:val="24"/>
          <w:u w:val="single"/>
          <w:lang w:val="zh-CN" w:eastAsia="zh-CN" w:bidi="ar-SA"/>
        </w:rPr>
      </w:pPr>
      <w:r>
        <w:rPr>
          <w:rFonts w:hint="eastAsia" w:ascii="宋体" w:hAnsi="宋体" w:cs="宋体"/>
          <w:color w:val="000000"/>
          <w:sz w:val="24"/>
        </w:rPr>
        <w:t xml:space="preserve">2.17.3 </w:t>
      </w:r>
      <w:r>
        <w:rPr>
          <w:rFonts w:hint="eastAsia" w:ascii="仿宋_GB2312" w:hAnsi="Calibri" w:eastAsia="仿宋_GB2312" w:cs="Times New Roman"/>
          <w:kern w:val="2"/>
          <w:sz w:val="24"/>
          <w:szCs w:val="24"/>
          <w:lang w:val="zh-CN" w:eastAsia="zh-CN" w:bidi="ar-SA"/>
        </w:rPr>
        <w:t>检验和验收标准、程序等具体内容以及前述验收书的效力详见</w:t>
      </w:r>
      <w:r>
        <w:rPr>
          <w:rFonts w:hint="eastAsia" w:ascii="仿宋_GB2312" w:hAnsi="Calibri" w:eastAsia="仿宋_GB2312" w:cs="Times New Roman"/>
          <w:b/>
          <w:bCs/>
          <w:kern w:val="2"/>
          <w:sz w:val="24"/>
          <w:szCs w:val="24"/>
          <w:u w:val="single"/>
          <w:lang w:val="zh-CN" w:eastAsia="zh-CN" w:bidi="ar-SA"/>
        </w:rPr>
        <w:t>合同专用条款。</w:t>
      </w:r>
    </w:p>
    <w:bookmarkEnd w:id="661"/>
    <w:bookmarkEnd w:id="662"/>
    <w:bookmarkEnd w:id="663"/>
    <w:bookmarkEnd w:id="664"/>
    <w:p>
      <w:pPr>
        <w:spacing w:line="360" w:lineRule="exact"/>
        <w:ind w:firstLine="482" w:firstLineChars="200"/>
        <w:outlineLvl w:val="0"/>
        <w:rPr>
          <w:rFonts w:ascii="宋体" w:hAnsi="宋体" w:cs="宋体"/>
          <w:b/>
          <w:color w:val="000000"/>
          <w:sz w:val="24"/>
        </w:rPr>
      </w:pPr>
      <w:bookmarkStart w:id="740" w:name="_Toc259093690"/>
      <w:bookmarkStart w:id="741" w:name="_Toc279701261"/>
      <w:bookmarkStart w:id="742" w:name="_Toc487900371"/>
      <w:bookmarkStart w:id="743" w:name="_Toc11093"/>
      <w:bookmarkStart w:id="744" w:name="_Toc19604"/>
      <w:bookmarkStart w:id="745" w:name="_Toc26505"/>
      <w:bookmarkStart w:id="746" w:name="_Toc14242"/>
      <w:bookmarkStart w:id="747" w:name="_Toc25182"/>
      <w:bookmarkStart w:id="748" w:name="_Toc22021"/>
      <w:bookmarkStart w:id="749" w:name="_Toc21257"/>
      <w:bookmarkStart w:id="750" w:name="_Toc19740"/>
      <w:bookmarkStart w:id="751" w:name="_Toc13220"/>
      <w:bookmarkStart w:id="752" w:name="_Toc16177"/>
      <w:bookmarkStart w:id="753" w:name="_Toc11284"/>
      <w:r>
        <w:rPr>
          <w:rFonts w:hint="eastAsia" w:ascii="宋体" w:hAnsi="宋体" w:cs="宋体"/>
          <w:b/>
          <w:color w:val="000000"/>
          <w:sz w:val="24"/>
        </w:rPr>
        <w:t>2.18 通知</w:t>
      </w:r>
      <w:bookmarkEnd w:id="740"/>
      <w:bookmarkEnd w:id="741"/>
      <w:bookmarkEnd w:id="742"/>
      <w:r>
        <w:rPr>
          <w:rFonts w:hint="eastAsia" w:ascii="宋体" w:hAnsi="宋体" w:cs="宋体"/>
          <w:b/>
          <w:color w:val="000000"/>
          <w:sz w:val="24"/>
        </w:rPr>
        <w:t>和送达</w:t>
      </w:r>
      <w:bookmarkEnd w:id="743"/>
      <w:bookmarkEnd w:id="744"/>
      <w:bookmarkEnd w:id="745"/>
      <w:bookmarkEnd w:id="746"/>
      <w:bookmarkEnd w:id="747"/>
      <w:bookmarkEnd w:id="748"/>
      <w:bookmarkEnd w:id="749"/>
      <w:bookmarkEnd w:id="750"/>
      <w:bookmarkEnd w:id="751"/>
      <w:bookmarkEnd w:id="752"/>
      <w:bookmarkEnd w:id="753"/>
    </w:p>
    <w:p>
      <w:pPr>
        <w:spacing w:line="360" w:lineRule="exact"/>
        <w:ind w:firstLine="480" w:firstLineChars="200"/>
        <w:rPr>
          <w:rFonts w:hint="eastAsia" w:ascii="仿宋_GB2312" w:hAnsi="Calibri" w:eastAsia="仿宋_GB2312" w:cs="Times New Roman"/>
          <w:kern w:val="2"/>
          <w:sz w:val="24"/>
          <w:szCs w:val="24"/>
          <w:lang w:val="zh-CN" w:eastAsia="zh-CN" w:bidi="ar-SA"/>
        </w:rPr>
      </w:pPr>
      <w:bookmarkStart w:id="754" w:name="_Toc6698"/>
      <w:bookmarkStart w:id="755" w:name="_Toc3135"/>
      <w:bookmarkStart w:id="756" w:name="_Toc487900372"/>
      <w:bookmarkStart w:id="757" w:name="_Toc259093691"/>
      <w:bookmarkStart w:id="758" w:name="_Toc279701262"/>
      <w:r>
        <w:rPr>
          <w:rFonts w:hint="eastAsia" w:ascii="宋体" w:hAnsi="宋体" w:cs="宋体"/>
          <w:color w:val="000000"/>
          <w:sz w:val="24"/>
        </w:rPr>
        <w:t xml:space="preserve">2.18.1 </w:t>
      </w:r>
      <w:r>
        <w:rPr>
          <w:rFonts w:hint="eastAsia" w:ascii="仿宋_GB2312" w:hAnsi="Calibri" w:eastAsia="仿宋_GB2312" w:cs="Times New Roman"/>
          <w:kern w:val="2"/>
          <w:sz w:val="24"/>
          <w:szCs w:val="24"/>
          <w:lang w:val="zh-CN" w:eastAsia="zh-CN" w:bidi="ar-SA"/>
        </w:rPr>
        <w:t>任何一方因履行合同而以合同第一部分尾部所列明的          发出的所有通知、文件、材料，均视为已向对方当事人送达；任何一方变更上述送达方式或者地址的，应于</w:t>
      </w:r>
      <w:r>
        <w:rPr>
          <w:rFonts w:hint="eastAsia" w:ascii="仿宋_GB2312" w:hAnsi="Calibri" w:eastAsia="仿宋_GB2312" w:cs="Times New Roman"/>
          <w:kern w:val="2"/>
          <w:sz w:val="24"/>
          <w:szCs w:val="24"/>
          <w:u w:val="single"/>
          <w:lang w:val="zh-CN" w:eastAsia="zh-CN" w:bidi="ar-SA"/>
        </w:rPr>
        <w:t xml:space="preserve">   </w:t>
      </w:r>
      <w:r>
        <w:rPr>
          <w:rFonts w:hint="eastAsia" w:ascii="仿宋_GB2312" w:hAnsi="Calibri" w:eastAsia="仿宋_GB2312" w:cs="Times New Roman"/>
          <w:kern w:val="2"/>
          <w:sz w:val="24"/>
          <w:szCs w:val="24"/>
          <w:lang w:val="zh-CN" w:eastAsia="zh-CN" w:bidi="ar-SA"/>
        </w:rPr>
        <w:t>个工作日内书面通知对方当事人，在对方当事人收到有关变更通知之前，变更前的约定送达方式或者地址仍视为有效。</w:t>
      </w:r>
      <w:bookmarkEnd w:id="754"/>
      <w:bookmarkEnd w:id="755"/>
    </w:p>
    <w:p>
      <w:pPr>
        <w:spacing w:line="360" w:lineRule="exact"/>
        <w:ind w:firstLine="480" w:firstLineChars="200"/>
        <w:rPr>
          <w:rFonts w:ascii="宋体" w:hAnsi="宋体" w:cs="宋体"/>
          <w:color w:val="000000"/>
          <w:sz w:val="24"/>
        </w:rPr>
      </w:pPr>
      <w:bookmarkStart w:id="759" w:name="_Toc23128"/>
      <w:bookmarkStart w:id="760" w:name="_Toc23294"/>
      <w:r>
        <w:rPr>
          <w:rFonts w:hint="eastAsia" w:ascii="宋体" w:hAnsi="宋体" w:cs="宋体"/>
          <w:color w:val="000000"/>
          <w:sz w:val="24"/>
        </w:rPr>
        <w:t>2.18.2</w:t>
      </w:r>
      <w:r>
        <w:rPr>
          <w:rFonts w:hint="eastAsia" w:ascii="仿宋_GB2312" w:hAnsi="Calibri" w:eastAsia="仿宋_GB2312" w:cs="Times New Roman"/>
          <w:kern w:val="2"/>
          <w:sz w:val="24"/>
          <w:szCs w:val="24"/>
          <w:lang w:val="zh-CN" w:eastAsia="zh-CN" w:bidi="ar-SA"/>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759"/>
      <w:bookmarkEnd w:id="760"/>
    </w:p>
    <w:p>
      <w:pPr>
        <w:spacing w:line="360" w:lineRule="exact"/>
        <w:ind w:firstLine="482" w:firstLineChars="200"/>
        <w:outlineLvl w:val="0"/>
        <w:rPr>
          <w:rFonts w:ascii="宋体" w:hAnsi="宋体" w:cs="宋体"/>
          <w:b/>
          <w:color w:val="000000"/>
          <w:sz w:val="24"/>
        </w:rPr>
      </w:pPr>
      <w:bookmarkStart w:id="761" w:name="_Toc4355"/>
      <w:bookmarkStart w:id="762" w:name="_Toc15461"/>
      <w:bookmarkStart w:id="763" w:name="_Toc3215"/>
      <w:bookmarkStart w:id="764" w:name="_Toc18540"/>
      <w:bookmarkStart w:id="765" w:name="_Toc587"/>
      <w:bookmarkStart w:id="766" w:name="_Toc17305"/>
      <w:bookmarkStart w:id="767" w:name="_Toc2623"/>
      <w:bookmarkStart w:id="768" w:name="_Toc8303"/>
      <w:bookmarkStart w:id="769" w:name="_Toc30599"/>
      <w:bookmarkStart w:id="770" w:name="_Toc21923"/>
      <w:bookmarkStart w:id="771" w:name="_Toc9371"/>
      <w:r>
        <w:rPr>
          <w:rFonts w:hint="eastAsia" w:ascii="宋体" w:hAnsi="宋体" w:cs="宋体"/>
          <w:b/>
          <w:color w:val="000000"/>
          <w:sz w:val="24"/>
        </w:rPr>
        <w:t>2.19 计量单位</w:t>
      </w:r>
      <w:bookmarkEnd w:id="756"/>
      <w:bookmarkEnd w:id="757"/>
      <w:bookmarkEnd w:id="758"/>
      <w:bookmarkEnd w:id="761"/>
      <w:bookmarkEnd w:id="762"/>
      <w:bookmarkEnd w:id="763"/>
      <w:bookmarkEnd w:id="764"/>
      <w:bookmarkEnd w:id="765"/>
      <w:bookmarkEnd w:id="766"/>
      <w:bookmarkEnd w:id="767"/>
      <w:bookmarkEnd w:id="768"/>
      <w:bookmarkEnd w:id="769"/>
      <w:bookmarkEnd w:id="770"/>
      <w:bookmarkEnd w:id="771"/>
    </w:p>
    <w:p>
      <w:pPr>
        <w:tabs>
          <w:tab w:val="left" w:pos="360"/>
          <w:tab w:val="left" w:pos="540"/>
          <w:tab w:val="left" w:pos="1080"/>
        </w:tabs>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除技术规范中另有规定外,合同的计量单位均使用国家法定计量单位。</w:t>
      </w:r>
    </w:p>
    <w:p>
      <w:pPr>
        <w:spacing w:line="360" w:lineRule="exact"/>
        <w:ind w:firstLine="482" w:firstLineChars="200"/>
        <w:outlineLvl w:val="0"/>
        <w:rPr>
          <w:rFonts w:ascii="宋体" w:hAnsi="宋体" w:cs="宋体"/>
          <w:b/>
          <w:color w:val="000000"/>
          <w:sz w:val="24"/>
        </w:rPr>
      </w:pPr>
      <w:bookmarkStart w:id="772" w:name="_Toc30064"/>
      <w:bookmarkStart w:id="773" w:name="_Toc17517"/>
      <w:bookmarkStart w:id="774" w:name="_Toc279701263"/>
      <w:bookmarkStart w:id="775" w:name="_Toc24855"/>
      <w:bookmarkStart w:id="776" w:name="_Toc259093692"/>
      <w:bookmarkStart w:id="777" w:name="_Toc13346"/>
      <w:bookmarkStart w:id="778" w:name="_Toc28784"/>
      <w:bookmarkStart w:id="779" w:name="_Toc18567"/>
      <w:bookmarkStart w:id="780" w:name="_Toc12773"/>
      <w:bookmarkStart w:id="781" w:name="_Toc7092"/>
      <w:bookmarkStart w:id="782" w:name="_Toc735"/>
      <w:bookmarkStart w:id="783" w:name="_Toc10330"/>
      <w:bookmarkStart w:id="784" w:name="_Toc5796"/>
      <w:bookmarkStart w:id="785" w:name="_Toc487900373"/>
      <w:r>
        <w:rPr>
          <w:rFonts w:hint="eastAsia" w:ascii="宋体" w:hAnsi="宋体" w:cs="宋体"/>
          <w:b/>
          <w:color w:val="000000"/>
          <w:sz w:val="24"/>
        </w:rPr>
        <w:t>2.20 合同使用的文字和适用的法律</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 xml:space="preserve">2.20.1 </w:t>
      </w:r>
      <w:r>
        <w:rPr>
          <w:rFonts w:hint="eastAsia" w:ascii="仿宋_GB2312" w:hAnsi="Calibri" w:eastAsia="仿宋_GB2312" w:cs="Times New Roman"/>
          <w:kern w:val="2"/>
          <w:sz w:val="24"/>
          <w:szCs w:val="24"/>
          <w:lang w:val="zh-CN" w:eastAsia="zh-CN" w:bidi="ar-SA"/>
        </w:rPr>
        <w:t>合同使用汉语书就、变更和解释；</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2.20.2 合同适用中华人民共和国法律。</w:t>
      </w:r>
    </w:p>
    <w:p>
      <w:pPr>
        <w:spacing w:line="360" w:lineRule="exact"/>
        <w:ind w:firstLine="482" w:firstLineChars="200"/>
        <w:outlineLvl w:val="0"/>
        <w:rPr>
          <w:rFonts w:ascii="宋体" w:hAnsi="宋体" w:cs="宋体"/>
          <w:b/>
          <w:color w:val="000000"/>
          <w:sz w:val="24"/>
        </w:rPr>
      </w:pPr>
      <w:bookmarkStart w:id="786" w:name="_Toc259093693"/>
      <w:bookmarkStart w:id="787" w:name="_Toc3148"/>
      <w:bookmarkStart w:id="788" w:name="_Toc14198"/>
      <w:bookmarkStart w:id="789" w:name="_Toc16673"/>
      <w:bookmarkStart w:id="790" w:name="_Toc12004"/>
      <w:bookmarkStart w:id="791" w:name="_Toc10168"/>
      <w:bookmarkStart w:id="792" w:name="_Toc15306"/>
      <w:bookmarkStart w:id="793" w:name="_Toc279701264"/>
      <w:bookmarkStart w:id="794" w:name="_Toc14308"/>
      <w:bookmarkStart w:id="795" w:name="_Toc4658"/>
      <w:bookmarkStart w:id="796" w:name="_Toc25551"/>
      <w:bookmarkStart w:id="797" w:name="_Toc5000"/>
      <w:bookmarkStart w:id="798" w:name="_Toc22301"/>
      <w:bookmarkStart w:id="799" w:name="_Toc487900374"/>
      <w:r>
        <w:rPr>
          <w:rFonts w:hint="eastAsia" w:ascii="宋体" w:hAnsi="宋体" w:cs="宋体"/>
          <w:b/>
          <w:color w:val="000000"/>
          <w:sz w:val="24"/>
        </w:rPr>
        <w:t>2.21 履约保证金</w:t>
      </w:r>
      <w:bookmarkEnd w:id="786"/>
      <w:bookmarkEnd w:id="787"/>
      <w:bookmarkEnd w:id="788"/>
      <w:bookmarkEnd w:id="789"/>
      <w:bookmarkEnd w:id="790"/>
      <w:bookmarkEnd w:id="791"/>
      <w:bookmarkEnd w:id="792"/>
      <w:bookmarkEnd w:id="793"/>
      <w:bookmarkEnd w:id="794"/>
      <w:bookmarkEnd w:id="795"/>
      <w:bookmarkEnd w:id="796"/>
      <w:bookmarkEnd w:id="797"/>
      <w:bookmarkEnd w:id="798"/>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2.21.1 采</w:t>
      </w:r>
      <w:r>
        <w:rPr>
          <w:rFonts w:hint="eastAsia" w:ascii="仿宋_GB2312" w:hAnsi="Calibri" w:eastAsia="仿宋_GB2312" w:cs="Times New Roman"/>
          <w:kern w:val="2"/>
          <w:sz w:val="24"/>
          <w:szCs w:val="24"/>
          <w:lang w:val="zh-CN" w:eastAsia="zh-CN" w:bidi="ar-SA"/>
        </w:rPr>
        <w:t>购文件要求乙方提交履约保证金的，乙方应按</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约定的方式，以支票、汇票、本票或者金融机构、担保机构出具的保函等非现金形式，提交不超过合同价10%的履约保证金；</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宋体" w:hAnsi="宋体" w:cs="宋体"/>
          <w:color w:val="000000"/>
          <w:sz w:val="24"/>
        </w:rPr>
        <w:t xml:space="preserve">2.21.2  </w:t>
      </w:r>
      <w:r>
        <w:rPr>
          <w:rFonts w:hint="eastAsia" w:ascii="仿宋_GB2312" w:hAnsi="Calibri" w:eastAsia="仿宋_GB2312" w:cs="Times New Roman"/>
          <w:kern w:val="2"/>
          <w:sz w:val="24"/>
          <w:szCs w:val="24"/>
          <w:lang w:val="zh-CN" w:eastAsia="zh-CN" w:bidi="ar-SA"/>
        </w:rPr>
        <w:t>履约保证金在</w:t>
      </w:r>
      <w:r>
        <w:rPr>
          <w:rFonts w:hint="eastAsia" w:ascii="仿宋_GB2312" w:hAnsi="Calibri" w:eastAsia="仿宋_GB2312" w:cs="Times New Roman"/>
          <w:b/>
          <w:bCs/>
          <w:kern w:val="2"/>
          <w:sz w:val="24"/>
          <w:szCs w:val="24"/>
          <w:u w:val="single"/>
          <w:lang w:val="zh-CN" w:eastAsia="zh-CN" w:bidi="ar-SA"/>
        </w:rPr>
        <w:t>合同专用条款</w:t>
      </w:r>
      <w:r>
        <w:rPr>
          <w:rFonts w:hint="eastAsia" w:ascii="仿宋_GB2312" w:hAnsi="Calibri" w:eastAsia="仿宋_GB2312" w:cs="Times New Roman"/>
          <w:kern w:val="2"/>
          <w:sz w:val="24"/>
          <w:szCs w:val="24"/>
          <w:lang w:val="zh-CN" w:eastAsia="zh-CN" w:bidi="ar-SA"/>
        </w:rPr>
        <w:t>约定期间内或者货物质量保证期内不予退还或者应完全有效，前述约定期间届满或者货物质量保证期届满之日起  个工作日内，甲方应将履约保证金退还乙方；</w:t>
      </w:r>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99"/>
    <w:p>
      <w:pPr>
        <w:spacing w:line="360" w:lineRule="exact"/>
        <w:ind w:firstLine="482" w:firstLineChars="200"/>
        <w:outlineLvl w:val="0"/>
        <w:rPr>
          <w:rFonts w:ascii="宋体" w:hAnsi="宋体" w:cs="宋体"/>
          <w:b/>
          <w:color w:val="000000"/>
          <w:sz w:val="24"/>
        </w:rPr>
      </w:pPr>
      <w:bookmarkStart w:id="800" w:name="_Toc12299"/>
      <w:bookmarkStart w:id="801" w:name="_Toc32390"/>
      <w:bookmarkStart w:id="802" w:name="_Toc14001"/>
      <w:bookmarkStart w:id="803" w:name="_Toc4742"/>
      <w:bookmarkStart w:id="804" w:name="_Toc6885"/>
      <w:bookmarkStart w:id="805" w:name="_Toc19890"/>
      <w:bookmarkStart w:id="806" w:name="_Toc17243"/>
      <w:bookmarkStart w:id="807" w:name="_Toc16036"/>
      <w:bookmarkStart w:id="808" w:name="_Toc30496"/>
      <w:bookmarkStart w:id="809" w:name="_Toc32408"/>
      <w:bookmarkStart w:id="810" w:name="_Toc25691"/>
      <w:r>
        <w:rPr>
          <w:rFonts w:hint="eastAsia" w:ascii="宋体" w:hAnsi="宋体" w:cs="宋体"/>
          <w:b/>
          <w:color w:val="000000"/>
          <w:sz w:val="24"/>
        </w:rPr>
        <w:t>2.22 合同份数</w:t>
      </w:r>
      <w:bookmarkEnd w:id="800"/>
      <w:bookmarkEnd w:id="801"/>
      <w:bookmarkEnd w:id="802"/>
      <w:bookmarkEnd w:id="803"/>
      <w:bookmarkEnd w:id="804"/>
      <w:bookmarkEnd w:id="805"/>
      <w:bookmarkEnd w:id="806"/>
      <w:bookmarkEnd w:id="807"/>
      <w:bookmarkEnd w:id="808"/>
      <w:bookmarkEnd w:id="809"/>
      <w:bookmarkEnd w:id="810"/>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合同份数按</w:t>
      </w:r>
      <w:r>
        <w:rPr>
          <w:rFonts w:hint="eastAsia" w:ascii="仿宋_GB2312" w:hAnsi="Calibri" w:eastAsia="仿宋_GB2312" w:cs="Times New Roman"/>
          <w:b/>
          <w:bCs/>
          <w:kern w:val="2"/>
          <w:sz w:val="24"/>
          <w:szCs w:val="24"/>
          <w:lang w:val="zh-CN" w:eastAsia="zh-CN" w:bidi="ar-SA"/>
        </w:rPr>
        <w:t>合同专用条款</w:t>
      </w:r>
      <w:r>
        <w:rPr>
          <w:rFonts w:hint="eastAsia" w:ascii="仿宋_GB2312" w:hAnsi="Calibri" w:eastAsia="仿宋_GB2312" w:cs="Times New Roman"/>
          <w:kern w:val="2"/>
          <w:sz w:val="24"/>
          <w:szCs w:val="24"/>
          <w:lang w:val="zh-CN" w:eastAsia="zh-CN" w:bidi="ar-SA"/>
        </w:rPr>
        <w:t>规定，每份均具有同等法律效力。</w:t>
      </w:r>
      <w:bookmarkStart w:id="811" w:name="_Toc331685784"/>
    </w:p>
    <w:p>
      <w:pPr>
        <w:pStyle w:val="67"/>
        <w:spacing w:line="360" w:lineRule="exact"/>
        <w:ind w:firstLine="0"/>
        <w:jc w:val="center"/>
        <w:rPr>
          <w:rFonts w:hint="eastAsia" w:hAnsi="宋体" w:cs="宋体"/>
          <w:b/>
          <w:color w:val="000000"/>
          <w:szCs w:val="24"/>
        </w:rPr>
      </w:pPr>
    </w:p>
    <w:p>
      <w:pPr>
        <w:pStyle w:val="67"/>
        <w:spacing w:line="360" w:lineRule="exact"/>
        <w:ind w:firstLine="0"/>
        <w:jc w:val="center"/>
        <w:rPr>
          <w:rFonts w:hAnsi="宋体" w:cs="宋体"/>
          <w:b/>
          <w:color w:val="000000"/>
          <w:szCs w:val="24"/>
        </w:rPr>
      </w:pPr>
      <w:r>
        <w:rPr>
          <w:rFonts w:hint="eastAsia" w:hAnsi="宋体" w:cs="宋体"/>
          <w:b/>
          <w:color w:val="000000"/>
          <w:szCs w:val="24"/>
        </w:rPr>
        <w:t>第三部分  合同专用条款</w:t>
      </w:r>
      <w:bookmarkEnd w:id="811"/>
    </w:p>
    <w:p>
      <w:pPr>
        <w:spacing w:line="360" w:lineRule="exact"/>
        <w:ind w:firstLine="480" w:firstLineChars="200"/>
        <w:rPr>
          <w:rFonts w:hint="eastAsia" w:ascii="仿宋_GB2312" w:hAnsi="Calibri" w:eastAsia="仿宋_GB2312" w:cs="Times New Roman"/>
          <w:kern w:val="2"/>
          <w:sz w:val="24"/>
          <w:szCs w:val="24"/>
          <w:lang w:val="zh-CN" w:eastAsia="zh-CN" w:bidi="ar-SA"/>
        </w:rPr>
      </w:pPr>
      <w:r>
        <w:rPr>
          <w:rFonts w:hint="eastAsia" w:ascii="仿宋_GB2312" w:hAnsi="Calibri" w:eastAsia="仿宋_GB2312" w:cs="Times New Roman"/>
          <w:kern w:val="2"/>
          <w:sz w:val="24"/>
          <w:szCs w:val="24"/>
          <w:lang w:val="zh-CN"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360" w:lineRule="exact"/>
              <w:jc w:val="center"/>
              <w:rPr>
                <w:rFonts w:ascii="宋体" w:hAnsi="宋体" w:cs="宋体"/>
                <w:b/>
                <w:color w:val="000000"/>
                <w:sz w:val="24"/>
              </w:rPr>
            </w:pPr>
            <w:r>
              <w:rPr>
                <w:rFonts w:hint="eastAsia" w:ascii="仿宋_GB2312" w:hAnsi="Calibri" w:eastAsia="仿宋_GB2312" w:cs="Times New Roman"/>
                <w:b/>
                <w:bCs/>
                <w:kern w:val="2"/>
                <w:sz w:val="24"/>
                <w:szCs w:val="24"/>
                <w:lang w:val="zh-CN" w:eastAsia="zh-CN" w:bidi="ar-SA"/>
              </w:rPr>
              <w:t>条款号</w:t>
            </w:r>
          </w:p>
        </w:tc>
        <w:tc>
          <w:tcPr>
            <w:tcW w:w="7633" w:type="dxa"/>
            <w:noWrap w:val="0"/>
            <w:vAlign w:val="center"/>
          </w:tcPr>
          <w:p>
            <w:pPr>
              <w:spacing w:line="360" w:lineRule="exact"/>
              <w:jc w:val="center"/>
              <w:rPr>
                <w:rFonts w:ascii="宋体" w:hAnsi="宋体" w:cs="宋体"/>
                <w:b/>
                <w:color w:val="000000"/>
                <w:sz w:val="24"/>
              </w:rPr>
            </w:pPr>
            <w:r>
              <w:rPr>
                <w:rFonts w:hint="eastAsia" w:ascii="仿宋_GB2312" w:hAnsi="Calibri" w:eastAsia="仿宋_GB2312" w:cs="Times New Roman"/>
                <w:b/>
                <w:bCs/>
                <w:kern w:val="2"/>
                <w:sz w:val="24"/>
                <w:szCs w:val="24"/>
                <w:lang w:val="zh-CN" w:eastAsia="zh-CN" w:bidi="ar-SA"/>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360" w:lineRule="exact"/>
              <w:rPr>
                <w:rFonts w:ascii="宋体" w:hAnsi="宋体" w:cs="宋体"/>
                <w:color w:val="000000"/>
                <w:sz w:val="24"/>
              </w:rPr>
            </w:pPr>
          </w:p>
        </w:tc>
        <w:tc>
          <w:tcPr>
            <w:tcW w:w="7633" w:type="dxa"/>
            <w:noWrap w:val="0"/>
            <w:vAlign w:val="center"/>
          </w:tcPr>
          <w:p>
            <w:pPr>
              <w:spacing w:line="360" w:lineRule="exact"/>
              <w:rPr>
                <w:rFonts w:ascii="宋体" w:hAnsi="宋体" w:cs="宋体"/>
                <w:color w:val="000000"/>
                <w:sz w:val="24"/>
              </w:rPr>
            </w:pPr>
          </w:p>
        </w:tc>
      </w:tr>
    </w:tbl>
    <w:p>
      <w:pPr>
        <w:spacing w:line="240" w:lineRule="atLeast"/>
      </w:pPr>
    </w:p>
    <w:p>
      <w:pPr>
        <w:pStyle w:val="5"/>
        <w:spacing w:line="240" w:lineRule="atLeast"/>
        <w:ind w:left="1080" w:leftChars="257" w:hanging="540"/>
        <w:rPr>
          <w:rFonts w:hint="eastAsia" w:ascii="仿宋_GB2312" w:eastAsia="仿宋_GB2312"/>
          <w:sz w:val="28"/>
        </w:rPr>
      </w:pPr>
    </w:p>
    <w:sectPr>
      <w:footerReference r:id="rId10"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859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9"/>
                            <w:rPr>
                              <w:rStyle w:val="36"/>
                            </w:rPr>
                          </w:pPr>
                          <w:r>
                            <w:fldChar w:fldCharType="begin"/>
                          </w:r>
                          <w:r>
                            <w:rPr>
                              <w:rStyle w:val="36"/>
                            </w:rPr>
                            <w:instrText xml:space="preserve">PAGE  </w:instrText>
                          </w:r>
                          <w:r>
                            <w:fldChar w:fldCharType="separate"/>
                          </w:r>
                          <w:r>
                            <w:rPr>
                              <w:rStyle w:val="36"/>
                            </w:rPr>
                            <w:t>6</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1.7pt;width:4.55pt;mso-position-horizontal:center;mso-position-horizontal-relative:margin;mso-wrap-style:none;z-index:251661312;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EAiSNEAAAACAQAADwAAAAAAAAABACAAAAAiAAAAZHJzL2Rv&#10;d25yZXYueG1sUEsBAhQAFAAAAAgAh07iQCEJ6kvPAQAAmQMAAA4AAAAAAAAAAQAgAAAAIAEAAGRy&#10;cy9lMm9Eb2MueG1sUEsFBgAAAAAGAAYAWQEAAGEFAAAAAA==&#10;">
              <v:fill on="f" focussize="0,0"/>
              <v:stroke on="f"/>
              <v:imagedata o:title=""/>
              <o:lock v:ext="edit" aspectratio="f"/>
              <v:textbox inset="0mm,0mm,0mm,0mm" style="mso-fit-shape-to-text:t;">
                <w:txbxContent>
                  <w:p>
                    <w:pPr>
                      <w:pStyle w:val="19"/>
                      <w:rPr>
                        <w:rStyle w:val="36"/>
                      </w:rPr>
                    </w:pPr>
                    <w:r>
                      <w:fldChar w:fldCharType="begin"/>
                    </w:r>
                    <w:r>
                      <w:rPr>
                        <w:rStyle w:val="36"/>
                      </w:rPr>
                      <w:instrText xml:space="preserve">PAGE  </w:instrText>
                    </w:r>
                    <w:r>
                      <w:fldChar w:fldCharType="separate"/>
                    </w:r>
                    <w:r>
                      <w:rPr>
                        <w:rStyle w:val="36"/>
                      </w:rP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44</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LoFF0QAAAAMBAAAPAAAAAAAAAAEAIAAAACIAAABkcnMv&#10;ZG93bnJldi54bWxQSwECFAAUAAAACACHTuJABn1JmdEBAACaAwAADgAAAAAAAAABACAAAAAgAQAA&#10;ZHJzL2Uyb0RvYy54bWxQSwUGAAAAAAYABgBZAQAAYwU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44</w:t>
                    </w:r>
                    <w:r>
                      <w:fldChar w:fldCharType="end"/>
                    </w:r>
                  </w:p>
                </w:txbxContent>
              </v:textbox>
            </v:shape>
          </w:pict>
        </mc:Fallback>
      </mc:AlternateContent>
    </w:r>
  </w:p>
  <w:p>
    <w:pPr>
      <w:pStyle w:val="19"/>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v:textbox>
            </v:shape>
          </w:pict>
        </mc:Fallback>
      </mc:AlternateContent>
    </w:r>
  </w:p>
  <w:p>
    <w:pPr>
      <w:pStyle w:val="19"/>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52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LoFF0QAAAAMBAAAPAAAAAAAAAAEAIAAAACIAAABkcnMv&#10;ZG93bnJldi54bWxQSwECFAAUAAAACACHTuJAil3UB9EBAACaAwAADgAAAAAAAAABACAAAAAgAQAA&#10;ZHJzL2Uyb0RvYy54bWxQSwUGAAAAAAYABgBZAQAAYwU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52</w:t>
                    </w:r>
                    <w:r>
                      <w:fldChar w:fldCharType="end"/>
                    </w:r>
                  </w:p>
                </w:txbxContent>
              </v:textbox>
            </v:shape>
          </w:pict>
        </mc:Fallback>
      </mc:AlternateContent>
    </w:r>
  </w:p>
  <w:p>
    <w:pPr>
      <w:pStyle w:val="19"/>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hint="eastAsia" w:eastAsia="宋体"/>
        <w:sz w:val="24"/>
        <w:szCs w:val="24"/>
        <w:lang w:eastAsia="zh-CN"/>
      </w:rPr>
    </w:pPr>
    <w:r>
      <w:rPr>
        <w:rFonts w:hint="eastAsia"/>
        <w:sz w:val="24"/>
        <w:szCs w:val="24"/>
        <w:lang w:eastAsia="zh-CN"/>
      </w:rPr>
      <w:t>新疆爱满疆工程咨询有限公司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31460"/>
    <w:multiLevelType w:val="singleLevel"/>
    <w:tmpl w:val="9E531460"/>
    <w:lvl w:ilvl="0" w:tentative="0">
      <w:start w:val="5"/>
      <w:numFmt w:val="decimal"/>
      <w:suff w:val="space"/>
      <w:lvlText w:val="第%1章"/>
      <w:lvlJc w:val="left"/>
    </w:lvl>
  </w:abstractNum>
  <w:abstractNum w:abstractNumId="1">
    <w:nsid w:val="C2400E30"/>
    <w:multiLevelType w:val="singleLevel"/>
    <w:tmpl w:val="C2400E30"/>
    <w:lvl w:ilvl="0" w:tentative="0">
      <w:start w:val="2"/>
      <w:numFmt w:val="decimal"/>
      <w:suff w:val="nothing"/>
      <w:lvlText w:val="%1、"/>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23C506"/>
    <w:multiLevelType w:val="singleLevel"/>
    <w:tmpl w:val="1523C506"/>
    <w:lvl w:ilvl="0" w:tentative="0">
      <w:start w:val="1"/>
      <w:numFmt w:val="decimal"/>
      <w:lvlText w:val="%1."/>
      <w:lvlJc w:val="left"/>
      <w:pPr>
        <w:tabs>
          <w:tab w:val="left" w:pos="312"/>
        </w:tabs>
      </w:pPr>
    </w:lvl>
  </w:abstractNum>
  <w:abstractNum w:abstractNumId="5">
    <w:nsid w:val="1533D707"/>
    <w:multiLevelType w:val="singleLevel"/>
    <w:tmpl w:val="1533D707"/>
    <w:lvl w:ilvl="0" w:tentative="0">
      <w:start w:val="2"/>
      <w:numFmt w:val="chineseCounting"/>
      <w:suff w:val="nothing"/>
      <w:lvlText w:val="%1、"/>
      <w:lvlJc w:val="left"/>
      <w:rPr>
        <w:rFonts w:hint="eastAsia"/>
      </w:rPr>
    </w:lvl>
  </w:abstractNum>
  <w:abstractNum w:abstractNumId="6">
    <w:nsid w:val="155E6A8F"/>
    <w:multiLevelType w:val="multilevel"/>
    <w:tmpl w:val="155E6A8F"/>
    <w:lvl w:ilvl="0" w:tentative="0">
      <w:start w:val="1"/>
      <w:numFmt w:val="decimal"/>
      <w:lvlText w:val="（%1）"/>
      <w:lvlJc w:val="left"/>
      <w:pPr>
        <w:tabs>
          <w:tab w:val="left" w:pos="1571"/>
        </w:tabs>
        <w:ind w:left="1510" w:hanging="720"/>
      </w:pPr>
      <w:rPr>
        <w:rFonts w:ascii="仿宋_GB2312" w:hAnsi="宋体" w:eastAsia="仿宋_GB2312" w:cs="Times New Roman"/>
      </w:rPr>
    </w:lvl>
    <w:lvl w:ilvl="1" w:tentative="0">
      <w:start w:val="1"/>
      <w:numFmt w:val="lowerLetter"/>
      <w:lvlText w:val="%2)"/>
      <w:lvlJc w:val="left"/>
      <w:pPr>
        <w:tabs>
          <w:tab w:val="left" w:pos="1739"/>
        </w:tabs>
        <w:ind w:left="1678" w:hanging="420"/>
      </w:pPr>
    </w:lvl>
    <w:lvl w:ilvl="2" w:tentative="0">
      <w:start w:val="1"/>
      <w:numFmt w:val="lowerRoman"/>
      <w:lvlText w:val="%3."/>
      <w:lvlJc w:val="right"/>
      <w:pPr>
        <w:tabs>
          <w:tab w:val="left" w:pos="2159"/>
        </w:tabs>
        <w:ind w:left="2098" w:hanging="420"/>
      </w:pPr>
    </w:lvl>
    <w:lvl w:ilvl="3" w:tentative="0">
      <w:start w:val="1"/>
      <w:numFmt w:val="decimal"/>
      <w:lvlText w:val="%4."/>
      <w:lvlJc w:val="left"/>
      <w:pPr>
        <w:tabs>
          <w:tab w:val="left" w:pos="2579"/>
        </w:tabs>
        <w:ind w:left="2518" w:hanging="420"/>
      </w:pPr>
    </w:lvl>
    <w:lvl w:ilvl="4" w:tentative="0">
      <w:start w:val="1"/>
      <w:numFmt w:val="lowerLetter"/>
      <w:lvlText w:val="%5)"/>
      <w:lvlJc w:val="left"/>
      <w:pPr>
        <w:tabs>
          <w:tab w:val="left" w:pos="2999"/>
        </w:tabs>
        <w:ind w:left="2938" w:hanging="420"/>
      </w:pPr>
    </w:lvl>
    <w:lvl w:ilvl="5" w:tentative="0">
      <w:start w:val="1"/>
      <w:numFmt w:val="lowerRoman"/>
      <w:lvlText w:val="%6."/>
      <w:lvlJc w:val="right"/>
      <w:pPr>
        <w:tabs>
          <w:tab w:val="left" w:pos="3419"/>
        </w:tabs>
        <w:ind w:left="3358" w:hanging="420"/>
      </w:pPr>
    </w:lvl>
    <w:lvl w:ilvl="6" w:tentative="0">
      <w:start w:val="1"/>
      <w:numFmt w:val="decimal"/>
      <w:lvlText w:val="%7."/>
      <w:lvlJc w:val="left"/>
      <w:pPr>
        <w:tabs>
          <w:tab w:val="left" w:pos="3839"/>
        </w:tabs>
        <w:ind w:left="3778" w:hanging="420"/>
      </w:pPr>
    </w:lvl>
    <w:lvl w:ilvl="7" w:tentative="0">
      <w:start w:val="1"/>
      <w:numFmt w:val="lowerLetter"/>
      <w:lvlText w:val="%8)"/>
      <w:lvlJc w:val="left"/>
      <w:pPr>
        <w:tabs>
          <w:tab w:val="left" w:pos="4259"/>
        </w:tabs>
        <w:ind w:left="4198" w:hanging="420"/>
      </w:pPr>
    </w:lvl>
    <w:lvl w:ilvl="8" w:tentative="0">
      <w:start w:val="1"/>
      <w:numFmt w:val="lowerRoman"/>
      <w:lvlText w:val="%9."/>
      <w:lvlJc w:val="right"/>
      <w:pPr>
        <w:tabs>
          <w:tab w:val="left" w:pos="4679"/>
        </w:tabs>
        <w:ind w:left="4618" w:hanging="420"/>
      </w:pPr>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77D9FDF"/>
    <w:multiLevelType w:val="singleLevel"/>
    <w:tmpl w:val="377D9FDF"/>
    <w:lvl w:ilvl="0" w:tentative="0">
      <w:start w:val="1"/>
      <w:numFmt w:val="decimal"/>
      <w:suff w:val="nothing"/>
      <w:lvlText w:val="（%1）"/>
      <w:lvlJc w:val="left"/>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7FAAC26"/>
    <w:multiLevelType w:val="singleLevel"/>
    <w:tmpl w:val="47FAAC26"/>
    <w:lvl w:ilvl="0" w:tentative="0">
      <w:start w:val="1"/>
      <w:numFmt w:val="decimal"/>
      <w:lvlText w:val="%1."/>
      <w:lvlJc w:val="left"/>
      <w:pPr>
        <w:tabs>
          <w:tab w:val="left" w:pos="312"/>
        </w:tabs>
      </w:pPr>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9"/>
  </w:num>
  <w:num w:numId="2">
    <w:abstractNumId w:val="3"/>
  </w:num>
  <w:num w:numId="3">
    <w:abstractNumId w:val="7"/>
  </w:num>
  <w:num w:numId="4">
    <w:abstractNumId w:val="11"/>
  </w:num>
  <w:num w:numId="5">
    <w:abstractNumId w:val="2"/>
  </w:num>
  <w:num w:numId="6">
    <w:abstractNumId w:val="6"/>
  </w:num>
  <w:num w:numId="7">
    <w:abstractNumId w:val="1"/>
  </w:num>
  <w:num w:numId="8">
    <w:abstractNumId w:val="8"/>
  </w:num>
  <w:num w:numId="9">
    <w:abstractNumId w:val="10"/>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436F6A"/>
    <w:rsid w:val="01592D24"/>
    <w:rsid w:val="01775986"/>
    <w:rsid w:val="018E7ABF"/>
    <w:rsid w:val="0198796C"/>
    <w:rsid w:val="01C133B8"/>
    <w:rsid w:val="020F2171"/>
    <w:rsid w:val="02A3645B"/>
    <w:rsid w:val="02F778BD"/>
    <w:rsid w:val="03121468"/>
    <w:rsid w:val="03822C68"/>
    <w:rsid w:val="039F2BBC"/>
    <w:rsid w:val="03D96AC5"/>
    <w:rsid w:val="04C8311C"/>
    <w:rsid w:val="05021670"/>
    <w:rsid w:val="05071955"/>
    <w:rsid w:val="050B36B6"/>
    <w:rsid w:val="051E3875"/>
    <w:rsid w:val="0533125B"/>
    <w:rsid w:val="054F4EE9"/>
    <w:rsid w:val="06AB5586"/>
    <w:rsid w:val="06CB44B7"/>
    <w:rsid w:val="06EE20B1"/>
    <w:rsid w:val="072079C2"/>
    <w:rsid w:val="075B63E2"/>
    <w:rsid w:val="07784799"/>
    <w:rsid w:val="07B1625B"/>
    <w:rsid w:val="07D96E9C"/>
    <w:rsid w:val="07DA6398"/>
    <w:rsid w:val="08534B88"/>
    <w:rsid w:val="08F062C2"/>
    <w:rsid w:val="090B19E1"/>
    <w:rsid w:val="0910646C"/>
    <w:rsid w:val="09AC6517"/>
    <w:rsid w:val="09E15530"/>
    <w:rsid w:val="0A1B58FF"/>
    <w:rsid w:val="0A6D7B49"/>
    <w:rsid w:val="0AD11D45"/>
    <w:rsid w:val="0AE903B8"/>
    <w:rsid w:val="0B1873A5"/>
    <w:rsid w:val="0B7462A1"/>
    <w:rsid w:val="0BA16641"/>
    <w:rsid w:val="0CAC6BB6"/>
    <w:rsid w:val="0CC34F37"/>
    <w:rsid w:val="0CEA1C84"/>
    <w:rsid w:val="0D864353"/>
    <w:rsid w:val="0DD505F0"/>
    <w:rsid w:val="0DEA5E6A"/>
    <w:rsid w:val="0DFC36FB"/>
    <w:rsid w:val="0EB37705"/>
    <w:rsid w:val="0F0D26CC"/>
    <w:rsid w:val="0F184ADA"/>
    <w:rsid w:val="0FA1669B"/>
    <w:rsid w:val="0FA9476D"/>
    <w:rsid w:val="0FEF5061"/>
    <w:rsid w:val="10EF538B"/>
    <w:rsid w:val="11312DC0"/>
    <w:rsid w:val="114701EB"/>
    <w:rsid w:val="11696B8F"/>
    <w:rsid w:val="118848CF"/>
    <w:rsid w:val="11C11380"/>
    <w:rsid w:val="12092462"/>
    <w:rsid w:val="120F2891"/>
    <w:rsid w:val="121D403F"/>
    <w:rsid w:val="129F7C67"/>
    <w:rsid w:val="12F61C4B"/>
    <w:rsid w:val="13380DD8"/>
    <w:rsid w:val="1344521A"/>
    <w:rsid w:val="13623CAD"/>
    <w:rsid w:val="13645ACB"/>
    <w:rsid w:val="13E957B5"/>
    <w:rsid w:val="13F54664"/>
    <w:rsid w:val="14412BB2"/>
    <w:rsid w:val="146F2D0E"/>
    <w:rsid w:val="15A078BC"/>
    <w:rsid w:val="15AE733A"/>
    <w:rsid w:val="165128BD"/>
    <w:rsid w:val="16F93153"/>
    <w:rsid w:val="172A1253"/>
    <w:rsid w:val="180929B9"/>
    <w:rsid w:val="18904498"/>
    <w:rsid w:val="18A3471E"/>
    <w:rsid w:val="18A961DF"/>
    <w:rsid w:val="192B4DF7"/>
    <w:rsid w:val="19B03A82"/>
    <w:rsid w:val="19BA6371"/>
    <w:rsid w:val="19F90D7B"/>
    <w:rsid w:val="1A01515D"/>
    <w:rsid w:val="1A4964D8"/>
    <w:rsid w:val="1A4F0D35"/>
    <w:rsid w:val="1A726EAB"/>
    <w:rsid w:val="1AF6583C"/>
    <w:rsid w:val="1B7B66B5"/>
    <w:rsid w:val="1C225F98"/>
    <w:rsid w:val="1C272EF4"/>
    <w:rsid w:val="1CB471C2"/>
    <w:rsid w:val="1CC159EF"/>
    <w:rsid w:val="1D320A97"/>
    <w:rsid w:val="1D3541D9"/>
    <w:rsid w:val="1D3E6FE0"/>
    <w:rsid w:val="1D4F2685"/>
    <w:rsid w:val="1D660B43"/>
    <w:rsid w:val="1E3E2D25"/>
    <w:rsid w:val="1E4507E4"/>
    <w:rsid w:val="1E5821DD"/>
    <w:rsid w:val="1E6210B8"/>
    <w:rsid w:val="1EB5058C"/>
    <w:rsid w:val="1EC014EF"/>
    <w:rsid w:val="1EC664F8"/>
    <w:rsid w:val="1EDA6951"/>
    <w:rsid w:val="1F3A4F83"/>
    <w:rsid w:val="1FF91559"/>
    <w:rsid w:val="20EF0D2F"/>
    <w:rsid w:val="21A3266E"/>
    <w:rsid w:val="21CE0987"/>
    <w:rsid w:val="21D332D1"/>
    <w:rsid w:val="22155EFF"/>
    <w:rsid w:val="226006F6"/>
    <w:rsid w:val="2266652E"/>
    <w:rsid w:val="23207452"/>
    <w:rsid w:val="2364528E"/>
    <w:rsid w:val="2395665B"/>
    <w:rsid w:val="249D5B2A"/>
    <w:rsid w:val="24F36825"/>
    <w:rsid w:val="25445D9E"/>
    <w:rsid w:val="263D4A6F"/>
    <w:rsid w:val="26CF57CC"/>
    <w:rsid w:val="27022042"/>
    <w:rsid w:val="276C29FF"/>
    <w:rsid w:val="27821DCB"/>
    <w:rsid w:val="27B13177"/>
    <w:rsid w:val="282F03A7"/>
    <w:rsid w:val="28855A7D"/>
    <w:rsid w:val="289946BD"/>
    <w:rsid w:val="299B39A6"/>
    <w:rsid w:val="29E3555B"/>
    <w:rsid w:val="29EB624B"/>
    <w:rsid w:val="2A472991"/>
    <w:rsid w:val="2ABF25ED"/>
    <w:rsid w:val="2ACD3B2A"/>
    <w:rsid w:val="2B2A3917"/>
    <w:rsid w:val="2BE95450"/>
    <w:rsid w:val="2C0440A1"/>
    <w:rsid w:val="2C2643AF"/>
    <w:rsid w:val="2CC76232"/>
    <w:rsid w:val="2CF07585"/>
    <w:rsid w:val="2CF271A5"/>
    <w:rsid w:val="2D395076"/>
    <w:rsid w:val="2D426A09"/>
    <w:rsid w:val="2D69305E"/>
    <w:rsid w:val="2D8400D7"/>
    <w:rsid w:val="2D851D9A"/>
    <w:rsid w:val="2EDC007F"/>
    <w:rsid w:val="2EDE0726"/>
    <w:rsid w:val="2F7B10A8"/>
    <w:rsid w:val="2FE7396B"/>
    <w:rsid w:val="300D7D4A"/>
    <w:rsid w:val="300E76A6"/>
    <w:rsid w:val="31DF0F6E"/>
    <w:rsid w:val="31FE7C49"/>
    <w:rsid w:val="324463DD"/>
    <w:rsid w:val="325B1E1C"/>
    <w:rsid w:val="325F5E35"/>
    <w:rsid w:val="32775037"/>
    <w:rsid w:val="3283178D"/>
    <w:rsid w:val="346644D8"/>
    <w:rsid w:val="34D84DA0"/>
    <w:rsid w:val="35B6520A"/>
    <w:rsid w:val="360607D9"/>
    <w:rsid w:val="36190C5C"/>
    <w:rsid w:val="363D616D"/>
    <w:rsid w:val="3680580C"/>
    <w:rsid w:val="37EC2074"/>
    <w:rsid w:val="37F95F13"/>
    <w:rsid w:val="38104A1A"/>
    <w:rsid w:val="385A07E5"/>
    <w:rsid w:val="389E008F"/>
    <w:rsid w:val="38A94C99"/>
    <w:rsid w:val="38D6246F"/>
    <w:rsid w:val="38F00189"/>
    <w:rsid w:val="39904B26"/>
    <w:rsid w:val="3A110C59"/>
    <w:rsid w:val="3A3C70DA"/>
    <w:rsid w:val="3A5F179A"/>
    <w:rsid w:val="3A8E5D10"/>
    <w:rsid w:val="3AE11A4E"/>
    <w:rsid w:val="3B10495E"/>
    <w:rsid w:val="3B2A4FB6"/>
    <w:rsid w:val="3B4024EC"/>
    <w:rsid w:val="3B932D9C"/>
    <w:rsid w:val="3BD26834"/>
    <w:rsid w:val="3C19288C"/>
    <w:rsid w:val="3CBA3FA5"/>
    <w:rsid w:val="3CBA43FC"/>
    <w:rsid w:val="3CCE5FE8"/>
    <w:rsid w:val="3CDE489C"/>
    <w:rsid w:val="3CFA14AE"/>
    <w:rsid w:val="3D573AAE"/>
    <w:rsid w:val="3DDC6AF7"/>
    <w:rsid w:val="3E5F1E94"/>
    <w:rsid w:val="3ECA39A2"/>
    <w:rsid w:val="3EFE0737"/>
    <w:rsid w:val="3F022944"/>
    <w:rsid w:val="3F125943"/>
    <w:rsid w:val="3F817D6A"/>
    <w:rsid w:val="3FAF4912"/>
    <w:rsid w:val="402A5DCF"/>
    <w:rsid w:val="406A72FF"/>
    <w:rsid w:val="40753512"/>
    <w:rsid w:val="40C42073"/>
    <w:rsid w:val="40CD787E"/>
    <w:rsid w:val="41093321"/>
    <w:rsid w:val="41A02F4A"/>
    <w:rsid w:val="421B7832"/>
    <w:rsid w:val="42254A34"/>
    <w:rsid w:val="429462ED"/>
    <w:rsid w:val="42BC7DDF"/>
    <w:rsid w:val="43076C51"/>
    <w:rsid w:val="437E2698"/>
    <w:rsid w:val="43AD43B9"/>
    <w:rsid w:val="44201AAB"/>
    <w:rsid w:val="44753239"/>
    <w:rsid w:val="448A72D9"/>
    <w:rsid w:val="448E145A"/>
    <w:rsid w:val="44EF1B82"/>
    <w:rsid w:val="45264590"/>
    <w:rsid w:val="45797C51"/>
    <w:rsid w:val="45A168B6"/>
    <w:rsid w:val="45EE4E64"/>
    <w:rsid w:val="461B2714"/>
    <w:rsid w:val="46E7455B"/>
    <w:rsid w:val="46F41301"/>
    <w:rsid w:val="46FC6C97"/>
    <w:rsid w:val="473D2DF8"/>
    <w:rsid w:val="47407E26"/>
    <w:rsid w:val="47591209"/>
    <w:rsid w:val="47820A9D"/>
    <w:rsid w:val="47F66832"/>
    <w:rsid w:val="481F3FE6"/>
    <w:rsid w:val="494F40F6"/>
    <w:rsid w:val="49CB505F"/>
    <w:rsid w:val="49E0422F"/>
    <w:rsid w:val="4ADE6E5A"/>
    <w:rsid w:val="4AF05BE1"/>
    <w:rsid w:val="4AFF01B6"/>
    <w:rsid w:val="4B807D59"/>
    <w:rsid w:val="4BA72EF2"/>
    <w:rsid w:val="4C1402AF"/>
    <w:rsid w:val="4C3E203F"/>
    <w:rsid w:val="4C4A2448"/>
    <w:rsid w:val="4CF6285E"/>
    <w:rsid w:val="4D057181"/>
    <w:rsid w:val="4DED52D5"/>
    <w:rsid w:val="4E3B2540"/>
    <w:rsid w:val="4ECF17A1"/>
    <w:rsid w:val="4F73779A"/>
    <w:rsid w:val="4FB97DFA"/>
    <w:rsid w:val="50496BCE"/>
    <w:rsid w:val="50902684"/>
    <w:rsid w:val="50DC55AA"/>
    <w:rsid w:val="50DF56DA"/>
    <w:rsid w:val="516A1F01"/>
    <w:rsid w:val="52693681"/>
    <w:rsid w:val="527103FC"/>
    <w:rsid w:val="529A792F"/>
    <w:rsid w:val="52A4759B"/>
    <w:rsid w:val="52B35629"/>
    <w:rsid w:val="52C41898"/>
    <w:rsid w:val="52D32AFD"/>
    <w:rsid w:val="53481136"/>
    <w:rsid w:val="536A4181"/>
    <w:rsid w:val="539F3171"/>
    <w:rsid w:val="55446024"/>
    <w:rsid w:val="55992337"/>
    <w:rsid w:val="560601A9"/>
    <w:rsid w:val="561F1F50"/>
    <w:rsid w:val="56262AA1"/>
    <w:rsid w:val="562E2336"/>
    <w:rsid w:val="564E21EF"/>
    <w:rsid w:val="565F1615"/>
    <w:rsid w:val="568E793F"/>
    <w:rsid w:val="57364B06"/>
    <w:rsid w:val="582F0673"/>
    <w:rsid w:val="584311D8"/>
    <w:rsid w:val="58DF6CF4"/>
    <w:rsid w:val="5904132B"/>
    <w:rsid w:val="59093013"/>
    <w:rsid w:val="59157827"/>
    <w:rsid w:val="594400A5"/>
    <w:rsid w:val="59460EC7"/>
    <w:rsid w:val="59C90F05"/>
    <w:rsid w:val="59CD5F4F"/>
    <w:rsid w:val="5A7D7E2C"/>
    <w:rsid w:val="5A9410D3"/>
    <w:rsid w:val="5AB23A35"/>
    <w:rsid w:val="5AF413B3"/>
    <w:rsid w:val="5B4F7AA0"/>
    <w:rsid w:val="5B603029"/>
    <w:rsid w:val="5B882F7E"/>
    <w:rsid w:val="5C3914B8"/>
    <w:rsid w:val="5C6D68F5"/>
    <w:rsid w:val="5C85755D"/>
    <w:rsid w:val="5C881A2B"/>
    <w:rsid w:val="5CD64B35"/>
    <w:rsid w:val="5CFB0B72"/>
    <w:rsid w:val="5D35546D"/>
    <w:rsid w:val="5D7647EC"/>
    <w:rsid w:val="5DBA1FF8"/>
    <w:rsid w:val="5E1D3725"/>
    <w:rsid w:val="5E37668B"/>
    <w:rsid w:val="5E535CE3"/>
    <w:rsid w:val="5E9977E3"/>
    <w:rsid w:val="5E9C51FA"/>
    <w:rsid w:val="5EC42D73"/>
    <w:rsid w:val="5ED54C52"/>
    <w:rsid w:val="5F92436A"/>
    <w:rsid w:val="609C4197"/>
    <w:rsid w:val="60C346C6"/>
    <w:rsid w:val="60C73328"/>
    <w:rsid w:val="61141727"/>
    <w:rsid w:val="61A43446"/>
    <w:rsid w:val="61CD6846"/>
    <w:rsid w:val="61D41829"/>
    <w:rsid w:val="62581C44"/>
    <w:rsid w:val="625E1FC6"/>
    <w:rsid w:val="630048F7"/>
    <w:rsid w:val="63215DB8"/>
    <w:rsid w:val="632757F0"/>
    <w:rsid w:val="63B77B8E"/>
    <w:rsid w:val="645079A9"/>
    <w:rsid w:val="646C3287"/>
    <w:rsid w:val="64BE130D"/>
    <w:rsid w:val="650A4AEB"/>
    <w:rsid w:val="665B2919"/>
    <w:rsid w:val="666742F8"/>
    <w:rsid w:val="666E595E"/>
    <w:rsid w:val="668A7DFE"/>
    <w:rsid w:val="668F7750"/>
    <w:rsid w:val="67FA2386"/>
    <w:rsid w:val="68120459"/>
    <w:rsid w:val="6878082B"/>
    <w:rsid w:val="68F10571"/>
    <w:rsid w:val="692B0CE1"/>
    <w:rsid w:val="692D120B"/>
    <w:rsid w:val="6A160FCF"/>
    <w:rsid w:val="6A21303A"/>
    <w:rsid w:val="6A296146"/>
    <w:rsid w:val="6A851DD1"/>
    <w:rsid w:val="6A8F72B9"/>
    <w:rsid w:val="6AAB7F50"/>
    <w:rsid w:val="6AF20FCD"/>
    <w:rsid w:val="6BB46349"/>
    <w:rsid w:val="6BBC769D"/>
    <w:rsid w:val="6BFF2E74"/>
    <w:rsid w:val="6C310293"/>
    <w:rsid w:val="6C5D7FE5"/>
    <w:rsid w:val="6CC90D79"/>
    <w:rsid w:val="6D2E15A5"/>
    <w:rsid w:val="6D9956BA"/>
    <w:rsid w:val="6DFC351E"/>
    <w:rsid w:val="6E625129"/>
    <w:rsid w:val="6E824C42"/>
    <w:rsid w:val="6EA16987"/>
    <w:rsid w:val="6EC302A4"/>
    <w:rsid w:val="6F484143"/>
    <w:rsid w:val="6F574271"/>
    <w:rsid w:val="6F750F26"/>
    <w:rsid w:val="6F7B72E9"/>
    <w:rsid w:val="6F8445D4"/>
    <w:rsid w:val="6F8D5C1A"/>
    <w:rsid w:val="6F8E342E"/>
    <w:rsid w:val="6F92273F"/>
    <w:rsid w:val="6FA8133A"/>
    <w:rsid w:val="6FD27139"/>
    <w:rsid w:val="6FDB3D62"/>
    <w:rsid w:val="6FE37D0C"/>
    <w:rsid w:val="70CD2B48"/>
    <w:rsid w:val="71126EE7"/>
    <w:rsid w:val="71654E27"/>
    <w:rsid w:val="719E73CE"/>
    <w:rsid w:val="71A74366"/>
    <w:rsid w:val="71F172E6"/>
    <w:rsid w:val="71F17B50"/>
    <w:rsid w:val="71F6500C"/>
    <w:rsid w:val="72AB1549"/>
    <w:rsid w:val="737E24ED"/>
    <w:rsid w:val="73C67F84"/>
    <w:rsid w:val="73DB2866"/>
    <w:rsid w:val="73FE6A56"/>
    <w:rsid w:val="74203020"/>
    <w:rsid w:val="744C49DF"/>
    <w:rsid w:val="757C043C"/>
    <w:rsid w:val="75CA2B7B"/>
    <w:rsid w:val="76134845"/>
    <w:rsid w:val="763922F4"/>
    <w:rsid w:val="76700727"/>
    <w:rsid w:val="773C239E"/>
    <w:rsid w:val="77423A27"/>
    <w:rsid w:val="774B075C"/>
    <w:rsid w:val="777229B6"/>
    <w:rsid w:val="77896DD2"/>
    <w:rsid w:val="77BB2584"/>
    <w:rsid w:val="782A7F03"/>
    <w:rsid w:val="78354835"/>
    <w:rsid w:val="79281D8F"/>
    <w:rsid w:val="79616DC4"/>
    <w:rsid w:val="79E820BE"/>
    <w:rsid w:val="7A862644"/>
    <w:rsid w:val="7B4128F5"/>
    <w:rsid w:val="7B681A01"/>
    <w:rsid w:val="7B86410F"/>
    <w:rsid w:val="7BD3539E"/>
    <w:rsid w:val="7C47478B"/>
    <w:rsid w:val="7C5C3DAC"/>
    <w:rsid w:val="7CB42860"/>
    <w:rsid w:val="7D021F92"/>
    <w:rsid w:val="7E156974"/>
    <w:rsid w:val="7E6E2E4D"/>
    <w:rsid w:val="7EBE6F11"/>
    <w:rsid w:val="7EC40A46"/>
    <w:rsid w:val="7EE30DF1"/>
    <w:rsid w:val="7F833D8D"/>
    <w:rsid w:val="AAB0F9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4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toa heading"/>
    <w:basedOn w:val="1"/>
    <w:next w:val="1"/>
    <w:qFormat/>
    <w:uiPriority w:val="0"/>
    <w:pPr>
      <w:widowControl/>
      <w:autoSpaceDE/>
      <w:autoSpaceDN/>
      <w:spacing w:before="120"/>
      <w:ind w:firstLine="3584"/>
    </w:pPr>
  </w:style>
  <w:style w:type="paragraph" w:styleId="9">
    <w:name w:val="annotation text"/>
    <w:basedOn w:val="1"/>
    <w:link w:val="50"/>
    <w:qFormat/>
    <w:uiPriority w:val="99"/>
    <w:pPr>
      <w:jc w:val="left"/>
    </w:pPr>
  </w:style>
  <w:style w:type="paragraph" w:styleId="10">
    <w:name w:val="Body Text"/>
    <w:basedOn w:val="1"/>
    <w:link w:val="51"/>
    <w:qFormat/>
    <w:uiPriority w:val="0"/>
    <w:pPr>
      <w:tabs>
        <w:tab w:val="left" w:pos="567"/>
      </w:tabs>
      <w:spacing w:before="120" w:line="22" w:lineRule="atLeast"/>
    </w:pPr>
    <w:rPr>
      <w:rFonts w:ascii="宋体" w:hAnsi="宋体"/>
      <w:sz w:val="24"/>
    </w:rPr>
  </w:style>
  <w:style w:type="paragraph" w:styleId="11">
    <w:name w:val="Body Text Indent"/>
    <w:basedOn w:val="1"/>
    <w:qFormat/>
    <w:uiPriority w:val="0"/>
    <w:pPr>
      <w:spacing w:line="360" w:lineRule="auto"/>
      <w:ind w:firstLine="570"/>
    </w:pPr>
    <w:rPr>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link w:val="52"/>
    <w:qFormat/>
    <w:uiPriority w:val="0"/>
    <w:rPr>
      <w:rFonts w:ascii="宋体" w:hAnsi="Courier New"/>
      <w:szCs w:val="20"/>
    </w:rPr>
  </w:style>
  <w:style w:type="paragraph" w:styleId="15">
    <w:name w:val="toc 8"/>
    <w:basedOn w:val="1"/>
    <w:next w:val="1"/>
    <w:qFormat/>
    <w:uiPriority w:val="39"/>
    <w:pPr>
      <w:ind w:left="2940" w:leftChars="1400"/>
    </w:pPr>
  </w:style>
  <w:style w:type="paragraph" w:styleId="16">
    <w:name w:val="Date"/>
    <w:basedOn w:val="1"/>
    <w:next w:val="1"/>
    <w:link w:val="53"/>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54"/>
    <w:qFormat/>
    <w:uiPriority w:val="0"/>
    <w:rPr>
      <w:sz w:val="18"/>
      <w:szCs w:val="18"/>
    </w:rPr>
  </w:style>
  <w:style w:type="paragraph" w:styleId="19">
    <w:name w:val="footer"/>
    <w:basedOn w:val="1"/>
    <w:link w:val="5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link w:val="57"/>
    <w:qFormat/>
    <w:uiPriority w:val="39"/>
  </w:style>
  <w:style w:type="paragraph" w:styleId="22">
    <w:name w:val="toc 4"/>
    <w:basedOn w:val="1"/>
    <w:next w:val="1"/>
    <w:qFormat/>
    <w:uiPriority w:val="39"/>
    <w:pPr>
      <w:ind w:left="1260" w:leftChars="600"/>
    </w:pPr>
  </w:style>
  <w:style w:type="paragraph" w:styleId="23">
    <w:name w:val="footnote text"/>
    <w:basedOn w:val="1"/>
    <w:qFormat/>
    <w:uiPriority w:val="0"/>
    <w:pPr>
      <w:snapToGrid w:val="0"/>
      <w:jc w:val="left"/>
    </w:pPr>
    <w:rPr>
      <w:sz w:val="18"/>
    </w:rPr>
  </w:style>
  <w:style w:type="paragraph" w:styleId="24">
    <w:name w:val="toc 6"/>
    <w:basedOn w:val="1"/>
    <w:next w:val="1"/>
    <w:qFormat/>
    <w:uiPriority w:val="39"/>
    <w:pPr>
      <w:ind w:left="2100" w:leftChars="1000"/>
    </w:pPr>
  </w:style>
  <w:style w:type="paragraph" w:styleId="2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1"/>
    <w:next w:val="1"/>
    <w:link w:val="58"/>
    <w:qFormat/>
    <w:uiPriority w:val="39"/>
    <w:pPr>
      <w:ind w:left="420" w:leftChars="200"/>
    </w:pPr>
  </w:style>
  <w:style w:type="paragraph" w:styleId="27">
    <w:name w:val="toc 9"/>
    <w:basedOn w:val="1"/>
    <w:next w:val="1"/>
    <w:qFormat/>
    <w:uiPriority w:val="39"/>
    <w:pPr>
      <w:ind w:left="3360" w:leftChars="160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index 1"/>
    <w:basedOn w:val="1"/>
    <w:next w:val="1"/>
    <w:semiHidden/>
    <w:qFormat/>
    <w:uiPriority w:val="0"/>
    <w:rPr>
      <w:szCs w:val="20"/>
    </w:rPr>
  </w:style>
  <w:style w:type="paragraph" w:styleId="30">
    <w:name w:val="annotation subject"/>
    <w:basedOn w:val="9"/>
    <w:next w:val="9"/>
    <w:link w:val="59"/>
    <w:qFormat/>
    <w:uiPriority w:val="0"/>
    <w:rPr>
      <w:b/>
      <w:bCs/>
    </w:rPr>
  </w:style>
  <w:style w:type="paragraph" w:styleId="31">
    <w:name w:val="Body Text First Indent 2"/>
    <w:basedOn w:val="11"/>
    <w:next w:val="5"/>
    <w:qFormat/>
    <w:uiPriority w:val="0"/>
    <w:pPr>
      <w:ind w:firstLine="420" w:firstLineChars="200"/>
    </w:pPr>
    <w:rPr>
      <w:rFonts w:ascii="Times New Roman" w:hAnsi="Times New Roman" w:eastAsia="宋体" w:cs="Times New Roma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136EC2"/>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Acronym"/>
    <w:basedOn w:val="34"/>
    <w:qFormat/>
    <w:uiPriority w:val="0"/>
  </w:style>
  <w:style w:type="character" w:styleId="41">
    <w:name w:val="HTML Variable"/>
    <w:basedOn w:val="34"/>
    <w:qFormat/>
    <w:uiPriority w:val="0"/>
  </w:style>
  <w:style w:type="character" w:styleId="42">
    <w:name w:val="Hyperlink"/>
    <w:basedOn w:val="34"/>
    <w:qFormat/>
    <w:uiPriority w:val="99"/>
    <w:rPr>
      <w:color w:val="136EC2"/>
      <w:u w:val="none"/>
    </w:rPr>
  </w:style>
  <w:style w:type="character" w:styleId="43">
    <w:name w:val="HTML Code"/>
    <w:basedOn w:val="34"/>
    <w:qFormat/>
    <w:uiPriority w:val="0"/>
    <w:rPr>
      <w:rFonts w:ascii="Courier New" w:hAnsi="Courier New"/>
      <w:sz w:val="20"/>
    </w:rPr>
  </w:style>
  <w:style w:type="character" w:styleId="44">
    <w:name w:val="annotation reference"/>
    <w:qFormat/>
    <w:uiPriority w:val="99"/>
    <w:rPr>
      <w:sz w:val="21"/>
      <w:szCs w:val="21"/>
    </w:rPr>
  </w:style>
  <w:style w:type="character" w:styleId="45">
    <w:name w:val="HTML Cite"/>
    <w:basedOn w:val="34"/>
    <w:qFormat/>
    <w:uiPriority w:val="0"/>
  </w:style>
  <w:style w:type="character" w:styleId="46">
    <w:name w:val="HTML Sample"/>
    <w:basedOn w:val="34"/>
    <w:qFormat/>
    <w:uiPriority w:val="0"/>
    <w:rPr>
      <w:rFonts w:ascii="Courier New" w:hAnsi="Courier New"/>
    </w:rPr>
  </w:style>
  <w:style w:type="character" w:customStyle="1" w:styleId="47">
    <w:name w:val="标题 1 Char"/>
    <w:link w:val="3"/>
    <w:qFormat/>
    <w:uiPriority w:val="0"/>
    <w:rPr>
      <w:rFonts w:ascii="宋体"/>
      <w:b/>
      <w:kern w:val="44"/>
      <w:sz w:val="32"/>
    </w:rPr>
  </w:style>
  <w:style w:type="character" w:customStyle="1" w:styleId="48">
    <w:name w:val="标题 2 Char"/>
    <w:link w:val="4"/>
    <w:qFormat/>
    <w:uiPriority w:val="0"/>
    <w:rPr>
      <w:rFonts w:ascii="Arial" w:hAnsi="Arial" w:eastAsia="黑体"/>
      <w:b/>
      <w:sz w:val="30"/>
    </w:rPr>
  </w:style>
  <w:style w:type="character" w:customStyle="1" w:styleId="49">
    <w:name w:val="标题 3 Char"/>
    <w:link w:val="6"/>
    <w:qFormat/>
    <w:uiPriority w:val="0"/>
    <w:rPr>
      <w:rFonts w:ascii="宋体"/>
      <w:b/>
      <w:sz w:val="24"/>
      <w:u w:val="single"/>
    </w:rPr>
  </w:style>
  <w:style w:type="character" w:customStyle="1" w:styleId="50">
    <w:name w:val="批注文字 Char"/>
    <w:link w:val="9"/>
    <w:qFormat/>
    <w:uiPriority w:val="99"/>
    <w:rPr>
      <w:kern w:val="2"/>
      <w:sz w:val="21"/>
      <w:szCs w:val="24"/>
    </w:rPr>
  </w:style>
  <w:style w:type="character" w:customStyle="1" w:styleId="51">
    <w:name w:val="正文文本 Char"/>
    <w:link w:val="10"/>
    <w:qFormat/>
    <w:uiPriority w:val="0"/>
    <w:rPr>
      <w:rFonts w:ascii="宋体" w:hAnsi="宋体"/>
      <w:kern w:val="2"/>
      <w:sz w:val="24"/>
      <w:szCs w:val="24"/>
    </w:rPr>
  </w:style>
  <w:style w:type="character" w:customStyle="1" w:styleId="52">
    <w:name w:val="纯文本 Char"/>
    <w:link w:val="14"/>
    <w:qFormat/>
    <w:uiPriority w:val="0"/>
    <w:rPr>
      <w:rFonts w:ascii="宋体" w:hAnsi="Courier New"/>
      <w:kern w:val="2"/>
      <w:sz w:val="21"/>
    </w:rPr>
  </w:style>
  <w:style w:type="character" w:customStyle="1" w:styleId="53">
    <w:name w:val="日期 Char"/>
    <w:link w:val="16"/>
    <w:qFormat/>
    <w:uiPriority w:val="0"/>
    <w:rPr>
      <w:rFonts w:ascii="仿宋_GB2312" w:hAnsi="宋体" w:eastAsia="仿宋_GB2312"/>
      <w:color w:val="000000"/>
      <w:kern w:val="2"/>
      <w:sz w:val="24"/>
      <w:szCs w:val="24"/>
    </w:rPr>
  </w:style>
  <w:style w:type="character" w:customStyle="1" w:styleId="54">
    <w:name w:val="批注框文本 Char"/>
    <w:link w:val="18"/>
    <w:qFormat/>
    <w:uiPriority w:val="0"/>
    <w:rPr>
      <w:kern w:val="2"/>
      <w:sz w:val="18"/>
      <w:szCs w:val="18"/>
    </w:rPr>
  </w:style>
  <w:style w:type="character" w:customStyle="1" w:styleId="55">
    <w:name w:val="页脚 Char"/>
    <w:link w:val="19"/>
    <w:qFormat/>
    <w:uiPriority w:val="99"/>
    <w:rPr>
      <w:rFonts w:ascii="宋体"/>
      <w:sz w:val="18"/>
    </w:rPr>
  </w:style>
  <w:style w:type="character" w:customStyle="1" w:styleId="56">
    <w:name w:val="页眉 Char"/>
    <w:link w:val="20"/>
    <w:qFormat/>
    <w:uiPriority w:val="0"/>
    <w:rPr>
      <w:kern w:val="2"/>
      <w:sz w:val="18"/>
      <w:szCs w:val="18"/>
    </w:rPr>
  </w:style>
  <w:style w:type="character" w:customStyle="1" w:styleId="57">
    <w:name w:val="目录 1 Char"/>
    <w:link w:val="21"/>
    <w:qFormat/>
    <w:uiPriority w:val="39"/>
  </w:style>
  <w:style w:type="character" w:customStyle="1" w:styleId="58">
    <w:name w:val="目录 2 Char"/>
    <w:link w:val="26"/>
    <w:qFormat/>
    <w:uiPriority w:val="39"/>
  </w:style>
  <w:style w:type="character" w:customStyle="1" w:styleId="59">
    <w:name w:val="批注主题 Char"/>
    <w:link w:val="30"/>
    <w:qFormat/>
    <w:uiPriority w:val="0"/>
    <w:rPr>
      <w:b/>
      <w:bCs/>
      <w:kern w:val="2"/>
      <w:sz w:val="21"/>
      <w:szCs w:val="24"/>
    </w:rPr>
  </w:style>
  <w:style w:type="paragraph" w:customStyle="1" w:styleId="60">
    <w:name w:val="标题 5（有编号）（绿盟科技）"/>
    <w:basedOn w:val="1"/>
    <w:next w:val="6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2">
    <w:name w:val="btn-task-gray2"/>
    <w:basedOn w:val="34"/>
    <w:qFormat/>
    <w:uiPriority w:val="0"/>
    <w:rPr>
      <w:color w:val="FFFFFF"/>
      <w:u w:val="none"/>
      <w:shd w:val="clear" w:color="auto" w:fill="CCCCCC"/>
    </w:rPr>
  </w:style>
  <w:style w:type="character" w:customStyle="1" w:styleId="63">
    <w:name w:val="btn-task-gray1"/>
    <w:basedOn w:val="34"/>
    <w:qFormat/>
    <w:uiPriority w:val="0"/>
  </w:style>
  <w:style w:type="character" w:customStyle="1" w:styleId="64">
    <w:name w:val="btn-auto-11"/>
    <w:basedOn w:val="34"/>
    <w:qFormat/>
    <w:uiPriority w:val="0"/>
  </w:style>
  <w:style w:type="character" w:customStyle="1" w:styleId="65">
    <w:name w:val="批注文字 Char1"/>
    <w:semiHidden/>
    <w:qFormat/>
    <w:uiPriority w:val="99"/>
    <w:rPr>
      <w:kern w:val="2"/>
      <w:sz w:val="21"/>
      <w:szCs w:val="24"/>
    </w:rPr>
  </w:style>
  <w:style w:type="character" w:customStyle="1" w:styleId="66">
    <w:name w:val="正文缩进 Char1"/>
    <w:link w:val="67"/>
    <w:qFormat/>
    <w:uiPriority w:val="0"/>
    <w:rPr>
      <w:rFonts w:ascii="宋体"/>
      <w:sz w:val="24"/>
    </w:rPr>
  </w:style>
  <w:style w:type="paragraph" w:customStyle="1" w:styleId="67">
    <w:name w:val="正文缩进1"/>
    <w:basedOn w:val="1"/>
    <w:link w:val="66"/>
    <w:qFormat/>
    <w:uiPriority w:val="0"/>
    <w:pPr>
      <w:autoSpaceDE w:val="0"/>
      <w:autoSpaceDN w:val="0"/>
      <w:adjustRightInd w:val="0"/>
      <w:ind w:firstLine="420"/>
      <w:jc w:val="left"/>
    </w:pPr>
    <w:rPr>
      <w:rFonts w:ascii="宋体"/>
      <w:kern w:val="0"/>
      <w:sz w:val="24"/>
      <w:szCs w:val="20"/>
    </w:rPr>
  </w:style>
  <w:style w:type="character" w:customStyle="1" w:styleId="68">
    <w:name w:val="纯文本 Char1"/>
    <w:link w:val="69"/>
    <w:qFormat/>
    <w:uiPriority w:val="0"/>
    <w:rPr>
      <w:rFonts w:ascii="宋体" w:hAnsi="Courier New"/>
    </w:rPr>
  </w:style>
  <w:style w:type="paragraph" w:customStyle="1" w:styleId="69">
    <w:name w:val="纯文本1"/>
    <w:basedOn w:val="1"/>
    <w:link w:val="68"/>
    <w:qFormat/>
    <w:uiPriority w:val="0"/>
    <w:rPr>
      <w:rFonts w:ascii="宋体" w:hAnsi="Courier New"/>
      <w:kern w:val="0"/>
      <w:sz w:val="20"/>
      <w:szCs w:val="20"/>
    </w:rPr>
  </w:style>
  <w:style w:type="character" w:customStyle="1" w:styleId="70">
    <w:name w:val="批注框文本 Char1"/>
    <w:semiHidden/>
    <w:qFormat/>
    <w:uiPriority w:val="99"/>
    <w:rPr>
      <w:kern w:val="2"/>
      <w:sz w:val="18"/>
      <w:szCs w:val="18"/>
    </w:rPr>
  </w:style>
  <w:style w:type="character" w:customStyle="1" w:styleId="71">
    <w:name w:val="页眉 Char1"/>
    <w:semiHidden/>
    <w:qFormat/>
    <w:uiPriority w:val="99"/>
    <w:rPr>
      <w:kern w:val="2"/>
      <w:sz w:val="18"/>
      <w:szCs w:val="18"/>
    </w:rPr>
  </w:style>
  <w:style w:type="character" w:customStyle="1" w:styleId="72">
    <w:name w:val="s1"/>
    <w:basedOn w:val="34"/>
    <w:qFormat/>
    <w:uiPriority w:val="0"/>
    <w:rPr>
      <w:color w:val="DDDDDD"/>
      <w:sz w:val="18"/>
      <w:szCs w:val="18"/>
    </w:rPr>
  </w:style>
  <w:style w:type="character" w:customStyle="1" w:styleId="73">
    <w:name w:val="NormalCharacter"/>
    <w:semiHidden/>
    <w:qFormat/>
    <w:uiPriority w:val="0"/>
    <w:rPr>
      <w:kern w:val="2"/>
      <w:sz w:val="21"/>
      <w:szCs w:val="24"/>
      <w:lang w:val="en-US" w:eastAsia="zh-CN" w:bidi="ar-SA"/>
    </w:rPr>
  </w:style>
  <w:style w:type="character" w:customStyle="1" w:styleId="74">
    <w:name w:val="批注主题 Char1"/>
    <w:semiHidden/>
    <w:qFormat/>
    <w:uiPriority w:val="99"/>
    <w:rPr>
      <w:b/>
      <w:bCs/>
      <w:kern w:val="2"/>
      <w:sz w:val="21"/>
      <w:szCs w:val="24"/>
    </w:rPr>
  </w:style>
  <w:style w:type="paragraph" w:customStyle="1" w:styleId="75">
    <w:name w:val="列出段落"/>
    <w:basedOn w:val="1"/>
    <w:qFormat/>
    <w:uiPriority w:val="34"/>
    <w:pPr>
      <w:widowControl/>
      <w:ind w:firstLine="420" w:firstLineChars="200"/>
      <w:jc w:val="left"/>
    </w:pPr>
    <w:rPr>
      <w:kern w:val="0"/>
      <w:sz w:val="24"/>
    </w:rPr>
  </w:style>
  <w:style w:type="paragraph" w:customStyle="1" w:styleId="76">
    <w:name w:val="Char"/>
    <w:basedOn w:val="1"/>
    <w:qFormat/>
    <w:uiPriority w:val="0"/>
    <w:pPr>
      <w:tabs>
        <w:tab w:val="left" w:pos="360"/>
      </w:tabs>
    </w:pPr>
    <w:rPr>
      <w:sz w:val="24"/>
    </w:rPr>
  </w:style>
  <w:style w:type="paragraph" w:customStyle="1" w:styleId="77">
    <w:name w:val="Heading1"/>
    <w:basedOn w:val="1"/>
    <w:next w:val="1"/>
    <w:qFormat/>
    <w:uiPriority w:val="0"/>
    <w:pPr>
      <w:keepNext/>
      <w:keepLines/>
      <w:spacing w:before="240" w:after="120" w:line="300" w:lineRule="auto"/>
      <w:jc w:val="center"/>
      <w:textAlignment w:val="baseline"/>
    </w:pPr>
    <w:rPr>
      <w:rFonts w:ascii="宋体"/>
      <w:b/>
      <w:kern w:val="44"/>
      <w:sz w:val="32"/>
      <w:szCs w:val="20"/>
      <w:lang w:val="en-US" w:eastAsia="zh-CN" w:bidi="ar-SA"/>
    </w:rPr>
  </w:style>
  <w:style w:type="paragraph" w:customStyle="1" w:styleId="78">
    <w:name w:val="索引 11"/>
    <w:basedOn w:val="1"/>
    <w:next w:val="1"/>
    <w:qFormat/>
    <w:uiPriority w:val="0"/>
    <w:pPr>
      <w:spacing w:line="360" w:lineRule="auto"/>
    </w:pPr>
    <w:rPr>
      <w:rFonts w:ascii="仿宋_GB2312" w:eastAsia="仿宋_GB2312"/>
      <w:sz w:val="24"/>
      <w:szCs w:val="20"/>
    </w:rPr>
  </w:style>
  <w:style w:type="paragraph" w:customStyle="1" w:styleId="79">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80">
    <w:name w:val="font21"/>
    <w:basedOn w:val="34"/>
    <w:qFormat/>
    <w:uiPriority w:val="0"/>
    <w:rPr>
      <w:rFonts w:ascii="方正仿宋_GBK" w:hAnsi="方正仿宋_GBK" w:eastAsia="方正仿宋_GBK" w:cs="方正仿宋_GBK"/>
      <w:color w:val="000000"/>
      <w:sz w:val="24"/>
      <w:szCs w:val="24"/>
      <w:u w:val="none"/>
    </w:rPr>
  </w:style>
  <w:style w:type="character" w:customStyle="1" w:styleId="81">
    <w:name w:val="font11"/>
    <w:basedOn w:val="34"/>
    <w:qFormat/>
    <w:uiPriority w:val="0"/>
    <w:rPr>
      <w:rFonts w:hint="default" w:ascii="Times New Roman" w:hAnsi="Times New Roman" w:cs="Times New Roman"/>
      <w:color w:val="000000"/>
      <w:sz w:val="24"/>
      <w:szCs w:val="24"/>
      <w:u w:val="none"/>
    </w:rPr>
  </w:style>
  <w:style w:type="character" w:customStyle="1" w:styleId="82">
    <w:name w:val="font01"/>
    <w:basedOn w:val="34"/>
    <w:qFormat/>
    <w:uiPriority w:val="0"/>
    <w:rPr>
      <w:rFonts w:hint="eastAsia" w:ascii="宋体" w:hAnsi="宋体" w:eastAsia="宋体" w:cs="宋体"/>
      <w:color w:val="000000"/>
      <w:sz w:val="24"/>
      <w:szCs w:val="24"/>
      <w:u w:val="none"/>
    </w:rPr>
  </w:style>
  <w:style w:type="character" w:customStyle="1" w:styleId="83">
    <w:name w:val="font31"/>
    <w:basedOn w:val="34"/>
    <w:qFormat/>
    <w:uiPriority w:val="0"/>
    <w:rPr>
      <w:rFonts w:hint="default" w:ascii="方正仿宋_GBK" w:hAnsi="方正仿宋_GBK" w:eastAsia="方正仿宋_GBK" w:cs="方正仿宋_GBK"/>
      <w:color w:val="000000"/>
      <w:sz w:val="24"/>
      <w:szCs w:val="24"/>
      <w:u w:val="none"/>
    </w:rPr>
  </w:style>
  <w:style w:type="paragraph" w:customStyle="1" w:styleId="84">
    <w:name w:val="列出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55</Pages>
  <Words>4930</Words>
  <Characters>28102</Characters>
  <Lines>234</Lines>
  <Paragraphs>65</Paragraphs>
  <TotalTime>31</TotalTime>
  <ScaleCrop>false</ScaleCrop>
  <LinksUpToDate>false</LinksUpToDate>
  <CharactersWithSpaces>32967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2018-08-15T11:05:00Z</dcterms:created>
  <dc:creator>USER-</dc:creator>
  <cp:lastModifiedBy>愿</cp:lastModifiedBy>
  <cp:lastPrinted>2021-12-02T02:45:00Z</cp:lastPrinted>
  <dcterms:modified xsi:type="dcterms:W3CDTF">2021-12-02T08:53:30Z</dcterms:modified>
  <dc:title>02年杜范本稿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AB66D628CA5F4B93AEA24770A29BD3F7</vt:lpwstr>
  </property>
</Properties>
</file>