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55990499"/>
      <w:bookmarkStart w:id="1" w:name="_Toc56170377"/>
      <w:bookmarkStart w:id="2" w:name="_Toc82497891"/>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ZKGSF(ZB)-20214063</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新疆医科大学第五附属医院光学相干断层成像（血管OCT)仪、冠脉血流储备分数测试仪(FFR）采购项目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_Toc9693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_Toc9693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_Toc762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_Toc30728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_Toc30728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_Toc24409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_Toc24409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_Toc21224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_Toc21224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_Toc17641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_Toc17641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_Toc27980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_Toc27980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_Toc2980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_Toc29192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_Toc29192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_Toc8902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_Toc8902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_Toc11323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_Toc11323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_Toc9856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_Toc9856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_Toc30389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_Toc30389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_Toc4016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_Toc4016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_Toc19950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_Toc19950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_Toc15164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_Toc15164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_Toc29035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_Toc29035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_Toc12806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_Toc28274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_Toc1893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_Toc14102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_Toc14102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_Toc18648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_Toc18648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_Toc16324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_Toc16324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_Toc27219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_Toc27219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_Toc16606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_Toc28171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_Toc28171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_Toc31177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_Toc31177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36"/>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p>
    <w:bookmarkEnd w:id="0"/>
    <w:bookmarkEnd w:id="1"/>
    <w:bookmarkEnd w:id="2"/>
    <w:p>
      <w:pPr>
        <w:pStyle w:val="3"/>
        <w:rPr>
          <w:rFonts w:hint="eastAsia" w:ascii="仿宋" w:hAnsi="仿宋" w:eastAsia="仿宋" w:cs="仿宋"/>
        </w:rPr>
      </w:pPr>
      <w:bookmarkStart w:id="4" w:name="_Toc9693"/>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ZKGSF(ZB)-20214063</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采购光学相干断层成像（血管OCT)仪1台、冠脉血流储备分数测试仪(FFR）1台</w:t>
      </w:r>
      <w:r>
        <w:rPr>
          <w:rFonts w:hint="eastAsia" w:ascii="仿宋" w:hAnsi="仿宋" w:eastAsia="仿宋" w:cs="仿宋"/>
          <w:sz w:val="28"/>
        </w:rPr>
        <w:t>，</w:t>
      </w:r>
      <w:r>
        <w:rPr>
          <w:rFonts w:hint="eastAsia" w:ascii="仿宋" w:hAnsi="仿宋" w:eastAsia="仿宋" w:cs="仿宋"/>
          <w:sz w:val="28"/>
          <w:lang w:val="en-US" w:eastAsia="zh-CN"/>
        </w:rPr>
        <w:t>预算金额325万，</w:t>
      </w:r>
      <w:r>
        <w:rPr>
          <w:rFonts w:hint="eastAsia" w:ascii="仿宋" w:hAnsi="仿宋" w:eastAsia="仿宋" w:cs="仿宋"/>
          <w:sz w:val="28"/>
        </w:rPr>
        <w:t>最高限价</w:t>
      </w:r>
      <w:r>
        <w:rPr>
          <w:rFonts w:hint="eastAsia" w:ascii="仿宋" w:hAnsi="仿宋" w:eastAsia="仿宋" w:cs="仿宋"/>
          <w:sz w:val="28"/>
          <w:lang w:val="en-US" w:eastAsia="zh-CN"/>
        </w:rPr>
        <w:t>300</w:t>
      </w:r>
      <w:r>
        <w:rPr>
          <w:rFonts w:hint="eastAsia" w:ascii="仿宋" w:hAnsi="仿宋" w:eastAsia="仿宋" w:cs="仿宋"/>
          <w:sz w:val="28"/>
        </w:rPr>
        <w:t>万元</w:t>
      </w:r>
      <w:r>
        <w:rPr>
          <w:rFonts w:hint="eastAsia" w:ascii="仿宋" w:hAnsi="仿宋" w:eastAsia="仿宋" w:cs="仿宋"/>
          <w:sz w:val="28"/>
          <w:lang w:eastAsia="zh-CN"/>
        </w:rPr>
        <w:t>，</w:t>
      </w:r>
      <w:r>
        <w:rPr>
          <w:rFonts w:hint="eastAsia" w:ascii="仿宋" w:hAnsi="仿宋" w:eastAsia="仿宋" w:cs="仿宋"/>
          <w:sz w:val="28"/>
          <w:lang w:val="en-US" w:eastAsia="zh-CN"/>
        </w:rPr>
        <w:t>其中光学相干断层成像（血管OCT)仪最高限价280万元，冠脉血流储备分数测试仪(FFR）最高限价20万元</w:t>
      </w:r>
      <w:r>
        <w:rPr>
          <w:rFonts w:hint="eastAsia" w:ascii="仿宋" w:hAnsi="仿宋" w:eastAsia="仿宋" w:cs="仿宋"/>
          <w:sz w:val="28"/>
        </w:rPr>
        <w:t>。</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lang w:val="en-US" w:eastAsia="zh-CN"/>
        </w:rPr>
        <w:t>4</w:t>
      </w:r>
      <w:r>
        <w:rPr>
          <w:rFonts w:hint="eastAsia" w:ascii="仿宋" w:hAnsi="仿宋" w:eastAsia="仿宋" w:cs="仿宋"/>
          <w:sz w:val="28"/>
        </w:rPr>
        <w:t>、法定代表人投标需携带法定代表人证明书（原件）及法定代表人身份证（原件）</w:t>
      </w:r>
      <w:r>
        <w:rPr>
          <w:rFonts w:hint="eastAsia" w:ascii="仿宋" w:hAnsi="仿宋" w:eastAsia="仿宋" w:cs="仿宋"/>
          <w:sz w:val="28"/>
          <w:lang w:eastAsia="zh-CN"/>
        </w:rPr>
        <w:t>；</w:t>
      </w:r>
      <w:r>
        <w:rPr>
          <w:rFonts w:hint="eastAsia" w:ascii="仿宋" w:hAnsi="仿宋" w:eastAsia="仿宋" w:cs="仿宋"/>
          <w:sz w:val="28"/>
        </w:rPr>
        <w:t>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8</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新疆医科大学第五附属医院光学相干断层成像（血管OCT)仪、冠脉血流储备分数测试仪(FFR）采购项目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60000.00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本项目为非专门面向中小企业（含中型、小型、微型企业）采购项目，根据《政府采购促进中小企业发展管理办法》（财库[2020]46号）的规定，评标时将给予此类企业进行价格6%的优惠，用优惠后的价格参与评审。</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896489"/>
      <w:bookmarkStart w:id="9" w:name="_Toc55990500"/>
      <w:bookmarkStart w:id="10" w:name="_Toc56170378"/>
      <w:bookmarkStart w:id="11" w:name="_Toc762"/>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30728"/>
      <w:bookmarkStart w:id="14" w:name="_Toc56170379"/>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新疆医科大学第五附属医院光学相干断层成像（血管OCT)仪、冠脉血流储备分数测试仪(FFR）采购项目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ZKGSF(ZB)-20214063</w:t>
            </w:r>
          </w:p>
          <w:p>
            <w:pPr>
              <w:pStyle w:val="20"/>
              <w:spacing w:line="360" w:lineRule="auto"/>
              <w:ind w:firstLine="0" w:firstLineChars="0"/>
              <w:jc w:val="left"/>
              <w:rPr>
                <w:rFonts w:hint="eastAsia" w:ascii="仿宋" w:hAnsi="仿宋" w:eastAsia="仿宋" w:cs="仿宋"/>
                <w:sz w:val="24"/>
                <w:szCs w:val="24"/>
                <w:lang w:eastAsia="zh-CN"/>
              </w:rPr>
            </w:pPr>
            <w:r>
              <w:rPr>
                <w:rFonts w:hint="eastAsia" w:ascii="仿宋" w:hAnsi="仿宋" w:eastAsia="仿宋" w:cs="仿宋"/>
                <w:color w:val="000000"/>
                <w:sz w:val="24"/>
                <w:szCs w:val="24"/>
              </w:rPr>
              <w:t>招标内容：采购光学相干断层成像（血管OCT)仪1台、冠脉血流储备分数测试仪(FFR）1台</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325万</w:t>
            </w:r>
            <w:r>
              <w:rPr>
                <w:rFonts w:hint="eastAsia" w:ascii="仿宋" w:hAnsi="仿宋" w:eastAsia="仿宋" w:cs="仿宋"/>
                <w:color w:val="000000"/>
                <w:sz w:val="24"/>
                <w:szCs w:val="24"/>
                <w:lang w:eastAsia="zh-CN"/>
              </w:rPr>
              <w:t>。</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最高限价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300万元，其中光学相干断层成像（血管OCT)仪最高限价280万元，冠脉血流储备分数测试仪(FFR）最高限价20万元。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60</w:t>
            </w:r>
            <w:r>
              <w:rPr>
                <w:rFonts w:hint="eastAsia" w:ascii="仿宋" w:hAnsi="仿宋" w:eastAsia="仿宋" w:cs="仿宋"/>
                <w:color w:val="000000"/>
                <w:sz w:val="24"/>
                <w:szCs w:val="24"/>
                <w:u w:val="single"/>
              </w:rPr>
              <w:t>,000.00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陆万元整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1、符合《中华人民共和国政府采购法》第二十二条款规定；</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2、具有有效的营业执照；</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4</w:t>
            </w:r>
            <w:r>
              <w:rPr>
                <w:rFonts w:hint="eastAsia" w:ascii="仿宋" w:hAnsi="仿宋" w:eastAsia="仿宋" w:cs="仿宋"/>
                <w:b w:val="0"/>
                <w:bCs w:val="0"/>
                <w:szCs w:val="24"/>
              </w:rPr>
              <w:t>、法定代表人投标需携带法定代表人证明书（原件）及法定代表人身份证（原件）</w:t>
            </w:r>
            <w:r>
              <w:rPr>
                <w:rFonts w:hint="eastAsia" w:ascii="仿宋" w:hAnsi="仿宋" w:eastAsia="仿宋" w:cs="仿宋"/>
                <w:b w:val="0"/>
                <w:bCs w:val="0"/>
                <w:szCs w:val="24"/>
                <w:lang w:eastAsia="zh-CN"/>
              </w:rPr>
              <w:t>；</w:t>
            </w:r>
            <w:r>
              <w:rPr>
                <w:rFonts w:hint="eastAsia" w:ascii="仿宋" w:hAnsi="仿宋" w:eastAsia="仿宋" w:cs="仿宋"/>
                <w:b w:val="0"/>
                <w:bCs w:val="0"/>
                <w:szCs w:val="24"/>
              </w:rPr>
              <w:t>委托代理人投标需携带法定代表人授权委托书（原件）及委托代理人身份证（原件）；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5</w:t>
            </w:r>
            <w:r>
              <w:rPr>
                <w:rFonts w:hint="eastAsia" w:ascii="仿宋" w:hAnsi="仿宋" w:eastAsia="仿宋" w:cs="仿宋"/>
                <w:b w:val="0"/>
                <w:bCs w:val="0"/>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6</w:t>
            </w:r>
            <w:r>
              <w:rPr>
                <w:rFonts w:hint="eastAsia" w:ascii="仿宋" w:hAnsi="仿宋" w:eastAsia="仿宋" w:cs="仿宋"/>
                <w:b w:val="0"/>
                <w:bCs w:val="0"/>
                <w:szCs w:val="24"/>
              </w:rPr>
              <w:t>、本项目不接受联合体投标。</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7</w:t>
            </w:r>
            <w:r>
              <w:rPr>
                <w:rFonts w:hint="eastAsia" w:ascii="仿宋" w:hAnsi="仿宋" w:eastAsia="仿宋" w:cs="仿宋"/>
                <w:b w:val="0"/>
                <w:bCs w:val="0"/>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交货期：收到中标通知书后30日内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付款方式：设备安装验收合格支付中标总金额的90%，其余10%作为质保金，质保金于质保期（保修期）结束后免息付清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65158527"/>
      <w:bookmarkStart w:id="16" w:name="_Toc82497894"/>
      <w:bookmarkStart w:id="17" w:name="_Toc24409"/>
      <w:bookmarkStart w:id="18" w:name="_Toc56170380"/>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21224"/>
      <w:bookmarkStart w:id="20" w:name="_Toc56170381"/>
      <w:bookmarkStart w:id="21" w:name="_Toc65158528"/>
      <w:bookmarkStart w:id="22" w:name="_Toc82497895"/>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82497896"/>
      <w:bookmarkStart w:id="24" w:name="_Toc56170382"/>
      <w:bookmarkStart w:id="25" w:name="_Toc17641"/>
      <w:bookmarkStart w:id="26" w:name="_Toc65158529"/>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w:t>
      </w:r>
      <w:r>
        <w:rPr>
          <w:rFonts w:hint="eastAsia" w:ascii="仿宋" w:hAnsi="仿宋" w:eastAsia="仿宋" w:cs="仿宋"/>
          <w:sz w:val="28"/>
          <w:lang w:eastAsia="zh-CN"/>
        </w:rPr>
        <w:t>开标一览表</w:t>
      </w:r>
      <w:r>
        <w:rPr>
          <w:rFonts w:hint="eastAsia" w:ascii="仿宋" w:hAnsi="仿宋" w:eastAsia="仿宋" w:cs="仿宋"/>
          <w:sz w:val="28"/>
        </w:rPr>
        <w:t>》备注中填写。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27980"/>
      <w:bookmarkStart w:id="28" w:name="_Toc82497897"/>
      <w:bookmarkStart w:id="29" w:name="_Toc56170383"/>
      <w:bookmarkStart w:id="30" w:name="_Toc65158530"/>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w:t>
      </w:r>
      <w:r>
        <w:rPr>
          <w:rFonts w:hint="eastAsia" w:ascii="仿宋" w:hAnsi="仿宋" w:eastAsia="仿宋" w:cs="仿宋"/>
          <w:sz w:val="28"/>
          <w:lang w:eastAsia="zh-CN"/>
        </w:rPr>
        <w:t>开标一览表</w:t>
      </w:r>
      <w:r>
        <w:rPr>
          <w:rFonts w:hint="eastAsia" w:ascii="仿宋" w:hAnsi="仿宋" w:eastAsia="仿宋" w:cs="仿宋"/>
          <w:sz w:val="28"/>
        </w:rPr>
        <w:t>单独</w:t>
      </w:r>
      <w:r>
        <w:rPr>
          <w:rFonts w:hint="eastAsia" w:ascii="仿宋" w:hAnsi="仿宋" w:eastAsia="仿宋" w:cs="仿宋"/>
          <w:bCs/>
          <w:sz w:val="28"/>
        </w:rPr>
        <w:t>密封一份在信袋内，在密封处加盖公章（或合同专用章），在信袋上注明“</w:t>
      </w:r>
      <w:r>
        <w:rPr>
          <w:rFonts w:hint="eastAsia" w:ascii="仿宋" w:hAnsi="仿宋" w:eastAsia="仿宋" w:cs="仿宋"/>
          <w:bCs/>
          <w:sz w:val="28"/>
          <w:lang w:eastAsia="zh-CN"/>
        </w:rPr>
        <w:t>开标一览表</w:t>
      </w:r>
      <w:r>
        <w:rPr>
          <w:rFonts w:hint="eastAsia" w:ascii="仿宋" w:hAnsi="仿宋" w:eastAsia="仿宋" w:cs="仿宋"/>
          <w:bCs/>
          <w:sz w:val="28"/>
        </w:rPr>
        <w:t>”字样，作为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65158531"/>
      <w:bookmarkStart w:id="32" w:name="_Toc56170384"/>
      <w:bookmarkStart w:id="33" w:name="_Toc82497898"/>
      <w:bookmarkStart w:id="34" w:name="_Toc2980"/>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29192"/>
      <w:bookmarkStart w:id="36" w:name="_Toc65158532"/>
      <w:bookmarkStart w:id="37" w:name="_Toc56170385"/>
      <w:bookmarkStart w:id="38" w:name="_Toc82497899"/>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82497900"/>
      <w:bookmarkStart w:id="40" w:name="_Toc56170386"/>
      <w:bookmarkStart w:id="41" w:name="_Toc8902"/>
      <w:bookmarkStart w:id="42" w:name="_Toc65158533"/>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11323"/>
      <w:bookmarkStart w:id="44" w:name="_Toc65158534"/>
      <w:bookmarkStart w:id="45" w:name="_Toc56170387"/>
      <w:bookmarkStart w:id="46" w:name="_Toc82497901"/>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65158535"/>
      <w:bookmarkStart w:id="48" w:name="_Toc82497902"/>
      <w:bookmarkStart w:id="49" w:name="_Toc56170388"/>
      <w:bookmarkStart w:id="50" w:name="_Toc9856"/>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56170389"/>
      <w:bookmarkStart w:id="52" w:name="_Toc30389"/>
      <w:bookmarkStart w:id="53" w:name="_Toc82497903"/>
      <w:bookmarkStart w:id="54" w:name="_Toc65158536"/>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82497904"/>
      <w:bookmarkStart w:id="57" w:name="_Toc58"/>
      <w:bookmarkStart w:id="58" w:name="_Toc55990501"/>
      <w:bookmarkStart w:id="59" w:name="_Toc56170390"/>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b/>
          <w:bCs/>
          <w:sz w:val="24"/>
        </w:rPr>
      </w:pPr>
      <w:bookmarkStart w:id="60" w:name="_Hlk87293432"/>
      <w:bookmarkStart w:id="61" w:name="_Hlk75463441"/>
      <w:r>
        <w:rPr>
          <w:rFonts w:hint="eastAsia" w:ascii="仿宋" w:hAnsi="仿宋" w:eastAsia="仿宋" w:cs="仿宋"/>
          <w:b/>
          <w:bCs/>
          <w:sz w:val="32"/>
          <w:szCs w:val="32"/>
        </w:rPr>
        <w:t>光学相干断层成像（血管OCT)仪</w:t>
      </w:r>
      <w:bookmarkEnd w:id="60"/>
      <w:r>
        <w:rPr>
          <w:rFonts w:hint="eastAsia" w:ascii="仿宋" w:hAnsi="仿宋" w:eastAsia="仿宋" w:cs="仿宋"/>
          <w:b/>
          <w:bCs/>
          <w:sz w:val="32"/>
          <w:szCs w:val="32"/>
        </w:rPr>
        <w:t xml:space="preserve">  技术参数</w:t>
      </w:r>
      <w:bookmarkEnd w:id="61"/>
    </w:p>
    <w:p>
      <w:pPr>
        <w:ind w:firstLine="280" w:firstLineChars="100"/>
        <w:jc w:val="left"/>
        <w:rPr>
          <w:rFonts w:hint="eastAsia" w:ascii="仿宋" w:hAnsi="仿宋" w:eastAsia="仿宋" w:cs="仿宋"/>
          <w:b/>
          <w:bCs/>
          <w:sz w:val="28"/>
          <w:szCs w:val="28"/>
        </w:rPr>
      </w:pP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（一）产品用途：</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用于对接受冠状动脉介入手术的病人，结合专用的一次性使用血管内成像导管进行冠脉成像，能定性和定量评价冠状动脉的血管形态，提供血管的图像和管壁结构。</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（二）成像技术规格要求：</w:t>
      </w:r>
    </w:p>
    <w:p>
      <w:pPr>
        <w:jc w:val="left"/>
        <w:rPr>
          <w:rFonts w:hint="eastAsia" w:ascii="仿宋" w:hAnsi="仿宋" w:eastAsia="仿宋" w:cs="仿宋"/>
          <w:sz w:val="28"/>
          <w:szCs w:val="28"/>
        </w:rPr>
      </w:pPr>
      <w:r>
        <w:rPr>
          <w:rFonts w:hint="eastAsia" w:ascii="仿宋" w:hAnsi="仿宋" w:eastAsia="仿宋" w:cs="仿宋"/>
          <w:sz w:val="28"/>
          <w:szCs w:val="28"/>
        </w:rPr>
        <w:t>1、扫描激光源光功率：≤15 mW±5mV 波长1305±15nm；</w:t>
      </w:r>
    </w:p>
    <w:p>
      <w:pPr>
        <w:jc w:val="left"/>
        <w:rPr>
          <w:rFonts w:hint="eastAsia" w:ascii="仿宋" w:hAnsi="仿宋" w:eastAsia="仿宋" w:cs="仿宋"/>
          <w:sz w:val="28"/>
          <w:szCs w:val="28"/>
        </w:rPr>
      </w:pPr>
      <w:r>
        <w:rPr>
          <w:rFonts w:hint="eastAsia" w:ascii="仿宋" w:hAnsi="仿宋" w:eastAsia="仿宋" w:cs="仿宋"/>
          <w:sz w:val="28"/>
          <w:szCs w:val="28"/>
        </w:rPr>
        <w:t>*2、可见激光功率：≤200μW  波长650±50nm；</w:t>
      </w:r>
    </w:p>
    <w:p>
      <w:pPr>
        <w:jc w:val="left"/>
        <w:rPr>
          <w:rFonts w:hint="eastAsia" w:ascii="仿宋" w:hAnsi="仿宋" w:eastAsia="仿宋" w:cs="仿宋"/>
          <w:sz w:val="28"/>
          <w:szCs w:val="28"/>
        </w:rPr>
      </w:pPr>
      <w:r>
        <w:rPr>
          <w:rFonts w:hint="eastAsia" w:ascii="仿宋" w:hAnsi="仿宋" w:eastAsia="仿宋" w:cs="仿宋"/>
          <w:sz w:val="28"/>
          <w:szCs w:val="28"/>
        </w:rPr>
        <w:t>*3、回撤长度：60mm±1.0mm；</w:t>
      </w:r>
    </w:p>
    <w:p>
      <w:pPr>
        <w:jc w:val="left"/>
        <w:rPr>
          <w:rFonts w:hint="eastAsia" w:ascii="仿宋" w:hAnsi="仿宋" w:eastAsia="仿宋" w:cs="仿宋"/>
          <w:sz w:val="28"/>
          <w:szCs w:val="28"/>
        </w:rPr>
      </w:pPr>
      <w:r>
        <w:rPr>
          <w:rFonts w:hint="eastAsia" w:ascii="仿宋" w:hAnsi="仿宋" w:eastAsia="仿宋" w:cs="仿宋"/>
          <w:sz w:val="28"/>
          <w:szCs w:val="28"/>
        </w:rPr>
        <w:t>4、回撤方式：自动、手动；</w:t>
      </w:r>
    </w:p>
    <w:p>
      <w:pPr>
        <w:jc w:val="left"/>
        <w:rPr>
          <w:rFonts w:hint="eastAsia" w:ascii="仿宋" w:hAnsi="仿宋" w:eastAsia="仿宋" w:cs="仿宋"/>
          <w:sz w:val="28"/>
          <w:szCs w:val="28"/>
        </w:rPr>
      </w:pPr>
      <w:r>
        <w:rPr>
          <w:rFonts w:hint="eastAsia" w:ascii="仿宋" w:hAnsi="仿宋" w:eastAsia="仿宋" w:cs="仿宋"/>
          <w:sz w:val="28"/>
          <w:szCs w:val="28"/>
        </w:rPr>
        <w:t>5、成像参数要求：</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5.1、空气中的A 扫描范围≥8.0mm；</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5.2、组织中的A扫描范围≥5.0mm</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5.3、直径测量精度：重复误差率≤7% ；</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*5.4、面积测量精度：重复误差率≤7% ；</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*5.5、管腔面积重复测量的变异系数：≤5%</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5.6、轴向（纵向）分辨率≤15 微米（组织中）；</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5.7、帧速率≥100±1 帧/秒(Hz)；</w:t>
      </w:r>
    </w:p>
    <w:p>
      <w:pPr>
        <w:jc w:val="left"/>
        <w:rPr>
          <w:rFonts w:hint="eastAsia" w:ascii="仿宋" w:hAnsi="仿宋" w:eastAsia="仿宋" w:cs="仿宋"/>
          <w:sz w:val="28"/>
          <w:szCs w:val="28"/>
        </w:rPr>
      </w:pPr>
      <w:r>
        <w:rPr>
          <w:rFonts w:hint="eastAsia" w:ascii="仿宋" w:hAnsi="仿宋" w:eastAsia="仿宋" w:cs="仿宋"/>
          <w:sz w:val="28"/>
          <w:szCs w:val="28"/>
        </w:rPr>
        <w:t>6、回撤速度：≥18mm/s</w:t>
      </w:r>
    </w:p>
    <w:p>
      <w:pPr>
        <w:jc w:val="left"/>
        <w:rPr>
          <w:rFonts w:hint="eastAsia" w:ascii="仿宋" w:hAnsi="仿宋" w:eastAsia="仿宋" w:cs="仿宋"/>
          <w:sz w:val="28"/>
          <w:szCs w:val="28"/>
        </w:rPr>
      </w:pPr>
      <w:r>
        <w:rPr>
          <w:rFonts w:hint="eastAsia" w:ascii="仿宋" w:hAnsi="仿宋" w:eastAsia="仿宋" w:cs="仿宋"/>
          <w:sz w:val="28"/>
          <w:szCs w:val="28"/>
        </w:rPr>
        <w:t>7、图像体现：导入回拉图像数据，重构三维立体渲染图，能够实现三维的测量、旋转、切割和图像存储；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（三）功能要求：</w:t>
      </w:r>
    </w:p>
    <w:p>
      <w:pPr>
        <w:jc w:val="left"/>
        <w:rPr>
          <w:rFonts w:hint="eastAsia" w:ascii="仿宋" w:hAnsi="仿宋" w:eastAsia="仿宋" w:cs="仿宋"/>
          <w:sz w:val="28"/>
          <w:szCs w:val="28"/>
        </w:rPr>
      </w:pPr>
      <w:r>
        <w:rPr>
          <w:rFonts w:hint="eastAsia" w:ascii="仿宋" w:hAnsi="仿宋" w:eastAsia="仿宋" w:cs="仿宋"/>
          <w:sz w:val="28"/>
          <w:szCs w:val="28"/>
        </w:rPr>
        <w:t>*1、具备全中文操作界面及操作系统，使用过程中有全中文操作流程提示及报警提示。</w:t>
      </w:r>
    </w:p>
    <w:p>
      <w:pPr>
        <w:jc w:val="left"/>
        <w:rPr>
          <w:rFonts w:hint="eastAsia" w:ascii="仿宋" w:hAnsi="仿宋" w:eastAsia="仿宋" w:cs="仿宋"/>
          <w:sz w:val="28"/>
          <w:szCs w:val="28"/>
        </w:rPr>
      </w:pPr>
      <w:r>
        <w:rPr>
          <w:rFonts w:hint="eastAsia" w:ascii="仿宋" w:hAnsi="仿宋" w:eastAsia="仿宋" w:cs="仿宋"/>
          <w:sz w:val="28"/>
          <w:szCs w:val="28"/>
        </w:rPr>
        <w:t>2、具备快速冲洗，旋转回撤OCT 导管，采集数据</w:t>
      </w:r>
    </w:p>
    <w:p>
      <w:pPr>
        <w:jc w:val="left"/>
        <w:rPr>
          <w:rFonts w:hint="eastAsia" w:ascii="仿宋" w:hAnsi="仿宋" w:eastAsia="仿宋" w:cs="仿宋"/>
          <w:sz w:val="28"/>
          <w:szCs w:val="28"/>
        </w:rPr>
      </w:pPr>
      <w:r>
        <w:rPr>
          <w:rFonts w:hint="eastAsia" w:ascii="仿宋" w:hAnsi="仿宋" w:eastAsia="仿宋" w:cs="仿宋"/>
          <w:sz w:val="28"/>
          <w:szCs w:val="28"/>
        </w:rPr>
        <w:t>3、病例管理：具备管理病例数据，查询已有病例数据并预览功能。病例创建能够新建病例或在原有基础上创建病例；</w:t>
      </w:r>
    </w:p>
    <w:p>
      <w:pPr>
        <w:jc w:val="left"/>
        <w:rPr>
          <w:rFonts w:hint="eastAsia" w:ascii="仿宋" w:hAnsi="仿宋" w:eastAsia="仿宋" w:cs="仿宋"/>
          <w:sz w:val="28"/>
          <w:szCs w:val="28"/>
        </w:rPr>
      </w:pPr>
      <w:r>
        <w:rPr>
          <w:rFonts w:hint="eastAsia" w:ascii="仿宋" w:hAnsi="仿宋" w:eastAsia="仿宋" w:cs="仿宋"/>
          <w:sz w:val="28"/>
          <w:szCs w:val="28"/>
        </w:rPr>
        <w:t>4、回拉成像：光学扫描影像导管在人体腔体内旋转扫描时，触发PIU回拉，并记录病变部位的扫描图像，为后续的二维和三维渲染准备数据；</w:t>
      </w:r>
    </w:p>
    <w:p>
      <w:pPr>
        <w:jc w:val="left"/>
        <w:rPr>
          <w:rFonts w:hint="eastAsia" w:ascii="仿宋" w:hAnsi="仿宋" w:eastAsia="仿宋" w:cs="仿宋"/>
          <w:sz w:val="28"/>
          <w:szCs w:val="28"/>
        </w:rPr>
      </w:pPr>
      <w:r>
        <w:rPr>
          <w:rFonts w:hint="eastAsia" w:ascii="仿宋" w:hAnsi="仿宋" w:eastAsia="仿宋" w:cs="仿宋"/>
          <w:sz w:val="28"/>
          <w:szCs w:val="28"/>
        </w:rPr>
        <w:t>5、病例回放：能够回放回拉图像，当加载完成回拉成像记录的数据，快速观察回拉的每一帧断层图像，并实现三维渲染的需要的图像数据；</w:t>
      </w:r>
    </w:p>
    <w:p>
      <w:pPr>
        <w:jc w:val="left"/>
        <w:rPr>
          <w:rFonts w:hint="eastAsia" w:ascii="仿宋" w:hAnsi="仿宋" w:eastAsia="仿宋" w:cs="仿宋"/>
          <w:sz w:val="28"/>
          <w:szCs w:val="28"/>
        </w:rPr>
      </w:pPr>
      <w:r>
        <w:rPr>
          <w:rFonts w:hint="eastAsia" w:ascii="仿宋" w:hAnsi="仿宋" w:eastAsia="仿宋" w:cs="仿宋"/>
          <w:sz w:val="28"/>
          <w:szCs w:val="28"/>
        </w:rPr>
        <w:t>6、具备拍照功能，能够对三维视图、整个软件界面、横向视图、轴向视图进行拍照。能够对画面各视图区域进行截屏，便于保存病例与分析结果。</w:t>
      </w:r>
    </w:p>
    <w:p>
      <w:pPr>
        <w:jc w:val="left"/>
        <w:rPr>
          <w:rFonts w:hint="eastAsia" w:ascii="仿宋" w:hAnsi="仿宋" w:eastAsia="仿宋" w:cs="仿宋"/>
          <w:sz w:val="28"/>
          <w:szCs w:val="28"/>
        </w:rPr>
      </w:pPr>
      <w:r>
        <w:rPr>
          <w:rFonts w:hint="eastAsia" w:ascii="仿宋" w:hAnsi="仿宋" w:eastAsia="仿宋" w:cs="仿宋"/>
          <w:sz w:val="28"/>
          <w:szCs w:val="28"/>
        </w:rPr>
        <w:t>7、图像测量：能够预览已有的病例数据，能够实现二维图像的长度和面积测量，在断层图像上标记关键信息标签；</w:t>
      </w:r>
    </w:p>
    <w:p>
      <w:pPr>
        <w:jc w:val="left"/>
        <w:rPr>
          <w:rFonts w:hint="eastAsia" w:ascii="仿宋" w:hAnsi="仿宋" w:eastAsia="仿宋" w:cs="仿宋"/>
          <w:sz w:val="28"/>
          <w:szCs w:val="28"/>
        </w:rPr>
      </w:pPr>
      <w:r>
        <w:rPr>
          <w:rFonts w:hint="eastAsia" w:ascii="仿宋" w:hAnsi="仿宋" w:eastAsia="仿宋" w:cs="仿宋"/>
          <w:sz w:val="28"/>
          <w:szCs w:val="28"/>
        </w:rPr>
        <w:t xml:space="preserve">8、具备管腔测量功能，能够自动测量近远段参考血管和病变部位横截面的面积，直径和病变狭窄程度； </w:t>
      </w:r>
    </w:p>
    <w:p>
      <w:pPr>
        <w:jc w:val="left"/>
        <w:rPr>
          <w:rFonts w:hint="eastAsia" w:ascii="仿宋" w:hAnsi="仿宋" w:eastAsia="仿宋" w:cs="仿宋"/>
          <w:sz w:val="28"/>
          <w:szCs w:val="28"/>
        </w:rPr>
      </w:pPr>
      <w:r>
        <w:rPr>
          <w:rFonts w:hint="eastAsia" w:ascii="仿宋" w:hAnsi="仿宋" w:eastAsia="仿宋" w:cs="仿宋"/>
          <w:sz w:val="28"/>
          <w:szCs w:val="28"/>
        </w:rPr>
        <w:t>9、具备OCT-ACR融合功能；</w:t>
      </w:r>
    </w:p>
    <w:p>
      <w:pPr>
        <w:jc w:val="left"/>
        <w:rPr>
          <w:rFonts w:hint="eastAsia" w:ascii="仿宋" w:hAnsi="仿宋" w:eastAsia="仿宋" w:cs="仿宋"/>
          <w:sz w:val="28"/>
          <w:szCs w:val="28"/>
        </w:rPr>
      </w:pPr>
      <w:r>
        <w:rPr>
          <w:rFonts w:hint="eastAsia" w:ascii="仿宋" w:hAnsi="仿宋" w:eastAsia="仿宋" w:cs="仿宋"/>
          <w:sz w:val="28"/>
          <w:szCs w:val="28"/>
        </w:rPr>
        <w:t>*10、具备分叉病变量化自动分析功能；</w:t>
      </w:r>
    </w:p>
    <w:p>
      <w:pPr>
        <w:jc w:val="left"/>
        <w:rPr>
          <w:rFonts w:hint="eastAsia" w:ascii="仿宋" w:hAnsi="仿宋" w:eastAsia="仿宋" w:cs="仿宋"/>
          <w:sz w:val="28"/>
          <w:szCs w:val="28"/>
        </w:rPr>
      </w:pPr>
      <w:r>
        <w:rPr>
          <w:rFonts w:hint="eastAsia" w:ascii="仿宋" w:hAnsi="仿宋" w:eastAsia="仿宋" w:cs="仿宋"/>
          <w:sz w:val="28"/>
          <w:szCs w:val="28"/>
        </w:rPr>
        <w:t>11、具备BRS的3D导航飞视功能，帮助术者更好掌握支架植入的贴壁情况及指导后续措施；</w:t>
      </w:r>
    </w:p>
    <w:p>
      <w:pPr>
        <w:jc w:val="left"/>
        <w:rPr>
          <w:rFonts w:hint="eastAsia" w:ascii="仿宋" w:hAnsi="仿宋" w:eastAsia="仿宋" w:cs="仿宋"/>
          <w:sz w:val="28"/>
          <w:szCs w:val="28"/>
        </w:rPr>
      </w:pPr>
      <w:r>
        <w:rPr>
          <w:rFonts w:hint="eastAsia" w:ascii="仿宋" w:hAnsi="仿宋" w:eastAsia="仿宋" w:cs="仿宋"/>
          <w:sz w:val="28"/>
          <w:szCs w:val="28"/>
        </w:rPr>
        <w:t>*12、具备低分子右旋糖苷代替造影剂冲洗管腔得到与造影剂冲洗得到的一致质量图像的功能；</w:t>
      </w:r>
    </w:p>
    <w:p>
      <w:pPr>
        <w:jc w:val="left"/>
        <w:rPr>
          <w:rFonts w:hint="eastAsia" w:ascii="仿宋" w:hAnsi="仿宋" w:eastAsia="仿宋" w:cs="仿宋"/>
          <w:sz w:val="28"/>
          <w:szCs w:val="28"/>
        </w:rPr>
      </w:pPr>
      <w:r>
        <w:rPr>
          <w:rFonts w:hint="eastAsia" w:ascii="仿宋" w:hAnsi="仿宋" w:eastAsia="仿宋" w:cs="仿宋"/>
          <w:sz w:val="28"/>
          <w:szCs w:val="28"/>
        </w:rPr>
        <w:t>*13、具备支架膨胀指数功能，更好体现支架的贴壁真实情况，优于支架膨胀率的功能；</w:t>
      </w:r>
    </w:p>
    <w:p>
      <w:pPr>
        <w:jc w:val="left"/>
        <w:rPr>
          <w:rFonts w:hint="eastAsia" w:ascii="仿宋" w:hAnsi="仿宋" w:eastAsia="仿宋" w:cs="仿宋"/>
          <w:sz w:val="28"/>
          <w:szCs w:val="28"/>
        </w:rPr>
      </w:pPr>
      <w:r>
        <w:rPr>
          <w:rFonts w:hint="eastAsia" w:ascii="仿宋" w:hAnsi="仿宋" w:eastAsia="仿宋" w:cs="仿宋"/>
          <w:sz w:val="28"/>
          <w:szCs w:val="28"/>
        </w:rPr>
        <w:t>14、Windows操作系统；具备图像书签标记功能，可对感兴趣的图像进行标记，并能在日后方便寻找；</w:t>
      </w:r>
    </w:p>
    <w:p>
      <w:pPr>
        <w:jc w:val="left"/>
        <w:rPr>
          <w:rFonts w:hint="eastAsia" w:ascii="仿宋" w:hAnsi="仿宋" w:eastAsia="仿宋" w:cs="仿宋"/>
          <w:sz w:val="28"/>
          <w:szCs w:val="28"/>
        </w:rPr>
      </w:pPr>
      <w:r>
        <w:rPr>
          <w:rFonts w:hint="eastAsia" w:ascii="仿宋" w:hAnsi="仿宋" w:eastAsia="仿宋" w:cs="仿宋"/>
          <w:sz w:val="28"/>
          <w:szCs w:val="28"/>
        </w:rPr>
        <w:t>15、配备头端带快速交换口的OCT 导管，保护导管不容易折断；</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光学相干断层成像（血管OCT)仪  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2、交货日期：收到中标通知书后30日内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7、验收如需交货地点当地的技术监督局等相关部门进行检测，检测费用由投标方承担（包括射线装置的卫生、环保等行政部门的技术检测、监测和竣工验收等的全部费用）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12、在采购方所在地区有售后服务机构，能够提供相关证明。售后服务响应时间≤2小时。</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14、付款：设备安装验收合格支付中标总金额的90%，其余10%作为质保金，质保金于质保期（保修期）结束后免息付清。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rPr>
          <w:rFonts w:hint="eastAsia" w:ascii="仿宋" w:hAnsi="仿宋" w:eastAsia="仿宋" w:cs="仿宋"/>
        </w:rPr>
      </w:pPr>
    </w:p>
    <w:p>
      <w:pPr>
        <w:jc w:val="center"/>
        <w:rPr>
          <w:rFonts w:hint="eastAsia" w:ascii="仿宋" w:hAnsi="仿宋" w:eastAsia="仿宋" w:cs="仿宋"/>
          <w:b/>
          <w:bCs/>
          <w:sz w:val="24"/>
        </w:rPr>
      </w:pPr>
      <w:r>
        <w:rPr>
          <w:rFonts w:hint="eastAsia" w:ascii="仿宋" w:hAnsi="仿宋" w:eastAsia="仿宋" w:cs="仿宋"/>
          <w:b/>
          <w:bCs/>
          <w:sz w:val="32"/>
          <w:szCs w:val="32"/>
        </w:rPr>
        <w:t>冠脉血流储备分数测试仪(FFR）  技术参数</w:t>
      </w:r>
    </w:p>
    <w:p>
      <w:pPr>
        <w:ind w:firstLine="280" w:firstLineChars="100"/>
        <w:jc w:val="left"/>
        <w:rPr>
          <w:rFonts w:hint="eastAsia" w:ascii="仿宋" w:hAnsi="仿宋" w:eastAsia="仿宋" w:cs="仿宋"/>
          <w:b/>
          <w:bCs/>
          <w:sz w:val="28"/>
          <w:szCs w:val="28"/>
        </w:rPr>
      </w:pPr>
    </w:p>
    <w:p>
      <w:pPr>
        <w:jc w:val="left"/>
        <w:rPr>
          <w:rFonts w:hint="eastAsia" w:ascii="仿宋" w:hAnsi="仿宋" w:eastAsia="仿宋" w:cs="仿宋"/>
          <w:sz w:val="28"/>
          <w:szCs w:val="28"/>
        </w:rPr>
      </w:pPr>
      <w:r>
        <w:rPr>
          <w:rFonts w:hint="eastAsia" w:ascii="仿宋" w:hAnsi="仿宋" w:eastAsia="仿宋" w:cs="仿宋"/>
          <w:sz w:val="28"/>
          <w:szCs w:val="28"/>
        </w:rPr>
        <w:t>1、系统功能：具备数据管理功能、二维图像分割功能、三维图像合成功能、流速计算功能、有创压力测量功能、caFFR计算功能、报告生成功能、显示测量列表功能、三维合成精度、长度重建精度≤±5mm、直径重建精度≤±0.5mm。</w:t>
      </w:r>
    </w:p>
    <w:p>
      <w:pPr>
        <w:jc w:val="left"/>
        <w:rPr>
          <w:rFonts w:hint="eastAsia" w:ascii="仿宋" w:hAnsi="仿宋" w:eastAsia="仿宋" w:cs="仿宋"/>
          <w:sz w:val="28"/>
          <w:szCs w:val="28"/>
        </w:rPr>
      </w:pPr>
      <w:r>
        <w:rPr>
          <w:rFonts w:hint="eastAsia" w:ascii="仿宋" w:hAnsi="仿宋" w:eastAsia="仿宋" w:cs="仿宋"/>
          <w:sz w:val="28"/>
          <w:szCs w:val="28"/>
        </w:rPr>
        <w:t>2、用户界面：具备选图像界面、选血管界面、选帧界面、路径界面、轮廓界面、二维狭窄界面、三维狭窄界面、流速界面、caFFR 界面、压力界面、报告界面、记录界面、设置界面。</w:t>
      </w:r>
    </w:p>
    <w:p>
      <w:pPr>
        <w:jc w:val="left"/>
        <w:rPr>
          <w:rFonts w:hint="eastAsia" w:ascii="仿宋" w:hAnsi="仿宋" w:eastAsia="仿宋" w:cs="仿宋"/>
          <w:sz w:val="28"/>
          <w:szCs w:val="28"/>
        </w:rPr>
      </w:pPr>
      <w:r>
        <w:rPr>
          <w:rFonts w:hint="eastAsia" w:ascii="仿宋" w:hAnsi="仿宋" w:eastAsia="仿宋" w:cs="仿宋"/>
          <w:sz w:val="28"/>
          <w:szCs w:val="28"/>
        </w:rPr>
        <w:t>3、数据接口要求：</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 xml:space="preserve">3.1、压力传感器到分析仪为单向数据传输，分析仪为 IBP 接口； </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3.2、分析仪到工作站为单向数据传输，RJ45 接口；</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3.3、工作站具备DVD接口，可导入导出数据。</w:t>
      </w:r>
    </w:p>
    <w:p>
      <w:pPr>
        <w:jc w:val="left"/>
        <w:rPr>
          <w:rFonts w:hint="eastAsia" w:ascii="仿宋" w:hAnsi="仿宋" w:eastAsia="仿宋" w:cs="仿宋"/>
          <w:sz w:val="28"/>
          <w:szCs w:val="28"/>
        </w:rPr>
      </w:pPr>
      <w:r>
        <w:rPr>
          <w:rFonts w:hint="eastAsia" w:ascii="仿宋" w:hAnsi="仿宋" w:eastAsia="仿宋" w:cs="仿宋"/>
          <w:sz w:val="28"/>
          <w:szCs w:val="28"/>
        </w:rPr>
        <w:t>4、存储格式：工作站能够对输出的PDF报告进行存储。</w:t>
      </w:r>
    </w:p>
    <w:p>
      <w:pPr>
        <w:jc w:val="left"/>
        <w:rPr>
          <w:rFonts w:hint="eastAsia" w:ascii="仿宋" w:hAnsi="仿宋" w:eastAsia="仿宋" w:cs="仿宋"/>
          <w:sz w:val="28"/>
          <w:szCs w:val="28"/>
        </w:rPr>
      </w:pPr>
      <w:r>
        <w:rPr>
          <w:rFonts w:hint="eastAsia" w:ascii="仿宋" w:hAnsi="仿宋" w:eastAsia="仿宋" w:cs="仿宋"/>
          <w:sz w:val="28"/>
          <w:szCs w:val="28"/>
        </w:rPr>
        <w:t>5、图像要求：DICOM 3.0标准。</w:t>
      </w:r>
    </w:p>
    <w:p>
      <w:pPr>
        <w:jc w:val="left"/>
        <w:rPr>
          <w:rFonts w:hint="eastAsia" w:ascii="仿宋" w:hAnsi="仿宋" w:eastAsia="仿宋" w:cs="仿宋"/>
          <w:sz w:val="28"/>
          <w:szCs w:val="28"/>
        </w:rPr>
      </w:pPr>
      <w:r>
        <w:rPr>
          <w:rFonts w:hint="eastAsia" w:ascii="仿宋" w:hAnsi="仿宋" w:eastAsia="仿宋" w:cs="仿宋"/>
          <w:sz w:val="28"/>
          <w:szCs w:val="28"/>
        </w:rPr>
        <w:t>6、图像管理与记录装置：具备硬盘、DVD+R、4.7G及以上光盘存储功能。</w:t>
      </w:r>
    </w:p>
    <w:p>
      <w:pPr>
        <w:jc w:val="left"/>
        <w:rPr>
          <w:rFonts w:hint="eastAsia" w:ascii="仿宋" w:hAnsi="仿宋" w:eastAsia="仿宋" w:cs="仿宋"/>
          <w:sz w:val="28"/>
          <w:szCs w:val="28"/>
        </w:rPr>
      </w:pPr>
      <w:r>
        <w:rPr>
          <w:rFonts w:hint="eastAsia" w:ascii="仿宋" w:hAnsi="仿宋" w:eastAsia="仿宋" w:cs="仿宋"/>
          <w:sz w:val="28"/>
          <w:szCs w:val="28"/>
        </w:rPr>
        <w:t>7、电气安全：能够符合GB9706.1-2007、GB9706.15-2008、YY0783-2010的要求。</w:t>
      </w:r>
    </w:p>
    <w:p>
      <w:pPr>
        <w:jc w:val="left"/>
        <w:rPr>
          <w:rFonts w:hint="eastAsia" w:ascii="仿宋" w:hAnsi="仿宋" w:eastAsia="仿宋" w:cs="仿宋"/>
          <w:sz w:val="28"/>
          <w:szCs w:val="28"/>
        </w:rPr>
      </w:pPr>
      <w:r>
        <w:rPr>
          <w:rFonts w:hint="eastAsia" w:ascii="仿宋" w:hAnsi="仿宋" w:eastAsia="仿宋" w:cs="仿宋"/>
          <w:sz w:val="28"/>
          <w:szCs w:val="28"/>
        </w:rPr>
        <w:t>8、电磁兼容：能够符合YY0505-2012、YY0783-2010的要求。</w:t>
      </w:r>
    </w:p>
    <w:p>
      <w:pPr>
        <w:jc w:val="left"/>
        <w:rPr>
          <w:rFonts w:hint="eastAsia" w:ascii="仿宋" w:hAnsi="仿宋" w:eastAsia="仿宋" w:cs="仿宋"/>
          <w:sz w:val="28"/>
          <w:szCs w:val="28"/>
        </w:rPr>
      </w:pPr>
      <w:r>
        <w:rPr>
          <w:rFonts w:hint="eastAsia" w:ascii="仿宋" w:hAnsi="仿宋" w:eastAsia="仿宋" w:cs="仿宋"/>
          <w:sz w:val="28"/>
          <w:szCs w:val="28"/>
        </w:rPr>
        <w:t>9、技术参数：</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9.1、分析仪：</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9.1.1、CPU：频率≥1.8GHz；</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9.1.2、内存：≥4GB；</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9.1.3、磁盘空间：≥50G；</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9.1.4、显示器：≥15英寸，触摸屏，TFT显示屏；</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9.1.5、显示器分辨率：≥1360×760像素；</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9.1.6、安全标准：符合GB9706.1-2007、GB9706.15-2008、GB/T14710-2009、YY/T0708-2009、YY0783-2010、YY0505-2012标准；</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9.1.7、额定电压：AC 220V±10％；</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9.1.8、电源频率：50Hz±1Hz</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9.1.9、工作环境温度：10°C～30°C</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9.1.10、有创压力测量模块压力范围：-30～300mmHg；准确度：≤±4mmHg或±4%。</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9.1.11、频率响应：0-10Hz；</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9.1.12、分辨率：≤1mmHg；</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9.2、工作站：</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9.2.1、技术规格：CPU：英特尔酷睿i5-10500,(6核,12MB 缓存,3.1Ghz,4.5Ghz)或以上；</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9.2.2、显卡：集成显卡UHD 630；</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9.2.3、内存：≥8GB；</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9.2.4、磁盘空间：≥1TB；</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9.2.5、显示器：≥21寸，分辨率：≥1920×1080像素</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9.2.6、驱动器：具备DVD光驱</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9.2.7、信息传输（与分析仪、打印机）：RJ45接口；</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9.2.8、工作站与显示器连接：DisplayPort 接口；</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9.2.9、信息传输（外部影像数据导入）：DVD+/-RW光驱；</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9.2.10、连接鼠标和键盘：PS/2接口或者USB接口。</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冠脉血流储备分数测试仪(FFR）  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2、交货日期：收到中标通知书后30日内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7、验收如需交货地点当地的技术监督局等相关部门进行检测，检测费用由投标方承担（包括射线装置的卫生、环保等行政部门的技术检测、监测和竣工验收等的全部费用）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12、在采购方所在地区有售后服务机构，能够提供相关证明。售后服务响应时间≤2小时。</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14、付款：设备安装验收合格支付中标总金额的90%，其余10%作为质保金，质保金于质保期（保修期）结束后免息付清。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2" w:name="_Toc56170391"/>
      <w:bookmarkStart w:id="63" w:name="_Toc4016"/>
      <w:bookmarkStart w:id="64" w:name="_Toc55990502"/>
      <w:bookmarkStart w:id="65" w:name="_Toc82497923"/>
      <w:r>
        <w:rPr>
          <w:rFonts w:hint="eastAsia" w:ascii="仿宋" w:hAnsi="仿宋" w:eastAsia="仿宋" w:cs="仿宋"/>
        </w:rPr>
        <w:t>第四章、合同</w:t>
      </w:r>
      <w:bookmarkEnd w:id="62"/>
      <w:bookmarkEnd w:id="63"/>
      <w:bookmarkEnd w:id="64"/>
      <w:bookmarkEnd w:id="65"/>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6" w:name="_Toc82497924"/>
      <w:bookmarkStart w:id="67" w:name="_Toc19950"/>
      <w:bookmarkStart w:id="68" w:name="_Toc56170392"/>
      <w:r>
        <w:rPr>
          <w:rFonts w:hint="eastAsia" w:ascii="仿宋" w:hAnsi="仿宋" w:eastAsia="仿宋" w:cs="仿宋"/>
        </w:rPr>
        <w:t>第五章、投标文件格式</w:t>
      </w:r>
      <w:bookmarkEnd w:id="66"/>
      <w:bookmarkEnd w:id="67"/>
      <w:bookmarkEnd w:id="68"/>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9" w:name="_Toc82497925"/>
      <w:bookmarkStart w:id="70" w:name="_Toc15164"/>
      <w:bookmarkStart w:id="71" w:name="_Toc56170393"/>
      <w:r>
        <w:rPr>
          <w:rFonts w:hint="eastAsia" w:ascii="仿宋" w:hAnsi="仿宋" w:eastAsia="仿宋" w:cs="仿宋"/>
        </w:rPr>
        <w:t>附件一、投标书</w:t>
      </w:r>
      <w:bookmarkEnd w:id="69"/>
      <w:bookmarkEnd w:id="70"/>
      <w:bookmarkEnd w:id="71"/>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2" w:name="_Toc56170394"/>
      <w:bookmarkStart w:id="73" w:name="_Toc29035"/>
      <w:bookmarkStart w:id="74" w:name="_Toc82497926"/>
      <w:r>
        <w:rPr>
          <w:rFonts w:hint="eastAsia" w:ascii="仿宋" w:hAnsi="仿宋" w:eastAsia="仿宋" w:cs="仿宋"/>
        </w:rPr>
        <w:t>附件二、法定代表人资格证明书</w:t>
      </w:r>
      <w:bookmarkEnd w:id="72"/>
      <w:bookmarkEnd w:id="73"/>
      <w:bookmarkEnd w:id="74"/>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5" w:name="_Toc12806"/>
      <w:bookmarkStart w:id="76" w:name="_Toc82497927"/>
      <w:bookmarkStart w:id="77" w:name="_Toc56170395"/>
      <w:r>
        <w:rPr>
          <w:rFonts w:hint="eastAsia" w:ascii="仿宋" w:hAnsi="仿宋" w:eastAsia="仿宋" w:cs="仿宋"/>
        </w:rPr>
        <w:t>附件三、法定代表人授权委托书</w:t>
      </w:r>
      <w:bookmarkEnd w:id="75"/>
      <w:bookmarkEnd w:id="76"/>
      <w:bookmarkEnd w:id="77"/>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8" w:name="_Toc56170396"/>
      <w:bookmarkStart w:id="79" w:name="_Toc82497928"/>
      <w:bookmarkStart w:id="80" w:name="_Toc28274"/>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8"/>
      <w:bookmarkEnd w:id="79"/>
      <w:bookmarkEnd w:id="80"/>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1" w:name="_Toc82497929"/>
      <w:bookmarkStart w:id="82" w:name="_Toc56170397"/>
      <w:bookmarkStart w:id="83" w:name="_Toc1893"/>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1"/>
      <w:bookmarkEnd w:id="82"/>
      <w:bookmarkEnd w:id="83"/>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4" w:name="_Toc435087575"/>
      <w:bookmarkStart w:id="85" w:name="_Toc56170398"/>
      <w:bookmarkStart w:id="86" w:name="_Toc14102"/>
      <w:bookmarkStart w:id="87" w:name="_Toc82497930"/>
      <w:r>
        <w:rPr>
          <w:rFonts w:hint="eastAsia" w:ascii="仿宋" w:hAnsi="仿宋" w:eastAsia="仿宋" w:cs="仿宋"/>
        </w:rPr>
        <w:t>附件</w:t>
      </w:r>
      <w:bookmarkEnd w:id="84"/>
      <w:r>
        <w:rPr>
          <w:rFonts w:hint="eastAsia" w:ascii="仿宋" w:hAnsi="仿宋" w:eastAsia="仿宋" w:cs="仿宋"/>
        </w:rPr>
        <w:t>六、供应商反商业贿赂承诺书</w:t>
      </w:r>
      <w:bookmarkEnd w:id="85"/>
      <w:bookmarkEnd w:id="86"/>
      <w:bookmarkEnd w:id="87"/>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8" w:name="_Toc18648"/>
      <w:r>
        <w:rPr>
          <w:rStyle w:val="31"/>
          <w:rFonts w:hint="eastAsia"/>
          <w:lang w:val="en-US" w:eastAsia="zh-CN"/>
        </w:rPr>
        <w:t>附件七、中小企业声明函</w:t>
      </w:r>
      <w:r>
        <w:rPr>
          <w:rStyle w:val="31"/>
          <w:rFonts w:hint="default"/>
          <w:lang w:val="en-US" w:eastAsia="zh-CN"/>
        </w:rPr>
        <w:t>（货物）</w:t>
      </w:r>
      <w:bookmarkEnd w:id="88"/>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89" w:name="_Toc56170399"/>
      <w:bookmarkStart w:id="90" w:name="_Toc82497932"/>
      <w:bookmarkStart w:id="91" w:name="_Toc16324"/>
      <w:bookmarkStart w:id="104" w:name="_GoBack"/>
      <w:bookmarkEnd w:id="104"/>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9"/>
      <w:bookmarkEnd w:id="90"/>
      <w:bookmarkEnd w:id="91"/>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5880"/>
        <w:gridCol w:w="41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5880"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4179"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565"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588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179"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624" w:type="dxa"/>
            <w:gridSpan w:val="3"/>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2" w:name="_Toc27219"/>
      <w:bookmarkStart w:id="93" w:name="_Toc56170400"/>
      <w:bookmarkStart w:id="94" w:name="_Toc82497933"/>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2"/>
      <w:bookmarkEnd w:id="93"/>
      <w:bookmarkEnd w:id="94"/>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5" w:name="_Toc82497934"/>
      <w:bookmarkStart w:id="96" w:name="_Toc16606"/>
      <w:bookmarkStart w:id="97" w:name="_Toc56170401"/>
      <w:r>
        <w:rPr>
          <w:rFonts w:hint="eastAsia" w:ascii="仿宋" w:hAnsi="仿宋" w:eastAsia="仿宋" w:cs="仿宋"/>
        </w:rPr>
        <w:t>附件十、技术规格偏离表</w:t>
      </w:r>
      <w:bookmarkEnd w:id="95"/>
      <w:bookmarkEnd w:id="96"/>
      <w:bookmarkEnd w:id="97"/>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8" w:name="_Toc56170402"/>
      <w:bookmarkStart w:id="99" w:name="_Toc28171"/>
      <w:bookmarkStart w:id="100" w:name="_Toc82497935"/>
      <w:r>
        <w:rPr>
          <w:rFonts w:hint="eastAsia" w:ascii="仿宋" w:hAnsi="仿宋" w:eastAsia="仿宋" w:cs="仿宋"/>
        </w:rPr>
        <w:t>附件十一、商务条款偏离表</w:t>
      </w:r>
      <w:bookmarkEnd w:id="98"/>
      <w:bookmarkEnd w:id="99"/>
      <w:bookmarkEnd w:id="100"/>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1" w:name="_Toc56170403"/>
      <w:bookmarkStart w:id="102" w:name="_Toc31177"/>
      <w:bookmarkStart w:id="103" w:name="_Toc82497936"/>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1"/>
      <w:bookmarkEnd w:id="102"/>
      <w:bookmarkEnd w:id="103"/>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FD16FA"/>
    <w:rsid w:val="00FF2C2B"/>
    <w:rsid w:val="01ED45DB"/>
    <w:rsid w:val="01FC1C34"/>
    <w:rsid w:val="02296098"/>
    <w:rsid w:val="026262C0"/>
    <w:rsid w:val="026C368B"/>
    <w:rsid w:val="02932C56"/>
    <w:rsid w:val="02FA25DD"/>
    <w:rsid w:val="034F75D6"/>
    <w:rsid w:val="03A16576"/>
    <w:rsid w:val="045C71F8"/>
    <w:rsid w:val="04BA216D"/>
    <w:rsid w:val="04DC05F0"/>
    <w:rsid w:val="07985EE9"/>
    <w:rsid w:val="07FE7A63"/>
    <w:rsid w:val="081A742F"/>
    <w:rsid w:val="087F5FFF"/>
    <w:rsid w:val="09661D2F"/>
    <w:rsid w:val="0A544FCF"/>
    <w:rsid w:val="0A7B238B"/>
    <w:rsid w:val="0ACD4998"/>
    <w:rsid w:val="0B3B6AE4"/>
    <w:rsid w:val="0B693A01"/>
    <w:rsid w:val="0BB044B7"/>
    <w:rsid w:val="0BC8771C"/>
    <w:rsid w:val="0BD0765E"/>
    <w:rsid w:val="0C6B0ACF"/>
    <w:rsid w:val="0C824443"/>
    <w:rsid w:val="0C917127"/>
    <w:rsid w:val="0CC6576E"/>
    <w:rsid w:val="0D071137"/>
    <w:rsid w:val="0D695602"/>
    <w:rsid w:val="0D7D1375"/>
    <w:rsid w:val="0E3F5936"/>
    <w:rsid w:val="0E6A2665"/>
    <w:rsid w:val="0F99214B"/>
    <w:rsid w:val="0FA46DDA"/>
    <w:rsid w:val="0FC87C25"/>
    <w:rsid w:val="10AC5ADF"/>
    <w:rsid w:val="10B97633"/>
    <w:rsid w:val="10DE2E09"/>
    <w:rsid w:val="11172C7B"/>
    <w:rsid w:val="11EF390B"/>
    <w:rsid w:val="126C7B21"/>
    <w:rsid w:val="129E4A58"/>
    <w:rsid w:val="13794BBA"/>
    <w:rsid w:val="13BD43D5"/>
    <w:rsid w:val="13E67B05"/>
    <w:rsid w:val="14107EB2"/>
    <w:rsid w:val="14260079"/>
    <w:rsid w:val="1453290B"/>
    <w:rsid w:val="14863A35"/>
    <w:rsid w:val="14902DA1"/>
    <w:rsid w:val="1528327C"/>
    <w:rsid w:val="15513596"/>
    <w:rsid w:val="15826B8D"/>
    <w:rsid w:val="158D515F"/>
    <w:rsid w:val="158E6DDD"/>
    <w:rsid w:val="163360DA"/>
    <w:rsid w:val="16912F26"/>
    <w:rsid w:val="172C37AD"/>
    <w:rsid w:val="1736249E"/>
    <w:rsid w:val="17743904"/>
    <w:rsid w:val="18095344"/>
    <w:rsid w:val="1845393B"/>
    <w:rsid w:val="185B1B37"/>
    <w:rsid w:val="187C31C1"/>
    <w:rsid w:val="18963552"/>
    <w:rsid w:val="19506346"/>
    <w:rsid w:val="1A92241C"/>
    <w:rsid w:val="1B230862"/>
    <w:rsid w:val="1B462396"/>
    <w:rsid w:val="1B527002"/>
    <w:rsid w:val="1BBC2159"/>
    <w:rsid w:val="1BCD1A65"/>
    <w:rsid w:val="1BD3405D"/>
    <w:rsid w:val="1BE10135"/>
    <w:rsid w:val="1BEE51A7"/>
    <w:rsid w:val="1C134904"/>
    <w:rsid w:val="1C340898"/>
    <w:rsid w:val="1C52504E"/>
    <w:rsid w:val="1E296254"/>
    <w:rsid w:val="1E58248B"/>
    <w:rsid w:val="1E6F64DA"/>
    <w:rsid w:val="1EF23C8D"/>
    <w:rsid w:val="1F0E2E6E"/>
    <w:rsid w:val="1FB53339"/>
    <w:rsid w:val="2013529E"/>
    <w:rsid w:val="20261D71"/>
    <w:rsid w:val="20C35BA6"/>
    <w:rsid w:val="213A006B"/>
    <w:rsid w:val="21F030D1"/>
    <w:rsid w:val="220F5284"/>
    <w:rsid w:val="222C3020"/>
    <w:rsid w:val="22394A78"/>
    <w:rsid w:val="226C6BFB"/>
    <w:rsid w:val="22DF60ED"/>
    <w:rsid w:val="2342795C"/>
    <w:rsid w:val="234C6E20"/>
    <w:rsid w:val="234F72D8"/>
    <w:rsid w:val="23552C0D"/>
    <w:rsid w:val="238D506A"/>
    <w:rsid w:val="23F059D2"/>
    <w:rsid w:val="240063DE"/>
    <w:rsid w:val="240F721A"/>
    <w:rsid w:val="24273A92"/>
    <w:rsid w:val="242A39A5"/>
    <w:rsid w:val="243E6375"/>
    <w:rsid w:val="24591F38"/>
    <w:rsid w:val="249E7C41"/>
    <w:rsid w:val="24D63971"/>
    <w:rsid w:val="2516480B"/>
    <w:rsid w:val="253C44D2"/>
    <w:rsid w:val="258766C7"/>
    <w:rsid w:val="25895BF3"/>
    <w:rsid w:val="25DD2143"/>
    <w:rsid w:val="25E35533"/>
    <w:rsid w:val="26FB054E"/>
    <w:rsid w:val="2746748E"/>
    <w:rsid w:val="27B24902"/>
    <w:rsid w:val="28261C18"/>
    <w:rsid w:val="28307103"/>
    <w:rsid w:val="28AD7F14"/>
    <w:rsid w:val="28B2104C"/>
    <w:rsid w:val="28C3509B"/>
    <w:rsid w:val="29B80978"/>
    <w:rsid w:val="2A2939CE"/>
    <w:rsid w:val="2A3C5105"/>
    <w:rsid w:val="2A4C2202"/>
    <w:rsid w:val="2A8D5961"/>
    <w:rsid w:val="2AB949D0"/>
    <w:rsid w:val="2AD23EDB"/>
    <w:rsid w:val="2AD613E0"/>
    <w:rsid w:val="2B2636BF"/>
    <w:rsid w:val="2B766148"/>
    <w:rsid w:val="2B8A50B7"/>
    <w:rsid w:val="2BE141E8"/>
    <w:rsid w:val="2C4908E4"/>
    <w:rsid w:val="2C543C2F"/>
    <w:rsid w:val="2C576226"/>
    <w:rsid w:val="2D070CB6"/>
    <w:rsid w:val="2D831DB3"/>
    <w:rsid w:val="2E690493"/>
    <w:rsid w:val="2E854610"/>
    <w:rsid w:val="2ECD5998"/>
    <w:rsid w:val="2F6649D2"/>
    <w:rsid w:val="2F8E58D1"/>
    <w:rsid w:val="2FD9701D"/>
    <w:rsid w:val="300B2AFA"/>
    <w:rsid w:val="303350A5"/>
    <w:rsid w:val="30FA12B4"/>
    <w:rsid w:val="31CD1BD1"/>
    <w:rsid w:val="323E187E"/>
    <w:rsid w:val="32517F9C"/>
    <w:rsid w:val="3256718A"/>
    <w:rsid w:val="32E72125"/>
    <w:rsid w:val="32EC0E75"/>
    <w:rsid w:val="336D4581"/>
    <w:rsid w:val="33B66770"/>
    <w:rsid w:val="342E1F62"/>
    <w:rsid w:val="348940F0"/>
    <w:rsid w:val="35036A04"/>
    <w:rsid w:val="353A2B32"/>
    <w:rsid w:val="355A22C0"/>
    <w:rsid w:val="359F0DD4"/>
    <w:rsid w:val="36852831"/>
    <w:rsid w:val="36AB19CF"/>
    <w:rsid w:val="36E64773"/>
    <w:rsid w:val="36EA5EE9"/>
    <w:rsid w:val="378F7F37"/>
    <w:rsid w:val="380B2468"/>
    <w:rsid w:val="38477172"/>
    <w:rsid w:val="39281ADA"/>
    <w:rsid w:val="394D2FB2"/>
    <w:rsid w:val="39576CAC"/>
    <w:rsid w:val="395B30CE"/>
    <w:rsid w:val="39AD702D"/>
    <w:rsid w:val="39C23E2F"/>
    <w:rsid w:val="3A122237"/>
    <w:rsid w:val="3A5C671F"/>
    <w:rsid w:val="3AB07B2F"/>
    <w:rsid w:val="3AD87C2E"/>
    <w:rsid w:val="3AF43EF5"/>
    <w:rsid w:val="3B0C7FB1"/>
    <w:rsid w:val="3BB52F69"/>
    <w:rsid w:val="3BBE2933"/>
    <w:rsid w:val="3BFA7D2D"/>
    <w:rsid w:val="3BFD417A"/>
    <w:rsid w:val="3C0824C9"/>
    <w:rsid w:val="3C0F395D"/>
    <w:rsid w:val="3C1F03E3"/>
    <w:rsid w:val="3C34287D"/>
    <w:rsid w:val="3C66126E"/>
    <w:rsid w:val="3CCA4984"/>
    <w:rsid w:val="3CCA65A0"/>
    <w:rsid w:val="3CD22555"/>
    <w:rsid w:val="3CDE6208"/>
    <w:rsid w:val="3D4A11E6"/>
    <w:rsid w:val="3D4F4CF8"/>
    <w:rsid w:val="3D86367B"/>
    <w:rsid w:val="3DAA1165"/>
    <w:rsid w:val="3DB90276"/>
    <w:rsid w:val="3E644066"/>
    <w:rsid w:val="3F9A7199"/>
    <w:rsid w:val="3FDE45C7"/>
    <w:rsid w:val="3FFF067D"/>
    <w:rsid w:val="4016514E"/>
    <w:rsid w:val="4085109C"/>
    <w:rsid w:val="40A551BD"/>
    <w:rsid w:val="40B97C4E"/>
    <w:rsid w:val="40DD0623"/>
    <w:rsid w:val="413A5127"/>
    <w:rsid w:val="416E37F5"/>
    <w:rsid w:val="41786190"/>
    <w:rsid w:val="41A970CC"/>
    <w:rsid w:val="41B05D88"/>
    <w:rsid w:val="42126998"/>
    <w:rsid w:val="4222702A"/>
    <w:rsid w:val="42262F16"/>
    <w:rsid w:val="4286439C"/>
    <w:rsid w:val="42F56A3D"/>
    <w:rsid w:val="43350757"/>
    <w:rsid w:val="436F4800"/>
    <w:rsid w:val="440F51E1"/>
    <w:rsid w:val="441C19FF"/>
    <w:rsid w:val="44B11B7E"/>
    <w:rsid w:val="44B607EB"/>
    <w:rsid w:val="44C123D8"/>
    <w:rsid w:val="450A2833"/>
    <w:rsid w:val="456B4783"/>
    <w:rsid w:val="457E261E"/>
    <w:rsid w:val="4594204C"/>
    <w:rsid w:val="461D1B52"/>
    <w:rsid w:val="461D4281"/>
    <w:rsid w:val="462F15D4"/>
    <w:rsid w:val="46382981"/>
    <w:rsid w:val="46630BE6"/>
    <w:rsid w:val="46A130D7"/>
    <w:rsid w:val="46B362F7"/>
    <w:rsid w:val="46EC0D59"/>
    <w:rsid w:val="47481592"/>
    <w:rsid w:val="47CF2225"/>
    <w:rsid w:val="47D31A02"/>
    <w:rsid w:val="481652EC"/>
    <w:rsid w:val="48272B9E"/>
    <w:rsid w:val="488C763A"/>
    <w:rsid w:val="48E56029"/>
    <w:rsid w:val="48E95E38"/>
    <w:rsid w:val="48FE0BB8"/>
    <w:rsid w:val="492C67C1"/>
    <w:rsid w:val="493023AB"/>
    <w:rsid w:val="49544D03"/>
    <w:rsid w:val="49932EB3"/>
    <w:rsid w:val="49B37A9F"/>
    <w:rsid w:val="49C610BE"/>
    <w:rsid w:val="49FC5FB9"/>
    <w:rsid w:val="49FE3EA7"/>
    <w:rsid w:val="4A125D87"/>
    <w:rsid w:val="4A4B7383"/>
    <w:rsid w:val="4AA04DE4"/>
    <w:rsid w:val="4AB1064A"/>
    <w:rsid w:val="4B5D730F"/>
    <w:rsid w:val="4BA41760"/>
    <w:rsid w:val="4BDF6255"/>
    <w:rsid w:val="4C247D3C"/>
    <w:rsid w:val="4C3545BA"/>
    <w:rsid w:val="4CA81DFB"/>
    <w:rsid w:val="4CEC2563"/>
    <w:rsid w:val="4D021EA7"/>
    <w:rsid w:val="4D915AD6"/>
    <w:rsid w:val="4D9A2275"/>
    <w:rsid w:val="4E031912"/>
    <w:rsid w:val="4EBD692E"/>
    <w:rsid w:val="4EE00275"/>
    <w:rsid w:val="4EF455D1"/>
    <w:rsid w:val="4F1A32F0"/>
    <w:rsid w:val="4F786970"/>
    <w:rsid w:val="50FA27B7"/>
    <w:rsid w:val="51433366"/>
    <w:rsid w:val="51C8534D"/>
    <w:rsid w:val="51CD6E49"/>
    <w:rsid w:val="51EF7A40"/>
    <w:rsid w:val="52B8427A"/>
    <w:rsid w:val="52BE57B4"/>
    <w:rsid w:val="540256B8"/>
    <w:rsid w:val="54523048"/>
    <w:rsid w:val="54853A03"/>
    <w:rsid w:val="54BE4755"/>
    <w:rsid w:val="556C161A"/>
    <w:rsid w:val="55947227"/>
    <w:rsid w:val="55A43901"/>
    <w:rsid w:val="55EC4E13"/>
    <w:rsid w:val="5614466E"/>
    <w:rsid w:val="5656707D"/>
    <w:rsid w:val="56694C24"/>
    <w:rsid w:val="567A6D11"/>
    <w:rsid w:val="56EF33D8"/>
    <w:rsid w:val="56F664B8"/>
    <w:rsid w:val="57323D27"/>
    <w:rsid w:val="57402774"/>
    <w:rsid w:val="58140F2A"/>
    <w:rsid w:val="590462C0"/>
    <w:rsid w:val="59311A39"/>
    <w:rsid w:val="59390EB0"/>
    <w:rsid w:val="593A65DF"/>
    <w:rsid w:val="59671CCA"/>
    <w:rsid w:val="596F535C"/>
    <w:rsid w:val="59C226BD"/>
    <w:rsid w:val="5A854D10"/>
    <w:rsid w:val="5B7975ED"/>
    <w:rsid w:val="5C39128C"/>
    <w:rsid w:val="5C7F2045"/>
    <w:rsid w:val="5C943063"/>
    <w:rsid w:val="5D42496D"/>
    <w:rsid w:val="5D813B50"/>
    <w:rsid w:val="5E1B7F6C"/>
    <w:rsid w:val="5E823B49"/>
    <w:rsid w:val="5EA6392C"/>
    <w:rsid w:val="5F1D65AC"/>
    <w:rsid w:val="5F3D5B80"/>
    <w:rsid w:val="5F8131E2"/>
    <w:rsid w:val="60101E97"/>
    <w:rsid w:val="6034358B"/>
    <w:rsid w:val="607A09A5"/>
    <w:rsid w:val="60C742E9"/>
    <w:rsid w:val="60D4153C"/>
    <w:rsid w:val="612E5943"/>
    <w:rsid w:val="614C6E55"/>
    <w:rsid w:val="61A46B11"/>
    <w:rsid w:val="61F93B14"/>
    <w:rsid w:val="62007B63"/>
    <w:rsid w:val="62284340"/>
    <w:rsid w:val="628B10C4"/>
    <w:rsid w:val="629569CE"/>
    <w:rsid w:val="63461A8D"/>
    <w:rsid w:val="636A185B"/>
    <w:rsid w:val="63747EBF"/>
    <w:rsid w:val="639130C5"/>
    <w:rsid w:val="648C06B4"/>
    <w:rsid w:val="64ED7E46"/>
    <w:rsid w:val="65290368"/>
    <w:rsid w:val="65620B23"/>
    <w:rsid w:val="65BD1819"/>
    <w:rsid w:val="66A50FAD"/>
    <w:rsid w:val="66E15D4B"/>
    <w:rsid w:val="66F34A87"/>
    <w:rsid w:val="676905E0"/>
    <w:rsid w:val="67FF3473"/>
    <w:rsid w:val="681F5B80"/>
    <w:rsid w:val="68347765"/>
    <w:rsid w:val="685A4E95"/>
    <w:rsid w:val="689D3C55"/>
    <w:rsid w:val="68C17741"/>
    <w:rsid w:val="68C83A2C"/>
    <w:rsid w:val="68E1741B"/>
    <w:rsid w:val="68F71C1C"/>
    <w:rsid w:val="695D625A"/>
    <w:rsid w:val="69C30066"/>
    <w:rsid w:val="69C818D3"/>
    <w:rsid w:val="69CE78DA"/>
    <w:rsid w:val="6A1E51F1"/>
    <w:rsid w:val="6AC973EE"/>
    <w:rsid w:val="6B000621"/>
    <w:rsid w:val="6B310C5C"/>
    <w:rsid w:val="6B4038BF"/>
    <w:rsid w:val="6B76475A"/>
    <w:rsid w:val="6BE40434"/>
    <w:rsid w:val="6CA74FAC"/>
    <w:rsid w:val="6CEE3336"/>
    <w:rsid w:val="6CFE5C6F"/>
    <w:rsid w:val="6D0358B5"/>
    <w:rsid w:val="6D1A38F7"/>
    <w:rsid w:val="6D371181"/>
    <w:rsid w:val="6D5C063D"/>
    <w:rsid w:val="6DE5298B"/>
    <w:rsid w:val="6E87490A"/>
    <w:rsid w:val="6E91666F"/>
    <w:rsid w:val="6F2200B6"/>
    <w:rsid w:val="6F512062"/>
    <w:rsid w:val="6F541B76"/>
    <w:rsid w:val="6FB92ADE"/>
    <w:rsid w:val="6FBB1DCF"/>
    <w:rsid w:val="70003AAC"/>
    <w:rsid w:val="70716A44"/>
    <w:rsid w:val="70A72872"/>
    <w:rsid w:val="70A82764"/>
    <w:rsid w:val="70E03D59"/>
    <w:rsid w:val="70EC417D"/>
    <w:rsid w:val="713C1616"/>
    <w:rsid w:val="716638C4"/>
    <w:rsid w:val="71A5627F"/>
    <w:rsid w:val="71F7622F"/>
    <w:rsid w:val="720E38B7"/>
    <w:rsid w:val="721C5A2E"/>
    <w:rsid w:val="72426CA2"/>
    <w:rsid w:val="72F47B8C"/>
    <w:rsid w:val="735C36EF"/>
    <w:rsid w:val="744A1799"/>
    <w:rsid w:val="74AF5B6B"/>
    <w:rsid w:val="74FF7EF2"/>
    <w:rsid w:val="758B2449"/>
    <w:rsid w:val="75DA6FFC"/>
    <w:rsid w:val="76322AD1"/>
    <w:rsid w:val="765D3ADA"/>
    <w:rsid w:val="766E65AC"/>
    <w:rsid w:val="76C47FCE"/>
    <w:rsid w:val="76E258C8"/>
    <w:rsid w:val="7737270F"/>
    <w:rsid w:val="77706B6E"/>
    <w:rsid w:val="777F4A60"/>
    <w:rsid w:val="77B87094"/>
    <w:rsid w:val="77C52287"/>
    <w:rsid w:val="7803238B"/>
    <w:rsid w:val="78BE00B5"/>
    <w:rsid w:val="79177DEF"/>
    <w:rsid w:val="793739E7"/>
    <w:rsid w:val="799C2A97"/>
    <w:rsid w:val="7A0B7F0B"/>
    <w:rsid w:val="7A304F8E"/>
    <w:rsid w:val="7A524E59"/>
    <w:rsid w:val="7ACD75EC"/>
    <w:rsid w:val="7ADA00E9"/>
    <w:rsid w:val="7ADD4111"/>
    <w:rsid w:val="7B276391"/>
    <w:rsid w:val="7B281593"/>
    <w:rsid w:val="7B817764"/>
    <w:rsid w:val="7B875186"/>
    <w:rsid w:val="7BDD312F"/>
    <w:rsid w:val="7BF6324B"/>
    <w:rsid w:val="7C0876C1"/>
    <w:rsid w:val="7C1D5AC8"/>
    <w:rsid w:val="7C3D26D3"/>
    <w:rsid w:val="7C5A7F0B"/>
    <w:rsid w:val="7D8B0707"/>
    <w:rsid w:val="7DA0242A"/>
    <w:rsid w:val="7DB33651"/>
    <w:rsid w:val="7DE00CF1"/>
    <w:rsid w:val="7E3F39E7"/>
    <w:rsid w:val="7E721BAB"/>
    <w:rsid w:val="7ED7732F"/>
    <w:rsid w:val="7EF53E05"/>
    <w:rsid w:val="7F751604"/>
    <w:rsid w:val="7FA5690D"/>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0</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2021-11-23T06:19:00Z</cp:lastPrinted>
  <dcterms:modified xsi:type="dcterms:W3CDTF">2021-12-02T10:16:34Z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