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6170377"/>
      <w:bookmarkStart w:id="1" w:name="_Toc82497891"/>
      <w:bookmarkStart w:id="2" w:name="_Toc55990499"/>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ZKGSF(ZB)-20214059</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新疆医科大学第五附属医院肌电图/诱发电位仪采购项目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_Toc3172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_Toc11334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_Toc11334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_Toc31402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_Toc23635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_Toc23635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_Toc3082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_Toc3082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_Toc3393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_Toc3393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_Toc27958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_Toc27958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_Toc9343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_Toc9343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_Toc13145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_Toc13145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_Toc31257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_Toc31257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_Toc22427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_Toc22427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_Toc18110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_Toc18110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_Toc19340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_Toc19340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_Toc19185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_Toc19185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_Toc22027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_Toc22027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_Toc16592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_Toc16592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_Toc9333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_Toc9333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_Toc29981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_Toc29981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_Toc6672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_Toc6672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_Toc2404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_Toc2404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_Toc30739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_Toc30739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_Toc2754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_Toc32640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_Toc32640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_Toc11367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_Toc11367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_Toc447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_Toc447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_Toc13629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_Toc13629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_Toc26914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_Toc26914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36"/>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hint="eastAsia" w:ascii="仿宋" w:hAnsi="仿宋" w:eastAsia="仿宋" w:cs="仿宋"/>
        </w:rPr>
      </w:pPr>
      <w:bookmarkStart w:id="4" w:name="_Toc3172"/>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ZKGSF(ZB)-20214059</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w:t>
      </w:r>
      <w:r>
        <w:rPr>
          <w:rFonts w:hint="eastAsia" w:ascii="仿宋" w:hAnsi="仿宋" w:eastAsia="仿宋" w:cs="仿宋"/>
          <w:sz w:val="28"/>
        </w:rPr>
        <w:t>肌电图/诱发电位仪</w:t>
      </w:r>
      <w:r>
        <w:rPr>
          <w:rFonts w:hint="eastAsia" w:ascii="仿宋" w:hAnsi="仿宋" w:eastAsia="仿宋" w:cs="仿宋"/>
          <w:sz w:val="28"/>
          <w:lang w:val="en-US" w:eastAsia="zh-CN"/>
        </w:rPr>
        <w:t>1台</w:t>
      </w:r>
      <w:r>
        <w:rPr>
          <w:rFonts w:hint="eastAsia" w:ascii="仿宋" w:hAnsi="仿宋" w:eastAsia="仿宋" w:cs="仿宋"/>
          <w:sz w:val="28"/>
        </w:rPr>
        <w:t>，</w:t>
      </w:r>
      <w:r>
        <w:rPr>
          <w:rFonts w:hint="eastAsia" w:ascii="仿宋" w:hAnsi="仿宋" w:eastAsia="仿宋" w:cs="仿宋"/>
          <w:sz w:val="28"/>
          <w:lang w:val="en-US" w:eastAsia="zh-CN"/>
        </w:rPr>
        <w:t>预算金额60万元，</w:t>
      </w:r>
      <w:r>
        <w:rPr>
          <w:rFonts w:hint="eastAsia" w:ascii="仿宋" w:hAnsi="仿宋" w:eastAsia="仿宋" w:cs="仿宋"/>
          <w:sz w:val="28"/>
        </w:rPr>
        <w:t>最高限价</w:t>
      </w:r>
      <w:r>
        <w:rPr>
          <w:rFonts w:hint="eastAsia" w:ascii="仿宋" w:hAnsi="仿宋" w:eastAsia="仿宋" w:cs="仿宋"/>
          <w:sz w:val="28"/>
          <w:lang w:val="en-US" w:eastAsia="zh-CN"/>
        </w:rPr>
        <w:t>55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rPr>
        <w:t>、法定代表人投标需携带法定代表人证明书（原件）及法定代表人身份证（原件）</w:t>
      </w:r>
      <w:r>
        <w:rPr>
          <w:rFonts w:hint="eastAsia" w:ascii="仿宋" w:hAnsi="仿宋" w:eastAsia="仿宋" w:cs="仿宋"/>
          <w:sz w:val="28"/>
          <w:lang w:eastAsia="zh-CN"/>
        </w:rPr>
        <w:t>；</w:t>
      </w:r>
      <w:r>
        <w:rPr>
          <w:rFonts w:hint="eastAsia" w:ascii="仿宋" w:hAnsi="仿宋" w:eastAsia="仿宋" w:cs="仿宋"/>
          <w:sz w:val="28"/>
        </w:rPr>
        <w:t>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8</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新疆医科大学第五附属医院肌电图/诱发电位仪采购项目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12000.00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本项目为非专门面向中小企业（含中型、小型、微型企业）采购项目，根据《政府采购促进中小企业发展管理办法》（财库[2020]46号）的规定，评标时将给予此类企业进行价格6%的优惠，用优惠后的价格参与评审。</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11334"/>
      <w:bookmarkStart w:id="9" w:name="_Toc55990500"/>
      <w:bookmarkStart w:id="10" w:name="_Toc5896489"/>
      <w:bookmarkStart w:id="11" w:name="_Toc56170378"/>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31402"/>
      <w:bookmarkStart w:id="14" w:name="_Toc56170379"/>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新疆医科大学第五附属医院肌电图/诱发电位仪采购项目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ZKGSF(ZB)-20214059</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w:t>
            </w:r>
            <w:r>
              <w:rPr>
                <w:rFonts w:hint="eastAsia" w:ascii="仿宋" w:hAnsi="仿宋" w:eastAsia="仿宋" w:cs="仿宋"/>
                <w:color w:val="000000"/>
                <w:sz w:val="24"/>
                <w:szCs w:val="24"/>
                <w:lang w:eastAsia="zh-CN"/>
              </w:rPr>
              <w:t>肌电图/诱发电位仪</w:t>
            </w:r>
            <w:r>
              <w:rPr>
                <w:rFonts w:hint="eastAsia" w:ascii="仿宋" w:hAnsi="仿宋" w:eastAsia="仿宋" w:cs="仿宋"/>
                <w:color w:val="000000"/>
                <w:sz w:val="24"/>
                <w:szCs w:val="24"/>
              </w:rPr>
              <w:t>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60万元</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最高限价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55万元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12</w:t>
            </w:r>
            <w:r>
              <w:rPr>
                <w:rFonts w:hint="eastAsia" w:ascii="仿宋" w:hAnsi="仿宋" w:eastAsia="仿宋" w:cs="仿宋"/>
                <w:color w:val="000000"/>
                <w:sz w:val="24"/>
                <w:szCs w:val="24"/>
                <w:u w:val="single"/>
              </w:rPr>
              <w:t>,000.00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壹万贰仟元整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4</w:t>
            </w:r>
            <w:r>
              <w:rPr>
                <w:rFonts w:hint="eastAsia" w:ascii="仿宋" w:hAnsi="仿宋" w:eastAsia="仿宋" w:cs="仿宋"/>
                <w:b w:val="0"/>
                <w:bCs w:val="0"/>
                <w:szCs w:val="24"/>
              </w:rPr>
              <w:t>、法定代表人投标需携带法定代表人证明书（原件）及法定代表人身份证（原件）</w:t>
            </w:r>
            <w:r>
              <w:rPr>
                <w:rFonts w:hint="eastAsia" w:ascii="仿宋" w:hAnsi="仿宋" w:eastAsia="仿宋" w:cs="仿宋"/>
                <w:b w:val="0"/>
                <w:bCs w:val="0"/>
                <w:szCs w:val="24"/>
                <w:lang w:eastAsia="zh-CN"/>
              </w:rPr>
              <w:t>；</w:t>
            </w:r>
            <w:r>
              <w:rPr>
                <w:rFonts w:hint="eastAsia" w:ascii="仿宋" w:hAnsi="仿宋" w:eastAsia="仿宋" w:cs="仿宋"/>
                <w:b w:val="0"/>
                <w:bCs w:val="0"/>
                <w:szCs w:val="24"/>
              </w:rPr>
              <w:t>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5</w:t>
            </w:r>
            <w:r>
              <w:rPr>
                <w:rFonts w:hint="eastAsia" w:ascii="仿宋" w:hAnsi="仿宋" w:eastAsia="仿宋" w:cs="仿宋"/>
                <w:b w:val="0"/>
                <w:bCs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6</w:t>
            </w:r>
            <w:r>
              <w:rPr>
                <w:rFonts w:hint="eastAsia" w:ascii="仿宋" w:hAnsi="仿宋" w:eastAsia="仿宋" w:cs="仿宋"/>
                <w:b w:val="0"/>
                <w:bCs w:val="0"/>
                <w:szCs w:val="24"/>
              </w:rPr>
              <w:t>、本项目不接受联合体投标。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7</w:t>
            </w:r>
            <w:r>
              <w:rPr>
                <w:rFonts w:hint="eastAsia" w:ascii="仿宋" w:hAnsi="仿宋" w:eastAsia="仿宋" w:cs="仿宋"/>
                <w:b w:val="0"/>
                <w:bCs w:val="0"/>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交货期：收到中标通知书后30日内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付款方式：设备安装验收合格支付中标总金额的90%，其余10%作为质保金，质保金于质保期（保修期）结束后免息付清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82497894"/>
      <w:bookmarkStart w:id="16" w:name="_Toc23635"/>
      <w:bookmarkStart w:id="17" w:name="_Toc56170380"/>
      <w:bookmarkStart w:id="18" w:name="_Toc65158527"/>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56170381"/>
      <w:bookmarkStart w:id="20" w:name="_Toc3082"/>
      <w:bookmarkStart w:id="21" w:name="_Toc82497895"/>
      <w:bookmarkStart w:id="22" w:name="_Toc65158528"/>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82497896"/>
      <w:bookmarkStart w:id="24" w:name="_Toc56170382"/>
      <w:bookmarkStart w:id="25" w:name="_Toc3393"/>
      <w:bookmarkStart w:id="26" w:name="_Toc65158529"/>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w:t>
      </w:r>
      <w:r>
        <w:rPr>
          <w:rFonts w:hint="eastAsia" w:ascii="仿宋" w:hAnsi="仿宋" w:eastAsia="仿宋" w:cs="仿宋"/>
          <w:sz w:val="28"/>
          <w:lang w:eastAsia="zh-CN"/>
        </w:rPr>
        <w:t>开标一览表</w:t>
      </w:r>
      <w:r>
        <w:rPr>
          <w:rFonts w:hint="eastAsia" w:ascii="仿宋" w:hAnsi="仿宋" w:eastAsia="仿宋" w:cs="仿宋"/>
          <w:sz w:val="28"/>
        </w:rPr>
        <w:t>》备注中填写。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27958"/>
      <w:bookmarkStart w:id="28" w:name="_Toc82497897"/>
      <w:bookmarkStart w:id="29" w:name="_Toc56170383"/>
      <w:bookmarkStart w:id="30" w:name="_Toc65158530"/>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w:t>
      </w:r>
      <w:r>
        <w:rPr>
          <w:rFonts w:hint="eastAsia" w:ascii="仿宋" w:hAnsi="仿宋" w:eastAsia="仿宋" w:cs="仿宋"/>
          <w:sz w:val="28"/>
          <w:lang w:eastAsia="zh-CN"/>
        </w:rPr>
        <w:t>开标一览表</w:t>
      </w:r>
      <w:r>
        <w:rPr>
          <w:rFonts w:hint="eastAsia" w:ascii="仿宋" w:hAnsi="仿宋" w:eastAsia="仿宋" w:cs="仿宋"/>
          <w:sz w:val="28"/>
        </w:rPr>
        <w:t>单独</w:t>
      </w:r>
      <w:r>
        <w:rPr>
          <w:rFonts w:hint="eastAsia" w:ascii="仿宋" w:hAnsi="仿宋" w:eastAsia="仿宋" w:cs="仿宋"/>
          <w:bCs/>
          <w:sz w:val="28"/>
        </w:rPr>
        <w:t>密封一份在信袋内，在密封处加盖公章（或合同专用章），在信袋上注明“</w:t>
      </w:r>
      <w:r>
        <w:rPr>
          <w:rFonts w:hint="eastAsia" w:ascii="仿宋" w:hAnsi="仿宋" w:eastAsia="仿宋" w:cs="仿宋"/>
          <w:bCs/>
          <w:sz w:val="28"/>
          <w:lang w:eastAsia="zh-CN"/>
        </w:rPr>
        <w:t>开标一览表</w:t>
      </w:r>
      <w:r>
        <w:rPr>
          <w:rFonts w:hint="eastAsia" w:ascii="仿宋" w:hAnsi="仿宋" w:eastAsia="仿宋" w:cs="仿宋"/>
          <w:bCs/>
          <w:sz w:val="28"/>
        </w:rPr>
        <w:t>”字样，作为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65158531"/>
      <w:bookmarkStart w:id="32" w:name="_Toc56170384"/>
      <w:bookmarkStart w:id="33" w:name="_Toc9343"/>
      <w:bookmarkStart w:id="34" w:name="_Toc82497898"/>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56170385"/>
      <w:bookmarkStart w:id="36" w:name="_Toc13145"/>
      <w:bookmarkStart w:id="37" w:name="_Toc65158532"/>
      <w:bookmarkStart w:id="38" w:name="_Toc82497899"/>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82497900"/>
      <w:bookmarkStart w:id="40" w:name="_Toc56170386"/>
      <w:bookmarkStart w:id="41" w:name="_Toc65158533"/>
      <w:bookmarkStart w:id="42" w:name="_Toc31257"/>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56170387"/>
      <w:bookmarkStart w:id="44" w:name="_Toc65158534"/>
      <w:bookmarkStart w:id="45" w:name="_Toc82497901"/>
      <w:bookmarkStart w:id="46" w:name="_Toc22427"/>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82497902"/>
      <w:bookmarkStart w:id="48" w:name="_Toc56170388"/>
      <w:bookmarkStart w:id="49" w:name="_Toc18110"/>
      <w:bookmarkStart w:id="50" w:name="_Toc65158535"/>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19340"/>
      <w:bookmarkStart w:id="52" w:name="_Toc82497903"/>
      <w:bookmarkStart w:id="53" w:name="_Toc56170389"/>
      <w:bookmarkStart w:id="54" w:name="_Toc65158536"/>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82497904"/>
      <w:bookmarkStart w:id="57" w:name="_Toc19185"/>
      <w:bookmarkStart w:id="58" w:name="_Toc56170390"/>
      <w:bookmarkStart w:id="59" w:name="_Toc55990501"/>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b/>
          <w:bCs/>
          <w:sz w:val="24"/>
        </w:rPr>
      </w:pPr>
      <w:bookmarkStart w:id="60" w:name="_Hlk75463441"/>
      <w:r>
        <w:rPr>
          <w:rFonts w:hint="eastAsia" w:ascii="仿宋" w:hAnsi="仿宋" w:eastAsia="仿宋" w:cs="仿宋"/>
          <w:b/>
          <w:bCs/>
          <w:sz w:val="32"/>
          <w:szCs w:val="32"/>
        </w:rPr>
        <w:t>肌电图/诱发电位仪技术参数</w:t>
      </w:r>
      <w:bookmarkEnd w:id="60"/>
    </w:p>
    <w:p>
      <w:pPr>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t>一、功能要求：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检测诱发电位(VEP,AEP,SEP,MEP)、肌电图、神经电图等测试项目，为医生提供大脑活动、中枢神经、周围神经、肌肉及麻醉用药的客观评价指标，实时反馈大脑神经的活动，指导医生（如神经内科、神经外科、骨科、耳鼻喉甲状腺科、胸外科等科室）开展门诊肌电图检查以及监测手术进展中是否触及神经或对神经有无损伤及损伤的部位。</w:t>
      </w:r>
    </w:p>
    <w:p>
      <w:pPr>
        <w:rPr>
          <w:rFonts w:hint="eastAsia" w:ascii="仿宋" w:hAnsi="仿宋" w:eastAsia="仿宋" w:cs="仿宋"/>
          <w:b/>
          <w:bCs/>
          <w:sz w:val="28"/>
          <w:szCs w:val="28"/>
        </w:rPr>
      </w:pPr>
      <w:r>
        <w:rPr>
          <w:rFonts w:hint="eastAsia" w:ascii="仿宋" w:hAnsi="仿宋" w:eastAsia="仿宋" w:cs="仿宋"/>
          <w:b/>
          <w:bCs/>
          <w:sz w:val="28"/>
          <w:szCs w:val="28"/>
        </w:rPr>
        <w:t>二、技术参数：</w:t>
      </w:r>
    </w:p>
    <w:p>
      <w:pPr>
        <w:rPr>
          <w:rFonts w:hint="eastAsia" w:ascii="仿宋" w:hAnsi="仿宋" w:eastAsia="仿宋" w:cs="仿宋"/>
          <w:b/>
          <w:bCs/>
          <w:sz w:val="28"/>
          <w:szCs w:val="28"/>
        </w:rPr>
      </w:pPr>
      <w:r>
        <w:rPr>
          <w:rFonts w:hint="eastAsia" w:ascii="仿宋" w:hAnsi="仿宋" w:eastAsia="仿宋" w:cs="仿宋"/>
          <w:b/>
          <w:bCs/>
          <w:sz w:val="28"/>
          <w:szCs w:val="28"/>
        </w:rPr>
        <w:t>1、放大器：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1.1、通道数：≥6通道（能够升级为16或32通道术中监护）。</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1.2、电压灵敏度：0.05mV/div——30mV/div分档控制</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1.3、频率范围：0.5Hz～10kHz，电压测量误差+5%～-15%</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1.4、陷波：50Hz</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*1.5、共模抑制比：≥124dB（提供食品药品监督局出具的检验报告）</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*1.6、噪声电压：≤0.4V（提供食品药品监督局出具的检验报告）</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1.7、阻抗测量：所有输入的电极及地电极都可检测</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1.8、分辨率：24比特；</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*1.9、输入阻抗：＞4800MW（提供食品药品监督局出具的检验报告）</w:t>
      </w:r>
    </w:p>
    <w:p>
      <w:pPr>
        <w:rPr>
          <w:rFonts w:hint="eastAsia" w:ascii="仿宋" w:hAnsi="仿宋" w:eastAsia="仿宋" w:cs="仿宋"/>
          <w:b/>
          <w:bCs/>
          <w:sz w:val="28"/>
          <w:szCs w:val="28"/>
        </w:rPr>
      </w:pPr>
      <w:r>
        <w:rPr>
          <w:rFonts w:hint="eastAsia" w:ascii="仿宋" w:hAnsi="仿宋" w:eastAsia="仿宋" w:cs="仿宋"/>
          <w:b/>
          <w:bCs/>
          <w:sz w:val="28"/>
          <w:szCs w:val="28"/>
        </w:rPr>
        <w:t>2、电刺激器：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2.1、高恒流电刺激最大脉冲强度：100mA±5%；低恒流电刺激最大脉冲强度：5mA±5%；</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2.2、脉冲强度误差：≤±5%；</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2.3、最大脉冲宽度：1ms±5%；</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2.4、脉冲宽度误差：≤±5%；</w:t>
      </w:r>
    </w:p>
    <w:p>
      <w:pPr>
        <w:rPr>
          <w:rFonts w:hint="eastAsia" w:ascii="仿宋" w:hAnsi="仿宋" w:eastAsia="仿宋" w:cs="仿宋"/>
          <w:b/>
          <w:bCs/>
          <w:sz w:val="28"/>
          <w:szCs w:val="28"/>
        </w:rPr>
      </w:pPr>
      <w:r>
        <w:rPr>
          <w:rFonts w:hint="eastAsia" w:ascii="仿宋" w:hAnsi="仿宋" w:eastAsia="仿宋" w:cs="仿宋"/>
          <w:b/>
          <w:bCs/>
          <w:sz w:val="28"/>
          <w:szCs w:val="28"/>
        </w:rPr>
        <w:t>3、声音刺激器：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3.1、最大Click声强：125～140dB（SPL 峰值）；</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3.2、最大白噪声强：105～115dB（SPL峰值）；</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3.3、声强在25dB～125dB范围内以≤10dB的加减量分档选择。</w:t>
      </w:r>
    </w:p>
    <w:p>
      <w:pPr>
        <w:rPr>
          <w:rFonts w:hint="eastAsia" w:ascii="仿宋" w:hAnsi="仿宋" w:eastAsia="仿宋" w:cs="仿宋"/>
          <w:b/>
          <w:bCs/>
          <w:sz w:val="28"/>
          <w:szCs w:val="28"/>
        </w:rPr>
      </w:pPr>
      <w:r>
        <w:rPr>
          <w:rFonts w:hint="eastAsia" w:ascii="仿宋" w:hAnsi="仿宋" w:eastAsia="仿宋" w:cs="仿宋"/>
          <w:b/>
          <w:bCs/>
          <w:sz w:val="28"/>
          <w:szCs w:val="28"/>
        </w:rPr>
        <w:t>4、视觉刺激器：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4.1、具备黑白翻转变化的图像显示功能；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4.2、具备左、右分别刺激和双眼刺激功能；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4.3、具备棋盘格图像功能，能够在全场4×3格至128×96格范围内以2×2倍率分档选择；</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4.4、具备闪光器刺激功能，照度：20Lux～55Lux（10cm距离，直射）。</w:t>
      </w:r>
    </w:p>
    <w:p>
      <w:pPr>
        <w:rPr>
          <w:rFonts w:hint="eastAsia" w:ascii="仿宋" w:hAnsi="仿宋" w:eastAsia="仿宋" w:cs="仿宋"/>
          <w:b/>
          <w:bCs/>
          <w:sz w:val="28"/>
          <w:szCs w:val="28"/>
        </w:rPr>
      </w:pPr>
      <w:r>
        <w:rPr>
          <w:rFonts w:hint="eastAsia" w:ascii="仿宋" w:hAnsi="仿宋" w:eastAsia="仿宋" w:cs="仿宋"/>
          <w:b/>
          <w:bCs/>
          <w:sz w:val="28"/>
          <w:szCs w:val="28"/>
        </w:rPr>
        <w:t>5、软件功能要求：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5.1、神经电图：≥20种（运动传导、感觉传导、运动位移、感觉位移、传导速度分布、 F-波、H-反射、重复电刺激、运单数目、瞬目反射、皮肤反应、心脏副交感、准备电位、多点MUNE、多道运动、面运动传导、小纤维感觉、运动实验、兴奋实验、易化实验），具备自定义功能。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5.2、肌电图：≥8种（静息单位电位、运动单位电位、干扰相、同步电位、单纤维、巨肌电图、皮层静息期、运单指数）</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5.3、诱发电位：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5.3.1、体感诱发电位：≥13种（上肢诱发电位、下肢诱发电位、三叉诱发电位、脊髓诱发电位、阴部体感诱发、长潜体感诱发、中潜体感诱发、多道体感诱发、坐骨海绵体反射、球海绵体反射、三叉神经颈反射、心电触发体感诱发电位、运动-皮层关联电位），具备自定义体感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5.3.2、听觉诱发电位：≥9种（脑干听觉、脑干听阈、40HZ稳态听觉、长潜听觉、中潜听觉、耳蜗电图、微音电位、高刺激率脑干听觉、颅顶慢反应），具备自定义功能。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5.3.3、视觉诱发电位：≥4种（模式反转、LED闪光、长潜、中潜），具备自定义功能。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*5.3.4、前庭诱发电位：≥9种（ACS-cVEMP、BCV-cVEMP、GVS-cVEMP、ACS-oVEMP、BCV-oVEMP、GVS-oVEMP、ACS-mVEMP、BCV-mVEMP、GVS-mVEMP）。</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5.3.5、运动诱发电位：≥6种（上肢运动、下肢运动、运动阈值、对冲实验、三冲实验、SAI短潜伏期传入抑制），具备电刺激、可连接磁刺激功能。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5.4、表面肌电：≥4种（静息放松、肌张力评估、功能太A、功能太B），具备自定义功能。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5.5、事件相关电位：≥7种（听觉P300、视觉P300、三重P300、听觉P50 、视觉N400、伴随负电位、失匹配负波）。</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*5.6、具备震颤分析功能。</w:t>
      </w:r>
    </w:p>
    <w:p>
      <w:pPr>
        <w:rPr>
          <w:rFonts w:hint="eastAsia" w:ascii="仿宋" w:hAnsi="仿宋" w:eastAsia="仿宋" w:cs="仿宋"/>
          <w:b/>
          <w:bCs/>
          <w:sz w:val="28"/>
          <w:szCs w:val="28"/>
        </w:rPr>
      </w:pPr>
      <w:r>
        <w:rPr>
          <w:rFonts w:hint="eastAsia" w:ascii="仿宋" w:hAnsi="仿宋" w:eastAsia="仿宋" w:cs="仿宋"/>
          <w:b/>
          <w:bCs/>
          <w:sz w:val="28"/>
          <w:szCs w:val="28"/>
        </w:rPr>
        <w:t>三、配置要求及服务：</w:t>
      </w:r>
    </w:p>
    <w:p>
      <w:pPr>
        <w:rPr>
          <w:rFonts w:hint="eastAsia" w:ascii="仿宋" w:hAnsi="仿宋" w:eastAsia="仿宋" w:cs="仿宋"/>
          <w:sz w:val="28"/>
          <w:szCs w:val="28"/>
        </w:rPr>
      </w:pPr>
      <w:r>
        <w:rPr>
          <w:rFonts w:hint="eastAsia" w:ascii="仿宋" w:hAnsi="仿宋" w:eastAsia="仿宋" w:cs="仿宋"/>
          <w:sz w:val="28"/>
          <w:szCs w:val="28"/>
        </w:rPr>
        <w:t>1、系统工作站：具备处理软件功能；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1.1、中央处理器：工控主机，主频≥4.3GHz；</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1.2、内存：≥8G；</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1.3、硬盘：≥1T（配置固态硬盘），标准接口；</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1.4、显示器：≥21”液晶；</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1.5、打印机：黑白激光；</w:t>
      </w:r>
    </w:p>
    <w:p>
      <w:pPr>
        <w:rPr>
          <w:rFonts w:hint="eastAsia" w:ascii="仿宋" w:hAnsi="仿宋" w:eastAsia="仿宋" w:cs="仿宋"/>
          <w:sz w:val="28"/>
          <w:szCs w:val="28"/>
        </w:rPr>
      </w:pPr>
      <w:r>
        <w:rPr>
          <w:rFonts w:hint="eastAsia" w:ascii="仿宋" w:hAnsi="仿宋" w:eastAsia="仿宋" w:cs="仿宋"/>
          <w:sz w:val="28"/>
          <w:szCs w:val="28"/>
        </w:rPr>
        <w:t>2、配稳压隔离电源。</w:t>
      </w:r>
    </w:p>
    <w:p>
      <w:pPr>
        <w:rPr>
          <w:rFonts w:hint="eastAsia" w:ascii="仿宋" w:hAnsi="仿宋" w:eastAsia="仿宋" w:cs="仿宋"/>
          <w:b/>
          <w:bCs/>
          <w:sz w:val="28"/>
          <w:szCs w:val="28"/>
        </w:rPr>
      </w:pPr>
      <w:r>
        <w:rPr>
          <w:rFonts w:hint="eastAsia" w:ascii="仿宋" w:hAnsi="仿宋" w:eastAsia="仿宋" w:cs="仿宋"/>
          <w:b/>
          <w:bCs/>
          <w:sz w:val="28"/>
          <w:szCs w:val="28"/>
        </w:rPr>
        <w:t>四、整体要求：</w:t>
      </w:r>
    </w:p>
    <w:p>
      <w:pPr>
        <w:rPr>
          <w:rFonts w:hint="eastAsia" w:ascii="仿宋" w:hAnsi="仿宋" w:eastAsia="仿宋" w:cs="仿宋"/>
          <w:sz w:val="28"/>
          <w:szCs w:val="28"/>
        </w:rPr>
      </w:pPr>
      <w:r>
        <w:rPr>
          <w:rFonts w:hint="eastAsia" w:ascii="仿宋" w:hAnsi="仿宋" w:eastAsia="仿宋" w:cs="仿宋"/>
          <w:sz w:val="28"/>
          <w:szCs w:val="28"/>
        </w:rPr>
        <w:t>1、产品具备低噪声、高抗干扰能力的一体化台式系统和专用工控机，设置听觉、视觉和电刺激模块和接口；能够完成神经电图、肌电图、诱发电位等检测项目；</w:t>
      </w:r>
    </w:p>
    <w:p>
      <w:pPr>
        <w:rPr>
          <w:rFonts w:hint="eastAsia" w:ascii="仿宋" w:hAnsi="仿宋" w:eastAsia="仿宋" w:cs="仿宋"/>
          <w:sz w:val="28"/>
          <w:szCs w:val="28"/>
        </w:rPr>
      </w:pPr>
      <w:r>
        <w:rPr>
          <w:rFonts w:hint="eastAsia" w:ascii="仿宋" w:hAnsi="仿宋" w:eastAsia="仿宋" w:cs="仿宋"/>
          <w:sz w:val="28"/>
          <w:szCs w:val="28"/>
        </w:rPr>
        <w:t>2、标配：可重复使用表面电极导线≥1套，可重复使用针电极导线≥10根，手持电刺激器≥1个，一次性表面电极≥10袋；一次性针电极≥10盒；磨砂膏≥20支</w:t>
      </w:r>
    </w:p>
    <w:p>
      <w:pPr>
        <w:rPr>
          <w:rFonts w:hint="eastAsia" w:ascii="仿宋" w:hAnsi="仿宋" w:eastAsia="仿宋" w:cs="仿宋"/>
          <w:sz w:val="28"/>
          <w:szCs w:val="28"/>
        </w:rPr>
      </w:pPr>
    </w:p>
    <w:p>
      <w:pPr>
        <w:jc w:val="center"/>
        <w:rPr>
          <w:rFonts w:hint="eastAsia" w:ascii="仿宋" w:hAnsi="仿宋" w:eastAsia="仿宋" w:cs="仿宋"/>
          <w:b/>
          <w:bCs/>
          <w:sz w:val="32"/>
          <w:szCs w:val="32"/>
        </w:rPr>
      </w:pPr>
      <w:r>
        <w:rPr>
          <w:rFonts w:hint="eastAsia" w:ascii="仿宋" w:hAnsi="仿宋" w:eastAsia="仿宋" w:cs="仿宋"/>
          <w:b/>
          <w:bCs/>
          <w:sz w:val="32"/>
          <w:szCs w:val="32"/>
        </w:rPr>
        <w:t>肌电图/诱发电位仪商务要求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1" w:name="_Toc82497923"/>
      <w:bookmarkStart w:id="62" w:name="_Toc22027"/>
      <w:bookmarkStart w:id="63" w:name="_Toc56170391"/>
      <w:bookmarkStart w:id="64" w:name="_Toc55990502"/>
      <w:r>
        <w:rPr>
          <w:rFonts w:hint="eastAsia" w:ascii="仿宋" w:hAnsi="仿宋" w:eastAsia="仿宋" w:cs="仿宋"/>
        </w:rPr>
        <w:t>第四章、合同</w:t>
      </w:r>
      <w:bookmarkEnd w:id="61"/>
      <w:bookmarkEnd w:id="62"/>
      <w:bookmarkEnd w:id="63"/>
      <w:bookmarkEnd w:id="64"/>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5" w:name="_Toc56170392"/>
      <w:bookmarkStart w:id="66" w:name="_Toc16592"/>
      <w:bookmarkStart w:id="67" w:name="_Toc82497924"/>
      <w:r>
        <w:rPr>
          <w:rFonts w:hint="eastAsia" w:ascii="仿宋" w:hAnsi="仿宋" w:eastAsia="仿宋" w:cs="仿宋"/>
        </w:rPr>
        <w:t>第五章、投标文件格式</w:t>
      </w:r>
      <w:bookmarkEnd w:id="65"/>
      <w:bookmarkEnd w:id="66"/>
      <w:bookmarkEnd w:id="67"/>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8" w:name="_Toc56170393"/>
      <w:bookmarkStart w:id="69" w:name="_Toc82497925"/>
      <w:bookmarkStart w:id="70" w:name="_Toc9333"/>
      <w:r>
        <w:rPr>
          <w:rFonts w:hint="eastAsia" w:ascii="仿宋" w:hAnsi="仿宋" w:eastAsia="仿宋" w:cs="仿宋"/>
        </w:rPr>
        <w:t>附件一、投标书</w:t>
      </w:r>
      <w:bookmarkEnd w:id="68"/>
      <w:bookmarkEnd w:id="69"/>
      <w:bookmarkEnd w:id="70"/>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1" w:name="_Toc29981"/>
      <w:bookmarkStart w:id="72" w:name="_Toc82497926"/>
      <w:bookmarkStart w:id="73" w:name="_Toc56170394"/>
      <w:r>
        <w:rPr>
          <w:rFonts w:hint="eastAsia" w:ascii="仿宋" w:hAnsi="仿宋" w:eastAsia="仿宋" w:cs="仿宋"/>
        </w:rPr>
        <w:t>附件二、法定代表人资格证明书</w:t>
      </w:r>
      <w:bookmarkEnd w:id="71"/>
      <w:bookmarkEnd w:id="72"/>
      <w:bookmarkEnd w:id="73"/>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4" w:name="_Toc6672"/>
      <w:bookmarkStart w:id="75" w:name="_Toc56170395"/>
      <w:bookmarkStart w:id="76" w:name="_Toc82497927"/>
      <w:r>
        <w:rPr>
          <w:rFonts w:hint="eastAsia" w:ascii="仿宋" w:hAnsi="仿宋" w:eastAsia="仿宋" w:cs="仿宋"/>
        </w:rPr>
        <w:t>附件三、法定代表人授权委托书</w:t>
      </w:r>
      <w:bookmarkEnd w:id="74"/>
      <w:bookmarkEnd w:id="75"/>
      <w:bookmarkEnd w:id="76"/>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7" w:name="_Toc56170396"/>
      <w:bookmarkStart w:id="78" w:name="_Toc2404"/>
      <w:bookmarkStart w:id="79" w:name="_Toc82497928"/>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7"/>
      <w:bookmarkEnd w:id="78"/>
      <w:bookmarkEnd w:id="79"/>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0" w:name="_Toc82497929"/>
      <w:bookmarkStart w:id="81" w:name="_Toc56170397"/>
      <w:bookmarkStart w:id="82" w:name="_Toc30739"/>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0"/>
      <w:bookmarkEnd w:id="81"/>
      <w:bookmarkEnd w:id="82"/>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3" w:name="_Toc435087575"/>
      <w:bookmarkStart w:id="84" w:name="_Toc82497930"/>
      <w:bookmarkStart w:id="85" w:name="_Toc12401"/>
      <w:bookmarkStart w:id="86" w:name="_Toc56170398"/>
      <w:r>
        <w:rPr>
          <w:rFonts w:hint="eastAsia" w:ascii="仿宋" w:hAnsi="仿宋" w:eastAsia="仿宋" w:cs="仿宋"/>
        </w:rPr>
        <w:t>附件</w:t>
      </w:r>
      <w:bookmarkEnd w:id="83"/>
      <w:r>
        <w:rPr>
          <w:rFonts w:hint="eastAsia" w:ascii="仿宋" w:hAnsi="仿宋" w:eastAsia="仿宋" w:cs="仿宋"/>
        </w:rPr>
        <w:t>六、供应商反商业贿赂承诺书</w:t>
      </w:r>
      <w:bookmarkEnd w:id="84"/>
      <w:bookmarkEnd w:id="85"/>
      <w:bookmarkEnd w:id="86"/>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7" w:name="_Toc2754"/>
      <w:r>
        <w:rPr>
          <w:rStyle w:val="31"/>
          <w:rFonts w:hint="eastAsia"/>
          <w:lang w:val="en-US" w:eastAsia="zh-CN"/>
        </w:rPr>
        <w:t>附件七、中小企业声明函</w:t>
      </w:r>
      <w:r>
        <w:rPr>
          <w:rStyle w:val="31"/>
          <w:rFonts w:hint="default"/>
          <w:lang w:val="en-US" w:eastAsia="zh-CN"/>
        </w:rPr>
        <w:t>（货物）</w:t>
      </w:r>
      <w:bookmarkEnd w:id="87"/>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103" w:name="_GoBack"/>
      <w:bookmarkEnd w:id="103"/>
      <w:bookmarkStart w:id="88" w:name="_Toc56170399"/>
      <w:bookmarkStart w:id="89" w:name="_Toc82497932"/>
      <w:bookmarkStart w:id="90" w:name="_Toc32640"/>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8"/>
      <w:bookmarkEnd w:id="89"/>
      <w:bookmarkEnd w:id="90"/>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1"/>
        <w:gridCol w:w="4465"/>
        <w:gridCol w:w="3172"/>
        <w:gridCol w:w="317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exact"/>
          <w:jc w:val="center"/>
        </w:trPr>
        <w:tc>
          <w:tcPr>
            <w:tcW w:w="1981"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4465"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品牌/产地</w:t>
            </w:r>
          </w:p>
        </w:tc>
        <w:tc>
          <w:tcPr>
            <w:tcW w:w="3172"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3172"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188"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3" w:hRule="atLeast"/>
          <w:jc w:val="center"/>
        </w:trPr>
        <w:tc>
          <w:tcPr>
            <w:tcW w:w="1981"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465"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2" w:hRule="exact"/>
          <w:jc w:val="center"/>
        </w:trPr>
        <w:tc>
          <w:tcPr>
            <w:tcW w:w="1981"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997" w:type="dxa"/>
            <w:gridSpan w:val="4"/>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1" w:name="_Toc11367"/>
      <w:bookmarkStart w:id="92" w:name="_Toc82497933"/>
      <w:bookmarkStart w:id="93" w:name="_Toc56170400"/>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1"/>
      <w:bookmarkEnd w:id="92"/>
      <w:bookmarkEnd w:id="93"/>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4" w:name="_Toc447"/>
      <w:bookmarkStart w:id="95" w:name="_Toc82497934"/>
      <w:bookmarkStart w:id="96" w:name="_Toc56170401"/>
      <w:r>
        <w:rPr>
          <w:rFonts w:hint="eastAsia" w:ascii="仿宋" w:hAnsi="仿宋" w:eastAsia="仿宋" w:cs="仿宋"/>
        </w:rPr>
        <w:t>附件十、技术规格偏离表</w:t>
      </w:r>
      <w:bookmarkEnd w:id="94"/>
      <w:bookmarkEnd w:id="95"/>
      <w:bookmarkEnd w:id="96"/>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7" w:name="_Toc13629"/>
      <w:bookmarkStart w:id="98" w:name="_Toc56170402"/>
      <w:bookmarkStart w:id="99" w:name="_Toc82497935"/>
      <w:r>
        <w:rPr>
          <w:rFonts w:hint="eastAsia" w:ascii="仿宋" w:hAnsi="仿宋" w:eastAsia="仿宋" w:cs="仿宋"/>
        </w:rPr>
        <w:t>附件十一、商务条款偏离表</w:t>
      </w:r>
      <w:bookmarkEnd w:id="97"/>
      <w:bookmarkEnd w:id="98"/>
      <w:bookmarkEnd w:id="99"/>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0" w:name="_Toc26914"/>
      <w:bookmarkStart w:id="101" w:name="_Toc56170403"/>
      <w:bookmarkStart w:id="102" w:name="_Toc82497936"/>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0"/>
      <w:bookmarkEnd w:id="101"/>
      <w:bookmarkEnd w:id="102"/>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1FC1C34"/>
    <w:rsid w:val="02296098"/>
    <w:rsid w:val="026262C0"/>
    <w:rsid w:val="026C368B"/>
    <w:rsid w:val="02932C56"/>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D0765E"/>
    <w:rsid w:val="0C6B0ACF"/>
    <w:rsid w:val="0C824443"/>
    <w:rsid w:val="0C917127"/>
    <w:rsid w:val="0CC6576E"/>
    <w:rsid w:val="0CEA36C2"/>
    <w:rsid w:val="0D071137"/>
    <w:rsid w:val="0D695602"/>
    <w:rsid w:val="0D7D1375"/>
    <w:rsid w:val="0E3F5936"/>
    <w:rsid w:val="0E6A2665"/>
    <w:rsid w:val="0FA46DDA"/>
    <w:rsid w:val="0FC87C25"/>
    <w:rsid w:val="10AC5ADF"/>
    <w:rsid w:val="10DE2E09"/>
    <w:rsid w:val="11172C7B"/>
    <w:rsid w:val="115A0E16"/>
    <w:rsid w:val="11EF390B"/>
    <w:rsid w:val="126C7B21"/>
    <w:rsid w:val="129E4A58"/>
    <w:rsid w:val="13794BBA"/>
    <w:rsid w:val="13BD43D5"/>
    <w:rsid w:val="13E67B05"/>
    <w:rsid w:val="14107EB2"/>
    <w:rsid w:val="14260079"/>
    <w:rsid w:val="1453290B"/>
    <w:rsid w:val="14863A35"/>
    <w:rsid w:val="14FB68BB"/>
    <w:rsid w:val="1528327C"/>
    <w:rsid w:val="15513596"/>
    <w:rsid w:val="15826B8D"/>
    <w:rsid w:val="158D515F"/>
    <w:rsid w:val="158E6DDD"/>
    <w:rsid w:val="16912F26"/>
    <w:rsid w:val="1736249E"/>
    <w:rsid w:val="17743904"/>
    <w:rsid w:val="1845393B"/>
    <w:rsid w:val="185B1B37"/>
    <w:rsid w:val="187C31C1"/>
    <w:rsid w:val="18963552"/>
    <w:rsid w:val="1A92241C"/>
    <w:rsid w:val="1B230862"/>
    <w:rsid w:val="1BB30D3A"/>
    <w:rsid w:val="1BBC2159"/>
    <w:rsid w:val="1BCD1A65"/>
    <w:rsid w:val="1BD3405D"/>
    <w:rsid w:val="1BE10135"/>
    <w:rsid w:val="1C134904"/>
    <w:rsid w:val="1C340898"/>
    <w:rsid w:val="1C52504E"/>
    <w:rsid w:val="1E296254"/>
    <w:rsid w:val="1E58248B"/>
    <w:rsid w:val="1E6F64DA"/>
    <w:rsid w:val="1EF23C8D"/>
    <w:rsid w:val="1F0E2E6E"/>
    <w:rsid w:val="1FB53339"/>
    <w:rsid w:val="2013529E"/>
    <w:rsid w:val="20261D71"/>
    <w:rsid w:val="20C35BA6"/>
    <w:rsid w:val="213A006B"/>
    <w:rsid w:val="21E309B4"/>
    <w:rsid w:val="220F5284"/>
    <w:rsid w:val="22394A78"/>
    <w:rsid w:val="234C6E20"/>
    <w:rsid w:val="234F72D8"/>
    <w:rsid w:val="23552C0D"/>
    <w:rsid w:val="238D506A"/>
    <w:rsid w:val="23F059D2"/>
    <w:rsid w:val="240063DE"/>
    <w:rsid w:val="240F721A"/>
    <w:rsid w:val="24273A92"/>
    <w:rsid w:val="242A39A5"/>
    <w:rsid w:val="24591F38"/>
    <w:rsid w:val="249E7C41"/>
    <w:rsid w:val="24D63971"/>
    <w:rsid w:val="2516480B"/>
    <w:rsid w:val="258766C7"/>
    <w:rsid w:val="25895BF3"/>
    <w:rsid w:val="25DD2143"/>
    <w:rsid w:val="25E35533"/>
    <w:rsid w:val="2746748E"/>
    <w:rsid w:val="27B24902"/>
    <w:rsid w:val="28261C18"/>
    <w:rsid w:val="28307103"/>
    <w:rsid w:val="28AD7F14"/>
    <w:rsid w:val="28B2104C"/>
    <w:rsid w:val="29B80978"/>
    <w:rsid w:val="2A2939CE"/>
    <w:rsid w:val="2A3C5105"/>
    <w:rsid w:val="2A4C2202"/>
    <w:rsid w:val="2AB949D0"/>
    <w:rsid w:val="2AD23EDB"/>
    <w:rsid w:val="2AD613E0"/>
    <w:rsid w:val="2B766148"/>
    <w:rsid w:val="2B8A50B7"/>
    <w:rsid w:val="2BE141E8"/>
    <w:rsid w:val="2C4908E4"/>
    <w:rsid w:val="2C543C2F"/>
    <w:rsid w:val="2D070CB6"/>
    <w:rsid w:val="2D831DB3"/>
    <w:rsid w:val="2E854610"/>
    <w:rsid w:val="2ECD5998"/>
    <w:rsid w:val="2F8E58D1"/>
    <w:rsid w:val="2FD9701D"/>
    <w:rsid w:val="300B2AFA"/>
    <w:rsid w:val="303350A5"/>
    <w:rsid w:val="30FA12B4"/>
    <w:rsid w:val="31CD1BD1"/>
    <w:rsid w:val="323E187E"/>
    <w:rsid w:val="32517F9C"/>
    <w:rsid w:val="3256718A"/>
    <w:rsid w:val="32E72125"/>
    <w:rsid w:val="32EC0E75"/>
    <w:rsid w:val="33B66770"/>
    <w:rsid w:val="348940F0"/>
    <w:rsid w:val="35036A04"/>
    <w:rsid w:val="353A2B32"/>
    <w:rsid w:val="355A22C0"/>
    <w:rsid w:val="36852831"/>
    <w:rsid w:val="36AB19CF"/>
    <w:rsid w:val="36E64773"/>
    <w:rsid w:val="378F7F37"/>
    <w:rsid w:val="380B2468"/>
    <w:rsid w:val="38477172"/>
    <w:rsid w:val="39281ADA"/>
    <w:rsid w:val="394D2FB2"/>
    <w:rsid w:val="39576CAC"/>
    <w:rsid w:val="39A6259B"/>
    <w:rsid w:val="39AD702D"/>
    <w:rsid w:val="39C23E2F"/>
    <w:rsid w:val="3A122237"/>
    <w:rsid w:val="3A5C671F"/>
    <w:rsid w:val="3AB07B2F"/>
    <w:rsid w:val="3AD87C2E"/>
    <w:rsid w:val="3AF523EE"/>
    <w:rsid w:val="3B0C7FB1"/>
    <w:rsid w:val="3BBE2933"/>
    <w:rsid w:val="3BFD417A"/>
    <w:rsid w:val="3C0824C9"/>
    <w:rsid w:val="3C0F395D"/>
    <w:rsid w:val="3C1F03E3"/>
    <w:rsid w:val="3C66126E"/>
    <w:rsid w:val="3CCA65A0"/>
    <w:rsid w:val="3CD22555"/>
    <w:rsid w:val="3CDE6208"/>
    <w:rsid w:val="3D4A11E6"/>
    <w:rsid w:val="3D86367B"/>
    <w:rsid w:val="3DAA1165"/>
    <w:rsid w:val="3DB90276"/>
    <w:rsid w:val="3E644066"/>
    <w:rsid w:val="3F9A7199"/>
    <w:rsid w:val="3FDE45C7"/>
    <w:rsid w:val="3FFF067D"/>
    <w:rsid w:val="4016514E"/>
    <w:rsid w:val="4085109C"/>
    <w:rsid w:val="40A551BD"/>
    <w:rsid w:val="40B97C4E"/>
    <w:rsid w:val="40DD0623"/>
    <w:rsid w:val="413A5127"/>
    <w:rsid w:val="41B05D88"/>
    <w:rsid w:val="42126998"/>
    <w:rsid w:val="4222702A"/>
    <w:rsid w:val="42262F16"/>
    <w:rsid w:val="4286439C"/>
    <w:rsid w:val="42F56A3D"/>
    <w:rsid w:val="43350757"/>
    <w:rsid w:val="441C19FF"/>
    <w:rsid w:val="44676DCB"/>
    <w:rsid w:val="44B607EB"/>
    <w:rsid w:val="44C123D8"/>
    <w:rsid w:val="450A2833"/>
    <w:rsid w:val="456B4783"/>
    <w:rsid w:val="4594204C"/>
    <w:rsid w:val="461D1B52"/>
    <w:rsid w:val="461D4281"/>
    <w:rsid w:val="462F15D4"/>
    <w:rsid w:val="46382981"/>
    <w:rsid w:val="46630BE6"/>
    <w:rsid w:val="46A130D7"/>
    <w:rsid w:val="46B362F7"/>
    <w:rsid w:val="46EC0D59"/>
    <w:rsid w:val="47CF2225"/>
    <w:rsid w:val="47D31A02"/>
    <w:rsid w:val="481652EC"/>
    <w:rsid w:val="488C763A"/>
    <w:rsid w:val="48E56029"/>
    <w:rsid w:val="48E95E38"/>
    <w:rsid w:val="48FE0BB8"/>
    <w:rsid w:val="493023AB"/>
    <w:rsid w:val="49544D03"/>
    <w:rsid w:val="49932EB3"/>
    <w:rsid w:val="49B37A9F"/>
    <w:rsid w:val="49C610BE"/>
    <w:rsid w:val="49FC5FB9"/>
    <w:rsid w:val="49FE3EA7"/>
    <w:rsid w:val="4A4B7383"/>
    <w:rsid w:val="4AB1064A"/>
    <w:rsid w:val="4B5D730F"/>
    <w:rsid w:val="4BA41760"/>
    <w:rsid w:val="4BA422B1"/>
    <w:rsid w:val="4BDF6255"/>
    <w:rsid w:val="4C3545BA"/>
    <w:rsid w:val="4C7D53DD"/>
    <w:rsid w:val="4CEC2563"/>
    <w:rsid w:val="4D021EA7"/>
    <w:rsid w:val="4D915AD6"/>
    <w:rsid w:val="4D9A2275"/>
    <w:rsid w:val="4E031912"/>
    <w:rsid w:val="4E1267BE"/>
    <w:rsid w:val="4EBD692E"/>
    <w:rsid w:val="4EE00275"/>
    <w:rsid w:val="4EF455D1"/>
    <w:rsid w:val="4F786970"/>
    <w:rsid w:val="50F96AF1"/>
    <w:rsid w:val="50FA27B7"/>
    <w:rsid w:val="51433366"/>
    <w:rsid w:val="51CD6E49"/>
    <w:rsid w:val="51EF7A40"/>
    <w:rsid w:val="52B8427A"/>
    <w:rsid w:val="52BE57B4"/>
    <w:rsid w:val="5333033D"/>
    <w:rsid w:val="540256B8"/>
    <w:rsid w:val="54853A03"/>
    <w:rsid w:val="54BE4755"/>
    <w:rsid w:val="556C161A"/>
    <w:rsid w:val="55947227"/>
    <w:rsid w:val="55A43901"/>
    <w:rsid w:val="55EC4E13"/>
    <w:rsid w:val="5614466E"/>
    <w:rsid w:val="5656707D"/>
    <w:rsid w:val="567A6D11"/>
    <w:rsid w:val="56EF33D8"/>
    <w:rsid w:val="57323D27"/>
    <w:rsid w:val="57402774"/>
    <w:rsid w:val="58140F2A"/>
    <w:rsid w:val="590462C0"/>
    <w:rsid w:val="59311A39"/>
    <w:rsid w:val="59390EB0"/>
    <w:rsid w:val="593A65DF"/>
    <w:rsid w:val="59671CCA"/>
    <w:rsid w:val="596F535C"/>
    <w:rsid w:val="59C226BD"/>
    <w:rsid w:val="5A854D10"/>
    <w:rsid w:val="5B7975ED"/>
    <w:rsid w:val="5C0B3A5E"/>
    <w:rsid w:val="5C39128C"/>
    <w:rsid w:val="5C7F2045"/>
    <w:rsid w:val="5C943063"/>
    <w:rsid w:val="5D813B50"/>
    <w:rsid w:val="5E1B7F6C"/>
    <w:rsid w:val="5E823B49"/>
    <w:rsid w:val="5EA6392C"/>
    <w:rsid w:val="5F3D5B80"/>
    <w:rsid w:val="5F8131E2"/>
    <w:rsid w:val="60101E97"/>
    <w:rsid w:val="6034358B"/>
    <w:rsid w:val="607A09A5"/>
    <w:rsid w:val="60C742E9"/>
    <w:rsid w:val="612E5943"/>
    <w:rsid w:val="614C6E55"/>
    <w:rsid w:val="61CE0DA1"/>
    <w:rsid w:val="61F93B14"/>
    <w:rsid w:val="62007B63"/>
    <w:rsid w:val="62284340"/>
    <w:rsid w:val="628B10C4"/>
    <w:rsid w:val="629569CE"/>
    <w:rsid w:val="63461A8D"/>
    <w:rsid w:val="636A185B"/>
    <w:rsid w:val="63747EBF"/>
    <w:rsid w:val="648C06B4"/>
    <w:rsid w:val="64ED7E46"/>
    <w:rsid w:val="65290368"/>
    <w:rsid w:val="65BD1819"/>
    <w:rsid w:val="66E15D4B"/>
    <w:rsid w:val="66F34A87"/>
    <w:rsid w:val="676905E0"/>
    <w:rsid w:val="67FF3473"/>
    <w:rsid w:val="681F5B80"/>
    <w:rsid w:val="68347765"/>
    <w:rsid w:val="685A4E95"/>
    <w:rsid w:val="689D3C55"/>
    <w:rsid w:val="68C17741"/>
    <w:rsid w:val="68E1741B"/>
    <w:rsid w:val="695012C2"/>
    <w:rsid w:val="695D625A"/>
    <w:rsid w:val="69C30066"/>
    <w:rsid w:val="69CE78DA"/>
    <w:rsid w:val="6A0E36C1"/>
    <w:rsid w:val="6A1E51F1"/>
    <w:rsid w:val="6AC973EE"/>
    <w:rsid w:val="6B000621"/>
    <w:rsid w:val="6B310C5C"/>
    <w:rsid w:val="6B4038BF"/>
    <w:rsid w:val="6B76475A"/>
    <w:rsid w:val="6BE40434"/>
    <w:rsid w:val="6CA74FAC"/>
    <w:rsid w:val="6D0358B5"/>
    <w:rsid w:val="6D1A38F7"/>
    <w:rsid w:val="6D5C063D"/>
    <w:rsid w:val="6E91666F"/>
    <w:rsid w:val="6F2200B6"/>
    <w:rsid w:val="6F512062"/>
    <w:rsid w:val="6F541B76"/>
    <w:rsid w:val="6FB92ADE"/>
    <w:rsid w:val="6FBB1DCF"/>
    <w:rsid w:val="70A72872"/>
    <w:rsid w:val="70EC417D"/>
    <w:rsid w:val="713C1616"/>
    <w:rsid w:val="716638C4"/>
    <w:rsid w:val="71A5627F"/>
    <w:rsid w:val="71F7622F"/>
    <w:rsid w:val="720E38B7"/>
    <w:rsid w:val="721C5A2E"/>
    <w:rsid w:val="72426CA2"/>
    <w:rsid w:val="72F47B8C"/>
    <w:rsid w:val="735C36EF"/>
    <w:rsid w:val="74AF5B6B"/>
    <w:rsid w:val="74FF7EF2"/>
    <w:rsid w:val="758B2449"/>
    <w:rsid w:val="75DA6FFC"/>
    <w:rsid w:val="76322AD1"/>
    <w:rsid w:val="766E65AC"/>
    <w:rsid w:val="76C47FCE"/>
    <w:rsid w:val="76E258C8"/>
    <w:rsid w:val="7737270F"/>
    <w:rsid w:val="77706B6E"/>
    <w:rsid w:val="777F4A60"/>
    <w:rsid w:val="77C52287"/>
    <w:rsid w:val="78BE00B5"/>
    <w:rsid w:val="79177DEF"/>
    <w:rsid w:val="793739E7"/>
    <w:rsid w:val="79C30024"/>
    <w:rsid w:val="7A0B7F0B"/>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E00CF1"/>
    <w:rsid w:val="7E3F39E7"/>
    <w:rsid w:val="7E721BAB"/>
    <w:rsid w:val="7ED7732F"/>
    <w:rsid w:val="7EF53E05"/>
    <w:rsid w:val="7F75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1</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2021-11-22T13:00:00Z</cp:lastPrinted>
  <dcterms:modified xsi:type="dcterms:W3CDTF">2021-12-02T10:16:13Z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