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hint="eastAsia" w:eastAsia="宋体"/>
          <w:b/>
          <w:color w:val="auto"/>
          <w:sz w:val="24"/>
          <w:szCs w:val="24"/>
          <w:lang w:val="en-US" w:eastAsia="zh-CN"/>
        </w:rPr>
      </w:pPr>
      <w:r>
        <w:rPr>
          <w:b/>
          <w:color w:val="auto"/>
          <w:sz w:val="24"/>
          <w:szCs w:val="24"/>
        </w:rPr>
        <w:t>项目编码：</w:t>
      </w:r>
      <w:r>
        <w:rPr>
          <w:rFonts w:hint="eastAsia"/>
          <w:b/>
          <w:color w:val="auto"/>
          <w:sz w:val="24"/>
          <w:szCs w:val="24"/>
          <w:lang w:eastAsia="zh-CN"/>
        </w:rPr>
        <w:t>XJ-YLZB-2021-02</w:t>
      </w:r>
    </w:p>
    <w:p>
      <w:pPr>
        <w:autoSpaceDE w:val="0"/>
        <w:autoSpaceDN w:val="0"/>
        <w:adjustRightInd w:val="0"/>
        <w:spacing w:line="360" w:lineRule="auto"/>
        <w:jc w:val="center"/>
        <w:rPr>
          <w:rFonts w:hint="eastAsia"/>
          <w:b/>
          <w:color w:val="auto"/>
          <w:sz w:val="54"/>
          <w:szCs w:val="54"/>
          <w:lang w:eastAsia="zh-CN"/>
        </w:rPr>
      </w:pPr>
    </w:p>
    <w:p>
      <w:pPr>
        <w:autoSpaceDE w:val="0"/>
        <w:autoSpaceDN w:val="0"/>
        <w:adjustRightInd w:val="0"/>
        <w:spacing w:line="360" w:lineRule="auto"/>
        <w:jc w:val="center"/>
        <w:rPr>
          <w:rFonts w:hint="eastAsia"/>
          <w:b/>
          <w:color w:val="auto"/>
          <w:sz w:val="54"/>
          <w:szCs w:val="54"/>
          <w:lang w:eastAsia="zh-CN"/>
        </w:rPr>
      </w:pPr>
      <w:r>
        <w:rPr>
          <w:rFonts w:hint="eastAsia" w:ascii="Times New Roman" w:hAnsi="Times New Roman" w:eastAsia="宋体" w:cs="Times New Roman"/>
          <w:b/>
          <w:color w:val="auto"/>
          <w:sz w:val="54"/>
          <w:szCs w:val="54"/>
          <w:lang w:val="en-US" w:eastAsia="zh-CN"/>
        </w:rPr>
        <w:t>察布查尔县2021年天山和阿尔泰山森林草原保护项目</w:t>
      </w: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autoSpaceDE w:val="0"/>
        <w:autoSpaceDN w:val="0"/>
        <w:adjustRightInd w:val="0"/>
        <w:spacing w:line="360" w:lineRule="auto"/>
        <w:jc w:val="center"/>
        <w:rPr>
          <w:b/>
          <w:color w:val="auto"/>
          <w:sz w:val="84"/>
          <w:szCs w:val="84"/>
        </w:rPr>
      </w:pPr>
      <w:r>
        <w:rPr>
          <w:b/>
          <w:color w:val="auto"/>
          <w:sz w:val="84"/>
          <w:szCs w:val="84"/>
        </w:rPr>
        <w:t xml:space="preserve"> 招 标 文 件</w:t>
      </w:r>
    </w:p>
    <w:p>
      <w:pPr>
        <w:pStyle w:val="2"/>
        <w:ind w:left="0" w:firstLine="0"/>
        <w:rPr>
          <w:rFonts w:ascii="Times New Roman" w:hAnsi="Times New Roman"/>
          <w:color w:val="auto"/>
        </w:rPr>
      </w:pPr>
    </w:p>
    <w:p>
      <w:pPr>
        <w:pStyle w:val="2"/>
        <w:ind w:left="0" w:firstLine="0"/>
        <w:rPr>
          <w:rFonts w:ascii="Times New Roman" w:hAnsi="Times New Roman"/>
          <w:color w:val="auto"/>
        </w:rPr>
      </w:pPr>
    </w:p>
    <w:p>
      <w:pPr>
        <w:pStyle w:val="2"/>
        <w:ind w:left="0" w:firstLine="0"/>
        <w:rPr>
          <w:rFonts w:ascii="Times New Roman" w:hAnsi="Times New Roman"/>
          <w:color w:val="auto"/>
        </w:rPr>
      </w:pPr>
    </w:p>
    <w:p>
      <w:pPr>
        <w:pStyle w:val="2"/>
        <w:ind w:left="0" w:firstLine="0"/>
        <w:rPr>
          <w:rFonts w:ascii="Times New Roman" w:hAnsi="Times New Roman"/>
          <w:color w:val="auto"/>
        </w:rPr>
      </w:pPr>
    </w:p>
    <w:p>
      <w:pPr>
        <w:pStyle w:val="2"/>
        <w:ind w:left="0" w:firstLine="0"/>
        <w:rPr>
          <w:rFonts w:ascii="Times New Roman" w:hAnsi="Times New Roman"/>
          <w:color w:val="auto"/>
        </w:rPr>
      </w:pPr>
    </w:p>
    <w:p>
      <w:pPr>
        <w:pStyle w:val="2"/>
        <w:ind w:left="0" w:firstLine="0"/>
        <w:rPr>
          <w:rFonts w:ascii="Times New Roman" w:hAnsi="Times New Roman"/>
          <w:color w:val="auto"/>
        </w:rPr>
      </w:pPr>
    </w:p>
    <w:p>
      <w:pPr>
        <w:pStyle w:val="2"/>
        <w:ind w:left="0" w:firstLine="0"/>
        <w:rPr>
          <w:rFonts w:ascii="Times New Roman" w:hAnsi="Times New Roman"/>
          <w:color w:val="auto"/>
        </w:rPr>
      </w:pPr>
    </w:p>
    <w:p>
      <w:pPr>
        <w:wordWrap w:val="0"/>
        <w:autoSpaceDE w:val="0"/>
        <w:autoSpaceDN w:val="0"/>
        <w:adjustRightInd w:val="0"/>
        <w:spacing w:line="360" w:lineRule="auto"/>
        <w:ind w:firstLine="321" w:firstLineChars="100"/>
        <w:textAlignment w:val="auto"/>
        <w:rPr>
          <w:b/>
          <w:color w:val="auto"/>
          <w:sz w:val="32"/>
          <w:szCs w:val="32"/>
        </w:rPr>
      </w:pPr>
      <w:r>
        <w:rPr>
          <w:b/>
          <w:color w:val="auto"/>
          <w:sz w:val="32"/>
          <w:szCs w:val="32"/>
        </w:rPr>
        <w:t>招标人</w:t>
      </w:r>
      <w:r>
        <w:rPr>
          <w:rFonts w:ascii="Times New Roman" w:hAnsi="Times New Roman" w:eastAsia="宋体" w:cs="Times New Roman"/>
          <w:b/>
          <w:color w:val="auto"/>
          <w:sz w:val="32"/>
          <w:szCs w:val="32"/>
        </w:rPr>
        <w:t>：</w:t>
      </w:r>
      <w:r>
        <w:rPr>
          <w:rFonts w:hint="eastAsia" w:ascii="Times New Roman" w:hAnsi="Times New Roman" w:eastAsia="宋体" w:cs="Times New Roman"/>
          <w:b/>
          <w:color w:val="auto"/>
          <w:sz w:val="32"/>
          <w:szCs w:val="32"/>
          <w:lang w:val="en-US" w:eastAsia="zh-CN"/>
        </w:rPr>
        <w:t>察布查尔锡伯自治县林业和草原局</w:t>
      </w:r>
      <w:r>
        <w:rPr>
          <w:rFonts w:ascii="Times New Roman" w:hAnsi="Times New Roman" w:eastAsia="宋体" w:cs="Times New Roman"/>
          <w:b/>
          <w:color w:val="auto"/>
          <w:sz w:val="32"/>
          <w:szCs w:val="32"/>
        </w:rPr>
        <w:t xml:space="preserve">   </w:t>
      </w:r>
      <w:r>
        <w:rPr>
          <w:b/>
          <w:color w:val="auto"/>
          <w:sz w:val="32"/>
          <w:szCs w:val="32"/>
        </w:rPr>
        <w:t xml:space="preserve">      </w:t>
      </w:r>
    </w:p>
    <w:p>
      <w:pPr>
        <w:wordWrap w:val="0"/>
        <w:autoSpaceDE w:val="0"/>
        <w:autoSpaceDN w:val="0"/>
        <w:adjustRightInd w:val="0"/>
        <w:spacing w:line="360" w:lineRule="auto"/>
        <w:ind w:firstLine="321" w:firstLineChars="100"/>
        <w:textAlignment w:val="auto"/>
        <w:rPr>
          <w:b/>
          <w:color w:val="auto"/>
          <w:sz w:val="32"/>
          <w:szCs w:val="32"/>
        </w:rPr>
      </w:pPr>
      <w:r>
        <w:rPr>
          <w:b/>
          <w:color w:val="auto"/>
          <w:sz w:val="32"/>
          <w:szCs w:val="32"/>
        </w:rPr>
        <w:t>项目联系人：</w:t>
      </w:r>
      <w:r>
        <w:rPr>
          <w:rFonts w:hint="eastAsia" w:ascii="Times New Roman" w:hAnsi="Times New Roman" w:eastAsia="宋体" w:cs="Times New Roman"/>
          <w:b/>
          <w:color w:val="auto"/>
          <w:sz w:val="32"/>
          <w:szCs w:val="32"/>
          <w:lang w:val="en-US" w:eastAsia="zh-CN"/>
        </w:rPr>
        <w:t>王欢</w:t>
      </w:r>
      <w:r>
        <w:rPr>
          <w:rFonts w:ascii="Times New Roman" w:hAnsi="Times New Roman" w:eastAsia="宋体" w:cs="Times New Roman"/>
          <w:b/>
          <w:color w:val="auto"/>
          <w:sz w:val="32"/>
          <w:szCs w:val="32"/>
        </w:rPr>
        <w:t xml:space="preserve">    </w:t>
      </w:r>
      <w:r>
        <w:rPr>
          <w:b/>
          <w:color w:val="auto"/>
          <w:sz w:val="32"/>
          <w:szCs w:val="32"/>
        </w:rPr>
        <w:t xml:space="preserve">         </w:t>
      </w:r>
    </w:p>
    <w:p>
      <w:pPr>
        <w:wordWrap w:val="0"/>
        <w:autoSpaceDE w:val="0"/>
        <w:autoSpaceDN w:val="0"/>
        <w:adjustRightInd w:val="0"/>
        <w:spacing w:line="360" w:lineRule="auto"/>
        <w:ind w:firstLine="321" w:firstLineChars="100"/>
        <w:textAlignment w:val="auto"/>
        <w:rPr>
          <w:b/>
          <w:color w:val="auto"/>
          <w:sz w:val="32"/>
          <w:szCs w:val="32"/>
        </w:rPr>
      </w:pPr>
      <w:r>
        <w:rPr>
          <w:b/>
          <w:color w:val="auto"/>
          <w:sz w:val="32"/>
          <w:szCs w:val="32"/>
        </w:rPr>
        <w:t>联系电话：</w:t>
      </w:r>
      <w:r>
        <w:rPr>
          <w:rFonts w:hint="eastAsia" w:cs="Times New Roman"/>
          <w:b/>
          <w:color w:val="auto"/>
          <w:sz w:val="32"/>
          <w:szCs w:val="32"/>
          <w:lang w:eastAsia="zh-CN"/>
        </w:rPr>
        <w:t>18293340612</w:t>
      </w:r>
      <w:r>
        <w:rPr>
          <w:rFonts w:ascii="Times New Roman" w:hAnsi="Times New Roman" w:eastAsia="宋体" w:cs="Times New Roman"/>
          <w:b/>
          <w:color w:val="auto"/>
          <w:sz w:val="32"/>
          <w:szCs w:val="32"/>
        </w:rPr>
        <w:t xml:space="preserve">    </w:t>
      </w:r>
      <w:r>
        <w:rPr>
          <w:b/>
          <w:color w:val="auto"/>
          <w:sz w:val="32"/>
          <w:szCs w:val="32"/>
        </w:rPr>
        <w:t xml:space="preserve">   </w:t>
      </w:r>
    </w:p>
    <w:p>
      <w:pPr>
        <w:wordWrap w:val="0"/>
        <w:autoSpaceDE w:val="0"/>
        <w:autoSpaceDN w:val="0"/>
        <w:adjustRightInd w:val="0"/>
        <w:spacing w:line="360" w:lineRule="auto"/>
        <w:ind w:firstLine="321" w:firstLineChars="100"/>
        <w:textAlignment w:val="auto"/>
        <w:rPr>
          <w:b/>
          <w:color w:val="auto"/>
          <w:sz w:val="32"/>
          <w:szCs w:val="32"/>
        </w:rPr>
      </w:pPr>
      <w:r>
        <w:rPr>
          <w:b/>
          <w:color w:val="auto"/>
          <w:sz w:val="32"/>
          <w:szCs w:val="32"/>
        </w:rPr>
        <w:t>招标代理机构：</w:t>
      </w:r>
      <w:r>
        <w:rPr>
          <w:rFonts w:hint="eastAsia"/>
          <w:b/>
          <w:color w:val="auto"/>
          <w:sz w:val="32"/>
          <w:szCs w:val="32"/>
          <w:lang w:eastAsia="zh-CN"/>
        </w:rPr>
        <w:t>新疆宇励设计有限公司</w:t>
      </w:r>
      <w:r>
        <w:rPr>
          <w:b/>
          <w:color w:val="auto"/>
          <w:sz w:val="32"/>
          <w:szCs w:val="32"/>
        </w:rPr>
        <w:t xml:space="preserve">   </w:t>
      </w:r>
    </w:p>
    <w:p>
      <w:pPr>
        <w:wordWrap w:val="0"/>
        <w:autoSpaceDE w:val="0"/>
        <w:autoSpaceDN w:val="0"/>
        <w:adjustRightInd w:val="0"/>
        <w:spacing w:line="360" w:lineRule="auto"/>
        <w:ind w:firstLine="321" w:firstLineChars="100"/>
        <w:textAlignment w:val="auto"/>
        <w:rPr>
          <w:b/>
          <w:color w:val="auto"/>
          <w:sz w:val="32"/>
          <w:szCs w:val="32"/>
        </w:rPr>
      </w:pPr>
      <w:r>
        <w:rPr>
          <w:b/>
          <w:color w:val="auto"/>
          <w:sz w:val="32"/>
          <w:szCs w:val="32"/>
        </w:rPr>
        <w:t>项目联系人：</w:t>
      </w:r>
      <w:r>
        <w:rPr>
          <w:rFonts w:hint="eastAsia"/>
          <w:b/>
          <w:color w:val="auto"/>
          <w:sz w:val="32"/>
          <w:szCs w:val="32"/>
          <w:lang w:eastAsia="zh-CN"/>
        </w:rPr>
        <w:t>邱一涛</w:t>
      </w:r>
      <w:r>
        <w:rPr>
          <w:b/>
          <w:color w:val="auto"/>
          <w:sz w:val="32"/>
          <w:szCs w:val="32"/>
        </w:rPr>
        <w:t xml:space="preserve">             </w:t>
      </w:r>
    </w:p>
    <w:p>
      <w:pPr>
        <w:wordWrap w:val="0"/>
        <w:autoSpaceDE w:val="0"/>
        <w:autoSpaceDN w:val="0"/>
        <w:adjustRightInd w:val="0"/>
        <w:spacing w:line="360" w:lineRule="auto"/>
        <w:ind w:firstLine="321" w:firstLineChars="100"/>
        <w:textAlignment w:val="auto"/>
        <w:rPr>
          <w:color w:val="auto"/>
          <w:sz w:val="32"/>
          <w:szCs w:val="32"/>
        </w:rPr>
      </w:pPr>
      <w:r>
        <w:rPr>
          <w:b/>
          <w:color w:val="auto"/>
          <w:sz w:val="32"/>
          <w:szCs w:val="32"/>
        </w:rPr>
        <w:t>联系电话</w:t>
      </w:r>
      <w:r>
        <w:rPr>
          <w:rFonts w:hint="eastAsia"/>
          <w:b/>
          <w:color w:val="auto"/>
          <w:sz w:val="32"/>
          <w:szCs w:val="32"/>
          <w:lang w:eastAsia="zh-CN"/>
        </w:rPr>
        <w:t>：</w:t>
      </w:r>
      <w:r>
        <w:rPr>
          <w:rFonts w:hint="eastAsia"/>
          <w:b/>
          <w:color w:val="auto"/>
          <w:sz w:val="32"/>
          <w:szCs w:val="32"/>
          <w:lang w:val="en-US" w:eastAsia="zh-CN"/>
        </w:rPr>
        <w:t>18093357862</w:t>
      </w:r>
      <w:r>
        <w:rPr>
          <w:color w:val="auto"/>
          <w:sz w:val="32"/>
          <w:szCs w:val="32"/>
        </w:rPr>
        <w:t xml:space="preserve"> </w:t>
      </w:r>
      <w:r>
        <w:rPr>
          <w:rFonts w:hint="eastAsia"/>
          <w:color w:val="auto"/>
          <w:sz w:val="32"/>
          <w:szCs w:val="32"/>
          <w:lang w:val="en-US" w:eastAsia="zh-CN"/>
        </w:rPr>
        <w:t xml:space="preserve"> </w:t>
      </w:r>
      <w:r>
        <w:rPr>
          <w:rFonts w:hint="eastAsia"/>
          <w:b/>
          <w:color w:val="auto"/>
          <w:sz w:val="32"/>
          <w:szCs w:val="32"/>
          <w:lang w:val="en-US" w:eastAsia="zh-CN"/>
        </w:rPr>
        <w:t>15292617210</w:t>
      </w:r>
    </w:p>
    <w:p>
      <w:pPr>
        <w:wordWrap w:val="0"/>
        <w:autoSpaceDE w:val="0"/>
        <w:autoSpaceDN w:val="0"/>
        <w:adjustRightInd w:val="0"/>
        <w:spacing w:line="360" w:lineRule="auto"/>
        <w:ind w:firstLine="320" w:firstLineChars="100"/>
        <w:textAlignment w:val="auto"/>
        <w:rPr>
          <w:color w:val="auto"/>
          <w:sz w:val="32"/>
          <w:szCs w:val="32"/>
        </w:rPr>
      </w:pPr>
      <w:r>
        <w:rPr>
          <w:color w:val="auto"/>
          <w:sz w:val="32"/>
          <w:szCs w:val="32"/>
        </w:rPr>
        <w:t xml:space="preserve">             </w:t>
      </w:r>
    </w:p>
    <w:p>
      <w:pPr>
        <w:wordWrap w:val="0"/>
        <w:autoSpaceDE w:val="0"/>
        <w:autoSpaceDN w:val="0"/>
        <w:adjustRightInd w:val="0"/>
        <w:spacing w:line="360" w:lineRule="auto"/>
        <w:jc w:val="center"/>
        <w:textAlignment w:val="auto"/>
        <w:rPr>
          <w:color w:val="auto"/>
          <w:sz w:val="32"/>
          <w:szCs w:val="32"/>
          <w:u w:val="thick"/>
        </w:rPr>
      </w:pPr>
      <w:r>
        <w:rPr>
          <w:b/>
          <w:color w:val="auto"/>
          <w:sz w:val="32"/>
          <w:szCs w:val="32"/>
        </w:rPr>
        <w:t>二〇二一年</w:t>
      </w:r>
      <w:r>
        <w:rPr>
          <w:rFonts w:hint="eastAsia"/>
          <w:b/>
          <w:color w:val="auto"/>
          <w:sz w:val="32"/>
          <w:szCs w:val="32"/>
          <w:lang w:eastAsia="zh-CN"/>
        </w:rPr>
        <w:t>十一</w:t>
      </w:r>
      <w:r>
        <w:rPr>
          <w:b/>
          <w:color w:val="auto"/>
          <w:sz w:val="32"/>
          <w:szCs w:val="32"/>
        </w:rPr>
        <w:t>月</w:t>
      </w:r>
    </w:p>
    <w:p>
      <w:pPr>
        <w:spacing w:line="360" w:lineRule="auto"/>
        <w:jc w:val="center"/>
        <w:rPr>
          <w:b/>
          <w:color w:val="auto"/>
          <w:sz w:val="36"/>
        </w:rPr>
        <w:sectPr>
          <w:head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0" w:num="1"/>
          <w:docGrid w:linePitch="312" w:charSpace="0"/>
        </w:sectPr>
      </w:pPr>
    </w:p>
    <w:p>
      <w:pPr>
        <w:spacing w:line="360" w:lineRule="auto"/>
        <w:jc w:val="center"/>
        <w:rPr>
          <w:b/>
          <w:color w:val="auto"/>
          <w:sz w:val="36"/>
        </w:rPr>
      </w:pPr>
      <w:r>
        <w:rPr>
          <w:b/>
          <w:color w:val="auto"/>
          <w:sz w:val="36"/>
        </w:rPr>
        <w:t>目  录</w:t>
      </w:r>
    </w:p>
    <w:p>
      <w:pPr>
        <w:spacing w:line="360" w:lineRule="auto"/>
        <w:ind w:firstLine="3607" w:firstLineChars="998"/>
        <w:rPr>
          <w:b/>
          <w:color w:val="auto"/>
          <w:sz w:val="36"/>
          <w:u w:val="single"/>
        </w:rPr>
      </w:pPr>
    </w:p>
    <w:p>
      <w:pPr>
        <w:pStyle w:val="23"/>
        <w:tabs>
          <w:tab w:val="right" w:leader="dot" w:pos="9558"/>
        </w:tabs>
        <w:spacing w:line="360" w:lineRule="auto"/>
        <w:rPr>
          <w:color w:val="auto"/>
        </w:rPr>
      </w:pPr>
      <w:r>
        <w:rPr>
          <w:color w:val="auto"/>
          <w:szCs w:val="21"/>
          <w:u w:val="single"/>
        </w:rPr>
        <w:fldChar w:fldCharType="begin"/>
      </w:r>
      <w:r>
        <w:rPr>
          <w:color w:val="auto"/>
          <w:szCs w:val="21"/>
          <w:u w:val="single"/>
        </w:rPr>
        <w:instrText xml:space="preserve"> TOC \o "1-3" \h \z \u </w:instrText>
      </w:r>
      <w:r>
        <w:rPr>
          <w:color w:val="auto"/>
          <w:szCs w:val="21"/>
          <w:u w:val="single"/>
        </w:rPr>
        <w:fldChar w:fldCharType="separate"/>
      </w:r>
      <w:r>
        <w:rPr>
          <w:color w:val="auto"/>
        </w:rPr>
        <w:fldChar w:fldCharType="begin"/>
      </w:r>
      <w:r>
        <w:rPr>
          <w:color w:val="auto"/>
        </w:rPr>
        <w:instrText xml:space="preserve"> HYPERLINK \l "_Toc8301" </w:instrText>
      </w:r>
      <w:r>
        <w:rPr>
          <w:color w:val="auto"/>
        </w:rPr>
        <w:fldChar w:fldCharType="separate"/>
      </w:r>
      <w:r>
        <w:rPr>
          <w:bCs/>
          <w:color w:val="auto"/>
          <w:szCs w:val="32"/>
        </w:rPr>
        <w:t>第一章 招标公告</w:t>
      </w:r>
      <w:r>
        <w:rPr>
          <w:color w:val="auto"/>
        </w:rPr>
        <w:tab/>
      </w:r>
      <w:r>
        <w:rPr>
          <w:color w:val="auto"/>
        </w:rPr>
        <w:t>1</w:t>
      </w:r>
      <w:r>
        <w:rPr>
          <w:color w:val="auto"/>
        </w:rPr>
        <w:fldChar w:fldCharType="end"/>
      </w:r>
    </w:p>
    <w:p>
      <w:pPr>
        <w:pStyle w:val="23"/>
        <w:tabs>
          <w:tab w:val="right" w:leader="dot" w:pos="9558"/>
        </w:tabs>
        <w:spacing w:line="360" w:lineRule="auto"/>
        <w:rPr>
          <w:color w:val="auto"/>
        </w:rPr>
      </w:pPr>
      <w:r>
        <w:rPr>
          <w:color w:val="auto"/>
        </w:rPr>
        <w:fldChar w:fldCharType="begin"/>
      </w:r>
      <w:r>
        <w:rPr>
          <w:color w:val="auto"/>
        </w:rPr>
        <w:instrText xml:space="preserve"> HYPERLINK \l "_Toc28467" </w:instrText>
      </w:r>
      <w:r>
        <w:rPr>
          <w:color w:val="auto"/>
        </w:rPr>
        <w:fldChar w:fldCharType="separate"/>
      </w:r>
      <w:r>
        <w:rPr>
          <w:color w:val="auto"/>
          <w:szCs w:val="32"/>
        </w:rPr>
        <w:t>第二章 投标人须知</w:t>
      </w:r>
      <w:r>
        <w:rPr>
          <w:color w:val="auto"/>
        </w:rPr>
        <w:tab/>
      </w:r>
      <w:r>
        <w:rPr>
          <w:rFonts w:hint="eastAsia"/>
          <w:color w:val="auto"/>
          <w:lang w:val="en-US" w:eastAsia="zh-CN"/>
        </w:rPr>
        <w:t>5</w:t>
      </w:r>
      <w:r>
        <w:rPr>
          <w:rFonts w:hint="eastAsia"/>
          <w:color w:val="auto"/>
        </w:rPr>
        <w:fldChar w:fldCharType="end"/>
      </w:r>
    </w:p>
    <w:p>
      <w:pPr>
        <w:pStyle w:val="25"/>
        <w:tabs>
          <w:tab w:val="right" w:leader="dot" w:pos="9558"/>
        </w:tabs>
        <w:spacing w:line="360" w:lineRule="auto"/>
        <w:rPr>
          <w:color w:val="auto"/>
        </w:rPr>
      </w:pPr>
      <w:r>
        <w:rPr>
          <w:color w:val="auto"/>
        </w:rPr>
        <w:fldChar w:fldCharType="begin"/>
      </w:r>
      <w:r>
        <w:rPr>
          <w:color w:val="auto"/>
        </w:rPr>
        <w:instrText xml:space="preserve"> HYPERLINK \l "_Toc16335" </w:instrText>
      </w:r>
      <w:r>
        <w:rPr>
          <w:color w:val="auto"/>
        </w:rPr>
        <w:fldChar w:fldCharType="separate"/>
      </w:r>
      <w:r>
        <w:rPr>
          <w:color w:val="auto"/>
          <w:szCs w:val="32"/>
        </w:rPr>
        <w:t>一、</w:t>
      </w:r>
      <w:r>
        <w:rPr>
          <w:color w:val="auto"/>
          <w:szCs w:val="28"/>
        </w:rPr>
        <w:t>投标人须知前附表</w:t>
      </w:r>
      <w:r>
        <w:rPr>
          <w:color w:val="auto"/>
        </w:rPr>
        <w:tab/>
      </w:r>
      <w:r>
        <w:rPr>
          <w:rFonts w:hint="eastAsia"/>
          <w:color w:val="auto"/>
          <w:lang w:val="en-US" w:eastAsia="zh-CN"/>
        </w:rPr>
        <w:t>5</w:t>
      </w:r>
      <w:r>
        <w:rPr>
          <w:rFonts w:hint="eastAsia"/>
          <w:color w:val="auto"/>
        </w:rPr>
        <w:fldChar w:fldCharType="end"/>
      </w:r>
    </w:p>
    <w:p>
      <w:pPr>
        <w:pStyle w:val="25"/>
        <w:tabs>
          <w:tab w:val="right" w:leader="dot" w:pos="9558"/>
        </w:tabs>
        <w:spacing w:line="360" w:lineRule="auto"/>
        <w:rPr>
          <w:rFonts w:hint="eastAsia" w:eastAsia="宋体"/>
          <w:color w:val="auto"/>
          <w:lang w:val="en-US" w:eastAsia="zh-CN"/>
        </w:rPr>
      </w:pPr>
      <w:r>
        <w:rPr>
          <w:color w:val="auto"/>
        </w:rPr>
        <w:fldChar w:fldCharType="begin"/>
      </w:r>
      <w:r>
        <w:rPr>
          <w:color w:val="auto"/>
        </w:rPr>
        <w:instrText xml:space="preserve"> HYPERLINK \l "_Toc16929" </w:instrText>
      </w:r>
      <w:r>
        <w:rPr>
          <w:color w:val="auto"/>
        </w:rPr>
        <w:fldChar w:fldCharType="separate"/>
      </w:r>
      <w:r>
        <w:rPr>
          <w:color w:val="auto"/>
          <w:szCs w:val="32"/>
        </w:rPr>
        <w:t>二、投标人须知</w:t>
      </w:r>
      <w:r>
        <w:rPr>
          <w:color w:val="auto"/>
        </w:rPr>
        <w:tab/>
      </w:r>
      <w:r>
        <w:rPr>
          <w:rFonts w:hint="eastAsia"/>
          <w:color w:val="auto"/>
        </w:rPr>
        <w:fldChar w:fldCharType="end"/>
      </w:r>
      <w:r>
        <w:rPr>
          <w:rFonts w:hint="eastAsia"/>
          <w:color w:val="auto"/>
          <w:lang w:val="en-US" w:eastAsia="zh-CN"/>
        </w:rPr>
        <w:t>9</w:t>
      </w:r>
    </w:p>
    <w:p>
      <w:pPr>
        <w:pStyle w:val="23"/>
        <w:tabs>
          <w:tab w:val="right" w:leader="dot" w:pos="9558"/>
        </w:tabs>
        <w:spacing w:line="360" w:lineRule="auto"/>
        <w:rPr>
          <w:rFonts w:hint="eastAsia" w:eastAsia="宋体"/>
          <w:color w:val="auto"/>
          <w:lang w:val="en-US" w:eastAsia="zh-CN"/>
        </w:rPr>
      </w:pPr>
      <w:r>
        <w:rPr>
          <w:color w:val="auto"/>
        </w:rPr>
        <w:fldChar w:fldCharType="begin"/>
      </w:r>
      <w:r>
        <w:rPr>
          <w:color w:val="auto"/>
        </w:rPr>
        <w:instrText xml:space="preserve"> HYPERLINK \l "_Toc25803" </w:instrText>
      </w:r>
      <w:r>
        <w:rPr>
          <w:color w:val="auto"/>
        </w:rPr>
        <w:fldChar w:fldCharType="separate"/>
      </w:r>
      <w:r>
        <w:rPr>
          <w:color w:val="auto"/>
          <w:szCs w:val="32"/>
        </w:rPr>
        <w:t>第三章  评标办法</w:t>
      </w:r>
      <w:r>
        <w:rPr>
          <w:color w:val="auto"/>
        </w:rPr>
        <w:tab/>
      </w:r>
      <w:r>
        <w:rPr>
          <w:rFonts w:hint="eastAsia"/>
          <w:color w:val="auto"/>
          <w:lang w:val="en-US" w:eastAsia="zh-CN"/>
        </w:rPr>
        <w:t>2</w:t>
      </w:r>
      <w:r>
        <w:rPr>
          <w:rFonts w:hint="eastAsia"/>
          <w:color w:val="auto"/>
        </w:rPr>
        <w:fldChar w:fldCharType="end"/>
      </w:r>
      <w:r>
        <w:rPr>
          <w:rFonts w:hint="eastAsia"/>
          <w:color w:val="auto"/>
          <w:lang w:val="en-US" w:eastAsia="zh-CN"/>
        </w:rPr>
        <w:t>2</w:t>
      </w:r>
    </w:p>
    <w:p>
      <w:pPr>
        <w:pStyle w:val="25"/>
        <w:tabs>
          <w:tab w:val="right" w:leader="dot" w:pos="9558"/>
        </w:tabs>
        <w:spacing w:line="360" w:lineRule="auto"/>
        <w:rPr>
          <w:rFonts w:hint="eastAsia" w:eastAsia="宋体"/>
          <w:color w:val="auto"/>
          <w:lang w:eastAsia="zh-CN"/>
        </w:rPr>
      </w:pPr>
      <w:r>
        <w:rPr>
          <w:color w:val="auto"/>
        </w:rPr>
        <w:fldChar w:fldCharType="begin"/>
      </w:r>
      <w:r>
        <w:rPr>
          <w:color w:val="auto"/>
        </w:rPr>
        <w:instrText xml:space="preserve"> HYPERLINK \l "_Toc14894" </w:instrText>
      </w:r>
      <w:r>
        <w:rPr>
          <w:color w:val="auto"/>
        </w:rPr>
        <w:fldChar w:fldCharType="separate"/>
      </w:r>
      <w:r>
        <w:rPr>
          <w:color w:val="auto"/>
          <w:szCs w:val="22"/>
        </w:rPr>
        <w:t>一 、总则</w:t>
      </w:r>
      <w:r>
        <w:rPr>
          <w:color w:val="auto"/>
          <w:szCs w:val="22"/>
        </w:rPr>
        <w:tab/>
      </w:r>
      <w:r>
        <w:rPr>
          <w:rFonts w:hint="eastAsia"/>
          <w:color w:val="auto"/>
          <w:szCs w:val="22"/>
        </w:rPr>
        <w:t>2</w:t>
      </w:r>
      <w:r>
        <w:rPr>
          <w:rFonts w:hint="eastAsia"/>
          <w:color w:val="auto"/>
          <w:szCs w:val="22"/>
        </w:rPr>
        <w:fldChar w:fldCharType="end"/>
      </w:r>
      <w:r>
        <w:rPr>
          <w:rFonts w:hint="eastAsia"/>
          <w:color w:val="auto"/>
          <w:szCs w:val="22"/>
          <w:lang w:val="en-US" w:eastAsia="zh-CN"/>
        </w:rPr>
        <w:t>2</w:t>
      </w:r>
    </w:p>
    <w:p>
      <w:pPr>
        <w:pStyle w:val="25"/>
        <w:tabs>
          <w:tab w:val="right" w:leader="dot" w:pos="9558"/>
        </w:tabs>
        <w:spacing w:line="360" w:lineRule="auto"/>
        <w:rPr>
          <w:rFonts w:hint="eastAsia" w:eastAsia="宋体"/>
          <w:color w:val="auto"/>
          <w:szCs w:val="22"/>
          <w:lang w:eastAsia="zh-CN"/>
        </w:rPr>
      </w:pPr>
      <w:r>
        <w:rPr>
          <w:color w:val="auto"/>
        </w:rPr>
        <w:fldChar w:fldCharType="begin"/>
      </w:r>
      <w:r>
        <w:rPr>
          <w:color w:val="auto"/>
        </w:rPr>
        <w:instrText xml:space="preserve"> HYPERLINK \l "_Toc20943" </w:instrText>
      </w:r>
      <w:r>
        <w:rPr>
          <w:color w:val="auto"/>
        </w:rPr>
        <w:fldChar w:fldCharType="separate"/>
      </w:r>
      <w:r>
        <w:rPr>
          <w:color w:val="auto"/>
          <w:szCs w:val="22"/>
        </w:rPr>
        <w:t>二 、投标文件初审</w:t>
      </w:r>
      <w:r>
        <w:rPr>
          <w:color w:val="auto"/>
          <w:szCs w:val="22"/>
        </w:rPr>
        <w:tab/>
      </w:r>
      <w:r>
        <w:rPr>
          <w:rFonts w:hint="eastAsia"/>
          <w:color w:val="auto"/>
          <w:szCs w:val="22"/>
        </w:rPr>
        <w:t>2</w:t>
      </w:r>
      <w:r>
        <w:rPr>
          <w:rFonts w:hint="eastAsia"/>
          <w:color w:val="auto"/>
          <w:szCs w:val="22"/>
        </w:rPr>
        <w:fldChar w:fldCharType="end"/>
      </w:r>
      <w:r>
        <w:rPr>
          <w:rFonts w:hint="eastAsia"/>
          <w:color w:val="auto"/>
          <w:szCs w:val="22"/>
          <w:lang w:val="en-US" w:eastAsia="zh-CN"/>
        </w:rPr>
        <w:t>2</w:t>
      </w:r>
    </w:p>
    <w:p>
      <w:pPr>
        <w:pStyle w:val="25"/>
        <w:tabs>
          <w:tab w:val="right" w:leader="dot" w:pos="9558"/>
        </w:tabs>
        <w:spacing w:line="360" w:lineRule="auto"/>
        <w:rPr>
          <w:rFonts w:hint="eastAsia" w:eastAsia="宋体"/>
          <w:color w:val="auto"/>
          <w:szCs w:val="22"/>
          <w:lang w:eastAsia="zh-CN"/>
        </w:rPr>
      </w:pPr>
      <w:r>
        <w:rPr>
          <w:color w:val="auto"/>
        </w:rPr>
        <w:fldChar w:fldCharType="begin"/>
      </w:r>
      <w:r>
        <w:rPr>
          <w:color w:val="auto"/>
        </w:rPr>
        <w:instrText xml:space="preserve"> HYPERLINK \l "_Toc16831" </w:instrText>
      </w:r>
      <w:r>
        <w:rPr>
          <w:color w:val="auto"/>
        </w:rPr>
        <w:fldChar w:fldCharType="separate"/>
      </w:r>
      <w:r>
        <w:rPr>
          <w:color w:val="auto"/>
          <w:szCs w:val="22"/>
        </w:rPr>
        <w:t>三 、投标文件的澄清和补正</w:t>
      </w:r>
      <w:r>
        <w:rPr>
          <w:color w:val="auto"/>
          <w:szCs w:val="22"/>
        </w:rPr>
        <w:tab/>
      </w:r>
      <w:r>
        <w:rPr>
          <w:color w:val="auto"/>
          <w:szCs w:val="22"/>
        </w:rPr>
        <w:t>2</w:t>
      </w:r>
      <w:r>
        <w:rPr>
          <w:color w:val="auto"/>
          <w:szCs w:val="22"/>
        </w:rPr>
        <w:fldChar w:fldCharType="end"/>
      </w:r>
      <w:r>
        <w:rPr>
          <w:rFonts w:hint="eastAsia"/>
          <w:color w:val="auto"/>
          <w:szCs w:val="22"/>
          <w:lang w:val="en-US" w:eastAsia="zh-CN"/>
        </w:rPr>
        <w:t>3</w:t>
      </w:r>
    </w:p>
    <w:p>
      <w:pPr>
        <w:pStyle w:val="25"/>
        <w:tabs>
          <w:tab w:val="right" w:leader="dot" w:pos="9558"/>
        </w:tabs>
        <w:spacing w:line="360" w:lineRule="auto"/>
        <w:rPr>
          <w:rFonts w:hint="eastAsia" w:eastAsia="宋体"/>
          <w:color w:val="auto"/>
          <w:szCs w:val="22"/>
          <w:lang w:eastAsia="zh-CN"/>
        </w:rPr>
      </w:pPr>
      <w:r>
        <w:rPr>
          <w:color w:val="auto"/>
        </w:rPr>
        <w:fldChar w:fldCharType="begin"/>
      </w:r>
      <w:r>
        <w:rPr>
          <w:color w:val="auto"/>
        </w:rPr>
        <w:instrText xml:space="preserve"> HYPERLINK \l "_Toc4840" </w:instrText>
      </w:r>
      <w:r>
        <w:rPr>
          <w:color w:val="auto"/>
        </w:rPr>
        <w:fldChar w:fldCharType="separate"/>
      </w:r>
      <w:r>
        <w:rPr>
          <w:color w:val="auto"/>
          <w:szCs w:val="22"/>
        </w:rPr>
        <w:t>四、 比较与评价</w:t>
      </w:r>
      <w:r>
        <w:rPr>
          <w:color w:val="auto"/>
          <w:szCs w:val="22"/>
        </w:rPr>
        <w:tab/>
      </w:r>
      <w:r>
        <w:rPr>
          <w:color w:val="auto"/>
          <w:szCs w:val="22"/>
        </w:rPr>
        <w:t>2</w:t>
      </w:r>
      <w:r>
        <w:rPr>
          <w:color w:val="auto"/>
          <w:szCs w:val="22"/>
        </w:rPr>
        <w:fldChar w:fldCharType="end"/>
      </w:r>
      <w:r>
        <w:rPr>
          <w:rFonts w:hint="eastAsia"/>
          <w:color w:val="auto"/>
          <w:szCs w:val="22"/>
          <w:lang w:val="en-US" w:eastAsia="zh-CN"/>
        </w:rPr>
        <w:t>3</w:t>
      </w:r>
    </w:p>
    <w:p>
      <w:pPr>
        <w:pStyle w:val="25"/>
        <w:tabs>
          <w:tab w:val="right" w:leader="dot" w:pos="9558"/>
        </w:tabs>
        <w:spacing w:line="360" w:lineRule="auto"/>
        <w:rPr>
          <w:rFonts w:hint="eastAsia"/>
          <w:b/>
          <w:color w:val="auto"/>
          <w:sz w:val="24"/>
          <w:szCs w:val="24"/>
          <w:lang w:val="en-US" w:eastAsia="zh-CN"/>
        </w:rPr>
      </w:pPr>
      <w:r>
        <w:rPr>
          <w:color w:val="auto"/>
        </w:rPr>
        <w:fldChar w:fldCharType="begin"/>
      </w:r>
      <w:r>
        <w:rPr>
          <w:color w:val="auto"/>
        </w:rPr>
        <w:instrText xml:space="preserve"> HYPERLINK \l "_Toc11316" </w:instrText>
      </w:r>
      <w:r>
        <w:rPr>
          <w:color w:val="auto"/>
        </w:rPr>
        <w:fldChar w:fldCharType="separate"/>
      </w:r>
      <w:r>
        <w:rPr>
          <w:color w:val="auto"/>
          <w:szCs w:val="22"/>
        </w:rPr>
        <w:t>五 、推荐中标候选人</w:t>
      </w:r>
      <w:r>
        <w:rPr>
          <w:color w:val="auto"/>
          <w:szCs w:val="22"/>
        </w:rPr>
        <w:tab/>
      </w:r>
      <w:r>
        <w:rPr>
          <w:color w:val="auto"/>
          <w:szCs w:val="22"/>
        </w:rPr>
        <w:t>2</w:t>
      </w:r>
      <w:r>
        <w:rPr>
          <w:color w:val="auto"/>
          <w:szCs w:val="22"/>
        </w:rPr>
        <w:fldChar w:fldCharType="end"/>
      </w:r>
      <w:r>
        <w:rPr>
          <w:rFonts w:hint="eastAsia"/>
          <w:color w:val="auto"/>
          <w:szCs w:val="22"/>
          <w:lang w:val="en-US" w:eastAsia="zh-CN"/>
        </w:rPr>
        <w:t>7</w:t>
      </w:r>
    </w:p>
    <w:p>
      <w:pPr>
        <w:pStyle w:val="25"/>
        <w:tabs>
          <w:tab w:val="right" w:leader="dot" w:pos="9558"/>
        </w:tabs>
        <w:spacing w:line="360" w:lineRule="auto"/>
        <w:rPr>
          <w:rFonts w:hint="eastAsia"/>
          <w:color w:val="auto"/>
          <w:lang w:eastAsia="zh-CN"/>
        </w:rPr>
      </w:pPr>
      <w:r>
        <w:rPr>
          <w:color w:val="auto"/>
        </w:rPr>
        <w:fldChar w:fldCharType="begin"/>
      </w:r>
      <w:r>
        <w:rPr>
          <w:color w:val="auto"/>
        </w:rPr>
        <w:instrText xml:space="preserve"> HYPERLINK \l "_Toc11316" </w:instrText>
      </w:r>
      <w:r>
        <w:rPr>
          <w:color w:val="auto"/>
        </w:rPr>
        <w:fldChar w:fldCharType="separate"/>
      </w:r>
      <w:r>
        <w:rPr>
          <w:rFonts w:hint="eastAsia"/>
          <w:color w:val="auto"/>
          <w:lang w:val="en-US" w:eastAsia="zh-CN"/>
        </w:rPr>
        <w:t>六</w:t>
      </w:r>
      <w:r>
        <w:rPr>
          <w:color w:val="auto"/>
          <w:szCs w:val="22"/>
        </w:rPr>
        <w:t xml:space="preserve"> 、</w:t>
      </w:r>
      <w:r>
        <w:rPr>
          <w:rFonts w:hint="eastAsia"/>
          <w:color w:val="auto"/>
          <w:szCs w:val="22"/>
          <w:lang w:val="en-US" w:eastAsia="zh-CN"/>
        </w:rPr>
        <w:t>无效条款</w:t>
      </w:r>
      <w:r>
        <w:rPr>
          <w:color w:val="auto"/>
          <w:szCs w:val="22"/>
        </w:rPr>
        <w:tab/>
      </w:r>
      <w:r>
        <w:rPr>
          <w:color w:val="auto"/>
          <w:szCs w:val="22"/>
        </w:rPr>
        <w:t>2</w:t>
      </w:r>
      <w:r>
        <w:rPr>
          <w:color w:val="auto"/>
          <w:szCs w:val="22"/>
        </w:rPr>
        <w:fldChar w:fldCharType="end"/>
      </w:r>
      <w:r>
        <w:rPr>
          <w:rFonts w:hint="eastAsia"/>
          <w:color w:val="auto"/>
          <w:szCs w:val="22"/>
          <w:lang w:val="en-US" w:eastAsia="zh-CN"/>
        </w:rPr>
        <w:t>7</w:t>
      </w:r>
    </w:p>
    <w:p>
      <w:pPr>
        <w:pStyle w:val="23"/>
        <w:tabs>
          <w:tab w:val="right" w:leader="dot" w:pos="9558"/>
        </w:tabs>
        <w:spacing w:line="360" w:lineRule="auto"/>
        <w:rPr>
          <w:rFonts w:hint="eastAsia" w:eastAsia="宋体"/>
          <w:color w:val="auto"/>
          <w:szCs w:val="22"/>
          <w:lang w:val="en-US" w:eastAsia="zh-CN"/>
        </w:rPr>
      </w:pPr>
      <w:r>
        <w:rPr>
          <w:color w:val="auto"/>
        </w:rPr>
        <w:fldChar w:fldCharType="begin"/>
      </w:r>
      <w:r>
        <w:rPr>
          <w:color w:val="auto"/>
        </w:rPr>
        <w:instrText xml:space="preserve"> HYPERLINK \l "_Toc10986" </w:instrText>
      </w:r>
      <w:r>
        <w:rPr>
          <w:color w:val="auto"/>
        </w:rPr>
        <w:fldChar w:fldCharType="separate"/>
      </w:r>
      <w:r>
        <w:rPr>
          <w:color w:val="auto"/>
          <w:szCs w:val="22"/>
        </w:rPr>
        <w:t>第四章 采购清单</w:t>
      </w:r>
      <w:r>
        <w:rPr>
          <w:color w:val="auto"/>
          <w:szCs w:val="22"/>
        </w:rPr>
        <w:tab/>
      </w:r>
      <w:r>
        <w:rPr>
          <w:rFonts w:hint="eastAsia"/>
          <w:color w:val="auto"/>
          <w:szCs w:val="22"/>
          <w:lang w:val="en-US" w:eastAsia="zh-CN"/>
        </w:rPr>
        <w:t>2</w:t>
      </w:r>
      <w:r>
        <w:rPr>
          <w:color w:val="auto"/>
          <w:szCs w:val="22"/>
        </w:rPr>
        <w:fldChar w:fldCharType="end"/>
      </w:r>
      <w:r>
        <w:rPr>
          <w:rFonts w:hint="eastAsia"/>
          <w:color w:val="auto"/>
          <w:szCs w:val="22"/>
          <w:lang w:val="en-US" w:eastAsia="zh-CN"/>
        </w:rPr>
        <w:t>9</w:t>
      </w:r>
    </w:p>
    <w:p>
      <w:pPr>
        <w:pStyle w:val="23"/>
        <w:tabs>
          <w:tab w:val="right" w:leader="dot" w:pos="9558"/>
        </w:tabs>
        <w:spacing w:line="360" w:lineRule="auto"/>
        <w:rPr>
          <w:rFonts w:hint="eastAsia" w:eastAsia="宋体"/>
          <w:color w:val="auto"/>
          <w:szCs w:val="22"/>
          <w:lang w:val="en-US" w:eastAsia="zh-CN"/>
        </w:rPr>
      </w:pPr>
      <w:r>
        <w:rPr>
          <w:color w:val="auto"/>
        </w:rPr>
        <w:fldChar w:fldCharType="begin"/>
      </w:r>
      <w:r>
        <w:rPr>
          <w:color w:val="auto"/>
        </w:rPr>
        <w:instrText xml:space="preserve"> HYPERLINK \l "_Toc15403" </w:instrText>
      </w:r>
      <w:r>
        <w:rPr>
          <w:color w:val="auto"/>
        </w:rPr>
        <w:fldChar w:fldCharType="separate"/>
      </w:r>
      <w:r>
        <w:rPr>
          <w:color w:val="auto"/>
          <w:szCs w:val="22"/>
        </w:rPr>
        <w:t>第五章  合同条款及格式</w:t>
      </w:r>
      <w:r>
        <w:rPr>
          <w:color w:val="auto"/>
          <w:szCs w:val="22"/>
        </w:rPr>
        <w:tab/>
      </w:r>
      <w:r>
        <w:rPr>
          <w:rFonts w:hint="eastAsia"/>
          <w:color w:val="auto"/>
          <w:szCs w:val="22"/>
          <w:lang w:val="en-US" w:eastAsia="zh-CN"/>
        </w:rPr>
        <w:t>3</w:t>
      </w:r>
      <w:r>
        <w:rPr>
          <w:rFonts w:hint="eastAsia"/>
          <w:color w:val="auto"/>
          <w:szCs w:val="22"/>
        </w:rPr>
        <w:fldChar w:fldCharType="end"/>
      </w:r>
      <w:r>
        <w:rPr>
          <w:rFonts w:hint="eastAsia"/>
          <w:color w:val="auto"/>
          <w:szCs w:val="22"/>
          <w:lang w:val="en-US" w:eastAsia="zh-CN"/>
        </w:rPr>
        <w:t>3</w:t>
      </w:r>
    </w:p>
    <w:p>
      <w:pPr>
        <w:pStyle w:val="25"/>
        <w:tabs>
          <w:tab w:val="right" w:leader="dot" w:pos="9558"/>
        </w:tabs>
        <w:spacing w:line="360" w:lineRule="auto"/>
        <w:rPr>
          <w:rFonts w:hint="eastAsia" w:eastAsia="宋体"/>
          <w:color w:val="auto"/>
          <w:szCs w:val="22"/>
          <w:lang w:val="en-US" w:eastAsia="zh-CN"/>
        </w:rPr>
      </w:pPr>
      <w:r>
        <w:rPr>
          <w:color w:val="auto"/>
        </w:rPr>
        <w:fldChar w:fldCharType="begin"/>
      </w:r>
      <w:r>
        <w:rPr>
          <w:color w:val="auto"/>
        </w:rPr>
        <w:instrText xml:space="preserve"> HYPERLINK \l "_Toc22700" </w:instrText>
      </w:r>
      <w:r>
        <w:rPr>
          <w:color w:val="auto"/>
        </w:rPr>
        <w:fldChar w:fldCharType="separate"/>
      </w:r>
      <w:r>
        <w:rPr>
          <w:color w:val="auto"/>
          <w:szCs w:val="22"/>
        </w:rPr>
        <w:t>一 、合同协议书（格式）</w:t>
      </w:r>
      <w:r>
        <w:rPr>
          <w:color w:val="auto"/>
          <w:szCs w:val="22"/>
        </w:rPr>
        <w:tab/>
      </w:r>
      <w:r>
        <w:rPr>
          <w:rFonts w:hint="eastAsia"/>
          <w:color w:val="auto"/>
          <w:szCs w:val="22"/>
          <w:lang w:val="en-US" w:eastAsia="zh-CN"/>
        </w:rPr>
        <w:t>3</w:t>
      </w:r>
      <w:r>
        <w:rPr>
          <w:rFonts w:hint="eastAsia"/>
          <w:color w:val="auto"/>
          <w:szCs w:val="22"/>
        </w:rPr>
        <w:fldChar w:fldCharType="end"/>
      </w:r>
      <w:r>
        <w:rPr>
          <w:rFonts w:hint="eastAsia"/>
          <w:color w:val="auto"/>
          <w:szCs w:val="22"/>
          <w:lang w:val="en-US" w:eastAsia="zh-CN"/>
        </w:rPr>
        <w:t>3</w:t>
      </w:r>
    </w:p>
    <w:p>
      <w:pPr>
        <w:pStyle w:val="25"/>
        <w:tabs>
          <w:tab w:val="right" w:leader="dot" w:pos="9558"/>
        </w:tabs>
        <w:spacing w:line="360" w:lineRule="auto"/>
        <w:rPr>
          <w:rFonts w:hint="default" w:eastAsia="宋体"/>
          <w:color w:val="auto"/>
          <w:szCs w:val="22"/>
          <w:lang w:val="en-US" w:eastAsia="zh-CN"/>
        </w:rPr>
      </w:pPr>
      <w:r>
        <w:rPr>
          <w:color w:val="auto"/>
        </w:rPr>
        <w:fldChar w:fldCharType="begin"/>
      </w:r>
      <w:r>
        <w:rPr>
          <w:color w:val="auto"/>
        </w:rPr>
        <w:instrText xml:space="preserve"> HYPERLINK \l "_Toc26887" </w:instrText>
      </w:r>
      <w:r>
        <w:rPr>
          <w:color w:val="auto"/>
        </w:rPr>
        <w:fldChar w:fldCharType="separate"/>
      </w:r>
      <w:r>
        <w:rPr>
          <w:color w:val="auto"/>
          <w:szCs w:val="22"/>
        </w:rPr>
        <w:t>二 、合同条款</w:t>
      </w:r>
      <w:r>
        <w:rPr>
          <w:color w:val="auto"/>
          <w:szCs w:val="22"/>
        </w:rPr>
        <w:tab/>
      </w:r>
      <w:r>
        <w:rPr>
          <w:rFonts w:hint="eastAsia"/>
          <w:color w:val="auto"/>
          <w:szCs w:val="22"/>
        </w:rPr>
        <w:fldChar w:fldCharType="end"/>
      </w:r>
      <w:r>
        <w:rPr>
          <w:rFonts w:hint="eastAsia"/>
          <w:color w:val="auto"/>
          <w:szCs w:val="22"/>
          <w:lang w:val="en-US" w:eastAsia="zh-CN"/>
        </w:rPr>
        <w:t>34</w:t>
      </w:r>
    </w:p>
    <w:p>
      <w:pPr>
        <w:pStyle w:val="23"/>
        <w:tabs>
          <w:tab w:val="right" w:leader="dot" w:pos="9558"/>
        </w:tabs>
        <w:spacing w:line="360" w:lineRule="auto"/>
        <w:rPr>
          <w:rFonts w:hint="eastAsia" w:eastAsia="宋体"/>
          <w:color w:val="auto"/>
          <w:szCs w:val="22"/>
          <w:lang w:val="en-US" w:eastAsia="zh-CN"/>
        </w:rPr>
      </w:pPr>
      <w:r>
        <w:rPr>
          <w:color w:val="auto"/>
        </w:rPr>
        <w:fldChar w:fldCharType="begin"/>
      </w:r>
      <w:r>
        <w:rPr>
          <w:color w:val="auto"/>
        </w:rPr>
        <w:instrText xml:space="preserve"> HYPERLINK \l "_Toc16971" </w:instrText>
      </w:r>
      <w:r>
        <w:rPr>
          <w:color w:val="auto"/>
        </w:rPr>
        <w:fldChar w:fldCharType="separate"/>
      </w:r>
      <w:r>
        <w:rPr>
          <w:color w:val="auto"/>
          <w:szCs w:val="22"/>
        </w:rPr>
        <w:t>第六章  投标文件格式</w:t>
      </w:r>
      <w:r>
        <w:rPr>
          <w:color w:val="auto"/>
          <w:szCs w:val="22"/>
        </w:rPr>
        <w:tab/>
      </w:r>
      <w:r>
        <w:rPr>
          <w:rFonts w:hint="eastAsia"/>
          <w:color w:val="auto"/>
          <w:szCs w:val="22"/>
          <w:lang w:val="en-US" w:eastAsia="zh-CN"/>
        </w:rPr>
        <w:t>4</w:t>
      </w:r>
      <w:r>
        <w:rPr>
          <w:rFonts w:hint="eastAsia"/>
          <w:color w:val="auto"/>
          <w:szCs w:val="22"/>
        </w:rPr>
        <w:fldChar w:fldCharType="end"/>
      </w:r>
      <w:r>
        <w:rPr>
          <w:rFonts w:hint="eastAsia"/>
          <w:color w:val="auto"/>
          <w:szCs w:val="22"/>
          <w:lang w:val="en-US" w:eastAsia="zh-CN"/>
        </w:rPr>
        <w:t>0</w:t>
      </w:r>
    </w:p>
    <w:p>
      <w:pPr>
        <w:spacing w:line="360" w:lineRule="auto"/>
        <w:rPr>
          <w:b/>
          <w:bCs/>
          <w:color w:val="auto"/>
          <w:sz w:val="32"/>
          <w:szCs w:val="32"/>
        </w:rPr>
        <w:sectPr>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0" w:num="1"/>
          <w:docGrid w:linePitch="312" w:charSpace="0"/>
        </w:sectPr>
      </w:pPr>
      <w:r>
        <w:rPr>
          <w:color w:val="auto"/>
          <w:szCs w:val="21"/>
          <w:u w:val="single"/>
        </w:rPr>
        <w:fldChar w:fldCharType="end"/>
      </w:r>
      <w:bookmarkStart w:id="0" w:name="_Toc8301"/>
    </w:p>
    <w:bookmarkEnd w:id="0"/>
    <w:p>
      <w:pPr>
        <w:keepNext w:val="0"/>
        <w:keepLines w:val="0"/>
        <w:pageBreakBefore w:val="0"/>
        <w:numPr>
          <w:ilvl w:val="0"/>
          <w:numId w:val="0"/>
        </w:numPr>
        <w:kinsoku/>
        <w:overflowPunct/>
        <w:topLinePunct w:val="0"/>
        <w:autoSpaceDE/>
        <w:bidi w:val="0"/>
        <w:adjustRightInd/>
        <w:snapToGrid/>
        <w:spacing w:line="360" w:lineRule="auto"/>
        <w:jc w:val="center"/>
        <w:textAlignment w:val="auto"/>
        <w:rPr>
          <w:rFonts w:hint="eastAsia" w:ascii="宋体" w:hAnsi="宋体" w:eastAsia="宋体" w:cs="宋体"/>
          <w:b/>
          <w:bCs/>
          <w:color w:val="auto"/>
          <w:sz w:val="32"/>
          <w:szCs w:val="32"/>
        </w:rPr>
      </w:pPr>
      <w:bookmarkStart w:id="1" w:name="_Toc28467"/>
      <w:r>
        <w:rPr>
          <w:rFonts w:hint="eastAsia" w:ascii="宋体" w:hAnsi="宋体" w:eastAsia="宋体" w:cs="宋体"/>
          <w:b/>
          <w:bCs/>
          <w:color w:val="auto"/>
          <w:sz w:val="32"/>
          <w:szCs w:val="32"/>
          <w:lang w:val="en-US" w:eastAsia="zh-CN"/>
        </w:rPr>
        <w:t>第一章 招标公告</w:t>
      </w:r>
    </w:p>
    <w:p>
      <w:pPr>
        <w:spacing w:line="440" w:lineRule="exact"/>
        <w:jc w:val="center"/>
        <w:rPr>
          <w:color w:val="auto"/>
        </w:rPr>
      </w:pPr>
      <w:r>
        <w:rPr>
          <w:rFonts w:hint="eastAsia"/>
          <w:b/>
          <w:bCs/>
          <w:color w:val="auto"/>
          <w:sz w:val="30"/>
          <w:szCs w:val="30"/>
          <w:lang w:val="en-US" w:eastAsia="zh-CN"/>
        </w:rPr>
        <w:t>察布查尔县2021年天山和阿尔泰山森林草原保护项目</w:t>
      </w:r>
      <w:r>
        <w:rPr>
          <w:b/>
          <w:bCs/>
          <w:color w:val="auto"/>
          <w:sz w:val="30"/>
          <w:szCs w:val="30"/>
        </w:rPr>
        <w:t>招标公告</w:t>
      </w:r>
    </w:p>
    <w:p>
      <w:pPr>
        <w:pBdr>
          <w:top w:val="single" w:color="auto" w:sz="4" w:space="1"/>
          <w:left w:val="single" w:color="auto" w:sz="4" w:space="4"/>
          <w:bottom w:val="single" w:color="auto" w:sz="4" w:space="1"/>
          <w:right w:val="single" w:color="auto" w:sz="4" w:space="4"/>
        </w:pBdr>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u w:val="single" w:color="auto"/>
          <w:lang w:val="en-US" w:eastAsia="zh-CN"/>
        </w:rPr>
        <w:t>察布查尔县2021年天山和阿尔泰山森林草原保护项目</w:t>
      </w:r>
      <w:r>
        <w:rPr>
          <w:rFonts w:hint="eastAsia" w:ascii="宋体" w:hAnsi="宋体" w:eastAsia="宋体" w:cs="宋体"/>
          <w:color w:val="auto"/>
          <w:sz w:val="24"/>
          <w:szCs w:val="24"/>
        </w:rPr>
        <w:t>的潜在投标人应在</w:t>
      </w:r>
      <w:r>
        <w:rPr>
          <w:rFonts w:hint="eastAsia" w:ascii="宋体" w:hAnsi="宋体" w:cs="宋体"/>
          <w:color w:val="auto"/>
          <w:sz w:val="24"/>
          <w:szCs w:val="24"/>
          <w:u w:val="single"/>
          <w:lang w:eastAsia="zh-CN"/>
        </w:rPr>
        <w:t>伊宁市北环西路火车站加油站旁写字楼四楼</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获取招标文件，并于</w:t>
      </w:r>
      <w:r>
        <w:rPr>
          <w:rFonts w:hint="eastAsia" w:ascii="宋体" w:hAnsi="宋体" w:cs="宋体"/>
          <w:color w:val="auto"/>
          <w:sz w:val="24"/>
          <w:szCs w:val="24"/>
          <w:u w:val="single"/>
          <w:lang w:eastAsia="zh-CN"/>
        </w:rPr>
        <w:t>2021年12月2</w:t>
      </w:r>
      <w:r>
        <w:rPr>
          <w:rFonts w:hint="eastAsia" w:ascii="宋体" w:hAnsi="宋体" w:cs="宋体"/>
          <w:color w:val="auto"/>
          <w:sz w:val="24"/>
          <w:szCs w:val="24"/>
          <w:u w:val="single"/>
          <w:lang w:val="en-US" w:eastAsia="zh-CN"/>
        </w:rPr>
        <w:t>7</w:t>
      </w:r>
      <w:r>
        <w:rPr>
          <w:rFonts w:hint="eastAsia" w:ascii="宋体" w:hAnsi="宋体" w:cs="宋体"/>
          <w:color w:val="auto"/>
          <w:sz w:val="24"/>
          <w:szCs w:val="24"/>
          <w:u w:val="single"/>
          <w:lang w:eastAsia="zh-CN"/>
        </w:rPr>
        <w:t>日11时00分</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北京时间）前递交投标文件</w:t>
      </w:r>
      <w:r>
        <w:rPr>
          <w:rFonts w:hint="eastAsia" w:ascii="宋体" w:hAnsi="宋体" w:eastAsia="宋体" w:cs="宋体"/>
          <w:color w:val="auto"/>
          <w:sz w:val="24"/>
          <w:szCs w:val="24"/>
        </w:rPr>
        <w:t>。</w:t>
      </w:r>
    </w:p>
    <w:p>
      <w:pPr>
        <w:pStyle w:val="4"/>
        <w:numPr>
          <w:ilvl w:val="1"/>
          <w:numId w:val="0"/>
        </w:numPr>
        <w:spacing w:line="440" w:lineRule="exact"/>
        <w:textAlignment w:val="auto"/>
        <w:rPr>
          <w:rFonts w:hint="eastAsia" w:ascii="宋体" w:hAnsi="宋体" w:eastAsia="宋体" w:cs="宋体"/>
          <w:color w:val="auto"/>
          <w:sz w:val="24"/>
          <w:szCs w:val="24"/>
        </w:rPr>
      </w:pPr>
      <w:bookmarkStart w:id="2" w:name="_Toc35393790"/>
      <w:bookmarkStart w:id="3" w:name="_Toc35393621"/>
      <w:bookmarkStart w:id="4" w:name="_Toc28359079"/>
      <w:bookmarkStart w:id="5" w:name="_Toc28359002"/>
      <w:bookmarkStart w:id="6" w:name="_Hlk24379207"/>
    </w:p>
    <w:p>
      <w:pPr>
        <w:pStyle w:val="4"/>
        <w:numPr>
          <w:ilvl w:val="1"/>
          <w:numId w:val="0"/>
        </w:numPr>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bookmarkEnd w:id="2"/>
      <w:bookmarkEnd w:id="3"/>
      <w:bookmarkEnd w:id="4"/>
      <w:bookmarkEnd w:id="5"/>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lang w:eastAsia="zh-CN"/>
        </w:rPr>
        <w:t>XJ-YLZB-2021-02</w:t>
      </w:r>
    </w:p>
    <w:p>
      <w:pPr>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bookmarkEnd w:id="6"/>
      <w:r>
        <w:rPr>
          <w:rFonts w:hint="eastAsia" w:ascii="宋体" w:hAnsi="宋体" w:eastAsia="宋体" w:cs="宋体"/>
          <w:color w:val="auto"/>
          <w:sz w:val="24"/>
          <w:szCs w:val="24"/>
          <w:lang w:eastAsia="zh-CN"/>
        </w:rPr>
        <w:t>察布查尔县2021年天山和阿尔泰山森林草原保护项目</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标项一：114万元；标项二：73.2248万元；标项三：280.9万元；标项四：279.5万元；标项五：</w:t>
      </w:r>
      <w:r>
        <w:rPr>
          <w:rFonts w:hint="eastAsia" w:ascii="宋体" w:hAnsi="宋体" w:cs="宋体"/>
          <w:color w:val="auto"/>
          <w:sz w:val="24"/>
          <w:szCs w:val="24"/>
          <w:lang w:val="en-US" w:eastAsia="zh-CN"/>
        </w:rPr>
        <w:t>133</w:t>
      </w:r>
      <w:r>
        <w:rPr>
          <w:rFonts w:hint="eastAsia" w:ascii="宋体" w:hAnsi="宋体" w:eastAsia="宋体" w:cs="宋体"/>
          <w:color w:val="auto"/>
          <w:sz w:val="24"/>
          <w:szCs w:val="24"/>
          <w:lang w:val="en-US" w:eastAsia="zh-CN"/>
        </w:rPr>
        <w:t>万元。</w:t>
      </w:r>
    </w:p>
    <w:p>
      <w:pPr>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标项一：114万元；标项二：73.2248万元；标项三：280.9万元；标项四：279.5万元；标项五：</w:t>
      </w:r>
      <w:r>
        <w:rPr>
          <w:rFonts w:hint="eastAsia" w:ascii="宋体" w:hAnsi="宋体" w:cs="宋体"/>
          <w:color w:val="auto"/>
          <w:sz w:val="24"/>
          <w:szCs w:val="24"/>
          <w:lang w:val="en-US" w:eastAsia="zh-CN"/>
        </w:rPr>
        <w:t>133</w:t>
      </w:r>
      <w:r>
        <w:rPr>
          <w:rFonts w:hint="eastAsia" w:ascii="宋体" w:hAnsi="宋体" w:eastAsia="宋体" w:cs="宋体"/>
          <w:color w:val="auto"/>
          <w:sz w:val="24"/>
          <w:szCs w:val="24"/>
          <w:lang w:val="en-US" w:eastAsia="zh-CN"/>
        </w:rPr>
        <w:t>万元。</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标项一：察布查尔县2021年天山和阿尔泰山森林草原保护项目（一标段）</w:t>
      </w:r>
    </w:p>
    <w:p>
      <w:pPr>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简要规格描述或项目基本概况介绍、用途：</w:t>
      </w:r>
      <w:r>
        <w:rPr>
          <w:rFonts w:hint="default" w:ascii="宋体" w:hAnsi="宋体" w:eastAsia="宋体" w:cs="宋体"/>
          <w:color w:val="auto"/>
          <w:sz w:val="24"/>
          <w:szCs w:val="24"/>
          <w:lang w:val="en-US" w:eastAsia="zh-CN"/>
        </w:rPr>
        <w:t>退化林修复建设规模0.</w:t>
      </w:r>
      <w:bookmarkStart w:id="80" w:name="_GoBack"/>
      <w:bookmarkEnd w:id="80"/>
      <w:r>
        <w:rPr>
          <w:rFonts w:hint="default" w:ascii="宋体" w:hAnsi="宋体" w:eastAsia="宋体" w:cs="宋体"/>
          <w:color w:val="auto"/>
          <w:sz w:val="24"/>
          <w:szCs w:val="24"/>
          <w:lang w:val="en-US" w:eastAsia="zh-CN"/>
        </w:rPr>
        <w:t>2万亩，其中</w:t>
      </w:r>
      <w:r>
        <w:rPr>
          <w:rFonts w:hint="eastAsia" w:ascii="宋体" w:hAnsi="宋体" w:eastAsia="宋体" w:cs="宋体"/>
          <w:color w:val="auto"/>
          <w:sz w:val="24"/>
          <w:szCs w:val="24"/>
          <w:lang w:val="en-US" w:eastAsia="zh-CN"/>
        </w:rPr>
        <w:t>爱新舍里镇</w:t>
      </w:r>
      <w:r>
        <w:rPr>
          <w:rFonts w:hint="default" w:ascii="宋体" w:hAnsi="宋体" w:eastAsia="宋体" w:cs="宋体"/>
          <w:color w:val="auto"/>
          <w:sz w:val="24"/>
          <w:szCs w:val="24"/>
          <w:lang w:val="en-US" w:eastAsia="zh-CN"/>
        </w:rPr>
        <w:t>356.2亩、</w:t>
      </w:r>
      <w:r>
        <w:rPr>
          <w:rFonts w:hint="eastAsia" w:ascii="宋体" w:hAnsi="宋体" w:eastAsia="宋体" w:cs="宋体"/>
          <w:color w:val="auto"/>
          <w:sz w:val="24"/>
          <w:szCs w:val="24"/>
          <w:lang w:val="en-US" w:eastAsia="zh-CN"/>
        </w:rPr>
        <w:t>纳达齐牛录乡</w:t>
      </w:r>
      <w:r>
        <w:rPr>
          <w:rFonts w:hint="default" w:ascii="宋体" w:hAnsi="宋体" w:eastAsia="宋体" w:cs="宋体"/>
          <w:color w:val="auto"/>
          <w:sz w:val="24"/>
          <w:szCs w:val="24"/>
          <w:lang w:val="en-US" w:eastAsia="zh-CN"/>
        </w:rPr>
        <w:t>1279.1亩、绰霍尔乡364.7亩，其中包含</w:t>
      </w:r>
      <w:r>
        <w:rPr>
          <w:rFonts w:hint="eastAsia" w:ascii="宋体" w:hAnsi="宋体" w:cs="宋体"/>
          <w:color w:val="auto"/>
          <w:sz w:val="24"/>
          <w:szCs w:val="24"/>
          <w:lang w:val="en-US" w:eastAsia="zh-CN"/>
        </w:rPr>
        <w:t>枯死、濒死木全面补植更新</w:t>
      </w:r>
      <w:r>
        <w:rPr>
          <w:rFonts w:hint="default" w:ascii="宋体" w:hAnsi="宋体" w:eastAsia="宋体" w:cs="宋体"/>
          <w:color w:val="auto"/>
          <w:sz w:val="24"/>
          <w:szCs w:val="24"/>
          <w:lang w:val="en-US" w:eastAsia="zh-CN"/>
        </w:rPr>
        <w:t>、抚育管护</w:t>
      </w:r>
      <w:r>
        <w:rPr>
          <w:rFonts w:hint="eastAsia" w:ascii="宋体" w:hAnsi="宋体" w:eastAsia="宋体" w:cs="宋体"/>
          <w:color w:val="auto"/>
          <w:sz w:val="24"/>
          <w:szCs w:val="24"/>
          <w:lang w:val="en-US" w:eastAsia="zh-CN"/>
        </w:rPr>
        <w:t>等内容</w:t>
      </w:r>
      <w:r>
        <w:rPr>
          <w:rFonts w:hint="default" w:ascii="宋体" w:hAnsi="宋体" w:eastAsia="宋体" w:cs="宋体"/>
          <w:color w:val="auto"/>
          <w:sz w:val="24"/>
          <w:szCs w:val="24"/>
          <w:lang w:val="en-US" w:eastAsia="zh-CN"/>
        </w:rPr>
        <w:t>，具体实施内容、技术参数及工程量详见招标文件。</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标项二：察布查尔县2021年天山和阿尔泰山森林草原保护项目（二标段）</w:t>
      </w:r>
    </w:p>
    <w:p>
      <w:pPr>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简要规格描述或项目基本概况介绍、用途：</w:t>
      </w:r>
      <w:r>
        <w:rPr>
          <w:rFonts w:hint="default" w:ascii="宋体" w:hAnsi="宋体" w:eastAsia="宋体" w:cs="宋体"/>
          <w:color w:val="auto"/>
          <w:sz w:val="24"/>
          <w:szCs w:val="24"/>
          <w:lang w:val="en-US" w:eastAsia="zh-CN"/>
        </w:rPr>
        <w:t>封山育林建设规模1万亩，包含围栏、标识牌及人工管护5年</w:t>
      </w:r>
      <w:r>
        <w:rPr>
          <w:rFonts w:hint="eastAsia" w:ascii="宋体" w:hAnsi="宋体" w:eastAsia="宋体" w:cs="宋体"/>
          <w:color w:val="auto"/>
          <w:sz w:val="24"/>
          <w:szCs w:val="24"/>
          <w:lang w:val="en-US" w:eastAsia="zh-CN"/>
        </w:rPr>
        <w:t>等内容</w:t>
      </w:r>
      <w:r>
        <w:rPr>
          <w:rFonts w:hint="default" w:ascii="宋体" w:hAnsi="宋体" w:eastAsia="宋体" w:cs="宋体"/>
          <w:color w:val="auto"/>
          <w:sz w:val="24"/>
          <w:szCs w:val="24"/>
          <w:lang w:val="en-US" w:eastAsia="zh-CN"/>
        </w:rPr>
        <w:t>，具体实施内容、技术参数及工程量详见招标文件。</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标项三：察布查尔县2021年天山和阿尔泰山森林草原保护项目（三标段）</w:t>
      </w:r>
    </w:p>
    <w:p>
      <w:pPr>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简要规格描述或项目基本概况介绍、用途：</w:t>
      </w:r>
      <w:r>
        <w:rPr>
          <w:rFonts w:hint="default" w:ascii="宋体" w:hAnsi="宋体" w:eastAsia="宋体" w:cs="宋体"/>
          <w:color w:val="auto"/>
          <w:sz w:val="24"/>
          <w:szCs w:val="24"/>
          <w:lang w:val="en-US" w:eastAsia="zh-CN"/>
        </w:rPr>
        <w:t>人工种草建设规模1万亩，主要</w:t>
      </w:r>
      <w:r>
        <w:rPr>
          <w:rFonts w:hint="eastAsia" w:ascii="宋体" w:hAnsi="宋体" w:cs="宋体"/>
          <w:color w:val="auto"/>
          <w:sz w:val="24"/>
          <w:szCs w:val="24"/>
          <w:lang w:val="en-US" w:eastAsia="zh-CN"/>
        </w:rPr>
        <w:t>包含</w:t>
      </w:r>
      <w:r>
        <w:rPr>
          <w:rFonts w:hint="default" w:ascii="宋体" w:hAnsi="宋体" w:eastAsia="宋体" w:cs="宋体"/>
          <w:color w:val="auto"/>
          <w:sz w:val="24"/>
          <w:szCs w:val="24"/>
          <w:lang w:val="en-US" w:eastAsia="zh-CN"/>
        </w:rPr>
        <w:t>红豆草</w:t>
      </w:r>
      <w:r>
        <w:rPr>
          <w:rFonts w:hint="eastAsia" w:ascii="宋体" w:hAnsi="宋体" w:cs="宋体"/>
          <w:color w:val="auto"/>
          <w:sz w:val="24"/>
          <w:szCs w:val="24"/>
          <w:lang w:val="en-US" w:eastAsia="zh-CN"/>
        </w:rPr>
        <w:t>和</w:t>
      </w:r>
      <w:r>
        <w:rPr>
          <w:rFonts w:hint="default" w:ascii="宋体" w:hAnsi="宋体" w:eastAsia="宋体" w:cs="宋体"/>
          <w:color w:val="auto"/>
          <w:sz w:val="24"/>
          <w:szCs w:val="24"/>
          <w:lang w:val="en-US" w:eastAsia="zh-CN"/>
        </w:rPr>
        <w:t>苜蓿混播及人工管护</w:t>
      </w:r>
      <w:r>
        <w:rPr>
          <w:rFonts w:hint="eastAsia" w:ascii="宋体" w:hAnsi="宋体" w:eastAsia="宋体" w:cs="宋体"/>
          <w:color w:val="auto"/>
          <w:sz w:val="24"/>
          <w:szCs w:val="24"/>
          <w:lang w:val="en-US" w:eastAsia="zh-CN"/>
        </w:rPr>
        <w:t>等内容</w:t>
      </w:r>
      <w:r>
        <w:rPr>
          <w:rFonts w:hint="default" w:ascii="宋体" w:hAnsi="宋体" w:eastAsia="宋体" w:cs="宋体"/>
          <w:color w:val="auto"/>
          <w:sz w:val="24"/>
          <w:szCs w:val="24"/>
          <w:lang w:val="en-US" w:eastAsia="zh-CN"/>
        </w:rPr>
        <w:t>，具体实施内容、技术参数及工程量详见招标文件。</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标项四：察布查尔县2021年天山和阿尔泰山森林草原保护项目（四标段）</w:t>
      </w:r>
    </w:p>
    <w:p>
      <w:pPr>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简要规格描述或项目基本概况介绍、用途：</w:t>
      </w:r>
      <w:r>
        <w:rPr>
          <w:rFonts w:hint="default" w:ascii="宋体" w:hAnsi="宋体" w:eastAsia="宋体" w:cs="宋体"/>
          <w:color w:val="auto"/>
          <w:sz w:val="24"/>
          <w:szCs w:val="24"/>
          <w:lang w:val="en-US" w:eastAsia="zh-CN"/>
        </w:rPr>
        <w:t>退化草改良建设规模2.5万亩，其中琼博拉镇9318.2亩、坎乡15682.1亩，包括伊犁绢蒿、木地肤、</w:t>
      </w:r>
      <w:r>
        <w:rPr>
          <w:rFonts w:hint="eastAsia" w:ascii="宋体" w:hAnsi="宋体" w:cs="宋体"/>
          <w:color w:val="auto"/>
          <w:sz w:val="24"/>
          <w:szCs w:val="24"/>
          <w:lang w:val="en-US" w:eastAsia="zh-CN"/>
        </w:rPr>
        <w:t>扁穗冰草</w:t>
      </w:r>
      <w:r>
        <w:rPr>
          <w:rFonts w:hint="default" w:ascii="宋体" w:hAnsi="宋体" w:eastAsia="宋体" w:cs="宋体"/>
          <w:color w:val="auto"/>
          <w:sz w:val="24"/>
          <w:szCs w:val="24"/>
          <w:lang w:val="en-US" w:eastAsia="zh-CN"/>
        </w:rPr>
        <w:t>撒播</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人工管护和草原围栏建设3.6万米</w:t>
      </w:r>
      <w:r>
        <w:rPr>
          <w:rFonts w:hint="eastAsia" w:ascii="宋体" w:hAnsi="宋体" w:cs="宋体"/>
          <w:color w:val="auto"/>
          <w:sz w:val="24"/>
          <w:szCs w:val="24"/>
          <w:lang w:val="en-US" w:eastAsia="zh-CN"/>
        </w:rPr>
        <w:t>等</w:t>
      </w:r>
      <w:r>
        <w:rPr>
          <w:rFonts w:hint="default" w:ascii="宋体" w:hAnsi="宋体" w:eastAsia="宋体" w:cs="宋体"/>
          <w:color w:val="auto"/>
          <w:sz w:val="24"/>
          <w:szCs w:val="24"/>
          <w:lang w:val="en-US" w:eastAsia="zh-CN"/>
        </w:rPr>
        <w:t>，具体实施内容、技术参数及工程量详见招标文件。</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标项五：察布查尔县2021年天山和阿尔泰山森林草原保护项目（五标段）</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简要规格描述或项目基本概况介绍、用途：</w:t>
      </w:r>
      <w:r>
        <w:rPr>
          <w:rFonts w:hint="default" w:ascii="宋体" w:hAnsi="宋体" w:eastAsia="宋体" w:cs="宋体"/>
          <w:color w:val="auto"/>
          <w:sz w:val="24"/>
          <w:szCs w:val="24"/>
          <w:lang w:val="en-US" w:eastAsia="zh-CN"/>
        </w:rPr>
        <w:t>毒害草治理建设规模1万亩，均位于坎乡，具体实施内容、技术参数及工程量详见招标文件。</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合同履行期</w:t>
      </w:r>
      <w:r>
        <w:rPr>
          <w:rFonts w:hint="eastAsia" w:ascii="宋体" w:hAnsi="宋体" w:eastAsia="宋体" w:cs="宋体"/>
          <w:color w:val="auto"/>
          <w:sz w:val="24"/>
          <w:szCs w:val="24"/>
          <w:lang w:val="en-US" w:eastAsia="zh-CN"/>
        </w:rPr>
        <w:t>限：标项一：2022年3月15至2022年5月31日，总工期78日历天；</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标项二：2022年4月1日至2022年5月30日，总工期60日历天； </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标项三：2022年1月1日至2022年1月30日，总工期30日历天；</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标项四：202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年1月</w:t>
      </w:r>
      <w:r>
        <w:rPr>
          <w:rFonts w:hint="eastAsia" w:ascii="宋体" w:hAnsi="宋体" w:cs="宋体"/>
          <w:color w:val="auto"/>
          <w:sz w:val="24"/>
          <w:szCs w:val="24"/>
          <w:lang w:val="en-US" w:eastAsia="zh-CN"/>
        </w:rPr>
        <w:t>1日</w:t>
      </w:r>
      <w:r>
        <w:rPr>
          <w:rFonts w:hint="eastAsia" w:ascii="宋体" w:hAnsi="宋体" w:eastAsia="宋体" w:cs="宋体"/>
          <w:color w:val="auto"/>
          <w:sz w:val="24"/>
          <w:szCs w:val="24"/>
          <w:lang w:val="en-US" w:eastAsia="zh-CN"/>
        </w:rPr>
        <w:t>至202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年5月</w:t>
      </w:r>
      <w:r>
        <w:rPr>
          <w:rFonts w:hint="eastAsia" w:ascii="宋体" w:hAnsi="宋体" w:cs="宋体"/>
          <w:color w:val="auto"/>
          <w:sz w:val="24"/>
          <w:szCs w:val="24"/>
          <w:lang w:val="en-US" w:eastAsia="zh-CN"/>
        </w:rPr>
        <w:t>31日</w:t>
      </w:r>
      <w:r>
        <w:rPr>
          <w:rFonts w:hint="eastAsia" w:ascii="宋体" w:hAnsi="宋体" w:eastAsia="宋体" w:cs="宋体"/>
          <w:color w:val="auto"/>
          <w:sz w:val="24"/>
          <w:szCs w:val="24"/>
          <w:lang w:val="en-US" w:eastAsia="zh-CN"/>
        </w:rPr>
        <w:t>，总工期15</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日历天。</w:t>
      </w:r>
    </w:p>
    <w:p>
      <w:pPr>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标项五：2022年5月15日至2022年6月30日，总工期</w:t>
      </w:r>
      <w:r>
        <w:rPr>
          <w:rFonts w:hint="eastAsia" w:ascii="宋体" w:hAnsi="宋体" w:cs="宋体"/>
          <w:color w:val="auto"/>
          <w:sz w:val="24"/>
          <w:szCs w:val="24"/>
          <w:lang w:val="en-US" w:eastAsia="zh-CN"/>
        </w:rPr>
        <w:t>47</w:t>
      </w:r>
      <w:r>
        <w:rPr>
          <w:rFonts w:hint="eastAsia" w:ascii="宋体" w:hAnsi="宋体" w:eastAsia="宋体" w:cs="宋体"/>
          <w:color w:val="auto"/>
          <w:sz w:val="24"/>
          <w:szCs w:val="24"/>
          <w:lang w:val="en-US" w:eastAsia="zh-CN"/>
        </w:rPr>
        <w:t>日历天。</w:t>
      </w:r>
    </w:p>
    <w:p>
      <w:pPr>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bookmarkStart w:id="7" w:name="_Toc35393622"/>
      <w:bookmarkStart w:id="8" w:name="_Toc28359080"/>
      <w:bookmarkStart w:id="9" w:name="_Toc28359003"/>
      <w:bookmarkStart w:id="10" w:name="_Toc35393791"/>
    </w:p>
    <w:p>
      <w:pPr>
        <w:pStyle w:val="13"/>
        <w:spacing w:line="360" w:lineRule="auto"/>
        <w:rPr>
          <w:rFonts w:hint="eastAsia" w:ascii="宋体" w:hAnsi="宋体" w:eastAsia="宋体" w:cs="宋体"/>
          <w:color w:val="auto"/>
          <w:sz w:val="24"/>
          <w:szCs w:val="24"/>
        </w:rPr>
      </w:pPr>
    </w:p>
    <w:p>
      <w:pPr>
        <w:pStyle w:val="4"/>
        <w:numPr>
          <w:ilvl w:val="1"/>
          <w:numId w:val="0"/>
        </w:numPr>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w:t>
      </w:r>
      <w:bookmarkEnd w:id="7"/>
      <w:bookmarkEnd w:id="8"/>
      <w:bookmarkEnd w:id="9"/>
      <w:bookmarkEnd w:id="10"/>
    </w:p>
    <w:p>
      <w:pPr>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spacing w:line="360" w:lineRule="auto"/>
        <w:ind w:firstLine="480" w:firstLineChars="200"/>
        <w:textAlignment w:val="auto"/>
        <w:rPr>
          <w:rFonts w:hint="eastAsia" w:ascii="宋体" w:hAnsi="宋体" w:eastAsia="宋体" w:cs="宋体"/>
          <w:color w:val="auto"/>
          <w:sz w:val="24"/>
          <w:szCs w:val="24"/>
        </w:rPr>
      </w:pPr>
      <w:bookmarkStart w:id="11" w:name="_Toc28359081"/>
      <w:bookmarkStart w:id="12" w:name="_Toc28359004"/>
      <w:r>
        <w:rPr>
          <w:rFonts w:hint="eastAsia" w:ascii="宋体" w:hAnsi="宋体" w:eastAsia="宋体" w:cs="宋体"/>
          <w:color w:val="auto"/>
          <w:sz w:val="24"/>
          <w:szCs w:val="24"/>
        </w:rPr>
        <w:t>2.</w:t>
      </w:r>
      <w:r>
        <w:rPr>
          <w:rFonts w:hint="eastAsia" w:ascii="宋体" w:hAnsi="宋体" w:eastAsia="宋体" w:cs="宋体"/>
          <w:color w:val="auto"/>
          <w:sz w:val="24"/>
          <w:szCs w:val="24"/>
          <w:lang w:val="en-US"/>
        </w:rPr>
        <w:t>落实政府采购政策需满足的资格要求：政策需符合政府采购应当优先采购本国货物、工程和服务，并执行节能产品、环境标志产品、中小企业、残疾人集中就业企业、监狱企业等适宜本项目的政府采购政策。</w:t>
      </w:r>
    </w:p>
    <w:p>
      <w:pPr>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bookmarkStart w:id="13" w:name="_Toc35393623"/>
      <w:bookmarkStart w:id="14" w:name="_Toc35393792"/>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标项一：①</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有良好的商业信誉</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履行合同所必需的专业技术能力和供应保障能力</w:t>
      </w:r>
      <w:r>
        <w:rPr>
          <w:rFonts w:hint="eastAsia" w:ascii="宋体" w:hAnsi="宋体" w:eastAsia="宋体" w:cs="宋体"/>
          <w:color w:val="auto"/>
          <w:sz w:val="24"/>
          <w:szCs w:val="24"/>
          <w:shd w:val="clear" w:color="050000" w:fill="auto"/>
        </w:rPr>
        <w:t>；</w:t>
      </w: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具有与本标段招标项目相应资格和经验的</w:t>
      </w:r>
      <w:r>
        <w:rPr>
          <w:rFonts w:hint="eastAsia" w:ascii="宋体" w:hAnsi="宋体" w:eastAsia="宋体" w:cs="宋体"/>
          <w:color w:val="auto"/>
          <w:sz w:val="24"/>
          <w:szCs w:val="24"/>
          <w:lang w:val="en-US" w:eastAsia="zh-CN"/>
        </w:rPr>
        <w:t>企业，要求营业执照经营范围须具有退化林修复或园林绿化等相关内容；</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标项二：①</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有良好的商业信誉</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履行合同所必需的专业技术能力和供应保障能力</w:t>
      </w:r>
      <w:r>
        <w:rPr>
          <w:rFonts w:hint="eastAsia" w:ascii="宋体" w:hAnsi="宋体" w:eastAsia="宋体" w:cs="宋体"/>
          <w:color w:val="auto"/>
          <w:sz w:val="24"/>
          <w:szCs w:val="24"/>
          <w:shd w:val="clear" w:color="050000" w:fill="auto"/>
        </w:rPr>
        <w:t>；</w:t>
      </w: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具有与本标段招标项目相应资格和经验的</w:t>
      </w:r>
      <w:r>
        <w:rPr>
          <w:rFonts w:hint="eastAsia" w:ascii="宋体" w:hAnsi="宋体" w:eastAsia="宋体" w:cs="宋体"/>
          <w:color w:val="auto"/>
          <w:sz w:val="24"/>
          <w:szCs w:val="24"/>
          <w:lang w:val="en-US" w:eastAsia="zh-CN"/>
        </w:rPr>
        <w:t>企业，要求营业执照经营范围须具有与封山育林有关的林、草业咨询管护和围栏、护栏销售、安装等相关内容；</w:t>
      </w:r>
    </w:p>
    <w:p>
      <w:pPr>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标项三：①</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有良好的商业信誉</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履行合同所必需的专业技术能力和供应保障能力</w:t>
      </w:r>
      <w:r>
        <w:rPr>
          <w:rFonts w:hint="eastAsia" w:ascii="宋体" w:hAnsi="宋体" w:eastAsia="宋体" w:cs="宋体"/>
          <w:color w:val="auto"/>
          <w:sz w:val="24"/>
          <w:szCs w:val="24"/>
          <w:shd w:val="clear" w:color="050000" w:fill="auto"/>
        </w:rPr>
        <w:t>；</w:t>
      </w: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具有与本标段招标项目相应资格和经验的</w:t>
      </w:r>
      <w:r>
        <w:rPr>
          <w:rFonts w:hint="eastAsia" w:ascii="宋体" w:hAnsi="宋体" w:eastAsia="宋体" w:cs="宋体"/>
          <w:color w:val="auto"/>
          <w:sz w:val="24"/>
          <w:szCs w:val="24"/>
          <w:lang w:val="en-US" w:eastAsia="zh-CN"/>
        </w:rPr>
        <w:t>企业，要求营业执照</w:t>
      </w:r>
      <w:r>
        <w:rPr>
          <w:rFonts w:hint="default" w:ascii="Times New Roman" w:hAnsi="Times New Roman" w:eastAsia="宋体" w:cs="Times New Roman"/>
          <w:color w:val="auto"/>
          <w:sz w:val="24"/>
          <w:szCs w:val="24"/>
          <w:lang w:val="en-US" w:eastAsia="zh-CN"/>
        </w:rPr>
        <w:t>营业执照经营范围须具有草种经营、种植等相关内容</w:t>
      </w:r>
      <w:r>
        <w:rPr>
          <w:rFonts w:hint="eastAsia" w:ascii="宋体" w:hAnsi="宋体" w:eastAsia="宋体" w:cs="宋体"/>
          <w:color w:val="auto"/>
          <w:sz w:val="24"/>
          <w:szCs w:val="24"/>
          <w:lang w:val="en-US" w:eastAsia="zh-CN"/>
        </w:rPr>
        <w:t>；③投标人需</w:t>
      </w:r>
      <w:r>
        <w:rPr>
          <w:rFonts w:hint="default" w:ascii="Times New Roman" w:hAnsi="Times New Roman" w:eastAsia="宋体" w:cs="Times New Roman"/>
          <w:color w:val="auto"/>
          <w:sz w:val="24"/>
          <w:szCs w:val="24"/>
          <w:lang w:val="en-US" w:eastAsia="zh-CN"/>
        </w:rPr>
        <w:t>具备有效的</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草种经营许可证</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或</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草种生产许可证</w:t>
      </w:r>
      <w:r>
        <w:rPr>
          <w:rFonts w:hint="eastAsia" w:ascii="Times New Roman" w:hAnsi="Times New Roman" w:eastAsia="宋体" w:cs="Times New Roman"/>
          <w:color w:val="auto"/>
          <w:sz w:val="24"/>
          <w:szCs w:val="24"/>
          <w:lang w:val="en-US" w:eastAsia="zh-CN"/>
        </w:rPr>
        <w:t xml:space="preserve">》；  </w:t>
      </w:r>
    </w:p>
    <w:p>
      <w:pPr>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标项四：①</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有良好的商业信誉</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履行合同所必需的专业技术能力和供应保障能力</w:t>
      </w:r>
      <w:r>
        <w:rPr>
          <w:rFonts w:hint="eastAsia" w:ascii="宋体" w:hAnsi="宋体" w:eastAsia="宋体" w:cs="宋体"/>
          <w:color w:val="auto"/>
          <w:sz w:val="24"/>
          <w:szCs w:val="24"/>
          <w:shd w:val="clear" w:color="050000" w:fill="auto"/>
        </w:rPr>
        <w:t>；</w:t>
      </w: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具有与本标段招标项目相应资格和经验的</w:t>
      </w:r>
      <w:r>
        <w:rPr>
          <w:rFonts w:hint="eastAsia" w:ascii="宋体" w:hAnsi="宋体" w:eastAsia="宋体" w:cs="宋体"/>
          <w:color w:val="auto"/>
          <w:sz w:val="24"/>
          <w:szCs w:val="24"/>
          <w:lang w:val="en-US" w:eastAsia="zh-CN"/>
        </w:rPr>
        <w:t>企业，要求营业执照</w:t>
      </w:r>
      <w:r>
        <w:rPr>
          <w:rFonts w:hint="default" w:ascii="Times New Roman" w:hAnsi="Times New Roman" w:eastAsia="宋体" w:cs="Times New Roman"/>
          <w:color w:val="auto"/>
          <w:sz w:val="24"/>
          <w:szCs w:val="24"/>
          <w:lang w:val="en-US" w:eastAsia="zh-CN"/>
        </w:rPr>
        <w:t>经营范围须具有退化草改良或草种经营、种植或草场综合治理</w:t>
      </w:r>
      <w:r>
        <w:rPr>
          <w:rFonts w:hint="eastAsia" w:ascii="Times New Roman" w:hAnsi="Times New Roman" w:eastAsia="宋体" w:cs="Times New Roman"/>
          <w:color w:val="auto"/>
          <w:sz w:val="24"/>
          <w:szCs w:val="24"/>
          <w:lang w:val="en-US" w:eastAsia="zh-CN"/>
        </w:rPr>
        <w:t>和</w:t>
      </w:r>
      <w:r>
        <w:rPr>
          <w:rFonts w:hint="default" w:ascii="Times New Roman" w:hAnsi="Times New Roman" w:eastAsia="宋体" w:cs="Times New Roman"/>
          <w:color w:val="auto"/>
          <w:sz w:val="24"/>
          <w:szCs w:val="24"/>
          <w:lang w:val="en-US" w:eastAsia="zh-CN"/>
        </w:rPr>
        <w:t>围栏、护栏</w:t>
      </w:r>
      <w:r>
        <w:rPr>
          <w:rFonts w:hint="eastAsia" w:ascii="Times New Roman" w:hAnsi="Times New Roman" w:eastAsia="宋体" w:cs="Times New Roman"/>
          <w:color w:val="auto"/>
          <w:sz w:val="24"/>
          <w:szCs w:val="24"/>
          <w:lang w:val="en-US" w:eastAsia="zh-CN"/>
        </w:rPr>
        <w:t>销售</w:t>
      </w:r>
      <w:r>
        <w:rPr>
          <w:rFonts w:hint="default" w:ascii="Times New Roman" w:hAnsi="Times New Roman" w:eastAsia="宋体" w:cs="Times New Roman"/>
          <w:color w:val="auto"/>
          <w:sz w:val="24"/>
          <w:szCs w:val="24"/>
          <w:lang w:val="en-US" w:eastAsia="zh-CN"/>
        </w:rPr>
        <w:t>、安装等相关内容</w:t>
      </w:r>
      <w:r>
        <w:rPr>
          <w:rFonts w:hint="eastAsia" w:ascii="宋体" w:hAnsi="宋体" w:eastAsia="宋体" w:cs="宋体"/>
          <w:color w:val="auto"/>
          <w:sz w:val="24"/>
          <w:szCs w:val="24"/>
          <w:lang w:val="en-US" w:eastAsia="zh-CN"/>
        </w:rPr>
        <w:t>；③投标人需</w:t>
      </w:r>
      <w:r>
        <w:rPr>
          <w:rFonts w:hint="default" w:ascii="Times New Roman" w:hAnsi="Times New Roman" w:eastAsia="宋体" w:cs="Times New Roman"/>
          <w:color w:val="auto"/>
          <w:sz w:val="24"/>
          <w:szCs w:val="24"/>
          <w:lang w:val="en-US" w:eastAsia="zh-CN"/>
        </w:rPr>
        <w:t>具备有效的</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草种经营许可证</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或</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草种生产许可证</w:t>
      </w:r>
      <w:r>
        <w:rPr>
          <w:rFonts w:hint="eastAsia" w:ascii="Times New Roman" w:hAnsi="Times New Roman" w:eastAsia="宋体" w:cs="Times New Roman"/>
          <w:color w:val="auto"/>
          <w:sz w:val="24"/>
          <w:szCs w:val="24"/>
          <w:lang w:val="en-US" w:eastAsia="zh-CN"/>
        </w:rPr>
        <w:t>》；</w:t>
      </w:r>
    </w:p>
    <w:p>
      <w:pPr>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标项五：①</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有良好的商业信誉</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履行合同所必需的专业技术能力和供应保障能力</w:t>
      </w:r>
      <w:r>
        <w:rPr>
          <w:rFonts w:hint="eastAsia" w:ascii="宋体" w:hAnsi="宋体" w:eastAsia="宋体" w:cs="宋体"/>
          <w:color w:val="auto"/>
          <w:sz w:val="24"/>
          <w:szCs w:val="24"/>
          <w:shd w:val="clear" w:color="050000" w:fill="auto"/>
        </w:rPr>
        <w:t>；</w:t>
      </w: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具有与本标段招标项目相应资格和经验的</w:t>
      </w:r>
      <w:r>
        <w:rPr>
          <w:rFonts w:hint="eastAsia" w:ascii="宋体" w:hAnsi="宋体" w:eastAsia="宋体" w:cs="宋体"/>
          <w:color w:val="auto"/>
          <w:sz w:val="24"/>
          <w:szCs w:val="24"/>
          <w:lang w:val="en-US" w:eastAsia="zh-CN"/>
        </w:rPr>
        <w:t>企业，要求营业执照经营范围须具有毒害草治理或草场综合治理等相关内容。</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在“信用中国”（www.creditchina.gov.cn）网站中-信用服务里未被列入失信被执行人、重大税收违法案件当事人名单以及政府采购严重违法失信行为记录名单和中国政府采购网（www.ccgp.gov.cn）网站上未被列入失信政府采购严重违法失信行为记录名单。</w:t>
      </w:r>
    </w:p>
    <w:p>
      <w:pPr>
        <w:spacing w:line="360" w:lineRule="auto"/>
        <w:ind w:firstLine="480" w:firstLineChars="200"/>
        <w:textAlignment w:val="auto"/>
        <w:rPr>
          <w:rFonts w:hint="eastAsia" w:ascii="宋体" w:hAnsi="宋体" w:eastAsia="宋体" w:cs="宋体"/>
          <w:color w:val="auto"/>
          <w:sz w:val="24"/>
          <w:szCs w:val="24"/>
          <w:shd w:val="clear" w:color="050000" w:fill="auto"/>
        </w:rPr>
      </w:pPr>
      <w:r>
        <w:rPr>
          <w:rFonts w:hint="eastAsia" w:ascii="宋体" w:hAnsi="宋体" w:eastAsia="宋体" w:cs="宋体"/>
          <w:color w:val="auto"/>
          <w:sz w:val="24"/>
          <w:szCs w:val="24"/>
          <w:lang w:val="en-US" w:eastAsia="zh-CN"/>
        </w:rPr>
        <w:t>（3）本项目不接受联合体投</w:t>
      </w:r>
      <w:r>
        <w:rPr>
          <w:rFonts w:hint="eastAsia" w:ascii="宋体" w:hAnsi="宋体" w:eastAsia="宋体" w:cs="宋体"/>
          <w:color w:val="auto"/>
          <w:sz w:val="24"/>
          <w:szCs w:val="24"/>
          <w:shd w:val="clear" w:color="050000" w:fill="auto"/>
        </w:rPr>
        <w:t>标，不允许分包或转包。</w:t>
      </w:r>
    </w:p>
    <w:p>
      <w:pPr>
        <w:pStyle w:val="13"/>
        <w:spacing w:line="360" w:lineRule="auto"/>
        <w:rPr>
          <w:rFonts w:hint="eastAsia" w:ascii="宋体" w:hAnsi="宋体" w:eastAsia="宋体" w:cs="宋体"/>
          <w:color w:val="auto"/>
          <w:sz w:val="24"/>
          <w:szCs w:val="24"/>
        </w:rPr>
      </w:pPr>
    </w:p>
    <w:p>
      <w:pPr>
        <w:pStyle w:val="4"/>
        <w:numPr>
          <w:ilvl w:val="1"/>
          <w:numId w:val="0"/>
        </w:numPr>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bookmarkEnd w:id="11"/>
      <w:bookmarkEnd w:id="12"/>
      <w:bookmarkEnd w:id="13"/>
      <w:bookmarkEnd w:id="14"/>
    </w:p>
    <w:p>
      <w:pPr>
        <w:spacing w:line="360" w:lineRule="auto"/>
        <w:ind w:firstLine="540"/>
        <w:textAlignment w:val="auto"/>
        <w:rPr>
          <w:rFonts w:hint="eastAsia" w:ascii="宋体" w:hAnsi="宋体" w:eastAsia="宋体" w:cs="宋体"/>
          <w:color w:val="auto"/>
          <w:sz w:val="24"/>
          <w:szCs w:val="24"/>
          <w:u w:val="single"/>
        </w:rPr>
      </w:pPr>
      <w:bookmarkStart w:id="15" w:name="_Toc28359005"/>
      <w:bookmarkStart w:id="16" w:name="_Toc28359082"/>
      <w:bookmarkStart w:id="17" w:name="_Toc35393624"/>
      <w:bookmarkStart w:id="18" w:name="_Toc35393793"/>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2021年</w:t>
      </w: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rPr>
        <w:t>日至 2021年</w:t>
      </w: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13</w:t>
      </w:r>
      <w:r>
        <w:rPr>
          <w:rFonts w:hint="eastAsia" w:ascii="宋体" w:hAnsi="宋体" w:eastAsia="宋体" w:cs="宋体"/>
          <w:color w:val="auto"/>
          <w:sz w:val="24"/>
          <w:szCs w:val="24"/>
          <w:u w:val="single"/>
        </w:rPr>
        <w:t>日，每天上午10：00至14：00，下午15：30至19：30（北京时间，法定节假日除外）</w:t>
      </w:r>
      <w:r>
        <w:rPr>
          <w:rFonts w:hint="eastAsia" w:ascii="宋体" w:hAnsi="宋体" w:eastAsia="宋体" w:cs="宋体"/>
          <w:color w:val="auto"/>
          <w:sz w:val="24"/>
          <w:szCs w:val="24"/>
        </w:rPr>
        <w:t>。</w:t>
      </w:r>
    </w:p>
    <w:p>
      <w:pPr>
        <w:spacing w:line="360" w:lineRule="auto"/>
        <w:ind w:firstLine="5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地点：</w:t>
      </w:r>
      <w:r>
        <w:rPr>
          <w:rFonts w:hint="eastAsia" w:ascii="宋体" w:hAnsi="宋体" w:cs="宋体"/>
          <w:color w:val="auto"/>
          <w:sz w:val="24"/>
          <w:szCs w:val="24"/>
          <w:lang w:eastAsia="zh-CN"/>
        </w:rPr>
        <w:t>伊宁市北环西路火车站加油站旁写字楼四楼</w:t>
      </w:r>
      <w:r>
        <w:rPr>
          <w:rFonts w:hint="eastAsia" w:ascii="宋体" w:hAnsi="宋体" w:eastAsia="宋体" w:cs="宋体"/>
          <w:color w:val="auto"/>
          <w:sz w:val="24"/>
          <w:szCs w:val="24"/>
        </w:rPr>
        <w:t>。</w:t>
      </w:r>
    </w:p>
    <w:p>
      <w:pPr>
        <w:spacing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现场购买。</w:t>
      </w:r>
      <w:r>
        <w:rPr>
          <w:rFonts w:hint="eastAsia" w:ascii="宋体" w:hAnsi="宋体" w:eastAsia="宋体" w:cs="宋体"/>
          <w:color w:val="auto"/>
          <w:sz w:val="24"/>
          <w:szCs w:val="24"/>
        </w:rPr>
        <w:t>  </w:t>
      </w:r>
    </w:p>
    <w:p>
      <w:pPr>
        <w:spacing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en-US"/>
        </w:rPr>
        <w:t>0</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rPr>
        <w:t>/本。</w:t>
      </w:r>
    </w:p>
    <w:p>
      <w:pPr>
        <w:pStyle w:val="4"/>
        <w:numPr>
          <w:ilvl w:val="1"/>
          <w:numId w:val="0"/>
        </w:numPr>
        <w:spacing w:line="360" w:lineRule="auto"/>
        <w:textAlignment w:val="auto"/>
        <w:rPr>
          <w:rFonts w:hint="eastAsia" w:ascii="宋体" w:hAnsi="宋体" w:eastAsia="宋体" w:cs="宋体"/>
          <w:color w:val="auto"/>
          <w:sz w:val="24"/>
          <w:szCs w:val="24"/>
        </w:rPr>
      </w:pPr>
    </w:p>
    <w:p>
      <w:pPr>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四、提交投标文件</w:t>
      </w:r>
      <w:bookmarkEnd w:id="15"/>
      <w:bookmarkEnd w:id="16"/>
      <w:r>
        <w:rPr>
          <w:rFonts w:hint="eastAsia" w:ascii="宋体" w:hAnsi="宋体" w:eastAsia="宋体" w:cs="宋体"/>
          <w:color w:val="auto"/>
          <w:sz w:val="24"/>
          <w:szCs w:val="24"/>
          <w:lang w:eastAsia="zh-CN"/>
        </w:rPr>
        <w:t>截止时间、开标时间和地点</w:t>
      </w:r>
      <w:bookmarkEnd w:id="17"/>
      <w:bookmarkEnd w:id="18"/>
    </w:p>
    <w:p>
      <w:pPr>
        <w:spacing w:line="360" w:lineRule="auto"/>
        <w:ind w:firstLine="480" w:firstLineChars="200"/>
        <w:textAlignment w:val="auto"/>
        <w:rPr>
          <w:rFonts w:hint="eastAsia" w:ascii="宋体" w:hAnsi="宋体" w:eastAsia="宋体" w:cs="宋体"/>
          <w:color w:val="auto"/>
          <w:sz w:val="24"/>
          <w:szCs w:val="24"/>
          <w:lang w:eastAsia="zh-CN"/>
        </w:rPr>
      </w:pPr>
      <w:bookmarkStart w:id="19" w:name="_Toc28359084"/>
      <w:bookmarkStart w:id="20" w:name="_Toc28359007"/>
      <w:bookmarkStart w:id="21" w:name="_Toc35393794"/>
      <w:bookmarkStart w:id="22" w:name="_Toc35393625"/>
      <w:r>
        <w:rPr>
          <w:rFonts w:hint="eastAsia" w:ascii="宋体" w:hAnsi="宋体" w:eastAsia="宋体" w:cs="宋体"/>
          <w:color w:val="auto"/>
          <w:sz w:val="24"/>
          <w:szCs w:val="24"/>
          <w:lang w:eastAsia="zh-CN"/>
        </w:rPr>
        <w:t>截止时间：2021年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eastAsia="zh-CN"/>
        </w:rPr>
        <w:t>分（北京时间）</w:t>
      </w:r>
    </w:p>
    <w:p>
      <w:pPr>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投标地点（网址）：</w:t>
      </w:r>
      <w:r>
        <w:rPr>
          <w:rFonts w:hint="eastAsia" w:ascii="宋体" w:hAnsi="宋体" w:eastAsia="宋体" w:cs="宋体"/>
          <w:color w:val="auto"/>
          <w:sz w:val="24"/>
          <w:szCs w:val="24"/>
        </w:rPr>
        <w:t>察布查尔县文昌路文昌苑行政服务中心五楼。</w:t>
      </w:r>
    </w:p>
    <w:p>
      <w:pPr>
        <w:pStyle w:val="4"/>
        <w:numPr>
          <w:ilvl w:val="1"/>
          <w:numId w:val="0"/>
        </w:numPr>
        <w:spacing w:line="360" w:lineRule="auto"/>
        <w:textAlignment w:val="auto"/>
        <w:rPr>
          <w:rFonts w:hint="eastAsia" w:ascii="宋体" w:hAnsi="宋体" w:eastAsia="宋体" w:cs="宋体"/>
          <w:color w:val="auto"/>
          <w:sz w:val="24"/>
          <w:szCs w:val="24"/>
        </w:rPr>
      </w:pPr>
    </w:p>
    <w:p>
      <w:pPr>
        <w:pStyle w:val="4"/>
        <w:numPr>
          <w:ilvl w:val="1"/>
          <w:numId w:val="0"/>
        </w:numPr>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五、公告期限</w:t>
      </w:r>
      <w:bookmarkEnd w:id="19"/>
      <w:bookmarkEnd w:id="20"/>
      <w:bookmarkEnd w:id="21"/>
      <w:bookmarkEnd w:id="22"/>
    </w:p>
    <w:p>
      <w:pPr>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bookmarkStart w:id="23" w:name="_Toc35393626"/>
      <w:bookmarkStart w:id="24" w:name="_Toc35393795"/>
    </w:p>
    <w:p>
      <w:pPr>
        <w:pStyle w:val="13"/>
        <w:rPr>
          <w:rFonts w:hint="eastAsia"/>
          <w:color w:val="auto"/>
        </w:rPr>
      </w:pPr>
    </w:p>
    <w:p>
      <w:pPr>
        <w:numPr>
          <w:ilvl w:val="0"/>
          <w:numId w:val="3"/>
        </w:numPr>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其他补充事宜</w:t>
      </w:r>
      <w:bookmarkEnd w:id="23"/>
      <w:bookmarkEnd w:id="24"/>
    </w:p>
    <w:p>
      <w:pPr>
        <w:numPr>
          <w:ilvl w:val="0"/>
          <w:numId w:val="0"/>
        </w:numPr>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领取招标文件所需提供的资料：</w:t>
      </w:r>
      <w:bookmarkStart w:id="25" w:name="_Toc35393627"/>
      <w:bookmarkStart w:id="26" w:name="_Toc35393796"/>
      <w:bookmarkStart w:id="27" w:name="_Toc28359085"/>
      <w:bookmarkStart w:id="28" w:name="_Toc28359008"/>
      <w:r>
        <w:rPr>
          <w:rFonts w:hint="eastAsia" w:ascii="宋体" w:hAnsi="宋体" w:eastAsia="宋体" w:cs="宋体"/>
          <w:color w:val="auto"/>
          <w:sz w:val="24"/>
          <w:szCs w:val="24"/>
          <w:lang w:val="en-US" w:eastAsia="zh-CN"/>
        </w:rPr>
        <w:t>标项一、标项二和标项五：①投标单位应具备有效的营业执照</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法人身份证明或法定代表人授权委托书及委托代理人身份证</w:t>
      </w:r>
      <w:r>
        <w:rPr>
          <w:rFonts w:hint="eastAsia" w:ascii="宋体" w:hAnsi="宋体" w:eastAsia="宋体" w:cs="宋体"/>
          <w:color w:val="auto"/>
          <w:sz w:val="24"/>
          <w:szCs w:val="24"/>
          <w:lang w:eastAsia="zh-CN"/>
        </w:rPr>
        <w:t>。</w:t>
      </w:r>
    </w:p>
    <w:p>
      <w:pPr>
        <w:spacing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标项三和标项四：①投标单位应具备有效的营业执照</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法人身份证明或法定代表人授权委托书及委托代理人身份证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③投标人需</w:t>
      </w:r>
      <w:r>
        <w:rPr>
          <w:rFonts w:hint="default" w:ascii="Times New Roman" w:hAnsi="Times New Roman" w:eastAsia="宋体" w:cs="Times New Roman"/>
          <w:color w:val="auto"/>
          <w:sz w:val="24"/>
          <w:szCs w:val="24"/>
          <w:lang w:val="en-US" w:eastAsia="zh-CN"/>
        </w:rPr>
        <w:t>具备有效的</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草种经营许可证</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或</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草种生产许可证</w:t>
      </w:r>
      <w:r>
        <w:rPr>
          <w:rFonts w:hint="eastAsia" w:ascii="Times New Roman" w:hAnsi="Times New Roman" w:eastAsia="宋体" w:cs="Times New Roman"/>
          <w:color w:val="auto"/>
          <w:sz w:val="24"/>
          <w:szCs w:val="24"/>
          <w:lang w:val="en-US" w:eastAsia="zh-CN"/>
        </w:rPr>
        <w:t>》</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（注：以上要求证件均为原件查验，并且同时须提供复印件三套</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单面复印按先后顺序装订。）</w:t>
      </w:r>
    </w:p>
    <w:p>
      <w:pPr>
        <w:pStyle w:val="13"/>
        <w:spacing w:line="360" w:lineRule="auto"/>
        <w:rPr>
          <w:rFonts w:hint="eastAsia" w:ascii="宋体" w:hAnsi="宋体" w:eastAsia="宋体" w:cs="宋体"/>
          <w:color w:val="auto"/>
          <w:sz w:val="24"/>
          <w:szCs w:val="24"/>
          <w:lang w:val="en-US" w:eastAsia="zh-CN"/>
        </w:rPr>
      </w:pPr>
    </w:p>
    <w:p>
      <w:pPr>
        <w:pStyle w:val="4"/>
        <w:numPr>
          <w:ilvl w:val="1"/>
          <w:numId w:val="0"/>
        </w:numPr>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七、对本次招标提出询问，请按以下方式联系。</w:t>
      </w:r>
      <w:bookmarkEnd w:id="25"/>
      <w:bookmarkEnd w:id="26"/>
      <w:bookmarkEnd w:id="27"/>
      <w:bookmarkEnd w:id="28"/>
    </w:p>
    <w:p>
      <w:pPr>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1.采购人信息</w:t>
      </w:r>
    </w:p>
    <w:p>
      <w:pPr>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w:t>
      </w:r>
      <w:r>
        <w:rPr>
          <w:rFonts w:hint="eastAsia" w:ascii="宋体" w:hAnsi="宋体" w:eastAsia="宋体" w:cs="宋体"/>
          <w:color w:val="auto"/>
          <w:kern w:val="0"/>
          <w:sz w:val="24"/>
          <w:szCs w:val="24"/>
          <w:lang w:val="en-US" w:eastAsia="zh-CN"/>
        </w:rPr>
        <w:t>察布查尔锡伯自治县林业和草原局</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地址：</w:t>
      </w:r>
      <w:r>
        <w:rPr>
          <w:rFonts w:hint="eastAsia" w:ascii="宋体" w:hAnsi="宋体" w:eastAsia="宋体" w:cs="宋体"/>
          <w:color w:val="auto"/>
          <w:kern w:val="0"/>
          <w:sz w:val="24"/>
          <w:szCs w:val="24"/>
          <w:lang w:val="en-US" w:eastAsia="zh-CN"/>
        </w:rPr>
        <w:t>察布查尔县</w:t>
      </w:r>
    </w:p>
    <w:p>
      <w:pPr>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w:t>
      </w:r>
      <w:r>
        <w:rPr>
          <w:rFonts w:hint="eastAsia" w:ascii="宋体" w:hAnsi="宋体" w:cs="宋体"/>
          <w:color w:val="auto"/>
          <w:sz w:val="24"/>
          <w:szCs w:val="24"/>
          <w:lang w:eastAsia="zh-CN"/>
        </w:rPr>
        <w:t>18293340612</w:t>
      </w:r>
    </w:p>
    <w:p>
      <w:pPr>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2.采购代理机构信息 </w:t>
      </w:r>
    </w:p>
    <w:p>
      <w:pPr>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w:t>
      </w:r>
      <w:r>
        <w:rPr>
          <w:rFonts w:hint="eastAsia" w:ascii="宋体" w:hAnsi="宋体" w:cs="宋体"/>
          <w:color w:val="auto"/>
          <w:sz w:val="24"/>
          <w:szCs w:val="24"/>
          <w:lang w:eastAsia="zh-CN"/>
        </w:rPr>
        <w:t>新疆宇励设计有限公司</w:t>
      </w:r>
      <w:r>
        <w:rPr>
          <w:rFonts w:hint="eastAsia" w:ascii="宋体" w:hAnsi="宋体" w:eastAsia="宋体" w:cs="宋体"/>
          <w:color w:val="auto"/>
          <w:sz w:val="24"/>
          <w:szCs w:val="24"/>
          <w:lang w:eastAsia="zh-CN"/>
        </w:rPr>
        <w:t>　　　　　　　　　　　</w:t>
      </w:r>
    </w:p>
    <w:p>
      <w:pPr>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w:t>
      </w:r>
      <w:r>
        <w:rPr>
          <w:rFonts w:hint="eastAsia" w:ascii="宋体" w:hAnsi="宋体" w:cs="宋体"/>
          <w:color w:val="auto"/>
          <w:sz w:val="24"/>
          <w:szCs w:val="24"/>
          <w:lang w:eastAsia="zh-CN"/>
        </w:rPr>
        <w:t>伊宁市北环西路火车站加油站旁写字楼四楼</w:t>
      </w:r>
      <w:r>
        <w:rPr>
          <w:rFonts w:hint="eastAsia" w:ascii="宋体" w:hAnsi="宋体" w:eastAsia="宋体" w:cs="宋体"/>
          <w:color w:val="auto"/>
          <w:sz w:val="24"/>
          <w:szCs w:val="24"/>
          <w:lang w:eastAsia="zh-CN"/>
        </w:rPr>
        <w:t>。</w:t>
      </w:r>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联系方式：</w:t>
      </w:r>
      <w:bookmarkStart w:id="29" w:name="_Toc28359087"/>
      <w:bookmarkStart w:id="30" w:name="_Toc28359010"/>
      <w:r>
        <w:rPr>
          <w:rFonts w:hint="eastAsia" w:ascii="宋体" w:hAnsi="宋体" w:eastAsia="宋体" w:cs="宋体"/>
          <w:color w:val="auto"/>
          <w:sz w:val="24"/>
          <w:szCs w:val="24"/>
          <w:lang w:val="en-US" w:eastAsia="zh-CN"/>
        </w:rPr>
        <w:t xml:space="preserve">15292617210   </w:t>
      </w:r>
    </w:p>
    <w:p>
      <w:pPr>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3.项目联系方式</w:t>
      </w:r>
      <w:bookmarkEnd w:id="29"/>
      <w:bookmarkEnd w:id="30"/>
    </w:p>
    <w:p>
      <w:pPr>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项目联系人：</w:t>
      </w:r>
      <w:r>
        <w:rPr>
          <w:rFonts w:hint="eastAsia" w:ascii="宋体" w:hAnsi="宋体" w:cs="宋体"/>
          <w:color w:val="auto"/>
          <w:sz w:val="24"/>
          <w:szCs w:val="24"/>
          <w:lang w:eastAsia="zh-CN"/>
        </w:rPr>
        <w:t>邱一涛</w:t>
      </w:r>
    </w:p>
    <w:p>
      <w:pPr>
        <w:spacing w:line="360" w:lineRule="auto"/>
        <w:ind w:firstLine="480" w:firstLineChars="200"/>
        <w:textAlignment w:val="auto"/>
        <w:rPr>
          <w:color w:val="auto"/>
        </w:rPr>
      </w:pPr>
      <w:r>
        <w:rPr>
          <w:rFonts w:hint="eastAsia" w:ascii="宋体" w:hAnsi="宋体" w:eastAsia="宋体" w:cs="宋体"/>
          <w:color w:val="auto"/>
          <w:sz w:val="24"/>
          <w:szCs w:val="24"/>
          <w:lang w:eastAsia="zh-CN"/>
        </w:rPr>
        <w:t>电　话：</w:t>
      </w:r>
      <w:r>
        <w:rPr>
          <w:rFonts w:hint="eastAsia" w:ascii="宋体" w:hAnsi="宋体" w:cs="宋体"/>
          <w:color w:val="auto"/>
          <w:sz w:val="24"/>
          <w:szCs w:val="24"/>
          <w:lang w:val="en-US" w:eastAsia="zh-CN"/>
        </w:rPr>
        <w:t>18093357862</w:t>
      </w:r>
      <w:r>
        <w:rPr>
          <w:rFonts w:hint="eastAsia" w:ascii="宋体" w:hAnsi="宋体" w:eastAsia="宋体" w:cs="宋体"/>
          <w:color w:val="auto"/>
          <w:sz w:val="24"/>
          <w:szCs w:val="24"/>
          <w:lang w:val="en-US" w:eastAsia="zh-CN"/>
        </w:rPr>
        <w:t xml:space="preserve"> </w:t>
      </w:r>
      <w:r>
        <w:rPr>
          <w:rStyle w:val="90"/>
          <w:rFonts w:hint="eastAsia" w:ascii="宋体" w:hAnsi="宋体" w:cs="宋体"/>
          <w:color w:val="auto"/>
          <w:sz w:val="24"/>
          <w:szCs w:val="24"/>
          <w:lang w:val="en-US" w:eastAsia="zh-CN"/>
        </w:rPr>
        <w:t>15292617210</w:t>
      </w:r>
      <w:r>
        <w:rPr>
          <w:rStyle w:val="90"/>
          <w:rFonts w:hint="eastAsia" w:ascii="宋体" w:hAnsi="宋体" w:eastAsia="宋体" w:cs="宋体"/>
          <w:color w:val="auto"/>
          <w:sz w:val="24"/>
          <w:szCs w:val="24"/>
          <w:lang w:val="en-US" w:eastAsia="zh-CN"/>
        </w:rPr>
        <w:t xml:space="preserve">  </w:t>
      </w: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wordWrap w:val="0"/>
        <w:autoSpaceDE w:val="0"/>
        <w:autoSpaceDN w:val="0"/>
        <w:adjustRightInd w:val="0"/>
        <w:spacing w:line="360" w:lineRule="auto"/>
        <w:jc w:val="center"/>
        <w:textAlignment w:val="auto"/>
        <w:rPr>
          <w:b/>
          <w:color w:val="auto"/>
          <w:sz w:val="32"/>
          <w:szCs w:val="32"/>
        </w:rPr>
      </w:pPr>
      <w:r>
        <w:rPr>
          <w:rFonts w:hint="eastAsia"/>
          <w:b/>
          <w:color w:val="auto"/>
          <w:sz w:val="32"/>
          <w:szCs w:val="32"/>
          <w:lang w:val="en-US" w:eastAsia="zh-CN"/>
        </w:rPr>
        <w:t xml:space="preserve">第二章  </w:t>
      </w:r>
      <w:r>
        <w:rPr>
          <w:b/>
          <w:color w:val="auto"/>
          <w:sz w:val="32"/>
          <w:szCs w:val="32"/>
        </w:rPr>
        <w:t>投标人须知</w:t>
      </w:r>
      <w:bookmarkEnd w:id="1"/>
    </w:p>
    <w:p>
      <w:pPr>
        <w:widowControl w:val="0"/>
        <w:numPr>
          <w:ilvl w:val="0"/>
          <w:numId w:val="0"/>
        </w:numPr>
        <w:snapToGrid w:val="0"/>
        <w:spacing w:beforeLines="50" w:afterLines="50" w:line="360" w:lineRule="auto"/>
        <w:jc w:val="center"/>
        <w:outlineLvl w:val="1"/>
        <w:rPr>
          <w:b/>
          <w:color w:val="auto"/>
          <w:sz w:val="28"/>
          <w:szCs w:val="28"/>
        </w:rPr>
      </w:pPr>
      <w:bookmarkStart w:id="31" w:name="_Toc16335"/>
      <w:bookmarkStart w:id="32" w:name="_Toc16929"/>
      <w:r>
        <w:rPr>
          <w:rFonts w:hint="eastAsia"/>
          <w:b/>
          <w:color w:val="auto"/>
          <w:sz w:val="28"/>
          <w:szCs w:val="28"/>
          <w:lang w:eastAsia="zh-CN"/>
        </w:rPr>
        <w:t>（一）</w:t>
      </w:r>
      <w:r>
        <w:rPr>
          <w:b/>
          <w:color w:val="auto"/>
          <w:sz w:val="28"/>
          <w:szCs w:val="28"/>
        </w:rPr>
        <w:t>投标人须知前附表</w:t>
      </w:r>
      <w:bookmarkEnd w:id="31"/>
    </w:p>
    <w:p>
      <w:pPr>
        <w:spacing w:line="360" w:lineRule="auto"/>
        <w:rPr>
          <w:color w:val="auto"/>
        </w:rPr>
      </w:pPr>
      <w:r>
        <w:rPr>
          <w:color w:val="auto"/>
        </w:rPr>
        <w:t>本须知前附表的条款</w:t>
      </w:r>
      <w:r>
        <w:rPr>
          <w:color w:val="auto"/>
          <w:szCs w:val="22"/>
        </w:rPr>
        <w:t>号是与《投标人须知》中条款</w:t>
      </w:r>
      <w:r>
        <w:rPr>
          <w:color w:val="auto"/>
        </w:rPr>
        <w:t>的项目相对应的。如果有矛盾，应以本须知前附表为准。</w:t>
      </w:r>
    </w:p>
    <w:tbl>
      <w:tblPr>
        <w:tblStyle w:val="29"/>
        <w:tblpPr w:leftFromText="180" w:rightFromText="180" w:vertAnchor="text" w:horzAnchor="page" w:tblpXSpec="center" w:tblpY="614"/>
        <w:tblOverlap w:val="never"/>
        <w:tblW w:w="1002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1"/>
        <w:gridCol w:w="1744"/>
        <w:gridCol w:w="731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2"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b/>
                <w:color w:val="auto"/>
                <w:szCs w:val="21"/>
              </w:rPr>
            </w:pPr>
            <w:r>
              <w:rPr>
                <w:rFonts w:ascii="Times New Roman" w:hAnsi="Times New Roman"/>
                <w:b/>
                <w:color w:val="auto"/>
                <w:szCs w:val="21"/>
              </w:rPr>
              <w:t>条款号</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b/>
                <w:color w:val="auto"/>
                <w:szCs w:val="21"/>
              </w:rPr>
            </w:pPr>
            <w:r>
              <w:rPr>
                <w:rFonts w:ascii="Times New Roman" w:hAnsi="Times New Roman"/>
                <w:b/>
                <w:color w:val="auto"/>
                <w:szCs w:val="21"/>
              </w:rPr>
              <w:t>内容</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b/>
                <w:color w:val="auto"/>
                <w:szCs w:val="21"/>
              </w:rPr>
            </w:pPr>
            <w:r>
              <w:rPr>
                <w:rFonts w:ascii="Times New Roman" w:hAnsi="Times New Roman"/>
                <w:b/>
                <w:color w:val="auto"/>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9"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1.1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项目名称</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val="en-US" w:eastAsia="zh-CN"/>
              </w:rPr>
              <w:t>察布查尔县2021年天山和阿尔泰山森林草原保护项目</w:t>
            </w:r>
            <w:r>
              <w:rPr>
                <w:rFonts w:hint="eastAsia" w:ascii="Times New Roman" w:hAnsi="Times New Roman" w:cs="Times New Roman"/>
                <w:color w:val="auto"/>
                <w:szCs w:val="21"/>
                <w:lang w:val="en-US" w:eastAsia="zh-CN"/>
              </w:rPr>
              <w:t>（一标段）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1"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1.1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项目编号</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color w:val="auto"/>
                <w:szCs w:val="21"/>
                <w:lang w:val="en-US" w:eastAsia="zh-CN"/>
              </w:rPr>
            </w:pPr>
            <w:r>
              <w:rPr>
                <w:rFonts w:hint="eastAsia" w:ascii="Times New Roman" w:hAnsi="Times New Roman"/>
                <w:color w:val="auto"/>
                <w:szCs w:val="21"/>
                <w:lang w:eastAsia="zh-CN"/>
              </w:rPr>
              <w:t>XJ-YLZB-2021-02</w:t>
            </w:r>
            <w:r>
              <w:rPr>
                <w:rFonts w:hint="eastAsia" w:ascii="Times New Roman" w:hAnsi="Times New Roman"/>
                <w:color w:val="auto"/>
                <w:szCs w:val="21"/>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7"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1.1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olor w:val="auto"/>
                <w:szCs w:val="21"/>
                <w:lang w:eastAsia="zh-CN"/>
              </w:rPr>
            </w:pPr>
            <w:r>
              <w:rPr>
                <w:rFonts w:hint="eastAsia" w:ascii="Times New Roman" w:hAnsi="Times New Roman"/>
                <w:color w:val="auto"/>
                <w:szCs w:val="21"/>
                <w:lang w:eastAsia="zh-CN"/>
              </w:rPr>
              <w:t>合同履行期限</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color w:val="auto"/>
                <w:szCs w:val="21"/>
                <w:lang w:val="en-US" w:eastAsia="zh-CN"/>
              </w:rPr>
            </w:pPr>
            <w:r>
              <w:rPr>
                <w:rFonts w:hint="eastAsia" w:ascii="Times New Roman" w:hAnsi="Times New Roman"/>
                <w:color w:val="auto"/>
                <w:szCs w:val="21"/>
                <w:lang w:val="en-US" w:eastAsia="zh-CN"/>
              </w:rPr>
              <w:t>2022年3月15至2022年5月31日，总工期：78日历天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7"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1.1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项目地点</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察布查尔县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62"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1.2</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招标人及联系人</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单位名称：</w:t>
            </w:r>
            <w:r>
              <w:rPr>
                <w:rFonts w:hint="eastAsia" w:ascii="Times New Roman" w:hAnsi="Times New Roman" w:eastAsia="宋体" w:cs="Times New Roman"/>
                <w:color w:val="auto"/>
                <w:szCs w:val="21"/>
                <w:lang w:val="en-US" w:eastAsia="zh-CN"/>
              </w:rPr>
              <w:t>察布查尔锡伯自治县林业和草原局</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联系人</w:t>
            </w:r>
            <w:r>
              <w:rPr>
                <w:rFonts w:hint="eastAsia" w:ascii="Times New Roman" w:hAnsi="Times New Roman" w:eastAsia="宋体" w:cs="Times New Roman"/>
                <w:color w:val="auto"/>
                <w:szCs w:val="21"/>
                <w:lang w:val="en-US" w:eastAsia="zh-CN"/>
              </w:rPr>
              <w:t>：王欢    联系电话：</w:t>
            </w:r>
            <w:r>
              <w:rPr>
                <w:rFonts w:hint="eastAsia" w:ascii="Times New Roman" w:hAnsi="Times New Roman" w:cs="Times New Roman"/>
                <w:color w:val="auto"/>
                <w:szCs w:val="21"/>
                <w:lang w:val="en-US" w:eastAsia="zh-CN"/>
              </w:rPr>
              <w:t>18293340612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7"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1.2</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代理机构及联系人</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招标代理机构：</w:t>
            </w:r>
            <w:r>
              <w:rPr>
                <w:rFonts w:hint="eastAsia" w:ascii="Times New Roman" w:hAnsi="Times New Roman" w:cs="Times New Roman"/>
                <w:color w:val="auto"/>
                <w:szCs w:val="21"/>
                <w:lang w:eastAsia="zh-CN"/>
              </w:rPr>
              <w:t>新疆宇励设计有限公司</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联系人：</w:t>
            </w:r>
            <w:r>
              <w:rPr>
                <w:rFonts w:hint="eastAsia" w:ascii="Times New Roman" w:hAnsi="Times New Roman" w:cs="Times New Roman"/>
                <w:color w:val="auto"/>
                <w:szCs w:val="21"/>
                <w:lang w:eastAsia="zh-CN"/>
              </w:rPr>
              <w:t>邱一涛</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联系电话：</w:t>
            </w:r>
            <w:r>
              <w:rPr>
                <w:rFonts w:hint="eastAsia" w:ascii="Times New Roman" w:hAnsi="Times New Roman" w:cs="Times New Roman"/>
                <w:color w:val="auto"/>
                <w:szCs w:val="21"/>
                <w:lang w:val="en-US" w:eastAsia="zh-CN"/>
              </w:rPr>
              <w:t xml:space="preserve">18093357862 </w:t>
            </w:r>
            <w:r>
              <w:rPr>
                <w:rFonts w:hint="eastAsia" w:ascii="Times New Roman" w:hAnsi="Times New Roman" w:eastAsia="宋体" w:cs="Times New Roman"/>
                <w:color w:val="auto"/>
                <w:szCs w:val="21"/>
                <w:lang w:val="en-US" w:eastAsia="zh-CN"/>
              </w:rPr>
              <w:t xml:space="preserve"> </w:t>
            </w:r>
            <w:r>
              <w:rPr>
                <w:rFonts w:hint="eastAsia" w:ascii="Times New Roman" w:hAnsi="Times New Roman" w:cs="Times New Roman"/>
                <w:color w:val="auto"/>
                <w:szCs w:val="21"/>
                <w:lang w:val="en-US" w:eastAsia="zh-CN"/>
              </w:rPr>
              <w:t>15292617210</w:t>
            </w:r>
            <w:r>
              <w:rPr>
                <w:rFonts w:hint="eastAsia" w:ascii="Times New Roman" w:hAnsi="Times New Roman" w:eastAsia="宋体" w:cs="Times New Roman"/>
                <w:color w:val="auto"/>
                <w:szCs w:val="21"/>
                <w:lang w:eastAsia="zh-CN"/>
              </w:rPr>
              <w:t xml:space="preserve"> </w:t>
            </w:r>
            <w:r>
              <w:rPr>
                <w:rFonts w:hint="eastAsia" w:ascii="Times New Roman" w:hAnsi="Times New Roman" w:eastAsia="宋体" w:cs="Times New Roman"/>
                <w:color w:val="auto"/>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7"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1.3</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资金来源</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中央预算内资金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40"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2.1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项目概况</w:t>
            </w:r>
          </w:p>
        </w:tc>
        <w:tc>
          <w:tcPr>
            <w:tcW w:w="7316" w:type="dxa"/>
            <w:vAlign w:val="center"/>
          </w:tcPr>
          <w:p>
            <w:pPr>
              <w:spacing w:line="440" w:lineRule="exact"/>
              <w:textAlignment w:val="auto"/>
              <w:rPr>
                <w:rFonts w:hint="eastAsia"/>
                <w:color w:val="auto"/>
                <w:lang w:val="en-US" w:eastAsia="zh-CN"/>
              </w:rPr>
            </w:pPr>
            <w:r>
              <w:rPr>
                <w:rFonts w:hint="eastAsia" w:ascii="Times New Roman" w:hAnsi="Times New Roman" w:cs="Times New Roman"/>
                <w:color w:val="auto"/>
                <w:lang w:val="en-US" w:eastAsia="zh-CN"/>
              </w:rPr>
              <w:t>退化林修复建设规模0.2万亩，其中</w:t>
            </w:r>
            <w:r>
              <w:rPr>
                <w:rFonts w:hint="eastAsia" w:cs="Times New Roman"/>
                <w:color w:val="auto"/>
                <w:lang w:val="en-US" w:eastAsia="zh-CN"/>
              </w:rPr>
              <w:t>爱新舍里镇</w:t>
            </w:r>
            <w:r>
              <w:rPr>
                <w:rFonts w:hint="eastAsia" w:ascii="Times New Roman" w:hAnsi="Times New Roman" w:cs="Times New Roman"/>
                <w:color w:val="auto"/>
                <w:lang w:val="en-US" w:eastAsia="zh-CN"/>
              </w:rPr>
              <w:t>356.2亩、</w:t>
            </w:r>
            <w:r>
              <w:rPr>
                <w:rFonts w:hint="eastAsia" w:cs="Times New Roman"/>
                <w:color w:val="auto"/>
                <w:lang w:val="en-US" w:eastAsia="zh-CN"/>
              </w:rPr>
              <w:t>纳达齐牛录乡</w:t>
            </w:r>
            <w:r>
              <w:rPr>
                <w:rFonts w:hint="eastAsia" w:ascii="Times New Roman" w:hAnsi="Times New Roman" w:cs="Times New Roman"/>
                <w:color w:val="auto"/>
                <w:lang w:val="en-US" w:eastAsia="zh-CN"/>
              </w:rPr>
              <w:t>1279.1亩、绰霍尔乡364.7亩，其中包含</w:t>
            </w:r>
            <w:r>
              <w:rPr>
                <w:rFonts w:hint="eastAsia" w:cs="Times New Roman"/>
                <w:color w:val="auto"/>
                <w:lang w:val="en-US" w:eastAsia="zh-CN"/>
              </w:rPr>
              <w:t>枯死、濒死木全面补植更新</w:t>
            </w:r>
            <w:r>
              <w:rPr>
                <w:rFonts w:hint="eastAsia" w:ascii="Times New Roman" w:hAnsi="Times New Roman" w:cs="Times New Roman"/>
                <w:color w:val="auto"/>
                <w:lang w:val="en-US" w:eastAsia="zh-CN"/>
              </w:rPr>
              <w:t>、抚育管护，具体实施内容、技术参数及工程量详见招标文件。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3"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7.1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投标人资格条件及其他要求</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eastAsia="宋体" w:cs="Times New Roman"/>
                <w:color w:val="auto"/>
                <w:kern w:val="2"/>
                <w:sz w:val="21"/>
                <w:szCs w:val="21"/>
                <w:u w:color="000000"/>
                <w:lang w:val="en-US" w:eastAsia="zh-CN" w:bidi="ar-SA"/>
              </w:rPr>
              <w:t>1、资质要求：符合《中华人民共和国政府采购法》第二十二条的相关规定；供应商为“新疆政府采购网（http://www.ccgp-xinjiang.gov.cn/）”正式供应商，需具备有效的营业执照，并在人员、技术、</w:t>
            </w:r>
            <w:r>
              <w:rPr>
                <w:rFonts w:hint="eastAsia" w:ascii="Times New Roman" w:hAnsi="Times New Roman" w:cs="Times New Roman"/>
                <w:color w:val="auto"/>
                <w:kern w:val="2"/>
                <w:sz w:val="21"/>
                <w:szCs w:val="21"/>
                <w:u w:color="000000"/>
                <w:lang w:val="en-US" w:eastAsia="zh-CN" w:bidi="ar-SA"/>
              </w:rPr>
              <w:t>货物</w:t>
            </w:r>
            <w:r>
              <w:rPr>
                <w:rFonts w:hint="eastAsia" w:ascii="Times New Roman" w:hAnsi="Times New Roman" w:eastAsia="宋体" w:cs="Times New Roman"/>
                <w:color w:val="auto"/>
                <w:kern w:val="2"/>
                <w:sz w:val="21"/>
                <w:szCs w:val="21"/>
                <w:u w:color="000000"/>
                <w:lang w:val="en-US" w:eastAsia="zh-CN" w:bidi="ar-SA"/>
              </w:rPr>
              <w:t>等方面具有承担本项目的能力；</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1"/>
                <w:u w:color="000000"/>
                <w:lang w:val="zh-CN" w:eastAsia="zh-CN" w:bidi="ar-SA"/>
              </w:rPr>
            </w:pPr>
            <w:r>
              <w:rPr>
                <w:rFonts w:hint="eastAsia" w:ascii="Times New Roman" w:hAnsi="Times New Roman" w:eastAsia="宋体" w:cs="Times New Roman"/>
                <w:color w:val="auto"/>
                <w:kern w:val="2"/>
                <w:sz w:val="21"/>
                <w:szCs w:val="21"/>
                <w:u w:color="000000"/>
                <w:lang w:val="en-US" w:eastAsia="zh-CN" w:bidi="ar-SA"/>
              </w:rPr>
              <w:t>2、业绩要求：近三年2019年1月至今有类似项目业绩（须提供中标通知书或合同）；</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eastAsia="宋体" w:cs="Times New Roman"/>
                <w:color w:val="auto"/>
                <w:kern w:val="2"/>
                <w:sz w:val="21"/>
                <w:szCs w:val="21"/>
                <w:u w:color="000000"/>
                <w:lang w:val="en-US" w:eastAsia="zh-CN" w:bidi="ar-SA"/>
              </w:rPr>
              <w:t>3、财务要求：提供2020年度的财务报告（至少包括资产负债表和利润表</w:t>
            </w:r>
            <w:r>
              <w:rPr>
                <w:rFonts w:hint="eastAsia" w:ascii="Times New Roman" w:hAnsi="Times New Roman" w:cs="Times New Roman"/>
                <w:color w:val="auto"/>
                <w:kern w:val="2"/>
                <w:sz w:val="21"/>
                <w:szCs w:val="21"/>
                <w:u w:color="000000"/>
                <w:lang w:val="en-US" w:eastAsia="zh-CN" w:bidi="ar-SA"/>
              </w:rPr>
              <w:t>），</w:t>
            </w:r>
            <w:r>
              <w:rPr>
                <w:rFonts w:hint="eastAsia" w:ascii="Times New Roman" w:hAnsi="Times New Roman" w:eastAsia="宋体" w:cs="Times New Roman"/>
                <w:color w:val="auto"/>
                <w:kern w:val="2"/>
                <w:sz w:val="21"/>
                <w:szCs w:val="21"/>
                <w:u w:color="000000"/>
                <w:lang w:val="en-US" w:eastAsia="zh-CN" w:bidi="ar-SA"/>
              </w:rPr>
              <w:t>成立时间至提交响应文件截止时间不足一年的可提供成立后任意时段的资产负债表，或其基本存款账户开户银行出具的资信证明及基本存款账户开户许可证；</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eastAsia="宋体" w:cs="Times New Roman"/>
                <w:color w:val="auto"/>
                <w:kern w:val="2"/>
                <w:sz w:val="21"/>
                <w:szCs w:val="21"/>
                <w:u w:color="000000"/>
                <w:lang w:val="en-US" w:eastAsia="zh-CN" w:bidi="ar-SA"/>
              </w:rPr>
              <w:t>4、信誉要求：投标人须提供在“信用中国”（www.creditchina.gov.cn）和中国政府采购网（www.ccgp.gov.cn）</w:t>
            </w:r>
            <w:r>
              <w:rPr>
                <w:rFonts w:hint="eastAsia" w:ascii="Times New Roman" w:hAnsi="Times New Roman" w:cs="Times New Roman"/>
                <w:color w:val="auto"/>
                <w:kern w:val="2"/>
                <w:sz w:val="21"/>
                <w:szCs w:val="21"/>
                <w:u w:color="000000"/>
                <w:lang w:val="en-US" w:eastAsia="zh-CN" w:bidi="ar-SA"/>
              </w:rPr>
              <w:t>网站</w:t>
            </w:r>
            <w:r>
              <w:rPr>
                <w:rFonts w:hint="eastAsia" w:ascii="Times New Roman" w:hAnsi="Times New Roman" w:eastAsia="宋体" w:cs="Times New Roman"/>
                <w:color w:val="auto"/>
                <w:kern w:val="2"/>
                <w:sz w:val="21"/>
                <w:szCs w:val="21"/>
                <w:u w:color="000000"/>
                <w:lang w:val="en-US" w:eastAsia="zh-CN" w:bidi="ar-SA"/>
              </w:rPr>
              <w:t>上未被列入失信被执行人、重大税收违法案件当事人名单并下载信用报告以及政府采购严重违法失信行为记录名单的网页打印件（查询结果截图日期必须在发布公告日期之后且加盖公司公章当原件）。提供参加本次政府采购活动前三年内在经营活动中没有重大违纪，以及未被列入失信被执行人、重大税收违法案件当事人名单、政府采购严重违法失信行为记录名单的书面声明；</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cs="Times New Roman"/>
                <w:color w:val="auto"/>
                <w:kern w:val="2"/>
                <w:sz w:val="21"/>
                <w:szCs w:val="21"/>
                <w:u w:color="000000"/>
                <w:lang w:val="en-US" w:eastAsia="zh-CN" w:bidi="ar-SA"/>
              </w:rPr>
              <w:t>5</w:t>
            </w:r>
            <w:r>
              <w:rPr>
                <w:rFonts w:hint="eastAsia" w:ascii="Times New Roman" w:hAnsi="Times New Roman" w:eastAsia="宋体" w:cs="Times New Roman"/>
                <w:color w:val="auto"/>
                <w:kern w:val="2"/>
                <w:sz w:val="21"/>
                <w:szCs w:val="21"/>
                <w:u w:color="000000"/>
                <w:lang w:val="en-US" w:eastAsia="zh-CN" w:bidi="ar-SA"/>
              </w:rPr>
              <w:t>、其他要求：提供企业近半年（2021年</w:t>
            </w:r>
            <w:r>
              <w:rPr>
                <w:rFonts w:hint="eastAsia" w:ascii="Times New Roman" w:hAnsi="Times New Roman" w:cs="Times New Roman"/>
                <w:color w:val="auto"/>
                <w:kern w:val="2"/>
                <w:sz w:val="21"/>
                <w:szCs w:val="21"/>
                <w:u w:color="000000"/>
                <w:lang w:val="en-US" w:eastAsia="zh-CN" w:bidi="ar-SA"/>
              </w:rPr>
              <w:t>6</w:t>
            </w:r>
            <w:r>
              <w:rPr>
                <w:rFonts w:hint="eastAsia" w:ascii="Times New Roman" w:hAnsi="Times New Roman" w:eastAsia="宋体" w:cs="Times New Roman"/>
                <w:color w:val="auto"/>
                <w:kern w:val="2"/>
                <w:sz w:val="21"/>
                <w:szCs w:val="21"/>
                <w:u w:color="000000"/>
                <w:lang w:val="en-US" w:eastAsia="zh-CN" w:bidi="ar-SA"/>
              </w:rPr>
              <w:t>月至1</w:t>
            </w:r>
            <w:r>
              <w:rPr>
                <w:rFonts w:hint="eastAsia" w:ascii="Times New Roman" w:hAnsi="Times New Roman" w:cs="Times New Roman"/>
                <w:color w:val="auto"/>
                <w:kern w:val="2"/>
                <w:sz w:val="21"/>
                <w:szCs w:val="21"/>
                <w:u w:color="000000"/>
                <w:lang w:val="en-US" w:eastAsia="zh-CN" w:bidi="ar-SA"/>
              </w:rPr>
              <w:t>1</w:t>
            </w:r>
            <w:r>
              <w:rPr>
                <w:rFonts w:hint="eastAsia" w:ascii="Times New Roman" w:hAnsi="Times New Roman" w:eastAsia="宋体" w:cs="Times New Roman"/>
                <w:color w:val="auto"/>
                <w:kern w:val="2"/>
                <w:sz w:val="21"/>
                <w:szCs w:val="21"/>
                <w:u w:color="000000"/>
                <w:lang w:val="en-US" w:eastAsia="zh-CN" w:bidi="ar-SA"/>
              </w:rPr>
              <w:t>月）纳税证明；提供法人或授权委托人在本单位近半年（2021年</w:t>
            </w:r>
            <w:r>
              <w:rPr>
                <w:rFonts w:hint="eastAsia" w:ascii="Times New Roman" w:hAnsi="Times New Roman" w:cs="Times New Roman"/>
                <w:color w:val="auto"/>
                <w:kern w:val="2"/>
                <w:sz w:val="21"/>
                <w:szCs w:val="21"/>
                <w:u w:color="000000"/>
                <w:lang w:val="en-US" w:eastAsia="zh-CN" w:bidi="ar-SA"/>
              </w:rPr>
              <w:t>6</w:t>
            </w:r>
            <w:r>
              <w:rPr>
                <w:rFonts w:hint="eastAsia" w:ascii="Times New Roman" w:hAnsi="Times New Roman" w:eastAsia="宋体" w:cs="Times New Roman"/>
                <w:color w:val="auto"/>
                <w:kern w:val="2"/>
                <w:sz w:val="21"/>
                <w:szCs w:val="21"/>
                <w:u w:color="000000"/>
                <w:lang w:val="en-US" w:eastAsia="zh-CN" w:bidi="ar-SA"/>
              </w:rPr>
              <w:t>月至</w:t>
            </w:r>
            <w:r>
              <w:rPr>
                <w:rFonts w:hint="eastAsia" w:ascii="Times New Roman" w:hAnsi="Times New Roman" w:cs="Times New Roman"/>
                <w:color w:val="auto"/>
                <w:kern w:val="2"/>
                <w:sz w:val="21"/>
                <w:szCs w:val="21"/>
                <w:u w:color="000000"/>
                <w:lang w:val="en-US" w:eastAsia="zh-CN" w:bidi="ar-SA"/>
              </w:rPr>
              <w:t>11</w:t>
            </w:r>
            <w:r>
              <w:rPr>
                <w:rFonts w:hint="eastAsia" w:ascii="Times New Roman" w:hAnsi="Times New Roman" w:eastAsia="宋体" w:cs="Times New Roman"/>
                <w:color w:val="auto"/>
                <w:kern w:val="2"/>
                <w:sz w:val="21"/>
                <w:szCs w:val="21"/>
                <w:u w:color="000000"/>
                <w:lang w:val="en-US" w:eastAsia="zh-CN" w:bidi="ar-SA"/>
              </w:rPr>
              <w:t>月）缴纳社保证明文件；</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cs="Times New Roman"/>
                <w:color w:val="auto"/>
                <w:kern w:val="2"/>
                <w:sz w:val="21"/>
                <w:szCs w:val="21"/>
                <w:u w:color="000000"/>
                <w:lang w:val="en-US" w:eastAsia="zh-CN" w:bidi="ar-SA"/>
              </w:rPr>
              <w:t>6</w:t>
            </w:r>
            <w:r>
              <w:rPr>
                <w:rFonts w:hint="eastAsia" w:ascii="Times New Roman" w:hAnsi="Times New Roman" w:eastAsia="宋体" w:cs="Times New Roman"/>
                <w:color w:val="auto"/>
                <w:kern w:val="2"/>
                <w:sz w:val="21"/>
                <w:szCs w:val="21"/>
                <w:u w:color="000000"/>
                <w:lang w:val="en-US" w:eastAsia="zh-CN" w:bidi="ar-SA"/>
              </w:rPr>
              <w:t>、单位负责人为同一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5"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8.1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招标方式</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27"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9.1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踏勘现场</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不组织，投标人自行踏勘现场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2"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10.1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投标预备会</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10.2</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投标人提出问题的截止时间</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eastAsia="zh-CN"/>
              </w:rPr>
              <w:t>自收到采购文件之日起</w:t>
            </w:r>
            <w:r>
              <w:rPr>
                <w:rFonts w:hint="eastAsia" w:ascii="Times New Roman" w:hAnsi="Times New Roman" w:cs="Times New Roman"/>
                <w:color w:val="auto"/>
                <w:szCs w:val="21"/>
                <w:lang w:val="en-US" w:eastAsia="zh-CN"/>
              </w:rPr>
              <w:t>7个工作日内，以书面形式一次性提出。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24"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10.3</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招标人澄清的</w:t>
            </w:r>
          </w:p>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时间</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在投标</w:t>
            </w:r>
            <w:r>
              <w:rPr>
                <w:rFonts w:hint="eastAsia" w:ascii="Times New Roman" w:hAnsi="Times New Roman" w:eastAsia="宋体" w:cs="Times New Roman"/>
                <w:color w:val="auto"/>
                <w:szCs w:val="21"/>
                <w:lang w:eastAsia="zh-CN"/>
              </w:rPr>
              <w:t>截止</w:t>
            </w:r>
            <w:r>
              <w:rPr>
                <w:rFonts w:hint="eastAsia" w:ascii="Times New Roman" w:hAnsi="Times New Roman" w:cs="Times New Roman"/>
                <w:color w:val="auto"/>
                <w:szCs w:val="21"/>
                <w:lang w:eastAsia="zh-CN"/>
              </w:rPr>
              <w:t>时间</w:t>
            </w:r>
            <w:r>
              <w:rPr>
                <w:rFonts w:hint="eastAsia" w:ascii="Times New Roman" w:hAnsi="Times New Roman" w:eastAsia="宋体" w:cs="Times New Roman"/>
                <w:color w:val="auto"/>
                <w:szCs w:val="21"/>
                <w:lang w:eastAsia="zh-CN"/>
              </w:rPr>
              <w:t>15</w:t>
            </w:r>
            <w:r>
              <w:rPr>
                <w:rFonts w:hint="eastAsia" w:ascii="Times New Roman" w:hAnsi="Times New Roman" w:cs="Times New Roman"/>
                <w:color w:val="auto"/>
                <w:szCs w:val="21"/>
                <w:lang w:eastAsia="zh-CN"/>
              </w:rPr>
              <w:t>日</w:t>
            </w:r>
            <w:r>
              <w:rPr>
                <w:rFonts w:hint="eastAsia" w:ascii="Times New Roman" w:hAnsi="Times New Roman" w:eastAsia="宋体" w:cs="Times New Roman"/>
                <w:color w:val="auto"/>
                <w:szCs w:val="21"/>
                <w:lang w:eastAsia="zh-CN"/>
              </w:rPr>
              <w:t>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11.1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联合体投标</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本次招标不接受联合体投标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16"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12.3</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招标代理费</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 xml:space="preserve">招标代理费参照国家发改价格[2011]534号文件及发改办价格[2003]857号文件的规定；按中标金额计算招标代理服务费，由中标方支付。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16.3</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投标人要求澄清招标文件的截止时间及方式</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同表10.2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19.1</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最高投标限价</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114万</w:t>
            </w:r>
            <w:r>
              <w:rPr>
                <w:rFonts w:hint="eastAsia" w:ascii="Times New Roman" w:hAnsi="Times New Roman" w:eastAsia="宋体" w:cs="Times New Roman"/>
                <w:color w:val="auto"/>
                <w:szCs w:val="21"/>
                <w:lang w:eastAsia="zh-CN"/>
              </w:rPr>
              <w:t>元（壹佰壹拾肆万元整），投标人报价不得高于最高限价。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5"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rFonts w:ascii="Times New Roman" w:hAnsi="Times New Roman"/>
                <w:color w:val="auto"/>
                <w:szCs w:val="21"/>
              </w:rPr>
              <w:t>21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投标时携带的</w:t>
            </w:r>
          </w:p>
          <w:p>
            <w:pPr>
              <w:pStyle w:val="17"/>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rFonts w:ascii="Times New Roman" w:hAnsi="Times New Roman"/>
                <w:color w:val="auto"/>
                <w:szCs w:val="21"/>
              </w:rPr>
              <w:t>原件</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投标时应携带相关证件、证书、证明原件（可携带有二维码识别验证的电子证复印件并加盖公章）以备查验：</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1.</w:t>
            </w:r>
            <w:r>
              <w:rPr>
                <w:rFonts w:hint="eastAsia" w:ascii="Times New Roman" w:hAnsi="Times New Roman" w:cs="Times New Roman"/>
                <w:color w:val="auto"/>
                <w:szCs w:val="21"/>
                <w:lang w:val="en-US" w:eastAsia="zh-CN"/>
              </w:rPr>
              <w:t>供应商为“新疆政府采购网</w:t>
            </w:r>
            <w:r>
              <w:rPr>
                <w:rFonts w:hint="eastAsia" w:ascii="Times New Roman" w:hAnsi="Times New Roman" w:eastAsia="宋体" w:cs="Times New Roman"/>
                <w:color w:val="auto"/>
                <w:szCs w:val="21"/>
                <w:lang w:eastAsia="zh-CN"/>
              </w:rPr>
              <w:t>（http://www.ccgp-xinjiang.gov.cn/）</w:t>
            </w:r>
            <w:r>
              <w:rPr>
                <w:rFonts w:hint="eastAsia" w:ascii="Times New Roman" w:hAnsi="Times New Roman" w:cs="Times New Roman"/>
                <w:color w:val="auto"/>
                <w:szCs w:val="21"/>
                <w:lang w:val="en-US" w:eastAsia="zh-CN"/>
              </w:rPr>
              <w:t>”正式供应商，</w:t>
            </w:r>
            <w:r>
              <w:rPr>
                <w:rFonts w:hint="eastAsia" w:ascii="Times New Roman" w:hAnsi="Times New Roman" w:eastAsia="宋体" w:cs="Times New Roman"/>
                <w:color w:val="auto"/>
                <w:szCs w:val="21"/>
                <w:lang w:eastAsia="zh-CN"/>
              </w:rPr>
              <w:t>应具有合格的三证合一企业法人营业执照；</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2.法人身份证明或法定代表人授权委托书及委托代理人身份证</w:t>
            </w:r>
            <w:r>
              <w:rPr>
                <w:rFonts w:hint="eastAsia" w:ascii="Times New Roman" w:hAnsi="Times New Roman" w:eastAsia="宋体" w:cs="Times New Roman"/>
                <w:color w:val="auto"/>
                <w:szCs w:val="21"/>
                <w:lang w:val="en-US" w:eastAsia="zh-CN"/>
              </w:rPr>
              <w:t>；</w:t>
            </w:r>
            <w:r>
              <w:rPr>
                <w:rFonts w:hint="eastAsia" w:asciiTheme="minorEastAsia" w:hAnsiTheme="minorEastAsia" w:eastAsiaTheme="minorEastAsia" w:cstheme="minorEastAsia"/>
                <w:color w:val="auto"/>
                <w:szCs w:val="21"/>
                <w:lang w:val="en-US" w:eastAsia="zh-CN"/>
              </w:rPr>
              <w:t>提供法人或授权委托人在本单位近半年2021年6月至11月）缴纳社保证明文件；</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3.财务要求：</w:t>
            </w:r>
            <w:r>
              <w:rPr>
                <w:rFonts w:hint="eastAsia" w:ascii="Times New Roman" w:hAnsi="Times New Roman" w:eastAsia="宋体" w:cs="Times New Roman"/>
                <w:color w:val="auto"/>
                <w:kern w:val="2"/>
                <w:sz w:val="21"/>
                <w:szCs w:val="21"/>
                <w:u w:color="000000"/>
                <w:lang w:val="en-US" w:eastAsia="zh-CN" w:bidi="ar-SA"/>
              </w:rPr>
              <w:t>提供2020年度的财务报告（至少包括资产负债表和利润表</w:t>
            </w:r>
            <w:r>
              <w:rPr>
                <w:rFonts w:hint="eastAsia" w:ascii="Times New Roman" w:hAnsi="Times New Roman" w:cs="Times New Roman"/>
                <w:color w:val="auto"/>
                <w:kern w:val="2"/>
                <w:sz w:val="21"/>
                <w:szCs w:val="21"/>
                <w:u w:color="000000"/>
                <w:lang w:val="en-US" w:eastAsia="zh-CN" w:bidi="ar-SA"/>
              </w:rPr>
              <w:t>），</w:t>
            </w:r>
            <w:r>
              <w:rPr>
                <w:rFonts w:hint="eastAsia" w:ascii="Times New Roman" w:hAnsi="Times New Roman" w:eastAsia="宋体" w:cs="Times New Roman"/>
                <w:color w:val="auto"/>
                <w:kern w:val="2"/>
                <w:sz w:val="21"/>
                <w:szCs w:val="21"/>
                <w:u w:color="000000"/>
                <w:lang w:val="en-US" w:eastAsia="zh-CN" w:bidi="ar-SA"/>
              </w:rPr>
              <w:t>成立时间至提交响应文件截止时间不足一年的可提供成立后任意时段的资产负债表，或其基本存款账户开户银行出具的资信证明及基本存款账户开户许可证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color w:val="auto"/>
                <w:szCs w:val="21"/>
                <w:lang w:val="en-US" w:eastAsia="zh-CN"/>
              </w:rPr>
              <w:t>；</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w:t>
            </w:r>
            <w:r>
              <w:rPr>
                <w:rFonts w:hint="eastAsia" w:ascii="Times New Roman" w:hAnsi="Times New Roman" w:eastAsia="宋体" w:cs="Times New Roman"/>
                <w:color w:val="auto"/>
                <w:szCs w:val="21"/>
                <w:lang w:val="en-US" w:eastAsia="zh-CN"/>
              </w:rPr>
              <w:t>信誉要求：投标人须提供在“信用中国”（www.creditchina.gov.cn）</w:t>
            </w:r>
            <w:r>
              <w:rPr>
                <w:rFonts w:hint="eastAsia" w:ascii="Times New Roman" w:hAnsi="Times New Roman" w:eastAsia="宋体" w:cs="Times New Roman"/>
                <w:color w:val="auto"/>
                <w:kern w:val="2"/>
                <w:sz w:val="21"/>
                <w:szCs w:val="21"/>
                <w:u w:color="000000"/>
                <w:lang w:val="en-US" w:eastAsia="zh-CN" w:bidi="ar-SA"/>
              </w:rPr>
              <w:t>和中国政府采购网（www.ccgp.gov.cn）</w:t>
            </w:r>
            <w:r>
              <w:rPr>
                <w:rFonts w:hint="eastAsia" w:ascii="Times New Roman" w:hAnsi="Times New Roman" w:cs="Times New Roman"/>
                <w:color w:val="auto"/>
                <w:kern w:val="2"/>
                <w:sz w:val="21"/>
                <w:szCs w:val="21"/>
                <w:u w:color="000000"/>
                <w:lang w:val="en-US" w:eastAsia="zh-CN" w:bidi="ar-SA"/>
              </w:rPr>
              <w:t>网站</w:t>
            </w:r>
            <w:r>
              <w:rPr>
                <w:rFonts w:hint="eastAsia" w:ascii="Times New Roman" w:hAnsi="Times New Roman" w:eastAsia="宋体" w:cs="Times New Roman"/>
                <w:color w:val="auto"/>
                <w:szCs w:val="21"/>
                <w:lang w:val="en-US" w:eastAsia="zh-CN"/>
              </w:rPr>
              <w:t>上未被列入失信被执行人、重大税收违法案件当事人名单并下载信用报告以及政府采购严重违法失信行为记录名单的网页打印件（查询结果截图日期必须在发布公告日期之后且加盖公司公章当原件）。提供参加本次政府采购活动前三年内在经营活动中没有重大违纪，以及未被列入失信被执行人、重大税收违法案件当事人名单、政府采购严重违法失信行为记录名单的书面声明；</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kern w:val="2"/>
                <w:sz w:val="21"/>
                <w:szCs w:val="21"/>
                <w:u w:color="000000"/>
                <w:lang w:val="en-US" w:eastAsia="zh-CN" w:bidi="ar-SA"/>
              </w:rPr>
              <w:t>5.</w:t>
            </w:r>
            <w:r>
              <w:rPr>
                <w:rFonts w:hint="eastAsia" w:ascii="Times New Roman" w:hAnsi="Times New Roman" w:eastAsia="宋体" w:cs="Times New Roman"/>
                <w:color w:val="auto"/>
                <w:kern w:val="2"/>
                <w:sz w:val="21"/>
                <w:szCs w:val="21"/>
                <w:u w:color="000000"/>
                <w:lang w:val="en-US" w:eastAsia="zh-CN" w:bidi="ar-SA"/>
              </w:rPr>
              <w:t>业绩要求：近三年2019年1月至今有类似项目业绩（须提供中标通知书或合同）；</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6.</w:t>
            </w:r>
            <w:r>
              <w:rPr>
                <w:rFonts w:hint="eastAsia" w:ascii="Times New Roman" w:hAnsi="Times New Roman" w:eastAsia="宋体" w:cs="Times New Roman"/>
                <w:color w:val="auto"/>
                <w:szCs w:val="21"/>
                <w:lang w:eastAsia="zh-CN"/>
              </w:rPr>
              <w:t>投标保证金收据原件；</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w:t>
            </w:r>
            <w:r>
              <w:rPr>
                <w:rFonts w:hint="eastAsia" w:ascii="Times New Roman" w:hAnsi="Times New Roman" w:eastAsia="宋体" w:cs="Times New Roman"/>
                <w:color w:val="auto"/>
                <w:szCs w:val="21"/>
                <w:lang w:val="en-US" w:eastAsia="zh-CN"/>
              </w:rPr>
              <w:t>提供企业近半年纳税证明加盖公章；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6"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23.1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投标有效期</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投标有效期为</w:t>
            </w:r>
            <w:r>
              <w:rPr>
                <w:rFonts w:hint="eastAsia" w:ascii="Times New Roman" w:hAnsi="Times New Roman" w:eastAsia="宋体" w:cs="Times New Roman"/>
                <w:color w:val="auto"/>
                <w:szCs w:val="21"/>
                <w:lang w:val="en-US" w:eastAsia="zh-CN"/>
              </w:rPr>
              <w:t>60</w:t>
            </w:r>
            <w:r>
              <w:rPr>
                <w:rFonts w:hint="eastAsia" w:ascii="Times New Roman" w:hAnsi="Times New Roman" w:eastAsia="宋体" w:cs="Times New Roman"/>
                <w:color w:val="auto"/>
                <w:szCs w:val="21"/>
                <w:lang w:eastAsia="zh-CN"/>
              </w:rPr>
              <w:t>日历天（从投标截止之日算起）。在此期限内，凡符合本招标文件要求的投标文件均保持有效。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color w:val="auto"/>
                <w:szCs w:val="21"/>
              </w:rPr>
              <w:t>24</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color w:val="auto"/>
                <w:szCs w:val="21"/>
              </w:rPr>
              <w:t>投标保证金</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投标保证金的形式：转账或保险保函</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1、投标单位以现金或者支票形式从其基本账户转至招标人指定账户（不得为个人账户）。投标保证金必须以投标单位名义交纳。金额以到帐为准。</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投标保证金的金额：</w:t>
            </w:r>
            <w:r>
              <w:rPr>
                <w:rFonts w:hint="eastAsia" w:ascii="Times New Roman" w:hAnsi="Times New Roman" w:cs="Times New Roman"/>
                <w:color w:val="auto"/>
                <w:szCs w:val="21"/>
                <w:lang w:val="en-US" w:eastAsia="zh-CN"/>
              </w:rPr>
              <w:t>20000.00</w:t>
            </w:r>
            <w:r>
              <w:rPr>
                <w:rFonts w:hint="default" w:ascii="Times New Roman" w:hAnsi="Times New Roman" w:eastAsia="宋体" w:cs="Times New Roman"/>
                <w:color w:val="auto"/>
                <w:szCs w:val="21"/>
                <w:lang w:eastAsia="zh-CN"/>
              </w:rPr>
              <w:t>元人民币（</w:t>
            </w:r>
            <w:r>
              <w:rPr>
                <w:rFonts w:hint="eastAsia" w:ascii="Times New Roman" w:hAnsi="Times New Roman" w:cs="Times New Roman"/>
                <w:color w:val="auto"/>
                <w:szCs w:val="21"/>
                <w:lang w:eastAsia="zh-CN"/>
              </w:rPr>
              <w:t>贰万元整</w:t>
            </w:r>
            <w:r>
              <w:rPr>
                <w:rFonts w:hint="default" w:ascii="Times New Roman" w:hAnsi="Times New Roman" w:eastAsia="宋体" w:cs="Times New Roman"/>
                <w:color w:val="auto"/>
                <w:szCs w:val="21"/>
                <w:lang w:eastAsia="zh-CN"/>
              </w:rPr>
              <w:t>）</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递交方式：投标单位将投标保证金从企业基本帐户汇至以下账户</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递交时间：投标截止时间之前（投标单位应充分考虑跨行等因素导致的延迟到账情况）。</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账户名称：</w:t>
            </w:r>
            <w:r>
              <w:rPr>
                <w:rFonts w:hint="eastAsia" w:ascii="Times New Roman" w:hAnsi="Times New Roman" w:cs="Times New Roman"/>
                <w:color w:val="auto"/>
                <w:szCs w:val="21"/>
                <w:lang w:eastAsia="zh-CN"/>
              </w:rPr>
              <w:t>新疆宇励设计有限公司</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开户银行：招商银行股份有限公司乌鲁木齐新华北路支行（营业部）</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账号：</w:t>
            </w:r>
            <w:r>
              <w:rPr>
                <w:rFonts w:hint="eastAsia" w:ascii="Times New Roman" w:hAnsi="Times New Roman" w:eastAsia="宋体" w:cs="Times New Roman"/>
                <w:color w:val="auto"/>
                <w:szCs w:val="21"/>
                <w:lang w:val="en-US" w:eastAsia="zh-CN"/>
              </w:rPr>
              <w:t>9919 0559 1210 802</w:t>
            </w:r>
            <w:r>
              <w:rPr>
                <w:rFonts w:hint="eastAsia" w:ascii="Times New Roman" w:hAnsi="Times New Roman" w:eastAsia="宋体" w:cs="Times New Roman"/>
                <w:color w:val="auto"/>
                <w:szCs w:val="21"/>
                <w:lang w:eastAsia="zh-CN"/>
              </w:rPr>
              <w:t xml:space="preserve">    </w:t>
            </w:r>
            <w:r>
              <w:rPr>
                <w:rFonts w:hint="eastAsia" w:ascii="Times New Roman" w:hAnsi="Times New Roman" w:eastAsia="宋体" w:cs="Times New Roman"/>
                <w:color w:val="auto"/>
                <w:szCs w:val="21"/>
                <w:lang w:val="en-US" w:eastAsia="zh-CN"/>
              </w:rPr>
              <w:t xml:space="preserve"> </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2、保险保函</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投标</w:t>
            </w:r>
            <w:r>
              <w:rPr>
                <w:rFonts w:hint="default" w:ascii="Times New Roman" w:hAnsi="Times New Roman" w:eastAsia="宋体" w:cs="Times New Roman"/>
                <w:color w:val="auto"/>
                <w:szCs w:val="21"/>
                <w:lang w:val="en-US" w:eastAsia="zh-CN"/>
              </w:rPr>
              <w:t>保证金</w:t>
            </w:r>
            <w:r>
              <w:rPr>
                <w:rFonts w:hint="default" w:ascii="Times New Roman" w:hAnsi="Times New Roman" w:eastAsia="宋体" w:cs="Times New Roman"/>
                <w:color w:val="auto"/>
                <w:szCs w:val="21"/>
                <w:lang w:eastAsia="zh-CN"/>
              </w:rPr>
              <w:t>金额：</w:t>
            </w:r>
            <w:r>
              <w:rPr>
                <w:rFonts w:hint="eastAsia" w:ascii="Times New Roman" w:hAnsi="Times New Roman" w:cs="Times New Roman"/>
                <w:color w:val="auto"/>
                <w:szCs w:val="21"/>
                <w:lang w:val="en-US" w:eastAsia="zh-CN"/>
              </w:rPr>
              <w:t>20000.00</w:t>
            </w:r>
            <w:r>
              <w:rPr>
                <w:rFonts w:hint="default" w:ascii="Times New Roman" w:hAnsi="Times New Roman" w:eastAsia="宋体" w:cs="Times New Roman"/>
                <w:color w:val="auto"/>
                <w:szCs w:val="21"/>
                <w:lang w:eastAsia="zh-CN"/>
              </w:rPr>
              <w:t>元人民币（</w:t>
            </w:r>
            <w:r>
              <w:rPr>
                <w:rFonts w:hint="eastAsia" w:ascii="Times New Roman" w:hAnsi="Times New Roman" w:cs="Times New Roman"/>
                <w:color w:val="auto"/>
                <w:szCs w:val="21"/>
                <w:lang w:val="en-US" w:eastAsia="zh-CN"/>
              </w:rPr>
              <w:t>贰万元整</w:t>
            </w:r>
            <w:r>
              <w:rPr>
                <w:rFonts w:hint="default" w:ascii="Times New Roman" w:hAnsi="Times New Roman" w:eastAsia="宋体" w:cs="Times New Roman"/>
                <w:color w:val="auto"/>
                <w:szCs w:val="21"/>
                <w:lang w:eastAsia="zh-CN"/>
              </w:rPr>
              <w:t>）</w:t>
            </w:r>
          </w:p>
          <w:p>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注：采用保险保函作为保证金形式的，投标企业将“保险保函”和“第三方风险管理机构出具的风控审核意见”同投标文件一并单独密封提交。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84"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25.1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投标文件数量</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一式三份（正本壹份、副本贰份），并提供电子版（U盘）投标文件贰份及开标一览表壹份。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7"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25.3</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签字或盖章要求</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须按格式文件要求签字或盖章。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2"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26.1</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装订要求</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投标文件按顺序胶装成一册。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44"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26.2.1</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具体密封</w:t>
            </w:r>
          </w:p>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要求</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投标文件正、副本密封为一包；电子版（U盘），开标一览表各单独密封成一包，密封处签字盖章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264"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26.2.2</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包装袋上应载明的信息</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投标人地址：</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 xml:space="preserve">投标人名称：                    </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（项目名称）            投标文件</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在投标截止前不得开启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27.1</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投标文件提交截止时间及地点</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收件人：</w:t>
            </w:r>
            <w:r>
              <w:rPr>
                <w:rFonts w:hint="eastAsia" w:ascii="Times New Roman" w:hAnsi="Times New Roman" w:cs="Times New Roman"/>
                <w:color w:val="auto"/>
                <w:szCs w:val="21"/>
                <w:lang w:eastAsia="zh-CN"/>
              </w:rPr>
              <w:t>新疆宇励设计有限公司</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时  间：</w:t>
            </w:r>
            <w:r>
              <w:rPr>
                <w:rFonts w:hint="eastAsia" w:ascii="Times New Roman" w:hAnsi="Times New Roman" w:cs="Times New Roman"/>
                <w:color w:val="auto"/>
                <w:szCs w:val="21"/>
                <w:lang w:eastAsia="zh-CN"/>
              </w:rPr>
              <w:t>2021年12月2</w:t>
            </w:r>
            <w:r>
              <w:rPr>
                <w:rFonts w:hint="eastAsia" w:ascii="Times New Roman" w:hAnsi="Times New Roman" w:cs="Times New Roman"/>
                <w:color w:val="auto"/>
                <w:szCs w:val="21"/>
                <w:lang w:val="en-US" w:eastAsia="zh-CN"/>
              </w:rPr>
              <w:t>7</w:t>
            </w:r>
            <w:r>
              <w:rPr>
                <w:rFonts w:hint="eastAsia" w:ascii="Times New Roman" w:hAnsi="Times New Roman" w:cs="Times New Roman"/>
                <w:color w:val="auto"/>
                <w:szCs w:val="21"/>
                <w:lang w:eastAsia="zh-CN"/>
              </w:rPr>
              <w:t>日11时00分</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地  点：察布查尔县文昌路文昌苑行政服务中心五楼。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29.1</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kern w:val="2"/>
                <w:szCs w:val="21"/>
              </w:rPr>
            </w:pPr>
            <w:r>
              <w:rPr>
                <w:color w:val="auto"/>
                <w:kern w:val="2"/>
                <w:szCs w:val="21"/>
              </w:rPr>
              <w:t>开标时间及地点</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时  间：</w:t>
            </w:r>
            <w:r>
              <w:rPr>
                <w:rFonts w:hint="eastAsia" w:ascii="Times New Roman" w:hAnsi="Times New Roman" w:cs="Times New Roman"/>
                <w:color w:val="auto"/>
                <w:szCs w:val="21"/>
                <w:lang w:eastAsia="zh-CN"/>
              </w:rPr>
              <w:t>2021年12月2</w:t>
            </w:r>
            <w:r>
              <w:rPr>
                <w:rFonts w:hint="eastAsia" w:ascii="Times New Roman" w:hAnsi="Times New Roman" w:cs="Times New Roman"/>
                <w:color w:val="auto"/>
                <w:szCs w:val="21"/>
                <w:lang w:val="en-US" w:eastAsia="zh-CN"/>
              </w:rPr>
              <w:t>7</w:t>
            </w:r>
            <w:r>
              <w:rPr>
                <w:rFonts w:hint="eastAsia" w:ascii="Times New Roman" w:hAnsi="Times New Roman" w:cs="Times New Roman"/>
                <w:color w:val="auto"/>
                <w:szCs w:val="21"/>
                <w:lang w:eastAsia="zh-CN"/>
              </w:rPr>
              <w:t>日11时00分</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地  点：察布查尔县文昌路文昌苑行政服务中心五楼。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1"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29.4</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kern w:val="2"/>
                <w:szCs w:val="21"/>
              </w:rPr>
            </w:pPr>
            <w:r>
              <w:rPr>
                <w:color w:val="auto"/>
                <w:kern w:val="2"/>
                <w:szCs w:val="21"/>
              </w:rPr>
              <w:t>开标程序</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投标文件密封情况检查：投标人或其推选的代表检查投标文件的密封情况。</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开标顺序：（</w:t>
            </w:r>
            <w:r>
              <w:rPr>
                <w:rFonts w:hint="eastAsia" w:ascii="Times New Roman" w:hAnsi="Times New Roman" w:eastAsia="宋体" w:cs="Times New Roman"/>
                <w:color w:val="auto"/>
                <w:szCs w:val="21"/>
                <w:lang w:val="en-US" w:eastAsia="zh-CN"/>
              </w:rPr>
              <w:t>1</w:t>
            </w:r>
            <w:r>
              <w:rPr>
                <w:rFonts w:hint="eastAsia" w:ascii="Times New Roman" w:hAnsi="Times New Roman" w:eastAsia="宋体" w:cs="Times New Roman"/>
                <w:color w:val="auto"/>
                <w:szCs w:val="21"/>
                <w:lang w:eastAsia="zh-CN"/>
              </w:rPr>
              <w:t>）公布在投标截止时间前递交投标文件的投标单位名称，并确认投标单位相关人员是否到场；</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（2）宣布开标人、唱标人、记录人、监标人等有关人员姓名，并宣读开标会议纪律和要求；</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（3）由投标单位或其推选的代表检查投标文件的密封情况；</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（4）招标人对各投标单位资格条件进行审查；</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（5）主持人宣布审查结果，招标人接受投标人质疑并复议；</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（6）宣布开标顺序并唱标；</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（7）评标委员会对各投标单位标书进行初评；</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（8）评标委员会对通过初审的标书进行评价和比较；</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（9）评标委员会根据需要要求有关投标人就投标文件进行澄清；</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（10）评标委员会根据评审结果推荐中标候选人，主持人宣布评审结果；</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（1</w:t>
            </w:r>
            <w:r>
              <w:rPr>
                <w:rFonts w:hint="eastAsia" w:ascii="Times New Roman" w:hAnsi="Times New Roman" w:eastAsia="宋体" w:cs="Times New Roman"/>
                <w:color w:val="auto"/>
                <w:szCs w:val="21"/>
                <w:lang w:val="en-US" w:eastAsia="zh-CN"/>
              </w:rPr>
              <w:t>1</w:t>
            </w:r>
            <w:r>
              <w:rPr>
                <w:rFonts w:hint="eastAsia" w:ascii="Times New Roman" w:hAnsi="Times New Roman" w:eastAsia="宋体" w:cs="Times New Roman"/>
                <w:color w:val="auto"/>
                <w:szCs w:val="21"/>
                <w:lang w:eastAsia="zh-CN"/>
              </w:rPr>
              <w:t>）有关人员在开标记录上签字确认；</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12</w:t>
            </w:r>
            <w:r>
              <w:rPr>
                <w:rFonts w:hint="eastAsia" w:ascii="Times New Roman" w:hAnsi="Times New Roman" w:eastAsia="宋体" w:cs="Times New Roman"/>
                <w:color w:val="auto"/>
                <w:szCs w:val="21"/>
                <w:lang w:eastAsia="zh-CN"/>
              </w:rPr>
              <w:t>）开标结束。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74"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30.1</w:t>
            </w:r>
          </w:p>
        </w:tc>
        <w:tc>
          <w:tcPr>
            <w:tcW w:w="1744"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评标委员会的</w:t>
            </w:r>
          </w:p>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组建</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评标委员会由专家</w:t>
            </w:r>
            <w:r>
              <w:rPr>
                <w:rFonts w:hint="eastAsia" w:ascii="Times New Roman" w:hAnsi="Times New Roman" w:eastAsia="宋体" w:cs="Times New Roman"/>
                <w:color w:val="auto"/>
                <w:szCs w:val="21"/>
                <w:lang w:val="en-US" w:eastAsia="zh-CN"/>
              </w:rPr>
              <w:t>5</w:t>
            </w:r>
            <w:r>
              <w:rPr>
                <w:rFonts w:hint="eastAsia" w:ascii="Times New Roman" w:hAnsi="Times New Roman" w:eastAsia="宋体" w:cs="Times New Roman"/>
                <w:color w:val="auto"/>
                <w:szCs w:val="21"/>
                <w:lang w:eastAsia="zh-CN"/>
              </w:rPr>
              <w:t>人组成；其中招标单位代表</w:t>
            </w:r>
            <w:r>
              <w:rPr>
                <w:rFonts w:hint="eastAsia" w:ascii="Times New Roman" w:hAnsi="Times New Roman" w:eastAsia="宋体" w:cs="Times New Roman"/>
                <w:color w:val="auto"/>
                <w:szCs w:val="21"/>
                <w:lang w:val="en-US" w:eastAsia="zh-CN"/>
              </w:rPr>
              <w:t>1</w:t>
            </w:r>
            <w:r>
              <w:rPr>
                <w:rFonts w:hint="eastAsia" w:ascii="Times New Roman" w:hAnsi="Times New Roman" w:eastAsia="宋体" w:cs="Times New Roman"/>
                <w:color w:val="auto"/>
                <w:szCs w:val="21"/>
                <w:lang w:eastAsia="zh-CN"/>
              </w:rPr>
              <w:t>人，专家</w:t>
            </w:r>
            <w:r>
              <w:rPr>
                <w:rFonts w:hint="eastAsia" w:ascii="Times New Roman" w:hAnsi="Times New Roman" w:eastAsia="宋体" w:cs="Times New Roman"/>
                <w:color w:val="auto"/>
                <w:szCs w:val="21"/>
                <w:lang w:val="en-US" w:eastAsia="zh-CN"/>
              </w:rPr>
              <w:t>4</w:t>
            </w:r>
            <w:r>
              <w:rPr>
                <w:rFonts w:hint="eastAsia" w:ascii="Times New Roman" w:hAnsi="Times New Roman" w:eastAsia="宋体" w:cs="Times New Roman"/>
                <w:color w:val="auto"/>
                <w:szCs w:val="21"/>
                <w:lang w:eastAsia="zh-CN"/>
              </w:rPr>
              <w:t>人</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评标专家确定方式：专家评委开标前从政采云专家库中随机抽取。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2" w:hRule="atLeast"/>
          <w:jc w:val="center"/>
        </w:trPr>
        <w:tc>
          <w:tcPr>
            <w:tcW w:w="961"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color w:val="auto"/>
                <w:szCs w:val="21"/>
              </w:rPr>
            </w:pPr>
            <w:r>
              <w:rPr>
                <w:rFonts w:ascii="Times New Roman" w:hAnsi="Times New Roman"/>
                <w:color w:val="auto"/>
                <w:szCs w:val="21"/>
              </w:rPr>
              <w:t>31.1</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是否授权评标委员会确定中标人</w:t>
            </w:r>
          </w:p>
        </w:tc>
        <w:tc>
          <w:tcPr>
            <w:tcW w:w="7316" w:type="dxa"/>
            <w:tcBorders>
              <w:bottom w:val="single" w:color="auto" w:sz="8" w:space="0"/>
            </w:tcBorders>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是，推荐的中标候选人数：3名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9"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32.1</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中标候选人</w:t>
            </w:r>
          </w:p>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公示媒介</w:t>
            </w:r>
          </w:p>
        </w:tc>
        <w:tc>
          <w:tcPr>
            <w:tcW w:w="7316" w:type="dxa"/>
            <w:tcBorders>
              <w:top w:val="single" w:color="auto" w:sz="8" w:space="0"/>
              <w:bottom w:val="single" w:color="auto" w:sz="8" w:space="0"/>
            </w:tcBorders>
            <w:vAlign w:val="center"/>
          </w:tcPr>
          <w:p>
            <w:pPr>
              <w:pStyle w:val="17"/>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eastAsia="zh-CN"/>
              </w:rPr>
            </w:pPr>
            <w:r>
              <w:rPr>
                <w:rFonts w:hint="eastAsia" w:asciiTheme="minorEastAsia" w:hAnsiTheme="minorEastAsia" w:eastAsiaTheme="minorEastAsia" w:cstheme="minorEastAsia"/>
                <w:color w:val="auto"/>
                <w:kern w:val="0"/>
                <w:szCs w:val="21"/>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2"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33.1</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中标通知书</w:t>
            </w:r>
          </w:p>
        </w:tc>
        <w:tc>
          <w:tcPr>
            <w:tcW w:w="7316" w:type="dxa"/>
            <w:tcBorders>
              <w:top w:val="single" w:color="auto" w:sz="8" w:space="0"/>
            </w:tcBorders>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中标通知书须加盖招标人公章后方可发出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3"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34.1</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付款方式</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双方签订合同时约定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48"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3</w:t>
            </w:r>
            <w:r>
              <w:rPr>
                <w:rFonts w:hint="eastAsia"/>
                <w:color w:val="auto"/>
                <w:szCs w:val="21"/>
                <w:lang w:val="en-US" w:eastAsia="zh-CN"/>
              </w:rPr>
              <w:t>4</w:t>
            </w:r>
            <w:r>
              <w:rPr>
                <w:color w:val="auto"/>
                <w:szCs w:val="21"/>
              </w:rPr>
              <w:t>.1</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质保期</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最终验收</w:t>
            </w:r>
            <w:r>
              <w:rPr>
                <w:rFonts w:hint="eastAsia" w:ascii="Times New Roman" w:hAnsi="Times New Roman" w:eastAsia="宋体" w:cs="Times New Roman"/>
                <w:color w:val="auto"/>
                <w:szCs w:val="21"/>
                <w:lang w:val="en-US" w:eastAsia="zh-CN"/>
              </w:rPr>
              <w:t>合格</w:t>
            </w:r>
            <w:r>
              <w:rPr>
                <w:rFonts w:hint="eastAsia" w:ascii="Times New Roman" w:hAnsi="Times New Roman" w:eastAsia="宋体" w:cs="Times New Roman"/>
                <w:color w:val="auto"/>
                <w:szCs w:val="21"/>
                <w:lang w:eastAsia="zh-CN"/>
              </w:rPr>
              <w:t>后不得少于一年</w:t>
            </w:r>
            <w:r>
              <w:rPr>
                <w:rFonts w:hint="eastAsia" w:ascii="Times New Roman" w:hAnsi="Times New Roman" w:cs="Times New Roman"/>
                <w:color w:val="auto"/>
                <w:szCs w:val="21"/>
                <w:lang w:eastAsia="zh-CN"/>
              </w:rPr>
              <w:t>（具体内容双方签订合同时协商约定）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48" w:hRule="atLeast"/>
          <w:jc w:val="center"/>
        </w:trPr>
        <w:tc>
          <w:tcPr>
            <w:tcW w:w="9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宋体"/>
                <w:color w:val="auto"/>
                <w:szCs w:val="21"/>
                <w:lang w:val="en-US" w:eastAsia="zh-CN"/>
              </w:rPr>
            </w:pPr>
            <w:r>
              <w:rPr>
                <w:rFonts w:hint="eastAsia"/>
                <w:color w:val="auto"/>
                <w:szCs w:val="21"/>
                <w:lang w:val="en-US" w:eastAsia="zh-CN"/>
              </w:rPr>
              <w:t>35</w:t>
            </w:r>
          </w:p>
        </w:tc>
        <w:tc>
          <w:tcPr>
            <w:tcW w:w="17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Cs w:val="21"/>
              </w:rPr>
            </w:pPr>
            <w:r>
              <w:rPr>
                <w:color w:val="auto"/>
                <w:szCs w:val="21"/>
              </w:rPr>
              <w:t>履约保证金</w:t>
            </w:r>
          </w:p>
        </w:tc>
        <w:tc>
          <w:tcPr>
            <w:tcW w:w="7316"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 xml:space="preserve">履约担保的形式：履约保函或现金 </w:t>
            </w:r>
          </w:p>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履约担保的金额：</w:t>
            </w:r>
            <w:r>
              <w:rPr>
                <w:rFonts w:hint="eastAsia" w:ascii="Times New Roman" w:hAnsi="Times New Roman" w:cs="Times New Roman"/>
                <w:color w:val="auto"/>
                <w:szCs w:val="21"/>
                <w:lang w:val="en-US" w:eastAsia="zh-CN"/>
              </w:rPr>
              <w:t>/</w:t>
            </w:r>
          </w:p>
        </w:tc>
      </w:tr>
    </w:tbl>
    <w:p>
      <w:pPr>
        <w:spacing w:beforeLines="50" w:afterLines="50" w:line="360" w:lineRule="auto"/>
        <w:jc w:val="center"/>
        <w:outlineLvl w:val="1"/>
        <w:rPr>
          <w:b/>
          <w:color w:val="auto"/>
          <w:sz w:val="32"/>
          <w:szCs w:val="32"/>
        </w:rPr>
      </w:pPr>
    </w:p>
    <w:p>
      <w:pPr>
        <w:spacing w:beforeLines="50" w:afterLines="50" w:line="360" w:lineRule="auto"/>
        <w:jc w:val="center"/>
        <w:outlineLvl w:val="1"/>
        <w:rPr>
          <w:b/>
          <w:color w:val="auto"/>
          <w:sz w:val="32"/>
          <w:szCs w:val="32"/>
        </w:rPr>
      </w:pPr>
      <w:r>
        <w:rPr>
          <w:b/>
          <w:color w:val="auto"/>
          <w:sz w:val="32"/>
          <w:szCs w:val="32"/>
        </w:rPr>
        <w:t>二、投标人须知</w:t>
      </w:r>
      <w:bookmarkEnd w:id="32"/>
    </w:p>
    <w:p>
      <w:pPr>
        <w:spacing w:beforeLines="50" w:afterLines="50" w:line="360" w:lineRule="auto"/>
        <w:jc w:val="center"/>
        <w:outlineLvl w:val="2"/>
        <w:rPr>
          <w:color w:val="auto"/>
          <w:sz w:val="28"/>
          <w:szCs w:val="28"/>
        </w:rPr>
      </w:pPr>
      <w:bookmarkStart w:id="33" w:name="_Toc7656"/>
      <w:r>
        <w:rPr>
          <w:b/>
          <w:color w:val="auto"/>
          <w:sz w:val="28"/>
          <w:szCs w:val="28"/>
        </w:rPr>
        <w:t>（一）总  则</w:t>
      </w:r>
      <w:bookmarkEnd w:id="33"/>
    </w:p>
    <w:p>
      <w:pPr>
        <w:snapToGrid w:val="0"/>
        <w:spacing w:line="360" w:lineRule="auto"/>
        <w:ind w:firstLine="482" w:firstLineChars="200"/>
        <w:rPr>
          <w:b/>
          <w:color w:val="auto"/>
          <w:sz w:val="24"/>
          <w:szCs w:val="24"/>
        </w:rPr>
      </w:pPr>
      <w:r>
        <w:rPr>
          <w:b/>
          <w:color w:val="auto"/>
          <w:sz w:val="24"/>
          <w:szCs w:val="24"/>
        </w:rPr>
        <w:t>1.</w:t>
      </w:r>
      <w:r>
        <w:rPr>
          <w:rFonts w:hint="eastAsia"/>
          <w:b/>
          <w:color w:val="auto"/>
          <w:sz w:val="24"/>
          <w:szCs w:val="24"/>
          <w:lang w:val="en-US" w:eastAsia="zh-CN"/>
        </w:rPr>
        <w:t xml:space="preserve"> </w:t>
      </w:r>
      <w:r>
        <w:rPr>
          <w:b/>
          <w:color w:val="auto"/>
          <w:sz w:val="24"/>
          <w:szCs w:val="24"/>
        </w:rPr>
        <w:t>项目概况</w:t>
      </w:r>
    </w:p>
    <w:p>
      <w:pPr>
        <w:spacing w:line="360" w:lineRule="auto"/>
        <w:ind w:firstLine="468" w:firstLineChars="195"/>
        <w:rPr>
          <w:rFonts w:hint="eastAsia" w:ascii="宋体" w:hAnsi="宋体" w:eastAsia="宋体" w:cs="宋体"/>
          <w:color w:val="auto"/>
          <w:kern w:val="0"/>
          <w:sz w:val="24"/>
          <w:lang w:val="en-US" w:eastAsia="zh-CN"/>
        </w:rPr>
      </w:pPr>
      <w:r>
        <w:rPr>
          <w:rFonts w:hint="eastAsia"/>
          <w:b w:val="0"/>
          <w:bCs/>
          <w:color w:val="auto"/>
          <w:sz w:val="24"/>
          <w:szCs w:val="24"/>
          <w:lang w:val="en-US" w:eastAsia="zh-CN"/>
        </w:rPr>
        <w:t>1.1本次招标采购项目名称：</w:t>
      </w:r>
      <w:r>
        <w:rPr>
          <w:rFonts w:hint="eastAsia" w:ascii="宋体" w:hAnsi="宋体" w:eastAsia="宋体" w:cs="宋体"/>
          <w:color w:val="auto"/>
          <w:kern w:val="0"/>
          <w:sz w:val="24"/>
          <w:lang w:val="en-US" w:eastAsia="zh-CN"/>
        </w:rPr>
        <w:t>察布查尔县2021年天山和阿尔泰山森林草原保护项目</w:t>
      </w:r>
      <w:r>
        <w:rPr>
          <w:rFonts w:hint="eastAsia" w:ascii="宋体" w:hAnsi="宋体" w:cs="宋体"/>
          <w:color w:val="auto"/>
          <w:kern w:val="0"/>
          <w:sz w:val="24"/>
          <w:lang w:val="en-US" w:eastAsia="zh-CN"/>
        </w:rPr>
        <w:t>（一标段）</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 xml:space="preserve">编号：XJ-YLZB-2021-02-01  </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招标单位：</w:t>
      </w:r>
      <w:r>
        <w:rPr>
          <w:rFonts w:hint="eastAsia" w:ascii="宋体" w:hAnsi="宋体" w:eastAsia="宋体" w:cs="宋体"/>
          <w:color w:val="auto"/>
          <w:kern w:val="0"/>
          <w:sz w:val="24"/>
          <w:lang w:val="en-US" w:eastAsia="zh-CN"/>
        </w:rPr>
        <w:t>察布查尔锡伯自治县林业和草原局</w:t>
      </w:r>
    </w:p>
    <w:p>
      <w:pPr>
        <w:spacing w:line="360" w:lineRule="auto"/>
        <w:ind w:firstLine="468" w:firstLineChars="195"/>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合同履行期限：</w:t>
      </w:r>
      <w:r>
        <w:rPr>
          <w:rFonts w:hint="eastAsia" w:ascii="宋体" w:hAnsi="宋体" w:cs="宋体"/>
          <w:color w:val="auto"/>
          <w:sz w:val="24"/>
          <w:szCs w:val="24"/>
          <w:lang w:val="en-US" w:eastAsia="zh-CN"/>
        </w:rPr>
        <w:t>2022年3月15至2022年5月31日，总工期：78日历天</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交货地点：</w:t>
      </w:r>
      <w:r>
        <w:rPr>
          <w:rFonts w:hint="eastAsia" w:ascii="宋体" w:hAnsi="宋体" w:eastAsia="宋体" w:cs="宋体"/>
          <w:color w:val="auto"/>
          <w:kern w:val="0"/>
          <w:sz w:val="24"/>
          <w:lang w:val="en-US" w:eastAsia="zh-CN"/>
        </w:rPr>
        <w:t>察布查尔县</w:t>
      </w:r>
    </w:p>
    <w:p>
      <w:pPr>
        <w:spacing w:line="360" w:lineRule="auto"/>
        <w:ind w:firstLine="468" w:firstLineChars="195"/>
        <w:rPr>
          <w:rFonts w:hint="eastAsia" w:eastAsia="宋体"/>
          <w:b w:val="0"/>
          <w:bCs/>
          <w:color w:val="auto"/>
          <w:sz w:val="24"/>
          <w:szCs w:val="24"/>
          <w:lang w:val="en-US" w:eastAsia="zh-CN"/>
        </w:rPr>
      </w:pPr>
      <w:r>
        <w:rPr>
          <w:rFonts w:hint="eastAsia"/>
          <w:b w:val="0"/>
          <w:bCs/>
          <w:color w:val="auto"/>
          <w:sz w:val="24"/>
          <w:szCs w:val="24"/>
          <w:lang w:val="en-US" w:eastAsia="zh-CN"/>
        </w:rPr>
        <w:t>1.2招标单位联系人：</w:t>
      </w:r>
      <w:r>
        <w:rPr>
          <w:rFonts w:hint="eastAsia" w:ascii="宋体" w:hAnsi="宋体" w:eastAsia="宋体" w:cs="宋体"/>
          <w:color w:val="auto"/>
          <w:sz w:val="24"/>
          <w:szCs w:val="21"/>
          <w:u w:val="none"/>
          <w:lang w:val="en-US" w:eastAsia="zh-CN"/>
        </w:rPr>
        <w:t>王欢</w:t>
      </w:r>
      <w:r>
        <w:rPr>
          <w:rFonts w:hint="eastAsia" w:ascii="宋体" w:hAnsi="宋体" w:eastAsia="宋体" w:cs="宋体"/>
          <w:color w:val="auto"/>
          <w:sz w:val="24"/>
        </w:rPr>
        <w:t xml:space="preserve">   </w:t>
      </w:r>
      <w:r>
        <w:rPr>
          <w:rFonts w:hint="eastAsia"/>
          <w:b w:val="0"/>
          <w:bCs/>
          <w:color w:val="auto"/>
          <w:sz w:val="24"/>
          <w:szCs w:val="24"/>
          <w:lang w:val="en-US" w:eastAsia="zh-CN"/>
        </w:rPr>
        <w:t xml:space="preserve">         联系电话：</w:t>
      </w:r>
      <w:r>
        <w:rPr>
          <w:rFonts w:hint="eastAsia" w:cs="Times New Roman"/>
          <w:b w:val="0"/>
          <w:bCs/>
          <w:color w:val="auto"/>
          <w:sz w:val="24"/>
          <w:szCs w:val="24"/>
          <w:lang w:val="en-US" w:eastAsia="zh-CN"/>
        </w:rPr>
        <w:t>18293340612</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代理机构：新疆宇励设计有限公司　</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联系人：邱一涛              联系电话</w:t>
      </w:r>
      <w:r>
        <w:rPr>
          <w:rFonts w:hint="eastAsia" w:ascii="Times New Roman" w:hAnsi="Times New Roman" w:eastAsia="宋体" w:cs="Times New Roman"/>
          <w:b w:val="0"/>
          <w:bCs/>
          <w:color w:val="auto"/>
          <w:sz w:val="24"/>
          <w:szCs w:val="24"/>
          <w:lang w:val="en-US" w:eastAsia="zh-CN"/>
        </w:rPr>
        <w:t xml:space="preserve">：18093357862  </w:t>
      </w:r>
      <w:r>
        <w:rPr>
          <w:rFonts w:hint="eastAsia" w:cs="Times New Roman"/>
          <w:b w:val="0"/>
          <w:bCs/>
          <w:color w:val="auto"/>
          <w:sz w:val="24"/>
          <w:szCs w:val="24"/>
          <w:lang w:val="en-US" w:eastAsia="zh-CN"/>
        </w:rPr>
        <w:t>15292617210</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1.3资金来源</w:t>
      </w:r>
      <w:r>
        <w:rPr>
          <w:rFonts w:hint="eastAsia" w:ascii="Times New Roman" w:hAnsi="Times New Roman" w:eastAsia="宋体" w:cs="Times New Roman"/>
          <w:b w:val="0"/>
          <w:bCs/>
          <w:color w:val="auto"/>
          <w:sz w:val="24"/>
          <w:szCs w:val="24"/>
          <w:lang w:val="en-US" w:eastAsia="zh-CN"/>
        </w:rPr>
        <w:t>：中央预算内资金中央预算内资金</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1.4本项目预算：</w:t>
      </w:r>
      <w:r>
        <w:rPr>
          <w:rFonts w:hint="eastAsia" w:cs="Times New Roman"/>
          <w:color w:val="auto"/>
          <w:sz w:val="24"/>
          <w:szCs w:val="24"/>
          <w:lang w:val="en-US" w:eastAsia="zh-CN"/>
        </w:rPr>
        <w:t>114万</w:t>
      </w:r>
      <w:r>
        <w:rPr>
          <w:rFonts w:hint="eastAsia" w:ascii="Times New Roman" w:hAnsi="Times New Roman" w:cs="Times New Roman"/>
          <w:color w:val="auto"/>
          <w:sz w:val="24"/>
          <w:szCs w:val="24"/>
        </w:rPr>
        <w:t>元（</w:t>
      </w:r>
      <w:r>
        <w:rPr>
          <w:rFonts w:hint="eastAsia" w:cs="Times New Roman"/>
          <w:color w:val="auto"/>
          <w:sz w:val="24"/>
          <w:szCs w:val="24"/>
          <w:lang w:val="en-US" w:eastAsia="zh-CN"/>
        </w:rPr>
        <w:t>壹佰壹拾肆万元整</w:t>
      </w:r>
      <w:r>
        <w:rPr>
          <w:rFonts w:hint="eastAsia" w:ascii="Times New Roman" w:hAnsi="Times New Roman" w:cs="Times New Roman"/>
          <w:color w:val="auto"/>
          <w:sz w:val="24"/>
          <w:szCs w:val="24"/>
        </w:rPr>
        <w:t>）</w:t>
      </w:r>
      <w:r>
        <w:rPr>
          <w:rFonts w:ascii="Times New Roman" w:hAnsi="Times New Roman" w:cs="Times New Roman"/>
          <w:color w:val="auto"/>
          <w:sz w:val="24"/>
          <w:szCs w:val="24"/>
        </w:rPr>
        <w:t>，</w:t>
      </w:r>
      <w:r>
        <w:rPr>
          <w:rFonts w:hint="eastAsia"/>
          <w:b w:val="0"/>
          <w:bCs/>
          <w:color w:val="auto"/>
          <w:sz w:val="24"/>
          <w:szCs w:val="24"/>
          <w:lang w:val="en-US" w:eastAsia="zh-CN"/>
        </w:rPr>
        <w:t>投标人报价不得高于预算价。</w:t>
      </w:r>
    </w:p>
    <w:p>
      <w:pPr>
        <w:numPr>
          <w:ilvl w:val="0"/>
          <w:numId w:val="4"/>
        </w:numPr>
        <w:snapToGrid w:val="0"/>
        <w:spacing w:line="360" w:lineRule="auto"/>
        <w:ind w:firstLine="482" w:firstLineChars="200"/>
        <w:rPr>
          <w:b/>
          <w:color w:val="auto"/>
          <w:sz w:val="24"/>
          <w:szCs w:val="24"/>
        </w:rPr>
      </w:pPr>
      <w:r>
        <w:rPr>
          <w:b/>
          <w:color w:val="auto"/>
          <w:sz w:val="24"/>
          <w:szCs w:val="24"/>
        </w:rPr>
        <w:t>招标范围</w:t>
      </w:r>
    </w:p>
    <w:p>
      <w:pPr>
        <w:spacing w:line="360" w:lineRule="auto"/>
        <w:ind w:firstLine="480" w:firstLineChars="200"/>
        <w:textAlignment w:val="auto"/>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2.1</w:t>
      </w:r>
      <w:r>
        <w:rPr>
          <w:rFonts w:hint="eastAsia" w:cs="Times New Roman"/>
          <w:b w:val="0"/>
          <w:bCs/>
          <w:color w:val="auto"/>
          <w:sz w:val="24"/>
          <w:szCs w:val="24"/>
          <w:lang w:val="en-US" w:eastAsia="zh-CN"/>
        </w:rPr>
        <w:t>采购</w:t>
      </w:r>
      <w:r>
        <w:rPr>
          <w:rFonts w:hint="eastAsia" w:ascii="Times New Roman" w:hAnsi="Times New Roman" w:eastAsia="宋体" w:cs="Times New Roman"/>
          <w:b w:val="0"/>
          <w:bCs/>
          <w:color w:val="auto"/>
          <w:sz w:val="24"/>
          <w:szCs w:val="24"/>
          <w:lang w:val="en-US" w:eastAsia="zh-CN"/>
        </w:rPr>
        <w:t>内容：退化林修复建设规模0.2万亩，其中</w:t>
      </w:r>
      <w:r>
        <w:rPr>
          <w:rFonts w:hint="eastAsia" w:cs="Times New Roman"/>
          <w:b w:val="0"/>
          <w:bCs/>
          <w:color w:val="auto"/>
          <w:sz w:val="24"/>
          <w:szCs w:val="24"/>
          <w:lang w:val="en-US" w:eastAsia="zh-CN"/>
        </w:rPr>
        <w:t>爱新舍里镇</w:t>
      </w:r>
      <w:r>
        <w:rPr>
          <w:rFonts w:hint="eastAsia" w:ascii="Times New Roman" w:hAnsi="Times New Roman" w:eastAsia="宋体" w:cs="Times New Roman"/>
          <w:b w:val="0"/>
          <w:bCs/>
          <w:color w:val="auto"/>
          <w:sz w:val="24"/>
          <w:szCs w:val="24"/>
          <w:lang w:val="en-US" w:eastAsia="zh-CN"/>
        </w:rPr>
        <w:t>356.2亩、</w:t>
      </w:r>
      <w:r>
        <w:rPr>
          <w:rFonts w:hint="eastAsia" w:cs="Times New Roman"/>
          <w:b w:val="0"/>
          <w:bCs/>
          <w:color w:val="auto"/>
          <w:sz w:val="24"/>
          <w:szCs w:val="24"/>
          <w:lang w:val="en-US" w:eastAsia="zh-CN"/>
        </w:rPr>
        <w:t>纳达齐牛录乡</w:t>
      </w:r>
      <w:r>
        <w:rPr>
          <w:rFonts w:hint="eastAsia" w:ascii="Times New Roman" w:hAnsi="Times New Roman" w:eastAsia="宋体" w:cs="Times New Roman"/>
          <w:b w:val="0"/>
          <w:bCs/>
          <w:color w:val="auto"/>
          <w:sz w:val="24"/>
          <w:szCs w:val="24"/>
          <w:lang w:val="en-US" w:eastAsia="zh-CN"/>
        </w:rPr>
        <w:t>1279.1亩、绰霍尔乡364.7亩，其中包含</w:t>
      </w:r>
      <w:r>
        <w:rPr>
          <w:rFonts w:hint="eastAsia" w:cs="Times New Roman"/>
          <w:b w:val="0"/>
          <w:bCs/>
          <w:color w:val="auto"/>
          <w:sz w:val="24"/>
          <w:szCs w:val="24"/>
          <w:lang w:val="en-US" w:eastAsia="zh-CN"/>
        </w:rPr>
        <w:t>枯死、濒死木全面补植更新</w:t>
      </w:r>
      <w:r>
        <w:rPr>
          <w:rFonts w:hint="eastAsia" w:ascii="Times New Roman" w:hAnsi="Times New Roman" w:eastAsia="宋体" w:cs="Times New Roman"/>
          <w:b w:val="0"/>
          <w:bCs/>
          <w:color w:val="auto"/>
          <w:sz w:val="24"/>
          <w:szCs w:val="24"/>
          <w:lang w:val="en-US" w:eastAsia="zh-CN"/>
        </w:rPr>
        <w:t>、抚育管护，具体实施内容、技术参数及工程量详见招标文件。</w:t>
      </w:r>
    </w:p>
    <w:p>
      <w:pPr>
        <w:spacing w:line="360" w:lineRule="auto"/>
        <w:ind w:firstLine="480" w:firstLineChars="200"/>
        <w:textAlignment w:val="auto"/>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2.2技术要求：详见招标文件第四章采购内容及技术参数要求。</w:t>
      </w:r>
    </w:p>
    <w:p>
      <w:pPr>
        <w:numPr>
          <w:ilvl w:val="0"/>
          <w:numId w:val="4"/>
        </w:numPr>
        <w:snapToGrid w:val="0"/>
        <w:spacing w:line="360" w:lineRule="auto"/>
        <w:ind w:left="0" w:leftChars="0" w:firstLine="482" w:firstLineChars="200"/>
        <w:rPr>
          <w:b/>
          <w:color w:val="auto"/>
          <w:sz w:val="24"/>
          <w:szCs w:val="24"/>
        </w:rPr>
      </w:pPr>
      <w:r>
        <w:rPr>
          <w:b/>
          <w:color w:val="auto"/>
          <w:sz w:val="24"/>
          <w:szCs w:val="24"/>
        </w:rPr>
        <w:t>标段划分：</w:t>
      </w:r>
    </w:p>
    <w:p>
      <w:pPr>
        <w:snapToGrid w:val="0"/>
        <w:spacing w:line="360" w:lineRule="auto"/>
        <w:ind w:firstLine="480" w:firstLineChars="200"/>
        <w:rPr>
          <w:rFonts w:hint="eastAsia" w:eastAsia="宋体"/>
          <w:b w:val="0"/>
          <w:bCs/>
          <w:color w:val="auto"/>
          <w:sz w:val="24"/>
          <w:szCs w:val="24"/>
          <w:lang w:eastAsia="zh-CN"/>
        </w:rPr>
      </w:pPr>
      <w:r>
        <w:rPr>
          <w:rFonts w:hint="eastAsia"/>
          <w:b w:val="0"/>
          <w:bCs/>
          <w:color w:val="auto"/>
          <w:sz w:val="24"/>
          <w:szCs w:val="24"/>
          <w:lang w:eastAsia="zh-CN"/>
        </w:rPr>
        <w:t>3.1本项目划分：</w:t>
      </w:r>
      <w:r>
        <w:rPr>
          <w:rFonts w:hint="eastAsia"/>
          <w:b w:val="0"/>
          <w:bCs/>
          <w:color w:val="auto"/>
          <w:sz w:val="24"/>
          <w:szCs w:val="24"/>
          <w:lang w:val="en-US" w:eastAsia="zh-CN"/>
        </w:rPr>
        <w:t>一</w:t>
      </w:r>
      <w:r>
        <w:rPr>
          <w:rFonts w:hint="eastAsia"/>
          <w:b w:val="0"/>
          <w:bCs/>
          <w:color w:val="auto"/>
          <w:sz w:val="24"/>
          <w:szCs w:val="24"/>
          <w:lang w:eastAsia="zh-CN"/>
        </w:rPr>
        <w:t>个标段</w:t>
      </w:r>
    </w:p>
    <w:p>
      <w:pPr>
        <w:numPr>
          <w:ilvl w:val="0"/>
          <w:numId w:val="4"/>
        </w:numPr>
        <w:snapToGrid w:val="0"/>
        <w:spacing w:line="360" w:lineRule="auto"/>
        <w:ind w:left="0" w:leftChars="0" w:firstLine="482" w:firstLineChars="200"/>
        <w:rPr>
          <w:rFonts w:hint="eastAsia" w:eastAsia="宋体"/>
          <w:b/>
          <w:color w:val="auto"/>
          <w:sz w:val="24"/>
          <w:szCs w:val="24"/>
          <w:lang w:val="en-US" w:eastAsia="zh-CN"/>
        </w:rPr>
      </w:pPr>
      <w:r>
        <w:rPr>
          <w:b/>
          <w:color w:val="auto"/>
          <w:sz w:val="24"/>
          <w:szCs w:val="24"/>
        </w:rPr>
        <w:t>招标方式：</w:t>
      </w:r>
      <w:r>
        <w:rPr>
          <w:rFonts w:hint="eastAsia"/>
          <w:b/>
          <w:color w:val="auto"/>
          <w:sz w:val="24"/>
          <w:szCs w:val="24"/>
          <w:lang w:val="en-US" w:eastAsia="zh-CN"/>
        </w:rPr>
        <w:t xml:space="preserve">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4.1本项目招标方式：公开招标。</w:t>
      </w:r>
    </w:p>
    <w:p>
      <w:pPr>
        <w:numPr>
          <w:ilvl w:val="0"/>
          <w:numId w:val="4"/>
        </w:numPr>
        <w:snapToGrid w:val="0"/>
        <w:spacing w:line="360" w:lineRule="auto"/>
        <w:ind w:left="0" w:leftChars="0" w:firstLine="482" w:firstLineChars="200"/>
        <w:rPr>
          <w:b/>
          <w:color w:val="auto"/>
          <w:sz w:val="24"/>
          <w:szCs w:val="24"/>
        </w:rPr>
      </w:pPr>
      <w:r>
        <w:rPr>
          <w:b/>
          <w:color w:val="auto"/>
          <w:sz w:val="24"/>
          <w:szCs w:val="24"/>
        </w:rPr>
        <w:t>计价方式：</w:t>
      </w:r>
    </w:p>
    <w:p>
      <w:pPr>
        <w:spacing w:line="360" w:lineRule="auto"/>
        <w:ind w:firstLine="468" w:firstLineChars="195"/>
        <w:rPr>
          <w:rFonts w:hint="eastAsia"/>
          <w:b w:val="0"/>
          <w:bCs/>
          <w:color w:val="auto"/>
          <w:sz w:val="24"/>
          <w:szCs w:val="24"/>
          <w:lang w:eastAsia="zh-CN"/>
        </w:rPr>
      </w:pPr>
      <w:r>
        <w:rPr>
          <w:color w:val="auto"/>
          <w:sz w:val="24"/>
          <w:szCs w:val="24"/>
        </w:rPr>
        <w:t>5.1本次招标项目合同采用</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w:t>
      </w:r>
    </w:p>
    <w:p>
      <w:pPr>
        <w:numPr>
          <w:ilvl w:val="0"/>
          <w:numId w:val="5"/>
        </w:numPr>
        <w:snapToGrid w:val="0"/>
        <w:spacing w:line="360" w:lineRule="auto"/>
        <w:ind w:firstLine="482" w:firstLineChars="200"/>
        <w:rPr>
          <w:b/>
          <w:color w:val="auto"/>
          <w:sz w:val="24"/>
          <w:szCs w:val="24"/>
        </w:rPr>
      </w:pPr>
      <w:r>
        <w:rPr>
          <w:b/>
          <w:color w:val="auto"/>
          <w:sz w:val="24"/>
          <w:szCs w:val="24"/>
        </w:rPr>
        <w:t>评标办法：</w:t>
      </w:r>
    </w:p>
    <w:p>
      <w:pPr>
        <w:spacing w:line="360" w:lineRule="auto"/>
        <w:ind w:firstLine="468" w:firstLineChars="195"/>
        <w:rPr>
          <w:color w:val="auto"/>
          <w:sz w:val="24"/>
          <w:szCs w:val="24"/>
        </w:rPr>
      </w:pPr>
      <w:r>
        <w:rPr>
          <w:color w:val="auto"/>
          <w:sz w:val="24"/>
          <w:szCs w:val="24"/>
        </w:rPr>
        <w:t>6.1本次招标评标采用</w:t>
      </w:r>
      <w:r>
        <w:rPr>
          <w:color w:val="auto"/>
          <w:sz w:val="24"/>
          <w:szCs w:val="24"/>
          <w:u w:val="single"/>
        </w:rPr>
        <w:t xml:space="preserve">  综合评分法 </w:t>
      </w:r>
      <w:r>
        <w:rPr>
          <w:color w:val="auto"/>
          <w:sz w:val="24"/>
          <w:szCs w:val="24"/>
        </w:rPr>
        <w:t>（详见第三章评标办法）</w:t>
      </w:r>
    </w:p>
    <w:p>
      <w:pPr>
        <w:numPr>
          <w:ilvl w:val="0"/>
          <w:numId w:val="6"/>
        </w:numPr>
        <w:snapToGrid w:val="0"/>
        <w:spacing w:line="360" w:lineRule="auto"/>
        <w:ind w:firstLine="482" w:firstLineChars="200"/>
        <w:rPr>
          <w:b/>
          <w:color w:val="auto"/>
          <w:sz w:val="24"/>
          <w:szCs w:val="24"/>
        </w:rPr>
      </w:pPr>
      <w:r>
        <w:rPr>
          <w:b/>
          <w:color w:val="auto"/>
          <w:sz w:val="24"/>
          <w:szCs w:val="24"/>
        </w:rPr>
        <w:t>投标人资格：</w:t>
      </w:r>
    </w:p>
    <w:p>
      <w:pPr>
        <w:snapToGrid w:val="0"/>
        <w:spacing w:line="360" w:lineRule="auto"/>
        <w:ind w:firstLine="480" w:firstLineChars="200"/>
        <w:rPr>
          <w:b/>
          <w:color w:val="auto"/>
          <w:sz w:val="24"/>
          <w:szCs w:val="24"/>
        </w:rPr>
      </w:pPr>
      <w:r>
        <w:rPr>
          <w:color w:val="auto"/>
          <w:sz w:val="24"/>
          <w:szCs w:val="24"/>
        </w:rPr>
        <w:t xml:space="preserve">7.1 </w:t>
      </w:r>
      <w:r>
        <w:rPr>
          <w:b/>
          <w:color w:val="auto"/>
          <w:sz w:val="24"/>
          <w:szCs w:val="24"/>
        </w:rPr>
        <w:t>见投标人须知前附表</w:t>
      </w:r>
    </w:p>
    <w:p>
      <w:pPr>
        <w:spacing w:line="360" w:lineRule="auto"/>
        <w:ind w:firstLine="482" w:firstLineChars="200"/>
        <w:rPr>
          <w:b/>
          <w:color w:val="auto"/>
          <w:sz w:val="24"/>
          <w:szCs w:val="24"/>
        </w:rPr>
      </w:pPr>
      <w:r>
        <w:rPr>
          <w:b/>
          <w:color w:val="auto"/>
          <w:sz w:val="24"/>
          <w:szCs w:val="24"/>
        </w:rPr>
        <w:t>8.</w:t>
      </w:r>
      <w:r>
        <w:rPr>
          <w:rFonts w:hint="eastAsia"/>
          <w:b/>
          <w:color w:val="auto"/>
          <w:sz w:val="24"/>
          <w:szCs w:val="24"/>
          <w:lang w:val="en-US" w:eastAsia="zh-CN"/>
        </w:rPr>
        <w:t xml:space="preserve"> </w:t>
      </w:r>
      <w:r>
        <w:rPr>
          <w:b/>
          <w:color w:val="auto"/>
          <w:sz w:val="24"/>
          <w:szCs w:val="24"/>
        </w:rPr>
        <w:t>投标费用</w:t>
      </w:r>
    </w:p>
    <w:p>
      <w:pPr>
        <w:spacing w:line="360" w:lineRule="auto"/>
        <w:ind w:firstLine="468" w:firstLineChars="195"/>
        <w:rPr>
          <w:color w:val="auto"/>
          <w:sz w:val="24"/>
          <w:szCs w:val="24"/>
        </w:rPr>
      </w:pPr>
      <w:r>
        <w:rPr>
          <w:color w:val="auto"/>
          <w:sz w:val="24"/>
          <w:szCs w:val="24"/>
        </w:rPr>
        <w:t>8.1投标人准备和参加投标活动发生的费用自理。</w:t>
      </w:r>
    </w:p>
    <w:p>
      <w:pPr>
        <w:numPr>
          <w:ilvl w:val="0"/>
          <w:numId w:val="7"/>
        </w:numPr>
        <w:spacing w:line="360" w:lineRule="auto"/>
        <w:ind w:firstLine="482" w:firstLineChars="200"/>
        <w:rPr>
          <w:b/>
          <w:color w:val="auto"/>
          <w:sz w:val="24"/>
          <w:szCs w:val="24"/>
        </w:rPr>
      </w:pPr>
      <w:bookmarkStart w:id="34" w:name="_Toc152042315"/>
      <w:bookmarkStart w:id="35" w:name="_Toc152045539"/>
      <w:bookmarkStart w:id="36" w:name="_Toc247592876"/>
      <w:bookmarkStart w:id="37" w:name="_Toc247513962"/>
      <w:bookmarkStart w:id="38" w:name="_Toc144974507"/>
      <w:bookmarkStart w:id="39" w:name="_Toc296602429"/>
      <w:bookmarkStart w:id="40" w:name="_Toc247527563"/>
      <w:r>
        <w:rPr>
          <w:b/>
          <w:color w:val="auto"/>
          <w:sz w:val="24"/>
          <w:szCs w:val="24"/>
        </w:rPr>
        <w:t>踏勘现场</w:t>
      </w:r>
      <w:bookmarkEnd w:id="34"/>
      <w:bookmarkEnd w:id="35"/>
      <w:bookmarkEnd w:id="36"/>
      <w:bookmarkEnd w:id="37"/>
      <w:bookmarkEnd w:id="38"/>
      <w:bookmarkEnd w:id="39"/>
      <w:bookmarkEnd w:id="40"/>
    </w:p>
    <w:p>
      <w:pPr>
        <w:spacing w:line="360" w:lineRule="auto"/>
        <w:ind w:firstLine="468" w:firstLineChars="195"/>
        <w:rPr>
          <w:color w:val="auto"/>
          <w:sz w:val="24"/>
          <w:szCs w:val="24"/>
        </w:rPr>
      </w:pPr>
      <w:r>
        <w:rPr>
          <w:color w:val="auto"/>
          <w:sz w:val="24"/>
          <w:szCs w:val="24"/>
        </w:rPr>
        <w:t>9.1投标人须知前附表规定组织踏勘现场的，招标人按投标人须知前附表规定的时间、地点组织投标人踏勘项目现场。</w:t>
      </w:r>
    </w:p>
    <w:p>
      <w:pPr>
        <w:spacing w:line="360" w:lineRule="auto"/>
        <w:ind w:firstLine="468" w:firstLineChars="195"/>
        <w:rPr>
          <w:color w:val="auto"/>
          <w:sz w:val="24"/>
          <w:szCs w:val="24"/>
        </w:rPr>
      </w:pPr>
      <w:r>
        <w:rPr>
          <w:color w:val="auto"/>
          <w:sz w:val="24"/>
          <w:szCs w:val="24"/>
        </w:rPr>
        <w:t>9.2投标人踏勘现场发生的费用自理。</w:t>
      </w:r>
    </w:p>
    <w:p>
      <w:pPr>
        <w:spacing w:line="360" w:lineRule="auto"/>
        <w:ind w:firstLine="468" w:firstLineChars="195"/>
        <w:rPr>
          <w:color w:val="auto"/>
          <w:sz w:val="24"/>
          <w:szCs w:val="24"/>
        </w:rPr>
      </w:pPr>
      <w:r>
        <w:rPr>
          <w:color w:val="auto"/>
          <w:sz w:val="24"/>
          <w:szCs w:val="24"/>
        </w:rPr>
        <w:t>9.3除招标人的原因外，投标人自行负责在踏勘现场中所发生的人员伤亡和财产损失。</w:t>
      </w:r>
    </w:p>
    <w:p>
      <w:pPr>
        <w:spacing w:line="360" w:lineRule="auto"/>
        <w:ind w:firstLine="468" w:firstLineChars="195"/>
        <w:rPr>
          <w:b w:val="0"/>
          <w:bCs/>
          <w:color w:val="auto"/>
          <w:sz w:val="24"/>
          <w:szCs w:val="24"/>
        </w:rPr>
      </w:pPr>
      <w:r>
        <w:rPr>
          <w:color w:val="auto"/>
          <w:sz w:val="24"/>
          <w:szCs w:val="24"/>
        </w:rPr>
        <w:t>9.4招标人在踏勘现场中介绍的场地和相关的周边环境情况，供投标人在编制投标文件时参考，招标人不对投标人据此作出的判断和决策负责。</w:t>
      </w:r>
      <w:bookmarkStart w:id="41" w:name="_Toc247527564"/>
      <w:bookmarkStart w:id="42" w:name="_Toc152045540"/>
      <w:bookmarkStart w:id="43" w:name="_Toc144974508"/>
      <w:bookmarkStart w:id="44" w:name="_Toc152042316"/>
      <w:bookmarkStart w:id="45" w:name="_Toc247513963"/>
      <w:bookmarkStart w:id="46" w:name="_Toc247592877"/>
      <w:bookmarkStart w:id="47" w:name="_Toc296602430"/>
    </w:p>
    <w:p>
      <w:pPr>
        <w:spacing w:line="360" w:lineRule="auto"/>
        <w:ind w:firstLine="482" w:firstLineChars="200"/>
        <w:rPr>
          <w:b/>
          <w:color w:val="auto"/>
          <w:sz w:val="24"/>
          <w:szCs w:val="24"/>
        </w:rPr>
      </w:pPr>
      <w:r>
        <w:rPr>
          <w:b/>
          <w:color w:val="auto"/>
          <w:sz w:val="24"/>
          <w:szCs w:val="24"/>
        </w:rPr>
        <w:t>10. 投标预备会</w:t>
      </w:r>
      <w:bookmarkEnd w:id="41"/>
      <w:bookmarkEnd w:id="42"/>
      <w:bookmarkEnd w:id="43"/>
      <w:bookmarkEnd w:id="44"/>
      <w:bookmarkEnd w:id="45"/>
      <w:bookmarkEnd w:id="46"/>
      <w:bookmarkEnd w:id="47"/>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10.1投标人须知前附表规定召开投标预备会的，招标人按投标人须知前附表规定的时间和地点召开投标预备会，澄清投标人提出的问题。</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10.2投标人应在投标人须知前附表规定的时间前，将提出的问题送达招标人，以便招标人澄清。</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10.3招标人在投标人须知前附表规定的时间，将对投标人所提的问题进行澄清。该澄清内容为招标文件的组成部分。</w:t>
      </w:r>
    </w:p>
    <w:p>
      <w:pPr>
        <w:numPr>
          <w:ilvl w:val="0"/>
          <w:numId w:val="8"/>
        </w:numPr>
        <w:spacing w:line="360" w:lineRule="auto"/>
        <w:ind w:firstLine="482" w:firstLineChars="200"/>
        <w:rPr>
          <w:b/>
          <w:color w:val="auto"/>
          <w:sz w:val="24"/>
          <w:szCs w:val="24"/>
        </w:rPr>
      </w:pPr>
      <w:r>
        <w:rPr>
          <w:b/>
          <w:color w:val="auto"/>
          <w:sz w:val="24"/>
          <w:szCs w:val="24"/>
        </w:rPr>
        <w:t>联合投标（本项目不采用）</w:t>
      </w:r>
    </w:p>
    <w:p>
      <w:pPr>
        <w:spacing w:line="360" w:lineRule="auto"/>
        <w:ind w:firstLine="472" w:firstLineChars="196"/>
        <w:jc w:val="left"/>
        <w:rPr>
          <w:b/>
          <w:color w:val="auto"/>
          <w:sz w:val="24"/>
          <w:szCs w:val="24"/>
        </w:rPr>
      </w:pPr>
      <w:r>
        <w:rPr>
          <w:b/>
          <w:color w:val="auto"/>
          <w:sz w:val="24"/>
          <w:szCs w:val="24"/>
        </w:rPr>
        <w:t>12.</w:t>
      </w:r>
      <w:r>
        <w:rPr>
          <w:rFonts w:hint="eastAsia"/>
          <w:b/>
          <w:color w:val="auto"/>
          <w:sz w:val="24"/>
          <w:szCs w:val="24"/>
          <w:lang w:val="en-US" w:eastAsia="zh-CN"/>
        </w:rPr>
        <w:t xml:space="preserve"> </w:t>
      </w:r>
      <w:r>
        <w:rPr>
          <w:b/>
          <w:color w:val="auto"/>
          <w:sz w:val="24"/>
          <w:szCs w:val="24"/>
        </w:rPr>
        <w:t>招标代理费</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12.1招标代理费参照国家发改价格[2011]534号文件及发改办价格[2003]857号文件的规定；按中标金额计算招标代理服务费，由中标方支付。专家费用根据开标当天实际发生额由中标单位当天支付，投标人在投标报价让利中考虑上述费用。</w:t>
      </w:r>
    </w:p>
    <w:p>
      <w:pPr>
        <w:numPr>
          <w:ilvl w:val="0"/>
          <w:numId w:val="9"/>
        </w:numPr>
        <w:spacing w:line="360" w:lineRule="auto"/>
        <w:ind w:firstLine="482" w:firstLineChars="200"/>
        <w:rPr>
          <w:b/>
          <w:color w:val="auto"/>
          <w:sz w:val="24"/>
          <w:szCs w:val="24"/>
        </w:rPr>
      </w:pPr>
      <w:r>
        <w:rPr>
          <w:b/>
          <w:color w:val="auto"/>
          <w:sz w:val="24"/>
          <w:szCs w:val="24"/>
        </w:rPr>
        <w:t>投标人应注意的事项</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13.1投标人一旦购买了本招标文件并参加投标，即被认为接受了本招标文件中的所有条件和规定。投标人必须严格按招标文件的要求编制投标文件，投标文件宜编制页码和目录，以便评委审核。投标文件应装订整齐，封装在投标函袋内，否则，由此产生的一切后果由投标人承担。具体封装要求见本章第26条。</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13.2法定代表人参加开标会议，应携带法定代表人身份证明原件和本人身份证；委托代理人参加开标会议应携带法定代表人授权书和本人身份证。</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13.3投标人对采购内容中规定的技术参数、规格、数量和要求等最大限度的满足招标文件的要求。</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13.4所有投标人的投标保证金都应在投标文件规定的投标保证金缴纳截止日期前缴纳，以资金到账时间为准。</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13.5法定代表人为同一个人的两个及两个以上法人，母公司、全资子公司及其控股公司，均不得同时参加本项目的投标。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本招标文件不再对上述情况进行描述。</w:t>
      </w:r>
    </w:p>
    <w:p>
      <w:pPr>
        <w:numPr>
          <w:ilvl w:val="0"/>
          <w:numId w:val="9"/>
        </w:numPr>
        <w:spacing w:line="360" w:lineRule="auto"/>
        <w:ind w:left="0" w:leftChars="0" w:firstLine="482" w:firstLineChars="200"/>
        <w:rPr>
          <w:rFonts w:hint="eastAsia"/>
          <w:b w:val="0"/>
          <w:bCs/>
          <w:color w:val="auto"/>
          <w:sz w:val="24"/>
          <w:szCs w:val="24"/>
          <w:lang w:eastAsia="zh-CN"/>
        </w:rPr>
      </w:pPr>
      <w:r>
        <w:rPr>
          <w:b/>
          <w:color w:val="auto"/>
          <w:sz w:val="24"/>
          <w:szCs w:val="24"/>
        </w:rPr>
        <w:t>需要补充的其它内容</w:t>
      </w:r>
    </w:p>
    <w:p>
      <w:pPr>
        <w:numPr>
          <w:ilvl w:val="0"/>
          <w:numId w:val="10"/>
        </w:numPr>
        <w:spacing w:line="360" w:lineRule="auto"/>
        <w:ind w:firstLine="480" w:firstLineChars="200"/>
        <w:rPr>
          <w:rFonts w:hint="eastAsia"/>
          <w:b w:val="0"/>
          <w:bCs/>
          <w:color w:val="auto"/>
          <w:sz w:val="24"/>
          <w:szCs w:val="24"/>
          <w:lang w:eastAsia="zh-CN"/>
        </w:rPr>
      </w:pPr>
      <w:r>
        <w:rPr>
          <w:rFonts w:hint="eastAsia"/>
          <w:b w:val="0"/>
          <w:bCs/>
          <w:color w:val="auto"/>
          <w:sz w:val="24"/>
          <w:szCs w:val="24"/>
          <w:lang w:eastAsia="zh-CN"/>
        </w:rPr>
        <w:t>本招标文件前后条款若有不一致之处，在澄清答疑时又未作出明确规定时，各投标人的投标文件只要满足其中任一条款，均视为对本招标文件的响应。</w:t>
      </w:r>
    </w:p>
    <w:p>
      <w:pPr>
        <w:numPr>
          <w:ilvl w:val="0"/>
          <w:numId w:val="0"/>
        </w:numPr>
        <w:spacing w:line="360" w:lineRule="auto"/>
        <w:ind w:firstLine="480" w:firstLineChars="200"/>
        <w:rPr>
          <w:rFonts w:hint="eastAsia"/>
          <w:b w:val="0"/>
          <w:bCs/>
          <w:color w:val="auto"/>
          <w:sz w:val="24"/>
          <w:szCs w:val="24"/>
          <w:lang w:eastAsia="zh-CN"/>
        </w:rPr>
      </w:pPr>
      <w:r>
        <w:rPr>
          <w:rFonts w:hint="eastAsia"/>
          <w:b w:val="0"/>
          <w:bCs/>
          <w:color w:val="auto"/>
          <w:sz w:val="24"/>
          <w:szCs w:val="24"/>
          <w:lang w:eastAsia="zh-CN"/>
        </w:rPr>
        <w:t>（2）投标企业被行业行政主管部门或招投标综合监督管理部门暂停投标资格且开标日在处罚期限内的，一律限制投标资格，不得参加本项目招投标活动，若中标取消中标资格。</w:t>
      </w:r>
    </w:p>
    <w:p>
      <w:pPr>
        <w:spacing w:line="360" w:lineRule="auto"/>
        <w:jc w:val="center"/>
        <w:rPr>
          <w:b/>
          <w:color w:val="auto"/>
          <w:sz w:val="28"/>
          <w:szCs w:val="28"/>
        </w:rPr>
      </w:pPr>
    </w:p>
    <w:p>
      <w:pPr>
        <w:spacing w:line="360" w:lineRule="auto"/>
        <w:jc w:val="center"/>
        <w:rPr>
          <w:b/>
          <w:color w:val="auto"/>
          <w:sz w:val="28"/>
          <w:szCs w:val="28"/>
        </w:rPr>
      </w:pPr>
      <w:r>
        <w:rPr>
          <w:b/>
          <w:color w:val="auto"/>
          <w:sz w:val="28"/>
          <w:szCs w:val="28"/>
        </w:rPr>
        <w:t>（二）招标文件</w:t>
      </w:r>
    </w:p>
    <w:p>
      <w:pPr>
        <w:spacing w:line="360" w:lineRule="auto"/>
        <w:ind w:firstLine="482" w:firstLineChars="200"/>
        <w:rPr>
          <w:b/>
          <w:color w:val="auto"/>
          <w:sz w:val="24"/>
          <w:szCs w:val="24"/>
        </w:rPr>
      </w:pPr>
      <w:r>
        <w:rPr>
          <w:b/>
          <w:color w:val="auto"/>
          <w:sz w:val="24"/>
          <w:szCs w:val="24"/>
        </w:rPr>
        <w:t>15. 招标文件的编制依据</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根据《中华人民共和国招标投标法及其实施条例》、《中华人民共和国政府采购法及其实施条例》、《政府采购货物和服务招标投标管理办法》和《中华人民共和国合同法》等相关法律法规和规章及部、自治区、市级规范性文件的规定，编制本招标文件。</w:t>
      </w:r>
    </w:p>
    <w:p>
      <w:pPr>
        <w:spacing w:line="360" w:lineRule="auto"/>
        <w:ind w:firstLine="482" w:firstLineChars="200"/>
        <w:rPr>
          <w:b/>
          <w:color w:val="auto"/>
          <w:sz w:val="24"/>
          <w:szCs w:val="24"/>
        </w:rPr>
      </w:pPr>
      <w:r>
        <w:rPr>
          <w:b/>
          <w:color w:val="auto"/>
          <w:sz w:val="24"/>
          <w:szCs w:val="24"/>
        </w:rPr>
        <w:t>16. 招标文件的组成</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16.1招标文件包括内容：</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第一章  招标公告</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第二章  投标须知</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第三章  评标办法</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第四章  采购内容及要求</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第五章  合同条款及格式</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第六章  投标文件格式文本</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第七章  招标单位、招标代理机构对本文件的确认</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16.2除16.1内容外，招标答疑亦为招标文件的组成部分，对招标人和投标人起约束作用。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16.3投标人应仔细阅读和检查招标文件的全部内容。如发现缺页或附件不全，应及时向招标人提出，以便补齐。如有疑问，应在投标人须知前附表规定的时间前，要求招标人对招标文件予以澄清。</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16.4招标文件的澄清，但不指明澄清问题的来源。如果澄清内容影响投标文件编制的，将相应延长投标截止时间。</w:t>
      </w:r>
    </w:p>
    <w:p>
      <w:pPr>
        <w:spacing w:line="360" w:lineRule="auto"/>
        <w:ind w:firstLine="482" w:firstLineChars="200"/>
        <w:rPr>
          <w:b/>
          <w:bCs/>
          <w:color w:val="auto"/>
          <w:sz w:val="24"/>
          <w:szCs w:val="24"/>
        </w:rPr>
      </w:pPr>
      <w:r>
        <w:rPr>
          <w:b/>
          <w:bCs/>
          <w:color w:val="auto"/>
          <w:sz w:val="24"/>
          <w:szCs w:val="24"/>
        </w:rPr>
        <w:t>17. 招标文件的修改、补充、解释</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17.1招标文件发出后，招标人在规定的投标截止时间前可对招标文件进行必要的修改和补充，请各位投标人注意查看有关澄清内容，如不及时查看造成后果由投标人自负。招标文件的修改、补充等内容作为招标文件的组成部分，具有约束作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17.2招标文件的解释</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本招标文件由招标人（或其委托的招标代理机构）负责解释。</w:t>
      </w:r>
    </w:p>
    <w:p>
      <w:pPr>
        <w:spacing w:line="360" w:lineRule="auto"/>
        <w:ind w:firstLine="482" w:firstLineChars="200"/>
        <w:rPr>
          <w:b/>
          <w:color w:val="auto"/>
          <w:sz w:val="24"/>
          <w:szCs w:val="24"/>
        </w:rPr>
      </w:pPr>
      <w:r>
        <w:rPr>
          <w:b/>
          <w:color w:val="auto"/>
          <w:sz w:val="24"/>
          <w:szCs w:val="24"/>
        </w:rPr>
        <w:t>18. 招标文件的发出</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18.1招标文件、招标文件的澄清、修改、补充及招标答疑等均应报招投标监督管理机构备案后，方可发出。</w:t>
      </w:r>
    </w:p>
    <w:p>
      <w:pPr>
        <w:spacing w:line="360" w:lineRule="auto"/>
        <w:ind w:firstLine="482" w:firstLineChars="200"/>
        <w:rPr>
          <w:b/>
          <w:color w:val="auto"/>
          <w:sz w:val="24"/>
          <w:szCs w:val="24"/>
        </w:rPr>
      </w:pPr>
      <w:r>
        <w:rPr>
          <w:b/>
          <w:color w:val="auto"/>
          <w:sz w:val="24"/>
          <w:szCs w:val="24"/>
        </w:rPr>
        <w:t>19.最高限价的作用和说明</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19.1本项目最高限价见投标人须知前附表。</w:t>
      </w:r>
    </w:p>
    <w:p>
      <w:pPr>
        <w:spacing w:line="360" w:lineRule="auto"/>
        <w:jc w:val="center"/>
        <w:rPr>
          <w:b/>
          <w:color w:val="auto"/>
          <w:sz w:val="28"/>
          <w:szCs w:val="28"/>
        </w:rPr>
      </w:pPr>
    </w:p>
    <w:p>
      <w:pPr>
        <w:spacing w:line="360" w:lineRule="auto"/>
        <w:jc w:val="center"/>
        <w:rPr>
          <w:b/>
          <w:color w:val="auto"/>
          <w:sz w:val="28"/>
          <w:szCs w:val="28"/>
        </w:rPr>
      </w:pPr>
      <w:r>
        <w:rPr>
          <w:b/>
          <w:color w:val="auto"/>
          <w:sz w:val="28"/>
          <w:szCs w:val="28"/>
        </w:rPr>
        <w:t>（三）投标文件的编制</w:t>
      </w:r>
    </w:p>
    <w:p>
      <w:pPr>
        <w:spacing w:line="360" w:lineRule="auto"/>
        <w:ind w:firstLine="482" w:firstLineChars="200"/>
        <w:rPr>
          <w:b/>
          <w:color w:val="auto"/>
          <w:sz w:val="24"/>
          <w:szCs w:val="24"/>
        </w:rPr>
      </w:pPr>
      <w:r>
        <w:rPr>
          <w:b/>
          <w:color w:val="auto"/>
          <w:sz w:val="24"/>
          <w:szCs w:val="24"/>
        </w:rPr>
        <w:t>20. 投标的语言及度量衡单位</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20.1投标人的投标文件、以及投标人与招标人就投标的所有往来函电，均须使用简体中文。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20.2除招标文件中另有规定外，投标书所使用的度量衡均须采用法定计量单位。</w:t>
      </w:r>
    </w:p>
    <w:p>
      <w:pPr>
        <w:spacing w:line="360" w:lineRule="auto"/>
        <w:ind w:firstLine="477" w:firstLineChars="198"/>
        <w:rPr>
          <w:b/>
          <w:color w:val="auto"/>
          <w:sz w:val="24"/>
          <w:szCs w:val="24"/>
        </w:rPr>
      </w:pPr>
      <w:r>
        <w:rPr>
          <w:b/>
          <w:color w:val="auto"/>
          <w:sz w:val="24"/>
          <w:szCs w:val="24"/>
        </w:rPr>
        <w:t>21. 投标文件的组成</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投标文件由</w:t>
      </w:r>
      <w:r>
        <w:rPr>
          <w:rFonts w:hint="eastAsia"/>
          <w:b w:val="0"/>
          <w:bCs/>
          <w:color w:val="auto"/>
          <w:sz w:val="24"/>
          <w:szCs w:val="24"/>
          <w:lang w:val="en-US" w:eastAsia="zh-CN"/>
        </w:rPr>
        <w:t>商务标</w:t>
      </w:r>
      <w:r>
        <w:rPr>
          <w:rFonts w:hint="eastAsia"/>
          <w:b w:val="0"/>
          <w:bCs/>
          <w:color w:val="auto"/>
          <w:sz w:val="24"/>
          <w:szCs w:val="24"/>
          <w:lang w:eastAsia="zh-CN"/>
        </w:rPr>
        <w:t>、技术</w:t>
      </w:r>
      <w:r>
        <w:rPr>
          <w:rFonts w:hint="eastAsia"/>
          <w:b w:val="0"/>
          <w:bCs/>
          <w:color w:val="auto"/>
          <w:sz w:val="24"/>
          <w:szCs w:val="24"/>
          <w:lang w:val="en-US" w:eastAsia="zh-CN"/>
        </w:rPr>
        <w:t>标</w:t>
      </w:r>
      <w:r>
        <w:rPr>
          <w:rFonts w:hint="eastAsia"/>
          <w:b w:val="0"/>
          <w:bCs/>
          <w:color w:val="auto"/>
          <w:sz w:val="24"/>
          <w:szCs w:val="24"/>
          <w:lang w:eastAsia="zh-CN"/>
        </w:rPr>
        <w:t>、</w:t>
      </w:r>
      <w:r>
        <w:rPr>
          <w:rFonts w:hint="eastAsia"/>
          <w:b w:val="0"/>
          <w:bCs/>
          <w:color w:val="auto"/>
          <w:sz w:val="24"/>
          <w:szCs w:val="24"/>
          <w:lang w:val="en-US" w:eastAsia="zh-CN"/>
        </w:rPr>
        <w:t>经济标</w:t>
      </w:r>
      <w:r>
        <w:rPr>
          <w:rFonts w:hint="eastAsia"/>
          <w:b w:val="0"/>
          <w:bCs/>
          <w:color w:val="auto"/>
          <w:sz w:val="24"/>
          <w:szCs w:val="24"/>
          <w:lang w:eastAsia="zh-CN"/>
        </w:rPr>
        <w:t>，按以下顺序须死页装订成一册（务必按以下顺序装订，每页加盖公章）</w:t>
      </w:r>
    </w:p>
    <w:p>
      <w:pPr>
        <w:spacing w:line="360" w:lineRule="auto"/>
        <w:ind w:firstLine="482" w:firstLineChars="200"/>
        <w:rPr>
          <w:rFonts w:hint="eastAsia" w:eastAsia="宋体"/>
          <w:b/>
          <w:color w:val="auto"/>
          <w:sz w:val="24"/>
          <w:szCs w:val="24"/>
          <w:lang w:eastAsia="zh-CN"/>
        </w:rPr>
      </w:pPr>
      <w:r>
        <w:rPr>
          <w:b/>
          <w:color w:val="auto"/>
          <w:sz w:val="24"/>
          <w:szCs w:val="24"/>
        </w:rPr>
        <w:t>21.1</w:t>
      </w:r>
      <w:r>
        <w:rPr>
          <w:rFonts w:hint="eastAsia"/>
          <w:b/>
          <w:color w:val="auto"/>
          <w:sz w:val="24"/>
          <w:szCs w:val="24"/>
          <w:lang w:val="en-US" w:eastAsia="zh-CN"/>
        </w:rPr>
        <w:t>商务标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（1）法定代表人身份证明及其有效身份证复印件（或法人代表授权委托书及其有效身份证）（格式见附表）；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（2）营业执照及企业相关证件；</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（3）投标人及其法定代表人无失信被执行行为承诺书（格式见附表）；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（4）社会法人无失信被执行行为承诺书（格式见附表）；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 xml:space="preserve">（5）无重大税收违法行为承诺书（格式见附表）；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（6）中标服务费承诺书（格式见附表）；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（7）参加政府采购活动前三年内在经营活动中没有重大违法记录的书面声明；</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（8）“信用中国”网站（http://www.creditchina.gov.cn/）信用查询纪录；</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（9）售后服务情况（包含售后服务方案、场地、设备、人员等）</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（10）企业纳税情况证明</w:t>
      </w:r>
      <w:r>
        <w:rPr>
          <w:color w:val="auto"/>
          <w:sz w:val="24"/>
          <w:szCs w:val="24"/>
        </w:rPr>
        <w:t>及</w:t>
      </w:r>
      <w:r>
        <w:rPr>
          <w:rFonts w:hint="eastAsia"/>
          <w:color w:val="auto"/>
          <w:sz w:val="24"/>
          <w:szCs w:val="24"/>
        </w:rPr>
        <w:t>社保证明</w:t>
      </w:r>
      <w:r>
        <w:rPr>
          <w:color w:val="auto"/>
          <w:sz w:val="24"/>
          <w:szCs w:val="24"/>
        </w:rPr>
        <w:t>；</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（11）商务标评分细则里需要提供的相关材料；</w:t>
      </w:r>
    </w:p>
    <w:p>
      <w:pPr>
        <w:spacing w:line="360" w:lineRule="auto"/>
        <w:ind w:firstLine="468" w:firstLineChars="195"/>
        <w:rPr>
          <w:b/>
          <w:color w:val="auto"/>
          <w:sz w:val="24"/>
          <w:szCs w:val="24"/>
        </w:rPr>
      </w:pPr>
      <w:r>
        <w:rPr>
          <w:rFonts w:hint="eastAsia"/>
          <w:b w:val="0"/>
          <w:bCs/>
          <w:color w:val="auto"/>
          <w:sz w:val="24"/>
          <w:szCs w:val="24"/>
          <w:lang w:eastAsia="zh-CN"/>
        </w:rPr>
        <w:t>注：凡提供复印件的资料需加盖投标人印章，提供营业执照加盖印章复印件的，投标企业自行承担复印件二维码不清晰可能导致投标人证件审查不通过的后果。</w:t>
      </w:r>
    </w:p>
    <w:p>
      <w:pPr>
        <w:spacing w:line="360" w:lineRule="auto"/>
        <w:ind w:firstLine="482" w:firstLineChars="200"/>
        <w:rPr>
          <w:rFonts w:hint="eastAsia" w:eastAsia="宋体"/>
          <w:b/>
          <w:color w:val="auto"/>
          <w:sz w:val="24"/>
          <w:szCs w:val="24"/>
          <w:lang w:eastAsia="zh-CN"/>
        </w:rPr>
      </w:pPr>
      <w:r>
        <w:rPr>
          <w:b/>
          <w:color w:val="auto"/>
          <w:sz w:val="24"/>
          <w:szCs w:val="24"/>
        </w:rPr>
        <w:t>21.2技术</w:t>
      </w:r>
      <w:r>
        <w:rPr>
          <w:rFonts w:hint="eastAsia"/>
          <w:b/>
          <w:color w:val="auto"/>
          <w:sz w:val="24"/>
          <w:szCs w:val="24"/>
          <w:lang w:val="en-US" w:eastAsia="zh-CN"/>
        </w:rPr>
        <w:t>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（1）详细的货物、规格、型号、技术参数等（附技术参数响应表、货物的详细配置清单，格式见附表）；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w:t>
      </w:r>
      <w:r>
        <w:rPr>
          <w:rFonts w:hint="eastAsia"/>
          <w:b w:val="0"/>
          <w:bCs/>
          <w:color w:val="auto"/>
          <w:sz w:val="24"/>
          <w:szCs w:val="24"/>
          <w:lang w:val="en-US" w:eastAsia="zh-CN"/>
        </w:rPr>
        <w:t>实施方案</w:t>
      </w:r>
      <w:r>
        <w:rPr>
          <w:rFonts w:hint="eastAsia"/>
          <w:b w:val="0"/>
          <w:bCs/>
          <w:color w:val="auto"/>
          <w:sz w:val="24"/>
          <w:szCs w:val="24"/>
          <w:lang w:eastAsia="zh-CN"/>
        </w:rPr>
        <w:t>：为本项目实施所采用的技术措施和实施方案等；</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（3）服务承诺：针对本项目的服务承诺书（格式见附表）；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（4）技术标评分细则里需要提供的相关材料；</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（5）货物符合招标文件规定的证明文件 ；</w:t>
      </w:r>
    </w:p>
    <w:p>
      <w:pPr>
        <w:spacing w:line="360" w:lineRule="auto"/>
        <w:rPr>
          <w:rFonts w:hint="eastAsia"/>
          <w:b w:val="0"/>
          <w:bCs/>
          <w:color w:val="auto"/>
          <w:sz w:val="24"/>
          <w:szCs w:val="24"/>
          <w:lang w:eastAsia="zh-CN"/>
        </w:rPr>
      </w:pPr>
      <w:r>
        <w:rPr>
          <w:rFonts w:hint="eastAsia"/>
          <w:b w:val="0"/>
          <w:bCs/>
          <w:color w:val="auto"/>
          <w:sz w:val="24"/>
          <w:szCs w:val="24"/>
          <w:lang w:eastAsia="zh-CN"/>
        </w:rPr>
        <w:t xml:space="preserve">注：投标人应提交其货物和服务符合招标文件规定的证明，作为投标文件的一部分。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 xml:space="preserve">货物和服务与招标文件的要求相一致的证明，可以是文字资料、图纸、数据、检测报告等，包括：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 xml:space="preserve">1、所投货物主要技术指标和性能的详细说明。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 xml:space="preserve">2、对照招标文件技术规范要求，逐条说明所提供货物和服务已对招标文件的技术规范要求作出了实质性响应，或申明与技术规范要求的偏差和例外。特别对于有具体参数要求的指标，投标人必须提供所投货物的具体参数。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 xml:space="preserve">3、商务条款的偏差和例外。 </w:t>
      </w:r>
    </w:p>
    <w:p>
      <w:pPr>
        <w:spacing w:line="360" w:lineRule="auto"/>
        <w:ind w:firstLine="468" w:firstLineChars="195"/>
        <w:rPr>
          <w:bCs/>
          <w:color w:val="auto"/>
          <w:sz w:val="24"/>
          <w:szCs w:val="24"/>
        </w:rPr>
      </w:pPr>
      <w:r>
        <w:rPr>
          <w:rFonts w:hint="eastAsia"/>
          <w:b w:val="0"/>
          <w:bCs/>
          <w:color w:val="auto"/>
          <w:sz w:val="24"/>
          <w:szCs w:val="24"/>
          <w:lang w:eastAsia="zh-CN"/>
        </w:rPr>
        <w:t>4、投标人的技术规范应符合招标文件设备清单的要求，投标人可提出改进建议，但该建议应相当于或优于招标文件设备清单的技术规范要求的规定，以使招标人满意并得到招标人的同意。</w:t>
      </w:r>
      <w:r>
        <w:rPr>
          <w:bCs/>
          <w:color w:val="auto"/>
          <w:sz w:val="24"/>
          <w:szCs w:val="24"/>
        </w:rPr>
        <w:t xml:space="preserve"> </w:t>
      </w:r>
    </w:p>
    <w:p>
      <w:pPr>
        <w:spacing w:line="360" w:lineRule="auto"/>
        <w:ind w:firstLine="482" w:firstLineChars="200"/>
        <w:rPr>
          <w:rFonts w:hint="eastAsia" w:eastAsia="宋体"/>
          <w:b/>
          <w:color w:val="auto"/>
          <w:sz w:val="24"/>
          <w:szCs w:val="24"/>
          <w:lang w:val="en-US" w:eastAsia="zh-CN"/>
        </w:rPr>
      </w:pPr>
      <w:r>
        <w:rPr>
          <w:b/>
          <w:color w:val="auto"/>
          <w:sz w:val="24"/>
          <w:szCs w:val="24"/>
        </w:rPr>
        <w:t>21.</w:t>
      </w:r>
      <w:r>
        <w:rPr>
          <w:rFonts w:hint="eastAsia"/>
          <w:b/>
          <w:color w:val="auto"/>
          <w:sz w:val="24"/>
          <w:szCs w:val="24"/>
          <w:lang w:val="en-US" w:eastAsia="zh-CN"/>
        </w:rPr>
        <w:t>3经济标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（1）开标一览表（格式见附表）；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（2）投标函（格式见附表）；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（3）诚信投标承诺书（格式见附表）；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（4）报价明细表（格式见附表）；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（5）招标文件中要求提供的其他相关资料；</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（6）投标人认为需要提供的其他材料。</w:t>
      </w:r>
    </w:p>
    <w:p>
      <w:pPr>
        <w:tabs>
          <w:tab w:val="left" w:pos="14"/>
        </w:tabs>
        <w:spacing w:line="360" w:lineRule="auto"/>
        <w:ind w:right="-512" w:rightChars="-244" w:firstLine="482" w:firstLineChars="200"/>
        <w:rPr>
          <w:b/>
          <w:color w:val="auto"/>
          <w:sz w:val="24"/>
          <w:szCs w:val="24"/>
        </w:rPr>
      </w:pPr>
      <w:r>
        <w:rPr>
          <w:b/>
          <w:color w:val="auto"/>
          <w:sz w:val="24"/>
          <w:szCs w:val="24"/>
        </w:rPr>
        <w:t>22.</w:t>
      </w:r>
      <w:r>
        <w:rPr>
          <w:rFonts w:hint="eastAsia"/>
          <w:b/>
          <w:color w:val="auto"/>
          <w:sz w:val="24"/>
          <w:szCs w:val="24"/>
          <w:lang w:val="en-US" w:eastAsia="zh-CN"/>
        </w:rPr>
        <w:t xml:space="preserve"> </w:t>
      </w:r>
      <w:r>
        <w:rPr>
          <w:b/>
          <w:color w:val="auto"/>
          <w:sz w:val="24"/>
          <w:szCs w:val="24"/>
        </w:rPr>
        <w:t>投标报价</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22.1投标报价文件中的单价和总价全部采用人民币表示。</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22.2投标报价表上应清楚地标明投标人拟提供货物的名称、型号、生产厂家、数量、单价和总价等。</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22.3投标人只允许有一个方案、一个报价。</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22.4投标人应按“采购内容及要求”所列货物逐项进行报价，并最终按货物总量乘以货物单价报总价，不得采用总价下浮的方式进行报价。</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22.5投标报价的价格是货物交货地验收价格，其总价即为履行合同的固定总价。</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22.7投标报价应由法定代表人或被授权人签署。</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22.8投标人的报价不得高于本次招标最高限价。</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22.9总投标价中不得包含招标文件要求以外的内容，否则，在评标时不予核减，但在授予合同时，招标人有权将这部分价格从其中标价格中扣除。</w:t>
      </w:r>
    </w:p>
    <w:p>
      <w:pPr>
        <w:spacing w:line="360" w:lineRule="auto"/>
        <w:ind w:firstLine="482" w:firstLineChars="200"/>
        <w:rPr>
          <w:b/>
          <w:color w:val="auto"/>
          <w:sz w:val="24"/>
          <w:szCs w:val="24"/>
        </w:rPr>
      </w:pPr>
      <w:r>
        <w:rPr>
          <w:b/>
          <w:color w:val="auto"/>
          <w:sz w:val="24"/>
          <w:szCs w:val="24"/>
        </w:rPr>
        <w:t>23. 投标有效期</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23.1除投标人须知前附表另有规定外，投标有效期为</w:t>
      </w:r>
      <w:r>
        <w:rPr>
          <w:rFonts w:hint="eastAsia"/>
          <w:b w:val="0"/>
          <w:bCs/>
          <w:color w:val="auto"/>
          <w:sz w:val="24"/>
          <w:szCs w:val="24"/>
          <w:lang w:val="en-US" w:eastAsia="zh-CN"/>
        </w:rPr>
        <w:t>60</w:t>
      </w:r>
      <w:r>
        <w:rPr>
          <w:rFonts w:hint="eastAsia"/>
          <w:b w:val="0"/>
          <w:bCs/>
          <w:color w:val="auto"/>
          <w:sz w:val="24"/>
          <w:szCs w:val="24"/>
          <w:lang w:eastAsia="zh-CN"/>
        </w:rPr>
        <w:t>天。</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23.2在投标有效期内，投标人撤销或修改其投标文件的，应承担招标文件和法律规定的责任。</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63" w:firstLineChars="192"/>
        <w:rPr>
          <w:b/>
          <w:color w:val="auto"/>
          <w:sz w:val="24"/>
          <w:szCs w:val="24"/>
        </w:rPr>
      </w:pPr>
      <w:r>
        <w:rPr>
          <w:b/>
          <w:color w:val="auto"/>
          <w:sz w:val="24"/>
          <w:szCs w:val="24"/>
        </w:rPr>
        <w:t>24. 投标保证金</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24.1投标人须知前附表规定递交投标保证金的，投标人在递交投标文件的同时，应按投标人须知前附表规定的金额、担保形式和第六章“投标文件格式”规定的或者事先经过招标人认可的投标保证金格式递交投标保证金，并作为其投标文件的组成部分。</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24.2投标人不按本章24.1项要求提交保证金的，评标委员会按无效标处理。</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24.3中标通知书发出之日起5个工作日内，向未中标的投标人退还投标保证金；招标人与中标人签订合同后5个工作日内，向中标人退还投标保证金。</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24.4有下列情形之一的，投标保证金将不予退还：</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（1）投标人在规定的投标有效期内撤销或修改其投标文件；</w:t>
      </w:r>
    </w:p>
    <w:p>
      <w:pPr>
        <w:spacing w:line="360" w:lineRule="auto"/>
        <w:ind w:firstLine="468" w:firstLineChars="195"/>
        <w:rPr>
          <w:b/>
          <w:color w:val="auto"/>
          <w:sz w:val="28"/>
          <w:szCs w:val="28"/>
        </w:rPr>
      </w:pPr>
      <w:r>
        <w:rPr>
          <w:rFonts w:hint="eastAsia"/>
          <w:b w:val="0"/>
          <w:bCs/>
          <w:color w:val="auto"/>
          <w:sz w:val="24"/>
          <w:szCs w:val="24"/>
          <w:lang w:eastAsia="zh-CN"/>
        </w:rPr>
        <w:t>（2）中标人无正当理由拒签合同协议书或未按招标文件规定提交履约保证金。</w:t>
      </w:r>
    </w:p>
    <w:p>
      <w:pPr>
        <w:spacing w:line="360" w:lineRule="auto"/>
        <w:jc w:val="center"/>
        <w:rPr>
          <w:b/>
          <w:color w:val="auto"/>
          <w:sz w:val="28"/>
          <w:szCs w:val="28"/>
        </w:rPr>
      </w:pPr>
      <w:r>
        <w:rPr>
          <w:b/>
          <w:color w:val="auto"/>
          <w:sz w:val="28"/>
          <w:szCs w:val="28"/>
        </w:rPr>
        <w:t>（四）投标文件的密封和递交</w:t>
      </w:r>
    </w:p>
    <w:p>
      <w:pPr>
        <w:spacing w:line="360" w:lineRule="auto"/>
        <w:ind w:firstLine="482" w:firstLineChars="200"/>
        <w:rPr>
          <w:b/>
          <w:color w:val="auto"/>
          <w:sz w:val="24"/>
          <w:szCs w:val="24"/>
        </w:rPr>
      </w:pPr>
      <w:r>
        <w:rPr>
          <w:b/>
          <w:color w:val="auto"/>
          <w:sz w:val="24"/>
          <w:szCs w:val="24"/>
        </w:rPr>
        <w:t>25. 投标文件的份数和签署</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25.1投标文件：按书面文件（</w:t>
      </w:r>
      <w:r>
        <w:rPr>
          <w:rFonts w:hint="eastAsia"/>
          <w:b w:val="0"/>
          <w:bCs/>
          <w:color w:val="auto"/>
          <w:sz w:val="24"/>
          <w:szCs w:val="24"/>
          <w:lang w:val="en-US" w:eastAsia="zh-CN"/>
        </w:rPr>
        <w:t>商务标</w:t>
      </w:r>
      <w:r>
        <w:rPr>
          <w:rFonts w:hint="eastAsia"/>
          <w:b w:val="0"/>
          <w:bCs/>
          <w:color w:val="auto"/>
          <w:sz w:val="24"/>
          <w:szCs w:val="24"/>
          <w:lang w:eastAsia="zh-CN"/>
        </w:rPr>
        <w:t>、技术</w:t>
      </w:r>
      <w:r>
        <w:rPr>
          <w:rFonts w:hint="eastAsia"/>
          <w:b w:val="0"/>
          <w:bCs/>
          <w:color w:val="auto"/>
          <w:sz w:val="24"/>
          <w:szCs w:val="24"/>
          <w:lang w:val="en-US" w:eastAsia="zh-CN"/>
        </w:rPr>
        <w:t>标</w:t>
      </w:r>
      <w:r>
        <w:rPr>
          <w:rFonts w:hint="eastAsia"/>
          <w:b w:val="0"/>
          <w:bCs/>
          <w:color w:val="auto"/>
          <w:sz w:val="24"/>
          <w:szCs w:val="24"/>
          <w:lang w:eastAsia="zh-CN"/>
        </w:rPr>
        <w:t>和</w:t>
      </w:r>
      <w:r>
        <w:rPr>
          <w:rFonts w:hint="eastAsia"/>
          <w:b w:val="0"/>
          <w:bCs/>
          <w:color w:val="auto"/>
          <w:sz w:val="24"/>
          <w:szCs w:val="24"/>
          <w:lang w:val="en-US" w:eastAsia="zh-CN"/>
        </w:rPr>
        <w:t>经济标</w:t>
      </w:r>
      <w:r>
        <w:rPr>
          <w:rFonts w:hint="eastAsia"/>
          <w:b w:val="0"/>
          <w:bCs/>
          <w:color w:val="auto"/>
          <w:sz w:val="24"/>
          <w:szCs w:val="24"/>
          <w:lang w:eastAsia="zh-CN"/>
        </w:rPr>
        <w:t>顺序胶装成一册）一式叁份，正本一份，副本贰份。</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25.2投标文件的正本和副本均需打印或使用不褪色的蓝、黑墨水笔书写，字迹应清晰易于辩认，并应在投标文件封面的右上角清楚地注明“正本”或“副本”。正本和副本如不符，以正本为准。</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25.3投标文件中的授权书、投标函及报价一览表等应当在格式文本要求的相应位置签字和盖章。</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25.4全套投标文件应无修改和行间插字。如有修改，须在修改处加盖投标单位法定代表人或其委托代理人的印鉴。</w:t>
      </w:r>
    </w:p>
    <w:p>
      <w:pPr>
        <w:numPr>
          <w:ilvl w:val="0"/>
          <w:numId w:val="11"/>
        </w:numPr>
        <w:spacing w:line="360" w:lineRule="auto"/>
        <w:ind w:firstLine="482" w:firstLineChars="200"/>
        <w:rPr>
          <w:b/>
          <w:color w:val="auto"/>
          <w:sz w:val="24"/>
          <w:szCs w:val="24"/>
        </w:rPr>
      </w:pPr>
      <w:r>
        <w:rPr>
          <w:b/>
          <w:color w:val="auto"/>
          <w:sz w:val="24"/>
          <w:szCs w:val="24"/>
        </w:rPr>
        <w:t>投标文件的装订、密封和标记</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26.1投标文件的装订</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26.1.1投标文件应按A4纸大小进行装订，对于较大图、表，可采用A3纸，但需要按A4纸大小进行折叠、装订成一册。投标文件的正本与副本应分别装订成册，具体装订要求见投标人须知前附表规定。</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26.1.2如果所投项目分有多个包（标段），则投标书必须以包（标段）为单位进行封装，并在密封袋上标识包（标段）号。</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26.2投标文件的密封和标记</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26.2.1投标文件应进行包装，并在封套的封口处加盖投标人单位公章。</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26.2.2投标文件封套上应写明的内容及具体密封要求见投标人须知前附表。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26.2.3应按本章第26.2.1项或26.2.2项中大包装袋要求密封和加写标记的投标文件。</w:t>
      </w:r>
    </w:p>
    <w:p>
      <w:pPr>
        <w:numPr>
          <w:ilvl w:val="0"/>
          <w:numId w:val="12"/>
        </w:numPr>
        <w:spacing w:line="360" w:lineRule="auto"/>
        <w:ind w:firstLine="482" w:firstLineChars="200"/>
        <w:jc w:val="left"/>
        <w:rPr>
          <w:b/>
          <w:color w:val="auto"/>
          <w:sz w:val="24"/>
          <w:szCs w:val="24"/>
        </w:rPr>
      </w:pPr>
      <w:r>
        <w:rPr>
          <w:b/>
          <w:color w:val="auto"/>
          <w:sz w:val="24"/>
          <w:szCs w:val="24"/>
        </w:rPr>
        <w:t>投标文件的提交</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27.1投标人应在投标人须知前附表规定的投标截止时间前递交投标文件。</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27.2投标人递交投标文件的地点：见投标人须知前附表。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27.3除投标人须知前附表另有规定外，投标人所递交的投标文件不予退还。</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27.4招标人收到投标文件后，向投标人出具签收凭证。</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27.5逾期送达的或者未送达指定地点的投标文件，招标人不予受理。</w:t>
      </w:r>
    </w:p>
    <w:p>
      <w:pPr>
        <w:numPr>
          <w:ilvl w:val="0"/>
          <w:numId w:val="12"/>
        </w:numPr>
        <w:spacing w:line="360" w:lineRule="auto"/>
        <w:ind w:left="0" w:leftChars="0" w:firstLine="482" w:firstLineChars="200"/>
        <w:rPr>
          <w:b/>
          <w:color w:val="auto"/>
          <w:sz w:val="24"/>
          <w:szCs w:val="24"/>
        </w:rPr>
      </w:pPr>
      <w:r>
        <w:rPr>
          <w:b/>
          <w:color w:val="auto"/>
          <w:sz w:val="24"/>
          <w:szCs w:val="24"/>
        </w:rPr>
        <w:t>投标文件的补充、修改与撤回</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28.1投标人在提交投标文件以后，在规定的投标截止时间之前，可以书面形式补充、修改或撤回已提交的投标文件，并以书面形式通知招标人。补充、修改的内容为投标文件的组成部分。</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28.2投标人对投标文件的补充、修改，应按本须知第25条、第26条和第27条有关规定密封、标记和提交，并在投标文件密封袋上清楚标明“补充”、“修改”字样。</w:t>
      </w:r>
    </w:p>
    <w:p>
      <w:pPr>
        <w:spacing w:line="360" w:lineRule="auto"/>
        <w:ind w:firstLine="468" w:firstLineChars="195"/>
        <w:rPr>
          <w:b/>
          <w:color w:val="auto"/>
          <w:sz w:val="28"/>
          <w:szCs w:val="28"/>
        </w:rPr>
      </w:pPr>
      <w:r>
        <w:rPr>
          <w:rFonts w:hint="eastAsia"/>
          <w:b w:val="0"/>
          <w:bCs/>
          <w:color w:val="auto"/>
          <w:sz w:val="24"/>
          <w:szCs w:val="24"/>
          <w:lang w:eastAsia="zh-CN"/>
        </w:rPr>
        <w:t>28.3在投标截止时间之后，投标人不得补充、修改投标文件。</w:t>
      </w:r>
    </w:p>
    <w:p>
      <w:pPr>
        <w:spacing w:line="360" w:lineRule="auto"/>
        <w:jc w:val="center"/>
        <w:rPr>
          <w:b/>
          <w:color w:val="auto"/>
          <w:sz w:val="28"/>
          <w:szCs w:val="28"/>
        </w:rPr>
      </w:pPr>
      <w:r>
        <w:rPr>
          <w:b/>
          <w:color w:val="auto"/>
          <w:sz w:val="28"/>
          <w:szCs w:val="28"/>
        </w:rPr>
        <w:t>（五）开标、评标和定标</w:t>
      </w:r>
    </w:p>
    <w:p>
      <w:pPr>
        <w:spacing w:line="360" w:lineRule="auto"/>
        <w:ind w:firstLine="482" w:firstLineChars="200"/>
        <w:rPr>
          <w:b/>
          <w:color w:val="auto"/>
          <w:sz w:val="24"/>
          <w:szCs w:val="24"/>
        </w:rPr>
      </w:pPr>
      <w:r>
        <w:rPr>
          <w:b/>
          <w:color w:val="auto"/>
          <w:sz w:val="24"/>
          <w:szCs w:val="24"/>
        </w:rPr>
        <w:t>29. 开标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29.1开标的时间和地点</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29.1.1招标人按本须知第27条提交投标文件的截止时间和地点公开开标，并邀请所有投标人参加。</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29.2投标人法定代表人或被授权代理人必须到场参加开标会议，并出示法定代表人有效身份证原件或被授权代理人有效身份证原件，以便开标会议上证明其身份及投标资格。</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29.3开标程序</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开标会议由</w:t>
      </w:r>
      <w:r>
        <w:rPr>
          <w:rFonts w:hint="eastAsia"/>
          <w:b w:val="0"/>
          <w:bCs/>
          <w:color w:val="auto"/>
          <w:sz w:val="24"/>
          <w:szCs w:val="24"/>
          <w:u w:val="single" w:color="auto"/>
          <w:lang w:eastAsia="zh-CN"/>
        </w:rPr>
        <w:t xml:space="preserve"> 新疆宇励设计有限公司</w:t>
      </w:r>
      <w:r>
        <w:rPr>
          <w:rFonts w:hint="eastAsia"/>
          <w:b w:val="0"/>
          <w:bCs/>
          <w:color w:val="auto"/>
          <w:sz w:val="24"/>
          <w:szCs w:val="24"/>
          <w:u w:val="single" w:color="auto"/>
          <w:lang w:val="en-US" w:eastAsia="zh-CN"/>
        </w:rPr>
        <w:t xml:space="preserve"> </w:t>
      </w:r>
      <w:r>
        <w:rPr>
          <w:rFonts w:hint="eastAsia"/>
          <w:b w:val="0"/>
          <w:bCs/>
          <w:color w:val="auto"/>
          <w:sz w:val="24"/>
          <w:szCs w:val="24"/>
          <w:lang w:eastAsia="zh-CN"/>
        </w:rPr>
        <w:t>或招标人主持。</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1</w:t>
      </w:r>
      <w:r>
        <w:rPr>
          <w:rFonts w:hint="eastAsia"/>
          <w:b w:val="0"/>
          <w:bCs/>
          <w:color w:val="auto"/>
          <w:sz w:val="24"/>
          <w:szCs w:val="24"/>
          <w:lang w:eastAsia="zh-CN"/>
        </w:rPr>
        <w:t>）公布在投标截止时间前递交投标文件的投标单位名称，并确认投标单位相关人员是否到场；</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（2）宣布开标人、唱标人、记录人、监标人等有关人员姓名，并宣读开标会议纪律和要求；</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（3）由投标单位或其推选的代表检查投标文件的密封情况；</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（4）招标人对各投标单位资格条件进行审查；</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（5）主持人宣布审查结果，招标人接受投标人质疑并复议；</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（6）宣布开标顺序并唱标；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（7）评标委员会对各投标单位标书进行初评；</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（8）评标委员会对通过初审的标书进行评价和比较；</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（9）评标委员会根据需要要求有关投标人就投标文件进行澄清；</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（10）评标委员会根据评审结果推荐中标候选人，主持人宣布评审结果；</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w:t>
      </w:r>
      <w:r>
        <w:rPr>
          <w:rFonts w:hint="eastAsia"/>
          <w:b w:val="0"/>
          <w:bCs/>
          <w:color w:val="auto"/>
          <w:sz w:val="24"/>
          <w:szCs w:val="24"/>
          <w:lang w:val="en-US" w:eastAsia="zh-CN"/>
        </w:rPr>
        <w:t>1</w:t>
      </w:r>
      <w:r>
        <w:rPr>
          <w:rFonts w:hint="eastAsia"/>
          <w:b w:val="0"/>
          <w:bCs/>
          <w:color w:val="auto"/>
          <w:sz w:val="24"/>
          <w:szCs w:val="24"/>
          <w:lang w:eastAsia="zh-CN"/>
        </w:rPr>
        <w:t>）有关人员在开标记录上签字确认；</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12</w:t>
      </w:r>
      <w:r>
        <w:rPr>
          <w:rFonts w:hint="eastAsia"/>
          <w:b w:val="0"/>
          <w:bCs/>
          <w:color w:val="auto"/>
          <w:sz w:val="24"/>
          <w:szCs w:val="24"/>
          <w:lang w:eastAsia="zh-CN"/>
        </w:rPr>
        <w:t>）开标结束。</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29.4开标异议</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投标人对开标有异议的，应当在开标现场提出，招标人当场作出答复，并制作记录。</w:t>
      </w:r>
    </w:p>
    <w:p>
      <w:pPr>
        <w:spacing w:line="360" w:lineRule="auto"/>
        <w:ind w:firstLine="482" w:firstLineChars="200"/>
        <w:jc w:val="left"/>
        <w:rPr>
          <w:b/>
          <w:color w:val="auto"/>
          <w:sz w:val="24"/>
          <w:szCs w:val="24"/>
        </w:rPr>
      </w:pPr>
      <w:r>
        <w:rPr>
          <w:b/>
          <w:color w:val="auto"/>
          <w:sz w:val="24"/>
          <w:szCs w:val="24"/>
        </w:rPr>
        <w:t>30. 评标委员会</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30.1评标委员会的组成</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30.1.1评标由招标人依法组建的评标委员会负责。</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30.1.2评标委员会负责人依法推荐或确定。</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30.2评标委员会成员名单在中标结果确定前应当保密。</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30.3评标委员会成员有下述情形的，应当主动提出回避：</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1</w:t>
      </w:r>
      <w:r>
        <w:rPr>
          <w:rFonts w:hint="eastAsia"/>
          <w:b w:val="0"/>
          <w:bCs/>
          <w:color w:val="auto"/>
          <w:sz w:val="24"/>
          <w:szCs w:val="24"/>
          <w:lang w:eastAsia="zh-CN"/>
        </w:rPr>
        <w:t>）投标人或投标人主要负责人的近亲属；</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2</w:t>
      </w:r>
      <w:r>
        <w:rPr>
          <w:rFonts w:hint="eastAsia"/>
          <w:b w:val="0"/>
          <w:bCs/>
          <w:color w:val="auto"/>
          <w:sz w:val="24"/>
          <w:szCs w:val="24"/>
          <w:lang w:eastAsia="zh-CN"/>
        </w:rPr>
        <w:t>）项目主管部门或者行政监督部门的人员；</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3</w:t>
      </w:r>
      <w:r>
        <w:rPr>
          <w:rFonts w:hint="eastAsia"/>
          <w:b w:val="0"/>
          <w:bCs/>
          <w:color w:val="auto"/>
          <w:sz w:val="24"/>
          <w:szCs w:val="24"/>
          <w:lang w:eastAsia="zh-CN"/>
        </w:rPr>
        <w:t>）与投标人有经济利益关系；</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4</w:t>
      </w:r>
      <w:r>
        <w:rPr>
          <w:rFonts w:hint="eastAsia"/>
          <w:b w:val="0"/>
          <w:bCs/>
          <w:color w:val="auto"/>
          <w:sz w:val="24"/>
          <w:szCs w:val="24"/>
          <w:lang w:eastAsia="zh-CN"/>
        </w:rPr>
        <w:t>）曾因在招标、评标以及其他与招标投标有关活动中从事违法行为而受过行政处罚或刑事处罚的；</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5</w:t>
      </w:r>
      <w:r>
        <w:rPr>
          <w:rFonts w:hint="eastAsia"/>
          <w:b w:val="0"/>
          <w:bCs/>
          <w:color w:val="auto"/>
          <w:sz w:val="24"/>
          <w:szCs w:val="24"/>
          <w:lang w:eastAsia="zh-CN"/>
        </w:rPr>
        <w:t>）与投标人有其他利害关系。</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30.4评标委员会应当向招标人提出书面评标报告，并抄送有关行政监督部门。评标报告应当如实记载以下内容：</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（1）基本情况和数据表；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（2）评标委员会成员名单；</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（3）开标记录；</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（4）符合要求的投标人一览表；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（5）无效标情况说明；</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（6）评标标准、评标方法或者评标因素一览表；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（7）经评审的价格或者评分比较一览表；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（8）投标人串标、围标等违规行为的确认报告；</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（9）经评审的投标人排序；</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（10）推荐的中标候选人名单；</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（11）澄清、说明、补正事项纪要。</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30.5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p>
    <w:p>
      <w:pPr>
        <w:spacing w:line="360" w:lineRule="auto"/>
        <w:ind w:firstLine="482" w:firstLineChars="200"/>
        <w:jc w:val="left"/>
        <w:rPr>
          <w:b/>
          <w:color w:val="auto"/>
          <w:sz w:val="24"/>
          <w:szCs w:val="24"/>
        </w:rPr>
      </w:pPr>
      <w:r>
        <w:rPr>
          <w:b/>
          <w:color w:val="auto"/>
          <w:sz w:val="24"/>
          <w:szCs w:val="24"/>
        </w:rPr>
        <w:t>31. 评标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31.1评标准备工作</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31.1.1阅读由招标人或招标代理单位编写的招标项目情况的说明材料；</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31.1.2阅读、研究招标文件和相关评标资料，获取评标所需要的重要信息和数据；</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31.1.3熟悉招标文件规定的评标方法及在评标过程中需要考虑的相关因素；</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31.1.4核对评标工作用表。</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31.2评标办法</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31.2.1评标委员会按照第三章“评标办法”规定的方法、评审因素、标准和程序对投标文件进行评审。第三章“评标办法”没有规定的方法、评审因素和标准，不作为评标依据。</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31.3评标原则：</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31.3.1遵循公平、公正、科学和择优的原则。</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31.4评标报告的签署</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31.4.1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31.5投标文件的澄清</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eastAsia="zh-CN"/>
        </w:rPr>
        <w:t>31.5.1在评标过程中，评标委员会认为需要，在招投标监督管理部门的监督下，可要求投标人对投标文件中的有关问题进行澄清或提供补充说明及有关资料，投标人应做出书面答复。</w:t>
      </w:r>
      <w:r>
        <w:rPr>
          <w:rFonts w:hint="eastAsia"/>
          <w:b w:val="0"/>
          <w:bCs/>
          <w:color w:val="auto"/>
          <w:sz w:val="24"/>
          <w:szCs w:val="24"/>
          <w:lang w:val="en-US" w:eastAsia="zh-CN"/>
        </w:rPr>
        <w:t xml:space="preserve">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31.5.2书面答复须经投标人法定代表人或其委托代理人签字或盖章，签字或盖章的书面答复将被视为投标文件的组成部分。</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31.6评审意见分歧的处理办法：</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（1）评标委员会应当对投标人提供的报告、证明材料及详细说明认真研究。对存在意见分歧的，可采用投票方式表决决定（按多数评委意见为准）；</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（2）招标投标当事人对评标结果提出异议或者投诉，招投标监督机构认为需要重新进行评标的，评标委员会成员应当按照招投标监督机构要求重新评标。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31.7评标过程的保密</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31.7.1 开标后，直至授予中标人合同为止，凡属于对投标文件的审查、澄清、评价和比较有关的资料以及中标候选人的推荐情况及与评标有关的其他任何情况均须严格保密。</w:t>
      </w:r>
    </w:p>
    <w:p>
      <w:pPr>
        <w:spacing w:line="360" w:lineRule="auto"/>
        <w:ind w:firstLine="482" w:firstLineChars="200"/>
        <w:jc w:val="left"/>
        <w:rPr>
          <w:b/>
          <w:color w:val="auto"/>
          <w:sz w:val="24"/>
          <w:szCs w:val="24"/>
        </w:rPr>
      </w:pPr>
      <w:r>
        <w:rPr>
          <w:b/>
          <w:color w:val="auto"/>
          <w:sz w:val="24"/>
          <w:szCs w:val="24"/>
        </w:rPr>
        <w:t>32. 定标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32.1 中标候选人的确定</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32.1.1除投标人须知前附表规定评标委员会直接确定中标人外，招标人依据评标委员会推荐的中标候选人确定中标人，评标委员会推荐中标候选人的人数见投标人须知前附表。评审结束后，根据评标委员会评审初步结论，招标人（或代理公司）将对推荐的中标候选人及其法定代表人、项目负责人是否是人民法院公布的失信被执行人进行网上核查，若核查结果与投标人承诺不一致，则提交评标委员会取消其预中标候选人资格，依次替补，并再次对替补单位进行核查。</w:t>
      </w:r>
    </w:p>
    <w:p>
      <w:pPr>
        <w:spacing w:line="360" w:lineRule="auto"/>
        <w:ind w:firstLine="468" w:firstLineChars="195"/>
        <w:rPr>
          <w:color w:val="auto"/>
          <w:spacing w:val="-6"/>
          <w:sz w:val="24"/>
          <w:szCs w:val="24"/>
        </w:rPr>
      </w:pPr>
      <w:r>
        <w:rPr>
          <w:rFonts w:hint="eastAsia"/>
          <w:b w:val="0"/>
          <w:bCs/>
          <w:color w:val="auto"/>
          <w:sz w:val="24"/>
          <w:szCs w:val="24"/>
          <w:lang w:eastAsia="zh-CN"/>
        </w:rPr>
        <w:t>32.1.2中标候选人确定后，招标人应将中标候选人名单在</w:t>
      </w:r>
      <w:r>
        <w:rPr>
          <w:color w:val="auto"/>
          <w:spacing w:val="-6"/>
          <w:sz w:val="24"/>
          <w:szCs w:val="24"/>
        </w:rPr>
        <w:t>招标人应将中标候选人名单新疆政府采购网上公示</w:t>
      </w:r>
      <w:r>
        <w:rPr>
          <w:rFonts w:hint="eastAsia"/>
          <w:color w:val="auto"/>
          <w:spacing w:val="-6"/>
          <w:sz w:val="24"/>
          <w:szCs w:val="24"/>
          <w:lang w:val="en-US" w:eastAsia="zh-CN"/>
        </w:rPr>
        <w:t>1个工作</w:t>
      </w:r>
      <w:r>
        <w:rPr>
          <w:color w:val="auto"/>
          <w:spacing w:val="-6"/>
          <w:sz w:val="24"/>
          <w:szCs w:val="24"/>
        </w:rPr>
        <w:t>日。</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32.2 中标人的确定</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32.2.1若招标人未接到投诉或公共资源监督管理部门未通知招标人中标候选人在招标投标活动中有违法行为的，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或重新组织招标。排名第二的中标候选人因前款规定的同样原因不能签订合同的，招标人可以确定排名第三的中标候选人为中标人或重新组织招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32.3 中标通知书</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32.3.1中标人确定后，招标人将向中标人发出中标通知书。</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32.3.2中标通知书须加盖招标人、招标代理机构公章，方可发出。</w:t>
      </w:r>
    </w:p>
    <w:p>
      <w:pPr>
        <w:spacing w:line="360" w:lineRule="auto"/>
        <w:ind w:firstLine="482" w:firstLineChars="200"/>
        <w:jc w:val="left"/>
        <w:rPr>
          <w:b/>
          <w:color w:val="auto"/>
          <w:sz w:val="24"/>
          <w:szCs w:val="24"/>
        </w:rPr>
      </w:pPr>
      <w:r>
        <w:rPr>
          <w:b/>
          <w:color w:val="auto"/>
          <w:sz w:val="24"/>
          <w:szCs w:val="24"/>
        </w:rPr>
        <w:t>33. 开评标异常情况处理</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 xml:space="preserve">33.1重新招标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有下列情形之一的，招标人将重新招标：</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（1）经评标委员会评审后否决所有投标的；</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（2）出现影响采购公正的违法、违规行为的；</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（3）投标人的报价均脱离实际且无充分证据的；</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（4）因重大变故，采购任务取消的。</w:t>
      </w:r>
    </w:p>
    <w:p>
      <w:pPr>
        <w:spacing w:line="360" w:lineRule="auto"/>
        <w:ind w:firstLine="468" w:firstLineChars="195"/>
        <w:rPr>
          <w:b/>
          <w:color w:val="auto"/>
          <w:sz w:val="28"/>
          <w:szCs w:val="28"/>
        </w:rPr>
      </w:pPr>
      <w:r>
        <w:rPr>
          <w:rFonts w:hint="eastAsia"/>
          <w:b w:val="0"/>
          <w:bCs/>
          <w:color w:val="auto"/>
          <w:sz w:val="24"/>
          <w:szCs w:val="24"/>
          <w:lang w:eastAsia="zh-CN"/>
        </w:rPr>
        <w:t>（5）法律、法规规定的其他情形。</w:t>
      </w:r>
    </w:p>
    <w:p>
      <w:pPr>
        <w:spacing w:line="360" w:lineRule="auto"/>
        <w:ind w:right="-512" w:rightChars="-244"/>
        <w:jc w:val="center"/>
        <w:rPr>
          <w:b/>
          <w:color w:val="auto"/>
          <w:sz w:val="28"/>
          <w:szCs w:val="28"/>
        </w:rPr>
      </w:pPr>
      <w:r>
        <w:rPr>
          <w:b/>
          <w:color w:val="auto"/>
          <w:sz w:val="28"/>
          <w:szCs w:val="28"/>
        </w:rPr>
        <w:t>（六）合同的授予</w:t>
      </w:r>
    </w:p>
    <w:p>
      <w:pPr>
        <w:spacing w:line="360" w:lineRule="auto"/>
        <w:ind w:firstLine="482" w:firstLineChars="200"/>
        <w:jc w:val="left"/>
        <w:rPr>
          <w:rFonts w:hint="eastAsia"/>
          <w:b/>
          <w:color w:val="auto"/>
          <w:sz w:val="24"/>
          <w:szCs w:val="24"/>
          <w:lang w:eastAsia="zh-CN"/>
        </w:rPr>
      </w:pPr>
      <w:r>
        <w:rPr>
          <w:rFonts w:hint="eastAsia"/>
          <w:b/>
          <w:color w:val="auto"/>
          <w:sz w:val="24"/>
          <w:szCs w:val="24"/>
          <w:lang w:val="en-US" w:eastAsia="zh-CN"/>
        </w:rPr>
        <w:t xml:space="preserve">34. </w:t>
      </w:r>
      <w:r>
        <w:rPr>
          <w:rFonts w:hint="eastAsia"/>
          <w:b/>
          <w:color w:val="auto"/>
          <w:sz w:val="24"/>
          <w:szCs w:val="24"/>
          <w:lang w:eastAsia="zh-CN"/>
        </w:rPr>
        <w:t>合同</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w:t>
      </w:r>
      <w:r>
        <w:rPr>
          <w:rFonts w:hint="eastAsia"/>
          <w:b w:val="0"/>
          <w:bCs/>
          <w:color w:val="auto"/>
          <w:sz w:val="24"/>
          <w:szCs w:val="24"/>
          <w:lang w:val="en-US" w:eastAsia="zh-CN"/>
        </w:rPr>
        <w:t>4</w:t>
      </w:r>
      <w:r>
        <w:rPr>
          <w:rFonts w:hint="eastAsia"/>
          <w:b w:val="0"/>
          <w:bCs/>
          <w:color w:val="auto"/>
          <w:sz w:val="24"/>
          <w:szCs w:val="24"/>
          <w:lang w:eastAsia="zh-CN"/>
        </w:rPr>
        <w:t>.1招标人与中标人将于中标通知书发出之日起30日内，按照招标文件和投标文件和中标人订立书面采购合同。合同双方不得再行订立背离合同实质性内容的其他协议。合同价款按招标文件前附表规定。</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w:t>
      </w:r>
      <w:r>
        <w:rPr>
          <w:rFonts w:hint="eastAsia"/>
          <w:b w:val="0"/>
          <w:bCs/>
          <w:color w:val="auto"/>
          <w:sz w:val="24"/>
          <w:szCs w:val="24"/>
          <w:lang w:val="en-US" w:eastAsia="zh-CN"/>
        </w:rPr>
        <w:t>4</w:t>
      </w:r>
      <w:r>
        <w:rPr>
          <w:rFonts w:hint="eastAsia"/>
          <w:b w:val="0"/>
          <w:bCs/>
          <w:color w:val="auto"/>
          <w:sz w:val="24"/>
          <w:szCs w:val="24"/>
          <w:lang w:eastAsia="zh-CN"/>
        </w:rPr>
        <w:t>.2招标人如不按招标文件第3</w:t>
      </w:r>
      <w:r>
        <w:rPr>
          <w:rFonts w:hint="eastAsia"/>
          <w:b w:val="0"/>
          <w:bCs/>
          <w:color w:val="auto"/>
          <w:sz w:val="24"/>
          <w:szCs w:val="24"/>
          <w:lang w:val="en-US" w:eastAsia="zh-CN"/>
        </w:rPr>
        <w:t>4</w:t>
      </w:r>
      <w:r>
        <w:rPr>
          <w:rFonts w:hint="eastAsia"/>
          <w:b w:val="0"/>
          <w:bCs/>
          <w:color w:val="auto"/>
          <w:sz w:val="24"/>
          <w:szCs w:val="24"/>
          <w:lang w:eastAsia="zh-CN"/>
        </w:rPr>
        <w:t>.1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w:t>
      </w:r>
      <w:r>
        <w:rPr>
          <w:rFonts w:hint="eastAsia"/>
          <w:b w:val="0"/>
          <w:bCs/>
          <w:color w:val="auto"/>
          <w:sz w:val="24"/>
          <w:szCs w:val="24"/>
          <w:lang w:val="en-US" w:eastAsia="zh-CN"/>
        </w:rPr>
        <w:t>4</w:t>
      </w:r>
      <w:r>
        <w:rPr>
          <w:rFonts w:hint="eastAsia"/>
          <w:b w:val="0"/>
          <w:bCs/>
          <w:color w:val="auto"/>
          <w:sz w:val="24"/>
          <w:szCs w:val="24"/>
          <w:lang w:eastAsia="zh-CN"/>
        </w:rPr>
        <w:t>.3 中标人如不按本投标须知第3</w:t>
      </w:r>
      <w:r>
        <w:rPr>
          <w:rFonts w:hint="eastAsia"/>
          <w:b w:val="0"/>
          <w:bCs/>
          <w:color w:val="auto"/>
          <w:sz w:val="24"/>
          <w:szCs w:val="24"/>
          <w:lang w:val="en-US" w:eastAsia="zh-CN"/>
        </w:rPr>
        <w:t>4</w:t>
      </w:r>
      <w:r>
        <w:rPr>
          <w:rFonts w:hint="eastAsia"/>
          <w:b w:val="0"/>
          <w:bCs/>
          <w:color w:val="auto"/>
          <w:sz w:val="24"/>
          <w:szCs w:val="24"/>
          <w:lang w:eastAsia="zh-CN"/>
        </w:rPr>
        <w:t>.1条的规定与招标人订立合同，招标人将取消其中标资格，投标保证金不予退还，给招标人造成的损失超过投标保证金数额的，还应当对超过部分予以赔偿，同时依法承担相应法律责任。</w:t>
      </w:r>
    </w:p>
    <w:p>
      <w:pPr>
        <w:spacing w:line="360" w:lineRule="auto"/>
        <w:ind w:firstLine="468" w:firstLineChars="195"/>
        <w:rPr>
          <w:color w:val="auto"/>
          <w:sz w:val="24"/>
          <w:szCs w:val="24"/>
        </w:rPr>
      </w:pPr>
      <w:r>
        <w:rPr>
          <w:rFonts w:hint="eastAsia"/>
          <w:b w:val="0"/>
          <w:bCs/>
          <w:color w:val="auto"/>
          <w:sz w:val="24"/>
          <w:szCs w:val="24"/>
          <w:lang w:eastAsia="zh-CN"/>
        </w:rPr>
        <w:t>3</w:t>
      </w:r>
      <w:r>
        <w:rPr>
          <w:rFonts w:hint="eastAsia"/>
          <w:b w:val="0"/>
          <w:bCs/>
          <w:color w:val="auto"/>
          <w:sz w:val="24"/>
          <w:szCs w:val="24"/>
          <w:lang w:val="en-US" w:eastAsia="zh-CN"/>
        </w:rPr>
        <w:t>4</w:t>
      </w:r>
      <w:r>
        <w:rPr>
          <w:rFonts w:hint="eastAsia"/>
          <w:b w:val="0"/>
          <w:bCs/>
          <w:color w:val="auto"/>
          <w:sz w:val="24"/>
          <w:szCs w:val="24"/>
          <w:lang w:eastAsia="zh-CN"/>
        </w:rPr>
        <w:t>.4中标人应当按照合同约定履行义务，完成中标项目，不得将中标项目转让（转包）给他人。</w:t>
      </w:r>
    </w:p>
    <w:p>
      <w:pPr>
        <w:numPr>
          <w:ilvl w:val="0"/>
          <w:numId w:val="13"/>
        </w:numPr>
        <w:spacing w:line="360" w:lineRule="auto"/>
        <w:ind w:firstLine="482" w:firstLineChars="200"/>
        <w:jc w:val="left"/>
        <w:rPr>
          <w:b/>
          <w:color w:val="auto"/>
          <w:sz w:val="24"/>
          <w:szCs w:val="24"/>
        </w:rPr>
      </w:pPr>
      <w:r>
        <w:rPr>
          <w:b/>
          <w:color w:val="auto"/>
          <w:sz w:val="24"/>
          <w:szCs w:val="24"/>
        </w:rPr>
        <w:t>履约保证金</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w:t>
      </w:r>
      <w:r>
        <w:rPr>
          <w:rFonts w:hint="eastAsia"/>
          <w:b w:val="0"/>
          <w:bCs/>
          <w:color w:val="auto"/>
          <w:sz w:val="24"/>
          <w:szCs w:val="24"/>
          <w:lang w:val="en-US" w:eastAsia="zh-CN"/>
        </w:rPr>
        <w:t>5</w:t>
      </w:r>
      <w:r>
        <w:rPr>
          <w:rFonts w:hint="eastAsia"/>
          <w:b w:val="0"/>
          <w:bCs/>
          <w:color w:val="auto"/>
          <w:sz w:val="24"/>
          <w:szCs w:val="24"/>
          <w:lang w:eastAsia="zh-CN"/>
        </w:rPr>
        <w:t>.1在签订合同后五日内，中标人应按投标人须知前附表规定的金额、担保形式向招标人提交履约保证金。</w:t>
      </w:r>
    </w:p>
    <w:p>
      <w:pPr>
        <w:spacing w:line="360" w:lineRule="auto"/>
        <w:ind w:firstLine="468" w:firstLineChars="195"/>
        <w:rPr>
          <w:color w:val="auto"/>
          <w:sz w:val="24"/>
          <w:szCs w:val="24"/>
        </w:rPr>
      </w:pPr>
      <w:r>
        <w:rPr>
          <w:rFonts w:hint="eastAsia"/>
          <w:b w:val="0"/>
          <w:bCs/>
          <w:color w:val="auto"/>
          <w:sz w:val="24"/>
          <w:szCs w:val="24"/>
          <w:lang w:eastAsia="zh-CN"/>
        </w:rPr>
        <w:t>3</w:t>
      </w:r>
      <w:r>
        <w:rPr>
          <w:rFonts w:hint="eastAsia"/>
          <w:b w:val="0"/>
          <w:bCs/>
          <w:color w:val="auto"/>
          <w:sz w:val="24"/>
          <w:szCs w:val="24"/>
          <w:lang w:val="en-US" w:eastAsia="zh-CN"/>
        </w:rPr>
        <w:t>5</w:t>
      </w:r>
      <w:r>
        <w:rPr>
          <w:rFonts w:hint="eastAsia"/>
          <w:b w:val="0"/>
          <w:bCs/>
          <w:color w:val="auto"/>
          <w:sz w:val="24"/>
          <w:szCs w:val="24"/>
          <w:lang w:eastAsia="zh-CN"/>
        </w:rPr>
        <w:t>.2中标人不能按本章第</w:t>
      </w:r>
      <w:r>
        <w:rPr>
          <w:rFonts w:hint="eastAsia"/>
          <w:b w:val="0"/>
          <w:bCs/>
          <w:color w:val="auto"/>
          <w:sz w:val="24"/>
          <w:szCs w:val="24"/>
          <w:lang w:val="en-US" w:eastAsia="zh-CN"/>
        </w:rPr>
        <w:t>35.1</w:t>
      </w:r>
      <w:r>
        <w:rPr>
          <w:rFonts w:hint="eastAsia"/>
          <w:b w:val="0"/>
          <w:bCs/>
          <w:color w:val="auto"/>
          <w:sz w:val="24"/>
          <w:szCs w:val="24"/>
          <w:lang w:eastAsia="zh-CN"/>
        </w:rPr>
        <w:t>项要求提交履约保证金的，视为放弃中标，其投标保证金不予退还，给招标人造成的损失超过投标保证金数额的，中标人还应当对超过部分予以赔偿。</w:t>
      </w:r>
    </w:p>
    <w:p>
      <w:pPr>
        <w:spacing w:line="360" w:lineRule="auto"/>
        <w:ind w:right="-512" w:rightChars="-244" w:firstLine="480" w:firstLineChars="200"/>
        <w:jc w:val="left"/>
        <w:rPr>
          <w:color w:val="auto"/>
          <w:sz w:val="24"/>
          <w:szCs w:val="24"/>
        </w:rPr>
      </w:pPr>
    </w:p>
    <w:p>
      <w:pPr>
        <w:widowControl w:val="0"/>
        <w:spacing w:line="360" w:lineRule="auto"/>
        <w:jc w:val="center"/>
        <w:textAlignment w:val="auto"/>
        <w:rPr>
          <w:b/>
          <w:color w:val="auto"/>
          <w:sz w:val="28"/>
          <w:szCs w:val="28"/>
        </w:rPr>
      </w:pPr>
      <w:r>
        <w:rPr>
          <w:b/>
          <w:color w:val="auto"/>
          <w:sz w:val="28"/>
          <w:szCs w:val="28"/>
        </w:rPr>
        <w:t>（七）纪律和监督</w:t>
      </w:r>
    </w:p>
    <w:p>
      <w:pPr>
        <w:spacing w:line="360" w:lineRule="auto"/>
        <w:ind w:firstLine="482" w:firstLineChars="200"/>
        <w:jc w:val="left"/>
        <w:rPr>
          <w:b/>
          <w:color w:val="auto"/>
          <w:sz w:val="24"/>
          <w:szCs w:val="24"/>
        </w:rPr>
      </w:pPr>
      <w:r>
        <w:rPr>
          <w:b/>
          <w:color w:val="auto"/>
          <w:sz w:val="24"/>
          <w:szCs w:val="24"/>
        </w:rPr>
        <w:t>3</w:t>
      </w:r>
      <w:r>
        <w:rPr>
          <w:rFonts w:hint="eastAsia"/>
          <w:b/>
          <w:color w:val="auto"/>
          <w:sz w:val="24"/>
          <w:szCs w:val="24"/>
          <w:lang w:val="en-US" w:eastAsia="zh-CN"/>
        </w:rPr>
        <w:t>6</w:t>
      </w:r>
      <w:r>
        <w:rPr>
          <w:b/>
          <w:color w:val="auto"/>
          <w:sz w:val="24"/>
          <w:szCs w:val="24"/>
        </w:rPr>
        <w:t xml:space="preserve">. 对招标人的纪律要求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w:t>
      </w:r>
      <w:r>
        <w:rPr>
          <w:rFonts w:hint="eastAsia"/>
          <w:b w:val="0"/>
          <w:bCs/>
          <w:color w:val="auto"/>
          <w:sz w:val="24"/>
          <w:szCs w:val="24"/>
          <w:lang w:val="en-US" w:eastAsia="zh-CN"/>
        </w:rPr>
        <w:t>6</w:t>
      </w:r>
      <w:r>
        <w:rPr>
          <w:rFonts w:hint="eastAsia"/>
          <w:b w:val="0"/>
          <w:bCs/>
          <w:color w:val="auto"/>
          <w:sz w:val="24"/>
          <w:szCs w:val="24"/>
          <w:lang w:eastAsia="zh-CN"/>
        </w:rPr>
        <w:t xml:space="preserve">.1招标人不得泄漏招标投标活动中应当保密的情况和资料，不得与投标人串通损害国家利益，社会公共利益或者他人合法权益。 </w:t>
      </w:r>
    </w:p>
    <w:p>
      <w:pPr>
        <w:spacing w:line="360" w:lineRule="auto"/>
        <w:ind w:firstLine="482" w:firstLineChars="200"/>
        <w:jc w:val="left"/>
        <w:rPr>
          <w:b/>
          <w:color w:val="auto"/>
          <w:sz w:val="24"/>
          <w:szCs w:val="24"/>
        </w:rPr>
      </w:pPr>
      <w:r>
        <w:rPr>
          <w:b/>
          <w:color w:val="auto"/>
          <w:sz w:val="24"/>
          <w:szCs w:val="24"/>
        </w:rPr>
        <w:t>3</w:t>
      </w:r>
      <w:r>
        <w:rPr>
          <w:rFonts w:hint="eastAsia"/>
          <w:b/>
          <w:color w:val="auto"/>
          <w:sz w:val="24"/>
          <w:szCs w:val="24"/>
          <w:lang w:val="en-US" w:eastAsia="zh-CN"/>
        </w:rPr>
        <w:t>7</w:t>
      </w:r>
      <w:r>
        <w:rPr>
          <w:b/>
          <w:color w:val="auto"/>
          <w:sz w:val="24"/>
          <w:szCs w:val="24"/>
        </w:rPr>
        <w:t xml:space="preserve">. 对投标人的纪律要求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w:t>
      </w:r>
      <w:r>
        <w:rPr>
          <w:rFonts w:hint="eastAsia"/>
          <w:b w:val="0"/>
          <w:bCs/>
          <w:color w:val="auto"/>
          <w:sz w:val="24"/>
          <w:szCs w:val="24"/>
          <w:lang w:val="en-US" w:eastAsia="zh-CN"/>
        </w:rPr>
        <w:t>7</w:t>
      </w:r>
      <w:r>
        <w:rPr>
          <w:rFonts w:hint="eastAsia"/>
          <w:b w:val="0"/>
          <w:bCs/>
          <w:color w:val="auto"/>
          <w:sz w:val="24"/>
          <w:szCs w:val="24"/>
          <w:lang w:eastAsia="zh-CN"/>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jc w:val="left"/>
        <w:rPr>
          <w:b/>
          <w:color w:val="auto"/>
          <w:sz w:val="24"/>
          <w:szCs w:val="24"/>
        </w:rPr>
      </w:pPr>
      <w:r>
        <w:rPr>
          <w:b/>
          <w:color w:val="auto"/>
          <w:sz w:val="24"/>
          <w:szCs w:val="24"/>
        </w:rPr>
        <w:t>3</w:t>
      </w:r>
      <w:r>
        <w:rPr>
          <w:rFonts w:hint="eastAsia"/>
          <w:b/>
          <w:color w:val="auto"/>
          <w:sz w:val="24"/>
          <w:szCs w:val="24"/>
          <w:lang w:val="en-US" w:eastAsia="zh-CN"/>
        </w:rPr>
        <w:t>8</w:t>
      </w:r>
      <w:r>
        <w:rPr>
          <w:b/>
          <w:color w:val="auto"/>
          <w:sz w:val="24"/>
          <w:szCs w:val="24"/>
        </w:rPr>
        <w:t xml:space="preserve">. 对评标委员会成员的纪律要求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3</w:t>
      </w:r>
      <w:r>
        <w:rPr>
          <w:rFonts w:hint="eastAsia"/>
          <w:b w:val="0"/>
          <w:bCs/>
          <w:color w:val="auto"/>
          <w:sz w:val="24"/>
          <w:szCs w:val="24"/>
          <w:lang w:val="en-US" w:eastAsia="zh-CN"/>
        </w:rPr>
        <w:t>8</w:t>
      </w:r>
      <w:r>
        <w:rPr>
          <w:rFonts w:hint="eastAsia"/>
          <w:b w:val="0"/>
          <w:bCs/>
          <w:color w:val="auto"/>
          <w:sz w:val="24"/>
          <w:szCs w:val="24"/>
          <w:lang w:eastAsia="zh-CN"/>
        </w:rPr>
        <w:t>.1标委员会成员不得收受他人的财物或者其他好处，不得向他人透漏对投标文件的评审和比较、中标候选人的推荐情况以及评标有关的其他情况。</w:t>
      </w:r>
    </w:p>
    <w:p>
      <w:pPr>
        <w:spacing w:line="360" w:lineRule="auto"/>
        <w:ind w:firstLine="468" w:firstLineChars="195"/>
        <w:rPr>
          <w:color w:val="auto"/>
          <w:kern w:val="10"/>
          <w:sz w:val="24"/>
          <w:szCs w:val="24"/>
        </w:rPr>
      </w:pPr>
      <w:r>
        <w:rPr>
          <w:rFonts w:hint="eastAsia"/>
          <w:b w:val="0"/>
          <w:bCs/>
          <w:color w:val="auto"/>
          <w:sz w:val="24"/>
          <w:szCs w:val="24"/>
          <w:lang w:eastAsia="zh-CN"/>
        </w:rPr>
        <w:t>3</w:t>
      </w:r>
      <w:r>
        <w:rPr>
          <w:rFonts w:hint="eastAsia"/>
          <w:b w:val="0"/>
          <w:bCs/>
          <w:color w:val="auto"/>
          <w:sz w:val="24"/>
          <w:szCs w:val="24"/>
          <w:lang w:val="en-US" w:eastAsia="zh-CN"/>
        </w:rPr>
        <w:t>8</w:t>
      </w:r>
      <w:r>
        <w:rPr>
          <w:rFonts w:hint="eastAsia"/>
          <w:b w:val="0"/>
          <w:bCs/>
          <w:color w:val="auto"/>
          <w:sz w:val="24"/>
          <w:szCs w:val="24"/>
          <w:lang w:eastAsia="zh-CN"/>
        </w:rPr>
        <w:t>.2在评标活动中，评标委员会成员不得擅离职守，影响评标程序正常进行，不得使用第三章“评标办法”没有规定的评审因素和标准进行评标。</w:t>
      </w:r>
      <w:r>
        <w:rPr>
          <w:color w:val="auto"/>
          <w:kern w:val="10"/>
          <w:sz w:val="24"/>
          <w:szCs w:val="24"/>
        </w:rPr>
        <w:t xml:space="preserve"> </w:t>
      </w:r>
    </w:p>
    <w:p>
      <w:pPr>
        <w:spacing w:line="360" w:lineRule="auto"/>
        <w:ind w:firstLine="482" w:firstLineChars="200"/>
        <w:jc w:val="left"/>
        <w:rPr>
          <w:b/>
          <w:color w:val="auto"/>
          <w:sz w:val="24"/>
          <w:szCs w:val="24"/>
        </w:rPr>
      </w:pPr>
      <w:r>
        <w:rPr>
          <w:rFonts w:hint="eastAsia"/>
          <w:b/>
          <w:color w:val="auto"/>
          <w:sz w:val="24"/>
          <w:szCs w:val="24"/>
          <w:lang w:val="en-US" w:eastAsia="zh-CN"/>
        </w:rPr>
        <w:t>39</w:t>
      </w:r>
      <w:r>
        <w:rPr>
          <w:b/>
          <w:color w:val="auto"/>
          <w:sz w:val="24"/>
          <w:szCs w:val="24"/>
        </w:rPr>
        <w:t xml:space="preserve">. 对与评标活动有关的工作人员的纪律要求 </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val="en-US" w:eastAsia="zh-CN"/>
        </w:rPr>
        <w:t>39</w:t>
      </w:r>
      <w:r>
        <w:rPr>
          <w:rFonts w:hint="eastAsia"/>
          <w:b w:val="0"/>
          <w:bCs/>
          <w:color w:val="auto"/>
          <w:sz w:val="24"/>
          <w:szCs w:val="24"/>
          <w:lang w:eastAsia="zh-CN"/>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djustRightInd w:val="0"/>
        <w:snapToGrid w:val="0"/>
        <w:spacing w:line="360" w:lineRule="auto"/>
        <w:jc w:val="center"/>
        <w:rPr>
          <w:b/>
          <w:color w:val="auto"/>
          <w:sz w:val="28"/>
          <w:szCs w:val="28"/>
        </w:rPr>
      </w:pPr>
    </w:p>
    <w:p>
      <w:pPr>
        <w:adjustRightInd w:val="0"/>
        <w:snapToGrid w:val="0"/>
        <w:spacing w:line="360" w:lineRule="auto"/>
        <w:jc w:val="center"/>
        <w:rPr>
          <w:b/>
          <w:color w:val="auto"/>
          <w:sz w:val="28"/>
          <w:szCs w:val="28"/>
        </w:rPr>
      </w:pPr>
      <w:r>
        <w:rPr>
          <w:b/>
          <w:color w:val="auto"/>
          <w:sz w:val="28"/>
          <w:szCs w:val="28"/>
        </w:rPr>
        <w:t>（八）质疑与投诉</w:t>
      </w:r>
    </w:p>
    <w:p>
      <w:pPr>
        <w:spacing w:line="360" w:lineRule="auto"/>
        <w:ind w:firstLine="482" w:firstLineChars="200"/>
        <w:jc w:val="left"/>
        <w:rPr>
          <w:b/>
          <w:color w:val="auto"/>
          <w:sz w:val="24"/>
          <w:szCs w:val="24"/>
        </w:rPr>
      </w:pPr>
      <w:r>
        <w:rPr>
          <w:b/>
          <w:color w:val="auto"/>
          <w:sz w:val="24"/>
          <w:szCs w:val="24"/>
        </w:rPr>
        <w:t>4</w:t>
      </w:r>
      <w:r>
        <w:rPr>
          <w:rFonts w:hint="eastAsia"/>
          <w:b/>
          <w:color w:val="auto"/>
          <w:sz w:val="24"/>
          <w:szCs w:val="24"/>
          <w:lang w:val="en-US" w:eastAsia="zh-CN"/>
        </w:rPr>
        <w:t>0</w:t>
      </w:r>
      <w:r>
        <w:rPr>
          <w:b/>
          <w:color w:val="auto"/>
          <w:sz w:val="24"/>
          <w:szCs w:val="24"/>
        </w:rPr>
        <w:t>. 质疑</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40.1招标文件发售后，参与采购活动的投标人如发现招标文件的商务条款、技术要求存在倾向性、错误、遗漏、含混不清等问题，可在招标文件规定的时间之前，请与招标人联系，提出质疑，要求修改或澄清。</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40.2中标公告发布后，参与投标的投标人对中标公告有异议的，应该在中标公告发布之日起七个工作日内向招标人书面提出质疑。但属于第41.1条问题，且未在规定时间提出质疑的，不予受理。</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40.3参与投标的投标人对中标公告提出的书面质疑，负有举证的责任。在质疑函中应清楚地写明所质疑的项目名称、编号、标包号标包名、质疑的事项与事实等内容，并附上质疑事项、事实的证明文件。投标人在经其法定代表人签字并盖上投标人公章后，将该质疑函当面递交至招标人。</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40.4招标人在收到投标人的质疑函后，将审查质疑函的格式、内容以及所附的证明文件是否符合要求。如不符合，说明原因退回投标人；如符合要求，则接受该质疑函并向投标人出具受理证明。</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40.5处理质疑的时间，从实际接受投标人质疑函、出具受理证明的时间开始计算。</w:t>
      </w:r>
    </w:p>
    <w:p>
      <w:pPr>
        <w:spacing w:line="360" w:lineRule="auto"/>
        <w:ind w:firstLine="468" w:firstLineChars="195"/>
        <w:rPr>
          <w:color w:val="auto"/>
          <w:sz w:val="24"/>
          <w:szCs w:val="24"/>
        </w:rPr>
      </w:pPr>
      <w:r>
        <w:rPr>
          <w:rFonts w:hint="eastAsia"/>
          <w:b w:val="0"/>
          <w:bCs/>
          <w:color w:val="auto"/>
          <w:sz w:val="24"/>
          <w:szCs w:val="24"/>
          <w:lang w:val="en-US" w:eastAsia="zh-CN"/>
        </w:rPr>
        <w:t>40.6投标人对招标人的答复不满意，或者招标人未在规定的时间内答复的，可以在答复期满后十五个工作日内按有关规定，向同级人民政府招标采购监管部门进行投诉。</w:t>
      </w:r>
    </w:p>
    <w:p>
      <w:pPr>
        <w:spacing w:line="360" w:lineRule="auto"/>
        <w:jc w:val="both"/>
        <w:outlineLvl w:val="0"/>
        <w:rPr>
          <w:b/>
          <w:color w:val="auto"/>
          <w:sz w:val="32"/>
          <w:szCs w:val="32"/>
        </w:rPr>
      </w:pPr>
      <w:bookmarkStart w:id="48" w:name="_Toc25803"/>
    </w:p>
    <w:p>
      <w:pPr>
        <w:pStyle w:val="38"/>
        <w:rPr>
          <w:b/>
          <w:color w:val="auto"/>
          <w:sz w:val="32"/>
          <w:szCs w:val="32"/>
        </w:rPr>
      </w:pPr>
    </w:p>
    <w:p>
      <w:pPr>
        <w:pStyle w:val="38"/>
        <w:rPr>
          <w:b/>
          <w:color w:val="auto"/>
          <w:sz w:val="32"/>
          <w:szCs w:val="32"/>
        </w:rPr>
      </w:pPr>
    </w:p>
    <w:p>
      <w:pPr>
        <w:pStyle w:val="38"/>
        <w:rPr>
          <w:b/>
          <w:color w:val="auto"/>
          <w:sz w:val="32"/>
          <w:szCs w:val="32"/>
        </w:rPr>
      </w:pPr>
    </w:p>
    <w:p>
      <w:pPr>
        <w:pStyle w:val="38"/>
        <w:rPr>
          <w:b/>
          <w:color w:val="auto"/>
          <w:sz w:val="32"/>
          <w:szCs w:val="32"/>
        </w:rPr>
      </w:pPr>
    </w:p>
    <w:p>
      <w:pPr>
        <w:spacing w:line="360" w:lineRule="auto"/>
        <w:jc w:val="center"/>
        <w:outlineLvl w:val="0"/>
        <w:rPr>
          <w:b/>
          <w:color w:val="auto"/>
          <w:sz w:val="28"/>
          <w:szCs w:val="28"/>
        </w:rPr>
      </w:pPr>
      <w:r>
        <w:rPr>
          <w:b/>
          <w:color w:val="auto"/>
          <w:sz w:val="32"/>
          <w:szCs w:val="32"/>
        </w:rPr>
        <w:t>第三章  评标办法</w:t>
      </w:r>
      <w:bookmarkEnd w:id="48"/>
    </w:p>
    <w:p>
      <w:pPr>
        <w:spacing w:line="360" w:lineRule="auto"/>
        <w:jc w:val="left"/>
        <w:outlineLvl w:val="1"/>
        <w:rPr>
          <w:b/>
          <w:color w:val="auto"/>
          <w:sz w:val="24"/>
          <w:szCs w:val="24"/>
        </w:rPr>
      </w:pPr>
      <w:bookmarkStart w:id="49" w:name="_Toc14894"/>
      <w:r>
        <w:rPr>
          <w:b/>
          <w:color w:val="auto"/>
          <w:sz w:val="24"/>
          <w:szCs w:val="24"/>
        </w:rPr>
        <w:t>一 、总则</w:t>
      </w:r>
      <w:bookmarkEnd w:id="49"/>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 xml:space="preserve">1.评标方法 </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1.1综合评分法是指投标文件满足招标文件全部实质性要求且按照评审因素的量化指标评审得分最高的供应商为中标候选人的评标方法。</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1.2综合评分法一般适用于较为复杂、评价指标难以量化且价格为非主要因素的非标准定制商品和非通用服务项目的项目评审。</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第一步：先进行投标人证件审查，只有投标人证件审查评审合格后，才能进入下一阶段评审；</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第二步：通过技术标和商务标评审，在满足招标文件实质性要求前提下，由评标委员会评审技术标和商务标得分，计算总得分。</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评标委员会按总得分从高到低按顺序推荐三名中标候选人，若总得分最高有两个及以上时，以报价低者优先；得分且投标报价相同的，按技术指标优劣顺序排列。技术标也相同时由招标人现场采取随机摇号的方式确定中标候选人。</w:t>
      </w:r>
    </w:p>
    <w:p>
      <w:pPr>
        <w:spacing w:line="360" w:lineRule="auto"/>
        <w:ind w:firstLine="581" w:firstLineChars="241"/>
        <w:rPr>
          <w:color w:val="auto"/>
          <w:sz w:val="24"/>
          <w:szCs w:val="24"/>
        </w:rPr>
      </w:pPr>
      <w:r>
        <w:rPr>
          <w:rFonts w:hint="eastAsia"/>
          <w:b/>
          <w:bCs w:val="0"/>
          <w:color w:val="auto"/>
          <w:sz w:val="24"/>
          <w:szCs w:val="24"/>
          <w:lang w:val="en-US" w:eastAsia="zh-CN"/>
        </w:rPr>
        <w:t>本项目设置报价最高限价：</w:t>
      </w:r>
      <w:r>
        <w:rPr>
          <w:rFonts w:hint="eastAsia" w:cs="Times New Roman"/>
          <w:color w:val="auto"/>
          <w:sz w:val="24"/>
          <w:szCs w:val="24"/>
          <w:lang w:val="en-US" w:eastAsia="zh-CN"/>
        </w:rPr>
        <w:t>114万</w:t>
      </w:r>
      <w:r>
        <w:rPr>
          <w:rFonts w:hint="eastAsia" w:ascii="Times New Roman" w:hAnsi="Times New Roman" w:cs="Times New Roman"/>
          <w:color w:val="auto"/>
          <w:sz w:val="24"/>
          <w:szCs w:val="24"/>
        </w:rPr>
        <w:t>元（</w:t>
      </w:r>
      <w:r>
        <w:rPr>
          <w:rFonts w:hint="eastAsia" w:cs="Times New Roman"/>
          <w:color w:val="auto"/>
          <w:sz w:val="24"/>
          <w:szCs w:val="24"/>
          <w:lang w:val="en-US" w:eastAsia="zh-CN"/>
        </w:rPr>
        <w:t>壹佰壹拾肆万元整</w:t>
      </w:r>
      <w:r>
        <w:rPr>
          <w:rFonts w:hint="eastAsia" w:ascii="Times New Roman" w:hAnsi="Times New Roman" w:cs="Times New Roman"/>
          <w:color w:val="auto"/>
          <w:sz w:val="24"/>
          <w:szCs w:val="24"/>
        </w:rPr>
        <w:t>）</w:t>
      </w:r>
      <w:r>
        <w:rPr>
          <w:b/>
          <w:bCs/>
          <w:color w:val="auto"/>
          <w:sz w:val="24"/>
          <w:szCs w:val="24"/>
        </w:rPr>
        <w:t>，</w:t>
      </w:r>
      <w:r>
        <w:rPr>
          <w:rFonts w:hint="eastAsia"/>
          <w:b w:val="0"/>
          <w:bCs/>
          <w:color w:val="auto"/>
          <w:sz w:val="24"/>
          <w:szCs w:val="24"/>
          <w:lang w:val="en-US" w:eastAsia="zh-CN"/>
        </w:rPr>
        <w:t>投标人的报价不得高于本次招标最高限价，否则其投标文件按无效标处理。</w:t>
      </w:r>
      <w:bookmarkStart w:id="50" w:name="_Toc20943"/>
    </w:p>
    <w:p>
      <w:pPr>
        <w:spacing w:line="360" w:lineRule="auto"/>
        <w:jc w:val="left"/>
        <w:outlineLvl w:val="1"/>
        <w:rPr>
          <w:b/>
          <w:color w:val="auto"/>
          <w:sz w:val="24"/>
          <w:szCs w:val="24"/>
        </w:rPr>
      </w:pPr>
      <w:r>
        <w:rPr>
          <w:b/>
          <w:color w:val="auto"/>
          <w:sz w:val="24"/>
          <w:szCs w:val="24"/>
        </w:rPr>
        <w:t>二 、投标文件初审</w:t>
      </w:r>
      <w:bookmarkEnd w:id="50"/>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2.1.投标人证件审查（投标人须知前附表21）</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2.2.符合性审查</w:t>
      </w:r>
    </w:p>
    <w:p>
      <w:pPr>
        <w:spacing w:line="360" w:lineRule="auto"/>
        <w:ind w:right="-512" w:rightChars="-244"/>
        <w:jc w:val="center"/>
        <w:rPr>
          <w:b/>
          <w:bCs/>
          <w:color w:val="auto"/>
          <w:sz w:val="24"/>
          <w:szCs w:val="24"/>
        </w:rPr>
      </w:pPr>
      <w:r>
        <w:rPr>
          <w:b/>
          <w:bCs/>
          <w:color w:val="auto"/>
          <w:sz w:val="24"/>
          <w:szCs w:val="24"/>
        </w:rPr>
        <w:t>评审细则</w:t>
      </w:r>
    </w:p>
    <w:tbl>
      <w:tblPr>
        <w:tblStyle w:val="29"/>
        <w:tblW w:w="971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096"/>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65"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rPr>
                <w:color w:val="auto"/>
                <w:szCs w:val="21"/>
              </w:rPr>
            </w:pPr>
            <w:r>
              <w:rPr>
                <w:color w:val="auto"/>
                <w:szCs w:val="21"/>
              </w:rPr>
              <w:t>审查因素</w:t>
            </w:r>
          </w:p>
        </w:tc>
        <w:tc>
          <w:tcPr>
            <w:tcW w:w="58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rPr>
                <w:color w:val="auto"/>
                <w:szCs w:val="21"/>
              </w:rPr>
            </w:pPr>
            <w:r>
              <w:rPr>
                <w:color w:val="auto"/>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69"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rPr>
                <w:color w:val="auto"/>
                <w:szCs w:val="21"/>
                <w:lang w:val="zh-CN"/>
              </w:rPr>
            </w:pPr>
            <w:r>
              <w:rPr>
                <w:color w:val="auto"/>
                <w:szCs w:val="21"/>
                <w:lang w:val="zh-CN"/>
              </w:rPr>
              <w:t>标书的有效 性</w:t>
            </w:r>
          </w:p>
        </w:tc>
        <w:tc>
          <w:tcPr>
            <w:tcW w:w="3096" w:type="dxa"/>
            <w:tcBorders>
              <w:top w:val="single" w:color="auto" w:sz="4" w:space="0"/>
            </w:tcBorders>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cs="Times New Roman"/>
                <w:color w:val="auto"/>
                <w:szCs w:val="21"/>
                <w:lang w:val="zh-CN" w:eastAsia="zh-CN"/>
              </w:rPr>
              <w:t>（</w:t>
            </w:r>
            <w:r>
              <w:rPr>
                <w:rFonts w:hint="eastAsia" w:ascii="Times New Roman" w:hAnsi="Times New Roman" w:cs="Times New Roman"/>
                <w:color w:val="auto"/>
                <w:szCs w:val="21"/>
                <w:lang w:val="en-US" w:eastAsia="zh-CN"/>
              </w:rPr>
              <w:t>1）</w:t>
            </w:r>
            <w:r>
              <w:rPr>
                <w:rFonts w:hint="eastAsia" w:ascii="Times New Roman" w:hAnsi="Times New Roman" w:eastAsia="宋体" w:cs="Times New Roman"/>
                <w:color w:val="auto"/>
                <w:szCs w:val="21"/>
                <w:lang w:val="zh-CN" w:eastAsia="zh-CN"/>
              </w:rPr>
              <w:t>投标文件签署</w:t>
            </w:r>
          </w:p>
        </w:tc>
        <w:tc>
          <w:tcPr>
            <w:tcW w:w="5850"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签字、盖章符合要求。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6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rPr>
                <w:color w:val="auto"/>
                <w:szCs w:val="21"/>
                <w:lang w:val="zh-CN"/>
              </w:rPr>
            </w:pPr>
          </w:p>
        </w:tc>
        <w:tc>
          <w:tcPr>
            <w:tcW w:w="3096" w:type="dxa"/>
            <w:tcBorders>
              <w:top w:val="nil"/>
              <w:bottom w:val="single" w:color="auto" w:sz="4" w:space="0"/>
            </w:tcBorders>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cs="Times New Roman"/>
                <w:color w:val="auto"/>
                <w:szCs w:val="21"/>
                <w:lang w:val="zh-CN" w:eastAsia="zh-CN"/>
              </w:rPr>
              <w:t>（</w:t>
            </w:r>
            <w:r>
              <w:rPr>
                <w:rFonts w:hint="eastAsia" w:ascii="Times New Roman" w:hAnsi="Times New Roman" w:cs="Times New Roman"/>
                <w:color w:val="auto"/>
                <w:szCs w:val="21"/>
                <w:lang w:val="en-US" w:eastAsia="zh-CN"/>
              </w:rPr>
              <w:t>2）</w:t>
            </w:r>
            <w:r>
              <w:rPr>
                <w:rFonts w:hint="eastAsia" w:ascii="Times New Roman" w:hAnsi="Times New Roman" w:eastAsia="宋体" w:cs="Times New Roman"/>
                <w:color w:val="auto"/>
                <w:szCs w:val="21"/>
                <w:lang w:val="zh-CN" w:eastAsia="zh-CN"/>
              </w:rPr>
              <w:t>投标方案</w:t>
            </w:r>
          </w:p>
        </w:tc>
        <w:tc>
          <w:tcPr>
            <w:tcW w:w="5850"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val="zh-CN" w:eastAsia="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6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rPr>
                <w:color w:val="auto"/>
                <w:szCs w:val="21"/>
                <w:lang w:val="zh-CN"/>
              </w:rPr>
            </w:pPr>
          </w:p>
        </w:tc>
        <w:tc>
          <w:tcPr>
            <w:tcW w:w="3096" w:type="dxa"/>
            <w:tcBorders>
              <w:top w:val="nil"/>
              <w:bottom w:val="single" w:color="auto" w:sz="4" w:space="0"/>
            </w:tcBorders>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cs="Times New Roman"/>
                <w:color w:val="auto"/>
                <w:szCs w:val="21"/>
                <w:lang w:val="zh-CN" w:eastAsia="zh-CN"/>
              </w:rPr>
              <w:t>（</w:t>
            </w:r>
            <w:r>
              <w:rPr>
                <w:rFonts w:hint="eastAsia" w:ascii="Times New Roman" w:hAnsi="Times New Roman" w:cs="Times New Roman"/>
                <w:color w:val="auto"/>
                <w:szCs w:val="21"/>
                <w:lang w:val="en-US" w:eastAsia="zh-CN"/>
              </w:rPr>
              <w:t>3）</w:t>
            </w:r>
            <w:r>
              <w:rPr>
                <w:rFonts w:hint="eastAsia" w:ascii="Times New Roman" w:hAnsi="Times New Roman" w:eastAsia="宋体" w:cs="Times New Roman"/>
                <w:color w:val="auto"/>
                <w:szCs w:val="21"/>
                <w:lang w:eastAsia="zh-CN"/>
              </w:rPr>
              <w:t>报价唯一</w:t>
            </w:r>
          </w:p>
        </w:tc>
        <w:tc>
          <w:tcPr>
            <w:tcW w:w="5850"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val="zh-CN" w:eastAsia="zh-CN"/>
              </w:rPr>
              <w:t>只能在限价范围内报价，</w:t>
            </w:r>
            <w:r>
              <w:rPr>
                <w:rFonts w:hint="eastAsia" w:ascii="Times New Roman" w:hAnsi="Times New Roman" w:eastAsia="宋体" w:cs="Times New Roman"/>
                <w:color w:val="auto"/>
                <w:szCs w:val="21"/>
                <w:lang w:eastAsia="zh-CN"/>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6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rPr>
                <w:color w:val="auto"/>
                <w:szCs w:val="21"/>
                <w:lang w:val="zh-CN"/>
              </w:rPr>
            </w:pPr>
          </w:p>
        </w:tc>
        <w:tc>
          <w:tcPr>
            <w:tcW w:w="3096" w:type="dxa"/>
            <w:tcBorders>
              <w:top w:val="nil"/>
              <w:bottom w:val="single" w:color="auto" w:sz="4" w:space="0"/>
            </w:tcBorders>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zh-CN" w:eastAsia="zh-CN"/>
              </w:rPr>
              <w:t>（</w:t>
            </w:r>
            <w:r>
              <w:rPr>
                <w:rFonts w:hint="eastAsia" w:ascii="Times New Roman" w:hAnsi="Times New Roman" w:cs="Times New Roman"/>
                <w:color w:val="auto"/>
                <w:szCs w:val="21"/>
                <w:lang w:val="en-US" w:eastAsia="zh-CN"/>
              </w:rPr>
              <w:t>4）</w:t>
            </w:r>
            <w:r>
              <w:rPr>
                <w:rFonts w:hint="eastAsia" w:ascii="Times New Roman" w:hAnsi="Times New Roman" w:eastAsia="宋体" w:cs="Times New Roman"/>
                <w:color w:val="auto"/>
                <w:szCs w:val="21"/>
                <w:lang w:eastAsia="zh-CN"/>
              </w:rPr>
              <w:t>投标文件的有效期</w:t>
            </w:r>
          </w:p>
        </w:tc>
        <w:tc>
          <w:tcPr>
            <w:tcW w:w="5850"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69"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rPr>
                <w:color w:val="auto"/>
                <w:szCs w:val="21"/>
                <w:lang w:val="zh-CN"/>
              </w:rPr>
            </w:pPr>
            <w:r>
              <w:rPr>
                <w:color w:val="auto"/>
                <w:szCs w:val="21"/>
                <w:lang w:val="zh-CN"/>
              </w:rPr>
              <w:t>标书的完整 性</w:t>
            </w:r>
          </w:p>
        </w:tc>
        <w:tc>
          <w:tcPr>
            <w:tcW w:w="3096"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zh-CN" w:eastAsia="zh-CN"/>
              </w:rPr>
              <w:t>（</w:t>
            </w:r>
            <w:r>
              <w:rPr>
                <w:rFonts w:hint="eastAsia" w:ascii="Times New Roman" w:hAnsi="Times New Roman" w:cs="Times New Roman"/>
                <w:color w:val="auto"/>
                <w:szCs w:val="21"/>
                <w:lang w:val="en-US" w:eastAsia="zh-CN"/>
              </w:rPr>
              <w:t>5）</w:t>
            </w:r>
            <w:r>
              <w:rPr>
                <w:rFonts w:hint="eastAsia" w:ascii="Times New Roman" w:hAnsi="Times New Roman" w:eastAsia="宋体" w:cs="Times New Roman"/>
                <w:color w:val="auto"/>
                <w:szCs w:val="21"/>
                <w:lang w:val="zh-CN" w:eastAsia="zh-CN"/>
              </w:rPr>
              <w:t>投标文件份数</w:t>
            </w:r>
          </w:p>
        </w:tc>
        <w:tc>
          <w:tcPr>
            <w:tcW w:w="5850"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val="zh-CN" w:eastAsia="zh-CN"/>
              </w:rPr>
              <w:t>投标文件正本、副本数量符合招标文件要求。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6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rPr>
                <w:color w:val="auto"/>
                <w:szCs w:val="21"/>
                <w:lang w:val="zh-CN"/>
              </w:rPr>
            </w:pPr>
          </w:p>
        </w:tc>
        <w:tc>
          <w:tcPr>
            <w:tcW w:w="3096"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cs="Times New Roman"/>
                <w:color w:val="auto"/>
                <w:szCs w:val="21"/>
                <w:lang w:val="zh-CN" w:eastAsia="zh-CN"/>
              </w:rPr>
              <w:t>（</w:t>
            </w:r>
            <w:r>
              <w:rPr>
                <w:rFonts w:hint="eastAsia" w:ascii="Times New Roman" w:hAnsi="Times New Roman" w:cs="Times New Roman"/>
                <w:color w:val="auto"/>
                <w:szCs w:val="21"/>
                <w:lang w:val="en-US" w:eastAsia="zh-CN"/>
              </w:rPr>
              <w:t>6）</w:t>
            </w:r>
            <w:r>
              <w:rPr>
                <w:rFonts w:hint="eastAsia" w:ascii="Times New Roman" w:hAnsi="Times New Roman" w:eastAsia="宋体" w:cs="Times New Roman"/>
                <w:color w:val="auto"/>
                <w:szCs w:val="21"/>
                <w:lang w:val="zh-CN" w:eastAsia="zh-CN"/>
              </w:rPr>
              <w:t>投标文件形式内容</w:t>
            </w:r>
          </w:p>
        </w:tc>
        <w:tc>
          <w:tcPr>
            <w:tcW w:w="5850"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投标文件内容清晰、齐全无遗漏。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6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rPr>
                <w:color w:val="auto"/>
                <w:szCs w:val="21"/>
                <w:lang w:val="zh-CN"/>
              </w:rPr>
            </w:pPr>
          </w:p>
        </w:tc>
        <w:tc>
          <w:tcPr>
            <w:tcW w:w="3096"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cs="Times New Roman"/>
                <w:color w:val="auto"/>
                <w:szCs w:val="21"/>
                <w:lang w:val="zh-CN" w:eastAsia="zh-CN"/>
              </w:rPr>
              <w:t>（</w:t>
            </w:r>
            <w:r>
              <w:rPr>
                <w:rFonts w:hint="eastAsia" w:ascii="Times New Roman" w:hAnsi="Times New Roman" w:cs="Times New Roman"/>
                <w:color w:val="auto"/>
                <w:szCs w:val="21"/>
                <w:lang w:val="en-US" w:eastAsia="zh-CN"/>
              </w:rPr>
              <w:t>7）</w:t>
            </w:r>
            <w:r>
              <w:rPr>
                <w:rFonts w:hint="eastAsia" w:ascii="Times New Roman" w:hAnsi="Times New Roman" w:eastAsia="宋体" w:cs="Times New Roman"/>
                <w:color w:val="auto"/>
                <w:szCs w:val="21"/>
                <w:lang w:val="zh-CN" w:eastAsia="zh-CN"/>
              </w:rPr>
              <w:t>技术条款响应程度</w:t>
            </w:r>
          </w:p>
        </w:tc>
        <w:tc>
          <w:tcPr>
            <w:tcW w:w="5850"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76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rPr>
                <w:color w:val="auto"/>
                <w:szCs w:val="21"/>
                <w:lang w:val="zh-CN"/>
              </w:rPr>
            </w:pPr>
          </w:p>
        </w:tc>
        <w:tc>
          <w:tcPr>
            <w:tcW w:w="3096" w:type="dxa"/>
            <w:tcBorders>
              <w:top w:val="single" w:color="auto" w:sz="4" w:space="0"/>
            </w:tcBorders>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cs="Times New Roman"/>
                <w:color w:val="auto"/>
                <w:szCs w:val="21"/>
                <w:lang w:val="zh-CN" w:eastAsia="zh-CN"/>
              </w:rPr>
              <w:t>（</w:t>
            </w:r>
            <w:r>
              <w:rPr>
                <w:rFonts w:hint="eastAsia" w:ascii="Times New Roman" w:hAnsi="Times New Roman" w:cs="Times New Roman"/>
                <w:color w:val="auto"/>
                <w:szCs w:val="21"/>
                <w:lang w:val="en-US" w:eastAsia="zh-CN"/>
              </w:rPr>
              <w:t>8）</w:t>
            </w:r>
            <w:r>
              <w:rPr>
                <w:rFonts w:hint="eastAsia" w:ascii="Times New Roman" w:hAnsi="Times New Roman" w:eastAsia="宋体" w:cs="Times New Roman"/>
                <w:color w:val="auto"/>
                <w:szCs w:val="21"/>
                <w:lang w:val="zh-CN" w:eastAsia="zh-CN"/>
              </w:rPr>
              <w:t>商务条款响应程度（包括但不限于供货期、售后服务等）</w:t>
            </w:r>
          </w:p>
        </w:tc>
        <w:tc>
          <w:tcPr>
            <w:tcW w:w="5850"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响应招标文件。</w:t>
            </w:r>
          </w:p>
        </w:tc>
      </w:tr>
    </w:tbl>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2.3投标人证件审查及评分细则中涉及的有关证明材料及相关证书，在提供加盖公章的复印件的同时原件随身携带，以供审查。</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2.4评标委员会判定投标文件的响应性只根据投标文件本身的内容，而不寻求外部的证据，但投标有不真实不正确的内容时除外。</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2.5如果投标文件实质上没有响应招标文件的要求，评标委员会将予以拒绝，投标人不得通过修正或撤销不符合要求的偏离或保留，而使其投标成为实质上响应的投标。</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2.6投标人可在现场20分钟内对评标委员会的评审结论提出异议，评标委员会根据招标文件及有关规定对投标人的异议进行复议。</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2.7只有通过初审的投标人才能进入下一步评标程序。</w:t>
      </w:r>
    </w:p>
    <w:p>
      <w:pPr>
        <w:spacing w:line="360" w:lineRule="auto"/>
        <w:jc w:val="left"/>
        <w:outlineLvl w:val="1"/>
        <w:rPr>
          <w:b/>
          <w:color w:val="auto"/>
          <w:sz w:val="24"/>
          <w:szCs w:val="24"/>
        </w:rPr>
      </w:pPr>
      <w:bookmarkStart w:id="51" w:name="_Toc16831"/>
      <w:r>
        <w:rPr>
          <w:b/>
          <w:color w:val="auto"/>
          <w:sz w:val="24"/>
          <w:szCs w:val="24"/>
        </w:rPr>
        <w:t>三 、投标文件的澄清和补正</w:t>
      </w:r>
      <w:bookmarkEnd w:id="51"/>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3.1评审阶段，评委可能会要求有关投标人就其投标书中含义不明确、同类问题表述不一致或者有明显文字和计算错误的内容进行澄清。</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3.2投标人的澄清、说明或者补正应当采用书面形式，但不得超出投标书的范围或者改变投标书的实质性内容，并由其法定代表人或被授权的代表签字。</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3.3评委会修正错误的原则：</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3.3.1如果数字表示的金额和用文字表示的金额不一致时，以文字表示的金额为准；当投标函与开标一览表不一致时，以开标一览表为准。</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3.3.2如果单价与数量的乘积和总价不一致，以单价为准，修正总价及开标一览表；当单价小数点有明显的错位时，评标委员会将以总价为准，并修正其单价。</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3.4评委会将按上述修正错误的方法调整投标文件中的投标报价，调整后的价格应对投标人具有约束力。无论投标人是接受或是拒绝调整后的价格，都应当由委托代理人签字予以书面确认。</w:t>
      </w:r>
    </w:p>
    <w:p>
      <w:pPr>
        <w:spacing w:line="360" w:lineRule="auto"/>
        <w:jc w:val="left"/>
        <w:outlineLvl w:val="1"/>
        <w:rPr>
          <w:b/>
          <w:color w:val="auto"/>
          <w:sz w:val="24"/>
          <w:szCs w:val="24"/>
        </w:rPr>
      </w:pPr>
      <w:bookmarkStart w:id="52" w:name="_Toc4840"/>
      <w:r>
        <w:rPr>
          <w:rFonts w:hint="eastAsia"/>
          <w:b/>
          <w:color w:val="auto"/>
          <w:sz w:val="24"/>
          <w:szCs w:val="24"/>
          <w:lang w:val="en-US" w:eastAsia="zh-CN"/>
        </w:rPr>
        <w:t>四、</w:t>
      </w:r>
      <w:r>
        <w:rPr>
          <w:b/>
          <w:color w:val="auto"/>
          <w:sz w:val="24"/>
          <w:szCs w:val="24"/>
        </w:rPr>
        <w:t>比较与评价</w:t>
      </w:r>
      <w:bookmarkEnd w:id="52"/>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详细评审即按招标文件中规定的评标方法和标准，评标委员会将对通过初审的投标文件，进行经济标和技术标和商务标的评分、综合比较与评价。</w:t>
      </w:r>
    </w:p>
    <w:p>
      <w:pPr>
        <w:spacing w:line="360" w:lineRule="auto"/>
        <w:ind w:firstLine="468" w:firstLineChars="195"/>
        <w:rPr>
          <w:color w:val="auto"/>
          <w:lang w:val="en-US"/>
        </w:rPr>
      </w:pPr>
      <w:r>
        <w:rPr>
          <w:rFonts w:hint="eastAsia"/>
          <w:b w:val="0"/>
          <w:bCs/>
          <w:color w:val="auto"/>
          <w:sz w:val="24"/>
          <w:szCs w:val="24"/>
          <w:lang w:val="en-US" w:eastAsia="zh-CN"/>
        </w:rPr>
        <w:t>综合评分满分100分，各投标人的最终得分由商务标、技术标和经济标汇总组成。</w:t>
      </w:r>
    </w:p>
    <w:p>
      <w:pPr>
        <w:spacing w:line="360" w:lineRule="auto"/>
        <w:ind w:right="-512" w:rightChars="-244"/>
        <w:jc w:val="center"/>
        <w:rPr>
          <w:b/>
          <w:bCs/>
          <w:color w:val="auto"/>
          <w:sz w:val="24"/>
          <w:szCs w:val="24"/>
        </w:rPr>
      </w:pPr>
    </w:p>
    <w:p>
      <w:pPr>
        <w:spacing w:line="360" w:lineRule="auto"/>
        <w:ind w:right="-512" w:rightChars="-244"/>
        <w:jc w:val="center"/>
        <w:rPr>
          <w:b/>
          <w:bCs/>
          <w:color w:val="auto"/>
          <w:sz w:val="24"/>
          <w:szCs w:val="24"/>
        </w:rPr>
      </w:pPr>
    </w:p>
    <w:p>
      <w:pPr>
        <w:spacing w:line="360" w:lineRule="auto"/>
        <w:ind w:right="-512" w:rightChars="-244"/>
        <w:jc w:val="center"/>
        <w:rPr>
          <w:b/>
          <w:bCs/>
          <w:color w:val="auto"/>
          <w:sz w:val="24"/>
          <w:szCs w:val="24"/>
        </w:rPr>
      </w:pPr>
    </w:p>
    <w:p>
      <w:pPr>
        <w:spacing w:line="360" w:lineRule="auto"/>
        <w:ind w:right="-512" w:rightChars="-244"/>
        <w:jc w:val="center"/>
        <w:rPr>
          <w:b/>
          <w:bCs/>
          <w:color w:val="auto"/>
          <w:sz w:val="24"/>
          <w:szCs w:val="24"/>
        </w:rPr>
      </w:pPr>
    </w:p>
    <w:p>
      <w:pPr>
        <w:spacing w:line="360" w:lineRule="auto"/>
        <w:ind w:right="-512" w:rightChars="-244"/>
        <w:jc w:val="center"/>
        <w:rPr>
          <w:b/>
          <w:bCs/>
          <w:color w:val="auto"/>
          <w:sz w:val="24"/>
          <w:szCs w:val="24"/>
        </w:rPr>
      </w:pPr>
      <w:r>
        <w:rPr>
          <w:b/>
          <w:bCs/>
          <w:color w:val="auto"/>
          <w:sz w:val="24"/>
          <w:szCs w:val="24"/>
        </w:rPr>
        <w:t>评分标准（</w:t>
      </w:r>
      <w:r>
        <w:rPr>
          <w:b/>
          <w:bCs/>
          <w:color w:val="auto"/>
          <w:sz w:val="24"/>
          <w:szCs w:val="24"/>
          <w:lang w:val="zh-CN"/>
        </w:rPr>
        <w:t>评分采用百分制 ，计算结果精确到小数点后两位）</w:t>
      </w:r>
    </w:p>
    <w:tbl>
      <w:tblPr>
        <w:tblStyle w:val="29"/>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239"/>
        <w:gridCol w:w="5730"/>
        <w:gridCol w:w="720"/>
        <w:gridCol w:w="510"/>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29" w:type="dxa"/>
            <w:gridSpan w:val="3"/>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一、</w:t>
            </w:r>
            <w:r>
              <w:rPr>
                <w:rFonts w:hint="eastAsia" w:ascii="Times New Roman" w:hAnsi="Times New Roman" w:eastAsia="宋体" w:cs="Times New Roman"/>
                <w:color w:val="auto"/>
                <w:szCs w:val="21"/>
                <w:lang w:val="en-US" w:eastAsia="zh-CN"/>
              </w:rPr>
              <w:t>经济标</w:t>
            </w:r>
            <w:r>
              <w:rPr>
                <w:rFonts w:hint="eastAsia" w:ascii="Times New Roman" w:hAnsi="Times New Roman" w:eastAsia="宋体" w:cs="Times New Roman"/>
                <w:color w:val="auto"/>
                <w:szCs w:val="21"/>
                <w:lang w:val="zh-CN" w:eastAsia="zh-CN"/>
              </w:rPr>
              <w:t>（30分）</w:t>
            </w:r>
          </w:p>
        </w:tc>
        <w:tc>
          <w:tcPr>
            <w:tcW w:w="72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小计</w:t>
            </w:r>
          </w:p>
        </w:tc>
        <w:tc>
          <w:tcPr>
            <w:tcW w:w="522" w:type="dxa"/>
            <w:gridSpan w:val="2"/>
            <w:vMerge w:val="restart"/>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序号</w:t>
            </w:r>
          </w:p>
        </w:tc>
        <w:tc>
          <w:tcPr>
            <w:tcW w:w="2239"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评审内容</w:t>
            </w:r>
          </w:p>
        </w:tc>
        <w:tc>
          <w:tcPr>
            <w:tcW w:w="573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评分标准及方法</w:t>
            </w:r>
          </w:p>
        </w:tc>
        <w:tc>
          <w:tcPr>
            <w:tcW w:w="72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分值</w:t>
            </w:r>
          </w:p>
        </w:tc>
        <w:tc>
          <w:tcPr>
            <w:tcW w:w="522" w:type="dxa"/>
            <w:gridSpan w:val="2"/>
            <w:vMerge w:val="continue"/>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1</w:t>
            </w:r>
          </w:p>
        </w:tc>
        <w:tc>
          <w:tcPr>
            <w:tcW w:w="2239"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en-US" w:eastAsia="zh-CN"/>
              </w:rPr>
              <w:t>经济标</w:t>
            </w:r>
          </w:p>
        </w:tc>
        <w:tc>
          <w:tcPr>
            <w:tcW w:w="5730" w:type="dxa"/>
            <w:shd w:val="clear" w:color="auto" w:fill="FFFFFF"/>
          </w:tcPr>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highlight w:val="none"/>
                <w:shd w:val="clear" w:color="auto" w:fill="auto"/>
                <w:lang w:val="zh-CN" w:eastAsia="zh-CN"/>
              </w:rPr>
            </w:pPr>
            <w:r>
              <w:rPr>
                <w:rFonts w:hint="eastAsia" w:ascii="Times New Roman" w:hAnsi="Times New Roman" w:eastAsia="宋体" w:cs="Times New Roman"/>
                <w:color w:val="auto"/>
                <w:szCs w:val="21"/>
                <w:highlight w:val="none"/>
                <w:shd w:val="clear" w:color="auto" w:fill="auto"/>
                <w:lang w:val="zh-CN" w:eastAsia="zh-CN"/>
              </w:rPr>
              <w:t>采用低价优先法计算，即满足招标文件要求且投标价格最低的投标报价为评标基准价，其价格得分为满分。其他投标人的价格得分统一按照下列公式计算：价格得分=（评标基准价/投标报价）×30%×100，如此类推，算出所有投标人的价格得分。</w:t>
            </w:r>
          </w:p>
        </w:tc>
        <w:tc>
          <w:tcPr>
            <w:tcW w:w="720" w:type="dxa"/>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highlight w:val="none"/>
                <w:shd w:val="clear" w:color="auto" w:fill="auto"/>
                <w:lang w:val="zh-CN" w:eastAsia="zh-CN"/>
              </w:rPr>
            </w:pPr>
            <w:r>
              <w:rPr>
                <w:rFonts w:hint="eastAsia" w:ascii="Times New Roman" w:hAnsi="Times New Roman" w:eastAsia="宋体" w:cs="Times New Roman"/>
                <w:color w:val="auto"/>
                <w:szCs w:val="21"/>
                <w:highlight w:val="none"/>
                <w:shd w:val="clear" w:color="auto" w:fill="auto"/>
                <w:lang w:val="zh-CN" w:eastAsia="zh-CN"/>
              </w:rPr>
              <w:t>0-30</w:t>
            </w:r>
          </w:p>
        </w:tc>
        <w:tc>
          <w:tcPr>
            <w:tcW w:w="522"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629" w:type="dxa"/>
            <w:gridSpan w:val="3"/>
            <w:vAlign w:val="center"/>
          </w:tcPr>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highlight w:val="none"/>
                <w:shd w:val="clear" w:color="auto" w:fill="auto"/>
                <w:lang w:val="zh-CN" w:eastAsia="zh-CN"/>
              </w:rPr>
            </w:pPr>
            <w:r>
              <w:rPr>
                <w:rFonts w:hint="eastAsia" w:ascii="Times New Roman" w:hAnsi="Times New Roman" w:eastAsia="宋体" w:cs="Times New Roman"/>
                <w:color w:val="auto"/>
                <w:szCs w:val="21"/>
                <w:highlight w:val="none"/>
                <w:shd w:val="clear" w:color="auto" w:fill="auto"/>
                <w:lang w:val="zh-CN" w:eastAsia="zh-CN"/>
              </w:rPr>
              <w:t>二、</w:t>
            </w:r>
            <w:r>
              <w:rPr>
                <w:rFonts w:hint="eastAsia" w:ascii="Times New Roman" w:hAnsi="Times New Roman" w:eastAsia="宋体" w:cs="Times New Roman"/>
                <w:color w:val="auto"/>
                <w:szCs w:val="21"/>
                <w:highlight w:val="none"/>
                <w:shd w:val="clear" w:color="auto" w:fill="auto"/>
                <w:lang w:val="en-US" w:eastAsia="zh-CN"/>
              </w:rPr>
              <w:t>商务标</w:t>
            </w:r>
            <w:r>
              <w:rPr>
                <w:rFonts w:hint="eastAsia" w:ascii="Times New Roman" w:hAnsi="Times New Roman" w:eastAsia="宋体" w:cs="Times New Roman"/>
                <w:color w:val="auto"/>
                <w:szCs w:val="21"/>
                <w:highlight w:val="none"/>
                <w:shd w:val="clear" w:color="auto" w:fill="auto"/>
                <w:lang w:val="zh-CN" w:eastAsia="zh-CN"/>
              </w:rPr>
              <w:t>（</w:t>
            </w:r>
            <w:r>
              <w:rPr>
                <w:rFonts w:hint="eastAsia" w:ascii="Times New Roman" w:hAnsi="Times New Roman" w:eastAsia="宋体" w:cs="Times New Roman"/>
                <w:color w:val="auto"/>
                <w:szCs w:val="21"/>
                <w:highlight w:val="none"/>
                <w:shd w:val="clear" w:color="auto" w:fill="auto"/>
                <w:lang w:val="en-US" w:eastAsia="zh-CN"/>
              </w:rPr>
              <w:t>22</w:t>
            </w:r>
            <w:r>
              <w:rPr>
                <w:rFonts w:hint="eastAsia" w:ascii="Times New Roman" w:hAnsi="Times New Roman" w:eastAsia="宋体" w:cs="Times New Roman"/>
                <w:color w:val="auto"/>
                <w:szCs w:val="21"/>
                <w:highlight w:val="none"/>
                <w:shd w:val="clear" w:color="auto" w:fill="auto"/>
                <w:lang w:val="zh-CN" w:eastAsia="zh-CN"/>
              </w:rPr>
              <w:t>分）</w:t>
            </w:r>
          </w:p>
        </w:tc>
        <w:tc>
          <w:tcPr>
            <w:tcW w:w="720" w:type="dxa"/>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c>
          <w:tcPr>
            <w:tcW w:w="522"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w:t>
            </w:r>
          </w:p>
        </w:tc>
        <w:tc>
          <w:tcPr>
            <w:tcW w:w="2239"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u w:color="000000"/>
                <w:lang w:val="en-US" w:eastAsia="zh-CN" w:bidi="ar-SA"/>
              </w:rPr>
            </w:pPr>
            <w:r>
              <w:rPr>
                <w:rFonts w:hint="eastAsia" w:ascii="Times New Roman" w:hAnsi="Times New Roman" w:eastAsia="宋体" w:cs="Times New Roman"/>
                <w:color w:val="auto"/>
                <w:szCs w:val="21"/>
                <w:lang w:val="zh-CN" w:eastAsia="zh-CN"/>
              </w:rPr>
              <w:t>售后服务体系</w:t>
            </w:r>
          </w:p>
        </w:tc>
        <w:tc>
          <w:tcPr>
            <w:tcW w:w="5730" w:type="dxa"/>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highlight w:val="none"/>
                <w:shd w:val="clear" w:color="auto" w:fill="auto"/>
                <w:lang w:val="zh-CN" w:eastAsia="zh-CN"/>
              </w:rPr>
            </w:pPr>
            <w:r>
              <w:rPr>
                <w:rFonts w:hint="eastAsia" w:ascii="Times New Roman" w:hAnsi="Times New Roman" w:eastAsia="宋体" w:cs="Times New Roman"/>
                <w:color w:val="auto"/>
                <w:szCs w:val="21"/>
                <w:highlight w:val="none"/>
                <w:shd w:val="clear" w:color="auto" w:fill="auto"/>
                <w:lang w:val="zh-CN" w:eastAsia="zh-CN"/>
              </w:rPr>
              <w:t>1</w:t>
            </w:r>
            <w:r>
              <w:rPr>
                <w:rFonts w:hint="eastAsia" w:ascii="Times New Roman" w:hAnsi="Times New Roman" w:cs="Times New Roman"/>
                <w:color w:val="auto"/>
                <w:szCs w:val="21"/>
                <w:highlight w:val="none"/>
                <w:shd w:val="clear" w:color="auto" w:fill="auto"/>
                <w:lang w:val="zh-CN" w:eastAsia="zh-CN"/>
              </w:rPr>
              <w:t>、</w:t>
            </w:r>
            <w:r>
              <w:rPr>
                <w:rFonts w:hint="eastAsia" w:ascii="Times New Roman" w:hAnsi="Times New Roman" w:eastAsia="宋体" w:cs="Times New Roman"/>
                <w:color w:val="auto"/>
                <w:szCs w:val="21"/>
                <w:highlight w:val="none"/>
                <w:shd w:val="clear" w:color="auto" w:fill="auto"/>
                <w:lang w:val="zh-CN" w:eastAsia="zh-CN"/>
              </w:rPr>
              <w:t>有完善的售后服务体系，在有专门的售后团队，且满足招标文件要求的得基础分4分；</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highlight w:val="none"/>
                <w:shd w:val="clear" w:color="auto" w:fill="auto"/>
                <w:lang w:val="zh-CN" w:eastAsia="zh-CN"/>
              </w:rPr>
            </w:pPr>
            <w:r>
              <w:rPr>
                <w:rFonts w:hint="eastAsia" w:ascii="Times New Roman" w:hAnsi="Times New Roman" w:eastAsia="宋体" w:cs="Times New Roman"/>
                <w:color w:val="auto"/>
                <w:szCs w:val="21"/>
                <w:highlight w:val="none"/>
                <w:shd w:val="clear" w:color="auto" w:fill="auto"/>
                <w:lang w:val="zh-CN" w:eastAsia="zh-CN"/>
              </w:rPr>
              <w:t>2</w:t>
            </w:r>
            <w:r>
              <w:rPr>
                <w:rFonts w:hint="eastAsia" w:ascii="Times New Roman" w:hAnsi="Times New Roman" w:cs="Times New Roman"/>
                <w:color w:val="auto"/>
                <w:szCs w:val="21"/>
                <w:highlight w:val="none"/>
                <w:shd w:val="clear" w:color="auto" w:fill="auto"/>
                <w:lang w:val="zh-CN" w:eastAsia="zh-CN"/>
              </w:rPr>
              <w:t>、</w:t>
            </w:r>
            <w:r>
              <w:rPr>
                <w:rFonts w:hint="eastAsia" w:ascii="Times New Roman" w:hAnsi="Times New Roman" w:eastAsia="宋体" w:cs="Times New Roman"/>
                <w:color w:val="auto"/>
                <w:szCs w:val="21"/>
                <w:highlight w:val="none"/>
                <w:shd w:val="clear" w:color="auto" w:fill="auto"/>
                <w:lang w:val="zh-CN" w:eastAsia="zh-CN"/>
              </w:rPr>
              <w:t>在伊犁州境内有定点售后服务场所，配备专门的联络员，提供租房合同、房产证明以及售后服务场所照片的加3分，没有响应的不得分。</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highlight w:val="none"/>
                <w:shd w:val="clear" w:color="auto" w:fill="auto"/>
                <w:lang w:val="en-US" w:eastAsia="zh-CN"/>
              </w:rPr>
            </w:pPr>
            <w:r>
              <w:rPr>
                <w:rFonts w:hint="eastAsia" w:ascii="Times New Roman" w:hAnsi="Times New Roman" w:eastAsia="宋体" w:cs="Times New Roman"/>
                <w:color w:val="auto"/>
                <w:szCs w:val="21"/>
                <w:highlight w:val="none"/>
                <w:shd w:val="clear" w:color="auto" w:fill="auto"/>
                <w:lang w:val="en-US" w:eastAsia="zh-CN"/>
              </w:rPr>
              <w:t>3</w:t>
            </w:r>
            <w:r>
              <w:rPr>
                <w:rFonts w:hint="eastAsia" w:ascii="Times New Roman" w:hAnsi="Times New Roman" w:cs="Times New Roman"/>
                <w:color w:val="auto"/>
                <w:szCs w:val="21"/>
                <w:highlight w:val="none"/>
                <w:shd w:val="clear" w:color="auto" w:fill="auto"/>
                <w:lang w:val="en-US" w:eastAsia="zh-CN"/>
              </w:rPr>
              <w:t>、</w:t>
            </w:r>
            <w:r>
              <w:rPr>
                <w:rFonts w:hint="eastAsia" w:ascii="Times New Roman" w:hAnsi="Times New Roman" w:eastAsia="宋体" w:cs="Times New Roman"/>
                <w:color w:val="auto"/>
                <w:szCs w:val="21"/>
                <w:highlight w:val="none"/>
                <w:shd w:val="clear" w:color="auto" w:fill="auto"/>
                <w:lang w:val="zh-CN" w:eastAsia="zh-CN"/>
              </w:rPr>
              <w:t>提供专项售后服务方案措施和承诺的加</w:t>
            </w:r>
            <w:r>
              <w:rPr>
                <w:rFonts w:hint="eastAsia" w:ascii="Times New Roman" w:hAnsi="Times New Roman" w:eastAsia="宋体" w:cs="Times New Roman"/>
                <w:color w:val="auto"/>
                <w:szCs w:val="21"/>
                <w:highlight w:val="none"/>
                <w:shd w:val="clear" w:color="auto" w:fill="auto"/>
                <w:lang w:val="en-US" w:eastAsia="zh-CN"/>
              </w:rPr>
              <w:t>3分</w:t>
            </w:r>
            <w:r>
              <w:rPr>
                <w:rFonts w:hint="eastAsia" w:ascii="Times New Roman" w:hAnsi="Times New Roman" w:eastAsia="宋体" w:cs="Times New Roman"/>
                <w:color w:val="auto"/>
                <w:szCs w:val="21"/>
                <w:highlight w:val="none"/>
                <w:shd w:val="clear" w:color="auto" w:fill="auto"/>
                <w:lang w:val="zh-CN" w:eastAsia="zh-CN"/>
              </w:rPr>
              <w:t>，没有具体承诺措施或没有响应的不得分。</w:t>
            </w:r>
          </w:p>
        </w:tc>
        <w:tc>
          <w:tcPr>
            <w:tcW w:w="720" w:type="dxa"/>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1"/>
                <w:u w:color="000000"/>
                <w:lang w:val="zh-CN" w:eastAsia="zh-CN" w:bidi="ar-SA"/>
              </w:rPr>
            </w:pPr>
            <w:r>
              <w:rPr>
                <w:rFonts w:hint="eastAsia" w:ascii="Times New Roman" w:hAnsi="Times New Roman" w:eastAsia="宋体" w:cs="Times New Roman"/>
                <w:color w:val="auto"/>
                <w:szCs w:val="21"/>
                <w:lang w:val="zh-CN" w:eastAsia="zh-CN"/>
              </w:rPr>
              <w:t>0-1</w:t>
            </w:r>
            <w:r>
              <w:rPr>
                <w:rFonts w:hint="default" w:ascii="Times New Roman" w:hAnsi="Times New Roman" w:eastAsia="宋体" w:cs="Times New Roman"/>
                <w:color w:val="auto"/>
                <w:szCs w:val="21"/>
                <w:lang w:val="en-US" w:eastAsia="zh-CN"/>
              </w:rPr>
              <w:t>0</w:t>
            </w:r>
          </w:p>
        </w:tc>
        <w:tc>
          <w:tcPr>
            <w:tcW w:w="522"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cs="Times New Roman"/>
                <w:color w:val="auto"/>
                <w:szCs w:val="21"/>
                <w:lang w:val="en-US" w:eastAsia="zh-CN"/>
              </w:rPr>
              <w:t>2</w:t>
            </w:r>
          </w:p>
        </w:tc>
        <w:tc>
          <w:tcPr>
            <w:tcW w:w="2239"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eastAsia="宋体" w:cs="Times New Roman"/>
                <w:color w:val="auto"/>
                <w:szCs w:val="21"/>
                <w:lang w:val="zh-CN" w:eastAsia="zh-CN"/>
              </w:rPr>
              <w:t>业绩</w:t>
            </w:r>
          </w:p>
        </w:tc>
        <w:tc>
          <w:tcPr>
            <w:tcW w:w="5730" w:type="dxa"/>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eastAsia="宋体" w:cs="Times New Roman"/>
                <w:color w:val="auto"/>
                <w:szCs w:val="21"/>
                <w:lang w:val="zh-CN" w:eastAsia="zh-CN"/>
              </w:rPr>
              <w:t>企业近三年（201</w:t>
            </w:r>
            <w:r>
              <w:rPr>
                <w:rFonts w:hint="eastAsia" w:ascii="Times New Roman" w:hAnsi="Times New Roman" w:eastAsia="宋体" w:cs="Times New Roman"/>
                <w:color w:val="auto"/>
                <w:szCs w:val="21"/>
                <w:lang w:val="en-US" w:eastAsia="zh-CN"/>
              </w:rPr>
              <w:t>9</w:t>
            </w:r>
            <w:r>
              <w:rPr>
                <w:rFonts w:hint="eastAsia" w:ascii="Times New Roman" w:hAnsi="Times New Roman" w:eastAsia="宋体" w:cs="Times New Roman"/>
                <w:color w:val="auto"/>
                <w:szCs w:val="21"/>
                <w:lang w:val="zh-CN" w:eastAsia="zh-CN"/>
              </w:rPr>
              <w:t>年</w:t>
            </w:r>
            <w:r>
              <w:rPr>
                <w:rFonts w:hint="eastAsia" w:ascii="Times New Roman" w:hAnsi="Times New Roman" w:eastAsia="宋体" w:cs="Times New Roman"/>
                <w:color w:val="auto"/>
                <w:szCs w:val="21"/>
                <w:lang w:val="en-US" w:eastAsia="zh-CN"/>
              </w:rPr>
              <w:t>1</w:t>
            </w:r>
            <w:r>
              <w:rPr>
                <w:rFonts w:hint="eastAsia" w:ascii="Times New Roman" w:hAnsi="Times New Roman" w:eastAsia="宋体" w:cs="Times New Roman"/>
                <w:color w:val="auto"/>
                <w:szCs w:val="21"/>
                <w:lang w:val="zh-CN" w:eastAsia="zh-CN"/>
              </w:rPr>
              <w:t>月—至今）完成类似业绩每完成一项得2分，最多得</w:t>
            </w:r>
            <w:r>
              <w:rPr>
                <w:rFonts w:hint="eastAsia" w:ascii="Times New Roman" w:hAnsi="Times New Roman" w:eastAsia="宋体" w:cs="Times New Roman"/>
                <w:color w:val="auto"/>
                <w:szCs w:val="21"/>
                <w:lang w:val="en-US" w:eastAsia="zh-CN"/>
              </w:rPr>
              <w:t>10</w:t>
            </w:r>
            <w:r>
              <w:rPr>
                <w:rFonts w:hint="eastAsia" w:ascii="Times New Roman" w:hAnsi="Times New Roman" w:eastAsia="宋体" w:cs="Times New Roman"/>
                <w:color w:val="auto"/>
                <w:szCs w:val="21"/>
                <w:lang w:val="zh-CN" w:eastAsia="zh-CN"/>
              </w:rPr>
              <w:t>分，现场须同时提供中标通知书或供货合同原件以备查验。</w:t>
            </w:r>
          </w:p>
        </w:tc>
        <w:tc>
          <w:tcPr>
            <w:tcW w:w="720" w:type="dxa"/>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eastAsia="宋体" w:cs="Times New Roman"/>
                <w:color w:val="auto"/>
                <w:szCs w:val="21"/>
                <w:lang w:val="zh-CN" w:eastAsia="zh-CN"/>
              </w:rPr>
              <w:t>0-</w:t>
            </w:r>
            <w:r>
              <w:rPr>
                <w:rFonts w:hint="eastAsia" w:ascii="Times New Roman" w:hAnsi="Times New Roman" w:eastAsia="宋体" w:cs="Times New Roman"/>
                <w:color w:val="auto"/>
                <w:szCs w:val="21"/>
                <w:lang w:val="en-US" w:eastAsia="zh-CN"/>
              </w:rPr>
              <w:t>10</w:t>
            </w:r>
          </w:p>
        </w:tc>
        <w:tc>
          <w:tcPr>
            <w:tcW w:w="522"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cs="Times New Roman"/>
                <w:color w:val="auto"/>
                <w:szCs w:val="21"/>
                <w:lang w:val="en-US" w:eastAsia="zh-CN"/>
              </w:rPr>
              <w:t>3</w:t>
            </w:r>
          </w:p>
        </w:tc>
        <w:tc>
          <w:tcPr>
            <w:tcW w:w="2239"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其他商务因素</w:t>
            </w:r>
          </w:p>
        </w:tc>
        <w:tc>
          <w:tcPr>
            <w:tcW w:w="5730" w:type="dxa"/>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招标人认可的其他优惠措施每多一项加1分，最多加2分。</w:t>
            </w:r>
          </w:p>
        </w:tc>
        <w:tc>
          <w:tcPr>
            <w:tcW w:w="720" w:type="dxa"/>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cs="Times New Roman"/>
                <w:color w:val="auto"/>
                <w:szCs w:val="21"/>
                <w:lang w:val="en-US" w:eastAsia="zh-CN"/>
              </w:rPr>
              <w:t>0-2</w:t>
            </w:r>
          </w:p>
        </w:tc>
        <w:tc>
          <w:tcPr>
            <w:tcW w:w="522"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871" w:type="dxa"/>
            <w:gridSpan w:val="6"/>
            <w:vAlign w:val="center"/>
          </w:tcPr>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注：</w:t>
            </w:r>
            <w:r>
              <w:rPr>
                <w:rFonts w:hint="eastAsia" w:ascii="Times New Roman" w:hAnsi="Times New Roman" w:eastAsia="宋体" w:cs="Times New Roman"/>
                <w:color w:val="auto"/>
                <w:szCs w:val="21"/>
                <w:lang w:val="en-US" w:eastAsia="zh-CN"/>
              </w:rPr>
              <w:t>商务标</w:t>
            </w:r>
            <w:r>
              <w:rPr>
                <w:rFonts w:hint="eastAsia" w:ascii="Times New Roman" w:hAnsi="Times New Roman" w:eastAsia="宋体" w:cs="Times New Roman"/>
                <w:color w:val="auto"/>
                <w:szCs w:val="21"/>
                <w:lang w:val="zh-CN" w:eastAsia="zh-CN"/>
              </w:rPr>
              <w:t>得分由评标委员会负责对每位合格的投标人的商务情况按以上标准进行独立打分，评分汇总时按评委有效打分的算术平均值作为此投标人的</w:t>
            </w:r>
            <w:r>
              <w:rPr>
                <w:rFonts w:hint="eastAsia" w:ascii="Times New Roman" w:hAnsi="Times New Roman" w:eastAsia="宋体" w:cs="Times New Roman"/>
                <w:color w:val="auto"/>
                <w:szCs w:val="21"/>
                <w:lang w:val="en-US" w:eastAsia="zh-CN"/>
              </w:rPr>
              <w:t>商务标</w:t>
            </w:r>
            <w:r>
              <w:rPr>
                <w:rFonts w:hint="eastAsia" w:ascii="Times New Roman" w:hAnsi="Times New Roman" w:eastAsia="宋体" w:cs="Times New Roman"/>
                <w:color w:val="auto"/>
                <w:szCs w:val="21"/>
                <w:lang w:val="zh-CN"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86" w:hRule="atLeast"/>
        </w:trPr>
        <w:tc>
          <w:tcPr>
            <w:tcW w:w="9859" w:type="dxa"/>
            <w:gridSpan w:val="5"/>
            <w:vAlign w:val="center"/>
          </w:tcPr>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二、</w:t>
            </w:r>
            <w:r>
              <w:rPr>
                <w:rFonts w:hint="eastAsia" w:ascii="Times New Roman" w:hAnsi="Times New Roman" w:eastAsia="宋体" w:cs="Times New Roman"/>
                <w:color w:val="auto"/>
                <w:szCs w:val="21"/>
                <w:lang w:val="en-US" w:eastAsia="zh-CN"/>
              </w:rPr>
              <w:t>技术标</w:t>
            </w:r>
            <w:r>
              <w:rPr>
                <w:rFonts w:hint="eastAsia" w:ascii="Times New Roman" w:hAnsi="Times New Roman" w:eastAsia="宋体" w:cs="Times New Roman"/>
                <w:color w:val="auto"/>
                <w:szCs w:val="21"/>
                <w:lang w:val="zh-CN" w:eastAsia="zh-CN"/>
              </w:rPr>
              <w:t>（</w:t>
            </w:r>
            <w:r>
              <w:rPr>
                <w:rFonts w:hint="eastAsia" w:ascii="Times New Roman" w:hAnsi="Times New Roman" w:cs="Times New Roman"/>
                <w:color w:val="auto"/>
                <w:szCs w:val="21"/>
                <w:lang w:val="en-US" w:eastAsia="zh-CN"/>
              </w:rPr>
              <w:t>48</w:t>
            </w:r>
            <w:r>
              <w:rPr>
                <w:rFonts w:hint="eastAsia" w:ascii="Times New Roman" w:hAnsi="Times New Roman" w:eastAsia="宋体" w:cs="Times New Roman"/>
                <w:color w:val="auto"/>
                <w:szCs w:val="21"/>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55" w:hRule="atLeast"/>
        </w:trPr>
        <w:tc>
          <w:tcPr>
            <w:tcW w:w="660" w:type="dxa"/>
            <w:tcBorders>
              <w:bottom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1</w:t>
            </w:r>
          </w:p>
        </w:tc>
        <w:tc>
          <w:tcPr>
            <w:tcW w:w="2239" w:type="dxa"/>
            <w:tcBorders>
              <w:bottom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技术指标响应情况</w:t>
            </w:r>
          </w:p>
        </w:tc>
        <w:tc>
          <w:tcPr>
            <w:tcW w:w="5730" w:type="dxa"/>
            <w:tcBorders>
              <w:bottom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综合评定供应商的技术指标响应招标文件程度，优秀得</w:t>
            </w:r>
            <w:r>
              <w:rPr>
                <w:rFonts w:hint="eastAsia" w:ascii="Times New Roman" w:hAnsi="Times New Roman" w:cs="Times New Roman"/>
                <w:color w:val="auto"/>
                <w:szCs w:val="21"/>
                <w:lang w:val="en-US" w:eastAsia="zh-CN"/>
              </w:rPr>
              <w:t>2</w:t>
            </w:r>
            <w:r>
              <w:rPr>
                <w:rFonts w:hint="eastAsia" w:ascii="Times New Roman" w:hAnsi="Times New Roman" w:eastAsia="宋体" w:cs="Times New Roman"/>
                <w:color w:val="auto"/>
                <w:szCs w:val="21"/>
                <w:lang w:val="en-US" w:eastAsia="zh-CN"/>
              </w:rPr>
              <w:t>-4</w:t>
            </w:r>
            <w:r>
              <w:rPr>
                <w:rFonts w:hint="eastAsia" w:ascii="Times New Roman" w:hAnsi="Times New Roman" w:eastAsia="宋体" w:cs="Times New Roman"/>
                <w:color w:val="auto"/>
                <w:szCs w:val="21"/>
                <w:lang w:val="zh-CN" w:eastAsia="zh-CN"/>
              </w:rPr>
              <w:t>分；一般得</w:t>
            </w:r>
            <w:r>
              <w:rPr>
                <w:rFonts w:hint="eastAsia" w:ascii="Times New Roman" w:hAnsi="Times New Roman" w:eastAsia="宋体" w:cs="Times New Roman"/>
                <w:color w:val="auto"/>
                <w:szCs w:val="21"/>
                <w:lang w:val="en-US" w:eastAsia="zh-CN"/>
              </w:rPr>
              <w:t>1</w:t>
            </w:r>
            <w:r>
              <w:rPr>
                <w:rFonts w:hint="eastAsia" w:ascii="Times New Roman" w:hAnsi="Times New Roman" w:eastAsia="宋体" w:cs="Times New Roman"/>
                <w:color w:val="auto"/>
                <w:szCs w:val="21"/>
                <w:lang w:val="zh-CN" w:eastAsia="zh-CN"/>
              </w:rPr>
              <w:t>-</w:t>
            </w:r>
            <w:r>
              <w:rPr>
                <w:rFonts w:hint="eastAsia" w:ascii="Times New Roman" w:hAnsi="Times New Roman" w:eastAsia="宋体" w:cs="Times New Roman"/>
                <w:color w:val="auto"/>
                <w:szCs w:val="21"/>
                <w:lang w:val="en-US" w:eastAsia="zh-CN"/>
              </w:rPr>
              <w:t>2</w:t>
            </w:r>
            <w:r>
              <w:rPr>
                <w:rFonts w:hint="eastAsia" w:ascii="Times New Roman" w:hAnsi="Times New Roman" w:eastAsia="宋体" w:cs="Times New Roman"/>
                <w:color w:val="auto"/>
                <w:szCs w:val="21"/>
                <w:lang w:val="zh-CN" w:eastAsia="zh-CN"/>
              </w:rPr>
              <w:t>分。</w:t>
            </w:r>
          </w:p>
        </w:tc>
        <w:tc>
          <w:tcPr>
            <w:tcW w:w="720" w:type="dxa"/>
            <w:tcBorders>
              <w:bottom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0-</w:t>
            </w:r>
            <w:r>
              <w:rPr>
                <w:rFonts w:hint="eastAsia" w:ascii="Times New Roman" w:hAnsi="Times New Roman" w:eastAsia="宋体" w:cs="Times New Roman"/>
                <w:color w:val="auto"/>
                <w:szCs w:val="21"/>
                <w:lang w:val="en-US" w:eastAsia="zh-CN"/>
              </w:rPr>
              <w:t>4</w:t>
            </w:r>
          </w:p>
        </w:tc>
        <w:tc>
          <w:tcPr>
            <w:tcW w:w="510" w:type="dxa"/>
            <w:tcBorders>
              <w:bottom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0"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w:t>
            </w:r>
          </w:p>
        </w:tc>
        <w:tc>
          <w:tcPr>
            <w:tcW w:w="2239"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项目管理</w:t>
            </w:r>
          </w:p>
        </w:tc>
        <w:tc>
          <w:tcPr>
            <w:tcW w:w="573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设立项目管理机构，并且有科学、具体的项目管理措施，人员配备齐全，能够结合项目特点制定项目管理方案，优秀得</w:t>
            </w:r>
            <w:r>
              <w:rPr>
                <w:rFonts w:hint="eastAsia" w:ascii="Times New Roman" w:hAnsi="Times New Roman" w:cs="Times New Roman"/>
                <w:color w:val="auto"/>
                <w:szCs w:val="21"/>
                <w:lang w:val="en-US" w:eastAsia="zh-CN"/>
              </w:rPr>
              <w:t>2</w:t>
            </w:r>
            <w:r>
              <w:rPr>
                <w:rFonts w:hint="eastAsia" w:ascii="Times New Roman" w:hAnsi="Times New Roman" w:eastAsia="宋体" w:cs="Times New Roman"/>
                <w:color w:val="auto"/>
                <w:szCs w:val="21"/>
                <w:lang w:val="en-US" w:eastAsia="zh-CN"/>
              </w:rPr>
              <w:t>-4</w:t>
            </w:r>
            <w:r>
              <w:rPr>
                <w:rFonts w:hint="eastAsia" w:ascii="Times New Roman" w:hAnsi="Times New Roman" w:eastAsia="宋体" w:cs="Times New Roman"/>
                <w:color w:val="auto"/>
                <w:szCs w:val="21"/>
                <w:lang w:val="zh-CN" w:eastAsia="zh-CN"/>
              </w:rPr>
              <w:t>分；一般得</w:t>
            </w:r>
            <w:r>
              <w:rPr>
                <w:rFonts w:hint="eastAsia" w:ascii="Times New Roman" w:hAnsi="Times New Roman" w:eastAsia="宋体" w:cs="Times New Roman"/>
                <w:color w:val="auto"/>
                <w:szCs w:val="21"/>
                <w:lang w:val="en-US" w:eastAsia="zh-CN"/>
              </w:rPr>
              <w:t>1</w:t>
            </w:r>
            <w:r>
              <w:rPr>
                <w:rFonts w:hint="eastAsia" w:ascii="Times New Roman" w:hAnsi="Times New Roman" w:eastAsia="宋体" w:cs="Times New Roman"/>
                <w:color w:val="auto"/>
                <w:szCs w:val="21"/>
                <w:lang w:val="zh-CN" w:eastAsia="zh-CN"/>
              </w:rPr>
              <w:t>-</w:t>
            </w:r>
            <w:r>
              <w:rPr>
                <w:rFonts w:hint="eastAsia" w:ascii="Times New Roman" w:hAnsi="Times New Roman" w:eastAsia="宋体" w:cs="Times New Roman"/>
                <w:color w:val="auto"/>
                <w:szCs w:val="21"/>
                <w:lang w:val="en-US" w:eastAsia="zh-CN"/>
              </w:rPr>
              <w:t>2</w:t>
            </w:r>
            <w:r>
              <w:rPr>
                <w:rFonts w:hint="eastAsia" w:ascii="Times New Roman" w:hAnsi="Times New Roman" w:eastAsia="宋体" w:cs="Times New Roman"/>
                <w:color w:val="auto"/>
                <w:szCs w:val="21"/>
                <w:lang w:val="zh-CN" w:eastAsia="zh-CN"/>
              </w:rPr>
              <w:t>分。</w:t>
            </w:r>
          </w:p>
        </w:tc>
        <w:tc>
          <w:tcPr>
            <w:tcW w:w="72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0-</w:t>
            </w:r>
            <w:r>
              <w:rPr>
                <w:rFonts w:hint="eastAsia" w:ascii="Times New Roman" w:hAnsi="Times New Roman" w:eastAsia="宋体" w:cs="Times New Roman"/>
                <w:color w:val="auto"/>
                <w:szCs w:val="21"/>
                <w:lang w:val="en-US" w:eastAsia="zh-CN"/>
              </w:rPr>
              <w:t>4</w:t>
            </w:r>
          </w:p>
        </w:tc>
        <w:tc>
          <w:tcPr>
            <w:tcW w:w="51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65"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w:t>
            </w:r>
          </w:p>
        </w:tc>
        <w:tc>
          <w:tcPr>
            <w:tcW w:w="2239"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管理水平、技术力量、机械货物配备</w:t>
            </w:r>
          </w:p>
        </w:tc>
        <w:tc>
          <w:tcPr>
            <w:tcW w:w="573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技术力量、装备齐全、货物配置合理，优秀得</w:t>
            </w:r>
            <w:r>
              <w:rPr>
                <w:rFonts w:hint="eastAsia" w:ascii="Times New Roman" w:hAnsi="Times New Roman" w:eastAsia="宋体" w:cs="Times New Roman"/>
                <w:color w:val="auto"/>
                <w:szCs w:val="21"/>
                <w:lang w:val="en-US" w:eastAsia="zh-CN"/>
              </w:rPr>
              <w:t>4-6</w:t>
            </w:r>
            <w:r>
              <w:rPr>
                <w:rFonts w:hint="eastAsia" w:ascii="Times New Roman" w:hAnsi="Times New Roman" w:eastAsia="宋体" w:cs="Times New Roman"/>
                <w:color w:val="auto"/>
                <w:szCs w:val="21"/>
                <w:lang w:val="zh-CN" w:eastAsia="zh-CN"/>
              </w:rPr>
              <w:t>分；良好得</w:t>
            </w:r>
            <w:r>
              <w:rPr>
                <w:rFonts w:hint="eastAsia" w:ascii="Times New Roman" w:hAnsi="Times New Roman" w:eastAsia="宋体" w:cs="Times New Roman"/>
                <w:color w:val="auto"/>
                <w:szCs w:val="21"/>
                <w:lang w:val="en-US" w:eastAsia="zh-CN"/>
              </w:rPr>
              <w:t>2-4</w:t>
            </w:r>
            <w:r>
              <w:rPr>
                <w:rFonts w:hint="eastAsia" w:ascii="Times New Roman" w:hAnsi="Times New Roman" w:eastAsia="宋体" w:cs="Times New Roman"/>
                <w:color w:val="auto"/>
                <w:szCs w:val="21"/>
                <w:lang w:val="zh-CN" w:eastAsia="zh-CN"/>
              </w:rPr>
              <w:t>分；一般得</w:t>
            </w:r>
            <w:r>
              <w:rPr>
                <w:rFonts w:hint="eastAsia" w:ascii="Times New Roman" w:hAnsi="Times New Roman" w:eastAsia="宋体" w:cs="Times New Roman"/>
                <w:color w:val="auto"/>
                <w:szCs w:val="21"/>
                <w:lang w:val="en-US" w:eastAsia="zh-CN"/>
              </w:rPr>
              <w:t>1-2</w:t>
            </w:r>
            <w:r>
              <w:rPr>
                <w:rFonts w:hint="eastAsia" w:ascii="Times New Roman" w:hAnsi="Times New Roman" w:eastAsia="宋体" w:cs="Times New Roman"/>
                <w:color w:val="auto"/>
                <w:szCs w:val="21"/>
                <w:lang w:val="zh-CN" w:eastAsia="zh-CN"/>
              </w:rPr>
              <w:t>分。</w:t>
            </w:r>
          </w:p>
        </w:tc>
        <w:tc>
          <w:tcPr>
            <w:tcW w:w="72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0-</w:t>
            </w:r>
            <w:r>
              <w:rPr>
                <w:rFonts w:hint="eastAsia" w:ascii="Times New Roman" w:hAnsi="Times New Roman" w:eastAsia="宋体" w:cs="Times New Roman"/>
                <w:color w:val="auto"/>
                <w:szCs w:val="21"/>
                <w:lang w:val="en-US" w:eastAsia="zh-CN"/>
              </w:rPr>
              <w:t>6</w:t>
            </w:r>
          </w:p>
        </w:tc>
        <w:tc>
          <w:tcPr>
            <w:tcW w:w="51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0"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w:t>
            </w:r>
          </w:p>
        </w:tc>
        <w:tc>
          <w:tcPr>
            <w:tcW w:w="2239"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进度计划、保证措施和违约责任承诺</w:t>
            </w:r>
          </w:p>
        </w:tc>
        <w:tc>
          <w:tcPr>
            <w:tcW w:w="573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进度计划合理可行，保证措施得力，违约责任承诺明确，优秀得</w:t>
            </w:r>
            <w:r>
              <w:rPr>
                <w:rFonts w:hint="eastAsia" w:ascii="Times New Roman" w:hAnsi="Times New Roman" w:eastAsia="宋体" w:cs="Times New Roman"/>
                <w:color w:val="auto"/>
                <w:szCs w:val="21"/>
                <w:lang w:val="en-US" w:eastAsia="zh-CN"/>
              </w:rPr>
              <w:t>4-6</w:t>
            </w:r>
            <w:r>
              <w:rPr>
                <w:rFonts w:hint="eastAsia" w:ascii="Times New Roman" w:hAnsi="Times New Roman" w:eastAsia="宋体" w:cs="Times New Roman"/>
                <w:color w:val="auto"/>
                <w:szCs w:val="21"/>
                <w:lang w:val="zh-CN" w:eastAsia="zh-CN"/>
              </w:rPr>
              <w:t>分；良好得</w:t>
            </w:r>
            <w:r>
              <w:rPr>
                <w:rFonts w:hint="eastAsia" w:ascii="Times New Roman" w:hAnsi="Times New Roman" w:eastAsia="宋体" w:cs="Times New Roman"/>
                <w:color w:val="auto"/>
                <w:szCs w:val="21"/>
                <w:lang w:val="en-US" w:eastAsia="zh-CN"/>
              </w:rPr>
              <w:t>2-4</w:t>
            </w:r>
            <w:r>
              <w:rPr>
                <w:rFonts w:hint="eastAsia" w:ascii="Times New Roman" w:hAnsi="Times New Roman" w:eastAsia="宋体" w:cs="Times New Roman"/>
                <w:color w:val="auto"/>
                <w:szCs w:val="21"/>
                <w:lang w:val="zh-CN" w:eastAsia="zh-CN"/>
              </w:rPr>
              <w:t>分；一般得</w:t>
            </w:r>
            <w:r>
              <w:rPr>
                <w:rFonts w:hint="eastAsia" w:ascii="Times New Roman" w:hAnsi="Times New Roman" w:eastAsia="宋体" w:cs="Times New Roman"/>
                <w:color w:val="auto"/>
                <w:szCs w:val="21"/>
                <w:lang w:val="en-US" w:eastAsia="zh-CN"/>
              </w:rPr>
              <w:t>1-2</w:t>
            </w:r>
            <w:r>
              <w:rPr>
                <w:rFonts w:hint="eastAsia" w:ascii="Times New Roman" w:hAnsi="Times New Roman" w:eastAsia="宋体" w:cs="Times New Roman"/>
                <w:color w:val="auto"/>
                <w:szCs w:val="21"/>
                <w:lang w:val="zh-CN" w:eastAsia="zh-CN"/>
              </w:rPr>
              <w:t>分，</w:t>
            </w:r>
            <w:r>
              <w:rPr>
                <w:rFonts w:hint="eastAsia" w:ascii="Times New Roman" w:hAnsi="Times New Roman" w:eastAsia="宋体" w:cs="Times New Roman"/>
                <w:color w:val="auto"/>
                <w:szCs w:val="21"/>
                <w:lang w:val="en-US" w:eastAsia="zh-CN"/>
              </w:rPr>
              <w:t>未提供不得分</w:t>
            </w:r>
            <w:r>
              <w:rPr>
                <w:rFonts w:hint="eastAsia" w:ascii="Times New Roman" w:hAnsi="Times New Roman" w:eastAsia="宋体" w:cs="Times New Roman"/>
                <w:color w:val="auto"/>
                <w:szCs w:val="21"/>
                <w:lang w:val="zh-CN" w:eastAsia="zh-CN"/>
              </w:rPr>
              <w:t>。</w:t>
            </w:r>
          </w:p>
        </w:tc>
        <w:tc>
          <w:tcPr>
            <w:tcW w:w="72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zh-CN" w:eastAsia="zh-CN"/>
              </w:rPr>
              <w:t>0-</w:t>
            </w:r>
            <w:r>
              <w:rPr>
                <w:rFonts w:hint="eastAsia" w:ascii="Times New Roman" w:hAnsi="Times New Roman" w:eastAsia="宋体" w:cs="Times New Roman"/>
                <w:color w:val="auto"/>
                <w:szCs w:val="21"/>
                <w:lang w:val="en-US" w:eastAsia="zh-CN"/>
              </w:rPr>
              <w:t>6</w:t>
            </w:r>
          </w:p>
        </w:tc>
        <w:tc>
          <w:tcPr>
            <w:tcW w:w="51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0"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2239" w:type="dxa"/>
            <w:vAlign w:val="center"/>
          </w:tcPr>
          <w:p>
            <w:pPr>
              <w:spacing w:line="360" w:lineRule="auto"/>
              <w:jc w:val="center"/>
              <w:rPr>
                <w:rFonts w:hint="eastAsia" w:ascii="Times New Roman" w:hAnsi="Times New Roman" w:eastAsia="宋体" w:cs="Times New Roman"/>
                <w:color w:val="auto"/>
                <w:kern w:val="2"/>
                <w:sz w:val="21"/>
                <w:szCs w:val="21"/>
                <w:u w:color="000000"/>
                <w:lang w:val="zh-CN" w:eastAsia="zh-CN" w:bidi="ar-SA"/>
              </w:rPr>
            </w:pPr>
            <w:r>
              <w:rPr>
                <w:rFonts w:hint="eastAsia" w:ascii="Times New Roman" w:hAnsi="Times New Roman" w:eastAsia="宋体" w:cs="Times New Roman"/>
                <w:color w:val="auto"/>
                <w:kern w:val="2"/>
                <w:sz w:val="21"/>
                <w:szCs w:val="21"/>
                <w:u w:color="000000"/>
                <w:lang w:val="en-US" w:eastAsia="zh-CN" w:bidi="ar-SA"/>
              </w:rPr>
              <w:t>质量保证措施</w:t>
            </w:r>
          </w:p>
        </w:tc>
        <w:tc>
          <w:tcPr>
            <w:tcW w:w="573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en-US" w:eastAsia="zh-CN"/>
              </w:rPr>
              <w:t>根据投标人相应的质量管理方案的质量保证措施评审，管理方案完备、措施完善、质量保证能力强，</w:t>
            </w:r>
            <w:r>
              <w:rPr>
                <w:rFonts w:hint="eastAsia" w:ascii="Times New Roman" w:hAnsi="Times New Roman" w:eastAsia="宋体" w:cs="Times New Roman"/>
                <w:color w:val="auto"/>
                <w:szCs w:val="21"/>
                <w:lang w:val="zh-CN" w:eastAsia="zh-CN"/>
              </w:rPr>
              <w:t>优秀得</w:t>
            </w:r>
            <w:r>
              <w:rPr>
                <w:rFonts w:hint="eastAsia" w:ascii="Times New Roman" w:hAnsi="Times New Roman" w:cs="Times New Roman"/>
                <w:color w:val="auto"/>
                <w:szCs w:val="21"/>
                <w:lang w:val="en-US" w:eastAsia="zh-CN"/>
              </w:rPr>
              <w:t>2</w:t>
            </w:r>
            <w:r>
              <w:rPr>
                <w:rFonts w:hint="eastAsia" w:ascii="Times New Roman" w:hAnsi="Times New Roman" w:eastAsia="宋体" w:cs="Times New Roman"/>
                <w:color w:val="auto"/>
                <w:szCs w:val="21"/>
                <w:lang w:val="en-US" w:eastAsia="zh-CN"/>
              </w:rPr>
              <w:t>-4</w:t>
            </w:r>
            <w:r>
              <w:rPr>
                <w:rFonts w:hint="eastAsia" w:ascii="Times New Roman" w:hAnsi="Times New Roman" w:eastAsia="宋体" w:cs="Times New Roman"/>
                <w:color w:val="auto"/>
                <w:szCs w:val="21"/>
                <w:lang w:val="zh-CN" w:eastAsia="zh-CN"/>
              </w:rPr>
              <w:t>分；一般得</w:t>
            </w:r>
            <w:r>
              <w:rPr>
                <w:rFonts w:hint="eastAsia" w:ascii="Times New Roman" w:hAnsi="Times New Roman" w:eastAsia="宋体" w:cs="Times New Roman"/>
                <w:color w:val="auto"/>
                <w:szCs w:val="21"/>
                <w:lang w:val="en-US" w:eastAsia="zh-CN"/>
              </w:rPr>
              <w:t>1</w:t>
            </w:r>
            <w:r>
              <w:rPr>
                <w:rFonts w:hint="eastAsia" w:ascii="Times New Roman" w:hAnsi="Times New Roman" w:eastAsia="宋体" w:cs="Times New Roman"/>
                <w:color w:val="auto"/>
                <w:szCs w:val="21"/>
                <w:lang w:val="zh-CN" w:eastAsia="zh-CN"/>
              </w:rPr>
              <w:t>-</w:t>
            </w:r>
            <w:r>
              <w:rPr>
                <w:rFonts w:hint="eastAsia" w:ascii="Times New Roman" w:hAnsi="Times New Roman" w:eastAsia="宋体" w:cs="Times New Roman"/>
                <w:color w:val="auto"/>
                <w:szCs w:val="21"/>
                <w:lang w:val="en-US" w:eastAsia="zh-CN"/>
              </w:rPr>
              <w:t>2</w:t>
            </w:r>
            <w:r>
              <w:rPr>
                <w:rFonts w:hint="eastAsia" w:ascii="Times New Roman" w:hAnsi="Times New Roman" w:eastAsia="宋体" w:cs="Times New Roman"/>
                <w:color w:val="auto"/>
                <w:szCs w:val="21"/>
                <w:lang w:val="zh-CN" w:eastAsia="zh-CN"/>
              </w:rPr>
              <w:t>分，</w:t>
            </w:r>
            <w:r>
              <w:rPr>
                <w:rFonts w:hint="eastAsia" w:ascii="Times New Roman" w:hAnsi="Times New Roman" w:eastAsia="宋体" w:cs="Times New Roman"/>
                <w:color w:val="auto"/>
                <w:szCs w:val="21"/>
                <w:lang w:val="en-US" w:eastAsia="zh-CN"/>
              </w:rPr>
              <w:t>未提供不得分</w:t>
            </w:r>
            <w:r>
              <w:rPr>
                <w:rFonts w:hint="eastAsia" w:ascii="Times New Roman" w:hAnsi="Times New Roman" w:eastAsia="宋体" w:cs="Times New Roman"/>
                <w:color w:val="auto"/>
                <w:szCs w:val="21"/>
                <w:lang w:val="zh-CN" w:eastAsia="zh-CN"/>
              </w:rPr>
              <w:t>。</w:t>
            </w:r>
          </w:p>
        </w:tc>
        <w:tc>
          <w:tcPr>
            <w:tcW w:w="72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0-</w:t>
            </w:r>
            <w:r>
              <w:rPr>
                <w:rFonts w:hint="eastAsia" w:ascii="Times New Roman" w:hAnsi="Times New Roman" w:eastAsia="宋体" w:cs="Times New Roman"/>
                <w:color w:val="auto"/>
                <w:szCs w:val="21"/>
                <w:lang w:val="en-US" w:eastAsia="zh-CN"/>
              </w:rPr>
              <w:t>4</w:t>
            </w:r>
          </w:p>
        </w:tc>
        <w:tc>
          <w:tcPr>
            <w:tcW w:w="51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0"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w:t>
            </w:r>
          </w:p>
        </w:tc>
        <w:tc>
          <w:tcPr>
            <w:tcW w:w="2239" w:type="dxa"/>
            <w:vAlign w:val="center"/>
          </w:tcPr>
          <w:p>
            <w:pPr>
              <w:spacing w:line="360" w:lineRule="auto"/>
              <w:jc w:val="center"/>
              <w:rPr>
                <w:rFonts w:hint="eastAsia" w:ascii="Times New Roman" w:hAnsi="Times New Roman" w:eastAsia="宋体" w:cs="Times New Roman"/>
                <w:color w:val="auto"/>
                <w:kern w:val="2"/>
                <w:sz w:val="21"/>
                <w:szCs w:val="21"/>
                <w:u w:color="000000"/>
                <w:lang w:val="zh-CN" w:eastAsia="zh-CN" w:bidi="ar-SA"/>
              </w:rPr>
            </w:pPr>
            <w:r>
              <w:rPr>
                <w:rFonts w:hint="eastAsia" w:ascii="Times New Roman" w:hAnsi="Times New Roman" w:eastAsia="宋体" w:cs="Times New Roman"/>
                <w:color w:val="auto"/>
                <w:kern w:val="2"/>
                <w:sz w:val="21"/>
                <w:szCs w:val="21"/>
                <w:u w:color="000000"/>
                <w:lang w:val="zh-CN" w:eastAsia="zh-CN" w:bidi="ar-SA"/>
              </w:rPr>
              <w:t>安全文明施工措施</w:t>
            </w:r>
          </w:p>
        </w:tc>
        <w:tc>
          <w:tcPr>
            <w:tcW w:w="573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安全文明施工措施合理可行；优秀得</w:t>
            </w:r>
            <w:r>
              <w:rPr>
                <w:rFonts w:hint="eastAsia" w:ascii="Times New Roman" w:hAnsi="Times New Roman" w:cs="Times New Roman"/>
                <w:color w:val="auto"/>
                <w:szCs w:val="21"/>
                <w:lang w:val="en-US" w:eastAsia="zh-CN"/>
              </w:rPr>
              <w:t>2</w:t>
            </w:r>
            <w:r>
              <w:rPr>
                <w:rFonts w:hint="eastAsia" w:ascii="Times New Roman" w:hAnsi="Times New Roman" w:eastAsia="宋体" w:cs="Times New Roman"/>
                <w:color w:val="auto"/>
                <w:szCs w:val="21"/>
                <w:lang w:val="en-US" w:eastAsia="zh-CN"/>
              </w:rPr>
              <w:t>-4</w:t>
            </w:r>
            <w:r>
              <w:rPr>
                <w:rFonts w:hint="eastAsia" w:ascii="Times New Roman" w:hAnsi="Times New Roman" w:eastAsia="宋体" w:cs="Times New Roman"/>
                <w:color w:val="auto"/>
                <w:szCs w:val="21"/>
                <w:lang w:val="zh-CN" w:eastAsia="zh-CN"/>
              </w:rPr>
              <w:t>分；一般得</w:t>
            </w:r>
            <w:r>
              <w:rPr>
                <w:rFonts w:hint="eastAsia" w:ascii="Times New Roman" w:hAnsi="Times New Roman" w:eastAsia="宋体" w:cs="Times New Roman"/>
                <w:color w:val="auto"/>
                <w:szCs w:val="21"/>
                <w:lang w:val="en-US" w:eastAsia="zh-CN"/>
              </w:rPr>
              <w:t>1</w:t>
            </w:r>
            <w:r>
              <w:rPr>
                <w:rFonts w:hint="eastAsia" w:ascii="Times New Roman" w:hAnsi="Times New Roman" w:eastAsia="宋体" w:cs="Times New Roman"/>
                <w:color w:val="auto"/>
                <w:szCs w:val="21"/>
                <w:lang w:val="zh-CN" w:eastAsia="zh-CN"/>
              </w:rPr>
              <w:t>-</w:t>
            </w:r>
            <w:r>
              <w:rPr>
                <w:rFonts w:hint="eastAsia" w:ascii="Times New Roman" w:hAnsi="Times New Roman" w:eastAsia="宋体" w:cs="Times New Roman"/>
                <w:color w:val="auto"/>
                <w:szCs w:val="21"/>
                <w:lang w:val="en-US" w:eastAsia="zh-CN"/>
              </w:rPr>
              <w:t>2</w:t>
            </w:r>
            <w:r>
              <w:rPr>
                <w:rFonts w:hint="eastAsia" w:ascii="Times New Roman" w:hAnsi="Times New Roman" w:eastAsia="宋体" w:cs="Times New Roman"/>
                <w:color w:val="auto"/>
                <w:szCs w:val="21"/>
                <w:lang w:val="zh-CN" w:eastAsia="zh-CN"/>
              </w:rPr>
              <w:t>分，</w:t>
            </w:r>
            <w:r>
              <w:rPr>
                <w:rFonts w:hint="eastAsia" w:ascii="Times New Roman" w:hAnsi="Times New Roman" w:eastAsia="宋体" w:cs="Times New Roman"/>
                <w:color w:val="auto"/>
                <w:szCs w:val="21"/>
                <w:lang w:val="en-US" w:eastAsia="zh-CN"/>
              </w:rPr>
              <w:t>未提供不得分</w:t>
            </w:r>
            <w:r>
              <w:rPr>
                <w:rFonts w:hint="eastAsia" w:ascii="Times New Roman" w:hAnsi="Times New Roman" w:eastAsia="宋体" w:cs="Times New Roman"/>
                <w:color w:val="auto"/>
                <w:szCs w:val="21"/>
                <w:lang w:val="zh-CN" w:eastAsia="zh-CN"/>
              </w:rPr>
              <w:t>。</w:t>
            </w:r>
          </w:p>
        </w:tc>
        <w:tc>
          <w:tcPr>
            <w:tcW w:w="72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en-US" w:eastAsia="zh-CN"/>
              </w:rPr>
              <w:t>0-4</w:t>
            </w:r>
          </w:p>
        </w:tc>
        <w:tc>
          <w:tcPr>
            <w:tcW w:w="51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0"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7</w:t>
            </w:r>
          </w:p>
        </w:tc>
        <w:tc>
          <w:tcPr>
            <w:tcW w:w="2239" w:type="dxa"/>
            <w:vAlign w:val="center"/>
          </w:tcPr>
          <w:p>
            <w:pPr>
              <w:spacing w:line="360" w:lineRule="auto"/>
              <w:jc w:val="center"/>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eastAsia="宋体" w:cs="Times New Roman"/>
                <w:color w:val="auto"/>
                <w:kern w:val="2"/>
                <w:sz w:val="21"/>
                <w:szCs w:val="21"/>
                <w:u w:color="000000"/>
                <w:lang w:val="zh-CN" w:eastAsia="zh-CN" w:bidi="ar-SA"/>
              </w:rPr>
              <w:t>作业实施方案</w:t>
            </w:r>
          </w:p>
        </w:tc>
        <w:tc>
          <w:tcPr>
            <w:tcW w:w="573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根据作业实施方案的科学性、合理性、可行性、详尽性等内容进行阐述，优秀得</w:t>
            </w:r>
            <w:r>
              <w:rPr>
                <w:rFonts w:hint="eastAsia" w:ascii="Times New Roman" w:hAnsi="Times New Roman" w:eastAsia="宋体" w:cs="Times New Roman"/>
                <w:color w:val="auto"/>
                <w:szCs w:val="21"/>
                <w:lang w:val="en-US" w:eastAsia="zh-CN"/>
              </w:rPr>
              <w:t>7-10</w:t>
            </w:r>
            <w:r>
              <w:rPr>
                <w:rFonts w:hint="eastAsia" w:ascii="Times New Roman" w:hAnsi="Times New Roman" w:eastAsia="宋体" w:cs="Times New Roman"/>
                <w:color w:val="auto"/>
                <w:szCs w:val="21"/>
                <w:lang w:val="zh-CN" w:eastAsia="zh-CN"/>
              </w:rPr>
              <w:t>分；良好得</w:t>
            </w:r>
            <w:r>
              <w:rPr>
                <w:rFonts w:hint="eastAsia" w:ascii="Times New Roman" w:hAnsi="Times New Roman" w:eastAsia="宋体" w:cs="Times New Roman"/>
                <w:color w:val="auto"/>
                <w:szCs w:val="21"/>
                <w:lang w:val="en-US" w:eastAsia="zh-CN"/>
              </w:rPr>
              <w:t>4-7</w:t>
            </w:r>
            <w:r>
              <w:rPr>
                <w:rFonts w:hint="eastAsia" w:ascii="Times New Roman" w:hAnsi="Times New Roman" w:eastAsia="宋体" w:cs="Times New Roman"/>
                <w:color w:val="auto"/>
                <w:szCs w:val="21"/>
                <w:lang w:val="zh-CN" w:eastAsia="zh-CN"/>
              </w:rPr>
              <w:t>分；一般得</w:t>
            </w:r>
            <w:r>
              <w:rPr>
                <w:rFonts w:hint="eastAsia" w:ascii="Times New Roman" w:hAnsi="Times New Roman" w:eastAsia="宋体" w:cs="Times New Roman"/>
                <w:color w:val="auto"/>
                <w:szCs w:val="21"/>
                <w:lang w:val="en-US" w:eastAsia="zh-CN"/>
              </w:rPr>
              <w:t>1-4</w:t>
            </w:r>
            <w:r>
              <w:rPr>
                <w:rFonts w:hint="eastAsia" w:ascii="Times New Roman" w:hAnsi="Times New Roman" w:eastAsia="宋体" w:cs="Times New Roman"/>
                <w:color w:val="auto"/>
                <w:szCs w:val="21"/>
                <w:lang w:val="zh-CN" w:eastAsia="zh-CN"/>
              </w:rPr>
              <w:t>分。</w:t>
            </w:r>
          </w:p>
        </w:tc>
        <w:tc>
          <w:tcPr>
            <w:tcW w:w="72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0-</w:t>
            </w:r>
            <w:r>
              <w:rPr>
                <w:rFonts w:hint="eastAsia" w:ascii="Times New Roman" w:hAnsi="Times New Roman" w:eastAsia="宋体" w:cs="Times New Roman"/>
                <w:color w:val="auto"/>
                <w:szCs w:val="21"/>
                <w:lang w:val="en-US" w:eastAsia="zh-CN"/>
              </w:rPr>
              <w:t>10</w:t>
            </w:r>
          </w:p>
        </w:tc>
        <w:tc>
          <w:tcPr>
            <w:tcW w:w="51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0"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8</w:t>
            </w:r>
          </w:p>
        </w:tc>
        <w:tc>
          <w:tcPr>
            <w:tcW w:w="2239" w:type="dxa"/>
            <w:vAlign w:val="center"/>
          </w:tcPr>
          <w:p>
            <w:pPr>
              <w:spacing w:line="360" w:lineRule="auto"/>
              <w:jc w:val="center"/>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eastAsia="宋体" w:cs="Times New Roman"/>
                <w:color w:val="auto"/>
                <w:kern w:val="2"/>
                <w:sz w:val="21"/>
                <w:szCs w:val="21"/>
                <w:u w:color="000000"/>
                <w:lang w:val="zh-CN" w:eastAsia="zh-CN" w:bidi="ar-SA"/>
              </w:rPr>
              <w:t>环境保护技术措施</w:t>
            </w:r>
          </w:p>
        </w:tc>
        <w:tc>
          <w:tcPr>
            <w:tcW w:w="573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环境保护技术措施合理可行，优秀得</w:t>
            </w:r>
            <w:r>
              <w:rPr>
                <w:rFonts w:hint="eastAsia" w:ascii="Times New Roman" w:hAnsi="Times New Roman" w:eastAsia="宋体" w:cs="Times New Roman"/>
                <w:color w:val="auto"/>
                <w:szCs w:val="21"/>
                <w:lang w:val="en-US" w:eastAsia="zh-CN"/>
              </w:rPr>
              <w:t>4-6</w:t>
            </w:r>
            <w:r>
              <w:rPr>
                <w:rFonts w:hint="eastAsia" w:ascii="Times New Roman" w:hAnsi="Times New Roman" w:eastAsia="宋体" w:cs="Times New Roman"/>
                <w:color w:val="auto"/>
                <w:szCs w:val="21"/>
                <w:lang w:val="zh-CN" w:eastAsia="zh-CN"/>
              </w:rPr>
              <w:t>分；良好得</w:t>
            </w:r>
            <w:r>
              <w:rPr>
                <w:rFonts w:hint="eastAsia" w:ascii="Times New Roman" w:hAnsi="Times New Roman" w:eastAsia="宋体" w:cs="Times New Roman"/>
                <w:color w:val="auto"/>
                <w:szCs w:val="21"/>
                <w:lang w:val="en-US" w:eastAsia="zh-CN"/>
              </w:rPr>
              <w:t>2-4</w:t>
            </w:r>
            <w:r>
              <w:rPr>
                <w:rFonts w:hint="eastAsia" w:ascii="Times New Roman" w:hAnsi="Times New Roman" w:eastAsia="宋体" w:cs="Times New Roman"/>
                <w:color w:val="auto"/>
                <w:szCs w:val="21"/>
                <w:lang w:val="zh-CN" w:eastAsia="zh-CN"/>
              </w:rPr>
              <w:t>分；一般得</w:t>
            </w:r>
            <w:r>
              <w:rPr>
                <w:rFonts w:hint="eastAsia" w:ascii="Times New Roman" w:hAnsi="Times New Roman" w:eastAsia="宋体" w:cs="Times New Roman"/>
                <w:color w:val="auto"/>
                <w:szCs w:val="21"/>
                <w:lang w:val="en-US" w:eastAsia="zh-CN"/>
              </w:rPr>
              <w:t>1-2</w:t>
            </w:r>
            <w:r>
              <w:rPr>
                <w:rFonts w:hint="eastAsia" w:ascii="Times New Roman" w:hAnsi="Times New Roman" w:eastAsia="宋体" w:cs="Times New Roman"/>
                <w:color w:val="auto"/>
                <w:szCs w:val="21"/>
                <w:lang w:val="zh-CN" w:eastAsia="zh-CN"/>
              </w:rPr>
              <w:t>分，</w:t>
            </w:r>
            <w:r>
              <w:rPr>
                <w:rFonts w:hint="eastAsia" w:ascii="Times New Roman" w:hAnsi="Times New Roman" w:eastAsia="宋体" w:cs="Times New Roman"/>
                <w:color w:val="auto"/>
                <w:szCs w:val="21"/>
                <w:lang w:val="en-US" w:eastAsia="zh-CN"/>
              </w:rPr>
              <w:t>未提供不得分</w:t>
            </w:r>
            <w:r>
              <w:rPr>
                <w:rFonts w:hint="eastAsia" w:ascii="Times New Roman" w:hAnsi="Times New Roman" w:eastAsia="宋体" w:cs="Times New Roman"/>
                <w:color w:val="auto"/>
                <w:szCs w:val="21"/>
                <w:lang w:val="zh-CN" w:eastAsia="zh-CN"/>
              </w:rPr>
              <w:t>。</w:t>
            </w:r>
          </w:p>
        </w:tc>
        <w:tc>
          <w:tcPr>
            <w:tcW w:w="72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0-</w:t>
            </w:r>
            <w:r>
              <w:rPr>
                <w:rFonts w:hint="eastAsia" w:ascii="Times New Roman" w:hAnsi="Times New Roman" w:eastAsia="宋体" w:cs="Times New Roman"/>
                <w:color w:val="auto"/>
                <w:szCs w:val="21"/>
                <w:lang w:val="en-US" w:eastAsia="zh-CN"/>
              </w:rPr>
              <w:t>6</w:t>
            </w:r>
          </w:p>
        </w:tc>
        <w:tc>
          <w:tcPr>
            <w:tcW w:w="51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0" w:hRule="atLeast"/>
        </w:trPr>
        <w:tc>
          <w:tcPr>
            <w:tcW w:w="66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9</w:t>
            </w:r>
          </w:p>
        </w:tc>
        <w:tc>
          <w:tcPr>
            <w:tcW w:w="2239" w:type="dxa"/>
            <w:vAlign w:val="center"/>
          </w:tcPr>
          <w:p>
            <w:pPr>
              <w:spacing w:line="360" w:lineRule="auto"/>
              <w:jc w:val="center"/>
              <w:rPr>
                <w:rFonts w:hint="eastAsia" w:ascii="Times New Roman" w:hAnsi="Times New Roman" w:eastAsia="宋体" w:cs="Times New Roman"/>
                <w:color w:val="auto"/>
                <w:kern w:val="2"/>
                <w:sz w:val="21"/>
                <w:szCs w:val="21"/>
                <w:u w:color="000000"/>
                <w:lang w:val="zh-CN" w:eastAsia="zh-CN" w:bidi="ar-SA"/>
              </w:rPr>
            </w:pPr>
            <w:r>
              <w:rPr>
                <w:rFonts w:hint="eastAsia" w:ascii="Times New Roman" w:hAnsi="Times New Roman" w:eastAsia="宋体" w:cs="Times New Roman"/>
                <w:color w:val="auto"/>
                <w:kern w:val="2"/>
                <w:sz w:val="21"/>
                <w:szCs w:val="21"/>
                <w:u w:color="000000"/>
                <w:lang w:val="zh-CN" w:eastAsia="zh-CN" w:bidi="ar-SA"/>
              </w:rPr>
              <w:t>售后服务程序、内容</w:t>
            </w:r>
          </w:p>
          <w:p>
            <w:pPr>
              <w:spacing w:line="360" w:lineRule="auto"/>
              <w:jc w:val="center"/>
              <w:rPr>
                <w:rFonts w:hint="eastAsia" w:ascii="Times New Roman" w:hAnsi="Times New Roman" w:eastAsia="宋体" w:cs="Times New Roman"/>
                <w:color w:val="auto"/>
                <w:kern w:val="2"/>
                <w:sz w:val="21"/>
                <w:szCs w:val="21"/>
                <w:u w:color="000000"/>
                <w:lang w:val="en-US" w:eastAsia="zh-CN" w:bidi="ar-SA"/>
              </w:rPr>
            </w:pPr>
            <w:r>
              <w:rPr>
                <w:rFonts w:hint="eastAsia" w:ascii="Times New Roman" w:hAnsi="Times New Roman" w:eastAsia="宋体" w:cs="Times New Roman"/>
                <w:color w:val="auto"/>
                <w:kern w:val="2"/>
                <w:sz w:val="21"/>
                <w:szCs w:val="21"/>
                <w:u w:color="000000"/>
                <w:lang w:val="zh-CN" w:eastAsia="zh-CN" w:bidi="ar-SA"/>
              </w:rPr>
              <w:t>及措施</w:t>
            </w:r>
          </w:p>
        </w:tc>
        <w:tc>
          <w:tcPr>
            <w:tcW w:w="573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质保期和售后服务的程序、内容及措施可行，优秀得</w:t>
            </w:r>
            <w:r>
              <w:rPr>
                <w:rFonts w:hint="eastAsia" w:ascii="Times New Roman" w:hAnsi="Times New Roman" w:cs="Times New Roman"/>
                <w:color w:val="auto"/>
                <w:szCs w:val="21"/>
                <w:lang w:val="en-US" w:eastAsia="zh-CN"/>
              </w:rPr>
              <w:t>2</w:t>
            </w:r>
            <w:r>
              <w:rPr>
                <w:rFonts w:hint="eastAsia" w:ascii="Times New Roman" w:hAnsi="Times New Roman" w:eastAsia="宋体" w:cs="Times New Roman"/>
                <w:color w:val="auto"/>
                <w:szCs w:val="21"/>
                <w:lang w:val="en-US" w:eastAsia="zh-CN"/>
              </w:rPr>
              <w:t>-4</w:t>
            </w:r>
            <w:r>
              <w:rPr>
                <w:rFonts w:hint="eastAsia" w:ascii="Times New Roman" w:hAnsi="Times New Roman" w:eastAsia="宋体" w:cs="Times New Roman"/>
                <w:color w:val="auto"/>
                <w:szCs w:val="21"/>
                <w:lang w:val="zh-CN" w:eastAsia="zh-CN"/>
              </w:rPr>
              <w:t>分；一般得</w:t>
            </w:r>
            <w:r>
              <w:rPr>
                <w:rFonts w:hint="eastAsia" w:ascii="Times New Roman" w:hAnsi="Times New Roman" w:eastAsia="宋体" w:cs="Times New Roman"/>
                <w:color w:val="auto"/>
                <w:szCs w:val="21"/>
                <w:lang w:val="en-US" w:eastAsia="zh-CN"/>
              </w:rPr>
              <w:t>1</w:t>
            </w:r>
            <w:r>
              <w:rPr>
                <w:rFonts w:hint="eastAsia" w:ascii="Times New Roman" w:hAnsi="Times New Roman" w:eastAsia="宋体" w:cs="Times New Roman"/>
                <w:color w:val="auto"/>
                <w:szCs w:val="21"/>
                <w:lang w:val="zh-CN" w:eastAsia="zh-CN"/>
              </w:rPr>
              <w:t>-</w:t>
            </w:r>
            <w:r>
              <w:rPr>
                <w:rFonts w:hint="eastAsia" w:ascii="Times New Roman" w:hAnsi="Times New Roman" w:eastAsia="宋体" w:cs="Times New Roman"/>
                <w:color w:val="auto"/>
                <w:szCs w:val="21"/>
                <w:lang w:val="en-US" w:eastAsia="zh-CN"/>
              </w:rPr>
              <w:t>2</w:t>
            </w:r>
            <w:r>
              <w:rPr>
                <w:rFonts w:hint="eastAsia" w:ascii="Times New Roman" w:hAnsi="Times New Roman" w:eastAsia="宋体" w:cs="Times New Roman"/>
                <w:color w:val="auto"/>
                <w:szCs w:val="21"/>
                <w:lang w:val="zh-CN" w:eastAsia="zh-CN"/>
              </w:rPr>
              <w:t>分，</w:t>
            </w:r>
            <w:r>
              <w:rPr>
                <w:rFonts w:hint="eastAsia" w:ascii="Times New Roman" w:hAnsi="Times New Roman" w:eastAsia="宋体" w:cs="Times New Roman"/>
                <w:color w:val="auto"/>
                <w:szCs w:val="21"/>
                <w:lang w:val="en-US" w:eastAsia="zh-CN"/>
              </w:rPr>
              <w:t>未提供不得分</w:t>
            </w:r>
            <w:r>
              <w:rPr>
                <w:rFonts w:hint="eastAsia" w:ascii="Times New Roman" w:hAnsi="Times New Roman" w:eastAsia="宋体" w:cs="Times New Roman"/>
                <w:color w:val="auto"/>
                <w:szCs w:val="21"/>
                <w:lang w:val="zh-CN" w:eastAsia="zh-CN"/>
              </w:rPr>
              <w:t>。</w:t>
            </w:r>
          </w:p>
        </w:tc>
        <w:tc>
          <w:tcPr>
            <w:tcW w:w="72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0-</w:t>
            </w:r>
            <w:r>
              <w:rPr>
                <w:rFonts w:hint="eastAsia" w:ascii="Times New Roman" w:hAnsi="Times New Roman" w:eastAsia="宋体" w:cs="Times New Roman"/>
                <w:color w:val="auto"/>
                <w:szCs w:val="21"/>
                <w:lang w:val="en-US" w:eastAsia="zh-CN"/>
              </w:rPr>
              <w:t>4</w:t>
            </w:r>
          </w:p>
        </w:tc>
        <w:tc>
          <w:tcPr>
            <w:tcW w:w="510" w:type="dxa"/>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0" w:hRule="atLeast"/>
        </w:trPr>
        <w:tc>
          <w:tcPr>
            <w:tcW w:w="9859" w:type="dxa"/>
            <w:gridSpan w:val="5"/>
            <w:tcBorders>
              <w:bottom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lang w:val="zh-CN" w:eastAsia="zh-CN"/>
              </w:rPr>
            </w:pPr>
            <w:r>
              <w:rPr>
                <w:rFonts w:hint="eastAsia" w:ascii="Times New Roman" w:hAnsi="Times New Roman" w:eastAsia="宋体" w:cs="Times New Roman"/>
                <w:color w:val="auto"/>
                <w:szCs w:val="21"/>
                <w:lang w:val="zh-CN" w:eastAsia="zh-CN"/>
              </w:rPr>
              <w:t>注：</w:t>
            </w:r>
            <w:r>
              <w:rPr>
                <w:rFonts w:hint="eastAsia" w:ascii="Times New Roman" w:hAnsi="Times New Roman" w:eastAsia="宋体" w:cs="Times New Roman"/>
                <w:color w:val="auto"/>
                <w:szCs w:val="21"/>
                <w:lang w:val="en-US" w:eastAsia="zh-CN"/>
              </w:rPr>
              <w:t>技术标</w:t>
            </w:r>
            <w:r>
              <w:rPr>
                <w:rFonts w:hint="eastAsia" w:ascii="Times New Roman" w:hAnsi="Times New Roman" w:eastAsia="宋体" w:cs="Times New Roman"/>
                <w:color w:val="auto"/>
                <w:szCs w:val="21"/>
                <w:lang w:val="zh-CN" w:eastAsia="zh-CN"/>
              </w:rPr>
              <w:t>由评标委员会负责对每位合格的投标人的技术情况按以上标准进行独立打分，评分汇总时按评委有效打分的算术平均值作为此投标人的</w:t>
            </w:r>
            <w:r>
              <w:rPr>
                <w:rFonts w:hint="eastAsia" w:ascii="Times New Roman" w:hAnsi="Times New Roman" w:eastAsia="宋体" w:cs="Times New Roman"/>
                <w:color w:val="auto"/>
                <w:szCs w:val="21"/>
                <w:lang w:val="en-US" w:eastAsia="zh-CN"/>
              </w:rPr>
              <w:t>技术标</w:t>
            </w:r>
            <w:r>
              <w:rPr>
                <w:rFonts w:hint="eastAsia" w:ascii="Times New Roman" w:hAnsi="Times New Roman" w:eastAsia="宋体" w:cs="Times New Roman"/>
                <w:color w:val="auto"/>
                <w:szCs w:val="21"/>
                <w:lang w:val="zh-CN" w:eastAsia="zh-CN"/>
              </w:rPr>
              <w:t>得分。保留小数点后两位，第三位四舍五入。</w:t>
            </w:r>
          </w:p>
        </w:tc>
      </w:tr>
    </w:tbl>
    <w:p>
      <w:pPr>
        <w:spacing w:line="360" w:lineRule="auto"/>
        <w:jc w:val="left"/>
        <w:rPr>
          <w:color w:val="auto"/>
          <w:sz w:val="24"/>
          <w:szCs w:val="24"/>
        </w:rPr>
      </w:pP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注：评标总得分=F1×A1+F2×A2+…+Fn×An</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F1、F2...分别为各项评审因素得分：</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A1、A2...An分别为各项评审因素所占的权重（A1+A2+...+An=1）</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评标过程中，不得去掉报价中的最高报价和最低报价。</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因落实政府政策进行价格调整，以调整后的价格计算评标基准价和投标报价。</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推荐原则：评标委员会评审后，按照综合得分由高到低顺序推荐三位中标候选人。投标人的综合得分若相同，以投标报价低者顺序在先。</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注：1、经济标：得分分值由招标代理机构汇总，汇总结果由评标委员会复核确认。</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2、评标委员会按技术、商务和综合三项得分之和从高到低按顺序推荐三名中标候选投标人。</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3、投标人所供设备的技术规格、参数、质量等最大限度的满足招标人要求。</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4、投标人最终得分=技术标得分+经济标得分+商务标得分。</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5、投标产品技术规格、参数、数量必须最大限度的满足招标文件的要求；</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6、评审中涉及评分因素的证明文件、材料，如要求提供原件的，开标时必须携带原件校验。</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7、因落实政府采购政策进行价格调整的，以调整后的价格计算评标基准价和投标报价。</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8、</w:t>
      </w:r>
      <w:r>
        <w:rPr>
          <w:rFonts w:hint="eastAsia"/>
          <w:b w:val="0"/>
          <w:bCs/>
          <w:color w:val="auto"/>
          <w:sz w:val="24"/>
          <w:szCs w:val="24"/>
          <w:lang w:val="zh-CN" w:eastAsia="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9、本项目将对小型和微型企业产品的价格给予6%的扣除，用扣除后的价格参与评审打分。</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若供应商和小微企业产品/服务制造商均符合小微企业条件，则最后产品价格=供应商报价中属于小型和微型企业产品的价格部分×（100%-6%）+供应商报价中不属于小型和微型企业产品的价格部分；否则，最后产品报价不予变化。</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根据中华人民共和国财政部、中华人民共和国工业和信息化部《政府采购促进中小企业发展暂行办法》（财库[2020] 46号）文件的规定，属于中小企业评审优惠内容及幅度如下：</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1.中小企业（含中型、小型、微型企业）应当同时符合以下条件：</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1.1符合中小企业划分标准（按《关于印发中小企业划型标准规定的通知》（工信部联企业（2011）300号）执行）；</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1.2提供本企业制造的货物、承担的项目或者服务，或者提供其他中小企业制造的货物。本项所称货物不包括使用大型企业注册商标的货物；</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1.3小型、微型企业提供中型企业制造的货物的，视同为中型企业。</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2.价格扣除办法：</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对于非专门面向中小企业的项目，对小型和微型企业（或联合体各方均为小型、微型企业的）产品的价格给予6%的扣除，用扣除后的价格参与价格分的评审。</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3.小型和微型企业适用价格扣除办法时应提供的相关资料：</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3.1《中小企业声明函》；</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3.2提供投标供应商工商行政登记所在地管理部门出具的小微企业证明文件。</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3.3提供所代理产品生产厂家的属地主管部门出具的小微企业证明文件。</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3.4供应商应同时提供以上二个材料，否则将不给予价格扣除。</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3.5供应商需在响应文件报价部分中“报价明细表”中逐项注明所投产品的生产厂家具体名称并备注是否属于小型、微型企业。</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3.6若所投标产品为进口产品的，不适用《政府采购促进中小企业发展暂行办法》。</w:t>
      </w:r>
      <w:bookmarkStart w:id="53" w:name="_Toc11316"/>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10、</w:t>
      </w:r>
      <w:r>
        <w:rPr>
          <w:rFonts w:hint="eastAsia"/>
          <w:b w:val="0"/>
          <w:bCs/>
          <w:color w:val="auto"/>
          <w:sz w:val="24"/>
          <w:szCs w:val="24"/>
          <w:lang w:val="zh-CN" w:eastAsia="zh-CN"/>
        </w:rPr>
        <w:t>根据财政部、民政部、中国残疾人联合会出台的《关于促进残疾人就业政府采购政策的通知》（财库[2017]141号），属残疾人福利性单位的，投标人须提供《残疾人福利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pPr>
        <w:spacing w:line="360" w:lineRule="auto"/>
        <w:jc w:val="left"/>
        <w:outlineLvl w:val="1"/>
        <w:rPr>
          <w:rFonts w:hint="eastAsia"/>
          <w:b/>
          <w:color w:val="auto"/>
          <w:sz w:val="24"/>
          <w:szCs w:val="24"/>
          <w:lang w:val="en-US" w:eastAsia="zh-CN"/>
        </w:rPr>
      </w:pPr>
      <w:r>
        <w:rPr>
          <w:rFonts w:hint="eastAsia"/>
          <w:b/>
          <w:color w:val="auto"/>
          <w:sz w:val="24"/>
          <w:szCs w:val="24"/>
          <w:lang w:val="en-US" w:eastAsia="zh-CN"/>
        </w:rPr>
        <w:t>五 、推荐中标候选人</w:t>
      </w:r>
      <w:bookmarkEnd w:id="53"/>
    </w:p>
    <w:p>
      <w:pPr>
        <w:spacing w:line="360" w:lineRule="auto"/>
        <w:ind w:firstLine="468" w:firstLineChars="195"/>
        <w:rPr>
          <w:rFonts w:hint="eastAsia"/>
          <w:b w:val="0"/>
          <w:bCs/>
          <w:color w:val="auto"/>
          <w:sz w:val="24"/>
          <w:szCs w:val="24"/>
          <w:lang w:val="en-US" w:eastAsia="zh-CN"/>
        </w:rPr>
      </w:pPr>
      <w:bookmarkStart w:id="54" w:name="_Toc267320058"/>
      <w:r>
        <w:rPr>
          <w:rFonts w:hint="eastAsia"/>
          <w:b w:val="0"/>
          <w:bCs/>
          <w:color w:val="auto"/>
          <w:sz w:val="24"/>
          <w:szCs w:val="24"/>
          <w:lang w:val="en-US" w:eastAsia="zh-CN"/>
        </w:rPr>
        <w:t>5.1评标委员会按资信、技术和商务三项得分之和从高到低按顺序推荐三名中标候选投标人。</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5.2得分相同的，按投标报价由低到高顺序排列；得分且投标报价相同的，按技术指标优劣顺序排列。技术标也相同时由招标人抽签确定中标候选人名次。</w:t>
      </w:r>
    </w:p>
    <w:bookmarkEnd w:id="54"/>
    <w:p>
      <w:pPr>
        <w:spacing w:line="360" w:lineRule="auto"/>
        <w:jc w:val="left"/>
        <w:outlineLvl w:val="1"/>
        <w:rPr>
          <w:rFonts w:hint="eastAsia"/>
          <w:b/>
          <w:color w:val="auto"/>
          <w:sz w:val="24"/>
          <w:szCs w:val="24"/>
          <w:lang w:val="en-US" w:eastAsia="zh-CN"/>
        </w:rPr>
      </w:pPr>
      <w:r>
        <w:rPr>
          <w:rFonts w:hint="eastAsia"/>
          <w:b/>
          <w:color w:val="auto"/>
          <w:sz w:val="24"/>
          <w:szCs w:val="24"/>
          <w:lang w:val="en-US" w:eastAsia="zh-CN"/>
        </w:rPr>
        <w:t>六 、无效标条款</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en-US" w:eastAsia="zh-CN"/>
        </w:rPr>
        <w:t>6</w:t>
      </w:r>
      <w:r>
        <w:rPr>
          <w:rFonts w:hint="eastAsia"/>
          <w:b w:val="0"/>
          <w:bCs/>
          <w:color w:val="auto"/>
          <w:sz w:val="24"/>
          <w:szCs w:val="24"/>
          <w:lang w:val="zh-CN" w:eastAsia="zh-CN"/>
        </w:rPr>
        <w:t>.1投标文件有下列情形之一的其投标文件拒收：</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投标文件逾期送达的或未送达指定地点的；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招标文件未按要求密封，招标人及代理公司应报经监督部门批准后拒收；</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其它情形，经招标人和代理公司提出拒收，并经监督部门批准的；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en-US" w:eastAsia="zh-CN"/>
        </w:rPr>
        <w:t>6</w:t>
      </w:r>
      <w:r>
        <w:rPr>
          <w:rFonts w:hint="eastAsia"/>
          <w:b w:val="0"/>
          <w:bCs/>
          <w:color w:val="auto"/>
          <w:sz w:val="24"/>
          <w:szCs w:val="24"/>
          <w:lang w:val="zh-CN" w:eastAsia="zh-CN"/>
        </w:rPr>
        <w:t>.2投标人有下列情形之一的，投标人证件审查后其投标作无效标处理：</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（1）法定代表人（或授权委托人）未准时参加会议；</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（2）法定代表人参加开标会议未携带有效的法定代表人身份证明原件和本人身份证的；委托代理人参加开标会议未携带有效的法定代表人授权书和本人身份证；</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（3）投标人为本项目提供招标代理服务的；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（4）投标人与在本项目代理机构存在相互任职或工作的；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（5）投标保证金未按规定要求缴纳的；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（6） 投标人超出营业范围投标的；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（7） 联合体投标未提交联合体协议的；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（8） 被暂停营业的；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（9） 被暂停或取消投标资格的；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（10） 财产被接管或冻结的；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（11） 在最近三年内有骗取中标或严重违约的；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（12） 投标人单位负责人为同一人或者存在控股、管理关系的不同单位的。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（13） 投标人基本资格条件和特定资格条件中有一项及以上不符合要求的；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（14）其它情形，经评标委员会委提出无效标，并经招投标监督部门批准的；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en-US" w:eastAsia="zh-CN"/>
        </w:rPr>
        <w:t>6</w:t>
      </w:r>
      <w:r>
        <w:rPr>
          <w:rFonts w:hint="eastAsia"/>
          <w:b w:val="0"/>
          <w:bCs/>
          <w:color w:val="auto"/>
          <w:sz w:val="24"/>
          <w:szCs w:val="24"/>
          <w:lang w:val="zh-CN" w:eastAsia="zh-CN"/>
        </w:rPr>
        <w:t>.3 投标人有下列情形之一的，符合性审查后其投标作无效标处理：</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（1）投标文件正、副本数量不符合要求或正、副本无法区分；经招投标监督部门批准的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（2）投标文件签字、盖章不全，经评标委员会一致认定对开评标内容有实质性影响并经、监督部门批准的；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（3）未按规定的格式填写，实质性内容不全或关键字迹模糊、无法辨认；经监督部门批准的；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（4）同一投标人提交两个以上不同的投标文件或者投标报价，但招标文件规定提交备选方案的除外；</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（5）投标文件没有对招标文件的实质性要求和条件作出响应;</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（6）投标报价超出规定的投标限价或公布的采购预算的；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（7）改变采购清单中工程量的；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（8）不按评标委员会要求澄清、说明或补正的，或者评标委员会根据招标文件的规定对招标文件的计算错误进行修正后，投标人不接受修正的投标报价的。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（10）其它情形，经评标委员会委提出无效标，并经监督部门批准的；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en-US" w:eastAsia="zh-CN"/>
        </w:rPr>
        <w:t>6</w:t>
      </w:r>
      <w:r>
        <w:rPr>
          <w:rFonts w:hint="eastAsia"/>
          <w:b w:val="0"/>
          <w:bCs/>
          <w:color w:val="auto"/>
          <w:sz w:val="24"/>
          <w:szCs w:val="24"/>
          <w:lang w:val="zh-CN" w:eastAsia="zh-CN"/>
        </w:rPr>
        <w:t>.4 投标人有下列情形之一的， 详细评审后其投标作无效标处理：</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（1）投标产品不符合必须强制执行的国家标准的；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（2）投标人有串通投标、弄虚作假、行贿等违法行为；</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（3）投标文件含有违反国家法律、法规的内容，或附有招标人不能接受的条件的。</w:t>
      </w:r>
    </w:p>
    <w:p>
      <w:pPr>
        <w:spacing w:line="360" w:lineRule="auto"/>
        <w:ind w:firstLine="468" w:firstLineChars="195"/>
        <w:rPr>
          <w:b/>
          <w:color w:val="auto"/>
          <w:sz w:val="32"/>
          <w:szCs w:val="32"/>
        </w:rPr>
      </w:pPr>
      <w:r>
        <w:rPr>
          <w:rFonts w:hint="eastAsia"/>
          <w:b w:val="0"/>
          <w:bCs/>
          <w:color w:val="auto"/>
          <w:sz w:val="24"/>
          <w:szCs w:val="24"/>
          <w:lang w:val="zh-CN" w:eastAsia="zh-CN"/>
        </w:rPr>
        <w:t>（4）其它情形，经评标委员会委提出无效标，并经招投标监督部门批准的；</w:t>
      </w:r>
      <w:bookmarkStart w:id="55" w:name="_Toc15403"/>
      <w:bookmarkStart w:id="56" w:name="_Toc451410636"/>
    </w:p>
    <w:p>
      <w:pPr>
        <w:spacing w:line="360" w:lineRule="auto"/>
        <w:jc w:val="center"/>
        <w:outlineLvl w:val="0"/>
        <w:rPr>
          <w:b/>
          <w:color w:val="auto"/>
          <w:sz w:val="32"/>
          <w:szCs w:val="32"/>
        </w:rPr>
      </w:pPr>
    </w:p>
    <w:p>
      <w:pPr>
        <w:spacing w:line="360" w:lineRule="auto"/>
        <w:jc w:val="center"/>
        <w:outlineLvl w:val="0"/>
        <w:rPr>
          <w:b/>
          <w:color w:val="auto"/>
          <w:sz w:val="32"/>
          <w:szCs w:val="32"/>
        </w:rPr>
      </w:pPr>
    </w:p>
    <w:p>
      <w:pPr>
        <w:spacing w:line="360" w:lineRule="auto"/>
        <w:jc w:val="center"/>
        <w:outlineLvl w:val="0"/>
        <w:rPr>
          <w:b/>
          <w:color w:val="auto"/>
          <w:sz w:val="32"/>
          <w:szCs w:val="32"/>
        </w:rPr>
      </w:pPr>
    </w:p>
    <w:p>
      <w:pPr>
        <w:spacing w:line="360" w:lineRule="auto"/>
        <w:jc w:val="center"/>
        <w:outlineLvl w:val="0"/>
        <w:rPr>
          <w:b/>
          <w:color w:val="auto"/>
          <w:sz w:val="32"/>
          <w:szCs w:val="32"/>
        </w:rPr>
      </w:pPr>
    </w:p>
    <w:p>
      <w:pPr>
        <w:spacing w:line="360" w:lineRule="auto"/>
        <w:jc w:val="center"/>
        <w:outlineLvl w:val="0"/>
        <w:rPr>
          <w:b/>
          <w:color w:val="auto"/>
          <w:sz w:val="32"/>
          <w:szCs w:val="32"/>
        </w:rPr>
      </w:pPr>
    </w:p>
    <w:p>
      <w:pPr>
        <w:spacing w:line="360" w:lineRule="auto"/>
        <w:jc w:val="center"/>
        <w:outlineLvl w:val="0"/>
        <w:rPr>
          <w:b/>
          <w:color w:val="auto"/>
          <w:sz w:val="32"/>
          <w:szCs w:val="32"/>
        </w:rPr>
      </w:pPr>
    </w:p>
    <w:p>
      <w:pPr>
        <w:spacing w:line="360" w:lineRule="auto"/>
        <w:jc w:val="center"/>
        <w:outlineLvl w:val="0"/>
        <w:rPr>
          <w:b/>
          <w:color w:val="auto"/>
          <w:sz w:val="32"/>
          <w:szCs w:val="32"/>
        </w:rPr>
      </w:pPr>
    </w:p>
    <w:p>
      <w:pPr>
        <w:spacing w:line="360" w:lineRule="auto"/>
        <w:jc w:val="center"/>
        <w:outlineLvl w:val="0"/>
        <w:rPr>
          <w:b/>
          <w:color w:val="auto"/>
          <w:sz w:val="32"/>
          <w:szCs w:val="32"/>
        </w:rPr>
      </w:pPr>
      <w:r>
        <w:rPr>
          <w:b/>
          <w:color w:val="auto"/>
          <w:sz w:val="32"/>
          <w:szCs w:val="32"/>
        </w:rPr>
        <w:t xml:space="preserve">第四章  </w:t>
      </w:r>
      <w:r>
        <w:rPr>
          <w:rFonts w:hint="eastAsia"/>
          <w:b/>
          <w:color w:val="auto"/>
          <w:sz w:val="32"/>
          <w:szCs w:val="32"/>
          <w:lang w:eastAsia="zh-CN"/>
        </w:rPr>
        <w:t>采购清单及技术要求</w:t>
      </w:r>
    </w:p>
    <w:p>
      <w:pPr>
        <w:pageBreakBefore w:val="0"/>
        <w:kinsoku/>
        <w:wordWrap/>
        <w:overflowPunct/>
        <w:topLinePunct w:val="0"/>
        <w:autoSpaceDE/>
        <w:autoSpaceDN/>
        <w:bidi w:val="0"/>
        <w:spacing w:line="360" w:lineRule="auto"/>
        <w:rPr>
          <w:rFonts w:hint="eastAsia"/>
          <w:b/>
          <w:bCs/>
          <w:color w:val="auto"/>
          <w:sz w:val="24"/>
          <w:szCs w:val="24"/>
          <w:lang w:eastAsia="zh-CN"/>
        </w:rPr>
      </w:pPr>
      <w:r>
        <w:rPr>
          <w:rFonts w:hint="eastAsia"/>
          <w:b/>
          <w:bCs/>
          <w:color w:val="auto"/>
          <w:sz w:val="24"/>
          <w:szCs w:val="24"/>
          <w:lang w:eastAsia="zh-CN"/>
        </w:rPr>
        <w:t>一、采购清单</w:t>
      </w:r>
    </w:p>
    <w:tbl>
      <w:tblPr>
        <w:tblStyle w:val="29"/>
        <w:tblW w:w="9514" w:type="dxa"/>
        <w:tblInd w:w="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6"/>
        <w:gridCol w:w="2075"/>
        <w:gridCol w:w="928"/>
        <w:gridCol w:w="1770"/>
        <w:gridCol w:w="1350"/>
        <w:gridCol w:w="1230"/>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976"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序号</w:t>
            </w:r>
          </w:p>
        </w:tc>
        <w:tc>
          <w:tcPr>
            <w:tcW w:w="207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建设内容</w:t>
            </w:r>
          </w:p>
        </w:tc>
        <w:tc>
          <w:tcPr>
            <w:tcW w:w="92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单位</w:t>
            </w:r>
          </w:p>
        </w:tc>
        <w:tc>
          <w:tcPr>
            <w:tcW w:w="1770"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工程量</w:t>
            </w:r>
          </w:p>
        </w:tc>
        <w:tc>
          <w:tcPr>
            <w:tcW w:w="1350" w:type="dxa"/>
            <w:tcBorders>
              <w:right w:val="single" w:color="auto" w:sz="4" w:space="0"/>
            </w:tcBorders>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单价</w:t>
            </w:r>
          </w:p>
        </w:tc>
        <w:tc>
          <w:tcPr>
            <w:tcW w:w="1230" w:type="dxa"/>
            <w:tcBorders>
              <w:left w:val="single" w:color="auto" w:sz="4" w:space="0"/>
              <w:right w:val="single" w:color="auto" w:sz="4" w:space="0"/>
            </w:tcBorders>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总价</w:t>
            </w:r>
          </w:p>
        </w:tc>
        <w:tc>
          <w:tcPr>
            <w:tcW w:w="1185" w:type="dxa"/>
            <w:tcBorders>
              <w:left w:val="single" w:color="auto" w:sz="4" w:space="0"/>
            </w:tcBorders>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976" w:type="dxa"/>
            <w:vAlign w:val="center"/>
          </w:tcPr>
          <w:p>
            <w:pPr>
              <w:spacing w:line="240" w:lineRule="auto"/>
              <w:jc w:val="center"/>
              <w:rPr>
                <w:rFonts w:hint="eastAsia"/>
                <w:b w:val="0"/>
                <w:bCs/>
                <w:color w:val="auto"/>
                <w:sz w:val="21"/>
                <w:szCs w:val="21"/>
                <w:lang w:val="zh-CN" w:eastAsia="zh-CN"/>
              </w:rPr>
            </w:pPr>
          </w:p>
        </w:tc>
        <w:tc>
          <w:tcPr>
            <w:tcW w:w="207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w:t>
            </w:r>
          </w:p>
        </w:tc>
        <w:tc>
          <w:tcPr>
            <w:tcW w:w="928" w:type="dxa"/>
            <w:vAlign w:val="center"/>
          </w:tcPr>
          <w:p>
            <w:pPr>
              <w:spacing w:line="240" w:lineRule="auto"/>
              <w:jc w:val="center"/>
              <w:rPr>
                <w:rFonts w:hint="eastAsia"/>
                <w:b w:val="0"/>
                <w:bCs/>
                <w:color w:val="auto"/>
                <w:sz w:val="21"/>
                <w:szCs w:val="21"/>
                <w:lang w:val="zh-CN" w:eastAsia="zh-CN"/>
              </w:rPr>
            </w:pPr>
          </w:p>
        </w:tc>
        <w:tc>
          <w:tcPr>
            <w:tcW w:w="1770" w:type="dxa"/>
            <w:vAlign w:val="center"/>
          </w:tcPr>
          <w:p>
            <w:pPr>
              <w:spacing w:line="240" w:lineRule="auto"/>
              <w:jc w:val="center"/>
              <w:rPr>
                <w:rFonts w:hint="eastAsia"/>
                <w:b w:val="0"/>
                <w:bCs/>
                <w:color w:val="auto"/>
                <w:sz w:val="21"/>
                <w:szCs w:val="21"/>
                <w:lang w:val="zh-CN" w:eastAsia="zh-CN"/>
              </w:rPr>
            </w:pPr>
          </w:p>
        </w:tc>
        <w:tc>
          <w:tcPr>
            <w:tcW w:w="1350" w:type="dxa"/>
            <w:tcBorders>
              <w:right w:val="single" w:color="auto" w:sz="4" w:space="0"/>
            </w:tcBorders>
            <w:vAlign w:val="center"/>
          </w:tcPr>
          <w:p>
            <w:pPr>
              <w:spacing w:line="240" w:lineRule="auto"/>
              <w:jc w:val="center"/>
              <w:rPr>
                <w:rFonts w:hint="eastAsia"/>
                <w:b w:val="0"/>
                <w:bCs/>
                <w:color w:val="auto"/>
                <w:sz w:val="21"/>
                <w:szCs w:val="21"/>
                <w:lang w:val="zh-CN" w:eastAsia="zh-CN"/>
              </w:rPr>
            </w:pPr>
          </w:p>
        </w:tc>
        <w:tc>
          <w:tcPr>
            <w:tcW w:w="1230" w:type="dxa"/>
            <w:tcBorders>
              <w:left w:val="single" w:color="auto" w:sz="4" w:space="0"/>
              <w:right w:val="single" w:color="auto" w:sz="4" w:space="0"/>
            </w:tcBorders>
            <w:vAlign w:val="center"/>
          </w:tcPr>
          <w:p>
            <w:pPr>
              <w:spacing w:line="240" w:lineRule="auto"/>
              <w:jc w:val="center"/>
              <w:rPr>
                <w:rFonts w:hint="eastAsia"/>
                <w:b w:val="0"/>
                <w:bCs/>
                <w:color w:val="auto"/>
                <w:sz w:val="21"/>
                <w:szCs w:val="21"/>
                <w:lang w:val="zh-CN" w:eastAsia="zh-CN"/>
              </w:rPr>
            </w:pPr>
          </w:p>
        </w:tc>
        <w:tc>
          <w:tcPr>
            <w:tcW w:w="1185" w:type="dxa"/>
            <w:tcBorders>
              <w:left w:val="single" w:color="auto" w:sz="4" w:space="0"/>
            </w:tcBorders>
            <w:vAlign w:val="center"/>
          </w:tcPr>
          <w:p>
            <w:pPr>
              <w:spacing w:line="240" w:lineRule="auto"/>
              <w:jc w:val="center"/>
              <w:rPr>
                <w:rFonts w:hint="eastAsia"/>
                <w:b w:val="0"/>
                <w:bCs/>
                <w:color w:val="auto"/>
                <w:sz w:val="21"/>
                <w:szCs w:val="21"/>
                <w:lang w:val="zh-C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76"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1</w:t>
            </w:r>
          </w:p>
        </w:tc>
        <w:tc>
          <w:tcPr>
            <w:tcW w:w="207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枯死、濒死木</w:t>
            </w:r>
          </w:p>
        </w:tc>
        <w:tc>
          <w:tcPr>
            <w:tcW w:w="92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亩</w:t>
            </w:r>
          </w:p>
        </w:tc>
        <w:tc>
          <w:tcPr>
            <w:tcW w:w="1770" w:type="dxa"/>
            <w:vAlign w:val="center"/>
          </w:tcPr>
          <w:p>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2000</w:t>
            </w:r>
          </w:p>
        </w:tc>
        <w:tc>
          <w:tcPr>
            <w:tcW w:w="1350" w:type="dxa"/>
            <w:tcBorders>
              <w:right w:val="single" w:color="auto" w:sz="4" w:space="0"/>
            </w:tcBorders>
            <w:vAlign w:val="center"/>
          </w:tcPr>
          <w:p>
            <w:pPr>
              <w:spacing w:line="240" w:lineRule="auto"/>
              <w:jc w:val="center"/>
              <w:rPr>
                <w:rFonts w:hint="eastAsia"/>
                <w:b w:val="0"/>
                <w:bCs/>
                <w:color w:val="auto"/>
                <w:sz w:val="21"/>
                <w:szCs w:val="21"/>
                <w:lang w:val="zh-CN" w:eastAsia="zh-CN"/>
              </w:rPr>
            </w:pPr>
          </w:p>
        </w:tc>
        <w:tc>
          <w:tcPr>
            <w:tcW w:w="1230" w:type="dxa"/>
            <w:tcBorders>
              <w:left w:val="single" w:color="auto" w:sz="4" w:space="0"/>
              <w:right w:val="single" w:color="auto" w:sz="4" w:space="0"/>
            </w:tcBorders>
            <w:vAlign w:val="center"/>
          </w:tcPr>
          <w:p>
            <w:pPr>
              <w:spacing w:line="240" w:lineRule="auto"/>
              <w:jc w:val="center"/>
              <w:rPr>
                <w:rFonts w:hint="eastAsia"/>
                <w:b w:val="0"/>
                <w:bCs/>
                <w:color w:val="auto"/>
                <w:sz w:val="21"/>
                <w:szCs w:val="21"/>
                <w:lang w:val="zh-CN" w:eastAsia="zh-CN"/>
              </w:rPr>
            </w:pPr>
          </w:p>
        </w:tc>
        <w:tc>
          <w:tcPr>
            <w:tcW w:w="1185" w:type="dxa"/>
            <w:tcBorders>
              <w:left w:val="single" w:color="auto" w:sz="4" w:space="0"/>
            </w:tcBorders>
            <w:vAlign w:val="center"/>
          </w:tcPr>
          <w:p>
            <w:pPr>
              <w:spacing w:line="240" w:lineRule="auto"/>
              <w:jc w:val="center"/>
              <w:rPr>
                <w:rFonts w:hint="eastAsia"/>
                <w:b w:val="0"/>
                <w:bCs/>
                <w:color w:val="auto"/>
                <w:sz w:val="21"/>
                <w:szCs w:val="21"/>
                <w:lang w:val="zh-C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76"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2</w:t>
            </w:r>
          </w:p>
        </w:tc>
        <w:tc>
          <w:tcPr>
            <w:tcW w:w="207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全面补植更新</w:t>
            </w:r>
          </w:p>
        </w:tc>
        <w:tc>
          <w:tcPr>
            <w:tcW w:w="92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亩</w:t>
            </w:r>
          </w:p>
        </w:tc>
        <w:tc>
          <w:tcPr>
            <w:tcW w:w="1770" w:type="dxa"/>
            <w:vAlign w:val="center"/>
          </w:tcPr>
          <w:p>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2000</w:t>
            </w:r>
          </w:p>
        </w:tc>
        <w:tc>
          <w:tcPr>
            <w:tcW w:w="1350" w:type="dxa"/>
            <w:tcBorders>
              <w:right w:val="single" w:color="auto" w:sz="4" w:space="0"/>
            </w:tcBorders>
            <w:vAlign w:val="center"/>
          </w:tcPr>
          <w:p>
            <w:pPr>
              <w:spacing w:line="240" w:lineRule="auto"/>
              <w:jc w:val="center"/>
              <w:rPr>
                <w:rFonts w:hint="eastAsia"/>
                <w:b w:val="0"/>
                <w:bCs/>
                <w:color w:val="auto"/>
                <w:sz w:val="21"/>
                <w:szCs w:val="21"/>
                <w:lang w:val="zh-CN" w:eastAsia="zh-CN"/>
              </w:rPr>
            </w:pPr>
          </w:p>
        </w:tc>
        <w:tc>
          <w:tcPr>
            <w:tcW w:w="1230" w:type="dxa"/>
            <w:tcBorders>
              <w:left w:val="single" w:color="auto" w:sz="4" w:space="0"/>
              <w:right w:val="single" w:color="auto" w:sz="4" w:space="0"/>
            </w:tcBorders>
            <w:vAlign w:val="center"/>
          </w:tcPr>
          <w:p>
            <w:pPr>
              <w:spacing w:line="240" w:lineRule="auto"/>
              <w:jc w:val="center"/>
              <w:rPr>
                <w:rFonts w:hint="eastAsia"/>
                <w:b w:val="0"/>
                <w:bCs/>
                <w:color w:val="auto"/>
                <w:sz w:val="21"/>
                <w:szCs w:val="21"/>
                <w:lang w:val="zh-CN" w:eastAsia="zh-CN"/>
              </w:rPr>
            </w:pPr>
          </w:p>
        </w:tc>
        <w:tc>
          <w:tcPr>
            <w:tcW w:w="1185" w:type="dxa"/>
            <w:tcBorders>
              <w:left w:val="single" w:color="auto" w:sz="4" w:space="0"/>
            </w:tcBorders>
            <w:vAlign w:val="center"/>
          </w:tcPr>
          <w:p>
            <w:pPr>
              <w:spacing w:line="240" w:lineRule="auto"/>
              <w:jc w:val="center"/>
              <w:rPr>
                <w:rFonts w:hint="eastAsia"/>
                <w:b w:val="0"/>
                <w:bCs/>
                <w:color w:val="auto"/>
                <w:sz w:val="21"/>
                <w:szCs w:val="21"/>
                <w:lang w:val="zh-C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76"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3</w:t>
            </w:r>
          </w:p>
        </w:tc>
        <w:tc>
          <w:tcPr>
            <w:tcW w:w="207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抚育管护</w:t>
            </w:r>
          </w:p>
        </w:tc>
        <w:tc>
          <w:tcPr>
            <w:tcW w:w="92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亩</w:t>
            </w:r>
          </w:p>
        </w:tc>
        <w:tc>
          <w:tcPr>
            <w:tcW w:w="1770" w:type="dxa"/>
            <w:vAlign w:val="center"/>
          </w:tcPr>
          <w:p>
            <w:pPr>
              <w:spacing w:line="240" w:lineRule="auto"/>
              <w:jc w:val="center"/>
              <w:rPr>
                <w:rFonts w:hint="default"/>
                <w:b w:val="0"/>
                <w:bCs/>
                <w:color w:val="auto"/>
                <w:sz w:val="21"/>
                <w:szCs w:val="21"/>
                <w:lang w:val="en-US" w:eastAsia="zh-CN"/>
              </w:rPr>
            </w:pPr>
            <w:r>
              <w:rPr>
                <w:rFonts w:hint="eastAsia"/>
                <w:b w:val="0"/>
                <w:bCs/>
                <w:color w:val="auto"/>
                <w:sz w:val="21"/>
                <w:szCs w:val="21"/>
                <w:lang w:val="en-US" w:eastAsia="zh-CN"/>
              </w:rPr>
              <w:t>2000</w:t>
            </w:r>
          </w:p>
        </w:tc>
        <w:tc>
          <w:tcPr>
            <w:tcW w:w="1350" w:type="dxa"/>
            <w:tcBorders>
              <w:right w:val="single" w:color="auto" w:sz="4" w:space="0"/>
            </w:tcBorders>
            <w:vAlign w:val="center"/>
          </w:tcPr>
          <w:p>
            <w:pPr>
              <w:spacing w:line="240" w:lineRule="auto"/>
              <w:jc w:val="center"/>
              <w:rPr>
                <w:rFonts w:hint="eastAsia"/>
                <w:b w:val="0"/>
                <w:bCs/>
                <w:color w:val="auto"/>
                <w:sz w:val="21"/>
                <w:szCs w:val="21"/>
                <w:lang w:val="zh-CN" w:eastAsia="zh-CN"/>
              </w:rPr>
            </w:pPr>
          </w:p>
        </w:tc>
        <w:tc>
          <w:tcPr>
            <w:tcW w:w="1230" w:type="dxa"/>
            <w:tcBorders>
              <w:left w:val="single" w:color="auto" w:sz="4" w:space="0"/>
              <w:right w:val="single" w:color="auto" w:sz="4" w:space="0"/>
            </w:tcBorders>
            <w:vAlign w:val="center"/>
          </w:tcPr>
          <w:p>
            <w:pPr>
              <w:spacing w:line="240" w:lineRule="auto"/>
              <w:jc w:val="center"/>
              <w:rPr>
                <w:rFonts w:hint="eastAsia"/>
                <w:b w:val="0"/>
                <w:bCs/>
                <w:color w:val="auto"/>
                <w:sz w:val="21"/>
                <w:szCs w:val="21"/>
                <w:lang w:val="zh-CN" w:eastAsia="zh-CN"/>
              </w:rPr>
            </w:pPr>
          </w:p>
        </w:tc>
        <w:tc>
          <w:tcPr>
            <w:tcW w:w="1185" w:type="dxa"/>
            <w:tcBorders>
              <w:left w:val="single" w:color="auto" w:sz="4" w:space="0"/>
            </w:tcBorders>
            <w:vAlign w:val="center"/>
          </w:tcPr>
          <w:p>
            <w:pPr>
              <w:spacing w:line="240" w:lineRule="auto"/>
              <w:jc w:val="center"/>
              <w:rPr>
                <w:rFonts w:hint="eastAsia"/>
                <w:b w:val="0"/>
                <w:bCs/>
                <w:color w:val="auto"/>
                <w:sz w:val="21"/>
                <w:szCs w:val="21"/>
                <w:lang w:val="zh-C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76" w:type="dxa"/>
            <w:vAlign w:val="center"/>
          </w:tcPr>
          <w:p>
            <w:pPr>
              <w:spacing w:line="240" w:lineRule="auto"/>
              <w:jc w:val="center"/>
              <w:rPr>
                <w:rFonts w:hint="eastAsia"/>
                <w:b w:val="0"/>
                <w:bCs/>
                <w:color w:val="auto"/>
                <w:sz w:val="21"/>
                <w:szCs w:val="21"/>
                <w:lang w:val="zh-CN" w:eastAsia="zh-CN"/>
              </w:rPr>
            </w:pPr>
          </w:p>
        </w:tc>
        <w:tc>
          <w:tcPr>
            <w:tcW w:w="2075" w:type="dxa"/>
            <w:vAlign w:val="center"/>
          </w:tcPr>
          <w:p>
            <w:pPr>
              <w:spacing w:line="240" w:lineRule="auto"/>
              <w:jc w:val="center"/>
              <w:rPr>
                <w:rFonts w:hint="eastAsia"/>
                <w:b w:val="0"/>
                <w:bCs/>
                <w:color w:val="auto"/>
                <w:sz w:val="21"/>
                <w:szCs w:val="21"/>
                <w:lang w:val="zh-CN" w:eastAsia="zh-CN"/>
              </w:rPr>
            </w:pPr>
          </w:p>
        </w:tc>
        <w:tc>
          <w:tcPr>
            <w:tcW w:w="928" w:type="dxa"/>
            <w:vAlign w:val="center"/>
          </w:tcPr>
          <w:p>
            <w:pPr>
              <w:spacing w:line="240" w:lineRule="auto"/>
              <w:jc w:val="center"/>
              <w:rPr>
                <w:rFonts w:hint="eastAsia"/>
                <w:b w:val="0"/>
                <w:bCs/>
                <w:color w:val="auto"/>
                <w:sz w:val="21"/>
                <w:szCs w:val="21"/>
                <w:lang w:val="zh-CN" w:eastAsia="zh-CN"/>
              </w:rPr>
            </w:pPr>
          </w:p>
        </w:tc>
        <w:tc>
          <w:tcPr>
            <w:tcW w:w="1770" w:type="dxa"/>
            <w:vAlign w:val="center"/>
          </w:tcPr>
          <w:p>
            <w:pPr>
              <w:spacing w:line="240" w:lineRule="auto"/>
              <w:jc w:val="center"/>
              <w:rPr>
                <w:rFonts w:hint="eastAsia"/>
                <w:b w:val="0"/>
                <w:bCs/>
                <w:color w:val="auto"/>
                <w:sz w:val="21"/>
                <w:szCs w:val="21"/>
                <w:lang w:val="zh-CN" w:eastAsia="zh-CN"/>
              </w:rPr>
            </w:pPr>
          </w:p>
        </w:tc>
        <w:tc>
          <w:tcPr>
            <w:tcW w:w="1350" w:type="dxa"/>
            <w:tcBorders>
              <w:top w:val="nil"/>
              <w:right w:val="single" w:color="auto" w:sz="4" w:space="0"/>
            </w:tcBorders>
            <w:vAlign w:val="center"/>
          </w:tcPr>
          <w:p>
            <w:pPr>
              <w:spacing w:line="240" w:lineRule="auto"/>
              <w:jc w:val="center"/>
              <w:rPr>
                <w:rFonts w:hint="eastAsia"/>
                <w:b w:val="0"/>
                <w:bCs/>
                <w:color w:val="auto"/>
                <w:sz w:val="21"/>
                <w:szCs w:val="21"/>
                <w:lang w:val="zh-CN" w:eastAsia="zh-CN"/>
              </w:rPr>
            </w:pPr>
          </w:p>
        </w:tc>
        <w:tc>
          <w:tcPr>
            <w:tcW w:w="1230" w:type="dxa"/>
            <w:tcBorders>
              <w:top w:val="nil"/>
              <w:left w:val="single" w:color="auto" w:sz="4" w:space="0"/>
              <w:right w:val="single" w:color="auto" w:sz="4" w:space="0"/>
            </w:tcBorders>
            <w:vAlign w:val="center"/>
          </w:tcPr>
          <w:p>
            <w:pPr>
              <w:spacing w:line="240" w:lineRule="auto"/>
              <w:jc w:val="center"/>
              <w:rPr>
                <w:rFonts w:hint="eastAsia"/>
                <w:b w:val="0"/>
                <w:bCs/>
                <w:color w:val="auto"/>
                <w:sz w:val="21"/>
                <w:szCs w:val="21"/>
                <w:lang w:val="zh-CN" w:eastAsia="zh-CN"/>
              </w:rPr>
            </w:pPr>
          </w:p>
        </w:tc>
        <w:tc>
          <w:tcPr>
            <w:tcW w:w="1185" w:type="dxa"/>
            <w:tcBorders>
              <w:top w:val="nil"/>
              <w:left w:val="single" w:color="auto" w:sz="4" w:space="0"/>
            </w:tcBorders>
            <w:vAlign w:val="center"/>
          </w:tcPr>
          <w:p>
            <w:pPr>
              <w:spacing w:line="240" w:lineRule="auto"/>
              <w:jc w:val="center"/>
              <w:rPr>
                <w:rFonts w:hint="eastAsia"/>
                <w:b w:val="0"/>
                <w:bCs/>
                <w:color w:val="auto"/>
                <w:sz w:val="21"/>
                <w:szCs w:val="21"/>
                <w:lang w:val="zh-C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976" w:type="dxa"/>
            <w:vAlign w:val="center"/>
          </w:tcPr>
          <w:p>
            <w:pPr>
              <w:spacing w:line="240" w:lineRule="auto"/>
              <w:jc w:val="center"/>
              <w:rPr>
                <w:rFonts w:hint="eastAsia"/>
                <w:b w:val="0"/>
                <w:bCs/>
                <w:color w:val="auto"/>
                <w:sz w:val="21"/>
                <w:szCs w:val="21"/>
                <w:lang w:val="zh-CN" w:eastAsia="zh-CN"/>
              </w:rPr>
            </w:pPr>
          </w:p>
        </w:tc>
        <w:tc>
          <w:tcPr>
            <w:tcW w:w="2075" w:type="dxa"/>
            <w:vAlign w:val="center"/>
          </w:tcPr>
          <w:p>
            <w:pPr>
              <w:spacing w:line="240" w:lineRule="auto"/>
              <w:jc w:val="center"/>
              <w:rPr>
                <w:rFonts w:hint="eastAsia"/>
                <w:b w:val="0"/>
                <w:bCs/>
                <w:color w:val="auto"/>
                <w:sz w:val="21"/>
                <w:szCs w:val="21"/>
                <w:lang w:val="zh-CN" w:eastAsia="zh-CN"/>
              </w:rPr>
            </w:pPr>
          </w:p>
        </w:tc>
        <w:tc>
          <w:tcPr>
            <w:tcW w:w="928" w:type="dxa"/>
            <w:vAlign w:val="center"/>
          </w:tcPr>
          <w:p>
            <w:pPr>
              <w:spacing w:line="240" w:lineRule="auto"/>
              <w:jc w:val="center"/>
              <w:rPr>
                <w:rFonts w:hint="eastAsia"/>
                <w:b w:val="0"/>
                <w:bCs/>
                <w:color w:val="auto"/>
                <w:sz w:val="21"/>
                <w:szCs w:val="21"/>
                <w:lang w:val="zh-CN" w:eastAsia="zh-CN"/>
              </w:rPr>
            </w:pPr>
          </w:p>
        </w:tc>
        <w:tc>
          <w:tcPr>
            <w:tcW w:w="1770" w:type="dxa"/>
            <w:vAlign w:val="center"/>
          </w:tcPr>
          <w:p>
            <w:pPr>
              <w:spacing w:line="240" w:lineRule="auto"/>
              <w:jc w:val="center"/>
              <w:rPr>
                <w:rFonts w:hint="default"/>
                <w:b w:val="0"/>
                <w:bCs/>
                <w:color w:val="auto"/>
                <w:sz w:val="21"/>
                <w:szCs w:val="21"/>
                <w:lang w:val="en-US" w:eastAsia="zh-CN"/>
              </w:rPr>
            </w:pPr>
          </w:p>
        </w:tc>
        <w:tc>
          <w:tcPr>
            <w:tcW w:w="1350" w:type="dxa"/>
            <w:tcBorders>
              <w:right w:val="single" w:color="auto" w:sz="4" w:space="0"/>
            </w:tcBorders>
            <w:vAlign w:val="center"/>
          </w:tcPr>
          <w:p>
            <w:pPr>
              <w:spacing w:line="240" w:lineRule="auto"/>
              <w:jc w:val="center"/>
              <w:rPr>
                <w:rFonts w:hint="eastAsia"/>
                <w:b w:val="0"/>
                <w:bCs/>
                <w:color w:val="auto"/>
                <w:sz w:val="21"/>
                <w:szCs w:val="21"/>
                <w:lang w:val="zh-CN" w:eastAsia="zh-CN"/>
              </w:rPr>
            </w:pPr>
          </w:p>
        </w:tc>
        <w:tc>
          <w:tcPr>
            <w:tcW w:w="1230" w:type="dxa"/>
            <w:tcBorders>
              <w:left w:val="single" w:color="auto" w:sz="4" w:space="0"/>
              <w:right w:val="single" w:color="auto" w:sz="4" w:space="0"/>
            </w:tcBorders>
            <w:vAlign w:val="center"/>
          </w:tcPr>
          <w:p>
            <w:pPr>
              <w:spacing w:line="240" w:lineRule="auto"/>
              <w:jc w:val="center"/>
              <w:rPr>
                <w:rFonts w:hint="eastAsia"/>
                <w:b w:val="0"/>
                <w:bCs/>
                <w:color w:val="auto"/>
                <w:sz w:val="21"/>
                <w:szCs w:val="21"/>
                <w:lang w:val="zh-CN" w:eastAsia="zh-CN"/>
              </w:rPr>
            </w:pPr>
          </w:p>
        </w:tc>
        <w:tc>
          <w:tcPr>
            <w:tcW w:w="1185" w:type="dxa"/>
            <w:tcBorders>
              <w:left w:val="single" w:color="auto" w:sz="4" w:space="0"/>
            </w:tcBorders>
            <w:vAlign w:val="center"/>
          </w:tcPr>
          <w:p>
            <w:pPr>
              <w:spacing w:line="240" w:lineRule="auto"/>
              <w:jc w:val="center"/>
              <w:rPr>
                <w:rFonts w:hint="eastAsia"/>
                <w:b w:val="0"/>
                <w:bCs/>
                <w:color w:val="auto"/>
                <w:sz w:val="21"/>
                <w:szCs w:val="21"/>
                <w:lang w:val="zh-CN" w:eastAsia="zh-CN"/>
              </w:rPr>
            </w:pPr>
          </w:p>
        </w:tc>
      </w:tr>
    </w:tbl>
    <w:p>
      <w:pPr>
        <w:pStyle w:val="5"/>
        <w:rPr>
          <w:rFonts w:hint="eastAsia"/>
          <w:color w:val="auto"/>
          <w:lang w:eastAsia="zh-CN"/>
        </w:rPr>
      </w:pPr>
      <w:r>
        <w:rPr>
          <w:rFonts w:hint="eastAsia"/>
          <w:b/>
          <w:color w:val="auto"/>
          <w:sz w:val="24"/>
          <w:szCs w:val="24"/>
          <w:lang w:eastAsia="zh-CN"/>
        </w:rPr>
        <w:t>注：</w:t>
      </w:r>
      <w:r>
        <w:rPr>
          <w:b/>
          <w:bCs/>
          <w:color w:val="auto"/>
          <w:sz w:val="24"/>
          <w:szCs w:val="24"/>
        </w:rPr>
        <w:t>此项目报价中包括人工费、</w:t>
      </w:r>
      <w:r>
        <w:rPr>
          <w:rFonts w:hint="eastAsia"/>
          <w:b/>
          <w:bCs/>
          <w:color w:val="auto"/>
          <w:sz w:val="24"/>
          <w:szCs w:val="24"/>
        </w:rPr>
        <w:t>运输费、</w:t>
      </w:r>
      <w:r>
        <w:rPr>
          <w:b/>
          <w:bCs/>
          <w:color w:val="auto"/>
          <w:sz w:val="24"/>
          <w:szCs w:val="24"/>
        </w:rPr>
        <w:t>税金、验收费用、相关伴随服务以及售后服务等一切费用</w:t>
      </w:r>
      <w:r>
        <w:rPr>
          <w:rFonts w:hint="eastAsia"/>
          <w:b/>
          <w:bCs/>
          <w:color w:val="auto"/>
          <w:sz w:val="24"/>
          <w:szCs w:val="24"/>
          <w:lang w:eastAsia="zh-CN"/>
        </w:rPr>
        <w:t>。</w:t>
      </w: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b/>
          <w:bCs/>
          <w:color w:val="auto"/>
          <w:sz w:val="24"/>
          <w:szCs w:val="24"/>
          <w:lang w:eastAsia="zh-CN"/>
        </w:rPr>
      </w:pPr>
    </w:p>
    <w:p>
      <w:pPr>
        <w:pageBreakBefore w:val="0"/>
        <w:numPr>
          <w:ilvl w:val="0"/>
          <w:numId w:val="0"/>
        </w:numPr>
        <w:kinsoku/>
        <w:wordWrap/>
        <w:overflowPunct/>
        <w:topLinePunct w:val="0"/>
        <w:autoSpaceDE/>
        <w:autoSpaceDN/>
        <w:bidi w:val="0"/>
        <w:spacing w:line="360" w:lineRule="auto"/>
        <w:ind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二、技术要求</w:t>
      </w:r>
    </w:p>
    <w:p>
      <w:pPr>
        <w:numPr>
          <w:ilvl w:val="0"/>
          <w:numId w:val="0"/>
        </w:numPr>
        <w:spacing w:line="360" w:lineRule="auto"/>
        <w:rPr>
          <w:rFonts w:hint="eastAsia" w:asciiTheme="minorEastAsia" w:hAnsiTheme="minorEastAsia" w:eastAsiaTheme="minorEastAsia" w:cstheme="minorEastAsia"/>
          <w:b/>
          <w:bCs w:val="0"/>
          <w:color w:val="auto"/>
          <w:sz w:val="24"/>
          <w:szCs w:val="24"/>
          <w:lang w:val="zh-CN" w:eastAsia="zh-CN"/>
        </w:rPr>
      </w:pPr>
      <w:r>
        <w:rPr>
          <w:rFonts w:hint="eastAsia" w:asciiTheme="minorEastAsia" w:hAnsiTheme="minorEastAsia" w:eastAsiaTheme="minorEastAsia" w:cstheme="minorEastAsia"/>
          <w:b/>
          <w:bCs w:val="0"/>
          <w:color w:val="auto"/>
          <w:sz w:val="24"/>
          <w:szCs w:val="24"/>
          <w:lang w:val="zh-CN" w:eastAsia="zh-CN"/>
        </w:rPr>
        <w:t>（</w:t>
      </w:r>
      <w:r>
        <w:rPr>
          <w:rFonts w:hint="eastAsia" w:asciiTheme="minorEastAsia" w:hAnsiTheme="minorEastAsia" w:eastAsiaTheme="minorEastAsia" w:cstheme="minorEastAsia"/>
          <w:b/>
          <w:bCs/>
          <w:color w:val="auto"/>
          <w:spacing w:val="-4"/>
          <w:sz w:val="24"/>
          <w:szCs w:val="24"/>
          <w:lang w:val="zh-CN" w:eastAsia="zh-CN"/>
        </w:rPr>
        <w:t>一）退化林修复</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 xml:space="preserve">本项目退化林修复建设规模0.2万亩，其中爱新舍里镇356.2亩、纳达齐牛录乡1279.1亩、绰霍尔乡364.7亩，共区划10个退化林修复小班，具体情况见表 </w:t>
      </w:r>
      <w:r>
        <w:rPr>
          <w:rFonts w:hint="eastAsia"/>
          <w:b w:val="0"/>
          <w:bCs/>
          <w:color w:val="auto"/>
          <w:sz w:val="24"/>
          <w:szCs w:val="24"/>
          <w:lang w:val="en-US" w:eastAsia="zh-CN"/>
        </w:rPr>
        <w:t>2</w:t>
      </w:r>
      <w:r>
        <w:rPr>
          <w:rFonts w:hint="eastAsia"/>
          <w:b w:val="0"/>
          <w:bCs/>
          <w:color w:val="auto"/>
          <w:sz w:val="24"/>
          <w:szCs w:val="24"/>
          <w:lang w:val="zh-CN" w:eastAsia="zh-CN"/>
        </w:rPr>
        <w:t>-</w:t>
      </w:r>
      <w:r>
        <w:rPr>
          <w:rFonts w:hint="eastAsia"/>
          <w:b w:val="0"/>
          <w:bCs/>
          <w:color w:val="auto"/>
          <w:sz w:val="24"/>
          <w:szCs w:val="24"/>
          <w:lang w:val="en-US" w:eastAsia="zh-CN"/>
        </w:rPr>
        <w:t>1</w:t>
      </w:r>
      <w:r>
        <w:rPr>
          <w:rFonts w:hint="eastAsia"/>
          <w:b w:val="0"/>
          <w:bCs/>
          <w:color w:val="auto"/>
          <w:sz w:val="24"/>
          <w:szCs w:val="24"/>
          <w:lang w:val="zh-CN" w:eastAsia="zh-CN"/>
        </w:rPr>
        <w:t>。</w:t>
      </w:r>
    </w:p>
    <w:p>
      <w:pPr>
        <w:keepNext w:val="0"/>
        <w:keepLines w:val="0"/>
        <w:pageBreakBefore w:val="0"/>
        <w:widowControl/>
        <w:kinsoku/>
        <w:wordWrap/>
        <w:overflowPunct/>
        <w:topLinePunct w:val="0"/>
        <w:autoSpaceDE/>
        <w:autoSpaceDN/>
        <w:bidi w:val="0"/>
        <w:adjustRightInd/>
        <w:snapToGrid/>
        <w:spacing w:line="240" w:lineRule="atLeast"/>
        <w:ind w:firstLine="468" w:firstLineChars="195"/>
        <w:textAlignment w:val="baseline"/>
        <w:rPr>
          <w:rFonts w:hint="eastAsia" w:ascii="Times New Roman" w:hAnsi="Times New Roman" w:eastAsia="宋体" w:cs="Times New Roman"/>
          <w:b w:val="0"/>
          <w:bCs/>
          <w:color w:val="auto"/>
          <w:sz w:val="24"/>
          <w:szCs w:val="24"/>
          <w:lang w:val="zh-CN" w:eastAsia="zh-CN"/>
        </w:rPr>
      </w:pPr>
    </w:p>
    <w:p>
      <w:pPr>
        <w:spacing w:line="360" w:lineRule="auto"/>
        <w:jc w:val="both"/>
        <w:rPr>
          <w:rFonts w:hint="eastAsia"/>
          <w:b w:val="0"/>
          <w:bCs/>
          <w:color w:val="auto"/>
          <w:sz w:val="24"/>
          <w:szCs w:val="24"/>
          <w:lang w:val="en-US" w:eastAsia="zh-CN"/>
        </w:rPr>
      </w:pPr>
      <w:r>
        <w:rPr>
          <w:rFonts w:hint="eastAsia"/>
          <w:b w:val="0"/>
          <w:bCs/>
          <w:color w:val="auto"/>
          <w:sz w:val="24"/>
          <w:szCs w:val="24"/>
          <w:lang w:val="zh-CN" w:eastAsia="zh-CN"/>
        </w:rPr>
        <w:t xml:space="preserve">表 </w:t>
      </w:r>
      <w:r>
        <w:rPr>
          <w:rFonts w:hint="eastAsia"/>
          <w:b w:val="0"/>
          <w:bCs/>
          <w:color w:val="auto"/>
          <w:sz w:val="24"/>
          <w:szCs w:val="24"/>
          <w:lang w:val="en-US" w:eastAsia="zh-CN"/>
        </w:rPr>
        <w:t>2</w:t>
      </w:r>
      <w:r>
        <w:rPr>
          <w:rFonts w:hint="eastAsia"/>
          <w:b w:val="0"/>
          <w:bCs/>
          <w:color w:val="auto"/>
          <w:sz w:val="24"/>
          <w:szCs w:val="24"/>
          <w:lang w:val="zh-CN" w:eastAsia="zh-CN"/>
        </w:rPr>
        <w:t>-</w:t>
      </w:r>
      <w:r>
        <w:rPr>
          <w:rFonts w:hint="eastAsia"/>
          <w:b w:val="0"/>
          <w:bCs/>
          <w:color w:val="auto"/>
          <w:sz w:val="24"/>
          <w:szCs w:val="24"/>
          <w:lang w:val="en-US" w:eastAsia="zh-CN"/>
        </w:rPr>
        <w:t>1</w:t>
      </w:r>
      <w:r>
        <w:rPr>
          <w:rFonts w:hint="eastAsia"/>
          <w:b w:val="0"/>
          <w:bCs/>
          <w:color w:val="auto"/>
          <w:sz w:val="24"/>
          <w:szCs w:val="24"/>
          <w:lang w:val="zh-CN" w:eastAsia="zh-CN"/>
        </w:rPr>
        <w:t xml:space="preserve">              退化林修复工程建设规模汇总表</w:t>
      </w:r>
    </w:p>
    <w:p>
      <w:pPr>
        <w:keepNext w:val="0"/>
        <w:keepLines w:val="0"/>
        <w:pageBreakBefore w:val="0"/>
        <w:widowControl/>
        <w:kinsoku/>
        <w:wordWrap/>
        <w:overflowPunct/>
        <w:topLinePunct w:val="0"/>
        <w:autoSpaceDE/>
        <w:autoSpaceDN/>
        <w:bidi w:val="0"/>
        <w:adjustRightInd/>
        <w:snapToGrid/>
        <w:spacing w:line="240" w:lineRule="atLeast"/>
        <w:textAlignment w:val="baseline"/>
        <w:rPr>
          <w:color w:val="auto"/>
        </w:rPr>
      </w:pPr>
    </w:p>
    <w:tbl>
      <w:tblPr>
        <w:tblStyle w:val="91"/>
        <w:tblW w:w="90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276"/>
        <w:gridCol w:w="777"/>
        <w:gridCol w:w="1276"/>
        <w:gridCol w:w="1775"/>
        <w:gridCol w:w="1218"/>
        <w:gridCol w:w="1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jc w:val="center"/>
        </w:trPr>
        <w:tc>
          <w:tcPr>
            <w:tcW w:w="1530" w:type="dxa"/>
            <w:vMerge w:val="restart"/>
            <w:tcBorders>
              <w:bottom w:val="nil"/>
            </w:tcBorders>
            <w:shd w:val="clear" w:color="auto" w:fill="auto"/>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乡（镇）场</w:t>
            </w:r>
          </w:p>
        </w:tc>
        <w:tc>
          <w:tcPr>
            <w:tcW w:w="1276" w:type="dxa"/>
            <w:vMerge w:val="restart"/>
            <w:tcBorders>
              <w:bottom w:val="nil"/>
            </w:tcBorders>
            <w:shd w:val="clear" w:color="auto" w:fill="auto"/>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村（队）</w:t>
            </w:r>
          </w:p>
        </w:tc>
        <w:tc>
          <w:tcPr>
            <w:tcW w:w="777" w:type="dxa"/>
            <w:vMerge w:val="restart"/>
            <w:tcBorders>
              <w:bottom w:val="nil"/>
            </w:tcBorders>
            <w:shd w:val="clear" w:color="auto" w:fill="auto"/>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小班号</w:t>
            </w:r>
          </w:p>
        </w:tc>
        <w:tc>
          <w:tcPr>
            <w:tcW w:w="1276" w:type="dxa"/>
            <w:vMerge w:val="restart"/>
            <w:tcBorders>
              <w:bottom w:val="nil"/>
            </w:tcBorders>
            <w:shd w:val="clear" w:color="auto" w:fill="auto"/>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面积（亩）</w:t>
            </w:r>
          </w:p>
        </w:tc>
        <w:tc>
          <w:tcPr>
            <w:tcW w:w="1775" w:type="dxa"/>
            <w:vMerge w:val="restart"/>
            <w:tcBorders>
              <w:bottom w:val="nil"/>
            </w:tcBorders>
            <w:shd w:val="clear" w:color="auto" w:fill="auto"/>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工程类别</w:t>
            </w:r>
          </w:p>
        </w:tc>
        <w:tc>
          <w:tcPr>
            <w:tcW w:w="2433" w:type="dxa"/>
            <w:gridSpan w:val="2"/>
            <w:shd w:val="clear" w:color="auto" w:fill="auto"/>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四至坐标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 w:hRule="atLeast"/>
          <w:jc w:val="center"/>
        </w:trPr>
        <w:tc>
          <w:tcPr>
            <w:tcW w:w="1530" w:type="dxa"/>
            <w:vMerge w:val="continue"/>
            <w:tcBorders>
              <w:top w:val="nil"/>
            </w:tcBorders>
            <w:shd w:val="clear" w:color="auto" w:fill="auto"/>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shd w:val="clear" w:color="auto" w:fill="auto"/>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tcBorders>
            <w:shd w:val="clear" w:color="auto" w:fill="auto"/>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shd w:val="clear" w:color="auto" w:fill="auto"/>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tcBorders>
            <w:shd w:val="clear" w:color="auto" w:fill="auto"/>
            <w:vAlign w:val="center"/>
          </w:tcPr>
          <w:p>
            <w:pPr>
              <w:spacing w:line="240" w:lineRule="auto"/>
              <w:jc w:val="center"/>
              <w:rPr>
                <w:rFonts w:hint="eastAsia"/>
                <w:b w:val="0"/>
                <w:bCs/>
                <w:color w:val="auto"/>
                <w:sz w:val="21"/>
                <w:szCs w:val="21"/>
                <w:lang w:val="zh-CN" w:eastAsia="zh-CN"/>
              </w:rPr>
            </w:pPr>
          </w:p>
        </w:tc>
        <w:tc>
          <w:tcPr>
            <w:tcW w:w="1218" w:type="dxa"/>
            <w:shd w:val="clear" w:color="auto" w:fill="auto"/>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X 坐标</w:t>
            </w:r>
          </w:p>
        </w:tc>
        <w:tc>
          <w:tcPr>
            <w:tcW w:w="1215" w:type="dxa"/>
            <w:shd w:val="clear" w:color="auto" w:fill="auto"/>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Y 坐标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restart"/>
            <w:tcBorders>
              <w:bottom w:val="nil"/>
            </w:tcBorders>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绰霍尔乡</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龙沟村</w:t>
            </w:r>
          </w:p>
        </w:tc>
        <w:tc>
          <w:tcPr>
            <w:tcW w:w="777" w:type="dxa"/>
            <w:vMerge w:val="restart"/>
            <w:tcBorders>
              <w:bottom w:val="nil"/>
            </w:tcBorders>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1</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151.0</w:t>
            </w:r>
          </w:p>
        </w:tc>
        <w:tc>
          <w:tcPr>
            <w:tcW w:w="1775" w:type="dxa"/>
            <w:vMerge w:val="restart"/>
            <w:tcBorders>
              <w:bottom w:val="nil"/>
            </w:tcBorders>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退化林修复工程</w:t>
            </w: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514405</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4848238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514240</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4848699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514214</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4848069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绰霍尔乡</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龙沟村</w:t>
            </w:r>
          </w:p>
        </w:tc>
        <w:tc>
          <w:tcPr>
            <w:tcW w:w="777"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2</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29.8</w:t>
            </w:r>
          </w:p>
        </w:tc>
        <w:tc>
          <w:tcPr>
            <w:tcW w:w="1775"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退化林修复工程</w:t>
            </w: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514415</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4847873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514334</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4848253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514356</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4848256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514413</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4847868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绰霍尔乡</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龙沟村</w:t>
            </w:r>
          </w:p>
        </w:tc>
        <w:tc>
          <w:tcPr>
            <w:tcW w:w="777"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3</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83.4</w:t>
            </w:r>
          </w:p>
        </w:tc>
        <w:tc>
          <w:tcPr>
            <w:tcW w:w="1775"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退化林修复工程</w:t>
            </w: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514418</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4847774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514215</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4848016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514295</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4848111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514328</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4847670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绰霍尔乡</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龙沟村</w:t>
            </w:r>
          </w:p>
        </w:tc>
        <w:tc>
          <w:tcPr>
            <w:tcW w:w="777"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100.5</w:t>
            </w:r>
          </w:p>
        </w:tc>
        <w:tc>
          <w:tcPr>
            <w:tcW w:w="1775"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退化林修复工程</w:t>
            </w: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514422</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4847638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514222</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4847701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514402</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4847787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514378</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4847286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纳达齐牛录乡</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烟草基地</w:t>
            </w:r>
          </w:p>
        </w:tc>
        <w:tc>
          <w:tcPr>
            <w:tcW w:w="777"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597.4</w:t>
            </w:r>
          </w:p>
        </w:tc>
        <w:tc>
          <w:tcPr>
            <w:tcW w:w="1775"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退化林修复工程</w:t>
            </w: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514682</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4842306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513882</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4842249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514646</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4842483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514134</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4841597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纳达齐牛录乡</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烟草基地</w:t>
            </w:r>
          </w:p>
        </w:tc>
        <w:tc>
          <w:tcPr>
            <w:tcW w:w="777"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6</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154.6</w:t>
            </w:r>
          </w:p>
        </w:tc>
        <w:tc>
          <w:tcPr>
            <w:tcW w:w="1775"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退化林修复工程</w:t>
            </w: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514786</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4841792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514490</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4842219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514682</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4842306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514588</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4841732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纳达齐牛录乡</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烟草基地</w:t>
            </w:r>
          </w:p>
        </w:tc>
        <w:tc>
          <w:tcPr>
            <w:tcW w:w="777"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7</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325.3</w:t>
            </w:r>
          </w:p>
        </w:tc>
        <w:tc>
          <w:tcPr>
            <w:tcW w:w="1775"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退化林修复工程</w:t>
            </w: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515129</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4841937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514649</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4842469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514927</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4842559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514774</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4841854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纳达齐牛录乡</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烟草基地</w:t>
            </w:r>
          </w:p>
        </w:tc>
        <w:tc>
          <w:tcPr>
            <w:tcW w:w="777"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8</w:t>
            </w:r>
          </w:p>
        </w:tc>
        <w:tc>
          <w:tcPr>
            <w:tcW w:w="1276"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201.8</w:t>
            </w:r>
          </w:p>
        </w:tc>
        <w:tc>
          <w:tcPr>
            <w:tcW w:w="1775" w:type="dxa"/>
            <w:vMerge w:val="restart"/>
            <w:tcBorders>
              <w:bottom w:val="nil"/>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退化林修复工程</w:t>
            </w: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515360</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4842055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514946</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4842569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bottom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515163</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4842640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jc w:val="center"/>
        </w:trPr>
        <w:tc>
          <w:tcPr>
            <w:tcW w:w="1530"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top w:val="nil"/>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515148</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4841996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restart"/>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爱新舍里镇</w:t>
            </w:r>
          </w:p>
        </w:tc>
        <w:tc>
          <w:tcPr>
            <w:tcW w:w="1276" w:type="dxa"/>
            <w:vMerge w:val="restart"/>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纳旦芒坎村</w:t>
            </w:r>
          </w:p>
        </w:tc>
        <w:tc>
          <w:tcPr>
            <w:tcW w:w="777" w:type="dxa"/>
            <w:vMerge w:val="restart"/>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9</w:t>
            </w:r>
          </w:p>
        </w:tc>
        <w:tc>
          <w:tcPr>
            <w:tcW w:w="1276" w:type="dxa"/>
            <w:vMerge w:val="restart"/>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185.7</w:t>
            </w:r>
          </w:p>
        </w:tc>
        <w:tc>
          <w:tcPr>
            <w:tcW w:w="1775" w:type="dxa"/>
            <w:vMerge w:val="restart"/>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退化林修复工程</w:t>
            </w: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495649</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4857852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continue"/>
            <w:vAlign w:val="center"/>
          </w:tcPr>
          <w:p>
            <w:pPr>
              <w:spacing w:line="240" w:lineRule="auto"/>
              <w:jc w:val="center"/>
              <w:rPr>
                <w:rFonts w:hint="eastAsia"/>
                <w:b w:val="0"/>
                <w:bCs/>
                <w:color w:val="auto"/>
                <w:sz w:val="21"/>
                <w:szCs w:val="21"/>
                <w:lang w:val="zh-CN" w:eastAsia="zh-CN"/>
              </w:rPr>
            </w:pPr>
          </w:p>
        </w:tc>
        <w:tc>
          <w:tcPr>
            <w:tcW w:w="1276" w:type="dxa"/>
            <w:vMerge w:val="continue"/>
            <w:vAlign w:val="center"/>
          </w:tcPr>
          <w:p>
            <w:pPr>
              <w:spacing w:line="240" w:lineRule="auto"/>
              <w:jc w:val="center"/>
              <w:rPr>
                <w:rFonts w:hint="eastAsia"/>
                <w:b w:val="0"/>
                <w:bCs/>
                <w:color w:val="auto"/>
                <w:sz w:val="21"/>
                <w:szCs w:val="21"/>
                <w:lang w:val="zh-CN" w:eastAsia="zh-CN"/>
              </w:rPr>
            </w:pPr>
          </w:p>
        </w:tc>
        <w:tc>
          <w:tcPr>
            <w:tcW w:w="777" w:type="dxa"/>
            <w:vMerge w:val="continue"/>
            <w:vAlign w:val="center"/>
          </w:tcPr>
          <w:p>
            <w:pPr>
              <w:spacing w:line="240" w:lineRule="auto"/>
              <w:jc w:val="center"/>
              <w:rPr>
                <w:rFonts w:hint="eastAsia"/>
                <w:b w:val="0"/>
                <w:bCs/>
                <w:color w:val="auto"/>
                <w:sz w:val="21"/>
                <w:szCs w:val="21"/>
                <w:lang w:val="zh-CN" w:eastAsia="zh-CN"/>
              </w:rPr>
            </w:pPr>
          </w:p>
        </w:tc>
        <w:tc>
          <w:tcPr>
            <w:tcW w:w="1276" w:type="dxa"/>
            <w:vMerge w:val="continue"/>
            <w:vAlign w:val="center"/>
          </w:tcPr>
          <w:p>
            <w:pPr>
              <w:spacing w:line="240" w:lineRule="auto"/>
              <w:jc w:val="center"/>
              <w:rPr>
                <w:rFonts w:hint="eastAsia"/>
                <w:b w:val="0"/>
                <w:bCs/>
                <w:color w:val="auto"/>
                <w:sz w:val="21"/>
                <w:szCs w:val="21"/>
                <w:lang w:val="zh-CN" w:eastAsia="zh-CN"/>
              </w:rPr>
            </w:pPr>
          </w:p>
        </w:tc>
        <w:tc>
          <w:tcPr>
            <w:tcW w:w="1775" w:type="dxa"/>
            <w:vMerge w:val="continue"/>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495191</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4857774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 w:hRule="atLeast"/>
          <w:jc w:val="center"/>
        </w:trPr>
        <w:tc>
          <w:tcPr>
            <w:tcW w:w="1530" w:type="dxa"/>
            <w:vMerge w:val="continue"/>
            <w:vAlign w:val="center"/>
          </w:tcPr>
          <w:p>
            <w:pPr>
              <w:spacing w:line="240" w:lineRule="auto"/>
              <w:jc w:val="center"/>
              <w:rPr>
                <w:rFonts w:hint="eastAsia"/>
                <w:b w:val="0"/>
                <w:bCs/>
                <w:color w:val="auto"/>
                <w:sz w:val="21"/>
                <w:szCs w:val="21"/>
                <w:lang w:val="zh-CN" w:eastAsia="zh-CN"/>
              </w:rPr>
            </w:pPr>
          </w:p>
        </w:tc>
        <w:tc>
          <w:tcPr>
            <w:tcW w:w="1276" w:type="dxa"/>
            <w:vMerge w:val="continue"/>
            <w:vAlign w:val="center"/>
          </w:tcPr>
          <w:p>
            <w:pPr>
              <w:spacing w:line="240" w:lineRule="auto"/>
              <w:jc w:val="center"/>
              <w:rPr>
                <w:rFonts w:hint="eastAsia"/>
                <w:b w:val="0"/>
                <w:bCs/>
                <w:color w:val="auto"/>
                <w:sz w:val="21"/>
                <w:szCs w:val="21"/>
                <w:lang w:val="zh-CN" w:eastAsia="zh-CN"/>
              </w:rPr>
            </w:pPr>
          </w:p>
        </w:tc>
        <w:tc>
          <w:tcPr>
            <w:tcW w:w="777" w:type="dxa"/>
            <w:vMerge w:val="continue"/>
            <w:vAlign w:val="center"/>
          </w:tcPr>
          <w:p>
            <w:pPr>
              <w:spacing w:line="240" w:lineRule="auto"/>
              <w:jc w:val="center"/>
              <w:rPr>
                <w:rFonts w:hint="eastAsia"/>
                <w:b w:val="0"/>
                <w:bCs/>
                <w:color w:val="auto"/>
                <w:sz w:val="21"/>
                <w:szCs w:val="21"/>
                <w:lang w:val="zh-CN" w:eastAsia="zh-CN"/>
              </w:rPr>
            </w:pPr>
          </w:p>
        </w:tc>
        <w:tc>
          <w:tcPr>
            <w:tcW w:w="1276" w:type="dxa"/>
            <w:vMerge w:val="continue"/>
            <w:vAlign w:val="center"/>
          </w:tcPr>
          <w:p>
            <w:pPr>
              <w:spacing w:line="240" w:lineRule="auto"/>
              <w:jc w:val="center"/>
              <w:rPr>
                <w:rFonts w:hint="eastAsia"/>
                <w:b w:val="0"/>
                <w:bCs/>
                <w:color w:val="auto"/>
                <w:sz w:val="21"/>
                <w:szCs w:val="21"/>
                <w:lang w:val="zh-CN" w:eastAsia="zh-CN"/>
              </w:rPr>
            </w:pPr>
          </w:p>
        </w:tc>
        <w:tc>
          <w:tcPr>
            <w:tcW w:w="1775" w:type="dxa"/>
            <w:vMerge w:val="continue"/>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495328</w:t>
            </w:r>
          </w:p>
        </w:tc>
        <w:tc>
          <w:tcPr>
            <w:tcW w:w="1215" w:type="dxa"/>
            <w:vAlign w:val="center"/>
          </w:tcPr>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4857969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continue"/>
            <w:tcBorders>
              <w:bottom w:val="single" w:color="000000" w:sz="2" w:space="0"/>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bottom w:val="single" w:color="000000" w:sz="2" w:space="0"/>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bottom w:val="single" w:color="000000" w:sz="2" w:space="0"/>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bottom w:val="single" w:color="000000" w:sz="2" w:space="0"/>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bottom w:val="single" w:color="000000" w:sz="2" w:space="0"/>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en-US" w:eastAsia="zh-CN"/>
              </w:rPr>
            </w:pPr>
            <w:r>
              <w:rPr>
                <w:rFonts w:hint="eastAsia"/>
                <w:b w:val="0"/>
                <w:bCs/>
                <w:color w:val="auto"/>
                <w:sz w:val="21"/>
                <w:szCs w:val="21"/>
                <w:lang w:val="zh-CN" w:eastAsia="zh-CN"/>
              </w:rPr>
              <w:t>495422</w:t>
            </w:r>
          </w:p>
        </w:tc>
        <w:tc>
          <w:tcPr>
            <w:tcW w:w="1215" w:type="dxa"/>
            <w:vAlign w:val="center"/>
          </w:tcPr>
          <w:p>
            <w:pPr>
              <w:spacing w:line="240" w:lineRule="auto"/>
              <w:jc w:val="center"/>
              <w:rPr>
                <w:rFonts w:hint="eastAsia"/>
                <w:b w:val="0"/>
                <w:bCs/>
                <w:color w:val="auto"/>
                <w:sz w:val="21"/>
                <w:szCs w:val="21"/>
                <w:lang w:val="en-US" w:eastAsia="zh-CN"/>
              </w:rPr>
            </w:pPr>
            <w:r>
              <w:rPr>
                <w:rFonts w:hint="eastAsia"/>
                <w:b w:val="0"/>
                <w:bCs/>
                <w:color w:val="auto"/>
                <w:sz w:val="21"/>
                <w:szCs w:val="21"/>
                <w:lang w:val="zh-CN" w:eastAsia="zh-CN"/>
              </w:rPr>
              <w:t>4857583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restart"/>
            <w:tcBorders>
              <w:top w:val="single" w:color="000000" w:sz="2" w:space="0"/>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爱新舍里镇</w:t>
            </w:r>
          </w:p>
        </w:tc>
        <w:tc>
          <w:tcPr>
            <w:tcW w:w="1276" w:type="dxa"/>
            <w:vMerge w:val="restart"/>
            <w:tcBorders>
              <w:top w:val="single" w:color="000000" w:sz="2" w:space="0"/>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纳旦芒坎村</w:t>
            </w:r>
          </w:p>
        </w:tc>
        <w:tc>
          <w:tcPr>
            <w:tcW w:w="777" w:type="dxa"/>
            <w:vMerge w:val="restart"/>
            <w:tcBorders>
              <w:top w:val="single" w:color="000000" w:sz="2" w:space="0"/>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10</w:t>
            </w:r>
          </w:p>
        </w:tc>
        <w:tc>
          <w:tcPr>
            <w:tcW w:w="1276" w:type="dxa"/>
            <w:vMerge w:val="restart"/>
            <w:tcBorders>
              <w:top w:val="single" w:color="000000" w:sz="2" w:space="0"/>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170.5</w:t>
            </w:r>
          </w:p>
        </w:tc>
        <w:tc>
          <w:tcPr>
            <w:tcW w:w="1775" w:type="dxa"/>
            <w:vMerge w:val="restart"/>
            <w:tcBorders>
              <w:top w:val="single" w:color="000000" w:sz="2" w:space="0"/>
            </w:tcBorders>
            <w:vAlign w:val="center"/>
          </w:tcPr>
          <w:p>
            <w:pPr>
              <w:spacing w:line="240" w:lineRule="auto"/>
              <w:jc w:val="center"/>
              <w:rPr>
                <w:rFonts w:hint="eastAsia"/>
                <w:b w:val="0"/>
                <w:bCs/>
                <w:color w:val="auto"/>
                <w:sz w:val="21"/>
                <w:szCs w:val="21"/>
                <w:lang w:val="zh-CN" w:eastAsia="zh-CN"/>
              </w:rPr>
            </w:pPr>
          </w:p>
          <w:p>
            <w:pPr>
              <w:spacing w:line="240" w:lineRule="auto"/>
              <w:jc w:val="center"/>
              <w:rPr>
                <w:rFonts w:hint="eastAsia"/>
                <w:b w:val="0"/>
                <w:bCs/>
                <w:color w:val="auto"/>
                <w:sz w:val="21"/>
                <w:szCs w:val="21"/>
                <w:lang w:val="zh-CN" w:eastAsia="zh-CN"/>
              </w:rPr>
            </w:pPr>
            <w:r>
              <w:rPr>
                <w:rFonts w:hint="eastAsia"/>
                <w:b w:val="0"/>
                <w:bCs/>
                <w:color w:val="auto"/>
                <w:sz w:val="21"/>
                <w:szCs w:val="21"/>
                <w:lang w:val="zh-CN" w:eastAsia="zh-CN"/>
              </w:rPr>
              <w:t>退化林修复工程</w:t>
            </w:r>
          </w:p>
        </w:tc>
        <w:tc>
          <w:tcPr>
            <w:tcW w:w="1218" w:type="dxa"/>
            <w:vAlign w:val="center"/>
          </w:tcPr>
          <w:p>
            <w:pPr>
              <w:spacing w:line="240" w:lineRule="auto"/>
              <w:jc w:val="center"/>
              <w:rPr>
                <w:rFonts w:hint="eastAsia"/>
                <w:b w:val="0"/>
                <w:bCs/>
                <w:color w:val="auto"/>
                <w:sz w:val="21"/>
                <w:szCs w:val="21"/>
                <w:lang w:val="en-US" w:eastAsia="zh-CN"/>
              </w:rPr>
            </w:pPr>
            <w:r>
              <w:rPr>
                <w:rFonts w:hint="eastAsia"/>
                <w:b w:val="0"/>
                <w:bCs/>
                <w:color w:val="auto"/>
                <w:sz w:val="21"/>
                <w:szCs w:val="21"/>
                <w:lang w:val="zh-CN" w:eastAsia="zh-CN"/>
              </w:rPr>
              <w:t>496206</w:t>
            </w:r>
          </w:p>
        </w:tc>
        <w:tc>
          <w:tcPr>
            <w:tcW w:w="1215" w:type="dxa"/>
            <w:vAlign w:val="center"/>
          </w:tcPr>
          <w:p>
            <w:pPr>
              <w:spacing w:line="240" w:lineRule="auto"/>
              <w:jc w:val="center"/>
              <w:rPr>
                <w:rFonts w:hint="eastAsia"/>
                <w:b w:val="0"/>
                <w:bCs/>
                <w:color w:val="auto"/>
                <w:sz w:val="21"/>
                <w:szCs w:val="21"/>
                <w:lang w:val="en-US" w:eastAsia="zh-CN"/>
              </w:rPr>
            </w:pPr>
            <w:r>
              <w:rPr>
                <w:rFonts w:hint="eastAsia"/>
                <w:b w:val="0"/>
                <w:bCs/>
                <w:color w:val="auto"/>
                <w:sz w:val="21"/>
                <w:szCs w:val="21"/>
                <w:lang w:val="zh-CN" w:eastAsia="zh-CN"/>
              </w:rPr>
              <w:t>4857509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continue"/>
            <w:vAlign w:val="center"/>
          </w:tcPr>
          <w:p>
            <w:pPr>
              <w:spacing w:line="240" w:lineRule="auto"/>
              <w:jc w:val="center"/>
              <w:rPr>
                <w:rFonts w:hint="eastAsia"/>
                <w:b w:val="0"/>
                <w:bCs/>
                <w:color w:val="auto"/>
                <w:sz w:val="21"/>
                <w:szCs w:val="21"/>
                <w:lang w:val="zh-CN" w:eastAsia="zh-CN"/>
              </w:rPr>
            </w:pPr>
          </w:p>
        </w:tc>
        <w:tc>
          <w:tcPr>
            <w:tcW w:w="1276" w:type="dxa"/>
            <w:vMerge w:val="continue"/>
            <w:vAlign w:val="center"/>
          </w:tcPr>
          <w:p>
            <w:pPr>
              <w:spacing w:line="240" w:lineRule="auto"/>
              <w:jc w:val="center"/>
              <w:rPr>
                <w:rFonts w:hint="eastAsia"/>
                <w:b w:val="0"/>
                <w:bCs/>
                <w:color w:val="auto"/>
                <w:sz w:val="21"/>
                <w:szCs w:val="21"/>
                <w:lang w:val="zh-CN" w:eastAsia="zh-CN"/>
              </w:rPr>
            </w:pPr>
          </w:p>
        </w:tc>
        <w:tc>
          <w:tcPr>
            <w:tcW w:w="777" w:type="dxa"/>
            <w:vMerge w:val="continue"/>
            <w:vAlign w:val="center"/>
          </w:tcPr>
          <w:p>
            <w:pPr>
              <w:spacing w:line="240" w:lineRule="auto"/>
              <w:jc w:val="center"/>
              <w:rPr>
                <w:rFonts w:hint="eastAsia"/>
                <w:b w:val="0"/>
                <w:bCs/>
                <w:color w:val="auto"/>
                <w:sz w:val="21"/>
                <w:szCs w:val="21"/>
                <w:lang w:val="zh-CN" w:eastAsia="zh-CN"/>
              </w:rPr>
            </w:pPr>
          </w:p>
        </w:tc>
        <w:tc>
          <w:tcPr>
            <w:tcW w:w="1276" w:type="dxa"/>
            <w:vMerge w:val="continue"/>
            <w:vAlign w:val="center"/>
          </w:tcPr>
          <w:p>
            <w:pPr>
              <w:spacing w:line="240" w:lineRule="auto"/>
              <w:jc w:val="center"/>
              <w:rPr>
                <w:rFonts w:hint="eastAsia"/>
                <w:b w:val="0"/>
                <w:bCs/>
                <w:color w:val="auto"/>
                <w:sz w:val="21"/>
                <w:szCs w:val="21"/>
                <w:lang w:val="zh-CN" w:eastAsia="zh-CN"/>
              </w:rPr>
            </w:pPr>
          </w:p>
        </w:tc>
        <w:tc>
          <w:tcPr>
            <w:tcW w:w="1775" w:type="dxa"/>
            <w:vMerge w:val="continue"/>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en-US" w:eastAsia="zh-CN"/>
              </w:rPr>
            </w:pPr>
            <w:r>
              <w:rPr>
                <w:rFonts w:hint="eastAsia"/>
                <w:b w:val="0"/>
                <w:bCs/>
                <w:color w:val="auto"/>
                <w:sz w:val="21"/>
                <w:szCs w:val="21"/>
                <w:lang w:val="zh-CN" w:eastAsia="zh-CN"/>
              </w:rPr>
              <w:t>495806</w:t>
            </w:r>
          </w:p>
        </w:tc>
        <w:tc>
          <w:tcPr>
            <w:tcW w:w="1215" w:type="dxa"/>
            <w:vAlign w:val="center"/>
          </w:tcPr>
          <w:p>
            <w:pPr>
              <w:spacing w:line="240" w:lineRule="auto"/>
              <w:jc w:val="center"/>
              <w:rPr>
                <w:rFonts w:hint="eastAsia"/>
                <w:b w:val="0"/>
                <w:bCs/>
                <w:color w:val="auto"/>
                <w:sz w:val="21"/>
                <w:szCs w:val="21"/>
                <w:lang w:val="en-US" w:eastAsia="zh-CN"/>
              </w:rPr>
            </w:pPr>
            <w:r>
              <w:rPr>
                <w:rFonts w:hint="eastAsia"/>
                <w:b w:val="0"/>
                <w:bCs/>
                <w:color w:val="auto"/>
                <w:sz w:val="21"/>
                <w:szCs w:val="21"/>
                <w:lang w:val="zh-CN" w:eastAsia="zh-CN"/>
              </w:rPr>
              <w:t>4857694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530" w:type="dxa"/>
            <w:vMerge w:val="continue"/>
            <w:vAlign w:val="center"/>
          </w:tcPr>
          <w:p>
            <w:pPr>
              <w:spacing w:line="240" w:lineRule="auto"/>
              <w:jc w:val="center"/>
              <w:rPr>
                <w:rFonts w:hint="eastAsia"/>
                <w:b w:val="0"/>
                <w:bCs/>
                <w:color w:val="auto"/>
                <w:sz w:val="21"/>
                <w:szCs w:val="21"/>
                <w:lang w:val="zh-CN" w:eastAsia="zh-CN"/>
              </w:rPr>
            </w:pPr>
          </w:p>
        </w:tc>
        <w:tc>
          <w:tcPr>
            <w:tcW w:w="1276" w:type="dxa"/>
            <w:vMerge w:val="continue"/>
            <w:vAlign w:val="center"/>
          </w:tcPr>
          <w:p>
            <w:pPr>
              <w:spacing w:line="240" w:lineRule="auto"/>
              <w:jc w:val="center"/>
              <w:rPr>
                <w:rFonts w:hint="eastAsia"/>
                <w:b w:val="0"/>
                <w:bCs/>
                <w:color w:val="auto"/>
                <w:sz w:val="21"/>
                <w:szCs w:val="21"/>
                <w:lang w:val="zh-CN" w:eastAsia="zh-CN"/>
              </w:rPr>
            </w:pPr>
          </w:p>
        </w:tc>
        <w:tc>
          <w:tcPr>
            <w:tcW w:w="777" w:type="dxa"/>
            <w:vMerge w:val="continue"/>
            <w:vAlign w:val="center"/>
          </w:tcPr>
          <w:p>
            <w:pPr>
              <w:spacing w:line="240" w:lineRule="auto"/>
              <w:jc w:val="center"/>
              <w:rPr>
                <w:rFonts w:hint="eastAsia"/>
                <w:b w:val="0"/>
                <w:bCs/>
                <w:color w:val="auto"/>
                <w:sz w:val="21"/>
                <w:szCs w:val="21"/>
                <w:lang w:val="zh-CN" w:eastAsia="zh-CN"/>
              </w:rPr>
            </w:pPr>
          </w:p>
        </w:tc>
        <w:tc>
          <w:tcPr>
            <w:tcW w:w="1276" w:type="dxa"/>
            <w:vMerge w:val="continue"/>
            <w:vAlign w:val="center"/>
          </w:tcPr>
          <w:p>
            <w:pPr>
              <w:spacing w:line="240" w:lineRule="auto"/>
              <w:jc w:val="center"/>
              <w:rPr>
                <w:rFonts w:hint="eastAsia"/>
                <w:b w:val="0"/>
                <w:bCs/>
                <w:color w:val="auto"/>
                <w:sz w:val="21"/>
                <w:szCs w:val="21"/>
                <w:lang w:val="zh-CN" w:eastAsia="zh-CN"/>
              </w:rPr>
            </w:pPr>
          </w:p>
        </w:tc>
        <w:tc>
          <w:tcPr>
            <w:tcW w:w="1775" w:type="dxa"/>
            <w:vMerge w:val="continue"/>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en-US" w:eastAsia="zh-CN"/>
              </w:rPr>
            </w:pPr>
            <w:r>
              <w:rPr>
                <w:rFonts w:hint="eastAsia"/>
                <w:b w:val="0"/>
                <w:bCs/>
                <w:color w:val="auto"/>
                <w:sz w:val="21"/>
                <w:szCs w:val="21"/>
                <w:lang w:val="zh-CN" w:eastAsia="zh-CN"/>
              </w:rPr>
              <w:t>495829</w:t>
            </w:r>
          </w:p>
        </w:tc>
        <w:tc>
          <w:tcPr>
            <w:tcW w:w="1215" w:type="dxa"/>
            <w:vAlign w:val="center"/>
          </w:tcPr>
          <w:p>
            <w:pPr>
              <w:spacing w:line="240" w:lineRule="auto"/>
              <w:jc w:val="center"/>
              <w:rPr>
                <w:rFonts w:hint="eastAsia"/>
                <w:b w:val="0"/>
                <w:bCs/>
                <w:color w:val="auto"/>
                <w:sz w:val="21"/>
                <w:szCs w:val="21"/>
                <w:lang w:val="en-US" w:eastAsia="zh-CN"/>
              </w:rPr>
            </w:pPr>
            <w:r>
              <w:rPr>
                <w:rFonts w:hint="eastAsia"/>
                <w:b w:val="0"/>
                <w:bCs/>
                <w:color w:val="auto"/>
                <w:sz w:val="21"/>
                <w:szCs w:val="21"/>
                <w:lang w:val="zh-CN" w:eastAsia="zh-CN"/>
              </w:rPr>
              <w:t>4857835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 w:hRule="atLeast"/>
          <w:jc w:val="center"/>
        </w:trPr>
        <w:tc>
          <w:tcPr>
            <w:tcW w:w="1530" w:type="dxa"/>
            <w:vMerge w:val="continue"/>
            <w:tcBorders>
              <w:bottom w:val="single" w:color="000000" w:sz="2" w:space="0"/>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bottom w:val="single" w:color="000000" w:sz="2" w:space="0"/>
            </w:tcBorders>
            <w:vAlign w:val="center"/>
          </w:tcPr>
          <w:p>
            <w:pPr>
              <w:spacing w:line="240" w:lineRule="auto"/>
              <w:jc w:val="center"/>
              <w:rPr>
                <w:rFonts w:hint="eastAsia"/>
                <w:b w:val="0"/>
                <w:bCs/>
                <w:color w:val="auto"/>
                <w:sz w:val="21"/>
                <w:szCs w:val="21"/>
                <w:lang w:val="zh-CN" w:eastAsia="zh-CN"/>
              </w:rPr>
            </w:pPr>
          </w:p>
        </w:tc>
        <w:tc>
          <w:tcPr>
            <w:tcW w:w="777" w:type="dxa"/>
            <w:vMerge w:val="continue"/>
            <w:tcBorders>
              <w:bottom w:val="single" w:color="000000" w:sz="2" w:space="0"/>
            </w:tcBorders>
            <w:vAlign w:val="center"/>
          </w:tcPr>
          <w:p>
            <w:pPr>
              <w:spacing w:line="240" w:lineRule="auto"/>
              <w:jc w:val="center"/>
              <w:rPr>
                <w:rFonts w:hint="eastAsia"/>
                <w:b w:val="0"/>
                <w:bCs/>
                <w:color w:val="auto"/>
                <w:sz w:val="21"/>
                <w:szCs w:val="21"/>
                <w:lang w:val="zh-CN" w:eastAsia="zh-CN"/>
              </w:rPr>
            </w:pPr>
          </w:p>
        </w:tc>
        <w:tc>
          <w:tcPr>
            <w:tcW w:w="1276" w:type="dxa"/>
            <w:vMerge w:val="continue"/>
            <w:tcBorders>
              <w:bottom w:val="single" w:color="000000" w:sz="2" w:space="0"/>
            </w:tcBorders>
            <w:vAlign w:val="center"/>
          </w:tcPr>
          <w:p>
            <w:pPr>
              <w:spacing w:line="240" w:lineRule="auto"/>
              <w:jc w:val="center"/>
              <w:rPr>
                <w:rFonts w:hint="eastAsia"/>
                <w:b w:val="0"/>
                <w:bCs/>
                <w:color w:val="auto"/>
                <w:sz w:val="21"/>
                <w:szCs w:val="21"/>
                <w:lang w:val="zh-CN" w:eastAsia="zh-CN"/>
              </w:rPr>
            </w:pPr>
          </w:p>
        </w:tc>
        <w:tc>
          <w:tcPr>
            <w:tcW w:w="1775" w:type="dxa"/>
            <w:vMerge w:val="continue"/>
            <w:tcBorders>
              <w:bottom w:val="single" w:color="000000" w:sz="2" w:space="0"/>
            </w:tcBorders>
            <w:vAlign w:val="center"/>
          </w:tcPr>
          <w:p>
            <w:pPr>
              <w:spacing w:line="240" w:lineRule="auto"/>
              <w:jc w:val="center"/>
              <w:rPr>
                <w:rFonts w:hint="eastAsia"/>
                <w:b w:val="0"/>
                <w:bCs/>
                <w:color w:val="auto"/>
                <w:sz w:val="21"/>
                <w:szCs w:val="21"/>
                <w:lang w:val="zh-CN" w:eastAsia="zh-CN"/>
              </w:rPr>
            </w:pPr>
          </w:p>
        </w:tc>
        <w:tc>
          <w:tcPr>
            <w:tcW w:w="1218" w:type="dxa"/>
            <w:vAlign w:val="center"/>
          </w:tcPr>
          <w:p>
            <w:pPr>
              <w:spacing w:line="240" w:lineRule="auto"/>
              <w:jc w:val="center"/>
              <w:rPr>
                <w:rFonts w:hint="eastAsia"/>
                <w:b w:val="0"/>
                <w:bCs/>
                <w:color w:val="auto"/>
                <w:sz w:val="21"/>
                <w:szCs w:val="21"/>
                <w:lang w:val="en-US" w:eastAsia="zh-CN"/>
              </w:rPr>
            </w:pPr>
            <w:r>
              <w:rPr>
                <w:rFonts w:hint="eastAsia"/>
                <w:b w:val="0"/>
                <w:bCs/>
                <w:color w:val="auto"/>
                <w:sz w:val="21"/>
                <w:szCs w:val="21"/>
                <w:lang w:val="zh-CN" w:eastAsia="zh-CN"/>
              </w:rPr>
              <w:t>495897</w:t>
            </w:r>
          </w:p>
        </w:tc>
        <w:tc>
          <w:tcPr>
            <w:tcW w:w="1215" w:type="dxa"/>
            <w:vAlign w:val="center"/>
          </w:tcPr>
          <w:p>
            <w:pPr>
              <w:spacing w:line="240" w:lineRule="auto"/>
              <w:jc w:val="center"/>
              <w:rPr>
                <w:rFonts w:hint="eastAsia"/>
                <w:b w:val="0"/>
                <w:bCs/>
                <w:color w:val="auto"/>
                <w:sz w:val="21"/>
                <w:szCs w:val="21"/>
                <w:lang w:val="en-US" w:eastAsia="zh-CN"/>
              </w:rPr>
            </w:pPr>
            <w:r>
              <w:rPr>
                <w:rFonts w:hint="eastAsia"/>
                <w:b w:val="0"/>
                <w:bCs/>
                <w:color w:val="auto"/>
                <w:sz w:val="21"/>
                <w:szCs w:val="21"/>
                <w:lang w:val="zh-CN" w:eastAsia="zh-CN"/>
              </w:rPr>
              <w:t>4857484</w:t>
            </w:r>
          </w:p>
        </w:tc>
      </w:tr>
    </w:tbl>
    <w:p>
      <w:pPr>
        <w:spacing w:line="279" w:lineRule="auto"/>
        <w:rPr>
          <w:color w:val="auto"/>
        </w:rPr>
      </w:pPr>
    </w:p>
    <w:p>
      <w:pPr>
        <w:keepNext w:val="0"/>
        <w:keepLines w:val="0"/>
        <w:pageBreakBefore w:val="0"/>
        <w:widowControl/>
        <w:kinsoku/>
        <w:wordWrap/>
        <w:overflowPunct/>
        <w:topLinePunct w:val="0"/>
        <w:autoSpaceDE/>
        <w:autoSpaceDN/>
        <w:bidi w:val="0"/>
        <w:adjustRightInd/>
        <w:snapToGrid/>
        <w:spacing w:line="360" w:lineRule="auto"/>
        <w:ind w:left="28" w:right="11" w:firstLine="561"/>
        <w:jc w:val="left"/>
        <w:textAlignment w:val="baseline"/>
        <w:rPr>
          <w:rFonts w:hint="eastAsia" w:asciiTheme="minorEastAsia" w:hAnsiTheme="minorEastAsia" w:eastAsiaTheme="minorEastAsia" w:cstheme="minorEastAsia"/>
          <w:b/>
          <w:bCs/>
          <w:color w:val="auto"/>
          <w:spacing w:val="-4"/>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28" w:right="11" w:firstLine="561"/>
        <w:jc w:val="left"/>
        <w:textAlignment w:val="baseline"/>
        <w:rPr>
          <w:rFonts w:hint="eastAsia" w:asciiTheme="minorEastAsia" w:hAnsiTheme="minorEastAsia" w:eastAsiaTheme="minorEastAsia" w:cstheme="minorEastAsia"/>
          <w:b/>
          <w:bCs/>
          <w:color w:val="auto"/>
          <w:spacing w:val="-4"/>
          <w:sz w:val="24"/>
          <w:szCs w:val="24"/>
        </w:rPr>
      </w:pPr>
      <w:r>
        <w:rPr>
          <w:rFonts w:hint="eastAsia" w:asciiTheme="minorEastAsia" w:hAnsiTheme="minorEastAsia" w:eastAsiaTheme="minorEastAsia" w:cstheme="minorEastAsia"/>
          <w:b/>
          <w:bCs/>
          <w:color w:val="auto"/>
          <w:spacing w:val="-4"/>
          <w:sz w:val="24"/>
          <w:szCs w:val="24"/>
          <w:lang w:val="en-US" w:eastAsia="zh-CN"/>
        </w:rPr>
        <w:t>1.</w:t>
      </w:r>
      <w:r>
        <w:rPr>
          <w:rFonts w:hint="eastAsia" w:asciiTheme="minorEastAsia" w:hAnsiTheme="minorEastAsia" w:eastAsiaTheme="minorEastAsia" w:cstheme="minorEastAsia"/>
          <w:b/>
          <w:bCs/>
          <w:color w:val="auto"/>
          <w:spacing w:val="-4"/>
          <w:sz w:val="24"/>
          <w:szCs w:val="24"/>
        </w:rPr>
        <w:t>退化类型确定</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项目区选择在因气候条件原因退化严重的区域，防护林主林层枯死木、濒死木株数比例达单位面积株数85%以上，并且林相残败、郁闭度降至0.3（含）以下，退化等级为重度退化。</w:t>
      </w:r>
    </w:p>
    <w:p>
      <w:pPr>
        <w:keepNext w:val="0"/>
        <w:keepLines w:val="0"/>
        <w:pageBreakBefore w:val="0"/>
        <w:widowControl/>
        <w:kinsoku/>
        <w:wordWrap/>
        <w:overflowPunct/>
        <w:topLinePunct w:val="0"/>
        <w:autoSpaceDE/>
        <w:autoSpaceDN/>
        <w:bidi w:val="0"/>
        <w:adjustRightInd/>
        <w:snapToGrid/>
        <w:spacing w:line="360" w:lineRule="auto"/>
        <w:ind w:left="28" w:right="11" w:firstLine="561"/>
        <w:jc w:val="left"/>
        <w:textAlignment w:val="baseline"/>
        <w:rPr>
          <w:rFonts w:hint="default" w:asciiTheme="minorEastAsia" w:hAnsiTheme="minorEastAsia" w:eastAsiaTheme="minorEastAsia" w:cstheme="minorEastAsia"/>
          <w:b/>
          <w:bCs/>
          <w:color w:val="auto"/>
          <w:spacing w:val="-4"/>
          <w:sz w:val="24"/>
          <w:szCs w:val="24"/>
          <w:lang w:val="en-US" w:eastAsia="zh-CN"/>
        </w:rPr>
      </w:pPr>
      <w:r>
        <w:rPr>
          <w:rFonts w:hint="eastAsia" w:asciiTheme="minorEastAsia" w:hAnsiTheme="minorEastAsia" w:eastAsiaTheme="minorEastAsia" w:cstheme="minorEastAsia"/>
          <w:b/>
          <w:bCs/>
          <w:color w:val="auto"/>
          <w:spacing w:val="-4"/>
          <w:sz w:val="24"/>
          <w:szCs w:val="24"/>
          <w:lang w:val="en-US" w:eastAsia="zh-CN"/>
        </w:rPr>
        <w:t>2.修复方式选择</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根据退化修复技术规程和项目区实际情况，此次退化林分修复方式确定为更替修复，修复方法采用全面补植方式进行更新。先清除林分内枯死木、濒死木、生长不良木和林业有害生物危害的林木，然后选择适宜树种进行补植更新。</w:t>
      </w:r>
    </w:p>
    <w:p>
      <w:pPr>
        <w:keepNext w:val="0"/>
        <w:keepLines w:val="0"/>
        <w:pageBreakBefore w:val="0"/>
        <w:widowControl/>
        <w:kinsoku/>
        <w:wordWrap/>
        <w:overflowPunct/>
        <w:topLinePunct w:val="0"/>
        <w:autoSpaceDE/>
        <w:autoSpaceDN/>
        <w:bidi w:val="0"/>
        <w:adjustRightInd/>
        <w:snapToGrid/>
        <w:spacing w:line="360" w:lineRule="auto"/>
        <w:ind w:left="28" w:right="11" w:firstLine="561"/>
        <w:jc w:val="left"/>
        <w:textAlignment w:val="baseline"/>
        <w:rPr>
          <w:rFonts w:hint="eastAsia" w:asciiTheme="minorEastAsia" w:hAnsiTheme="minorEastAsia" w:eastAsiaTheme="minorEastAsia" w:cstheme="minorEastAsia"/>
          <w:b/>
          <w:bCs/>
          <w:color w:val="auto"/>
          <w:spacing w:val="-4"/>
          <w:sz w:val="24"/>
          <w:szCs w:val="24"/>
          <w:lang w:val="en-US" w:eastAsia="zh-CN"/>
        </w:rPr>
      </w:pPr>
      <w:r>
        <w:rPr>
          <w:rFonts w:hint="eastAsia" w:asciiTheme="minorEastAsia" w:hAnsiTheme="minorEastAsia" w:eastAsiaTheme="minorEastAsia" w:cstheme="minorEastAsia"/>
          <w:b/>
          <w:bCs/>
          <w:color w:val="auto"/>
          <w:spacing w:val="-4"/>
          <w:sz w:val="24"/>
          <w:szCs w:val="24"/>
          <w:lang w:val="en-US" w:eastAsia="zh-CN"/>
        </w:rPr>
        <w:t>3.方案设计</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3.1枯死、濒死木清理</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一是除去树冠下部已枯死或濒临枯死的枝条；二是消除死节，有利于培育树干通直饱满，促进林木生长；三是剪除树木被病虫害侵染 的病弱枝条；四是修去树木的干枝、枯梢等枝条；五是对影响干形的侧枝和重叠枝也一并剪除；六是及时清理凡枯梢、干部受伤、枝叶稀疏、枯黄或凋落、树干表面有羽化孔及因病虫害而引起树皮表面有异常颜色现象的树木。</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3.2全面补植更新</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退化严重、林木稀疏、林中空地较多的退化防护林，可采用全面补植方式进行更新。先清除林分内枯死木、濒死木、生长不良木和林业有害生物危害的林木，然后选择适宜树种进行补植更新。</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局部穴状整地：一般为直径 0.3～0.5米的圆形穴，依据具体地形开展，整地时先进行人工清除剩余物。</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植穴规格：均为圆穴，直径 40 厘米，深 30 厘米。</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补造方式：补造也采用植苗造林方式，株行距按照补造区域的原设计规格。栽植时苗木竖直，根系舒展，填土一半后提苗踩实，再填土踩实，造林后及时灌水。</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补造要求：平原区当年成活率应当不低于 85%，3年后保存率应当不低于 80%。</w:t>
      </w:r>
    </w:p>
    <w:p>
      <w:pPr>
        <w:spacing w:line="360" w:lineRule="auto"/>
        <w:ind w:firstLine="468" w:firstLineChars="195"/>
        <w:rPr>
          <w:rFonts w:hint="eastAsia"/>
          <w:b w:val="0"/>
          <w:bCs/>
          <w:color w:val="auto"/>
          <w:sz w:val="24"/>
          <w:szCs w:val="24"/>
          <w:lang w:val="en-US" w:eastAsia="zh-CN"/>
        </w:rPr>
      </w:pPr>
      <w:r>
        <w:rPr>
          <w:rFonts w:hint="eastAsia"/>
          <w:b w:val="0"/>
          <w:bCs/>
          <w:color w:val="auto"/>
          <w:sz w:val="24"/>
          <w:szCs w:val="24"/>
          <w:lang w:val="en-US" w:eastAsia="zh-CN"/>
        </w:rPr>
        <w:t>具体退化林修复地块方案设计见表 2-2。</w:t>
      </w:r>
    </w:p>
    <w:p>
      <w:pPr>
        <w:spacing w:before="298" w:line="360" w:lineRule="auto"/>
        <w:ind w:left="28" w:right="13" w:firstLine="559"/>
        <w:jc w:val="left"/>
        <w:rPr>
          <w:rFonts w:hint="eastAsia" w:asciiTheme="minorEastAsia" w:hAnsiTheme="minorEastAsia" w:eastAsiaTheme="minorEastAsia" w:cstheme="minorEastAsia"/>
          <w:color w:val="auto"/>
          <w:spacing w:val="-9"/>
          <w:sz w:val="24"/>
          <w:szCs w:val="24"/>
        </w:rPr>
      </w:pPr>
    </w:p>
    <w:p>
      <w:pPr>
        <w:spacing w:before="298" w:line="360" w:lineRule="auto"/>
        <w:ind w:left="28" w:right="13" w:firstLine="559"/>
        <w:jc w:val="left"/>
        <w:rPr>
          <w:rFonts w:hint="eastAsia" w:asciiTheme="minorEastAsia" w:hAnsiTheme="minorEastAsia" w:eastAsiaTheme="minorEastAsia" w:cstheme="minorEastAsia"/>
          <w:color w:val="auto"/>
          <w:spacing w:val="-9"/>
          <w:sz w:val="24"/>
          <w:szCs w:val="24"/>
        </w:rPr>
      </w:pPr>
    </w:p>
    <w:p>
      <w:pPr>
        <w:spacing w:before="298" w:line="360" w:lineRule="auto"/>
        <w:ind w:left="28" w:right="13" w:firstLine="559"/>
        <w:jc w:val="left"/>
        <w:rPr>
          <w:rFonts w:hint="eastAsia" w:asciiTheme="minorEastAsia" w:hAnsiTheme="minorEastAsia" w:eastAsiaTheme="minorEastAsia" w:cstheme="minorEastAsia"/>
          <w:color w:val="auto"/>
          <w:spacing w:val="-9"/>
          <w:sz w:val="24"/>
          <w:szCs w:val="24"/>
        </w:rPr>
      </w:pPr>
    </w:p>
    <w:p>
      <w:pPr>
        <w:spacing w:line="360" w:lineRule="auto"/>
        <w:jc w:val="both"/>
        <w:rPr>
          <w:rFonts w:hint="eastAsia"/>
          <w:b w:val="0"/>
          <w:bCs/>
          <w:color w:val="auto"/>
          <w:sz w:val="24"/>
          <w:szCs w:val="24"/>
          <w:lang w:val="en-US" w:eastAsia="zh-CN"/>
        </w:rPr>
      </w:pPr>
    </w:p>
    <w:p>
      <w:pPr>
        <w:spacing w:line="360" w:lineRule="auto"/>
        <w:jc w:val="both"/>
        <w:rPr>
          <w:rFonts w:hint="eastAsia"/>
          <w:b w:val="0"/>
          <w:bCs/>
          <w:color w:val="auto"/>
          <w:sz w:val="24"/>
          <w:szCs w:val="24"/>
          <w:lang w:val="en-US" w:eastAsia="zh-CN"/>
        </w:rPr>
      </w:pPr>
      <w:r>
        <w:rPr>
          <w:rFonts w:hint="eastAsia"/>
          <w:b w:val="0"/>
          <w:bCs/>
          <w:color w:val="auto"/>
          <w:sz w:val="24"/>
          <w:szCs w:val="24"/>
          <w:lang w:val="en-US" w:eastAsia="zh-CN"/>
        </w:rPr>
        <w:t>表 2-2                退化林修复工程小班设计一览表</w:t>
      </w:r>
    </w:p>
    <w:p>
      <w:pPr>
        <w:spacing w:line="159" w:lineRule="exact"/>
        <w:rPr>
          <w:color w:val="auto"/>
        </w:rPr>
      </w:pPr>
    </w:p>
    <w:tbl>
      <w:tblPr>
        <w:tblStyle w:val="91"/>
        <w:tblW w:w="9691"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0"/>
        <w:gridCol w:w="1118"/>
        <w:gridCol w:w="682"/>
        <w:gridCol w:w="696"/>
        <w:gridCol w:w="968"/>
        <w:gridCol w:w="1200"/>
        <w:gridCol w:w="2018"/>
        <w:gridCol w:w="719"/>
        <w:gridCol w:w="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0" w:type="dxa"/>
            <w:shd w:val="clear" w:color="auto" w:fill="auto"/>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乡镇</w:t>
            </w:r>
          </w:p>
        </w:tc>
        <w:tc>
          <w:tcPr>
            <w:tcW w:w="1118" w:type="dxa"/>
            <w:shd w:val="clear" w:color="auto" w:fill="auto"/>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村</w:t>
            </w:r>
          </w:p>
        </w:tc>
        <w:tc>
          <w:tcPr>
            <w:tcW w:w="682" w:type="dxa"/>
            <w:shd w:val="clear" w:color="auto" w:fill="auto"/>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小班号</w:t>
            </w:r>
          </w:p>
        </w:tc>
        <w:tc>
          <w:tcPr>
            <w:tcW w:w="696" w:type="dxa"/>
            <w:shd w:val="clear" w:color="auto" w:fill="auto"/>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面积</w:t>
            </w:r>
          </w:p>
        </w:tc>
        <w:tc>
          <w:tcPr>
            <w:tcW w:w="968" w:type="dxa"/>
            <w:shd w:val="clear" w:color="auto" w:fill="auto"/>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修复方式</w:t>
            </w:r>
          </w:p>
        </w:tc>
        <w:tc>
          <w:tcPr>
            <w:tcW w:w="1200" w:type="dxa"/>
            <w:shd w:val="clear" w:color="auto" w:fill="auto"/>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林种</w:t>
            </w:r>
          </w:p>
        </w:tc>
        <w:tc>
          <w:tcPr>
            <w:tcW w:w="2018" w:type="dxa"/>
            <w:shd w:val="clear" w:color="auto" w:fill="auto"/>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树种</w:t>
            </w:r>
          </w:p>
        </w:tc>
        <w:tc>
          <w:tcPr>
            <w:tcW w:w="719" w:type="dxa"/>
            <w:shd w:val="clear" w:color="auto" w:fill="auto"/>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株行距</w:t>
            </w:r>
          </w:p>
        </w:tc>
        <w:tc>
          <w:tcPr>
            <w:tcW w:w="940" w:type="dxa"/>
            <w:shd w:val="clear" w:color="auto" w:fill="auto"/>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造林时间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5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绰霍尔乡</w:t>
            </w:r>
          </w:p>
        </w:tc>
        <w:tc>
          <w:tcPr>
            <w:tcW w:w="11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龙沟村</w:t>
            </w:r>
          </w:p>
        </w:tc>
        <w:tc>
          <w:tcPr>
            <w:tcW w:w="682"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1</w:t>
            </w:r>
          </w:p>
        </w:tc>
        <w:tc>
          <w:tcPr>
            <w:tcW w:w="696"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151.0</w:t>
            </w:r>
          </w:p>
        </w:tc>
        <w:tc>
          <w:tcPr>
            <w:tcW w:w="96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更替修复</w:t>
            </w:r>
          </w:p>
        </w:tc>
        <w:tc>
          <w:tcPr>
            <w:tcW w:w="120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防风固沙林</w:t>
            </w:r>
          </w:p>
        </w:tc>
        <w:tc>
          <w:tcPr>
            <w:tcW w:w="20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白蜡</w:t>
            </w:r>
          </w:p>
        </w:tc>
        <w:tc>
          <w:tcPr>
            <w:tcW w:w="719"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2*2</w:t>
            </w:r>
          </w:p>
        </w:tc>
        <w:tc>
          <w:tcPr>
            <w:tcW w:w="94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2021年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35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绰霍尔乡</w:t>
            </w:r>
          </w:p>
        </w:tc>
        <w:tc>
          <w:tcPr>
            <w:tcW w:w="11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龙沟村</w:t>
            </w:r>
          </w:p>
        </w:tc>
        <w:tc>
          <w:tcPr>
            <w:tcW w:w="682"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w:t>
            </w:r>
          </w:p>
        </w:tc>
        <w:tc>
          <w:tcPr>
            <w:tcW w:w="696"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29.8</w:t>
            </w:r>
          </w:p>
        </w:tc>
        <w:tc>
          <w:tcPr>
            <w:tcW w:w="96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更替修复</w:t>
            </w:r>
          </w:p>
        </w:tc>
        <w:tc>
          <w:tcPr>
            <w:tcW w:w="120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防风固沙林</w:t>
            </w:r>
          </w:p>
        </w:tc>
        <w:tc>
          <w:tcPr>
            <w:tcW w:w="20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白蜡</w:t>
            </w:r>
          </w:p>
        </w:tc>
        <w:tc>
          <w:tcPr>
            <w:tcW w:w="719"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2*2</w:t>
            </w:r>
          </w:p>
        </w:tc>
        <w:tc>
          <w:tcPr>
            <w:tcW w:w="94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2021年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5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绰霍尔乡</w:t>
            </w:r>
          </w:p>
        </w:tc>
        <w:tc>
          <w:tcPr>
            <w:tcW w:w="11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龙沟村</w:t>
            </w:r>
          </w:p>
        </w:tc>
        <w:tc>
          <w:tcPr>
            <w:tcW w:w="682"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3</w:t>
            </w:r>
          </w:p>
        </w:tc>
        <w:tc>
          <w:tcPr>
            <w:tcW w:w="696"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83.4</w:t>
            </w:r>
          </w:p>
        </w:tc>
        <w:tc>
          <w:tcPr>
            <w:tcW w:w="96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更替修复</w:t>
            </w:r>
          </w:p>
        </w:tc>
        <w:tc>
          <w:tcPr>
            <w:tcW w:w="120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防风固沙林</w:t>
            </w:r>
          </w:p>
        </w:tc>
        <w:tc>
          <w:tcPr>
            <w:tcW w:w="20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白蜡</w:t>
            </w:r>
          </w:p>
        </w:tc>
        <w:tc>
          <w:tcPr>
            <w:tcW w:w="719"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2*2</w:t>
            </w:r>
          </w:p>
        </w:tc>
        <w:tc>
          <w:tcPr>
            <w:tcW w:w="94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2021年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5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绰霍尔乡</w:t>
            </w:r>
          </w:p>
        </w:tc>
        <w:tc>
          <w:tcPr>
            <w:tcW w:w="11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龙沟村</w:t>
            </w:r>
          </w:p>
        </w:tc>
        <w:tc>
          <w:tcPr>
            <w:tcW w:w="682"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4</w:t>
            </w:r>
          </w:p>
        </w:tc>
        <w:tc>
          <w:tcPr>
            <w:tcW w:w="696"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100.5</w:t>
            </w:r>
          </w:p>
        </w:tc>
        <w:tc>
          <w:tcPr>
            <w:tcW w:w="96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更替修复</w:t>
            </w:r>
          </w:p>
        </w:tc>
        <w:tc>
          <w:tcPr>
            <w:tcW w:w="120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防风固沙林</w:t>
            </w:r>
          </w:p>
        </w:tc>
        <w:tc>
          <w:tcPr>
            <w:tcW w:w="20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树上干杏+西梅</w:t>
            </w:r>
          </w:p>
        </w:tc>
        <w:tc>
          <w:tcPr>
            <w:tcW w:w="719"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6*1.5</w:t>
            </w:r>
          </w:p>
        </w:tc>
        <w:tc>
          <w:tcPr>
            <w:tcW w:w="94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2021年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5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纳达齐牛录乡</w:t>
            </w:r>
          </w:p>
        </w:tc>
        <w:tc>
          <w:tcPr>
            <w:tcW w:w="11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烟草基地</w:t>
            </w:r>
          </w:p>
        </w:tc>
        <w:tc>
          <w:tcPr>
            <w:tcW w:w="682"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5</w:t>
            </w:r>
          </w:p>
        </w:tc>
        <w:tc>
          <w:tcPr>
            <w:tcW w:w="696"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597.4</w:t>
            </w:r>
          </w:p>
        </w:tc>
        <w:tc>
          <w:tcPr>
            <w:tcW w:w="96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更替修复</w:t>
            </w:r>
          </w:p>
        </w:tc>
        <w:tc>
          <w:tcPr>
            <w:tcW w:w="120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防风固沙林</w:t>
            </w:r>
          </w:p>
        </w:tc>
        <w:tc>
          <w:tcPr>
            <w:tcW w:w="20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西梅+香妃海棠+苹果</w:t>
            </w:r>
          </w:p>
        </w:tc>
        <w:tc>
          <w:tcPr>
            <w:tcW w:w="719"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6*2</w:t>
            </w:r>
          </w:p>
        </w:tc>
        <w:tc>
          <w:tcPr>
            <w:tcW w:w="94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2021年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5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纳达齐牛录乡</w:t>
            </w:r>
          </w:p>
        </w:tc>
        <w:tc>
          <w:tcPr>
            <w:tcW w:w="11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烟草基地</w:t>
            </w:r>
          </w:p>
        </w:tc>
        <w:tc>
          <w:tcPr>
            <w:tcW w:w="682"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6</w:t>
            </w:r>
          </w:p>
        </w:tc>
        <w:tc>
          <w:tcPr>
            <w:tcW w:w="696"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154.6</w:t>
            </w:r>
          </w:p>
        </w:tc>
        <w:tc>
          <w:tcPr>
            <w:tcW w:w="96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更替修复</w:t>
            </w:r>
          </w:p>
        </w:tc>
        <w:tc>
          <w:tcPr>
            <w:tcW w:w="120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防风固沙林</w:t>
            </w:r>
          </w:p>
        </w:tc>
        <w:tc>
          <w:tcPr>
            <w:tcW w:w="20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白蜡</w:t>
            </w:r>
          </w:p>
        </w:tc>
        <w:tc>
          <w:tcPr>
            <w:tcW w:w="719"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2*2</w:t>
            </w:r>
          </w:p>
        </w:tc>
        <w:tc>
          <w:tcPr>
            <w:tcW w:w="94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2021年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5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纳达齐牛录乡</w:t>
            </w:r>
          </w:p>
        </w:tc>
        <w:tc>
          <w:tcPr>
            <w:tcW w:w="11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烟草基地</w:t>
            </w:r>
          </w:p>
        </w:tc>
        <w:tc>
          <w:tcPr>
            <w:tcW w:w="682"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7</w:t>
            </w:r>
          </w:p>
        </w:tc>
        <w:tc>
          <w:tcPr>
            <w:tcW w:w="696"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325.3</w:t>
            </w:r>
          </w:p>
        </w:tc>
        <w:tc>
          <w:tcPr>
            <w:tcW w:w="96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更替修复</w:t>
            </w:r>
          </w:p>
        </w:tc>
        <w:tc>
          <w:tcPr>
            <w:tcW w:w="120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防风固沙林</w:t>
            </w:r>
          </w:p>
        </w:tc>
        <w:tc>
          <w:tcPr>
            <w:tcW w:w="20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西梅</w:t>
            </w:r>
          </w:p>
        </w:tc>
        <w:tc>
          <w:tcPr>
            <w:tcW w:w="719"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6*2</w:t>
            </w:r>
          </w:p>
        </w:tc>
        <w:tc>
          <w:tcPr>
            <w:tcW w:w="94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2021年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5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纳达齐牛录乡</w:t>
            </w:r>
          </w:p>
        </w:tc>
        <w:tc>
          <w:tcPr>
            <w:tcW w:w="11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烟草基地</w:t>
            </w:r>
          </w:p>
        </w:tc>
        <w:tc>
          <w:tcPr>
            <w:tcW w:w="682"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8</w:t>
            </w:r>
          </w:p>
        </w:tc>
        <w:tc>
          <w:tcPr>
            <w:tcW w:w="696"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201.8</w:t>
            </w:r>
          </w:p>
        </w:tc>
        <w:tc>
          <w:tcPr>
            <w:tcW w:w="96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更替修复</w:t>
            </w:r>
          </w:p>
        </w:tc>
        <w:tc>
          <w:tcPr>
            <w:tcW w:w="120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防风固沙林</w:t>
            </w:r>
          </w:p>
        </w:tc>
        <w:tc>
          <w:tcPr>
            <w:tcW w:w="20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白蜡</w:t>
            </w:r>
          </w:p>
        </w:tc>
        <w:tc>
          <w:tcPr>
            <w:tcW w:w="719"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2*2</w:t>
            </w:r>
          </w:p>
        </w:tc>
        <w:tc>
          <w:tcPr>
            <w:tcW w:w="94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2021年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5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爱新舍里镇</w:t>
            </w:r>
          </w:p>
        </w:tc>
        <w:tc>
          <w:tcPr>
            <w:tcW w:w="11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纳旦芒坎村</w:t>
            </w:r>
          </w:p>
        </w:tc>
        <w:tc>
          <w:tcPr>
            <w:tcW w:w="682"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9</w:t>
            </w:r>
          </w:p>
        </w:tc>
        <w:tc>
          <w:tcPr>
            <w:tcW w:w="696"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185.7</w:t>
            </w:r>
          </w:p>
        </w:tc>
        <w:tc>
          <w:tcPr>
            <w:tcW w:w="96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更替修复</w:t>
            </w:r>
          </w:p>
        </w:tc>
        <w:tc>
          <w:tcPr>
            <w:tcW w:w="120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防风固沙林</w:t>
            </w:r>
          </w:p>
        </w:tc>
        <w:tc>
          <w:tcPr>
            <w:tcW w:w="20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树上干杏+西梅</w:t>
            </w:r>
          </w:p>
        </w:tc>
        <w:tc>
          <w:tcPr>
            <w:tcW w:w="719"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6*3</w:t>
            </w:r>
          </w:p>
        </w:tc>
        <w:tc>
          <w:tcPr>
            <w:tcW w:w="94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2021年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5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爱新舍里镇</w:t>
            </w:r>
          </w:p>
        </w:tc>
        <w:tc>
          <w:tcPr>
            <w:tcW w:w="11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纳旦芒坎村</w:t>
            </w:r>
          </w:p>
        </w:tc>
        <w:tc>
          <w:tcPr>
            <w:tcW w:w="682"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10</w:t>
            </w:r>
          </w:p>
        </w:tc>
        <w:tc>
          <w:tcPr>
            <w:tcW w:w="696"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170.5</w:t>
            </w:r>
          </w:p>
        </w:tc>
        <w:tc>
          <w:tcPr>
            <w:tcW w:w="96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更替修复</w:t>
            </w:r>
          </w:p>
        </w:tc>
        <w:tc>
          <w:tcPr>
            <w:tcW w:w="120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防风固沙林</w:t>
            </w:r>
          </w:p>
        </w:tc>
        <w:tc>
          <w:tcPr>
            <w:tcW w:w="2018"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树上干杏</w:t>
            </w:r>
          </w:p>
        </w:tc>
        <w:tc>
          <w:tcPr>
            <w:tcW w:w="719"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6*3</w:t>
            </w:r>
          </w:p>
        </w:tc>
        <w:tc>
          <w:tcPr>
            <w:tcW w:w="940" w:type="dxa"/>
            <w:vAlign w:val="center"/>
          </w:tcPr>
          <w:p>
            <w:pPr>
              <w:spacing w:line="360" w:lineRule="auto"/>
              <w:jc w:val="center"/>
              <w:rPr>
                <w:rFonts w:hint="eastAsia"/>
                <w:b w:val="0"/>
                <w:bCs/>
                <w:color w:val="auto"/>
                <w:sz w:val="21"/>
                <w:szCs w:val="21"/>
                <w:lang w:val="zh-CN" w:eastAsia="zh-CN"/>
              </w:rPr>
            </w:pPr>
            <w:r>
              <w:rPr>
                <w:rFonts w:hint="eastAsia"/>
                <w:b w:val="0"/>
                <w:bCs/>
                <w:color w:val="auto"/>
                <w:sz w:val="21"/>
                <w:szCs w:val="21"/>
                <w:lang w:val="zh-CN" w:eastAsia="zh-CN"/>
              </w:rPr>
              <w:t>2021年</w:t>
            </w:r>
          </w:p>
        </w:tc>
      </w:tr>
    </w:tbl>
    <w:p>
      <w:pPr>
        <w:numPr>
          <w:ilvl w:val="0"/>
          <w:numId w:val="0"/>
        </w:numPr>
        <w:spacing w:line="360" w:lineRule="auto"/>
        <w:rPr>
          <w:rFonts w:hint="eastAsia" w:asciiTheme="minorEastAsia" w:hAnsiTheme="minorEastAsia" w:eastAsiaTheme="minorEastAsia" w:cstheme="minorEastAsia"/>
          <w:b/>
          <w:bCs w:val="0"/>
          <w:color w:val="auto"/>
          <w:sz w:val="24"/>
          <w:szCs w:val="24"/>
          <w:lang w:val="zh-CN" w:eastAsia="zh-CN"/>
        </w:rPr>
      </w:pPr>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jc w:val="center"/>
        <w:rPr>
          <w:b/>
          <w:color w:val="auto"/>
          <w:sz w:val="30"/>
          <w:szCs w:val="30"/>
        </w:rPr>
      </w:pPr>
    </w:p>
    <w:p>
      <w:pPr>
        <w:jc w:val="center"/>
        <w:rPr>
          <w:b/>
          <w:color w:val="auto"/>
          <w:sz w:val="30"/>
          <w:szCs w:val="30"/>
        </w:rPr>
      </w:pPr>
    </w:p>
    <w:p>
      <w:pPr>
        <w:spacing w:line="360" w:lineRule="auto"/>
        <w:jc w:val="center"/>
        <w:outlineLvl w:val="0"/>
        <w:rPr>
          <w:b/>
          <w:color w:val="auto"/>
          <w:sz w:val="32"/>
          <w:szCs w:val="32"/>
        </w:rPr>
      </w:pPr>
      <w:r>
        <w:rPr>
          <w:b/>
          <w:color w:val="auto"/>
          <w:sz w:val="32"/>
          <w:szCs w:val="32"/>
        </w:rPr>
        <w:t>第五章  合同条款及格式</w:t>
      </w:r>
      <w:bookmarkEnd w:id="55"/>
      <w:bookmarkEnd w:id="56"/>
    </w:p>
    <w:p>
      <w:pPr>
        <w:spacing w:line="360" w:lineRule="auto"/>
        <w:ind w:firstLine="470" w:firstLineChars="195"/>
        <w:jc w:val="center"/>
        <w:rPr>
          <w:rFonts w:hint="eastAsia"/>
          <w:b/>
          <w:bCs w:val="0"/>
          <w:color w:val="auto"/>
          <w:sz w:val="24"/>
          <w:szCs w:val="24"/>
          <w:lang w:val="zh-CN" w:eastAsia="zh-CN"/>
        </w:rPr>
      </w:pPr>
      <w:bookmarkStart w:id="57" w:name="_Toc22700"/>
      <w:bookmarkStart w:id="58" w:name="_Toc451410637"/>
      <w:r>
        <w:rPr>
          <w:rFonts w:hint="eastAsia"/>
          <w:b/>
          <w:bCs w:val="0"/>
          <w:color w:val="auto"/>
          <w:sz w:val="24"/>
          <w:szCs w:val="24"/>
          <w:lang w:val="zh-CN" w:eastAsia="zh-CN"/>
        </w:rPr>
        <w:t>一、合同协议书（格式）</w:t>
      </w:r>
      <w:bookmarkEnd w:id="57"/>
      <w:bookmarkEnd w:id="58"/>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合同名称                                           编号</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甲    方：                                   乙    方：</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电    话：                                   电    话：</w:t>
      </w:r>
    </w:p>
    <w:p>
      <w:pPr>
        <w:spacing w:line="360" w:lineRule="auto"/>
        <w:ind w:firstLine="480" w:firstLineChars="200"/>
        <w:rPr>
          <w:rFonts w:hint="eastAsia"/>
          <w:b w:val="0"/>
          <w:bCs/>
          <w:color w:val="auto"/>
          <w:sz w:val="24"/>
          <w:szCs w:val="24"/>
          <w:lang w:val="zh-CN" w:eastAsia="zh-CN"/>
        </w:rPr>
      </w:pPr>
      <w:r>
        <w:rPr>
          <w:rFonts w:hint="eastAsia"/>
          <w:b w:val="0"/>
          <w:bCs/>
          <w:color w:val="auto"/>
          <w:sz w:val="24"/>
          <w:szCs w:val="24"/>
          <w:u w:val="single" w:color="auto"/>
          <w:lang w:val="zh-CN" w:eastAsia="zh-CN"/>
        </w:rPr>
        <w:t>（甲方）</w:t>
      </w:r>
      <w:r>
        <w:rPr>
          <w:rFonts w:hint="eastAsia"/>
          <w:b w:val="0"/>
          <w:bCs/>
          <w:color w:val="auto"/>
          <w:sz w:val="24"/>
          <w:szCs w:val="24"/>
          <w:lang w:val="zh-CN" w:eastAsia="zh-CN"/>
        </w:rPr>
        <w:t>的</w:t>
      </w:r>
      <w:r>
        <w:rPr>
          <w:rFonts w:hint="eastAsia"/>
          <w:b w:val="0"/>
          <w:bCs/>
          <w:color w:val="auto"/>
          <w:sz w:val="24"/>
          <w:szCs w:val="24"/>
          <w:u w:val="single" w:color="auto"/>
          <w:lang w:val="zh-CN" w:eastAsia="zh-CN"/>
        </w:rPr>
        <w:t>（项目名称）</w:t>
      </w:r>
      <w:r>
        <w:rPr>
          <w:rFonts w:hint="eastAsia"/>
          <w:b w:val="0"/>
          <w:bCs/>
          <w:color w:val="auto"/>
          <w:sz w:val="24"/>
          <w:szCs w:val="24"/>
          <w:lang w:val="zh-CN" w:eastAsia="zh-CN"/>
        </w:rPr>
        <w:t>中所需</w:t>
      </w:r>
      <w:r>
        <w:rPr>
          <w:rFonts w:hint="eastAsia"/>
          <w:b w:val="0"/>
          <w:bCs/>
          <w:color w:val="auto"/>
          <w:sz w:val="24"/>
          <w:szCs w:val="24"/>
          <w:u w:val="single" w:color="auto"/>
          <w:lang w:val="zh-CN" w:eastAsia="zh-CN"/>
        </w:rPr>
        <w:t>（产品名称）</w:t>
      </w:r>
      <w:r>
        <w:rPr>
          <w:rFonts w:hint="eastAsia"/>
          <w:b w:val="0"/>
          <w:bCs/>
          <w:color w:val="auto"/>
          <w:sz w:val="24"/>
          <w:szCs w:val="24"/>
          <w:lang w:val="zh-CN" w:eastAsia="zh-CN"/>
        </w:rPr>
        <w:t>经公开招标，确定</w:t>
      </w:r>
      <w:r>
        <w:rPr>
          <w:rFonts w:hint="eastAsia"/>
          <w:b w:val="0"/>
          <w:bCs/>
          <w:color w:val="auto"/>
          <w:sz w:val="24"/>
          <w:szCs w:val="24"/>
          <w:u w:val="single" w:color="auto"/>
          <w:lang w:val="zh-CN" w:eastAsia="zh-CN"/>
        </w:rPr>
        <w:t>（乙方）</w:t>
      </w:r>
      <w:r>
        <w:rPr>
          <w:rFonts w:hint="eastAsia"/>
          <w:b w:val="0"/>
          <w:bCs/>
          <w:color w:val="auto"/>
          <w:sz w:val="24"/>
          <w:szCs w:val="24"/>
          <w:lang w:val="zh-CN" w:eastAsia="zh-CN"/>
        </w:rPr>
        <w:t>为中标人。按照中华人民共和国合同法的规定，甲乙双方同意按照下述的条款和条件，签署本合同。</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1、本合同文件</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下列每一文件均应作为合同的组成部分进行阅读和解释：</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（1）招标文件（2）投标文件（3）中标通知书</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（4）经双方确认进入合同的其它文件、补充条款或说明</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2、合同总价</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合同总价为</w:t>
      </w:r>
      <w:r>
        <w:rPr>
          <w:rFonts w:hint="eastAsia"/>
          <w:b w:val="0"/>
          <w:bCs/>
          <w:color w:val="auto"/>
          <w:sz w:val="24"/>
          <w:szCs w:val="24"/>
          <w:u w:val="single" w:color="auto"/>
          <w:lang w:val="zh-CN" w:eastAsia="zh-CN"/>
        </w:rPr>
        <w:t xml:space="preserve">               </w:t>
      </w:r>
      <w:r>
        <w:rPr>
          <w:rFonts w:hint="eastAsia"/>
          <w:b w:val="0"/>
          <w:bCs/>
          <w:color w:val="auto"/>
          <w:sz w:val="24"/>
          <w:szCs w:val="24"/>
          <w:lang w:val="zh-CN" w:eastAsia="zh-CN"/>
        </w:rPr>
        <w:t>元人民币。</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3、付款方式：</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4、合同交货工期</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自签订合同之日起</w:t>
      </w:r>
      <w:r>
        <w:rPr>
          <w:rFonts w:hint="eastAsia"/>
          <w:b w:val="0"/>
          <w:bCs/>
          <w:color w:val="auto"/>
          <w:sz w:val="24"/>
          <w:szCs w:val="24"/>
          <w:u w:val="single" w:color="auto"/>
          <w:lang w:val="zh-CN" w:eastAsia="zh-CN"/>
        </w:rPr>
        <w:t xml:space="preserve">    </w:t>
      </w:r>
      <w:r>
        <w:rPr>
          <w:rFonts w:hint="eastAsia"/>
          <w:b w:val="0"/>
          <w:bCs/>
          <w:color w:val="auto"/>
          <w:sz w:val="24"/>
          <w:szCs w:val="24"/>
          <w:lang w:val="zh-CN" w:eastAsia="zh-CN"/>
        </w:rPr>
        <w:t>个日历天内开始供货。投标人自报的承诺工期为考核标准，每推迟一天，</w:t>
      </w:r>
      <w:r>
        <w:rPr>
          <w:rFonts w:hint="eastAsia"/>
          <w:b w:val="0"/>
          <w:bCs/>
          <w:color w:val="auto"/>
          <w:sz w:val="24"/>
          <w:szCs w:val="24"/>
          <w:u w:val="single" w:color="auto"/>
          <w:lang w:val="en-US" w:eastAsia="zh-CN"/>
        </w:rPr>
        <w:t xml:space="preserve">  </w:t>
      </w:r>
      <w:r>
        <w:rPr>
          <w:rFonts w:hint="eastAsia"/>
          <w:b w:val="0"/>
          <w:bCs/>
          <w:color w:val="auto"/>
          <w:sz w:val="24"/>
          <w:szCs w:val="24"/>
          <w:u w:val="single" w:color="auto"/>
          <w:lang w:val="zh-CN" w:eastAsia="zh-CN"/>
        </w:rPr>
        <w:t xml:space="preserve"> / </w:t>
      </w:r>
      <w:r>
        <w:rPr>
          <w:rFonts w:hint="eastAsia"/>
          <w:b w:val="0"/>
          <w:bCs/>
          <w:color w:val="auto"/>
          <w:sz w:val="24"/>
          <w:szCs w:val="24"/>
          <w:u w:val="single" w:color="auto"/>
          <w:lang w:val="en-US" w:eastAsia="zh-CN"/>
        </w:rPr>
        <w:t xml:space="preserve">  </w:t>
      </w:r>
      <w:r>
        <w:rPr>
          <w:rFonts w:hint="eastAsia"/>
          <w:b w:val="0"/>
          <w:bCs/>
          <w:color w:val="auto"/>
          <w:sz w:val="24"/>
          <w:szCs w:val="24"/>
          <w:lang w:val="zh-CN" w:eastAsia="zh-CN"/>
        </w:rPr>
        <w:t xml:space="preserve">。          </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5、保密条款</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签定保密协议等</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6、合同的生效</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合同经双方授权代表签署，甲乙双方加盖印章之后生效。</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本合同一式     份，双方各执     份。</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买  方：                          卖  方：</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名  称：（盖章）                  名  称：（盖章）</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法定代表人（或委托代理人）：       法定代表人（或委托代理人）：</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（签字）                        （签字）</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地    址：                        地    址：</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邮政编码：                        邮政编码：</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电    话：                        电    话：</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开户银行：                        开户银行：</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帐    号：                        帐    号：</w:t>
      </w:r>
      <w:bookmarkStart w:id="59" w:name="_Toc451410638"/>
      <w:bookmarkStart w:id="60" w:name="_Toc152045610"/>
      <w:bookmarkStart w:id="61" w:name="_Toc247085768"/>
      <w:bookmarkStart w:id="62" w:name="_Toc246996996"/>
      <w:bookmarkStart w:id="63" w:name="_Toc296602498"/>
      <w:bookmarkStart w:id="64" w:name="_Toc152042388"/>
      <w:bookmarkStart w:id="65" w:name="_Toc144974578"/>
      <w:bookmarkStart w:id="66" w:name="_Toc179632628"/>
      <w:bookmarkStart w:id="67" w:name="_Toc246996253"/>
    </w:p>
    <w:p>
      <w:pPr>
        <w:spacing w:line="360" w:lineRule="auto"/>
        <w:jc w:val="center"/>
        <w:outlineLvl w:val="1"/>
        <w:rPr>
          <w:rFonts w:eastAsia="宋体"/>
          <w:b/>
          <w:color w:val="auto"/>
          <w:sz w:val="30"/>
          <w:szCs w:val="30"/>
        </w:rPr>
      </w:pPr>
      <w:bookmarkStart w:id="68" w:name="_Toc26887"/>
    </w:p>
    <w:p>
      <w:pPr>
        <w:spacing w:line="360" w:lineRule="auto"/>
        <w:ind w:firstLine="470" w:firstLineChars="195"/>
        <w:jc w:val="center"/>
        <w:rPr>
          <w:rFonts w:hint="eastAsia"/>
          <w:b/>
          <w:bCs w:val="0"/>
          <w:color w:val="auto"/>
          <w:sz w:val="24"/>
          <w:szCs w:val="24"/>
          <w:lang w:val="zh-CN" w:eastAsia="zh-CN"/>
        </w:rPr>
      </w:pPr>
      <w:r>
        <w:rPr>
          <w:rFonts w:hint="eastAsia"/>
          <w:b/>
          <w:bCs w:val="0"/>
          <w:color w:val="auto"/>
          <w:sz w:val="24"/>
          <w:szCs w:val="24"/>
          <w:lang w:val="zh-CN" w:eastAsia="zh-CN"/>
        </w:rPr>
        <w:t>二 、合同条款</w:t>
      </w:r>
      <w:bookmarkEnd w:id="59"/>
      <w:bookmarkEnd w:id="60"/>
      <w:bookmarkEnd w:id="61"/>
      <w:bookmarkEnd w:id="62"/>
      <w:bookmarkEnd w:id="63"/>
      <w:bookmarkEnd w:id="64"/>
      <w:bookmarkEnd w:id="65"/>
      <w:bookmarkEnd w:id="66"/>
      <w:bookmarkEnd w:id="67"/>
      <w:bookmarkEnd w:id="68"/>
    </w:p>
    <w:p>
      <w:pPr>
        <w:spacing w:line="360" w:lineRule="auto"/>
        <w:jc w:val="center"/>
        <w:rPr>
          <w:b/>
          <w:color w:val="auto"/>
          <w:sz w:val="24"/>
        </w:rPr>
      </w:pPr>
      <w:bookmarkStart w:id="69" w:name="_Toc451410639"/>
      <w:r>
        <w:rPr>
          <w:b/>
          <w:color w:val="auto"/>
          <w:sz w:val="24"/>
        </w:rPr>
        <w:t>合同格式</w:t>
      </w:r>
    </w:p>
    <w:p>
      <w:pPr>
        <w:spacing w:line="360" w:lineRule="auto"/>
        <w:ind w:firstLine="482" w:firstLineChars="200"/>
        <w:rPr>
          <w:b/>
          <w:color w:val="auto"/>
          <w:sz w:val="28"/>
          <w:szCs w:val="28"/>
        </w:rPr>
      </w:pPr>
      <w:r>
        <w:rPr>
          <w:b/>
          <w:color w:val="auto"/>
          <w:sz w:val="24"/>
        </w:rPr>
        <w:t>1、定义</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1.1“合同”系指买方和卖方（以下简称合同双方）已达成的协议，即由双方签订的合同格式文件，包括所有的招标文件、投标文件、答疑纪录、澄清说明、附件、附录和组成合同的所有其他文件。</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.2</w:t>
      </w:r>
      <w:r>
        <w:rPr>
          <w:rFonts w:hint="eastAsia"/>
          <w:b w:val="0"/>
          <w:bCs/>
          <w:color w:val="auto"/>
          <w:sz w:val="24"/>
          <w:szCs w:val="24"/>
          <w:lang w:val="zh-CN" w:eastAsia="zh-CN"/>
        </w:rPr>
        <w:t>“合同价格”系指根据合同规定，在卖方全面正确地履行合同义务时，买方应支付给卖方的款项。</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.3</w:t>
      </w:r>
      <w:r>
        <w:rPr>
          <w:rFonts w:hint="eastAsia"/>
          <w:b w:val="0"/>
          <w:bCs/>
          <w:color w:val="auto"/>
          <w:sz w:val="24"/>
          <w:szCs w:val="24"/>
          <w:lang w:val="zh-CN" w:eastAsia="zh-CN"/>
        </w:rPr>
        <w:t>“货物”系指卖方按合同要求，须向买方提供的一切设备、机械、仪器仪表、备品备件、工具、手册、其它技术资料和其它材料。</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.4</w:t>
      </w:r>
      <w:r>
        <w:rPr>
          <w:rFonts w:hint="eastAsia"/>
          <w:b w:val="0"/>
          <w:bCs/>
          <w:color w:val="auto"/>
          <w:sz w:val="24"/>
          <w:szCs w:val="24"/>
          <w:lang w:val="zh-CN" w:eastAsia="zh-CN"/>
        </w:rPr>
        <w:t>“服务”系指合同规定卖方必须承担的安装、调试、技术协助、校准、培训以及其他类似义务。</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.5</w:t>
      </w:r>
      <w:r>
        <w:rPr>
          <w:rFonts w:hint="eastAsia"/>
          <w:b w:val="0"/>
          <w:bCs/>
          <w:color w:val="auto"/>
          <w:sz w:val="24"/>
          <w:szCs w:val="24"/>
          <w:lang w:val="zh-CN" w:eastAsia="zh-CN"/>
        </w:rPr>
        <w:t>“甲方”、“买方”、“招标方”均系指通过采购，接受合同货物及服务的自治区本级各行政事业单位、社会团体（采购单位）及社会招标代理机构。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.6</w:t>
      </w:r>
      <w:r>
        <w:rPr>
          <w:rFonts w:hint="eastAsia"/>
          <w:b w:val="0"/>
          <w:bCs/>
          <w:color w:val="auto"/>
          <w:sz w:val="24"/>
          <w:szCs w:val="24"/>
          <w:lang w:val="zh-CN" w:eastAsia="zh-CN"/>
        </w:rPr>
        <w:t>“乙方”、“卖方”系指中标后提供合同货物和服务的经济实体。</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 xml:space="preserve">    1</w:t>
      </w:r>
      <w:r>
        <w:rPr>
          <w:rFonts w:hint="eastAsia"/>
          <w:b w:val="0"/>
          <w:bCs/>
          <w:color w:val="auto"/>
          <w:sz w:val="24"/>
          <w:szCs w:val="24"/>
          <w:lang w:val="en-US" w:eastAsia="zh-CN"/>
        </w:rPr>
        <w:t>.7</w:t>
      </w:r>
      <w:r>
        <w:rPr>
          <w:rFonts w:hint="eastAsia"/>
          <w:b w:val="0"/>
          <w:bCs/>
          <w:color w:val="auto"/>
          <w:sz w:val="24"/>
          <w:szCs w:val="24"/>
          <w:lang w:val="zh-CN" w:eastAsia="zh-CN"/>
        </w:rPr>
        <w:t xml:space="preserve"> “现场”系指将要进行货物安装和运转的地点。</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.8</w:t>
      </w:r>
      <w:r>
        <w:rPr>
          <w:rFonts w:hint="eastAsia"/>
          <w:b w:val="0"/>
          <w:bCs/>
          <w:color w:val="auto"/>
          <w:sz w:val="24"/>
          <w:szCs w:val="24"/>
          <w:lang w:val="zh-CN" w:eastAsia="zh-CN"/>
        </w:rPr>
        <w:t>“验收”系指买方依据国家技术规范及本合同的约定，对内技术规格规定接受合同货物所依据的程序和条件。</w:t>
      </w:r>
    </w:p>
    <w:p>
      <w:pPr>
        <w:spacing w:line="360" w:lineRule="auto"/>
        <w:ind w:firstLine="482" w:firstLineChars="200"/>
        <w:rPr>
          <w:b/>
          <w:color w:val="auto"/>
          <w:sz w:val="24"/>
        </w:rPr>
      </w:pPr>
      <w:r>
        <w:rPr>
          <w:b/>
          <w:color w:val="auto"/>
          <w:sz w:val="24"/>
        </w:rPr>
        <w:t>2、适用范围</w:t>
      </w:r>
    </w:p>
    <w:p>
      <w:pPr>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1 本合同条款仅适用于本次采购活动。</w:t>
      </w:r>
    </w:p>
    <w:p>
      <w:pPr>
        <w:spacing w:line="360" w:lineRule="auto"/>
        <w:ind w:firstLine="482" w:firstLineChars="200"/>
        <w:rPr>
          <w:b/>
          <w:color w:val="auto"/>
          <w:sz w:val="24"/>
        </w:rPr>
      </w:pPr>
      <w:r>
        <w:rPr>
          <w:b/>
          <w:color w:val="auto"/>
          <w:sz w:val="24"/>
        </w:rPr>
        <w:t>3、原产地</w:t>
      </w:r>
    </w:p>
    <w:p>
      <w:pPr>
        <w:spacing w:line="360" w:lineRule="auto"/>
        <w:ind w:firstLine="480" w:firstLineChars="200"/>
        <w:rPr>
          <w:color w:val="auto"/>
          <w:sz w:val="24"/>
        </w:rPr>
      </w:pPr>
      <w:r>
        <w:rPr>
          <w:color w:val="auto"/>
          <w:sz w:val="24"/>
        </w:rPr>
        <w:t>3</w:t>
      </w:r>
      <w:r>
        <w:rPr>
          <w:rFonts w:hint="eastAsia"/>
          <w:color w:val="auto"/>
          <w:sz w:val="24"/>
          <w:lang w:eastAsia="zh-CN"/>
        </w:rPr>
        <w:t>.</w:t>
      </w:r>
      <w:r>
        <w:rPr>
          <w:color w:val="auto"/>
          <w:sz w:val="24"/>
        </w:rPr>
        <w:t>1 原产地系指货物的生产地，或提供辅助服务的来源地。</w:t>
      </w:r>
    </w:p>
    <w:p>
      <w:pPr>
        <w:spacing w:line="360" w:lineRule="auto"/>
        <w:ind w:firstLine="482" w:firstLineChars="200"/>
        <w:rPr>
          <w:b/>
          <w:color w:val="auto"/>
          <w:sz w:val="24"/>
        </w:rPr>
      </w:pPr>
      <w:r>
        <w:rPr>
          <w:b/>
          <w:color w:val="auto"/>
          <w:sz w:val="24"/>
        </w:rPr>
        <w:t>4、技术规格和标准</w:t>
      </w:r>
    </w:p>
    <w:p>
      <w:pPr>
        <w:spacing w:line="360" w:lineRule="auto"/>
        <w:ind w:firstLine="480" w:firstLineChars="200"/>
        <w:rPr>
          <w:color w:val="auto"/>
          <w:sz w:val="24"/>
        </w:rPr>
      </w:pPr>
      <w:r>
        <w:rPr>
          <w:color w:val="auto"/>
          <w:sz w:val="24"/>
        </w:rPr>
        <w:t>4</w:t>
      </w:r>
      <w:r>
        <w:rPr>
          <w:rFonts w:hint="eastAsia"/>
          <w:color w:val="auto"/>
          <w:sz w:val="24"/>
          <w:lang w:eastAsia="zh-CN"/>
        </w:rPr>
        <w:t>.</w:t>
      </w:r>
      <w:r>
        <w:rPr>
          <w:color w:val="auto"/>
          <w:sz w:val="24"/>
        </w:rPr>
        <w:t>1本合同项下所供货物的技术规格应与本招标文件技术规格规定的标准相一致。若技术规格中无相应规定，货物则应符合相应的国家标准或有关权威部门最新颁布的相应的正式标准。</w:t>
      </w:r>
    </w:p>
    <w:p>
      <w:pPr>
        <w:spacing w:line="360" w:lineRule="auto"/>
        <w:ind w:firstLine="482" w:firstLineChars="200"/>
        <w:rPr>
          <w:b/>
          <w:color w:val="auto"/>
          <w:sz w:val="24"/>
        </w:rPr>
      </w:pPr>
      <w:r>
        <w:rPr>
          <w:b/>
          <w:color w:val="auto"/>
          <w:sz w:val="24"/>
        </w:rPr>
        <w:t>5、专利权</w:t>
      </w:r>
    </w:p>
    <w:p>
      <w:pPr>
        <w:spacing w:line="360" w:lineRule="auto"/>
        <w:rPr>
          <w:color w:val="auto"/>
          <w:sz w:val="24"/>
        </w:rPr>
      </w:pPr>
      <w:r>
        <w:rPr>
          <w:color w:val="auto"/>
          <w:sz w:val="24"/>
        </w:rPr>
        <w:t xml:space="preserve">    5</w:t>
      </w:r>
      <w:r>
        <w:rPr>
          <w:rFonts w:hint="eastAsia"/>
          <w:color w:val="auto"/>
          <w:sz w:val="24"/>
          <w:lang w:eastAsia="zh-CN"/>
        </w:rPr>
        <w:t>.</w:t>
      </w:r>
      <w:r>
        <w:rPr>
          <w:color w:val="auto"/>
          <w:sz w:val="24"/>
        </w:rPr>
        <w:t>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360" w:lineRule="auto"/>
        <w:rPr>
          <w:b/>
          <w:color w:val="auto"/>
          <w:sz w:val="24"/>
        </w:rPr>
      </w:pPr>
      <w:r>
        <w:rPr>
          <w:color w:val="auto"/>
          <w:sz w:val="24"/>
        </w:rPr>
        <w:t xml:space="preserve">   </w:t>
      </w:r>
      <w:r>
        <w:rPr>
          <w:b/>
          <w:color w:val="auto"/>
          <w:sz w:val="24"/>
        </w:rPr>
        <w:t xml:space="preserve"> 6、保险</w:t>
      </w:r>
    </w:p>
    <w:p>
      <w:pPr>
        <w:spacing w:line="360" w:lineRule="auto"/>
        <w:ind w:firstLine="240" w:firstLineChars="100"/>
        <w:rPr>
          <w:color w:val="auto"/>
          <w:sz w:val="24"/>
        </w:rPr>
      </w:pPr>
      <w:r>
        <w:rPr>
          <w:color w:val="auto"/>
          <w:sz w:val="24"/>
        </w:rPr>
        <w:t xml:space="preserve">  6</w:t>
      </w:r>
      <w:r>
        <w:rPr>
          <w:rFonts w:hint="eastAsia"/>
          <w:color w:val="auto"/>
          <w:sz w:val="24"/>
          <w:lang w:eastAsia="zh-CN"/>
        </w:rPr>
        <w:t>.</w:t>
      </w:r>
      <w:r>
        <w:rPr>
          <w:color w:val="auto"/>
          <w:sz w:val="24"/>
        </w:rPr>
        <w:t>1在合同价条件下，由卖方负责办理保险。</w:t>
      </w:r>
    </w:p>
    <w:p>
      <w:pPr>
        <w:spacing w:line="360" w:lineRule="auto"/>
        <w:rPr>
          <w:b/>
          <w:color w:val="auto"/>
          <w:sz w:val="24"/>
        </w:rPr>
      </w:pPr>
      <w:r>
        <w:rPr>
          <w:color w:val="auto"/>
          <w:sz w:val="24"/>
        </w:rPr>
        <w:t xml:space="preserve">   </w:t>
      </w:r>
      <w:r>
        <w:rPr>
          <w:b/>
          <w:color w:val="auto"/>
          <w:sz w:val="24"/>
        </w:rPr>
        <w:t xml:space="preserve"> 7、合同价款的支付方式</w:t>
      </w:r>
    </w:p>
    <w:p>
      <w:pPr>
        <w:spacing w:line="360" w:lineRule="auto"/>
        <w:ind w:firstLine="480"/>
        <w:jc w:val="left"/>
        <w:rPr>
          <w:color w:val="auto"/>
          <w:sz w:val="24"/>
        </w:rPr>
      </w:pPr>
      <w:r>
        <w:rPr>
          <w:color w:val="auto"/>
          <w:sz w:val="24"/>
        </w:rPr>
        <w:t>7</w:t>
      </w:r>
      <w:r>
        <w:rPr>
          <w:rFonts w:hint="eastAsia"/>
          <w:color w:val="auto"/>
          <w:sz w:val="24"/>
          <w:lang w:eastAsia="zh-CN"/>
        </w:rPr>
        <w:t>.</w:t>
      </w:r>
      <w:r>
        <w:rPr>
          <w:color w:val="auto"/>
          <w:sz w:val="24"/>
        </w:rPr>
        <w:t>1除另有规定者外，本合同价款将由买方向卖方支付。</w:t>
      </w:r>
    </w:p>
    <w:p>
      <w:pPr>
        <w:spacing w:line="360" w:lineRule="auto"/>
        <w:ind w:firstLine="480"/>
        <w:jc w:val="left"/>
        <w:rPr>
          <w:b/>
          <w:color w:val="auto"/>
          <w:sz w:val="24"/>
        </w:rPr>
      </w:pPr>
      <w:r>
        <w:rPr>
          <w:b/>
          <w:color w:val="auto"/>
          <w:sz w:val="24"/>
        </w:rPr>
        <w:t>8、技术资料</w:t>
      </w:r>
    </w:p>
    <w:p>
      <w:pPr>
        <w:spacing w:line="360" w:lineRule="auto"/>
        <w:ind w:firstLine="480"/>
        <w:jc w:val="left"/>
        <w:rPr>
          <w:color w:val="auto"/>
          <w:sz w:val="24"/>
        </w:rPr>
      </w:pPr>
      <w:r>
        <w:rPr>
          <w:color w:val="auto"/>
          <w:sz w:val="24"/>
        </w:rPr>
        <w:t>8</w:t>
      </w:r>
      <w:r>
        <w:rPr>
          <w:rFonts w:hint="eastAsia"/>
          <w:color w:val="auto"/>
          <w:sz w:val="24"/>
          <w:lang w:eastAsia="zh-CN"/>
        </w:rPr>
        <w:t>.</w:t>
      </w:r>
      <w:r>
        <w:rPr>
          <w:color w:val="auto"/>
          <w:sz w:val="24"/>
        </w:rPr>
        <w:t>1除招标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360" w:lineRule="auto"/>
        <w:ind w:firstLine="480"/>
        <w:rPr>
          <w:color w:val="auto"/>
          <w:sz w:val="24"/>
        </w:rPr>
      </w:pPr>
      <w:r>
        <w:rPr>
          <w:color w:val="auto"/>
          <w:sz w:val="24"/>
        </w:rPr>
        <w:t>8</w:t>
      </w:r>
      <w:r>
        <w:rPr>
          <w:rFonts w:hint="eastAsia"/>
          <w:color w:val="auto"/>
          <w:sz w:val="24"/>
          <w:lang w:eastAsia="zh-CN"/>
        </w:rPr>
        <w:t>.</w:t>
      </w:r>
      <w:r>
        <w:rPr>
          <w:color w:val="auto"/>
          <w:sz w:val="24"/>
        </w:rPr>
        <w:t>2上述一套完整的资料应包装好随每批货物一起发运。</w:t>
      </w:r>
    </w:p>
    <w:p>
      <w:pPr>
        <w:spacing w:line="360" w:lineRule="auto"/>
        <w:rPr>
          <w:b/>
          <w:color w:val="auto"/>
          <w:sz w:val="24"/>
        </w:rPr>
      </w:pPr>
      <w:r>
        <w:rPr>
          <w:b/>
          <w:color w:val="auto"/>
          <w:sz w:val="24"/>
        </w:rPr>
        <w:t xml:space="preserve">    9、价格</w:t>
      </w:r>
    </w:p>
    <w:p>
      <w:pPr>
        <w:spacing w:line="360" w:lineRule="auto"/>
        <w:rPr>
          <w:color w:val="auto"/>
          <w:sz w:val="24"/>
        </w:rPr>
      </w:pPr>
      <w:r>
        <w:rPr>
          <w:color w:val="auto"/>
          <w:sz w:val="24"/>
        </w:rPr>
        <w:t xml:space="preserve">    9</w:t>
      </w:r>
      <w:r>
        <w:rPr>
          <w:rFonts w:hint="eastAsia"/>
          <w:color w:val="auto"/>
          <w:sz w:val="24"/>
          <w:lang w:eastAsia="zh-CN"/>
        </w:rPr>
        <w:t>.</w:t>
      </w:r>
      <w:r>
        <w:rPr>
          <w:color w:val="auto"/>
          <w:sz w:val="24"/>
        </w:rPr>
        <w:t>1除合同中另有规定者外，卖方为其所供货物和服务而要求买方支付的金额应与其报价一致。</w:t>
      </w:r>
    </w:p>
    <w:p>
      <w:pPr>
        <w:spacing w:line="360" w:lineRule="auto"/>
        <w:rPr>
          <w:b/>
          <w:color w:val="auto"/>
          <w:sz w:val="24"/>
        </w:rPr>
      </w:pPr>
      <w:r>
        <w:rPr>
          <w:b/>
          <w:color w:val="auto"/>
          <w:sz w:val="24"/>
        </w:rPr>
        <w:t xml:space="preserve">    10、质量保证</w:t>
      </w:r>
    </w:p>
    <w:p>
      <w:pPr>
        <w:spacing w:line="360" w:lineRule="auto"/>
        <w:ind w:firstLine="480" w:firstLineChars="200"/>
        <w:rPr>
          <w:color w:val="auto"/>
          <w:sz w:val="24"/>
        </w:rPr>
      </w:pPr>
      <w:r>
        <w:rPr>
          <w:color w:val="auto"/>
          <w:sz w:val="24"/>
        </w:rPr>
        <w:t>10</w:t>
      </w:r>
      <w:r>
        <w:rPr>
          <w:rFonts w:hint="eastAsia"/>
          <w:color w:val="auto"/>
          <w:sz w:val="24"/>
          <w:lang w:eastAsia="zh-CN"/>
        </w:rPr>
        <w:t>.</w:t>
      </w:r>
      <w:r>
        <w:rPr>
          <w:color w:val="auto"/>
          <w:sz w:val="24"/>
        </w:rPr>
        <w:t>1卖方应保证其提供货品检验报告及相关资料；到货后，由甲方检测，达不到要求者，予以退货。并在各个方面符合合同规定的质量、规格和性能要求。在规定的质量保证期内，卖方应对所供货品任何的缺陷或质量问题负责。</w:t>
      </w:r>
    </w:p>
    <w:p>
      <w:pPr>
        <w:spacing w:line="360" w:lineRule="auto"/>
        <w:ind w:firstLine="482" w:firstLineChars="200"/>
        <w:rPr>
          <w:b/>
          <w:color w:val="auto"/>
          <w:sz w:val="24"/>
        </w:rPr>
      </w:pPr>
      <w:r>
        <w:rPr>
          <w:b/>
          <w:color w:val="auto"/>
          <w:sz w:val="24"/>
        </w:rPr>
        <w:t>11、履约保证金</w:t>
      </w:r>
    </w:p>
    <w:p>
      <w:pPr>
        <w:spacing w:line="360" w:lineRule="auto"/>
        <w:ind w:firstLine="480" w:firstLineChars="200"/>
        <w:rPr>
          <w:color w:val="auto"/>
          <w:sz w:val="24"/>
        </w:rPr>
      </w:pPr>
      <w:r>
        <w:rPr>
          <w:color w:val="auto"/>
          <w:sz w:val="24"/>
        </w:rPr>
        <w:t>11</w:t>
      </w:r>
      <w:r>
        <w:rPr>
          <w:rFonts w:hint="eastAsia"/>
          <w:color w:val="auto"/>
          <w:sz w:val="24"/>
          <w:lang w:eastAsia="zh-CN"/>
        </w:rPr>
        <w:t>.</w:t>
      </w:r>
      <w:r>
        <w:rPr>
          <w:color w:val="auto"/>
          <w:sz w:val="24"/>
        </w:rPr>
        <w:t>1合同签订后，卖方须向买方提供</w:t>
      </w:r>
      <w:r>
        <w:rPr>
          <w:color w:val="auto"/>
          <w:sz w:val="24"/>
          <w:u w:val="single"/>
        </w:rPr>
        <w:t xml:space="preserve">   </w:t>
      </w:r>
      <w:r>
        <w:rPr>
          <w:color w:val="auto"/>
          <w:sz w:val="24"/>
        </w:rPr>
        <w:t>％（合同中约定）的履约保证金。</w:t>
      </w:r>
    </w:p>
    <w:p>
      <w:pPr>
        <w:spacing w:line="360" w:lineRule="auto"/>
        <w:ind w:firstLine="480" w:firstLineChars="200"/>
        <w:rPr>
          <w:color w:val="auto"/>
          <w:sz w:val="24"/>
        </w:rPr>
      </w:pPr>
      <w:r>
        <w:rPr>
          <w:color w:val="auto"/>
          <w:sz w:val="24"/>
        </w:rPr>
        <w:t>11</w:t>
      </w:r>
      <w:r>
        <w:rPr>
          <w:rFonts w:hint="eastAsia"/>
          <w:color w:val="auto"/>
          <w:sz w:val="24"/>
          <w:lang w:eastAsia="zh-CN"/>
        </w:rPr>
        <w:t>.</w:t>
      </w:r>
      <w:r>
        <w:rPr>
          <w:color w:val="auto"/>
          <w:sz w:val="24"/>
        </w:rPr>
        <w:t>2卖方在收到买方的货物验收合格的报告后，买方在七个工作日内无息退还履约保证金。</w:t>
      </w:r>
    </w:p>
    <w:p>
      <w:pPr>
        <w:spacing w:line="360" w:lineRule="auto"/>
        <w:ind w:firstLine="482" w:firstLineChars="200"/>
        <w:rPr>
          <w:b/>
          <w:color w:val="auto"/>
          <w:sz w:val="24"/>
        </w:rPr>
      </w:pPr>
      <w:r>
        <w:rPr>
          <w:b/>
          <w:color w:val="auto"/>
          <w:sz w:val="24"/>
        </w:rPr>
        <w:t>12、检验</w:t>
      </w:r>
    </w:p>
    <w:p>
      <w:pPr>
        <w:spacing w:line="360" w:lineRule="auto"/>
        <w:ind w:firstLine="480" w:firstLineChars="200"/>
        <w:rPr>
          <w:color w:val="auto"/>
          <w:sz w:val="24"/>
        </w:rPr>
      </w:pPr>
      <w:r>
        <w:rPr>
          <w:color w:val="auto"/>
          <w:sz w:val="24"/>
        </w:rPr>
        <w:t>12</w:t>
      </w:r>
      <w:r>
        <w:rPr>
          <w:rFonts w:hint="eastAsia"/>
          <w:color w:val="auto"/>
          <w:sz w:val="24"/>
          <w:lang w:eastAsia="zh-CN"/>
        </w:rPr>
        <w:t>.</w:t>
      </w:r>
      <w:r>
        <w:rPr>
          <w:color w:val="auto"/>
          <w:sz w:val="24"/>
        </w:rPr>
        <w:t>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360" w:lineRule="auto"/>
        <w:ind w:firstLine="480" w:firstLineChars="200"/>
        <w:rPr>
          <w:color w:val="auto"/>
          <w:sz w:val="24"/>
        </w:rPr>
      </w:pPr>
      <w:r>
        <w:rPr>
          <w:color w:val="auto"/>
          <w:sz w:val="24"/>
        </w:rPr>
        <w:t>12</w:t>
      </w:r>
      <w:r>
        <w:rPr>
          <w:rFonts w:hint="eastAsia"/>
          <w:color w:val="auto"/>
          <w:sz w:val="24"/>
          <w:lang w:eastAsia="zh-CN"/>
        </w:rPr>
        <w:t>.</w:t>
      </w:r>
      <w:r>
        <w:rPr>
          <w:color w:val="auto"/>
          <w:sz w:val="24"/>
        </w:rPr>
        <w:t>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360" w:lineRule="auto"/>
        <w:rPr>
          <w:b/>
          <w:color w:val="auto"/>
          <w:sz w:val="24"/>
        </w:rPr>
      </w:pPr>
      <w:r>
        <w:rPr>
          <w:color w:val="auto"/>
          <w:sz w:val="24"/>
        </w:rPr>
        <w:t xml:space="preserve">   </w:t>
      </w:r>
      <w:r>
        <w:rPr>
          <w:b/>
          <w:color w:val="auto"/>
          <w:sz w:val="24"/>
        </w:rPr>
        <w:t xml:space="preserve"> 13、索赔   </w:t>
      </w:r>
    </w:p>
    <w:p>
      <w:pPr>
        <w:spacing w:line="360" w:lineRule="auto"/>
        <w:rPr>
          <w:color w:val="auto"/>
          <w:sz w:val="24"/>
        </w:rPr>
      </w:pPr>
      <w:r>
        <w:rPr>
          <w:color w:val="auto"/>
          <w:sz w:val="24"/>
        </w:rPr>
        <w:t xml:space="preserve">    13</w:t>
      </w:r>
      <w:r>
        <w:rPr>
          <w:rFonts w:hint="eastAsia"/>
          <w:color w:val="auto"/>
          <w:sz w:val="24"/>
          <w:lang w:eastAsia="zh-CN"/>
        </w:rPr>
        <w:t>.</w:t>
      </w:r>
      <w:r>
        <w:rPr>
          <w:color w:val="auto"/>
          <w:sz w:val="24"/>
        </w:rPr>
        <w:t>1 卖方对所供货物与合同约定相一致负完全责任。在买方已于规定的检验、安装、调试和验收测试期限内和质量保证期内提出索赔时，卖方应按买方同意的下述一种或多种方法解决索赔事宜。</w:t>
      </w:r>
    </w:p>
    <w:p>
      <w:pPr>
        <w:spacing w:line="360" w:lineRule="auto"/>
        <w:rPr>
          <w:color w:val="auto"/>
          <w:sz w:val="24"/>
        </w:rPr>
      </w:pPr>
      <w:r>
        <w:rPr>
          <w:color w:val="auto"/>
          <w:sz w:val="24"/>
        </w:rPr>
        <w:t xml:space="preserve">   </w:t>
      </w:r>
      <w:r>
        <w:rPr>
          <w:rFonts w:hint="eastAsia"/>
          <w:color w:val="auto"/>
          <w:sz w:val="24"/>
          <w:lang w:eastAsia="zh-CN"/>
        </w:rPr>
        <w:t>（</w:t>
      </w:r>
      <w:r>
        <w:rPr>
          <w:color w:val="auto"/>
          <w:sz w:val="24"/>
        </w:rPr>
        <w:t>1</w:t>
      </w:r>
      <w:r>
        <w:rPr>
          <w:rFonts w:hint="eastAsia"/>
          <w:color w:val="auto"/>
          <w:sz w:val="24"/>
          <w:lang w:eastAsia="zh-CN"/>
        </w:rPr>
        <w:t>）</w:t>
      </w:r>
      <w:r>
        <w:rPr>
          <w:color w:val="auto"/>
          <w:sz w:val="24"/>
        </w:rPr>
        <w:t>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360" w:lineRule="auto"/>
        <w:rPr>
          <w:color w:val="auto"/>
          <w:sz w:val="24"/>
        </w:rPr>
      </w:pPr>
      <w:r>
        <w:rPr>
          <w:color w:val="auto"/>
          <w:sz w:val="24"/>
        </w:rPr>
        <w:t xml:space="preserve">   </w:t>
      </w:r>
      <w:r>
        <w:rPr>
          <w:rFonts w:hint="eastAsia"/>
          <w:color w:val="auto"/>
          <w:sz w:val="24"/>
          <w:lang w:eastAsia="zh-CN"/>
        </w:rPr>
        <w:t>（</w:t>
      </w:r>
      <w:r>
        <w:rPr>
          <w:color w:val="auto"/>
          <w:sz w:val="24"/>
        </w:rPr>
        <w:t>2</w:t>
      </w:r>
      <w:r>
        <w:rPr>
          <w:rFonts w:hint="eastAsia"/>
          <w:color w:val="auto"/>
          <w:sz w:val="24"/>
          <w:lang w:eastAsia="zh-CN"/>
        </w:rPr>
        <w:t>）</w:t>
      </w:r>
      <w:r>
        <w:rPr>
          <w:color w:val="auto"/>
          <w:sz w:val="24"/>
        </w:rPr>
        <w:t>根据货物的疵劣和受损程度以及买方遭受损失的金额，经双方同意降低货价。</w:t>
      </w:r>
    </w:p>
    <w:p>
      <w:pPr>
        <w:spacing w:line="360" w:lineRule="auto"/>
        <w:rPr>
          <w:color w:val="auto"/>
          <w:sz w:val="24"/>
        </w:rPr>
      </w:pPr>
      <w:r>
        <w:rPr>
          <w:color w:val="auto"/>
          <w:sz w:val="24"/>
        </w:rPr>
        <w:t xml:space="preserve">   </w:t>
      </w:r>
      <w:r>
        <w:rPr>
          <w:rFonts w:hint="eastAsia"/>
          <w:color w:val="auto"/>
          <w:sz w:val="24"/>
          <w:lang w:eastAsia="zh-CN"/>
        </w:rPr>
        <w:t>（</w:t>
      </w:r>
      <w:r>
        <w:rPr>
          <w:color w:val="auto"/>
          <w:sz w:val="24"/>
        </w:rPr>
        <w:t>3</w:t>
      </w:r>
      <w:r>
        <w:rPr>
          <w:rFonts w:hint="eastAsia"/>
          <w:color w:val="auto"/>
          <w:sz w:val="24"/>
          <w:lang w:eastAsia="zh-CN"/>
        </w:rPr>
        <w:t>）</w:t>
      </w:r>
      <w:r>
        <w:rPr>
          <w:color w:val="auto"/>
          <w:sz w:val="24"/>
        </w:rPr>
        <w:t>更换有质量问题的货物，以达到合同规定的规格、质量和性能，卖方承担一切费用和风险并负担买方遭受的一切直接费用。同时卖方应相应延长被更换货物的质量保证期。</w:t>
      </w:r>
    </w:p>
    <w:p>
      <w:pPr>
        <w:spacing w:line="360" w:lineRule="auto"/>
        <w:rPr>
          <w:color w:val="auto"/>
          <w:sz w:val="24"/>
        </w:rPr>
      </w:pPr>
      <w:r>
        <w:rPr>
          <w:color w:val="auto"/>
          <w:sz w:val="24"/>
        </w:rPr>
        <w:t xml:space="preserve">    13</w:t>
      </w:r>
      <w:r>
        <w:rPr>
          <w:rFonts w:hint="eastAsia"/>
          <w:color w:val="auto"/>
          <w:sz w:val="24"/>
          <w:lang w:eastAsia="zh-CN"/>
        </w:rPr>
        <w:t>.</w:t>
      </w:r>
      <w:r>
        <w:rPr>
          <w:color w:val="auto"/>
          <w:sz w:val="24"/>
        </w:rPr>
        <w:t>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pacing w:line="360" w:lineRule="auto"/>
        <w:rPr>
          <w:b/>
          <w:color w:val="auto"/>
          <w:sz w:val="24"/>
        </w:rPr>
      </w:pPr>
      <w:r>
        <w:rPr>
          <w:color w:val="auto"/>
          <w:sz w:val="24"/>
        </w:rPr>
        <w:t xml:space="preserve">   </w:t>
      </w:r>
      <w:r>
        <w:rPr>
          <w:b/>
          <w:color w:val="auto"/>
          <w:sz w:val="24"/>
        </w:rPr>
        <w:t xml:space="preserve"> 14、延期交货与核定损失额</w:t>
      </w:r>
    </w:p>
    <w:p>
      <w:pPr>
        <w:spacing w:line="360" w:lineRule="auto"/>
        <w:rPr>
          <w:color w:val="auto"/>
          <w:sz w:val="24"/>
        </w:rPr>
      </w:pPr>
      <w:r>
        <w:rPr>
          <w:color w:val="auto"/>
          <w:sz w:val="24"/>
        </w:rPr>
        <w:t xml:space="preserve">    14</w:t>
      </w:r>
      <w:r>
        <w:rPr>
          <w:rFonts w:hint="eastAsia"/>
          <w:color w:val="auto"/>
          <w:sz w:val="24"/>
          <w:lang w:eastAsia="zh-CN"/>
        </w:rPr>
        <w:t>.</w:t>
      </w:r>
      <w:r>
        <w:rPr>
          <w:color w:val="auto"/>
          <w:sz w:val="24"/>
        </w:rPr>
        <w:t>1如果卖方未能按合同规定的时间按期交货</w:t>
      </w:r>
      <w:r>
        <w:rPr>
          <w:rFonts w:hint="eastAsia"/>
          <w:color w:val="auto"/>
          <w:sz w:val="24"/>
          <w:lang w:eastAsia="zh-CN"/>
        </w:rPr>
        <w:t>（</w:t>
      </w:r>
      <w:r>
        <w:rPr>
          <w:color w:val="auto"/>
          <w:sz w:val="24"/>
        </w:rPr>
        <w:t>不可抗力除外</w:t>
      </w:r>
      <w:r>
        <w:rPr>
          <w:rFonts w:hint="eastAsia"/>
          <w:color w:val="auto"/>
          <w:sz w:val="24"/>
          <w:lang w:eastAsia="zh-CN"/>
        </w:rPr>
        <w:t>）</w:t>
      </w:r>
      <w:r>
        <w:rPr>
          <w:color w:val="auto"/>
          <w:sz w:val="24"/>
        </w:rPr>
        <w:t xml:space="preserve">，在卖方同意支付核定损失额的条件下，买方将同意延长交货期。核定损失额的支付将从未付款或从履约保证金中扣除。核定损失额比率为每迟交1天，按迟交货物金额的0.2％，但是，核定损失额的支付不得超过迟交货物部分合同金额的10％。如果卖方在达到核定损失额的最高限额后仍不能交货，买方有权因卖方违约终止合同，而卖方仍有义务支付上述迟交核定损失金额。          </w:t>
      </w:r>
    </w:p>
    <w:p>
      <w:pPr>
        <w:spacing w:line="360" w:lineRule="auto"/>
        <w:ind w:firstLine="570"/>
        <w:rPr>
          <w:b/>
          <w:color w:val="auto"/>
          <w:sz w:val="24"/>
        </w:rPr>
      </w:pPr>
      <w:r>
        <w:rPr>
          <w:b/>
          <w:color w:val="auto"/>
          <w:sz w:val="24"/>
        </w:rPr>
        <w:t>15、不可抗力</w:t>
      </w:r>
    </w:p>
    <w:p>
      <w:pPr>
        <w:spacing w:line="360" w:lineRule="auto"/>
        <w:ind w:firstLine="570"/>
        <w:rPr>
          <w:color w:val="auto"/>
          <w:sz w:val="24"/>
        </w:rPr>
      </w:pPr>
      <w:r>
        <w:rPr>
          <w:color w:val="auto"/>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80" w:firstLineChars="200"/>
        <w:rPr>
          <w:color w:val="auto"/>
          <w:sz w:val="24"/>
        </w:rPr>
      </w:pPr>
      <w:r>
        <w:rPr>
          <w:color w:val="auto"/>
          <w:sz w:val="24"/>
        </w:rPr>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ind w:firstLine="482" w:firstLineChars="200"/>
        <w:rPr>
          <w:b/>
          <w:color w:val="auto"/>
          <w:sz w:val="24"/>
        </w:rPr>
      </w:pPr>
      <w:r>
        <w:rPr>
          <w:b/>
          <w:color w:val="auto"/>
          <w:sz w:val="24"/>
        </w:rPr>
        <w:t>16、仲裁</w:t>
      </w:r>
    </w:p>
    <w:p>
      <w:pPr>
        <w:spacing w:line="360" w:lineRule="auto"/>
        <w:ind w:firstLine="480" w:firstLineChars="200"/>
        <w:rPr>
          <w:color w:val="auto"/>
          <w:sz w:val="24"/>
        </w:rPr>
      </w:pPr>
      <w:r>
        <w:rPr>
          <w:color w:val="auto"/>
          <w:sz w:val="24"/>
        </w:rPr>
        <w:t>16.1在执行本合同中发生的或与本合同有关的争端，双方应通过友好协商解决，经协商在30天内不能达成协议时，应提交仲裁。</w:t>
      </w:r>
    </w:p>
    <w:p>
      <w:pPr>
        <w:spacing w:line="360" w:lineRule="auto"/>
        <w:ind w:firstLine="480" w:firstLineChars="200"/>
        <w:rPr>
          <w:color w:val="auto"/>
          <w:sz w:val="24"/>
        </w:rPr>
      </w:pPr>
      <w:r>
        <w:rPr>
          <w:color w:val="auto"/>
          <w:sz w:val="24"/>
        </w:rPr>
        <w:t>16.2仲裁应由买方所在地仲裁机构，根据其仲裁程序和规则进行。</w:t>
      </w:r>
    </w:p>
    <w:p>
      <w:pPr>
        <w:spacing w:line="360" w:lineRule="auto"/>
        <w:ind w:firstLine="480" w:firstLineChars="200"/>
        <w:rPr>
          <w:color w:val="auto"/>
          <w:sz w:val="24"/>
        </w:rPr>
      </w:pPr>
      <w:r>
        <w:rPr>
          <w:color w:val="auto"/>
          <w:sz w:val="24"/>
        </w:rPr>
        <w:t>16.3仲裁裁决为最终决定，并对双方具有约束力。</w:t>
      </w:r>
    </w:p>
    <w:p>
      <w:pPr>
        <w:spacing w:line="360" w:lineRule="auto"/>
        <w:ind w:firstLine="480" w:firstLineChars="200"/>
        <w:rPr>
          <w:color w:val="auto"/>
          <w:sz w:val="24"/>
        </w:rPr>
      </w:pPr>
      <w:r>
        <w:rPr>
          <w:color w:val="auto"/>
          <w:sz w:val="24"/>
        </w:rPr>
        <w:t>16.4除另有裁决外，仲裁费应由败诉方负担。</w:t>
      </w:r>
    </w:p>
    <w:p>
      <w:pPr>
        <w:spacing w:line="360" w:lineRule="auto"/>
        <w:ind w:firstLine="480" w:firstLineChars="200"/>
        <w:rPr>
          <w:color w:val="auto"/>
          <w:sz w:val="24"/>
        </w:rPr>
      </w:pPr>
      <w:r>
        <w:rPr>
          <w:color w:val="auto"/>
          <w:sz w:val="24"/>
        </w:rPr>
        <w:t>16.5在仲裁期间，除正在进行的仲裁部分外，合同其它部分继续执行。</w:t>
      </w:r>
    </w:p>
    <w:p>
      <w:pPr>
        <w:spacing w:line="360" w:lineRule="auto"/>
        <w:ind w:firstLine="482" w:firstLineChars="200"/>
        <w:rPr>
          <w:b/>
          <w:color w:val="auto"/>
          <w:sz w:val="24"/>
        </w:rPr>
      </w:pPr>
      <w:r>
        <w:rPr>
          <w:b/>
          <w:color w:val="auto"/>
          <w:sz w:val="24"/>
        </w:rPr>
        <w:t>17、违约终止合同</w:t>
      </w:r>
    </w:p>
    <w:p>
      <w:pPr>
        <w:spacing w:line="360" w:lineRule="auto"/>
        <w:ind w:firstLine="480" w:firstLineChars="200"/>
        <w:rPr>
          <w:color w:val="auto"/>
          <w:sz w:val="24"/>
        </w:rPr>
      </w:pPr>
      <w:r>
        <w:rPr>
          <w:color w:val="auto"/>
          <w:sz w:val="24"/>
        </w:rPr>
        <w:t>17</w:t>
      </w:r>
      <w:r>
        <w:rPr>
          <w:rFonts w:hint="eastAsia"/>
          <w:color w:val="auto"/>
          <w:sz w:val="24"/>
          <w:lang w:eastAsia="zh-CN"/>
        </w:rPr>
        <w:t>.</w:t>
      </w:r>
      <w:r>
        <w:rPr>
          <w:color w:val="auto"/>
          <w:sz w:val="24"/>
        </w:rPr>
        <w:t>1在补救违约而采取的任何其他措施未能实现的情况下，即在卖方收到买方发出的违约通知后30天内</w:t>
      </w:r>
      <w:r>
        <w:rPr>
          <w:rFonts w:hint="eastAsia"/>
          <w:color w:val="auto"/>
          <w:sz w:val="24"/>
          <w:lang w:eastAsia="zh-CN"/>
        </w:rPr>
        <w:t>（</w:t>
      </w:r>
      <w:r>
        <w:rPr>
          <w:color w:val="auto"/>
          <w:sz w:val="24"/>
        </w:rPr>
        <w:t>或经买方书面确认的更长时间内</w:t>
      </w:r>
      <w:r>
        <w:rPr>
          <w:rFonts w:hint="eastAsia"/>
          <w:color w:val="auto"/>
          <w:sz w:val="24"/>
          <w:lang w:eastAsia="zh-CN"/>
        </w:rPr>
        <w:t>）</w:t>
      </w:r>
      <w:r>
        <w:rPr>
          <w:color w:val="auto"/>
          <w:sz w:val="24"/>
        </w:rPr>
        <w:t>仍未纠正其下述任何一种违约行为，买方可向卖方发出书面违约通知，终止全部或部分合同：</w:t>
      </w:r>
    </w:p>
    <w:p>
      <w:pPr>
        <w:spacing w:line="360" w:lineRule="auto"/>
        <w:rPr>
          <w:color w:val="auto"/>
          <w:sz w:val="24"/>
        </w:rPr>
      </w:pPr>
      <w:r>
        <w:rPr>
          <w:color w:val="auto"/>
          <w:sz w:val="24"/>
        </w:rPr>
        <w:t xml:space="preserve">   </w:t>
      </w:r>
      <w:r>
        <w:rPr>
          <w:rFonts w:hint="eastAsia"/>
          <w:color w:val="auto"/>
          <w:sz w:val="24"/>
          <w:lang w:eastAsia="zh-CN"/>
        </w:rPr>
        <w:t>（</w:t>
      </w:r>
      <w:r>
        <w:rPr>
          <w:color w:val="auto"/>
          <w:sz w:val="24"/>
        </w:rPr>
        <w:t>1</w:t>
      </w:r>
      <w:r>
        <w:rPr>
          <w:rFonts w:hint="eastAsia"/>
          <w:color w:val="auto"/>
          <w:sz w:val="24"/>
          <w:lang w:eastAsia="zh-CN"/>
        </w:rPr>
        <w:t>）</w:t>
      </w:r>
      <w:r>
        <w:rPr>
          <w:color w:val="auto"/>
          <w:sz w:val="24"/>
        </w:rPr>
        <w:t>如果卖方未能在合同规定的期限内或买方准许的任何延期内交付部分或全部货物。</w:t>
      </w:r>
    </w:p>
    <w:p>
      <w:pPr>
        <w:spacing w:line="360" w:lineRule="auto"/>
        <w:rPr>
          <w:color w:val="auto"/>
          <w:sz w:val="24"/>
        </w:rPr>
      </w:pPr>
      <w:r>
        <w:rPr>
          <w:color w:val="auto"/>
          <w:sz w:val="24"/>
        </w:rPr>
        <w:t xml:space="preserve">   </w:t>
      </w:r>
      <w:r>
        <w:rPr>
          <w:rFonts w:hint="eastAsia"/>
          <w:color w:val="auto"/>
          <w:sz w:val="24"/>
          <w:lang w:eastAsia="zh-CN"/>
        </w:rPr>
        <w:t>（</w:t>
      </w:r>
      <w:r>
        <w:rPr>
          <w:color w:val="auto"/>
          <w:sz w:val="24"/>
        </w:rPr>
        <w:t>2</w:t>
      </w:r>
      <w:r>
        <w:rPr>
          <w:rFonts w:hint="eastAsia"/>
          <w:color w:val="auto"/>
          <w:sz w:val="24"/>
          <w:lang w:eastAsia="zh-CN"/>
        </w:rPr>
        <w:t>）</w:t>
      </w:r>
      <w:r>
        <w:rPr>
          <w:color w:val="auto"/>
          <w:sz w:val="24"/>
        </w:rPr>
        <w:t>卖方未能履行合同项下的其它义务。</w:t>
      </w:r>
    </w:p>
    <w:p>
      <w:pPr>
        <w:spacing w:line="360" w:lineRule="auto"/>
        <w:ind w:firstLine="480" w:firstLineChars="200"/>
        <w:rPr>
          <w:color w:val="auto"/>
          <w:sz w:val="24"/>
        </w:rPr>
      </w:pPr>
      <w:r>
        <w:rPr>
          <w:color w:val="auto"/>
          <w:sz w:val="24"/>
        </w:rPr>
        <w:t>17</w:t>
      </w:r>
      <w:r>
        <w:rPr>
          <w:rFonts w:hint="eastAsia"/>
          <w:color w:val="auto"/>
          <w:sz w:val="24"/>
          <w:lang w:eastAsia="zh-CN"/>
        </w:rPr>
        <w:t>.</w:t>
      </w:r>
      <w:r>
        <w:rPr>
          <w:color w:val="auto"/>
          <w:sz w:val="24"/>
        </w:rPr>
        <w:t>2 一旦买方根据第20.1款终止部分或全部合同，买方可以按其认为适当的条件和方式采购类似未交付部分的货物。卖方应承担买方购买类似货物的价格差及额外费用。但是，卖方应继续履行合同中未终止的部分。</w:t>
      </w:r>
    </w:p>
    <w:p>
      <w:pPr>
        <w:spacing w:line="360" w:lineRule="auto"/>
        <w:ind w:firstLine="570"/>
        <w:rPr>
          <w:b/>
          <w:color w:val="auto"/>
          <w:sz w:val="24"/>
        </w:rPr>
      </w:pPr>
      <w:r>
        <w:rPr>
          <w:b/>
          <w:color w:val="auto"/>
          <w:sz w:val="24"/>
        </w:rPr>
        <w:t>18、变更指示</w:t>
      </w:r>
    </w:p>
    <w:p>
      <w:pPr>
        <w:spacing w:line="360" w:lineRule="auto"/>
        <w:ind w:left="479" w:leftChars="228" w:firstLine="0" w:firstLineChars="0"/>
        <w:rPr>
          <w:color w:val="auto"/>
          <w:sz w:val="24"/>
        </w:rPr>
      </w:pPr>
      <w:r>
        <w:rPr>
          <w:color w:val="auto"/>
          <w:sz w:val="24"/>
        </w:rPr>
        <w:t>18.1买方可以随时向卖方发出书面指示，在合同总体范围内对如下一点或几点提出变更：</w:t>
      </w:r>
      <w:r>
        <w:rPr>
          <w:rFonts w:hint="eastAsia"/>
          <w:color w:val="auto"/>
          <w:sz w:val="24"/>
          <w:lang w:eastAsia="zh-CN"/>
        </w:rPr>
        <w:t>（</w:t>
      </w:r>
      <w:r>
        <w:rPr>
          <w:color w:val="auto"/>
          <w:sz w:val="24"/>
        </w:rPr>
        <w:t>1</w:t>
      </w:r>
      <w:r>
        <w:rPr>
          <w:rFonts w:hint="eastAsia"/>
          <w:color w:val="auto"/>
          <w:sz w:val="24"/>
          <w:lang w:eastAsia="zh-CN"/>
        </w:rPr>
        <w:t>）</w:t>
      </w:r>
      <w:r>
        <w:rPr>
          <w:color w:val="auto"/>
          <w:sz w:val="24"/>
        </w:rPr>
        <w:t>合同项下需为买方特殊制造货物的图纸、设计或规格；</w:t>
      </w:r>
    </w:p>
    <w:p>
      <w:pPr>
        <w:numPr>
          <w:ilvl w:val="0"/>
          <w:numId w:val="14"/>
        </w:numPr>
        <w:spacing w:line="360" w:lineRule="auto"/>
        <w:ind w:left="479" w:leftChars="228" w:firstLine="0" w:firstLineChars="0"/>
        <w:rPr>
          <w:color w:val="auto"/>
          <w:sz w:val="24"/>
        </w:rPr>
      </w:pPr>
      <w:r>
        <w:rPr>
          <w:color w:val="auto"/>
          <w:sz w:val="24"/>
        </w:rPr>
        <w:t>装运方式和包装方式；</w:t>
      </w:r>
    </w:p>
    <w:p>
      <w:pPr>
        <w:numPr>
          <w:ilvl w:val="0"/>
          <w:numId w:val="14"/>
        </w:numPr>
        <w:spacing w:line="360" w:lineRule="auto"/>
        <w:ind w:left="479" w:leftChars="228" w:firstLine="0" w:firstLineChars="0"/>
        <w:rPr>
          <w:color w:val="auto"/>
          <w:sz w:val="24"/>
        </w:rPr>
      </w:pPr>
      <w:r>
        <w:rPr>
          <w:color w:val="auto"/>
          <w:sz w:val="24"/>
        </w:rPr>
        <w:t>交货地点；</w:t>
      </w:r>
    </w:p>
    <w:p>
      <w:pPr>
        <w:numPr>
          <w:ilvl w:val="0"/>
          <w:numId w:val="0"/>
        </w:numPr>
        <w:spacing w:line="360" w:lineRule="auto"/>
        <w:ind w:leftChars="228"/>
        <w:rPr>
          <w:color w:val="auto"/>
          <w:sz w:val="24"/>
        </w:rPr>
      </w:pPr>
      <w:r>
        <w:rPr>
          <w:rFonts w:hint="eastAsia"/>
          <w:color w:val="auto"/>
          <w:sz w:val="24"/>
          <w:lang w:eastAsia="zh-CN"/>
        </w:rPr>
        <w:t>（</w:t>
      </w:r>
      <w:r>
        <w:rPr>
          <w:color w:val="auto"/>
          <w:sz w:val="24"/>
        </w:rPr>
        <w:t>4</w:t>
      </w:r>
      <w:r>
        <w:rPr>
          <w:rFonts w:hint="eastAsia"/>
          <w:color w:val="auto"/>
          <w:sz w:val="24"/>
          <w:lang w:eastAsia="zh-CN"/>
        </w:rPr>
        <w:t>）</w:t>
      </w:r>
      <w:r>
        <w:rPr>
          <w:color w:val="auto"/>
          <w:sz w:val="24"/>
        </w:rPr>
        <w:t>卖方须提供的服务。</w:t>
      </w:r>
    </w:p>
    <w:p>
      <w:pPr>
        <w:spacing w:line="360" w:lineRule="auto"/>
        <w:ind w:firstLine="570"/>
        <w:rPr>
          <w:color w:val="auto"/>
          <w:sz w:val="24"/>
        </w:rPr>
      </w:pPr>
      <w:r>
        <w:rPr>
          <w:color w:val="auto"/>
          <w:sz w:val="24"/>
        </w:rPr>
        <w:t>18.2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360" w:lineRule="auto"/>
        <w:ind w:firstLine="570"/>
        <w:rPr>
          <w:b/>
          <w:color w:val="auto"/>
          <w:sz w:val="24"/>
        </w:rPr>
      </w:pPr>
      <w:r>
        <w:rPr>
          <w:b/>
          <w:color w:val="auto"/>
          <w:sz w:val="24"/>
        </w:rPr>
        <w:t>19、合同修改</w:t>
      </w:r>
    </w:p>
    <w:p>
      <w:pPr>
        <w:spacing w:line="360" w:lineRule="auto"/>
        <w:ind w:firstLine="480" w:firstLineChars="200"/>
        <w:rPr>
          <w:b/>
          <w:color w:val="auto"/>
          <w:sz w:val="24"/>
        </w:rPr>
      </w:pPr>
      <w:r>
        <w:rPr>
          <w:color w:val="auto"/>
          <w:sz w:val="24"/>
        </w:rPr>
        <w:t>欲对合同条款做出任何改动或偏离，均须由买卖双方签署书面的合同修改书。</w:t>
      </w:r>
    </w:p>
    <w:p>
      <w:pPr>
        <w:spacing w:line="360" w:lineRule="auto"/>
        <w:ind w:firstLine="570"/>
        <w:rPr>
          <w:b/>
          <w:color w:val="auto"/>
          <w:sz w:val="24"/>
        </w:rPr>
      </w:pPr>
      <w:r>
        <w:rPr>
          <w:b/>
          <w:color w:val="auto"/>
          <w:sz w:val="24"/>
        </w:rPr>
        <w:t>20、转让与分包</w:t>
      </w:r>
    </w:p>
    <w:p>
      <w:pPr>
        <w:spacing w:line="360" w:lineRule="auto"/>
        <w:ind w:firstLine="570"/>
        <w:rPr>
          <w:color w:val="auto"/>
          <w:sz w:val="24"/>
        </w:rPr>
      </w:pPr>
      <w:r>
        <w:rPr>
          <w:color w:val="auto"/>
          <w:sz w:val="24"/>
        </w:rPr>
        <w:t>20</w:t>
      </w:r>
      <w:r>
        <w:rPr>
          <w:rFonts w:hint="eastAsia"/>
          <w:color w:val="auto"/>
          <w:sz w:val="24"/>
          <w:lang w:eastAsia="zh-CN"/>
        </w:rPr>
        <w:t>.</w:t>
      </w:r>
      <w:r>
        <w:rPr>
          <w:color w:val="auto"/>
          <w:sz w:val="24"/>
        </w:rPr>
        <w:t>1除买方事先同意外，卖方不得部分转让或全部转让其应履行的合同项下的义务。</w:t>
      </w:r>
    </w:p>
    <w:p>
      <w:pPr>
        <w:spacing w:line="360" w:lineRule="auto"/>
        <w:ind w:firstLine="570"/>
        <w:rPr>
          <w:color w:val="auto"/>
          <w:sz w:val="24"/>
        </w:rPr>
      </w:pPr>
      <w:r>
        <w:rPr>
          <w:color w:val="auto"/>
          <w:sz w:val="24"/>
        </w:rPr>
        <w:t>20</w:t>
      </w:r>
      <w:r>
        <w:rPr>
          <w:rFonts w:hint="eastAsia"/>
          <w:color w:val="auto"/>
          <w:sz w:val="24"/>
          <w:lang w:eastAsia="zh-CN"/>
        </w:rPr>
        <w:t>.</w:t>
      </w:r>
      <w:r>
        <w:rPr>
          <w:color w:val="auto"/>
          <w:sz w:val="24"/>
        </w:rPr>
        <w:t>2卖方应书面通知买方本合同项下所授予的所有分包合同。但该通知不解除卖方承担的本合同项下的任何责任或义务。</w:t>
      </w:r>
    </w:p>
    <w:p>
      <w:pPr>
        <w:spacing w:line="360" w:lineRule="auto"/>
        <w:ind w:firstLine="570"/>
        <w:rPr>
          <w:b/>
          <w:color w:val="auto"/>
          <w:sz w:val="24"/>
        </w:rPr>
      </w:pPr>
      <w:r>
        <w:rPr>
          <w:b/>
          <w:color w:val="auto"/>
          <w:sz w:val="24"/>
        </w:rPr>
        <w:t>21、适用法律</w:t>
      </w:r>
    </w:p>
    <w:p>
      <w:pPr>
        <w:spacing w:line="360" w:lineRule="auto"/>
        <w:ind w:firstLine="570"/>
        <w:rPr>
          <w:color w:val="auto"/>
          <w:sz w:val="24"/>
        </w:rPr>
      </w:pPr>
      <w:r>
        <w:rPr>
          <w:color w:val="auto"/>
          <w:sz w:val="24"/>
        </w:rPr>
        <w:t>21</w:t>
      </w:r>
      <w:r>
        <w:rPr>
          <w:rFonts w:hint="eastAsia"/>
          <w:color w:val="auto"/>
          <w:sz w:val="24"/>
          <w:lang w:eastAsia="zh-CN"/>
        </w:rPr>
        <w:t>.</w:t>
      </w:r>
      <w:r>
        <w:rPr>
          <w:color w:val="auto"/>
          <w:sz w:val="24"/>
        </w:rPr>
        <w:t>1本合同应按中华人民共和国的相关法律解释。</w:t>
      </w:r>
    </w:p>
    <w:p>
      <w:pPr>
        <w:spacing w:line="360" w:lineRule="auto"/>
        <w:ind w:firstLine="570"/>
        <w:rPr>
          <w:b/>
          <w:color w:val="auto"/>
          <w:sz w:val="24"/>
        </w:rPr>
      </w:pPr>
      <w:r>
        <w:rPr>
          <w:b/>
          <w:color w:val="auto"/>
          <w:sz w:val="24"/>
        </w:rPr>
        <w:t>22、通知</w:t>
      </w:r>
    </w:p>
    <w:p>
      <w:pPr>
        <w:spacing w:line="360" w:lineRule="auto"/>
        <w:ind w:firstLine="570"/>
        <w:rPr>
          <w:color w:val="auto"/>
          <w:sz w:val="24"/>
        </w:rPr>
      </w:pPr>
      <w:r>
        <w:rPr>
          <w:color w:val="auto"/>
          <w:sz w:val="24"/>
        </w:rPr>
        <w:t>22</w:t>
      </w:r>
      <w:r>
        <w:rPr>
          <w:rFonts w:hint="eastAsia"/>
          <w:color w:val="auto"/>
          <w:sz w:val="24"/>
          <w:lang w:eastAsia="zh-CN"/>
        </w:rPr>
        <w:t>.</w:t>
      </w:r>
      <w:r>
        <w:rPr>
          <w:color w:val="auto"/>
          <w:sz w:val="24"/>
        </w:rPr>
        <w:t>1本合同任何一方给另一方的通知都应以书面或电传、电报、传真的形式发送，而另一方应以书面形式确认并发送到对方明确的地址。</w:t>
      </w:r>
    </w:p>
    <w:p>
      <w:pPr>
        <w:spacing w:line="360" w:lineRule="auto"/>
        <w:ind w:firstLine="570"/>
        <w:rPr>
          <w:b/>
          <w:color w:val="auto"/>
          <w:sz w:val="24"/>
        </w:rPr>
      </w:pPr>
      <w:r>
        <w:rPr>
          <w:b/>
          <w:color w:val="auto"/>
          <w:sz w:val="24"/>
        </w:rPr>
        <w:t>23、合同文件及资料的使用</w:t>
      </w:r>
    </w:p>
    <w:p>
      <w:pPr>
        <w:spacing w:line="360" w:lineRule="auto"/>
        <w:ind w:firstLine="570"/>
        <w:rPr>
          <w:color w:val="auto"/>
          <w:sz w:val="24"/>
        </w:rPr>
      </w:pPr>
      <w:r>
        <w:rPr>
          <w:color w:val="auto"/>
          <w:sz w:val="24"/>
        </w:rPr>
        <w:t>23</w:t>
      </w:r>
      <w:r>
        <w:rPr>
          <w:rFonts w:hint="eastAsia"/>
          <w:color w:val="auto"/>
          <w:sz w:val="24"/>
          <w:lang w:eastAsia="zh-CN"/>
        </w:rPr>
        <w:t>.</w:t>
      </w:r>
      <w:r>
        <w:rPr>
          <w:color w:val="auto"/>
          <w:sz w:val="24"/>
        </w:rPr>
        <w:t>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360" w:lineRule="auto"/>
        <w:ind w:firstLine="570"/>
        <w:rPr>
          <w:color w:val="auto"/>
          <w:sz w:val="24"/>
        </w:rPr>
      </w:pPr>
      <w:r>
        <w:rPr>
          <w:color w:val="auto"/>
          <w:sz w:val="24"/>
        </w:rPr>
        <w:t>23</w:t>
      </w:r>
      <w:r>
        <w:rPr>
          <w:rFonts w:hint="eastAsia"/>
          <w:color w:val="auto"/>
          <w:sz w:val="24"/>
          <w:lang w:eastAsia="zh-CN"/>
        </w:rPr>
        <w:t>.</w:t>
      </w:r>
      <w:r>
        <w:rPr>
          <w:color w:val="auto"/>
          <w:sz w:val="24"/>
        </w:rPr>
        <w:t>2除非执行合同需要，在事先末得到买方同意的情况下，卖方不得将与本合同有关的任何文件和资料给第三方使用。</w:t>
      </w:r>
    </w:p>
    <w:p>
      <w:pPr>
        <w:spacing w:line="360" w:lineRule="auto"/>
        <w:ind w:firstLine="570"/>
        <w:rPr>
          <w:color w:val="auto"/>
          <w:sz w:val="24"/>
        </w:rPr>
      </w:pPr>
      <w:r>
        <w:rPr>
          <w:color w:val="auto"/>
          <w:sz w:val="24"/>
        </w:rPr>
        <w:t>23</w:t>
      </w:r>
      <w:r>
        <w:rPr>
          <w:rFonts w:hint="eastAsia"/>
          <w:color w:val="auto"/>
          <w:sz w:val="24"/>
          <w:lang w:eastAsia="zh-CN"/>
        </w:rPr>
        <w:t>.</w:t>
      </w:r>
      <w:r>
        <w:rPr>
          <w:color w:val="auto"/>
          <w:sz w:val="24"/>
        </w:rPr>
        <w:t>3除合同本身以外，若买方要求，卖方应于其合同义务履行完毕以后将这些资料</w:t>
      </w:r>
      <w:r>
        <w:rPr>
          <w:rFonts w:hint="eastAsia"/>
          <w:color w:val="auto"/>
          <w:sz w:val="24"/>
          <w:lang w:eastAsia="zh-CN"/>
        </w:rPr>
        <w:t>（</w:t>
      </w:r>
      <w:r>
        <w:rPr>
          <w:color w:val="auto"/>
          <w:sz w:val="24"/>
        </w:rPr>
        <w:t>包括所有副本</w:t>
      </w:r>
      <w:r>
        <w:rPr>
          <w:rFonts w:hint="eastAsia"/>
          <w:color w:val="auto"/>
          <w:sz w:val="24"/>
          <w:lang w:eastAsia="zh-CN"/>
        </w:rPr>
        <w:t>）</w:t>
      </w:r>
      <w:r>
        <w:rPr>
          <w:color w:val="auto"/>
          <w:sz w:val="24"/>
        </w:rPr>
        <w:t>退还买方。</w:t>
      </w:r>
    </w:p>
    <w:p>
      <w:pPr>
        <w:spacing w:line="360" w:lineRule="auto"/>
        <w:ind w:firstLine="570"/>
        <w:rPr>
          <w:b/>
          <w:color w:val="auto"/>
          <w:sz w:val="24"/>
        </w:rPr>
      </w:pPr>
      <w:r>
        <w:rPr>
          <w:b/>
          <w:color w:val="auto"/>
          <w:sz w:val="24"/>
        </w:rPr>
        <w:t>24、合同生效及其他</w:t>
      </w:r>
    </w:p>
    <w:p>
      <w:pPr>
        <w:spacing w:line="360" w:lineRule="auto"/>
        <w:ind w:firstLine="570"/>
        <w:rPr>
          <w:color w:val="auto"/>
          <w:sz w:val="24"/>
        </w:rPr>
      </w:pPr>
      <w:r>
        <w:rPr>
          <w:color w:val="auto"/>
          <w:sz w:val="24"/>
        </w:rPr>
        <w:t>24.1本合同应在买方和卖方签字后，双方加盖鉴证章后生效。</w:t>
      </w:r>
    </w:p>
    <w:p>
      <w:pPr>
        <w:spacing w:line="360" w:lineRule="auto"/>
        <w:ind w:firstLine="570"/>
        <w:rPr>
          <w:color w:val="auto"/>
          <w:sz w:val="24"/>
        </w:rPr>
      </w:pPr>
      <w:r>
        <w:rPr>
          <w:color w:val="auto"/>
          <w:sz w:val="24"/>
        </w:rPr>
        <w:t>24.2卖方须按技术规格中的规定，向买方提供与合同项下货物有关的现场安装调试、技术服务、培训等其他相关服务。</w:t>
      </w:r>
    </w:p>
    <w:p>
      <w:pPr>
        <w:spacing w:line="360" w:lineRule="auto"/>
        <w:ind w:firstLine="570"/>
        <w:rPr>
          <w:color w:val="auto"/>
          <w:sz w:val="24"/>
        </w:rPr>
      </w:pPr>
      <w:r>
        <w:rPr>
          <w:color w:val="auto"/>
          <w:sz w:val="24"/>
        </w:rPr>
        <w:t>24.3 商务合同应包括买方最后确认的价格条款和付款方式。</w:t>
      </w:r>
    </w:p>
    <w:p>
      <w:pPr>
        <w:spacing w:line="360" w:lineRule="auto"/>
        <w:ind w:firstLine="570"/>
        <w:rPr>
          <w:color w:val="auto"/>
          <w:sz w:val="24"/>
        </w:rPr>
      </w:pPr>
      <w:r>
        <w:rPr>
          <w:color w:val="auto"/>
          <w:sz w:val="24"/>
        </w:rPr>
        <w:t>24.4下述文件将作为合同附件，为本合同不可分割的组成部分，并与本合具有同等效力；</w:t>
      </w:r>
    </w:p>
    <w:p>
      <w:pPr>
        <w:numPr>
          <w:ilvl w:val="0"/>
          <w:numId w:val="15"/>
        </w:numPr>
        <w:spacing w:line="360" w:lineRule="auto"/>
        <w:ind w:firstLine="570"/>
        <w:rPr>
          <w:color w:val="auto"/>
          <w:sz w:val="24"/>
        </w:rPr>
      </w:pPr>
      <w:r>
        <w:rPr>
          <w:color w:val="auto"/>
          <w:sz w:val="24"/>
        </w:rPr>
        <w:t>招标文件</w:t>
      </w:r>
    </w:p>
    <w:p>
      <w:pPr>
        <w:numPr>
          <w:ilvl w:val="0"/>
          <w:numId w:val="15"/>
        </w:numPr>
        <w:spacing w:line="360" w:lineRule="auto"/>
        <w:ind w:left="0" w:leftChars="0" w:firstLine="570" w:firstLineChars="0"/>
        <w:rPr>
          <w:color w:val="auto"/>
          <w:sz w:val="24"/>
        </w:rPr>
      </w:pPr>
      <w:r>
        <w:rPr>
          <w:color w:val="auto"/>
          <w:sz w:val="24"/>
        </w:rPr>
        <w:t>中标通知书</w:t>
      </w:r>
    </w:p>
    <w:p>
      <w:pPr>
        <w:numPr>
          <w:ilvl w:val="0"/>
          <w:numId w:val="15"/>
        </w:numPr>
        <w:spacing w:line="360" w:lineRule="auto"/>
        <w:ind w:left="0" w:leftChars="0" w:firstLine="570" w:firstLineChars="0"/>
        <w:rPr>
          <w:color w:val="auto"/>
          <w:sz w:val="24"/>
        </w:rPr>
      </w:pPr>
      <w:r>
        <w:rPr>
          <w:color w:val="auto"/>
          <w:sz w:val="24"/>
        </w:rPr>
        <w:t>中标方的投标文件及招标过程中的书面答疑记录</w:t>
      </w:r>
    </w:p>
    <w:p>
      <w:pPr>
        <w:spacing w:line="360" w:lineRule="auto"/>
        <w:jc w:val="center"/>
        <w:rPr>
          <w:b/>
          <w:color w:val="auto"/>
          <w:sz w:val="30"/>
          <w:szCs w:val="30"/>
        </w:rPr>
      </w:pPr>
    </w:p>
    <w:p>
      <w:pPr>
        <w:spacing w:line="360" w:lineRule="auto"/>
        <w:jc w:val="center"/>
        <w:rPr>
          <w:b/>
          <w:color w:val="auto"/>
          <w:sz w:val="30"/>
          <w:szCs w:val="30"/>
        </w:rPr>
      </w:pPr>
    </w:p>
    <w:p>
      <w:pPr>
        <w:spacing w:line="360" w:lineRule="auto"/>
        <w:jc w:val="center"/>
        <w:rPr>
          <w:b/>
          <w:color w:val="auto"/>
          <w:sz w:val="30"/>
          <w:szCs w:val="30"/>
        </w:rPr>
      </w:pPr>
    </w:p>
    <w:p>
      <w:pPr>
        <w:spacing w:line="360" w:lineRule="auto"/>
        <w:jc w:val="center"/>
        <w:rPr>
          <w:b/>
          <w:color w:val="auto"/>
          <w:sz w:val="30"/>
          <w:szCs w:val="30"/>
        </w:rPr>
      </w:pPr>
      <w:r>
        <w:rPr>
          <w:b/>
          <w:color w:val="auto"/>
          <w:sz w:val="30"/>
          <w:szCs w:val="30"/>
        </w:rPr>
        <w:t>第二部分  合同特殊条款</w:t>
      </w:r>
    </w:p>
    <w:p>
      <w:pPr>
        <w:spacing w:line="360" w:lineRule="auto"/>
        <w:jc w:val="center"/>
        <w:rPr>
          <w:b/>
          <w:color w:val="auto"/>
          <w:sz w:val="30"/>
          <w:szCs w:val="30"/>
        </w:rPr>
      </w:pPr>
    </w:p>
    <w:p>
      <w:pPr>
        <w:spacing w:line="360" w:lineRule="auto"/>
        <w:ind w:firstLine="480" w:firstLineChars="200"/>
        <w:rPr>
          <w:color w:val="auto"/>
          <w:sz w:val="24"/>
        </w:rPr>
      </w:pPr>
      <w:r>
        <w:rPr>
          <w:color w:val="auto"/>
          <w:sz w:val="24"/>
        </w:rPr>
        <w:t>合同特殊条款是对合同一般条款的补充和修改，如果两者之间有不一致之处时，应以特殊条款为准。</w:t>
      </w:r>
    </w:p>
    <w:p>
      <w:pPr>
        <w:spacing w:line="360" w:lineRule="auto"/>
        <w:ind w:firstLine="482" w:firstLineChars="200"/>
        <w:rPr>
          <w:b/>
          <w:color w:val="auto"/>
          <w:sz w:val="24"/>
        </w:rPr>
      </w:pPr>
      <w:r>
        <w:rPr>
          <w:b/>
          <w:color w:val="auto"/>
          <w:sz w:val="24"/>
        </w:rPr>
        <w:t>1、培训</w:t>
      </w:r>
    </w:p>
    <w:p>
      <w:pPr>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1 卖方的安装调试人员有义务对买方的设备维修人员进行培训，使维修人员能对设备进行日常维护和一般性故障的查找及故障的排除；</w:t>
      </w:r>
    </w:p>
    <w:p>
      <w:pPr>
        <w:spacing w:line="360" w:lineRule="auto"/>
        <w:ind w:firstLine="482" w:firstLineChars="200"/>
        <w:rPr>
          <w:b/>
          <w:color w:val="auto"/>
          <w:sz w:val="24"/>
        </w:rPr>
      </w:pPr>
      <w:r>
        <w:rPr>
          <w:b/>
          <w:color w:val="auto"/>
          <w:sz w:val="24"/>
        </w:rPr>
        <w:t xml:space="preserve">2、检验   </w:t>
      </w:r>
    </w:p>
    <w:p>
      <w:pPr>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1 卖方提供的所有货物应符合国际及国内通行的标准，并应附有相应的测试报告和合同证书；</w:t>
      </w:r>
    </w:p>
    <w:p>
      <w:pPr>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2 对于卖方提供的所有货物，买方可按货物的一定比例委托自治区质量监督部门进行抽检，验收会格后，所产生的费用由买方承担，经检验不合格时，所产生的费用由卖方承担。</w:t>
      </w:r>
    </w:p>
    <w:p>
      <w:pPr>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3 具体的国际或国内检验标准按卖方在投标文件中承诺的并经买方确认的规定执行。</w:t>
      </w:r>
    </w:p>
    <w:p>
      <w:pPr>
        <w:spacing w:line="360" w:lineRule="auto"/>
        <w:ind w:firstLine="480" w:firstLineChars="200"/>
        <w:rPr>
          <w:bCs/>
          <w:color w:val="auto"/>
          <w:sz w:val="24"/>
        </w:rPr>
      </w:pPr>
      <w:r>
        <w:rPr>
          <w:bCs/>
          <w:color w:val="auto"/>
          <w:sz w:val="24"/>
        </w:rPr>
        <w:t>最终的测试验收报告由买卖双方代表签字认可后生效。</w:t>
      </w:r>
    </w:p>
    <w:p>
      <w:pPr>
        <w:spacing w:line="360" w:lineRule="auto"/>
        <w:ind w:firstLine="482" w:firstLineChars="200"/>
        <w:rPr>
          <w:b/>
          <w:color w:val="auto"/>
          <w:sz w:val="24"/>
        </w:rPr>
      </w:pPr>
      <w:r>
        <w:rPr>
          <w:b/>
          <w:color w:val="auto"/>
          <w:sz w:val="24"/>
        </w:rPr>
        <w:t>3、质量保证</w:t>
      </w:r>
    </w:p>
    <w:p>
      <w:pPr>
        <w:spacing w:line="360" w:lineRule="auto"/>
        <w:ind w:firstLine="480" w:firstLineChars="200"/>
        <w:rPr>
          <w:color w:val="auto"/>
          <w:sz w:val="24"/>
        </w:rPr>
      </w:pPr>
      <w:r>
        <w:rPr>
          <w:color w:val="auto"/>
          <w:sz w:val="24"/>
        </w:rPr>
        <w:t>3</w:t>
      </w:r>
      <w:r>
        <w:rPr>
          <w:rFonts w:hint="eastAsia"/>
          <w:color w:val="auto"/>
          <w:sz w:val="24"/>
          <w:lang w:eastAsia="zh-CN"/>
        </w:rPr>
        <w:t>.</w:t>
      </w:r>
      <w:r>
        <w:rPr>
          <w:color w:val="auto"/>
          <w:sz w:val="24"/>
        </w:rPr>
        <w:t>1 因卖方原因造成买方不能按时使用</w:t>
      </w:r>
      <w:r>
        <w:rPr>
          <w:rFonts w:hint="eastAsia"/>
          <w:color w:val="auto"/>
          <w:sz w:val="24"/>
          <w:lang w:eastAsia="zh-CN"/>
        </w:rPr>
        <w:t>（</w:t>
      </w:r>
      <w:r>
        <w:rPr>
          <w:color w:val="auto"/>
          <w:sz w:val="24"/>
        </w:rPr>
        <w:t>根据合同有关条款</w:t>
      </w:r>
      <w:r>
        <w:rPr>
          <w:rFonts w:hint="eastAsia"/>
          <w:color w:val="auto"/>
          <w:sz w:val="24"/>
          <w:lang w:eastAsia="zh-CN"/>
        </w:rPr>
        <w:t>）</w:t>
      </w:r>
      <w:r>
        <w:rPr>
          <w:color w:val="auto"/>
          <w:sz w:val="24"/>
        </w:rPr>
        <w:t>所购买货物</w:t>
      </w:r>
      <w:r>
        <w:rPr>
          <w:rFonts w:hint="eastAsia"/>
          <w:color w:val="auto"/>
          <w:sz w:val="24"/>
          <w:lang w:eastAsia="zh-CN"/>
        </w:rPr>
        <w:t>（</w:t>
      </w:r>
      <w:r>
        <w:rPr>
          <w:color w:val="auto"/>
          <w:sz w:val="24"/>
        </w:rPr>
        <w:t>设备</w:t>
      </w:r>
      <w:r>
        <w:rPr>
          <w:rFonts w:hint="eastAsia"/>
          <w:color w:val="auto"/>
          <w:sz w:val="24"/>
          <w:lang w:eastAsia="zh-CN"/>
        </w:rPr>
        <w:t>）</w:t>
      </w:r>
      <w:r>
        <w:rPr>
          <w:color w:val="auto"/>
          <w:sz w:val="24"/>
        </w:rPr>
        <w:t>时，卖方应根据合同规定向买方做出赔偿；</w:t>
      </w:r>
    </w:p>
    <w:p>
      <w:pPr>
        <w:spacing w:line="360" w:lineRule="auto"/>
        <w:ind w:firstLine="480" w:firstLineChars="200"/>
        <w:rPr>
          <w:color w:val="auto"/>
          <w:sz w:val="24"/>
        </w:rPr>
      </w:pPr>
      <w:r>
        <w:rPr>
          <w:bCs/>
          <w:color w:val="auto"/>
          <w:sz w:val="24"/>
        </w:rPr>
        <w:t>3. 4 最终的测试验收报告由买卖双方代表签字认可后生效。</w:t>
      </w:r>
    </w:p>
    <w:p>
      <w:pPr>
        <w:spacing w:line="360" w:lineRule="auto"/>
        <w:ind w:firstLine="482" w:firstLineChars="200"/>
        <w:rPr>
          <w:b/>
          <w:color w:val="auto"/>
          <w:sz w:val="24"/>
        </w:rPr>
      </w:pPr>
      <w:r>
        <w:rPr>
          <w:b/>
          <w:color w:val="auto"/>
          <w:sz w:val="24"/>
        </w:rPr>
        <w:t>5、售后服务</w:t>
      </w:r>
    </w:p>
    <w:p>
      <w:pPr>
        <w:spacing w:line="360" w:lineRule="auto"/>
        <w:ind w:firstLine="480" w:firstLineChars="200"/>
        <w:rPr>
          <w:color w:val="auto"/>
          <w:sz w:val="24"/>
        </w:rPr>
      </w:pPr>
      <w:r>
        <w:rPr>
          <w:color w:val="auto"/>
          <w:sz w:val="24"/>
        </w:rPr>
        <w:t>5</w:t>
      </w:r>
      <w:r>
        <w:rPr>
          <w:rFonts w:hint="eastAsia"/>
          <w:color w:val="auto"/>
          <w:sz w:val="24"/>
          <w:lang w:eastAsia="zh-CN"/>
        </w:rPr>
        <w:t>.</w:t>
      </w:r>
      <w:r>
        <w:rPr>
          <w:color w:val="auto"/>
          <w:sz w:val="24"/>
        </w:rPr>
        <w:t>1 提供给买方详细的货物清单及相应的技术参数；</w:t>
      </w:r>
    </w:p>
    <w:p>
      <w:pPr>
        <w:spacing w:line="360" w:lineRule="auto"/>
        <w:ind w:firstLine="480" w:firstLineChars="200"/>
        <w:rPr>
          <w:color w:val="auto"/>
          <w:sz w:val="24"/>
        </w:rPr>
      </w:pPr>
      <w:r>
        <w:rPr>
          <w:color w:val="auto"/>
          <w:sz w:val="24"/>
        </w:rPr>
        <w:t>5</w:t>
      </w:r>
      <w:r>
        <w:rPr>
          <w:rFonts w:hint="eastAsia"/>
          <w:color w:val="auto"/>
          <w:sz w:val="24"/>
          <w:lang w:eastAsia="zh-CN"/>
        </w:rPr>
        <w:t>.</w:t>
      </w:r>
      <w:r>
        <w:rPr>
          <w:color w:val="auto"/>
          <w:sz w:val="24"/>
        </w:rPr>
        <w:t>2 在买方发出要求服务通知的24小时内，卖方指派的服务人员必须到达买方现场，对货物出现的较大问题，解决时间不应超过5个日历日；</w:t>
      </w:r>
    </w:p>
    <w:p>
      <w:pPr>
        <w:spacing w:line="360" w:lineRule="auto"/>
        <w:ind w:firstLine="480" w:firstLineChars="200"/>
        <w:rPr>
          <w:color w:val="auto"/>
          <w:sz w:val="24"/>
        </w:rPr>
      </w:pPr>
      <w:r>
        <w:rPr>
          <w:color w:val="auto"/>
          <w:sz w:val="24"/>
        </w:rPr>
        <w:t>5</w:t>
      </w:r>
      <w:r>
        <w:rPr>
          <w:rFonts w:hint="eastAsia"/>
          <w:color w:val="auto"/>
          <w:sz w:val="24"/>
          <w:lang w:eastAsia="zh-CN"/>
        </w:rPr>
        <w:t>.</w:t>
      </w:r>
      <w:r>
        <w:rPr>
          <w:color w:val="auto"/>
          <w:sz w:val="24"/>
        </w:rPr>
        <w:t>3 在保质期内，如货物出现质量问题，必须在甲方提出合理的时间解决；</w:t>
      </w:r>
    </w:p>
    <w:p>
      <w:pPr>
        <w:spacing w:line="360" w:lineRule="auto"/>
        <w:ind w:firstLine="480" w:firstLineChars="200"/>
        <w:rPr>
          <w:color w:val="auto"/>
          <w:sz w:val="24"/>
        </w:rPr>
      </w:pPr>
      <w:r>
        <w:rPr>
          <w:color w:val="auto"/>
          <w:sz w:val="24"/>
        </w:rPr>
        <w:t>5</w:t>
      </w:r>
      <w:r>
        <w:rPr>
          <w:rFonts w:hint="eastAsia"/>
          <w:color w:val="auto"/>
          <w:sz w:val="24"/>
          <w:lang w:eastAsia="zh-CN"/>
        </w:rPr>
        <w:t>.</w:t>
      </w:r>
      <w:r>
        <w:rPr>
          <w:color w:val="auto"/>
          <w:sz w:val="24"/>
        </w:rPr>
        <w:t>4 提供相应的售后服务承诺</w:t>
      </w:r>
      <w:r>
        <w:rPr>
          <w:rFonts w:hint="eastAsia"/>
          <w:color w:val="auto"/>
          <w:sz w:val="24"/>
          <w:lang w:eastAsia="zh-CN"/>
        </w:rPr>
        <w:t>（</w:t>
      </w:r>
      <w:r>
        <w:rPr>
          <w:color w:val="auto"/>
          <w:sz w:val="24"/>
        </w:rPr>
        <w:t>需要设备生产企业协助的部分，须由该生产企业做出相应的服务承诺</w:t>
      </w:r>
      <w:r>
        <w:rPr>
          <w:rFonts w:hint="eastAsia"/>
          <w:color w:val="auto"/>
          <w:sz w:val="24"/>
          <w:lang w:eastAsia="zh-CN"/>
        </w:rPr>
        <w:t>）</w:t>
      </w:r>
      <w:r>
        <w:rPr>
          <w:color w:val="auto"/>
          <w:sz w:val="24"/>
        </w:rPr>
        <w:t>，并附在投标文件中。</w:t>
      </w:r>
    </w:p>
    <w:p>
      <w:pPr>
        <w:spacing w:line="360" w:lineRule="auto"/>
        <w:ind w:firstLine="480" w:firstLineChars="200"/>
        <w:rPr>
          <w:color w:val="auto"/>
          <w:sz w:val="24"/>
        </w:rPr>
      </w:pPr>
    </w:p>
    <w:bookmarkEnd w:id="69"/>
    <w:p>
      <w:pPr>
        <w:pageBreakBefore/>
        <w:spacing w:line="360" w:lineRule="auto"/>
        <w:jc w:val="center"/>
        <w:outlineLvl w:val="0"/>
        <w:rPr>
          <w:b/>
          <w:color w:val="auto"/>
          <w:sz w:val="30"/>
          <w:szCs w:val="30"/>
        </w:rPr>
      </w:pPr>
      <w:bookmarkStart w:id="70" w:name="_Toc16971"/>
      <w:r>
        <w:rPr>
          <w:b/>
          <w:color w:val="auto"/>
          <w:sz w:val="30"/>
          <w:szCs w:val="30"/>
        </w:rPr>
        <w:t>第六章  投标文件格式</w:t>
      </w:r>
      <w:bookmarkEnd w:id="70"/>
    </w:p>
    <w:p>
      <w:pPr>
        <w:pStyle w:val="2"/>
        <w:rPr>
          <w:color w:val="auto"/>
        </w:rPr>
      </w:pPr>
    </w:p>
    <w:p>
      <w:pPr>
        <w:pStyle w:val="2"/>
        <w:rPr>
          <w:color w:val="auto"/>
        </w:rPr>
      </w:pPr>
    </w:p>
    <w:p>
      <w:pPr>
        <w:spacing w:line="360" w:lineRule="auto"/>
        <w:jc w:val="right"/>
        <w:rPr>
          <w:color w:val="auto"/>
          <w:sz w:val="28"/>
          <w:szCs w:val="28"/>
          <w:bdr w:val="single" w:color="000000" w:sz="4" w:space="0"/>
        </w:rPr>
      </w:pPr>
      <w:r>
        <w:rPr>
          <w:color w:val="auto"/>
          <w:sz w:val="28"/>
          <w:szCs w:val="28"/>
          <w:bdr w:val="single" w:color="000000" w:sz="4" w:space="0"/>
        </w:rPr>
        <w:t>注明正本或副本</w:t>
      </w:r>
    </w:p>
    <w:p>
      <w:pPr>
        <w:spacing w:line="360" w:lineRule="auto"/>
        <w:jc w:val="center"/>
        <w:rPr>
          <w:rFonts w:eastAsia="黑体"/>
          <w:color w:val="auto"/>
          <w:sz w:val="20"/>
        </w:rPr>
      </w:pPr>
    </w:p>
    <w:p>
      <w:pPr>
        <w:spacing w:line="360" w:lineRule="auto"/>
        <w:rPr>
          <w:rFonts w:eastAsia="黑体"/>
          <w:color w:val="auto"/>
          <w:sz w:val="20"/>
        </w:rPr>
      </w:pPr>
    </w:p>
    <w:p>
      <w:pPr>
        <w:spacing w:line="360" w:lineRule="auto"/>
        <w:jc w:val="center"/>
        <w:rPr>
          <w:rFonts w:eastAsia="黑体"/>
          <w:color w:val="auto"/>
          <w:sz w:val="44"/>
          <w:szCs w:val="44"/>
        </w:rPr>
      </w:pPr>
    </w:p>
    <w:p>
      <w:pPr>
        <w:spacing w:line="360" w:lineRule="auto"/>
        <w:jc w:val="center"/>
        <w:outlineLvl w:val="1"/>
        <w:rPr>
          <w:color w:val="auto"/>
          <w:sz w:val="32"/>
          <w:szCs w:val="32"/>
        </w:rPr>
      </w:pPr>
      <w:r>
        <w:rPr>
          <w:color w:val="auto"/>
          <w:sz w:val="32"/>
          <w:szCs w:val="32"/>
          <w:u w:val="single"/>
        </w:rPr>
        <w:t xml:space="preserve">        </w:t>
      </w:r>
      <w:bookmarkStart w:id="71" w:name="_Toc9136"/>
      <w:r>
        <w:rPr>
          <w:color w:val="auto"/>
          <w:sz w:val="32"/>
          <w:szCs w:val="32"/>
        </w:rPr>
        <w:t>项目名称</w:t>
      </w:r>
      <w:bookmarkStart w:id="72" w:name="_Toc350698753"/>
      <w:bookmarkStart w:id="73" w:name="_Toc451410640"/>
      <w:r>
        <w:rPr>
          <w:color w:val="auto"/>
          <w:sz w:val="32"/>
          <w:szCs w:val="32"/>
        </w:rPr>
        <w:t>（</w:t>
      </w:r>
      <w:r>
        <w:rPr>
          <w:color w:val="auto"/>
          <w:sz w:val="32"/>
          <w:szCs w:val="32"/>
          <w:u w:val="single"/>
        </w:rPr>
        <w:t xml:space="preserve">   </w:t>
      </w:r>
      <w:r>
        <w:rPr>
          <w:color w:val="auto"/>
          <w:sz w:val="32"/>
          <w:szCs w:val="32"/>
        </w:rPr>
        <w:t>标段）</w:t>
      </w:r>
      <w:bookmarkEnd w:id="71"/>
    </w:p>
    <w:p>
      <w:pPr>
        <w:spacing w:line="360" w:lineRule="auto"/>
        <w:jc w:val="center"/>
        <w:outlineLvl w:val="1"/>
        <w:rPr>
          <w:color w:val="auto"/>
          <w:sz w:val="32"/>
          <w:szCs w:val="32"/>
        </w:rPr>
      </w:pPr>
    </w:p>
    <w:p>
      <w:pPr>
        <w:spacing w:line="360" w:lineRule="auto"/>
        <w:jc w:val="center"/>
        <w:outlineLvl w:val="1"/>
        <w:rPr>
          <w:color w:val="auto"/>
          <w:sz w:val="32"/>
          <w:szCs w:val="32"/>
        </w:rPr>
      </w:pPr>
    </w:p>
    <w:p>
      <w:pPr>
        <w:spacing w:line="360" w:lineRule="auto"/>
        <w:jc w:val="center"/>
        <w:outlineLvl w:val="1"/>
        <w:rPr>
          <w:b/>
          <w:color w:val="auto"/>
          <w:sz w:val="52"/>
          <w:szCs w:val="52"/>
        </w:rPr>
      </w:pPr>
      <w:bookmarkStart w:id="74" w:name="_Toc21347"/>
      <w:r>
        <w:rPr>
          <w:b/>
          <w:color w:val="auto"/>
          <w:sz w:val="52"/>
          <w:szCs w:val="52"/>
        </w:rPr>
        <w:t>投标文件</w:t>
      </w:r>
      <w:bookmarkEnd w:id="72"/>
      <w:bookmarkEnd w:id="73"/>
      <w:bookmarkEnd w:id="74"/>
    </w:p>
    <w:p>
      <w:pPr>
        <w:spacing w:line="360" w:lineRule="auto"/>
        <w:jc w:val="center"/>
        <w:rPr>
          <w:color w:val="auto"/>
          <w:sz w:val="28"/>
          <w:szCs w:val="28"/>
        </w:rPr>
      </w:pPr>
    </w:p>
    <w:p>
      <w:pPr>
        <w:spacing w:line="360" w:lineRule="auto"/>
        <w:jc w:val="center"/>
        <w:rPr>
          <w:color w:val="auto"/>
          <w:sz w:val="28"/>
          <w:szCs w:val="28"/>
          <w:u w:val="single"/>
        </w:rPr>
      </w:pPr>
      <w:r>
        <w:rPr>
          <w:color w:val="auto"/>
          <w:sz w:val="28"/>
          <w:szCs w:val="28"/>
        </w:rPr>
        <w:t>项目编号：</w:t>
      </w:r>
      <w:r>
        <w:rPr>
          <w:color w:val="auto"/>
          <w:sz w:val="28"/>
          <w:szCs w:val="28"/>
          <w:u w:val="single"/>
        </w:rPr>
        <w:t xml:space="preserve">   </w:t>
      </w: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jc w:val="center"/>
        <w:rPr>
          <w:color w:val="auto"/>
          <w:sz w:val="28"/>
          <w:szCs w:val="28"/>
          <w:u w:val="single"/>
        </w:rPr>
      </w:pPr>
      <w:r>
        <w:rPr>
          <w:color w:val="auto"/>
          <w:sz w:val="28"/>
          <w:szCs w:val="28"/>
        </w:rPr>
        <w:t>投标人：</w:t>
      </w:r>
      <w:r>
        <w:rPr>
          <w:color w:val="auto"/>
          <w:sz w:val="28"/>
          <w:szCs w:val="28"/>
          <w:u w:val="single"/>
        </w:rPr>
        <w:t xml:space="preserve">                              </w:t>
      </w:r>
      <w:r>
        <w:rPr>
          <w:color w:val="auto"/>
          <w:sz w:val="28"/>
          <w:szCs w:val="28"/>
        </w:rPr>
        <w:t>（盖单位章）</w:t>
      </w:r>
    </w:p>
    <w:p>
      <w:pPr>
        <w:spacing w:line="360" w:lineRule="auto"/>
        <w:jc w:val="center"/>
        <w:rPr>
          <w:color w:val="auto"/>
          <w:sz w:val="28"/>
          <w:szCs w:val="28"/>
        </w:rPr>
      </w:pPr>
      <w:r>
        <w:rPr>
          <w:color w:val="auto"/>
          <w:sz w:val="28"/>
          <w:szCs w:val="28"/>
        </w:rPr>
        <w:t>法定代表人或其委托代理人：</w:t>
      </w:r>
      <w:r>
        <w:rPr>
          <w:color w:val="auto"/>
          <w:sz w:val="28"/>
          <w:szCs w:val="28"/>
          <w:u w:val="single"/>
        </w:rPr>
        <w:t xml:space="preserve">                </w:t>
      </w:r>
      <w:r>
        <w:rPr>
          <w:color w:val="auto"/>
          <w:sz w:val="28"/>
          <w:szCs w:val="28"/>
        </w:rPr>
        <w:t>（签字）</w:t>
      </w:r>
    </w:p>
    <w:p>
      <w:pPr>
        <w:spacing w:line="360" w:lineRule="auto"/>
        <w:jc w:val="center"/>
        <w:rPr>
          <w:color w:val="auto"/>
          <w:sz w:val="28"/>
          <w:szCs w:val="28"/>
        </w:rPr>
      </w:pPr>
      <w:r>
        <w:rPr>
          <w:color w:val="auto"/>
          <w:sz w:val="28"/>
          <w:szCs w:val="28"/>
          <w:u w:val="single"/>
        </w:rPr>
        <w:t xml:space="preserve">        </w:t>
      </w:r>
      <w:r>
        <w:rPr>
          <w:color w:val="auto"/>
          <w:sz w:val="28"/>
          <w:szCs w:val="28"/>
        </w:rPr>
        <w:t>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w:t>
      </w:r>
    </w:p>
    <w:p>
      <w:pPr>
        <w:spacing w:line="360" w:lineRule="auto"/>
        <w:jc w:val="center"/>
        <w:rPr>
          <w:b/>
          <w:color w:val="auto"/>
          <w:sz w:val="36"/>
          <w:szCs w:val="36"/>
        </w:rPr>
      </w:pPr>
    </w:p>
    <w:p>
      <w:pPr>
        <w:spacing w:line="360" w:lineRule="auto"/>
        <w:rPr>
          <w:b/>
          <w:color w:val="auto"/>
          <w:sz w:val="28"/>
          <w:szCs w:val="28"/>
        </w:rPr>
        <w:sectPr>
          <w:headerReference r:id="rId7" w:type="default"/>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0" w:num="1"/>
          <w:docGrid w:linePitch="312" w:charSpace="0"/>
        </w:sect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rFonts w:hint="eastAsia" w:eastAsia="宋体"/>
          <w:b/>
          <w:color w:val="auto"/>
          <w:sz w:val="44"/>
          <w:szCs w:val="44"/>
          <w:lang w:eastAsia="zh-CN"/>
        </w:rPr>
      </w:pPr>
      <w:r>
        <w:rPr>
          <w:b/>
          <w:color w:val="auto"/>
          <w:sz w:val="44"/>
          <w:szCs w:val="44"/>
        </w:rPr>
        <w:t>第一部分：</w:t>
      </w:r>
      <w:r>
        <w:rPr>
          <w:rFonts w:hint="eastAsia"/>
          <w:b/>
          <w:color w:val="auto"/>
          <w:sz w:val="44"/>
          <w:szCs w:val="44"/>
          <w:lang w:val="en-US" w:eastAsia="zh-CN"/>
        </w:rPr>
        <w:t>商务标</w:t>
      </w:r>
    </w:p>
    <w:p>
      <w:pPr>
        <w:spacing w:line="360" w:lineRule="auto"/>
        <w:rPr>
          <w:b/>
          <w:color w:val="auto"/>
          <w:sz w:val="28"/>
          <w:szCs w:val="28"/>
        </w:rPr>
      </w:pPr>
    </w:p>
    <w:p>
      <w:pPr>
        <w:spacing w:line="360" w:lineRule="auto"/>
        <w:rPr>
          <w:b/>
          <w:color w:val="auto"/>
          <w:sz w:val="28"/>
          <w:szCs w:val="28"/>
        </w:rPr>
      </w:pPr>
    </w:p>
    <w:p>
      <w:pPr>
        <w:spacing w:line="360" w:lineRule="auto"/>
        <w:ind w:firstLine="420" w:firstLineChars="200"/>
        <w:rPr>
          <w:color w:val="auto"/>
          <w:szCs w:val="21"/>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ind w:left="720"/>
        <w:jc w:val="center"/>
        <w:rPr>
          <w:b/>
          <w:color w:val="auto"/>
          <w:sz w:val="28"/>
          <w:szCs w:val="28"/>
        </w:rPr>
      </w:pPr>
    </w:p>
    <w:p>
      <w:pPr>
        <w:spacing w:line="360" w:lineRule="auto"/>
        <w:jc w:val="center"/>
        <w:rPr>
          <w:b/>
          <w:color w:val="auto"/>
          <w:sz w:val="28"/>
          <w:szCs w:val="28"/>
        </w:rPr>
      </w:pPr>
      <w:r>
        <w:rPr>
          <w:b/>
          <w:color w:val="auto"/>
          <w:sz w:val="28"/>
          <w:szCs w:val="28"/>
        </w:rPr>
        <w:t>法定代表人身份证明或授权委托书</w:t>
      </w:r>
    </w:p>
    <w:p>
      <w:pPr>
        <w:spacing w:beforeLines="100" w:afterLines="100" w:line="360" w:lineRule="auto"/>
        <w:jc w:val="center"/>
        <w:rPr>
          <w:b/>
          <w:bCs/>
          <w:color w:val="auto"/>
          <w:sz w:val="28"/>
          <w:szCs w:val="28"/>
        </w:rPr>
      </w:pPr>
      <w:r>
        <w:rPr>
          <w:b/>
          <w:bCs/>
          <w:color w:val="auto"/>
          <w:sz w:val="28"/>
          <w:szCs w:val="28"/>
        </w:rPr>
        <w:t>1、法定代表人身份证明</w:t>
      </w:r>
    </w:p>
    <w:p>
      <w:pPr>
        <w:spacing w:line="360" w:lineRule="auto"/>
        <w:ind w:firstLine="480" w:firstLineChars="200"/>
        <w:rPr>
          <w:color w:val="auto"/>
          <w:sz w:val="24"/>
        </w:rPr>
      </w:pPr>
      <w:r>
        <w:rPr>
          <w:color w:val="auto"/>
          <w:sz w:val="24"/>
        </w:rPr>
        <w:t>投标人名称：</w:t>
      </w:r>
      <w:r>
        <w:rPr>
          <w:color w:val="auto"/>
          <w:sz w:val="24"/>
          <w:u w:val="single"/>
        </w:rPr>
        <w:t xml:space="preserve">                                </w:t>
      </w:r>
      <w:r>
        <w:rPr>
          <w:color w:val="auto"/>
          <w:sz w:val="24"/>
        </w:rPr>
        <w:t xml:space="preserve"> </w:t>
      </w:r>
    </w:p>
    <w:p>
      <w:pPr>
        <w:spacing w:line="360" w:lineRule="auto"/>
        <w:ind w:firstLine="480" w:firstLineChars="200"/>
        <w:rPr>
          <w:color w:val="auto"/>
          <w:sz w:val="24"/>
        </w:rPr>
      </w:pPr>
      <w:r>
        <w:rPr>
          <w:color w:val="auto"/>
          <w:sz w:val="24"/>
        </w:rPr>
        <w:t xml:space="preserve">单位性质： </w:t>
      </w:r>
      <w:r>
        <w:rPr>
          <w:color w:val="auto"/>
          <w:sz w:val="24"/>
          <w:u w:val="single"/>
        </w:rPr>
        <w:t xml:space="preserve">                                  </w:t>
      </w:r>
      <w:r>
        <w:rPr>
          <w:color w:val="auto"/>
          <w:sz w:val="24"/>
        </w:rPr>
        <w:t xml:space="preserve"> </w:t>
      </w:r>
    </w:p>
    <w:p>
      <w:pPr>
        <w:spacing w:line="360" w:lineRule="auto"/>
        <w:ind w:firstLine="480" w:firstLineChars="200"/>
        <w:rPr>
          <w:color w:val="auto"/>
          <w:sz w:val="24"/>
        </w:rPr>
      </w:pPr>
      <w:r>
        <w:rPr>
          <w:color w:val="auto"/>
          <w:sz w:val="24"/>
        </w:rPr>
        <w:t>地    址：</w:t>
      </w:r>
      <w:r>
        <w:rPr>
          <w:color w:val="auto"/>
          <w:sz w:val="24"/>
          <w:u w:val="single"/>
        </w:rPr>
        <w:t xml:space="preserve">                                   </w:t>
      </w:r>
      <w:r>
        <w:rPr>
          <w:color w:val="auto"/>
          <w:sz w:val="24"/>
        </w:rPr>
        <w:t xml:space="preserve"> </w:t>
      </w:r>
    </w:p>
    <w:p>
      <w:pPr>
        <w:spacing w:line="360" w:lineRule="auto"/>
        <w:ind w:firstLine="480" w:firstLineChars="200"/>
        <w:rPr>
          <w:color w:val="auto"/>
          <w:sz w:val="24"/>
        </w:rPr>
      </w:pPr>
      <w:r>
        <w:rPr>
          <w:color w:val="auto"/>
          <w:sz w:val="24"/>
        </w:rPr>
        <w:t>成立时间：</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pPr>
        <w:spacing w:line="360" w:lineRule="auto"/>
        <w:ind w:firstLine="480" w:firstLineChars="200"/>
        <w:rPr>
          <w:color w:val="auto"/>
          <w:sz w:val="24"/>
        </w:rPr>
      </w:pPr>
      <w:r>
        <w:rPr>
          <w:color w:val="auto"/>
          <w:sz w:val="24"/>
        </w:rPr>
        <w:t>经营期限：</w:t>
      </w:r>
      <w:r>
        <w:rPr>
          <w:color w:val="auto"/>
          <w:sz w:val="24"/>
          <w:u w:val="single"/>
        </w:rPr>
        <w:t xml:space="preserve">                                </w:t>
      </w:r>
      <w:r>
        <w:rPr>
          <w:color w:val="auto"/>
          <w:sz w:val="24"/>
        </w:rPr>
        <w:t xml:space="preserve"> </w:t>
      </w:r>
    </w:p>
    <w:p>
      <w:pPr>
        <w:spacing w:line="360" w:lineRule="auto"/>
        <w:ind w:firstLine="1440" w:firstLineChars="200"/>
        <w:rPr>
          <w:color w:val="auto"/>
          <w:sz w:val="24"/>
        </w:rPr>
      </w:pPr>
      <w:r>
        <w:rPr>
          <w:color w:val="auto"/>
          <w:spacing w:val="240"/>
          <w:sz w:val="24"/>
        </w:rPr>
        <w:t>姓</w:t>
      </w:r>
      <w:r>
        <w:rPr>
          <w:color w:val="auto"/>
          <w:sz w:val="24"/>
        </w:rPr>
        <w:t>名：</w:t>
      </w:r>
      <w:r>
        <w:rPr>
          <w:color w:val="auto"/>
          <w:sz w:val="24"/>
          <w:u w:val="single"/>
        </w:rPr>
        <w:t xml:space="preserve">           </w:t>
      </w:r>
      <w:r>
        <w:rPr>
          <w:color w:val="auto"/>
          <w:sz w:val="24"/>
        </w:rPr>
        <w:t>性别：</w:t>
      </w:r>
      <w:r>
        <w:rPr>
          <w:color w:val="auto"/>
          <w:sz w:val="24"/>
          <w:u w:val="single"/>
        </w:rPr>
        <w:t xml:space="preserve">        </w:t>
      </w:r>
      <w:r>
        <w:rPr>
          <w:color w:val="auto"/>
          <w:sz w:val="24"/>
        </w:rPr>
        <w:t>年龄：</w:t>
      </w:r>
      <w:r>
        <w:rPr>
          <w:color w:val="auto"/>
          <w:sz w:val="24"/>
          <w:u w:val="single"/>
        </w:rPr>
        <w:t xml:space="preserve">       </w:t>
      </w:r>
      <w:r>
        <w:rPr>
          <w:color w:val="auto"/>
          <w:sz w:val="24"/>
        </w:rPr>
        <w:t>_职务：</w:t>
      </w:r>
      <w:r>
        <w:rPr>
          <w:color w:val="auto"/>
          <w:sz w:val="24"/>
          <w:u w:val="single"/>
        </w:rPr>
        <w:t xml:space="preserve">       </w:t>
      </w:r>
      <w:r>
        <w:rPr>
          <w:color w:val="auto"/>
          <w:sz w:val="24"/>
        </w:rPr>
        <w:t>_</w:t>
      </w:r>
    </w:p>
    <w:p>
      <w:pPr>
        <w:spacing w:line="360" w:lineRule="auto"/>
        <w:ind w:firstLine="480" w:firstLineChars="200"/>
        <w:rPr>
          <w:color w:val="auto"/>
          <w:sz w:val="24"/>
        </w:rPr>
      </w:pPr>
      <w:r>
        <w:rPr>
          <w:color w:val="auto"/>
          <w:sz w:val="24"/>
        </w:rPr>
        <w:t>系</w:t>
      </w:r>
      <w:r>
        <w:rPr>
          <w:color w:val="auto"/>
          <w:sz w:val="24"/>
          <w:u w:val="single"/>
        </w:rPr>
        <w:t xml:space="preserve">                                </w:t>
      </w:r>
      <w:r>
        <w:rPr>
          <w:color w:val="auto"/>
          <w:sz w:val="24"/>
        </w:rPr>
        <w:t>（投标人名称）的法定代表人。</w:t>
      </w:r>
    </w:p>
    <w:p>
      <w:pPr>
        <w:spacing w:line="360" w:lineRule="auto"/>
        <w:ind w:firstLine="960" w:firstLineChars="400"/>
        <w:rPr>
          <w:color w:val="auto"/>
          <w:sz w:val="24"/>
        </w:rPr>
      </w:pPr>
      <w:r>
        <w:rPr>
          <w:color w:val="auto"/>
          <w:sz w:val="24"/>
        </w:rPr>
        <w:t>特此证明。</w:t>
      </w:r>
    </w:p>
    <w:p>
      <w:pPr>
        <w:spacing w:line="360" w:lineRule="auto"/>
        <w:ind w:firstLine="3480" w:firstLineChars="1450"/>
        <w:rPr>
          <w:color w:val="auto"/>
          <w:sz w:val="24"/>
        </w:rPr>
      </w:pPr>
      <w:r>
        <w:rPr>
          <w:color w:val="auto"/>
          <w:sz w:val="24"/>
        </w:rPr>
        <w:t>投标人：</w:t>
      </w:r>
      <w:r>
        <w:rPr>
          <w:color w:val="auto"/>
          <w:sz w:val="24"/>
          <w:u w:val="single"/>
        </w:rPr>
        <w:t xml:space="preserve">                 </w:t>
      </w:r>
      <w:r>
        <w:rPr>
          <w:color w:val="auto"/>
          <w:sz w:val="24"/>
        </w:rPr>
        <w:t>（盖单位章）</w:t>
      </w:r>
    </w:p>
    <w:p>
      <w:pPr>
        <w:spacing w:line="360" w:lineRule="auto"/>
        <w:rPr>
          <w:color w:val="auto"/>
          <w:sz w:val="24"/>
        </w:rPr>
      </w:pPr>
      <w:r>
        <w:rPr>
          <w:color w:val="auto"/>
          <w:sz w:val="24"/>
        </w:rPr>
        <w:t xml:space="preserve">                                        </w:t>
      </w: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jc w:val="right"/>
        <w:rPr>
          <w:color w:val="auto"/>
          <w:sz w:val="24"/>
        </w:rPr>
      </w:pPr>
      <w:r>
        <w:rPr>
          <w:color w:val="auto"/>
          <w:sz w:val="24"/>
        </w:rPr>
        <w:t>年    月     日</w:t>
      </w: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beforeLines="100" w:afterLines="100" w:line="360" w:lineRule="auto"/>
        <w:jc w:val="center"/>
        <w:rPr>
          <w:b/>
          <w:bCs/>
          <w:color w:val="auto"/>
          <w:sz w:val="28"/>
          <w:szCs w:val="28"/>
        </w:rPr>
      </w:pPr>
    </w:p>
    <w:p>
      <w:pPr>
        <w:spacing w:beforeLines="100" w:afterLines="100" w:line="360" w:lineRule="auto"/>
        <w:jc w:val="center"/>
        <w:rPr>
          <w:b/>
          <w:bCs/>
          <w:color w:val="auto"/>
          <w:sz w:val="28"/>
          <w:szCs w:val="28"/>
        </w:rPr>
      </w:pPr>
      <w:r>
        <w:rPr>
          <w:b/>
          <w:bCs/>
          <w:color w:val="auto"/>
          <w:sz w:val="28"/>
          <w:szCs w:val="28"/>
        </w:rPr>
        <w:t>2、授权委托书</w:t>
      </w:r>
    </w:p>
    <w:p>
      <w:pPr>
        <w:spacing w:line="360" w:lineRule="auto"/>
        <w:ind w:firstLine="480" w:firstLineChars="200"/>
        <w:rPr>
          <w:color w:val="auto"/>
          <w:sz w:val="24"/>
        </w:rPr>
      </w:pPr>
      <w:r>
        <w:rPr>
          <w:color w:val="auto"/>
          <w:sz w:val="24"/>
        </w:rPr>
        <w:t xml:space="preserve">本人 </w:t>
      </w:r>
      <w:r>
        <w:rPr>
          <w:color w:val="auto"/>
          <w:sz w:val="24"/>
          <w:u w:val="single"/>
        </w:rPr>
        <w:t xml:space="preserve">   （姓名）   </w:t>
      </w:r>
      <w:r>
        <w:rPr>
          <w:color w:val="auto"/>
          <w:sz w:val="24"/>
        </w:rPr>
        <w:t>系</w:t>
      </w:r>
      <w:r>
        <w:rPr>
          <w:color w:val="auto"/>
          <w:sz w:val="24"/>
          <w:u w:val="single"/>
        </w:rPr>
        <w:t xml:space="preserve">       </w:t>
      </w:r>
      <w:r>
        <w:rPr>
          <w:color w:val="auto"/>
          <w:sz w:val="24"/>
        </w:rPr>
        <w:t>（投标人）的法定代表人，现委托</w:t>
      </w:r>
      <w:r>
        <w:rPr>
          <w:color w:val="auto"/>
          <w:sz w:val="24"/>
          <w:u w:val="single"/>
        </w:rPr>
        <w:t xml:space="preserve">   </w:t>
      </w:r>
      <w:r>
        <w:rPr>
          <w:color w:val="auto"/>
          <w:sz w:val="24"/>
        </w:rPr>
        <w:t>（姓名）为我方代理人。代理人根据授权，以我方名义签署、澄清、说明、补正、递交、撤回、修改 “</w:t>
      </w:r>
      <w:r>
        <w:rPr>
          <w:color w:val="auto"/>
          <w:sz w:val="24"/>
          <w:u w:val="single"/>
        </w:rPr>
        <w:t xml:space="preserve">      </w:t>
      </w:r>
      <w:r>
        <w:rPr>
          <w:color w:val="auto"/>
          <w:sz w:val="24"/>
        </w:rPr>
        <w:t xml:space="preserve"> ”</w:t>
      </w:r>
      <w:r>
        <w:rPr>
          <w:rFonts w:hint="eastAsia"/>
          <w:color w:val="auto"/>
          <w:sz w:val="24"/>
          <w:lang w:eastAsia="zh-CN"/>
        </w:rPr>
        <w:t>（</w:t>
      </w:r>
      <w:r>
        <w:rPr>
          <w:color w:val="auto"/>
          <w:sz w:val="24"/>
        </w:rPr>
        <w:t>项目名称、编号）招标文件，全权处理与该项目投标、评审答疑、签订合同以及与合同执行有关的一切事务，其法律后果由我方承担。</w:t>
      </w:r>
    </w:p>
    <w:p>
      <w:pPr>
        <w:spacing w:line="360" w:lineRule="auto"/>
        <w:ind w:firstLine="480" w:firstLineChars="200"/>
        <w:rPr>
          <w:color w:val="auto"/>
          <w:sz w:val="24"/>
        </w:rPr>
      </w:pPr>
      <w:r>
        <w:rPr>
          <w:color w:val="auto"/>
          <w:sz w:val="24"/>
        </w:rPr>
        <w:t xml:space="preserve">委托期限：                                </w:t>
      </w:r>
    </w:p>
    <w:p>
      <w:pPr>
        <w:spacing w:line="360" w:lineRule="auto"/>
        <w:ind w:firstLine="480" w:firstLineChars="200"/>
        <w:rPr>
          <w:color w:val="auto"/>
          <w:sz w:val="24"/>
        </w:rPr>
      </w:pPr>
      <w:r>
        <w:rPr>
          <w:color w:val="auto"/>
          <w:sz w:val="24"/>
        </w:rPr>
        <w:t>代理人无转委托权。</w:t>
      </w:r>
    </w:p>
    <w:p>
      <w:pPr>
        <w:spacing w:line="360" w:lineRule="auto"/>
        <w:ind w:firstLine="480" w:firstLineChars="200"/>
        <w:rPr>
          <w:color w:val="auto"/>
          <w:sz w:val="24"/>
        </w:rPr>
      </w:pPr>
      <w:r>
        <w:rPr>
          <w:color w:val="auto"/>
          <w:sz w:val="24"/>
        </w:rPr>
        <w:t>附：委托代理人身份证明</w:t>
      </w:r>
    </w:p>
    <w:p>
      <w:pPr>
        <w:spacing w:line="360" w:lineRule="auto"/>
        <w:rPr>
          <w:color w:val="auto"/>
          <w:sz w:val="24"/>
        </w:rPr>
      </w:pPr>
      <w:r>
        <w:rPr>
          <w:color w:val="auto"/>
          <w:sz w:val="24"/>
        </w:rPr>
        <w:t xml:space="preserve">                        </w:t>
      </w:r>
    </w:p>
    <w:p>
      <w:pPr>
        <w:spacing w:line="360" w:lineRule="auto"/>
        <w:rPr>
          <w:color w:val="auto"/>
          <w:sz w:val="24"/>
        </w:rPr>
      </w:pPr>
    </w:p>
    <w:p>
      <w:pPr>
        <w:spacing w:line="360" w:lineRule="auto"/>
        <w:rPr>
          <w:color w:val="auto"/>
          <w:sz w:val="24"/>
        </w:rPr>
      </w:pPr>
    </w:p>
    <w:p>
      <w:pPr>
        <w:spacing w:line="360" w:lineRule="auto"/>
        <w:rPr>
          <w:color w:val="auto"/>
          <w:sz w:val="24"/>
        </w:rPr>
      </w:pPr>
      <w:r>
        <w:rPr>
          <w:color w:val="auto"/>
          <w:sz w:val="24"/>
        </w:rPr>
        <w:t xml:space="preserve">                   投标人（盖单位章）：</w:t>
      </w:r>
    </w:p>
    <w:p>
      <w:pPr>
        <w:spacing w:line="360" w:lineRule="auto"/>
        <w:ind w:firstLine="2280" w:firstLineChars="950"/>
        <w:rPr>
          <w:color w:val="auto"/>
          <w:sz w:val="24"/>
        </w:rPr>
      </w:pPr>
      <w:r>
        <w:rPr>
          <w:color w:val="auto"/>
          <w:sz w:val="24"/>
        </w:rPr>
        <w:t>法定代表人（身份证号码）：             （签字或盖章）</w:t>
      </w:r>
    </w:p>
    <w:p>
      <w:pPr>
        <w:spacing w:line="360" w:lineRule="auto"/>
        <w:ind w:firstLine="2280" w:firstLineChars="950"/>
        <w:rPr>
          <w:color w:val="auto"/>
          <w:sz w:val="24"/>
        </w:rPr>
      </w:pPr>
      <w:r>
        <w:rPr>
          <w:color w:val="auto"/>
          <w:sz w:val="24"/>
        </w:rPr>
        <w:t>委托代理人（身份证号码）：             （签字或盖章）</w:t>
      </w:r>
    </w:p>
    <w:p>
      <w:pPr>
        <w:spacing w:line="360" w:lineRule="auto"/>
        <w:ind w:firstLine="2820" w:firstLineChars="1175"/>
        <w:rPr>
          <w:color w:val="auto"/>
          <w:sz w:val="24"/>
        </w:rPr>
      </w:pPr>
      <w:r>
        <w:rPr>
          <w:color w:val="auto"/>
          <w:sz w:val="24"/>
        </w:rPr>
        <w:t xml:space="preserve">             </w:t>
      </w:r>
    </w:p>
    <w:p>
      <w:pPr>
        <w:spacing w:line="360" w:lineRule="auto"/>
        <w:ind w:firstLine="2820" w:firstLineChars="1175"/>
        <w:rPr>
          <w:color w:val="auto"/>
          <w:sz w:val="24"/>
        </w:rPr>
      </w:pPr>
    </w:p>
    <w:p>
      <w:pPr>
        <w:spacing w:line="360" w:lineRule="auto"/>
        <w:ind w:firstLine="2820" w:firstLineChars="1175"/>
        <w:rPr>
          <w:color w:val="auto"/>
          <w:sz w:val="24"/>
        </w:rPr>
      </w:pPr>
    </w:p>
    <w:p>
      <w:pPr>
        <w:spacing w:line="360" w:lineRule="auto"/>
        <w:ind w:firstLine="2820" w:firstLineChars="1175"/>
        <w:rPr>
          <w:color w:val="auto"/>
          <w:sz w:val="24"/>
        </w:rPr>
      </w:pPr>
    </w:p>
    <w:p>
      <w:pPr>
        <w:spacing w:line="360" w:lineRule="auto"/>
        <w:ind w:firstLine="2820" w:firstLineChars="1175"/>
        <w:rPr>
          <w:color w:val="auto"/>
          <w:sz w:val="24"/>
        </w:rPr>
      </w:pPr>
    </w:p>
    <w:p>
      <w:pPr>
        <w:spacing w:line="360" w:lineRule="auto"/>
        <w:ind w:firstLine="2820" w:firstLineChars="1175"/>
        <w:jc w:val="right"/>
        <w:rPr>
          <w:color w:val="auto"/>
          <w:sz w:val="24"/>
        </w:rPr>
      </w:pPr>
      <w:r>
        <w:rPr>
          <w:color w:val="auto"/>
          <w:sz w:val="24"/>
        </w:rPr>
        <w:t xml:space="preserve"> 年    月    日</w:t>
      </w:r>
    </w:p>
    <w:p>
      <w:pPr>
        <w:wordWrap w:val="0"/>
        <w:spacing w:before="100" w:beforeAutospacing="1" w:after="100" w:afterAutospacing="1" w:line="360" w:lineRule="auto"/>
        <w:jc w:val="center"/>
        <w:rPr>
          <w:b/>
          <w:bCs/>
          <w:color w:val="auto"/>
          <w:sz w:val="27"/>
          <w:szCs w:val="27"/>
        </w:rPr>
      </w:pPr>
    </w:p>
    <w:p>
      <w:pPr>
        <w:wordWrap w:val="0"/>
        <w:spacing w:before="100" w:beforeAutospacing="1" w:after="100" w:afterAutospacing="1" w:line="360" w:lineRule="auto"/>
        <w:jc w:val="center"/>
        <w:rPr>
          <w:b/>
          <w:bCs/>
          <w:color w:val="auto"/>
          <w:sz w:val="27"/>
          <w:szCs w:val="27"/>
        </w:rPr>
      </w:pPr>
    </w:p>
    <w:p>
      <w:pPr>
        <w:wordWrap w:val="0"/>
        <w:spacing w:before="100" w:beforeAutospacing="1" w:after="100" w:afterAutospacing="1" w:line="360" w:lineRule="auto"/>
        <w:jc w:val="center"/>
        <w:rPr>
          <w:b/>
          <w:bCs/>
          <w:color w:val="auto"/>
          <w:sz w:val="27"/>
          <w:szCs w:val="27"/>
        </w:rPr>
      </w:pPr>
    </w:p>
    <w:p>
      <w:pPr>
        <w:wordWrap w:val="0"/>
        <w:spacing w:before="100" w:beforeAutospacing="1" w:after="100" w:afterAutospacing="1" w:line="360" w:lineRule="auto"/>
        <w:jc w:val="center"/>
        <w:rPr>
          <w:b/>
          <w:bCs/>
          <w:color w:val="auto"/>
          <w:sz w:val="27"/>
          <w:szCs w:val="27"/>
        </w:rPr>
      </w:pPr>
    </w:p>
    <w:p>
      <w:pPr>
        <w:wordWrap w:val="0"/>
        <w:spacing w:before="100" w:beforeAutospacing="1" w:after="100" w:afterAutospacing="1" w:line="360" w:lineRule="auto"/>
        <w:jc w:val="center"/>
        <w:rPr>
          <w:b/>
          <w:bCs/>
          <w:color w:val="auto"/>
          <w:sz w:val="27"/>
          <w:szCs w:val="27"/>
        </w:rPr>
      </w:pPr>
    </w:p>
    <w:p>
      <w:pPr>
        <w:pStyle w:val="2"/>
        <w:rPr>
          <w:color w:val="auto"/>
        </w:rPr>
      </w:pPr>
    </w:p>
    <w:p>
      <w:pPr>
        <w:rPr>
          <w:b/>
          <w:bCs/>
          <w:color w:val="auto"/>
          <w:sz w:val="28"/>
          <w:szCs w:val="28"/>
        </w:rPr>
      </w:pPr>
      <w:r>
        <w:rPr>
          <w:b/>
          <w:bCs/>
          <w:color w:val="auto"/>
          <w:sz w:val="28"/>
          <w:szCs w:val="28"/>
        </w:rPr>
        <w:br w:type="page"/>
      </w:r>
    </w:p>
    <w:p>
      <w:pPr>
        <w:numPr>
          <w:ilvl w:val="0"/>
          <w:numId w:val="0"/>
        </w:numPr>
        <w:spacing w:before="240" w:beforeLines="100" w:after="240" w:afterLines="100" w:line="360" w:lineRule="auto"/>
        <w:ind w:leftChars="0"/>
        <w:jc w:val="center"/>
        <w:rPr>
          <w:rFonts w:hint="eastAsia"/>
          <w:b/>
          <w:bCs/>
          <w:color w:val="auto"/>
          <w:sz w:val="28"/>
          <w:szCs w:val="28"/>
          <w:lang w:val="en-US" w:eastAsia="zh-CN"/>
        </w:rPr>
      </w:pPr>
      <w:r>
        <w:rPr>
          <w:rFonts w:hint="eastAsia"/>
          <w:b/>
          <w:bCs/>
          <w:color w:val="auto"/>
          <w:sz w:val="28"/>
          <w:szCs w:val="28"/>
          <w:lang w:val="en-US" w:eastAsia="zh-CN"/>
        </w:rPr>
        <w:t>3、企业基本情况</w:t>
      </w:r>
    </w:p>
    <w:p>
      <w:pPr>
        <w:pStyle w:val="13"/>
        <w:numPr>
          <w:ilvl w:val="0"/>
          <w:numId w:val="0"/>
        </w:numPr>
        <w:spacing w:line="360" w:lineRule="auto"/>
        <w:ind w:leftChars="0"/>
        <w:rPr>
          <w:rFonts w:hint="eastAsia" w:ascii="Times New Roman" w:hAnsi="Times New Roman" w:eastAsia="宋体" w:cs="Times New Roman"/>
          <w:color w:val="auto"/>
          <w:sz w:val="24"/>
          <w:u w:color="000000"/>
          <w:lang w:val="en-US" w:eastAsia="zh-CN" w:bidi="ar-SA"/>
        </w:rPr>
      </w:pPr>
      <w:r>
        <w:rPr>
          <w:rFonts w:hint="eastAsia" w:ascii="Times New Roman" w:hAnsi="Times New Roman" w:eastAsia="宋体" w:cs="Times New Roman"/>
          <w:color w:val="auto"/>
          <w:sz w:val="24"/>
          <w:u w:color="000000"/>
          <w:lang w:val="en-US" w:eastAsia="zh-CN" w:bidi="ar-SA"/>
        </w:rPr>
        <w:t>（1）企业基本信息；</w:t>
      </w:r>
    </w:p>
    <w:p>
      <w:pPr>
        <w:pStyle w:val="13"/>
        <w:numPr>
          <w:ilvl w:val="0"/>
          <w:numId w:val="0"/>
        </w:numPr>
        <w:spacing w:line="360" w:lineRule="auto"/>
        <w:ind w:leftChars="0"/>
        <w:rPr>
          <w:rFonts w:hint="eastAsia" w:ascii="Times New Roman" w:hAnsi="Times New Roman" w:eastAsia="宋体" w:cs="Times New Roman"/>
          <w:color w:val="auto"/>
          <w:sz w:val="24"/>
          <w:u w:color="000000"/>
          <w:lang w:val="en-US" w:eastAsia="zh-CN" w:bidi="ar-SA"/>
        </w:rPr>
      </w:pPr>
      <w:r>
        <w:rPr>
          <w:rFonts w:hint="eastAsia" w:ascii="Times New Roman" w:hAnsi="Times New Roman" w:eastAsia="宋体" w:cs="Times New Roman"/>
          <w:color w:val="auto"/>
          <w:sz w:val="24"/>
          <w:u w:color="000000"/>
          <w:lang w:val="en-US" w:eastAsia="zh-CN" w:bidi="ar-SA"/>
        </w:rPr>
        <w:t>（2）营业执照</w:t>
      </w:r>
      <w:r>
        <w:rPr>
          <w:rFonts w:hint="eastAsia" w:ascii="Times New Roman" w:hAnsi="Times New Roman" w:eastAsia="宋体" w:cs="Times New Roman"/>
          <w:color w:val="auto"/>
          <w:sz w:val="24"/>
          <w:u w:color="000000"/>
          <w:lang w:val="zh-CN" w:eastAsia="zh-CN" w:bidi="ar-SA"/>
        </w:rPr>
        <w:t>、</w:t>
      </w:r>
      <w:r>
        <w:rPr>
          <w:rFonts w:hint="eastAsia" w:ascii="Times New Roman" w:hAnsi="Times New Roman" w:eastAsia="宋体" w:cs="Times New Roman"/>
          <w:color w:val="auto"/>
          <w:sz w:val="24"/>
          <w:u w:color="000000"/>
          <w:lang w:val="en-US" w:eastAsia="zh-CN" w:bidi="ar-SA"/>
        </w:rPr>
        <w:t>财务要求：提供企业近两年（2019年-2020年）第三方财务审计报告（至少包括资产负债表和利润表，成立时间至提交响应文件截止时间不足一年的可提供成立后任意时段的资产负债表），或其基本存款账户开户银行出具的资信证明及基本存款账户开户许可证、提供企业近半年纳税证明；</w:t>
      </w:r>
    </w:p>
    <w:p>
      <w:pPr>
        <w:pStyle w:val="17"/>
        <w:spacing w:line="360" w:lineRule="auto"/>
        <w:rPr>
          <w:rFonts w:hint="eastAsia" w:ascii="Times New Roman" w:hAnsi="Times New Roman" w:eastAsia="宋体" w:cs="Times New Roman"/>
          <w:color w:val="auto"/>
          <w:sz w:val="24"/>
          <w:u w:color="000000"/>
          <w:lang w:val="zh-CN" w:eastAsia="zh-CN" w:bidi="ar-SA"/>
        </w:rPr>
      </w:pPr>
      <w:r>
        <w:rPr>
          <w:rFonts w:hint="eastAsia" w:ascii="Times New Roman" w:hAnsi="Times New Roman" w:eastAsia="宋体" w:cs="Times New Roman"/>
          <w:color w:val="auto"/>
          <w:sz w:val="24"/>
          <w:u w:color="000000"/>
          <w:lang w:val="en-US" w:eastAsia="zh-CN" w:bidi="ar-SA"/>
        </w:rPr>
        <w:t>（3）业绩：近三年2019年</w:t>
      </w:r>
      <w:r>
        <w:rPr>
          <w:rFonts w:hint="eastAsia" w:ascii="Times New Roman" w:hAnsi="Times New Roman" w:cs="Times New Roman"/>
          <w:color w:val="auto"/>
          <w:sz w:val="24"/>
          <w:u w:color="000000"/>
          <w:lang w:val="en-US" w:eastAsia="zh-CN" w:bidi="ar-SA"/>
        </w:rPr>
        <w:t>1</w:t>
      </w:r>
      <w:r>
        <w:rPr>
          <w:rFonts w:hint="eastAsia" w:ascii="Times New Roman" w:hAnsi="Times New Roman" w:eastAsia="宋体" w:cs="Times New Roman"/>
          <w:color w:val="auto"/>
          <w:sz w:val="24"/>
          <w:u w:color="000000"/>
          <w:lang w:val="en-US" w:eastAsia="zh-CN" w:bidi="ar-SA"/>
        </w:rPr>
        <w:t>月至今有类似项目业绩（须提供中标通知书</w:t>
      </w:r>
      <w:r>
        <w:rPr>
          <w:rFonts w:hint="eastAsia" w:ascii="Times New Roman" w:hAnsi="Times New Roman" w:cs="Times New Roman"/>
          <w:color w:val="auto"/>
          <w:sz w:val="24"/>
          <w:u w:color="000000"/>
          <w:lang w:val="en-US" w:eastAsia="zh-CN" w:bidi="ar-SA"/>
        </w:rPr>
        <w:t>或</w:t>
      </w:r>
      <w:r>
        <w:rPr>
          <w:rFonts w:hint="eastAsia" w:ascii="Times New Roman" w:hAnsi="Times New Roman" w:eastAsia="宋体" w:cs="Times New Roman"/>
          <w:color w:val="auto"/>
          <w:sz w:val="24"/>
          <w:u w:color="000000"/>
          <w:lang w:val="en-US" w:eastAsia="zh-CN" w:bidi="ar-SA"/>
        </w:rPr>
        <w:t>合同）；</w:t>
      </w:r>
    </w:p>
    <w:p>
      <w:pPr>
        <w:pStyle w:val="14"/>
        <w:spacing w:line="360" w:lineRule="auto"/>
        <w:rPr>
          <w:rFonts w:hint="eastAsia" w:ascii="Times New Roman" w:hAnsi="Times New Roman" w:eastAsia="宋体" w:cs="Times New Roman"/>
          <w:color w:val="auto"/>
          <w:sz w:val="24"/>
          <w:u w:color="000000"/>
          <w:lang w:val="en-US" w:eastAsia="zh-CN" w:bidi="ar-SA"/>
        </w:rPr>
      </w:pPr>
      <w:r>
        <w:rPr>
          <w:rFonts w:hint="eastAsia" w:ascii="Times New Roman" w:hAnsi="Times New Roman" w:eastAsia="宋体" w:cs="Times New Roman"/>
          <w:color w:val="auto"/>
          <w:sz w:val="24"/>
          <w:u w:color="000000"/>
          <w:lang w:val="zh-CN" w:eastAsia="zh-CN" w:bidi="ar-SA"/>
        </w:rPr>
        <w:t>（</w:t>
      </w:r>
      <w:r>
        <w:rPr>
          <w:rFonts w:hint="eastAsia" w:ascii="Times New Roman" w:hAnsi="Times New Roman" w:eastAsia="宋体" w:cs="Times New Roman"/>
          <w:color w:val="auto"/>
          <w:sz w:val="24"/>
          <w:u w:color="000000"/>
          <w:lang w:val="en-US" w:eastAsia="zh-CN" w:bidi="ar-SA"/>
        </w:rPr>
        <w:t>4</w:t>
      </w:r>
      <w:r>
        <w:rPr>
          <w:rFonts w:hint="eastAsia" w:ascii="Times New Roman" w:hAnsi="Times New Roman" w:eastAsia="宋体" w:cs="Times New Roman"/>
          <w:color w:val="auto"/>
          <w:sz w:val="24"/>
          <w:u w:color="000000"/>
          <w:lang w:val="zh-CN" w:eastAsia="zh-CN" w:bidi="ar-SA"/>
        </w:rPr>
        <w:t>）</w:t>
      </w:r>
      <w:r>
        <w:rPr>
          <w:rFonts w:hint="eastAsia" w:ascii="Times New Roman" w:hAnsi="Times New Roman" w:eastAsia="宋体" w:cs="Times New Roman"/>
          <w:color w:val="auto"/>
          <w:sz w:val="24"/>
          <w:u w:color="000000"/>
          <w:lang w:val="en-US" w:eastAsia="zh-CN" w:bidi="ar-SA"/>
        </w:rPr>
        <w:t>信誉要求：投标人须提供在“信用中国”（www.creditchina.gov.cn）和中国政府采购网（www.ccgp.gov.cn）网站上未被列入失信被执行人、重大税收违法案件当事人名单并下载信用报告以及政府采购严重违法失信行为记录名单的网页打印件（查询结果截图日期必须在发布公告日期之后且加盖公司公章当原件）；</w:t>
      </w:r>
    </w:p>
    <w:p>
      <w:pPr>
        <w:pStyle w:val="14"/>
        <w:spacing w:line="360" w:lineRule="auto"/>
        <w:rPr>
          <w:rFonts w:hint="eastAsia" w:ascii="Times New Roman" w:hAnsi="Times New Roman" w:eastAsia="宋体" w:cs="Times New Roman"/>
          <w:color w:val="auto"/>
          <w:sz w:val="24"/>
          <w:u w:color="000000"/>
          <w:lang w:val="zh-CN" w:eastAsia="zh-CN" w:bidi="ar-SA"/>
        </w:rPr>
      </w:pPr>
      <w:r>
        <w:rPr>
          <w:rFonts w:hint="eastAsia" w:ascii="Times New Roman" w:hAnsi="Times New Roman" w:eastAsia="宋体" w:cs="Times New Roman"/>
          <w:color w:val="auto"/>
          <w:sz w:val="24"/>
          <w:u w:color="000000"/>
          <w:lang w:val="en-US" w:eastAsia="zh-CN" w:bidi="ar-SA"/>
        </w:rPr>
        <w:t>（5）商务标评分细则里需要提供的相关材料。</w:t>
      </w:r>
    </w:p>
    <w:p>
      <w:pPr>
        <w:rPr>
          <w:b/>
          <w:bCs/>
          <w:color w:val="auto"/>
          <w:sz w:val="28"/>
          <w:szCs w:val="28"/>
        </w:rPr>
      </w:pPr>
    </w:p>
    <w:p>
      <w:pPr>
        <w:rPr>
          <w:b/>
          <w:bCs/>
          <w:color w:val="auto"/>
          <w:sz w:val="28"/>
          <w:szCs w:val="28"/>
        </w:rPr>
      </w:pPr>
      <w:r>
        <w:rPr>
          <w:b/>
          <w:bCs/>
          <w:color w:val="auto"/>
          <w:sz w:val="28"/>
          <w:szCs w:val="28"/>
        </w:rPr>
        <w:br w:type="page"/>
      </w:r>
    </w:p>
    <w:p>
      <w:pPr>
        <w:spacing w:beforeLines="100" w:afterLines="100" w:line="360" w:lineRule="auto"/>
        <w:jc w:val="center"/>
        <w:rPr>
          <w:b/>
          <w:bCs/>
          <w:color w:val="auto"/>
          <w:sz w:val="28"/>
          <w:szCs w:val="28"/>
        </w:rPr>
      </w:pPr>
      <w:r>
        <w:rPr>
          <w:rFonts w:hint="eastAsia"/>
          <w:b/>
          <w:bCs/>
          <w:color w:val="auto"/>
          <w:sz w:val="28"/>
          <w:szCs w:val="28"/>
          <w:lang w:val="en-US" w:eastAsia="zh-CN"/>
        </w:rPr>
        <w:t>4</w:t>
      </w:r>
      <w:r>
        <w:rPr>
          <w:b/>
          <w:bCs/>
          <w:color w:val="auto"/>
          <w:sz w:val="28"/>
          <w:szCs w:val="28"/>
        </w:rPr>
        <w:t>、无失信被执行行为承诺书 </w:t>
      </w:r>
    </w:p>
    <w:p>
      <w:pPr>
        <w:wordWrap w:val="0"/>
        <w:spacing w:before="100" w:beforeAutospacing="1" w:after="100" w:afterAutospacing="1" w:line="360" w:lineRule="auto"/>
        <w:jc w:val="left"/>
        <w:rPr>
          <w:color w:val="auto"/>
          <w:sz w:val="24"/>
        </w:rPr>
      </w:pPr>
      <w:r>
        <w:rPr>
          <w:color w:val="auto"/>
          <w:sz w:val="24"/>
        </w:rPr>
        <w:t>本人以企业法定代表人的身份郑重承诺：</w:t>
      </w:r>
    </w:p>
    <w:p>
      <w:pPr>
        <w:wordWrap w:val="0"/>
        <w:spacing w:before="100" w:beforeAutospacing="1" w:after="100" w:afterAutospacing="1" w:line="360" w:lineRule="auto"/>
        <w:ind w:firstLine="720" w:firstLineChars="300"/>
        <w:jc w:val="left"/>
        <w:rPr>
          <w:color w:val="auto"/>
          <w:sz w:val="24"/>
        </w:rPr>
      </w:pPr>
      <w:r>
        <w:rPr>
          <w:color w:val="auto"/>
          <w:sz w:val="24"/>
        </w:rPr>
        <w:t>本公司、公司法定代表人及项目负责人行为遵守法律法规规定，不在人民法院公布的失信被执行人名单中，愿意接受社会各界监督。</w:t>
      </w:r>
    </w:p>
    <w:p>
      <w:pPr>
        <w:wordWrap w:val="0"/>
        <w:spacing w:before="100" w:beforeAutospacing="1" w:after="100" w:afterAutospacing="1" w:line="360" w:lineRule="auto"/>
        <w:ind w:firstLine="480"/>
        <w:jc w:val="left"/>
        <w:rPr>
          <w:color w:val="auto"/>
          <w:sz w:val="24"/>
        </w:rPr>
      </w:pPr>
      <w:r>
        <w:rPr>
          <w:color w:val="auto"/>
          <w:sz w:val="24"/>
        </w:rPr>
        <w:t> 本公司、法定代表人及项目负责人若有违反承诺内容的行为，自愿依法接受取消投标资格、记入信用档案、取消中标资格、没收投标保证金等有关处理，愿意承担法律责任，给招标人造成损失的，依法承担赔偿责任。</w:t>
      </w:r>
    </w:p>
    <w:p>
      <w:pPr>
        <w:wordWrap w:val="0"/>
        <w:spacing w:before="100" w:beforeAutospacing="1" w:after="100" w:afterAutospacing="1" w:line="360" w:lineRule="auto"/>
        <w:ind w:firstLine="480"/>
        <w:jc w:val="left"/>
        <w:rPr>
          <w:color w:val="auto"/>
          <w:sz w:val="24"/>
        </w:rPr>
      </w:pPr>
    </w:p>
    <w:p>
      <w:pPr>
        <w:wordWrap w:val="0"/>
        <w:spacing w:before="100" w:beforeAutospacing="1" w:after="100" w:afterAutospacing="1" w:line="360" w:lineRule="auto"/>
        <w:ind w:firstLine="480"/>
        <w:jc w:val="left"/>
        <w:rPr>
          <w:color w:val="auto"/>
          <w:sz w:val="24"/>
        </w:rPr>
      </w:pPr>
      <w:r>
        <w:rPr>
          <w:color w:val="auto"/>
          <w:sz w:val="24"/>
        </w:rPr>
        <w:t xml:space="preserve">                 </w:t>
      </w:r>
      <w:r>
        <w:rPr>
          <w:rFonts w:hint="eastAsia"/>
          <w:color w:val="auto"/>
          <w:sz w:val="24"/>
        </w:rPr>
        <w:t xml:space="preserve">           </w:t>
      </w:r>
      <w:r>
        <w:rPr>
          <w:color w:val="auto"/>
          <w:sz w:val="24"/>
        </w:rPr>
        <w:t xml:space="preserve">   投标单位（盖章）</w:t>
      </w:r>
    </w:p>
    <w:p>
      <w:pPr>
        <w:wordWrap w:val="0"/>
        <w:spacing w:before="100" w:beforeAutospacing="1" w:after="100" w:afterAutospacing="1" w:line="360" w:lineRule="auto"/>
        <w:ind w:firstLine="2880" w:firstLineChars="1200"/>
        <w:jc w:val="left"/>
        <w:rPr>
          <w:color w:val="auto"/>
          <w:sz w:val="24"/>
        </w:rPr>
      </w:pPr>
      <w:r>
        <w:rPr>
          <w:color w:val="auto"/>
          <w:sz w:val="24"/>
        </w:rPr>
        <w:t xml:space="preserve">      </w:t>
      </w:r>
      <w:r>
        <w:rPr>
          <w:rFonts w:hint="eastAsia"/>
          <w:color w:val="auto"/>
          <w:sz w:val="24"/>
          <w:lang w:val="en-US" w:eastAsia="zh-CN"/>
        </w:rPr>
        <w:t xml:space="preserve">  </w:t>
      </w:r>
      <w:r>
        <w:rPr>
          <w:color w:val="auto"/>
          <w:sz w:val="24"/>
        </w:rPr>
        <w:t>法定代表人（签字或盖章）</w:t>
      </w:r>
    </w:p>
    <w:p>
      <w:pPr>
        <w:wordWrap w:val="0"/>
        <w:spacing w:before="100" w:beforeAutospacing="1" w:after="100" w:afterAutospacing="1" w:line="360" w:lineRule="auto"/>
        <w:ind w:firstLine="2880" w:firstLineChars="1200"/>
        <w:jc w:val="left"/>
        <w:rPr>
          <w:color w:val="auto"/>
          <w:sz w:val="24"/>
        </w:rPr>
      </w:pPr>
    </w:p>
    <w:p>
      <w:pPr>
        <w:wordWrap w:val="0"/>
        <w:spacing w:before="100" w:beforeAutospacing="1" w:after="100" w:afterAutospacing="1" w:line="360" w:lineRule="auto"/>
        <w:ind w:firstLine="2880" w:firstLineChars="1200"/>
        <w:jc w:val="left"/>
        <w:rPr>
          <w:color w:val="auto"/>
          <w:sz w:val="24"/>
        </w:rPr>
      </w:pPr>
    </w:p>
    <w:p>
      <w:pPr>
        <w:wordWrap w:val="0"/>
        <w:spacing w:before="100" w:beforeAutospacing="1" w:after="100" w:afterAutospacing="1" w:line="360" w:lineRule="auto"/>
        <w:ind w:firstLine="2880" w:firstLineChars="1200"/>
        <w:jc w:val="left"/>
        <w:rPr>
          <w:color w:val="auto"/>
          <w:sz w:val="24"/>
        </w:rPr>
      </w:pPr>
    </w:p>
    <w:p>
      <w:pPr>
        <w:wordWrap w:val="0"/>
        <w:spacing w:before="100" w:beforeAutospacing="1" w:after="100" w:afterAutospacing="1" w:line="360" w:lineRule="auto"/>
        <w:ind w:firstLine="2880" w:firstLineChars="1200"/>
        <w:jc w:val="left"/>
        <w:rPr>
          <w:color w:val="auto"/>
          <w:sz w:val="24"/>
        </w:rPr>
      </w:pPr>
    </w:p>
    <w:p>
      <w:pPr>
        <w:wordWrap w:val="0"/>
        <w:spacing w:before="100" w:beforeAutospacing="1" w:after="100" w:afterAutospacing="1" w:line="360" w:lineRule="auto"/>
        <w:ind w:firstLine="2880" w:firstLineChars="1200"/>
        <w:jc w:val="left"/>
        <w:rPr>
          <w:color w:val="auto"/>
          <w:sz w:val="24"/>
        </w:rPr>
      </w:pPr>
    </w:p>
    <w:p>
      <w:pPr>
        <w:wordWrap w:val="0"/>
        <w:spacing w:before="100" w:beforeAutospacing="1" w:after="100" w:afterAutospacing="1" w:line="360" w:lineRule="auto"/>
        <w:ind w:firstLine="2880" w:firstLineChars="1200"/>
        <w:jc w:val="left"/>
        <w:rPr>
          <w:color w:val="auto"/>
          <w:sz w:val="24"/>
        </w:rPr>
      </w:pPr>
    </w:p>
    <w:p>
      <w:pPr>
        <w:wordWrap w:val="0"/>
        <w:spacing w:before="100" w:beforeAutospacing="1" w:after="100" w:afterAutospacing="1" w:line="360" w:lineRule="auto"/>
        <w:ind w:firstLine="2880" w:firstLineChars="1200"/>
        <w:jc w:val="left"/>
        <w:rPr>
          <w:color w:val="auto"/>
          <w:sz w:val="24"/>
        </w:rPr>
      </w:pPr>
    </w:p>
    <w:p>
      <w:pPr>
        <w:wordWrap w:val="0"/>
        <w:spacing w:before="100" w:beforeAutospacing="1" w:after="100" w:afterAutospacing="1" w:line="360" w:lineRule="auto"/>
        <w:ind w:firstLine="2880" w:firstLineChars="1200"/>
        <w:jc w:val="left"/>
        <w:rPr>
          <w:color w:val="auto"/>
          <w:sz w:val="24"/>
        </w:rPr>
      </w:pPr>
    </w:p>
    <w:p>
      <w:pPr>
        <w:wordWrap w:val="0"/>
        <w:spacing w:before="100" w:beforeAutospacing="1" w:after="100" w:afterAutospacing="1" w:line="360" w:lineRule="auto"/>
        <w:ind w:firstLine="2880" w:firstLineChars="1200"/>
        <w:jc w:val="left"/>
        <w:rPr>
          <w:color w:val="auto"/>
          <w:sz w:val="24"/>
        </w:rPr>
      </w:pPr>
    </w:p>
    <w:p>
      <w:pPr>
        <w:spacing w:beforeLines="100" w:afterLines="100" w:line="360" w:lineRule="auto"/>
        <w:jc w:val="center"/>
        <w:rPr>
          <w:b/>
          <w:bCs/>
          <w:color w:val="auto"/>
          <w:sz w:val="28"/>
          <w:szCs w:val="28"/>
        </w:rPr>
      </w:pPr>
      <w:bookmarkStart w:id="75" w:name="_Toc445387678"/>
      <w:bookmarkStart w:id="76" w:name="_Toc445319388"/>
      <w:bookmarkStart w:id="77" w:name="_Toc445318778"/>
    </w:p>
    <w:p>
      <w:pPr>
        <w:spacing w:beforeLines="100" w:afterLines="100" w:line="360" w:lineRule="auto"/>
        <w:jc w:val="center"/>
        <w:rPr>
          <w:b/>
          <w:bCs/>
          <w:color w:val="auto"/>
          <w:sz w:val="28"/>
          <w:szCs w:val="28"/>
        </w:rPr>
      </w:pPr>
      <w:r>
        <w:rPr>
          <w:rFonts w:hint="eastAsia"/>
          <w:b/>
          <w:bCs/>
          <w:color w:val="auto"/>
          <w:sz w:val="28"/>
          <w:szCs w:val="28"/>
          <w:lang w:val="en-US" w:eastAsia="zh-CN"/>
        </w:rPr>
        <w:t>5</w:t>
      </w:r>
      <w:r>
        <w:rPr>
          <w:b/>
          <w:bCs/>
          <w:color w:val="auto"/>
          <w:sz w:val="28"/>
          <w:szCs w:val="28"/>
        </w:rPr>
        <w:t>、社会法人无失信被执行行为承诺书</w:t>
      </w:r>
      <w:bookmarkEnd w:id="75"/>
      <w:bookmarkEnd w:id="76"/>
      <w:bookmarkEnd w:id="77"/>
    </w:p>
    <w:p>
      <w:pPr>
        <w:wordWrap w:val="0"/>
        <w:snapToGrid w:val="0"/>
        <w:spacing w:before="100" w:beforeAutospacing="1" w:after="100" w:afterAutospacing="1" w:line="360" w:lineRule="auto"/>
        <w:jc w:val="left"/>
        <w:rPr>
          <w:color w:val="auto"/>
          <w:sz w:val="24"/>
        </w:rPr>
      </w:pPr>
      <w:r>
        <w:rPr>
          <w:color w:val="auto"/>
          <w:sz w:val="24"/>
        </w:rPr>
        <w:t>本公司郑重承诺：</w:t>
      </w:r>
    </w:p>
    <w:p>
      <w:pPr>
        <w:wordWrap w:val="0"/>
        <w:snapToGrid w:val="0"/>
        <w:spacing w:before="100" w:beforeAutospacing="1" w:after="100" w:afterAutospacing="1" w:line="360" w:lineRule="auto"/>
        <w:ind w:firstLine="720"/>
        <w:jc w:val="left"/>
        <w:rPr>
          <w:color w:val="auto"/>
          <w:sz w:val="24"/>
        </w:rPr>
      </w:pPr>
      <w:r>
        <w:rPr>
          <w:color w:val="auto"/>
          <w:sz w:val="24"/>
        </w:rPr>
        <w:t>本公司遵守法律法规规定，愿意接受社会各界监督，若有违反《中华人民共和国招标投标法》、《中华人民共和国政府采购法》中对投标人应遵守的规定，自愿依法接受取消投标资格、记入信用档案、取消中标资格、没收投标保证金等有关处理，愿意承担法律责任，给招标人造成损失的，依法承担赔偿责任。</w:t>
      </w:r>
    </w:p>
    <w:p>
      <w:pPr>
        <w:spacing w:line="360" w:lineRule="auto"/>
        <w:ind w:firstLine="3240" w:firstLineChars="1350"/>
        <w:rPr>
          <w:bCs/>
          <w:color w:val="auto"/>
          <w:sz w:val="24"/>
        </w:rPr>
      </w:pPr>
    </w:p>
    <w:p>
      <w:pPr>
        <w:spacing w:line="360" w:lineRule="auto"/>
        <w:ind w:firstLine="3240" w:firstLineChars="1350"/>
        <w:rPr>
          <w:bCs/>
          <w:color w:val="auto"/>
          <w:sz w:val="24"/>
        </w:rPr>
      </w:pPr>
    </w:p>
    <w:p>
      <w:pPr>
        <w:spacing w:line="360" w:lineRule="auto"/>
        <w:ind w:firstLine="3240" w:firstLineChars="1350"/>
        <w:rPr>
          <w:bCs/>
          <w:color w:val="auto"/>
          <w:sz w:val="24"/>
        </w:rPr>
      </w:pPr>
    </w:p>
    <w:p>
      <w:pPr>
        <w:spacing w:line="360" w:lineRule="auto"/>
        <w:ind w:firstLine="3240" w:firstLineChars="1350"/>
        <w:rPr>
          <w:bCs/>
          <w:color w:val="auto"/>
          <w:sz w:val="24"/>
        </w:rPr>
      </w:pPr>
      <w:r>
        <w:rPr>
          <w:bCs/>
          <w:color w:val="auto"/>
          <w:sz w:val="24"/>
        </w:rPr>
        <w:t>法定代表人（签字或盖章）：</w:t>
      </w:r>
    </w:p>
    <w:p>
      <w:pPr>
        <w:spacing w:line="360" w:lineRule="auto"/>
        <w:ind w:firstLine="3240" w:firstLineChars="1350"/>
        <w:rPr>
          <w:bCs/>
          <w:color w:val="auto"/>
          <w:sz w:val="24"/>
        </w:rPr>
      </w:pPr>
      <w:r>
        <w:rPr>
          <w:bCs/>
          <w:color w:val="auto"/>
          <w:sz w:val="24"/>
        </w:rPr>
        <w:t>投标单位（公章）：</w:t>
      </w:r>
    </w:p>
    <w:p>
      <w:pPr>
        <w:spacing w:line="360" w:lineRule="auto"/>
        <w:ind w:firstLine="3300" w:firstLineChars="1375"/>
        <w:rPr>
          <w:bCs/>
          <w:color w:val="auto"/>
          <w:sz w:val="24"/>
        </w:rPr>
      </w:pPr>
      <w:r>
        <w:rPr>
          <w:bCs/>
          <w:color w:val="auto"/>
          <w:sz w:val="24"/>
        </w:rPr>
        <w:t xml:space="preserve"> </w:t>
      </w:r>
    </w:p>
    <w:p>
      <w:pPr>
        <w:spacing w:line="360" w:lineRule="auto"/>
        <w:ind w:firstLine="3300" w:firstLineChars="1375"/>
        <w:rPr>
          <w:bCs/>
          <w:color w:val="auto"/>
          <w:sz w:val="24"/>
        </w:rPr>
      </w:pPr>
    </w:p>
    <w:p>
      <w:pPr>
        <w:spacing w:line="360" w:lineRule="auto"/>
        <w:ind w:firstLine="3300" w:firstLineChars="1375"/>
        <w:rPr>
          <w:bCs/>
          <w:color w:val="auto"/>
          <w:sz w:val="24"/>
        </w:rPr>
      </w:pPr>
    </w:p>
    <w:p>
      <w:pPr>
        <w:spacing w:line="360" w:lineRule="auto"/>
        <w:ind w:firstLine="3300" w:firstLineChars="1375"/>
        <w:rPr>
          <w:bCs/>
          <w:color w:val="auto"/>
          <w:sz w:val="24"/>
        </w:rPr>
      </w:pPr>
    </w:p>
    <w:p>
      <w:pPr>
        <w:spacing w:line="360" w:lineRule="auto"/>
        <w:ind w:firstLine="3300" w:firstLineChars="1375"/>
        <w:jc w:val="right"/>
        <w:rPr>
          <w:bCs/>
          <w:color w:val="auto"/>
          <w:sz w:val="24"/>
        </w:rPr>
      </w:pPr>
      <w:r>
        <w:rPr>
          <w:bCs/>
          <w:color w:val="auto"/>
          <w:sz w:val="24"/>
        </w:rPr>
        <w:t>年      月      日</w:t>
      </w:r>
    </w:p>
    <w:p>
      <w:pPr>
        <w:spacing w:line="360" w:lineRule="auto"/>
        <w:ind w:firstLine="2820" w:firstLineChars="1175"/>
        <w:rPr>
          <w:bCs/>
          <w:color w:val="auto"/>
          <w:sz w:val="24"/>
        </w:rPr>
      </w:pPr>
    </w:p>
    <w:p>
      <w:pPr>
        <w:spacing w:line="360" w:lineRule="auto"/>
        <w:ind w:firstLine="2820" w:firstLineChars="1175"/>
        <w:rPr>
          <w:bCs/>
          <w:color w:val="auto"/>
          <w:sz w:val="24"/>
        </w:rPr>
      </w:pPr>
    </w:p>
    <w:p>
      <w:pPr>
        <w:spacing w:line="360" w:lineRule="auto"/>
        <w:ind w:firstLine="2820" w:firstLineChars="1175"/>
        <w:rPr>
          <w:bCs/>
          <w:color w:val="auto"/>
          <w:sz w:val="24"/>
        </w:rPr>
      </w:pPr>
    </w:p>
    <w:p>
      <w:pPr>
        <w:spacing w:line="360" w:lineRule="auto"/>
        <w:ind w:firstLine="2820" w:firstLineChars="1175"/>
        <w:rPr>
          <w:bCs/>
          <w:color w:val="auto"/>
          <w:sz w:val="24"/>
        </w:rPr>
      </w:pPr>
    </w:p>
    <w:p>
      <w:pPr>
        <w:spacing w:line="360" w:lineRule="auto"/>
        <w:ind w:firstLine="2820" w:firstLineChars="1175"/>
        <w:rPr>
          <w:bCs/>
          <w:color w:val="auto"/>
          <w:sz w:val="24"/>
        </w:rPr>
      </w:pPr>
    </w:p>
    <w:p>
      <w:pPr>
        <w:spacing w:line="360" w:lineRule="auto"/>
        <w:ind w:firstLine="2820" w:firstLineChars="1175"/>
        <w:rPr>
          <w:bCs/>
          <w:color w:val="auto"/>
          <w:sz w:val="24"/>
        </w:rPr>
      </w:pPr>
    </w:p>
    <w:p>
      <w:pPr>
        <w:spacing w:line="360" w:lineRule="auto"/>
        <w:ind w:firstLine="2820" w:firstLineChars="1175"/>
        <w:rPr>
          <w:bCs/>
          <w:color w:val="auto"/>
          <w:sz w:val="24"/>
        </w:rPr>
      </w:pPr>
    </w:p>
    <w:p>
      <w:pPr>
        <w:spacing w:line="360" w:lineRule="auto"/>
        <w:ind w:firstLine="2820" w:firstLineChars="1175"/>
        <w:rPr>
          <w:bCs/>
          <w:color w:val="auto"/>
          <w:sz w:val="24"/>
        </w:rPr>
      </w:pPr>
    </w:p>
    <w:p>
      <w:pPr>
        <w:spacing w:line="360" w:lineRule="auto"/>
        <w:ind w:firstLine="2820" w:firstLineChars="1175"/>
        <w:rPr>
          <w:bCs/>
          <w:color w:val="auto"/>
          <w:sz w:val="24"/>
        </w:rPr>
      </w:pPr>
    </w:p>
    <w:p>
      <w:pPr>
        <w:spacing w:line="360" w:lineRule="auto"/>
        <w:ind w:firstLine="2820" w:firstLineChars="1175"/>
        <w:rPr>
          <w:bCs/>
          <w:color w:val="auto"/>
          <w:sz w:val="24"/>
        </w:rPr>
      </w:pPr>
    </w:p>
    <w:p>
      <w:pPr>
        <w:spacing w:line="360" w:lineRule="auto"/>
        <w:ind w:firstLine="2820" w:firstLineChars="1175"/>
        <w:rPr>
          <w:bCs/>
          <w:color w:val="auto"/>
          <w:sz w:val="24"/>
        </w:rPr>
      </w:pPr>
    </w:p>
    <w:p>
      <w:pPr>
        <w:pStyle w:val="2"/>
        <w:rPr>
          <w:rFonts w:ascii="Times New Roman" w:hAnsi="Times New Roman"/>
          <w:bCs/>
          <w:color w:val="auto"/>
          <w:sz w:val="24"/>
        </w:rPr>
      </w:pPr>
    </w:p>
    <w:p>
      <w:pPr>
        <w:pStyle w:val="2"/>
        <w:rPr>
          <w:rFonts w:ascii="Times New Roman" w:hAnsi="Times New Roman"/>
          <w:bCs/>
          <w:color w:val="auto"/>
          <w:sz w:val="24"/>
        </w:rPr>
      </w:pPr>
    </w:p>
    <w:p>
      <w:pPr>
        <w:spacing w:line="360" w:lineRule="auto"/>
        <w:ind w:firstLine="2820" w:firstLineChars="1175"/>
        <w:rPr>
          <w:bCs/>
          <w:color w:val="auto"/>
          <w:sz w:val="24"/>
        </w:rPr>
      </w:pPr>
    </w:p>
    <w:p>
      <w:pPr>
        <w:spacing w:beforeLines="100" w:afterLines="100" w:line="360" w:lineRule="auto"/>
        <w:jc w:val="center"/>
        <w:rPr>
          <w:b/>
          <w:bCs/>
          <w:color w:val="auto"/>
          <w:sz w:val="28"/>
          <w:szCs w:val="28"/>
        </w:rPr>
      </w:pPr>
      <w:r>
        <w:rPr>
          <w:rFonts w:hint="eastAsia"/>
          <w:b/>
          <w:bCs/>
          <w:color w:val="auto"/>
          <w:sz w:val="28"/>
          <w:szCs w:val="28"/>
          <w:lang w:val="en-US" w:eastAsia="zh-CN"/>
        </w:rPr>
        <w:t>6</w:t>
      </w:r>
      <w:r>
        <w:rPr>
          <w:b/>
          <w:bCs/>
          <w:color w:val="auto"/>
          <w:sz w:val="28"/>
          <w:szCs w:val="28"/>
        </w:rPr>
        <w:t>、无重大税收违法行为承诺书</w:t>
      </w:r>
    </w:p>
    <w:p>
      <w:pPr>
        <w:spacing w:before="100" w:beforeAutospacing="1" w:after="100" w:afterAutospacing="1" w:line="360" w:lineRule="auto"/>
        <w:jc w:val="left"/>
        <w:rPr>
          <w:rFonts w:eastAsia="仿宋"/>
          <w:b/>
          <w:bCs/>
          <w:color w:val="auto"/>
          <w:sz w:val="28"/>
          <w:szCs w:val="28"/>
        </w:rPr>
      </w:pPr>
      <w:bookmarkStart w:id="78" w:name="_Toc465177287"/>
      <w:r>
        <w:rPr>
          <w:color w:val="auto"/>
          <w:sz w:val="24"/>
        </w:rPr>
        <w:t>本人以企业法定代表人的身份郑重承诺：</w:t>
      </w:r>
      <w:bookmarkEnd w:id="78"/>
    </w:p>
    <w:p>
      <w:pPr>
        <w:wordWrap w:val="0"/>
        <w:spacing w:before="100" w:beforeAutospacing="1" w:after="100" w:afterAutospacing="1" w:line="360" w:lineRule="auto"/>
        <w:ind w:firstLine="600" w:firstLineChars="250"/>
        <w:jc w:val="left"/>
        <w:rPr>
          <w:color w:val="auto"/>
          <w:sz w:val="24"/>
        </w:rPr>
      </w:pPr>
      <w:r>
        <w:rPr>
          <w:color w:val="auto"/>
          <w:sz w:val="24"/>
        </w:rPr>
        <w:t>本公司近三年无重大税收违法行为，愿意接受社会各界监督。</w:t>
      </w:r>
    </w:p>
    <w:p>
      <w:pPr>
        <w:wordWrap w:val="0"/>
        <w:spacing w:before="100" w:beforeAutospacing="1" w:after="100" w:afterAutospacing="1" w:line="360" w:lineRule="auto"/>
        <w:ind w:firstLine="480"/>
        <w:jc w:val="left"/>
        <w:rPr>
          <w:color w:val="auto"/>
          <w:sz w:val="24"/>
        </w:rPr>
      </w:pPr>
      <w:r>
        <w:rPr>
          <w:color w:val="auto"/>
          <w:sz w:val="24"/>
        </w:rPr>
        <w:t> 本公司及法定代表人若有违反承诺内容的行为，自愿依法接受取消投标资格、记入信用档案、取消中标资格、没收投标保证金等有关处理，愿意承担法律责任，给招标人造成损失的，依法承担赔偿责任。</w:t>
      </w:r>
    </w:p>
    <w:p>
      <w:pPr>
        <w:wordWrap w:val="0"/>
        <w:spacing w:before="100" w:beforeAutospacing="1" w:after="100" w:afterAutospacing="1" w:line="360" w:lineRule="auto"/>
        <w:ind w:firstLine="480"/>
        <w:jc w:val="left"/>
        <w:rPr>
          <w:color w:val="auto"/>
          <w:sz w:val="24"/>
        </w:rPr>
      </w:pPr>
      <w:r>
        <w:rPr>
          <w:color w:val="auto"/>
          <w:sz w:val="24"/>
        </w:rPr>
        <w:t>                                     </w:t>
      </w:r>
    </w:p>
    <w:p>
      <w:pPr>
        <w:wordWrap w:val="0"/>
        <w:spacing w:before="100" w:beforeAutospacing="1" w:after="100" w:afterAutospacing="1" w:line="360" w:lineRule="auto"/>
        <w:ind w:firstLine="480"/>
        <w:jc w:val="left"/>
        <w:rPr>
          <w:color w:val="auto"/>
          <w:sz w:val="24"/>
        </w:rPr>
      </w:pPr>
    </w:p>
    <w:p>
      <w:pPr>
        <w:wordWrap w:val="0"/>
        <w:spacing w:before="100" w:beforeAutospacing="1" w:after="100" w:afterAutospacing="1" w:line="360" w:lineRule="auto"/>
        <w:ind w:firstLine="480"/>
        <w:jc w:val="left"/>
        <w:rPr>
          <w:color w:val="auto"/>
          <w:sz w:val="24"/>
        </w:rPr>
      </w:pPr>
    </w:p>
    <w:p>
      <w:pPr>
        <w:wordWrap w:val="0"/>
        <w:spacing w:before="100" w:beforeAutospacing="1" w:after="100" w:afterAutospacing="1" w:line="360" w:lineRule="auto"/>
        <w:ind w:firstLine="480"/>
        <w:jc w:val="left"/>
        <w:rPr>
          <w:color w:val="auto"/>
          <w:sz w:val="24"/>
        </w:rPr>
      </w:pPr>
    </w:p>
    <w:p>
      <w:pPr>
        <w:wordWrap w:val="0"/>
        <w:spacing w:before="100" w:beforeAutospacing="1" w:after="100" w:afterAutospacing="1" w:line="360" w:lineRule="auto"/>
        <w:ind w:firstLine="480"/>
        <w:jc w:val="center"/>
        <w:rPr>
          <w:color w:val="auto"/>
          <w:sz w:val="24"/>
        </w:rPr>
      </w:pPr>
      <w:r>
        <w:rPr>
          <w:color w:val="auto"/>
          <w:sz w:val="24"/>
        </w:rPr>
        <w:t xml:space="preserve">                           投标单位（盖章）</w:t>
      </w:r>
    </w:p>
    <w:p>
      <w:pPr>
        <w:spacing w:before="100" w:beforeAutospacing="1" w:after="100" w:afterAutospacing="1" w:line="360" w:lineRule="auto"/>
        <w:ind w:firstLine="480"/>
        <w:jc w:val="left"/>
        <w:rPr>
          <w:color w:val="auto"/>
          <w:sz w:val="24"/>
        </w:rPr>
      </w:pPr>
      <w:r>
        <w:rPr>
          <w:color w:val="auto"/>
          <w:sz w:val="24"/>
        </w:rPr>
        <w:t xml:space="preserve">                              </w:t>
      </w:r>
      <w:r>
        <w:rPr>
          <w:rFonts w:hint="eastAsia"/>
          <w:color w:val="auto"/>
          <w:sz w:val="24"/>
        </w:rPr>
        <w:t xml:space="preserve">     </w:t>
      </w:r>
      <w:r>
        <w:rPr>
          <w:color w:val="auto"/>
          <w:sz w:val="24"/>
        </w:rPr>
        <w:t xml:space="preserve">   法定代表人（签字或盖章）</w:t>
      </w:r>
    </w:p>
    <w:p>
      <w:pPr>
        <w:spacing w:line="360" w:lineRule="auto"/>
        <w:ind w:right="600" w:firstLine="3120" w:firstLineChars="1300"/>
        <w:jc w:val="right"/>
        <w:rPr>
          <w:bCs/>
          <w:color w:val="auto"/>
          <w:sz w:val="24"/>
        </w:rPr>
      </w:pPr>
    </w:p>
    <w:p>
      <w:pPr>
        <w:spacing w:line="360" w:lineRule="auto"/>
        <w:ind w:right="480" w:firstLine="3120" w:firstLineChars="1300"/>
        <w:jc w:val="right"/>
        <w:rPr>
          <w:bCs/>
          <w:color w:val="auto"/>
          <w:sz w:val="24"/>
        </w:rPr>
      </w:pPr>
    </w:p>
    <w:p>
      <w:pPr>
        <w:spacing w:line="360" w:lineRule="auto"/>
        <w:ind w:right="480" w:firstLine="3120" w:firstLineChars="1300"/>
        <w:jc w:val="right"/>
        <w:rPr>
          <w:bCs/>
          <w:color w:val="auto"/>
          <w:sz w:val="24"/>
        </w:rPr>
      </w:pPr>
      <w:r>
        <w:rPr>
          <w:bCs/>
          <w:color w:val="auto"/>
          <w:sz w:val="24"/>
        </w:rPr>
        <w:t>年      月      日</w:t>
      </w:r>
    </w:p>
    <w:p>
      <w:pPr>
        <w:spacing w:line="360" w:lineRule="auto"/>
        <w:ind w:firstLine="2820" w:firstLineChars="1175"/>
        <w:rPr>
          <w:bCs/>
          <w:color w:val="auto"/>
          <w:sz w:val="24"/>
        </w:rPr>
      </w:pPr>
    </w:p>
    <w:p>
      <w:pPr>
        <w:spacing w:line="360" w:lineRule="auto"/>
        <w:ind w:firstLine="2820" w:firstLineChars="1175"/>
        <w:rPr>
          <w:bCs/>
          <w:color w:val="auto"/>
          <w:sz w:val="24"/>
        </w:rPr>
      </w:pPr>
    </w:p>
    <w:p>
      <w:pPr>
        <w:spacing w:line="360" w:lineRule="auto"/>
        <w:rPr>
          <w:bCs/>
          <w:color w:val="auto"/>
          <w:sz w:val="24"/>
        </w:rPr>
      </w:pPr>
    </w:p>
    <w:p>
      <w:pPr>
        <w:spacing w:line="360" w:lineRule="auto"/>
        <w:rPr>
          <w:bCs/>
          <w:color w:val="auto"/>
          <w:sz w:val="24"/>
        </w:rPr>
      </w:pPr>
    </w:p>
    <w:p>
      <w:pPr>
        <w:spacing w:beforeLines="100" w:afterLines="100" w:line="360" w:lineRule="auto"/>
        <w:jc w:val="center"/>
        <w:rPr>
          <w:bCs/>
          <w:color w:val="auto"/>
          <w:sz w:val="24"/>
        </w:rPr>
      </w:pPr>
    </w:p>
    <w:p>
      <w:pPr>
        <w:pStyle w:val="2"/>
        <w:rPr>
          <w:rFonts w:ascii="Times New Roman" w:hAnsi="Times New Roman"/>
          <w:bCs/>
          <w:color w:val="auto"/>
          <w:sz w:val="24"/>
        </w:rPr>
      </w:pPr>
    </w:p>
    <w:p>
      <w:pPr>
        <w:pStyle w:val="2"/>
        <w:rPr>
          <w:rFonts w:ascii="Times New Roman" w:hAnsi="Times New Roman"/>
          <w:bCs/>
          <w:color w:val="auto"/>
          <w:sz w:val="24"/>
        </w:rPr>
      </w:pPr>
    </w:p>
    <w:p>
      <w:pPr>
        <w:spacing w:beforeLines="100" w:afterLines="100" w:line="360" w:lineRule="auto"/>
        <w:jc w:val="center"/>
        <w:rPr>
          <w:b/>
          <w:bCs/>
          <w:color w:val="auto"/>
          <w:sz w:val="28"/>
          <w:szCs w:val="28"/>
        </w:rPr>
      </w:pPr>
    </w:p>
    <w:p>
      <w:pPr>
        <w:spacing w:beforeLines="100" w:afterLines="100" w:line="360" w:lineRule="auto"/>
        <w:jc w:val="center"/>
        <w:rPr>
          <w:b/>
          <w:bCs/>
          <w:color w:val="auto"/>
          <w:sz w:val="28"/>
          <w:szCs w:val="28"/>
        </w:rPr>
      </w:pPr>
      <w:r>
        <w:rPr>
          <w:rFonts w:hint="eastAsia"/>
          <w:b/>
          <w:bCs/>
          <w:color w:val="auto"/>
          <w:sz w:val="28"/>
          <w:szCs w:val="28"/>
          <w:lang w:val="en-US" w:eastAsia="zh-CN"/>
        </w:rPr>
        <w:t>7</w:t>
      </w:r>
      <w:r>
        <w:rPr>
          <w:b/>
          <w:bCs/>
          <w:color w:val="auto"/>
          <w:sz w:val="28"/>
          <w:szCs w:val="28"/>
        </w:rPr>
        <w:t>、中标服务费承诺书</w:t>
      </w:r>
    </w:p>
    <w:p>
      <w:pPr>
        <w:spacing w:line="360" w:lineRule="auto"/>
        <w:jc w:val="center"/>
        <w:outlineLvl w:val="2"/>
        <w:rPr>
          <w:color w:val="auto"/>
          <w:sz w:val="24"/>
        </w:rPr>
      </w:pPr>
    </w:p>
    <w:p>
      <w:pPr>
        <w:wordWrap w:val="0"/>
        <w:spacing w:before="100" w:beforeAutospacing="1" w:after="100" w:afterAutospacing="1" w:line="360" w:lineRule="auto"/>
        <w:jc w:val="left"/>
        <w:rPr>
          <w:color w:val="auto"/>
          <w:sz w:val="24"/>
          <w:szCs w:val="22"/>
        </w:rPr>
      </w:pPr>
      <w:r>
        <w:rPr>
          <w:rFonts w:hint="eastAsia"/>
          <w:color w:val="auto"/>
          <w:sz w:val="24"/>
          <w:szCs w:val="22"/>
          <w:lang w:eastAsia="zh-CN"/>
        </w:rPr>
        <w:t>新疆宇励设计有限公司</w:t>
      </w:r>
      <w:r>
        <w:rPr>
          <w:color w:val="auto"/>
          <w:sz w:val="24"/>
          <w:szCs w:val="22"/>
        </w:rPr>
        <w:t>：</w:t>
      </w:r>
    </w:p>
    <w:p>
      <w:pPr>
        <w:widowControl w:val="0"/>
        <w:spacing w:line="360" w:lineRule="auto"/>
        <w:jc w:val="left"/>
        <w:textAlignment w:val="auto"/>
        <w:outlineLvl w:val="2"/>
        <w:rPr>
          <w:color w:val="auto"/>
          <w:sz w:val="24"/>
        </w:rPr>
      </w:pPr>
    </w:p>
    <w:p>
      <w:pPr>
        <w:wordWrap w:val="0"/>
        <w:spacing w:before="100" w:beforeAutospacing="1" w:after="100" w:afterAutospacing="1" w:line="360" w:lineRule="auto"/>
        <w:ind w:firstLine="480"/>
        <w:jc w:val="left"/>
        <w:rPr>
          <w:color w:val="auto"/>
          <w:sz w:val="24"/>
          <w:szCs w:val="22"/>
        </w:rPr>
      </w:pPr>
      <w:r>
        <w:rPr>
          <w:color w:val="auto"/>
          <w:sz w:val="24"/>
          <w:szCs w:val="22"/>
        </w:rPr>
        <w:t>我公司在贵公司组织的</w:t>
      </w:r>
      <w:r>
        <w:rPr>
          <w:color w:val="auto"/>
          <w:sz w:val="24"/>
          <w:szCs w:val="22"/>
          <w:u w:val="single"/>
        </w:rPr>
        <w:t xml:space="preserve">        </w:t>
      </w:r>
      <w:r>
        <w:rPr>
          <w:rFonts w:hint="eastAsia"/>
          <w:color w:val="auto"/>
          <w:sz w:val="24"/>
          <w:szCs w:val="22"/>
          <w:u w:val="single"/>
          <w:lang w:eastAsia="zh-CN"/>
        </w:rPr>
        <w:t>（</w:t>
      </w:r>
      <w:r>
        <w:rPr>
          <w:color w:val="auto"/>
          <w:sz w:val="24"/>
          <w:szCs w:val="22"/>
        </w:rPr>
        <w:t>项目名称）</w:t>
      </w:r>
      <w:r>
        <w:rPr>
          <w:color w:val="auto"/>
          <w:sz w:val="24"/>
          <w:szCs w:val="22"/>
          <w:u w:val="single"/>
        </w:rPr>
        <w:t xml:space="preserve">       </w:t>
      </w:r>
      <w:r>
        <w:rPr>
          <w:color w:val="auto"/>
          <w:sz w:val="24"/>
          <w:szCs w:val="22"/>
        </w:rPr>
        <w:t>（项目编号）招标中若获中标，我公司承诺，保证在领取中标通知书前按招标书有关规定，电汇或贵公司认可的其他方式向贵公司支付中标服务费。</w:t>
      </w:r>
    </w:p>
    <w:p>
      <w:pPr>
        <w:wordWrap w:val="0"/>
        <w:spacing w:before="100" w:beforeAutospacing="1" w:after="100" w:afterAutospacing="1" w:line="360" w:lineRule="auto"/>
        <w:ind w:firstLine="480"/>
        <w:jc w:val="left"/>
        <w:rPr>
          <w:color w:val="auto"/>
          <w:sz w:val="24"/>
          <w:szCs w:val="22"/>
        </w:rPr>
      </w:pPr>
      <w:r>
        <w:rPr>
          <w:color w:val="auto"/>
          <w:sz w:val="24"/>
          <w:szCs w:val="22"/>
        </w:rPr>
        <w:t>特此承诺。</w:t>
      </w:r>
    </w:p>
    <w:p>
      <w:pPr>
        <w:widowControl w:val="0"/>
        <w:spacing w:line="360" w:lineRule="auto"/>
        <w:jc w:val="left"/>
        <w:textAlignment w:val="auto"/>
        <w:outlineLvl w:val="2"/>
        <w:rPr>
          <w:color w:val="auto"/>
          <w:sz w:val="24"/>
        </w:rPr>
      </w:pPr>
    </w:p>
    <w:p>
      <w:pPr>
        <w:widowControl w:val="0"/>
        <w:spacing w:line="360" w:lineRule="auto"/>
        <w:jc w:val="left"/>
        <w:textAlignment w:val="auto"/>
        <w:outlineLvl w:val="2"/>
        <w:rPr>
          <w:color w:val="auto"/>
          <w:sz w:val="24"/>
        </w:rPr>
      </w:pPr>
    </w:p>
    <w:p>
      <w:pPr>
        <w:wordWrap w:val="0"/>
        <w:spacing w:before="100" w:beforeAutospacing="1" w:after="100" w:afterAutospacing="1" w:line="360" w:lineRule="auto"/>
        <w:ind w:firstLine="480"/>
        <w:jc w:val="left"/>
        <w:rPr>
          <w:color w:val="auto"/>
          <w:sz w:val="24"/>
          <w:szCs w:val="22"/>
        </w:rPr>
      </w:pPr>
    </w:p>
    <w:p>
      <w:pPr>
        <w:wordWrap w:val="0"/>
        <w:spacing w:before="100" w:beforeAutospacing="1" w:after="100" w:afterAutospacing="1" w:line="360" w:lineRule="auto"/>
        <w:ind w:firstLine="3360" w:firstLineChars="1400"/>
        <w:rPr>
          <w:color w:val="auto"/>
          <w:sz w:val="24"/>
          <w:szCs w:val="22"/>
        </w:rPr>
      </w:pPr>
      <w:r>
        <w:rPr>
          <w:color w:val="auto"/>
          <w:sz w:val="24"/>
          <w:szCs w:val="22"/>
        </w:rPr>
        <w:t>投标人：（公章）</w:t>
      </w:r>
    </w:p>
    <w:p>
      <w:pPr>
        <w:wordWrap w:val="0"/>
        <w:spacing w:before="100" w:beforeAutospacing="1" w:after="100" w:afterAutospacing="1" w:line="360" w:lineRule="auto"/>
        <w:ind w:firstLine="480"/>
        <w:jc w:val="center"/>
        <w:rPr>
          <w:color w:val="auto"/>
          <w:sz w:val="24"/>
          <w:szCs w:val="22"/>
        </w:rPr>
      </w:pPr>
      <w:r>
        <w:rPr>
          <w:color w:val="auto"/>
          <w:sz w:val="24"/>
          <w:szCs w:val="22"/>
        </w:rPr>
        <w:t xml:space="preserve">                        法定代表人（或授权代表）：（签字或盖章）  </w:t>
      </w:r>
    </w:p>
    <w:p>
      <w:pPr>
        <w:wordWrap w:val="0"/>
        <w:spacing w:before="100" w:beforeAutospacing="1" w:after="100" w:afterAutospacing="1" w:line="360" w:lineRule="auto"/>
        <w:ind w:firstLine="480"/>
        <w:jc w:val="center"/>
        <w:rPr>
          <w:color w:val="auto"/>
          <w:sz w:val="24"/>
          <w:szCs w:val="22"/>
        </w:rPr>
      </w:pPr>
      <w:r>
        <w:rPr>
          <w:color w:val="auto"/>
          <w:sz w:val="24"/>
          <w:szCs w:val="22"/>
        </w:rPr>
        <w:t xml:space="preserve">    </w:t>
      </w:r>
    </w:p>
    <w:p>
      <w:pPr>
        <w:wordWrap w:val="0"/>
        <w:spacing w:before="100" w:beforeAutospacing="1" w:after="100" w:afterAutospacing="1" w:line="360" w:lineRule="auto"/>
        <w:ind w:firstLine="480"/>
        <w:jc w:val="center"/>
        <w:rPr>
          <w:color w:val="auto"/>
          <w:sz w:val="24"/>
          <w:szCs w:val="22"/>
        </w:rPr>
      </w:pPr>
    </w:p>
    <w:p>
      <w:pPr>
        <w:wordWrap w:val="0"/>
        <w:spacing w:before="100" w:beforeAutospacing="1" w:after="100" w:afterAutospacing="1" w:line="360" w:lineRule="auto"/>
        <w:ind w:firstLine="480"/>
        <w:jc w:val="center"/>
        <w:rPr>
          <w:color w:val="auto"/>
          <w:sz w:val="24"/>
          <w:szCs w:val="22"/>
        </w:rPr>
      </w:pPr>
    </w:p>
    <w:p>
      <w:pPr>
        <w:wordWrap w:val="0"/>
        <w:spacing w:before="100" w:beforeAutospacing="1" w:after="100" w:afterAutospacing="1" w:line="360" w:lineRule="auto"/>
        <w:ind w:firstLine="480"/>
        <w:jc w:val="center"/>
        <w:rPr>
          <w:color w:val="auto"/>
          <w:sz w:val="24"/>
          <w:szCs w:val="22"/>
        </w:rPr>
      </w:pPr>
    </w:p>
    <w:p>
      <w:pPr>
        <w:wordWrap w:val="0"/>
        <w:spacing w:before="100" w:beforeAutospacing="1" w:after="100" w:afterAutospacing="1" w:line="360" w:lineRule="auto"/>
        <w:ind w:firstLine="480"/>
        <w:jc w:val="right"/>
        <w:rPr>
          <w:color w:val="auto"/>
          <w:sz w:val="24"/>
          <w:szCs w:val="22"/>
        </w:rPr>
      </w:pPr>
      <w:r>
        <w:rPr>
          <w:color w:val="auto"/>
          <w:sz w:val="24"/>
          <w:szCs w:val="22"/>
        </w:rPr>
        <w:t>日  期：    年  月  日</w:t>
      </w:r>
    </w:p>
    <w:p>
      <w:pPr>
        <w:wordWrap w:val="0"/>
        <w:spacing w:before="100" w:beforeAutospacing="1" w:after="100" w:afterAutospacing="1" w:line="360" w:lineRule="auto"/>
        <w:ind w:firstLine="480"/>
        <w:jc w:val="right"/>
        <w:rPr>
          <w:color w:val="auto"/>
          <w:sz w:val="24"/>
          <w:szCs w:val="22"/>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b/>
          <w:bCs/>
          <w:color w:val="auto"/>
          <w:sz w:val="28"/>
          <w:szCs w:val="28"/>
        </w:rPr>
      </w:pPr>
      <w:r>
        <w:rPr>
          <w:rFonts w:hint="eastAsia"/>
          <w:b/>
          <w:bCs/>
          <w:color w:val="auto"/>
          <w:sz w:val="28"/>
          <w:szCs w:val="28"/>
          <w:lang w:val="en-US" w:eastAsia="zh-CN"/>
        </w:rPr>
        <w:t>8、参加政府采购活动前三年内在经营活动中没有重大违法记录的书面声明</w:t>
      </w:r>
    </w:p>
    <w:p>
      <w:pPr>
        <w:rPr>
          <w:b/>
          <w:bCs/>
          <w:color w:val="auto"/>
          <w:sz w:val="28"/>
          <w:szCs w:val="28"/>
        </w:rPr>
      </w:pPr>
    </w:p>
    <w:p>
      <w:pPr>
        <w:rPr>
          <w:b/>
          <w:bCs/>
          <w:color w:val="auto"/>
          <w:sz w:val="28"/>
          <w:szCs w:val="28"/>
        </w:rPr>
      </w:pPr>
      <w:r>
        <w:rPr>
          <w:b/>
          <w:bCs/>
          <w:color w:val="auto"/>
          <w:sz w:val="28"/>
          <w:szCs w:val="28"/>
        </w:rPr>
        <w:br w:type="page"/>
      </w:r>
    </w:p>
    <w:p>
      <w:pPr>
        <w:spacing w:beforeLines="100" w:afterLines="100" w:line="360" w:lineRule="auto"/>
        <w:jc w:val="center"/>
        <w:rPr>
          <w:b/>
          <w:bCs/>
          <w:color w:val="auto"/>
          <w:sz w:val="28"/>
          <w:szCs w:val="28"/>
        </w:rPr>
      </w:pPr>
      <w:r>
        <w:rPr>
          <w:rFonts w:hint="eastAsia"/>
          <w:b/>
          <w:bCs/>
          <w:color w:val="auto"/>
          <w:sz w:val="28"/>
          <w:szCs w:val="28"/>
          <w:lang w:val="en-US" w:eastAsia="zh-CN"/>
        </w:rPr>
        <w:t>9</w:t>
      </w:r>
      <w:r>
        <w:rPr>
          <w:b/>
          <w:bCs/>
          <w:color w:val="auto"/>
          <w:sz w:val="28"/>
          <w:szCs w:val="28"/>
        </w:rPr>
        <w:t>、投标人认为需要提供的其他材料</w:t>
      </w: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pStyle w:val="39"/>
        <w:ind w:firstLine="420"/>
        <w:rPr>
          <w:color w:val="auto"/>
          <w:lang w:val="en-US"/>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pStyle w:val="39"/>
        <w:ind w:firstLine="420"/>
        <w:rPr>
          <w:color w:val="auto"/>
          <w:lang w:val="en-US"/>
        </w:rPr>
      </w:pPr>
    </w:p>
    <w:p>
      <w:pPr>
        <w:pStyle w:val="39"/>
        <w:ind w:firstLine="420"/>
        <w:rPr>
          <w:color w:val="auto"/>
          <w:lang w:val="en-US"/>
        </w:rPr>
      </w:pPr>
    </w:p>
    <w:p>
      <w:pPr>
        <w:pStyle w:val="39"/>
        <w:ind w:firstLine="420"/>
        <w:rPr>
          <w:color w:val="auto"/>
          <w:lang w:val="en-US"/>
        </w:rPr>
      </w:pPr>
    </w:p>
    <w:p>
      <w:pPr>
        <w:pStyle w:val="39"/>
        <w:ind w:firstLine="420"/>
        <w:rPr>
          <w:color w:val="auto"/>
          <w:lang w:val="en-US"/>
        </w:rPr>
      </w:pPr>
    </w:p>
    <w:p>
      <w:pPr>
        <w:pStyle w:val="39"/>
        <w:ind w:firstLine="420"/>
        <w:rPr>
          <w:color w:val="auto"/>
          <w:lang w:val="en-US"/>
        </w:rPr>
      </w:pPr>
    </w:p>
    <w:p>
      <w:pPr>
        <w:pStyle w:val="39"/>
        <w:ind w:firstLine="420"/>
        <w:rPr>
          <w:color w:val="auto"/>
          <w:lang w:val="en-US"/>
        </w:rPr>
      </w:pPr>
    </w:p>
    <w:p>
      <w:pPr>
        <w:pStyle w:val="39"/>
        <w:ind w:firstLine="420"/>
        <w:rPr>
          <w:color w:val="auto"/>
          <w:lang w:val="en-US"/>
        </w:rPr>
      </w:pPr>
    </w:p>
    <w:p>
      <w:pPr>
        <w:pStyle w:val="39"/>
        <w:ind w:firstLine="420"/>
        <w:rPr>
          <w:color w:val="auto"/>
          <w:lang w:val="en-US"/>
        </w:rPr>
      </w:pPr>
    </w:p>
    <w:p>
      <w:pPr>
        <w:pStyle w:val="39"/>
        <w:ind w:firstLine="420"/>
        <w:rPr>
          <w:color w:val="auto"/>
          <w:lang w:val="en-US"/>
        </w:rPr>
      </w:pPr>
    </w:p>
    <w:p>
      <w:pPr>
        <w:pStyle w:val="39"/>
        <w:ind w:firstLine="420"/>
        <w:rPr>
          <w:color w:val="auto"/>
          <w:lang w:val="en-US"/>
        </w:rPr>
      </w:pPr>
    </w:p>
    <w:p>
      <w:pPr>
        <w:pStyle w:val="39"/>
        <w:ind w:firstLine="420"/>
        <w:rPr>
          <w:color w:val="auto"/>
          <w:lang w:val="en-US"/>
        </w:rPr>
      </w:pPr>
    </w:p>
    <w:p>
      <w:pPr>
        <w:spacing w:line="360" w:lineRule="auto"/>
        <w:jc w:val="center"/>
        <w:rPr>
          <w:b/>
          <w:color w:val="auto"/>
          <w:sz w:val="44"/>
          <w:szCs w:val="44"/>
        </w:rPr>
      </w:pPr>
    </w:p>
    <w:p>
      <w:pPr>
        <w:spacing w:line="360" w:lineRule="auto"/>
        <w:jc w:val="center"/>
        <w:rPr>
          <w:rFonts w:hint="eastAsia" w:eastAsia="宋体"/>
          <w:b/>
          <w:color w:val="auto"/>
          <w:sz w:val="44"/>
          <w:szCs w:val="44"/>
          <w:lang w:eastAsia="zh-CN"/>
        </w:rPr>
      </w:pPr>
      <w:r>
        <w:rPr>
          <w:b/>
          <w:color w:val="auto"/>
          <w:sz w:val="44"/>
          <w:szCs w:val="44"/>
        </w:rPr>
        <w:t>第二部分：技术</w:t>
      </w:r>
      <w:r>
        <w:rPr>
          <w:rFonts w:hint="eastAsia"/>
          <w:b/>
          <w:color w:val="auto"/>
          <w:sz w:val="44"/>
          <w:szCs w:val="44"/>
          <w:lang w:val="en-US" w:eastAsia="zh-CN"/>
        </w:rPr>
        <w:t>标</w:t>
      </w: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line="360" w:lineRule="auto"/>
        <w:ind w:firstLine="2628" w:firstLineChars="935"/>
        <w:rPr>
          <w:b/>
          <w:color w:val="auto"/>
          <w:sz w:val="28"/>
          <w:szCs w:val="28"/>
        </w:rPr>
      </w:pPr>
    </w:p>
    <w:p>
      <w:pPr>
        <w:spacing w:beforeLines="100" w:afterLines="100" w:line="360" w:lineRule="auto"/>
        <w:jc w:val="center"/>
        <w:rPr>
          <w:b/>
          <w:bCs/>
          <w:color w:val="auto"/>
          <w:sz w:val="28"/>
          <w:szCs w:val="28"/>
        </w:rPr>
      </w:pPr>
      <w:r>
        <w:rPr>
          <w:b/>
          <w:bCs/>
          <w:color w:val="auto"/>
          <w:sz w:val="28"/>
          <w:szCs w:val="28"/>
        </w:rPr>
        <w:t>1、技术参数响应表（格式）</w:t>
      </w:r>
    </w:p>
    <w:p>
      <w:pPr>
        <w:spacing w:line="360" w:lineRule="auto"/>
        <w:rPr>
          <w:color w:val="auto"/>
          <w:sz w:val="24"/>
        </w:rPr>
      </w:pPr>
    </w:p>
    <w:tbl>
      <w:tblPr>
        <w:tblStyle w:val="29"/>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484"/>
        <w:gridCol w:w="1608"/>
        <w:gridCol w:w="1624"/>
        <w:gridCol w:w="1648"/>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12" w:type="dxa"/>
            <w:vMerge w:val="restart"/>
            <w:vAlign w:val="center"/>
          </w:tcPr>
          <w:p>
            <w:pPr>
              <w:spacing w:line="360" w:lineRule="auto"/>
              <w:ind w:firstLine="120" w:firstLineChars="50"/>
              <w:jc w:val="center"/>
              <w:rPr>
                <w:color w:val="auto"/>
                <w:sz w:val="24"/>
              </w:rPr>
            </w:pPr>
          </w:p>
          <w:p>
            <w:pPr>
              <w:spacing w:line="360" w:lineRule="auto"/>
              <w:jc w:val="center"/>
              <w:rPr>
                <w:color w:val="auto"/>
                <w:sz w:val="24"/>
              </w:rPr>
            </w:pPr>
            <w:r>
              <w:rPr>
                <w:color w:val="auto"/>
                <w:sz w:val="24"/>
              </w:rPr>
              <w:t>序号</w:t>
            </w:r>
          </w:p>
          <w:p>
            <w:pPr>
              <w:spacing w:line="360" w:lineRule="auto"/>
              <w:ind w:firstLine="120" w:firstLineChars="50"/>
              <w:jc w:val="center"/>
              <w:rPr>
                <w:color w:val="auto"/>
                <w:sz w:val="24"/>
              </w:rPr>
            </w:pPr>
          </w:p>
        </w:tc>
        <w:tc>
          <w:tcPr>
            <w:tcW w:w="1484" w:type="dxa"/>
            <w:vMerge w:val="restart"/>
            <w:vAlign w:val="center"/>
          </w:tcPr>
          <w:p>
            <w:pPr>
              <w:spacing w:line="360" w:lineRule="auto"/>
              <w:jc w:val="center"/>
              <w:rPr>
                <w:color w:val="auto"/>
                <w:sz w:val="24"/>
              </w:rPr>
            </w:pPr>
            <w:r>
              <w:rPr>
                <w:color w:val="auto"/>
                <w:sz w:val="24"/>
              </w:rPr>
              <w:t>名称</w:t>
            </w:r>
          </w:p>
        </w:tc>
        <w:tc>
          <w:tcPr>
            <w:tcW w:w="3232" w:type="dxa"/>
            <w:gridSpan w:val="2"/>
            <w:vAlign w:val="center"/>
          </w:tcPr>
          <w:p>
            <w:pPr>
              <w:spacing w:line="360" w:lineRule="auto"/>
              <w:ind w:firstLine="120" w:firstLineChars="50"/>
              <w:jc w:val="center"/>
              <w:rPr>
                <w:color w:val="auto"/>
                <w:sz w:val="24"/>
              </w:rPr>
            </w:pPr>
            <w:r>
              <w:rPr>
                <w:color w:val="auto"/>
                <w:sz w:val="24"/>
              </w:rPr>
              <w:t>规格型号及参数配置</w:t>
            </w:r>
          </w:p>
        </w:tc>
        <w:tc>
          <w:tcPr>
            <w:tcW w:w="1648" w:type="dxa"/>
            <w:vMerge w:val="restart"/>
            <w:vAlign w:val="center"/>
          </w:tcPr>
          <w:p>
            <w:pPr>
              <w:spacing w:line="360" w:lineRule="auto"/>
              <w:jc w:val="center"/>
              <w:rPr>
                <w:color w:val="auto"/>
                <w:sz w:val="24"/>
              </w:rPr>
            </w:pPr>
            <w:r>
              <w:rPr>
                <w:color w:val="auto"/>
                <w:sz w:val="24"/>
              </w:rPr>
              <w:t>是否响应</w:t>
            </w:r>
          </w:p>
        </w:tc>
        <w:tc>
          <w:tcPr>
            <w:tcW w:w="2050" w:type="dxa"/>
            <w:vMerge w:val="restart"/>
            <w:vAlign w:val="center"/>
          </w:tcPr>
          <w:p>
            <w:pPr>
              <w:spacing w:line="360" w:lineRule="auto"/>
              <w:jc w:val="center"/>
              <w:rPr>
                <w:color w:val="auto"/>
                <w:sz w:val="24"/>
              </w:rPr>
            </w:pPr>
            <w:r>
              <w:rPr>
                <w:color w:val="auto"/>
                <w:sz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12" w:type="dxa"/>
            <w:vMerge w:val="continue"/>
          </w:tcPr>
          <w:p>
            <w:pPr>
              <w:spacing w:line="360" w:lineRule="auto"/>
              <w:ind w:firstLine="120" w:firstLineChars="50"/>
              <w:rPr>
                <w:color w:val="auto"/>
                <w:sz w:val="24"/>
              </w:rPr>
            </w:pPr>
          </w:p>
        </w:tc>
        <w:tc>
          <w:tcPr>
            <w:tcW w:w="1484" w:type="dxa"/>
            <w:vMerge w:val="continue"/>
          </w:tcPr>
          <w:p>
            <w:pPr>
              <w:spacing w:line="360" w:lineRule="auto"/>
              <w:jc w:val="center"/>
              <w:rPr>
                <w:color w:val="auto"/>
                <w:sz w:val="24"/>
              </w:rPr>
            </w:pPr>
          </w:p>
        </w:tc>
        <w:tc>
          <w:tcPr>
            <w:tcW w:w="1608" w:type="dxa"/>
            <w:vAlign w:val="center"/>
          </w:tcPr>
          <w:p>
            <w:pPr>
              <w:spacing w:line="360" w:lineRule="auto"/>
              <w:jc w:val="center"/>
              <w:rPr>
                <w:color w:val="auto"/>
                <w:sz w:val="24"/>
              </w:rPr>
            </w:pPr>
            <w:r>
              <w:rPr>
                <w:color w:val="auto"/>
                <w:sz w:val="24"/>
              </w:rPr>
              <w:t>招标要求规格型号技术参数</w:t>
            </w:r>
          </w:p>
        </w:tc>
        <w:tc>
          <w:tcPr>
            <w:tcW w:w="1624" w:type="dxa"/>
            <w:vAlign w:val="center"/>
          </w:tcPr>
          <w:p>
            <w:pPr>
              <w:spacing w:line="360" w:lineRule="auto"/>
              <w:jc w:val="center"/>
              <w:rPr>
                <w:color w:val="auto"/>
                <w:sz w:val="24"/>
              </w:rPr>
            </w:pPr>
            <w:r>
              <w:rPr>
                <w:color w:val="auto"/>
                <w:sz w:val="24"/>
              </w:rPr>
              <w:t>投标货物规格型号技术参数</w:t>
            </w:r>
          </w:p>
        </w:tc>
        <w:tc>
          <w:tcPr>
            <w:tcW w:w="1648" w:type="dxa"/>
            <w:vMerge w:val="continue"/>
          </w:tcPr>
          <w:p>
            <w:pPr>
              <w:spacing w:line="360" w:lineRule="auto"/>
              <w:jc w:val="center"/>
              <w:rPr>
                <w:color w:val="auto"/>
                <w:sz w:val="24"/>
              </w:rPr>
            </w:pPr>
          </w:p>
        </w:tc>
        <w:tc>
          <w:tcPr>
            <w:tcW w:w="2050" w:type="dxa"/>
            <w:vMerge w:val="continue"/>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112" w:type="dxa"/>
          </w:tcPr>
          <w:p>
            <w:pPr>
              <w:spacing w:line="360" w:lineRule="auto"/>
              <w:ind w:firstLine="360" w:firstLineChars="150"/>
              <w:rPr>
                <w:color w:val="auto"/>
                <w:sz w:val="24"/>
              </w:rPr>
            </w:pPr>
          </w:p>
        </w:tc>
        <w:tc>
          <w:tcPr>
            <w:tcW w:w="1484" w:type="dxa"/>
          </w:tcPr>
          <w:p>
            <w:pPr>
              <w:spacing w:line="360" w:lineRule="auto"/>
              <w:rPr>
                <w:color w:val="auto"/>
                <w:sz w:val="24"/>
              </w:rPr>
            </w:pPr>
          </w:p>
        </w:tc>
        <w:tc>
          <w:tcPr>
            <w:tcW w:w="1608" w:type="dxa"/>
          </w:tcPr>
          <w:p>
            <w:pPr>
              <w:spacing w:line="360" w:lineRule="auto"/>
              <w:ind w:firstLine="720" w:firstLineChars="300"/>
              <w:rPr>
                <w:color w:val="auto"/>
                <w:sz w:val="24"/>
              </w:rPr>
            </w:pPr>
          </w:p>
        </w:tc>
        <w:tc>
          <w:tcPr>
            <w:tcW w:w="1624" w:type="dxa"/>
          </w:tcPr>
          <w:p>
            <w:pPr>
              <w:spacing w:line="360" w:lineRule="auto"/>
              <w:ind w:firstLine="720" w:firstLineChars="300"/>
              <w:rPr>
                <w:color w:val="auto"/>
                <w:sz w:val="24"/>
              </w:rPr>
            </w:pPr>
          </w:p>
        </w:tc>
        <w:tc>
          <w:tcPr>
            <w:tcW w:w="1648" w:type="dxa"/>
          </w:tcPr>
          <w:p>
            <w:pPr>
              <w:spacing w:line="360" w:lineRule="auto"/>
              <w:ind w:firstLine="480" w:firstLineChars="200"/>
              <w:rPr>
                <w:color w:val="auto"/>
                <w:sz w:val="24"/>
              </w:rPr>
            </w:pPr>
          </w:p>
          <w:p>
            <w:pPr>
              <w:spacing w:line="360" w:lineRule="auto"/>
              <w:jc w:val="center"/>
              <w:rPr>
                <w:color w:val="auto"/>
                <w:sz w:val="24"/>
              </w:rPr>
            </w:pPr>
            <w:r>
              <w:rPr>
                <w:color w:val="auto"/>
                <w:sz w:val="24"/>
              </w:rPr>
              <w:t>是/否</w:t>
            </w:r>
          </w:p>
        </w:tc>
        <w:tc>
          <w:tcPr>
            <w:tcW w:w="2050" w:type="dxa"/>
          </w:tcPr>
          <w:p>
            <w:pPr>
              <w:spacing w:line="360" w:lineRule="auto"/>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112" w:type="dxa"/>
          </w:tcPr>
          <w:p>
            <w:pPr>
              <w:spacing w:line="360" w:lineRule="auto"/>
              <w:rPr>
                <w:color w:val="auto"/>
                <w:sz w:val="24"/>
              </w:rPr>
            </w:pPr>
          </w:p>
        </w:tc>
        <w:tc>
          <w:tcPr>
            <w:tcW w:w="1484" w:type="dxa"/>
          </w:tcPr>
          <w:p>
            <w:pPr>
              <w:spacing w:line="360" w:lineRule="auto"/>
              <w:rPr>
                <w:color w:val="auto"/>
                <w:sz w:val="24"/>
              </w:rPr>
            </w:pPr>
          </w:p>
        </w:tc>
        <w:tc>
          <w:tcPr>
            <w:tcW w:w="1608" w:type="dxa"/>
          </w:tcPr>
          <w:p>
            <w:pPr>
              <w:spacing w:line="360" w:lineRule="auto"/>
              <w:ind w:firstLine="720" w:firstLineChars="300"/>
              <w:rPr>
                <w:color w:val="auto"/>
                <w:sz w:val="24"/>
              </w:rPr>
            </w:pPr>
          </w:p>
        </w:tc>
        <w:tc>
          <w:tcPr>
            <w:tcW w:w="1624" w:type="dxa"/>
          </w:tcPr>
          <w:p>
            <w:pPr>
              <w:spacing w:line="360" w:lineRule="auto"/>
              <w:ind w:firstLine="720" w:firstLineChars="300"/>
              <w:rPr>
                <w:color w:val="auto"/>
                <w:sz w:val="24"/>
              </w:rPr>
            </w:pPr>
          </w:p>
        </w:tc>
        <w:tc>
          <w:tcPr>
            <w:tcW w:w="1648" w:type="dxa"/>
          </w:tcPr>
          <w:p>
            <w:pPr>
              <w:spacing w:line="360" w:lineRule="auto"/>
              <w:ind w:firstLine="480" w:firstLineChars="200"/>
              <w:rPr>
                <w:color w:val="auto"/>
                <w:sz w:val="24"/>
              </w:rPr>
            </w:pPr>
          </w:p>
        </w:tc>
        <w:tc>
          <w:tcPr>
            <w:tcW w:w="2050" w:type="dxa"/>
          </w:tcPr>
          <w:p>
            <w:pPr>
              <w:spacing w:line="360" w:lineRule="auto"/>
              <w:rPr>
                <w:color w:val="auto"/>
                <w:sz w:val="24"/>
              </w:rPr>
            </w:pPr>
          </w:p>
        </w:tc>
      </w:tr>
    </w:tbl>
    <w:p>
      <w:pPr>
        <w:spacing w:line="360" w:lineRule="auto"/>
        <w:ind w:firstLine="480" w:firstLineChars="200"/>
        <w:rPr>
          <w:color w:val="auto"/>
          <w:sz w:val="24"/>
        </w:rPr>
      </w:pPr>
    </w:p>
    <w:p>
      <w:pPr>
        <w:spacing w:line="360" w:lineRule="auto"/>
        <w:rPr>
          <w:color w:val="auto"/>
          <w:sz w:val="24"/>
        </w:rPr>
      </w:pPr>
      <w:r>
        <w:rPr>
          <w:color w:val="auto"/>
          <w:sz w:val="24"/>
        </w:rPr>
        <w:t>投标人名称（盖章）：</w:t>
      </w:r>
      <w:r>
        <w:rPr>
          <w:color w:val="auto"/>
          <w:sz w:val="24"/>
          <w:u w:val="single"/>
        </w:rPr>
        <w:t xml:space="preserve">                                </w:t>
      </w:r>
    </w:p>
    <w:p>
      <w:pPr>
        <w:spacing w:line="360" w:lineRule="auto"/>
        <w:rPr>
          <w:color w:val="auto"/>
          <w:sz w:val="24"/>
        </w:rPr>
      </w:pPr>
      <w:r>
        <w:rPr>
          <w:color w:val="auto"/>
          <w:sz w:val="24"/>
        </w:rPr>
        <w:t>法定代表人或授权代理人</w:t>
      </w:r>
      <w:r>
        <w:rPr>
          <w:rFonts w:hint="eastAsia"/>
          <w:color w:val="auto"/>
          <w:sz w:val="24"/>
          <w:lang w:eastAsia="zh-CN"/>
        </w:rPr>
        <w:t>（</w:t>
      </w:r>
      <w:r>
        <w:rPr>
          <w:color w:val="auto"/>
          <w:sz w:val="24"/>
        </w:rPr>
        <w:t>签字或盖章</w:t>
      </w:r>
      <w:r>
        <w:rPr>
          <w:rFonts w:hint="eastAsia"/>
          <w:color w:val="auto"/>
          <w:sz w:val="24"/>
          <w:lang w:eastAsia="zh-CN"/>
        </w:rPr>
        <w:t>）</w:t>
      </w:r>
      <w:r>
        <w:rPr>
          <w:color w:val="auto"/>
          <w:sz w:val="24"/>
        </w:rPr>
        <w:t>：</w:t>
      </w:r>
      <w:r>
        <w:rPr>
          <w:color w:val="auto"/>
          <w:sz w:val="24"/>
          <w:u w:val="single"/>
        </w:rPr>
        <w:t xml:space="preserve">                          </w:t>
      </w:r>
    </w:p>
    <w:p>
      <w:pPr>
        <w:spacing w:line="360" w:lineRule="auto"/>
        <w:rPr>
          <w:color w:val="auto"/>
          <w:sz w:val="24"/>
        </w:rPr>
      </w:pPr>
      <w:r>
        <w:rPr>
          <w:color w:val="auto"/>
          <w:sz w:val="24"/>
        </w:rPr>
        <w:t xml:space="preserve">                                 </w:t>
      </w: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jc w:val="right"/>
        <w:rPr>
          <w:color w:val="auto"/>
          <w:sz w:val="24"/>
        </w:rPr>
      </w:pPr>
      <w:r>
        <w:rPr>
          <w:color w:val="auto"/>
          <w:sz w:val="24"/>
        </w:rPr>
        <w:t>日    期：</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pPr>
        <w:spacing w:line="360" w:lineRule="auto"/>
        <w:rPr>
          <w:b/>
          <w:color w:val="auto"/>
          <w:sz w:val="24"/>
        </w:rPr>
      </w:pPr>
    </w:p>
    <w:p>
      <w:pPr>
        <w:spacing w:line="360" w:lineRule="auto"/>
        <w:jc w:val="center"/>
        <w:rPr>
          <w:b/>
          <w:bCs/>
          <w:color w:val="auto"/>
          <w:sz w:val="27"/>
          <w:szCs w:val="27"/>
        </w:rPr>
      </w:pPr>
    </w:p>
    <w:p>
      <w:pPr>
        <w:spacing w:line="360" w:lineRule="auto"/>
        <w:jc w:val="center"/>
        <w:rPr>
          <w:b/>
          <w:bCs/>
          <w:color w:val="auto"/>
          <w:sz w:val="27"/>
          <w:szCs w:val="27"/>
        </w:rPr>
      </w:pPr>
    </w:p>
    <w:p>
      <w:pPr>
        <w:spacing w:line="360" w:lineRule="auto"/>
        <w:jc w:val="center"/>
        <w:rPr>
          <w:b/>
          <w:bCs/>
          <w:color w:val="auto"/>
          <w:sz w:val="27"/>
          <w:szCs w:val="27"/>
        </w:rPr>
      </w:pPr>
    </w:p>
    <w:p>
      <w:pPr>
        <w:spacing w:line="360" w:lineRule="auto"/>
        <w:jc w:val="center"/>
        <w:rPr>
          <w:b/>
          <w:bCs/>
          <w:color w:val="auto"/>
          <w:sz w:val="27"/>
          <w:szCs w:val="27"/>
        </w:rPr>
      </w:pPr>
    </w:p>
    <w:p>
      <w:pPr>
        <w:pStyle w:val="2"/>
        <w:rPr>
          <w:rFonts w:ascii="Times New Roman" w:hAnsi="Times New Roman"/>
          <w:b/>
          <w:bCs/>
          <w:color w:val="auto"/>
          <w:sz w:val="27"/>
          <w:szCs w:val="27"/>
        </w:rPr>
      </w:pPr>
    </w:p>
    <w:p>
      <w:pPr>
        <w:pStyle w:val="2"/>
        <w:rPr>
          <w:rFonts w:ascii="Times New Roman" w:hAnsi="Times New Roman"/>
          <w:b/>
          <w:bCs/>
          <w:color w:val="auto"/>
          <w:sz w:val="27"/>
          <w:szCs w:val="27"/>
        </w:rPr>
      </w:pPr>
    </w:p>
    <w:p>
      <w:pPr>
        <w:spacing w:line="360" w:lineRule="auto"/>
        <w:jc w:val="center"/>
        <w:rPr>
          <w:b/>
          <w:bCs/>
          <w:color w:val="auto"/>
          <w:sz w:val="27"/>
          <w:szCs w:val="27"/>
        </w:rPr>
      </w:pPr>
    </w:p>
    <w:p>
      <w:pPr>
        <w:spacing w:line="360" w:lineRule="auto"/>
        <w:jc w:val="center"/>
        <w:rPr>
          <w:b/>
          <w:bCs/>
          <w:color w:val="auto"/>
          <w:sz w:val="27"/>
          <w:szCs w:val="27"/>
        </w:rPr>
      </w:pPr>
    </w:p>
    <w:p>
      <w:pPr>
        <w:pStyle w:val="2"/>
        <w:rPr>
          <w:color w:val="auto"/>
        </w:rPr>
      </w:pPr>
    </w:p>
    <w:p>
      <w:pPr>
        <w:spacing w:beforeLines="100" w:afterLines="100" w:line="360" w:lineRule="auto"/>
        <w:jc w:val="center"/>
        <w:rPr>
          <w:b/>
          <w:bCs/>
          <w:color w:val="auto"/>
          <w:sz w:val="28"/>
          <w:szCs w:val="28"/>
        </w:rPr>
      </w:pPr>
      <w:r>
        <w:rPr>
          <w:b/>
          <w:bCs/>
          <w:color w:val="auto"/>
          <w:sz w:val="28"/>
          <w:szCs w:val="28"/>
        </w:rPr>
        <w:t>2、货物的详细配置清单</w:t>
      </w:r>
    </w:p>
    <w:tbl>
      <w:tblPr>
        <w:tblStyle w:val="29"/>
        <w:tblpPr w:leftFromText="180" w:rightFromText="180" w:vertAnchor="text" w:horzAnchor="margin" w:tblpXSpec="left" w:tblpY="125"/>
        <w:tblW w:w="9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637"/>
        <w:gridCol w:w="1908"/>
        <w:gridCol w:w="1256"/>
        <w:gridCol w:w="1861"/>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43" w:type="dxa"/>
            <w:vAlign w:val="center"/>
          </w:tcPr>
          <w:p>
            <w:pPr>
              <w:spacing w:line="360" w:lineRule="auto"/>
              <w:jc w:val="center"/>
              <w:rPr>
                <w:color w:val="auto"/>
                <w:sz w:val="24"/>
              </w:rPr>
            </w:pPr>
            <w:r>
              <w:rPr>
                <w:color w:val="auto"/>
                <w:sz w:val="24"/>
              </w:rPr>
              <w:t>序号</w:t>
            </w:r>
          </w:p>
        </w:tc>
        <w:tc>
          <w:tcPr>
            <w:tcW w:w="1637" w:type="dxa"/>
            <w:vAlign w:val="center"/>
          </w:tcPr>
          <w:p>
            <w:pPr>
              <w:spacing w:line="360" w:lineRule="auto"/>
              <w:jc w:val="center"/>
              <w:rPr>
                <w:color w:val="auto"/>
                <w:sz w:val="24"/>
              </w:rPr>
            </w:pPr>
            <w:r>
              <w:rPr>
                <w:color w:val="auto"/>
                <w:sz w:val="24"/>
              </w:rPr>
              <w:t>名称</w:t>
            </w:r>
          </w:p>
        </w:tc>
        <w:tc>
          <w:tcPr>
            <w:tcW w:w="1908" w:type="dxa"/>
            <w:vAlign w:val="center"/>
          </w:tcPr>
          <w:p>
            <w:pPr>
              <w:spacing w:line="360" w:lineRule="auto"/>
              <w:jc w:val="center"/>
              <w:rPr>
                <w:color w:val="auto"/>
                <w:sz w:val="24"/>
              </w:rPr>
            </w:pPr>
            <w:r>
              <w:rPr>
                <w:color w:val="auto"/>
                <w:sz w:val="24"/>
              </w:rPr>
              <w:t>品牌</w:t>
            </w:r>
          </w:p>
        </w:tc>
        <w:tc>
          <w:tcPr>
            <w:tcW w:w="1256" w:type="dxa"/>
            <w:vAlign w:val="center"/>
          </w:tcPr>
          <w:p>
            <w:pPr>
              <w:spacing w:line="360" w:lineRule="auto"/>
              <w:jc w:val="center"/>
              <w:rPr>
                <w:color w:val="auto"/>
                <w:sz w:val="24"/>
              </w:rPr>
            </w:pPr>
            <w:r>
              <w:rPr>
                <w:color w:val="auto"/>
                <w:sz w:val="24"/>
              </w:rPr>
              <w:t>产地</w:t>
            </w:r>
          </w:p>
        </w:tc>
        <w:tc>
          <w:tcPr>
            <w:tcW w:w="1861" w:type="dxa"/>
            <w:vAlign w:val="center"/>
          </w:tcPr>
          <w:p>
            <w:pPr>
              <w:spacing w:line="360" w:lineRule="auto"/>
              <w:ind w:left="261"/>
              <w:jc w:val="center"/>
              <w:rPr>
                <w:color w:val="auto"/>
                <w:sz w:val="24"/>
              </w:rPr>
            </w:pPr>
            <w:r>
              <w:rPr>
                <w:color w:val="auto"/>
                <w:sz w:val="24"/>
              </w:rPr>
              <w:t>生产厂家</w:t>
            </w:r>
          </w:p>
        </w:tc>
        <w:tc>
          <w:tcPr>
            <w:tcW w:w="2286" w:type="dxa"/>
            <w:vAlign w:val="center"/>
          </w:tcPr>
          <w:p>
            <w:pPr>
              <w:spacing w:line="360" w:lineRule="auto"/>
              <w:jc w:val="center"/>
              <w:rPr>
                <w:color w:val="auto"/>
                <w:sz w:val="24"/>
              </w:rPr>
            </w:pPr>
            <w:r>
              <w:rPr>
                <w:color w:val="auto"/>
                <w:sz w:val="24"/>
              </w:rPr>
              <w:t>详细配置清单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43" w:type="dxa"/>
          </w:tcPr>
          <w:p>
            <w:pPr>
              <w:spacing w:line="360" w:lineRule="auto"/>
              <w:rPr>
                <w:color w:val="auto"/>
                <w:sz w:val="24"/>
              </w:rPr>
            </w:pPr>
          </w:p>
        </w:tc>
        <w:tc>
          <w:tcPr>
            <w:tcW w:w="1637" w:type="dxa"/>
          </w:tcPr>
          <w:p>
            <w:pPr>
              <w:spacing w:line="360" w:lineRule="auto"/>
              <w:rPr>
                <w:color w:val="auto"/>
                <w:sz w:val="24"/>
              </w:rPr>
            </w:pPr>
          </w:p>
        </w:tc>
        <w:tc>
          <w:tcPr>
            <w:tcW w:w="1908" w:type="dxa"/>
          </w:tcPr>
          <w:p>
            <w:pPr>
              <w:spacing w:line="360" w:lineRule="auto"/>
              <w:rPr>
                <w:color w:val="auto"/>
                <w:sz w:val="24"/>
              </w:rPr>
            </w:pPr>
          </w:p>
        </w:tc>
        <w:tc>
          <w:tcPr>
            <w:tcW w:w="1256" w:type="dxa"/>
          </w:tcPr>
          <w:p>
            <w:pPr>
              <w:spacing w:line="360" w:lineRule="auto"/>
              <w:rPr>
                <w:color w:val="auto"/>
                <w:sz w:val="24"/>
              </w:rPr>
            </w:pPr>
          </w:p>
        </w:tc>
        <w:tc>
          <w:tcPr>
            <w:tcW w:w="1861" w:type="dxa"/>
          </w:tcPr>
          <w:p>
            <w:pPr>
              <w:spacing w:line="360" w:lineRule="auto"/>
              <w:rPr>
                <w:color w:val="auto"/>
                <w:sz w:val="24"/>
              </w:rPr>
            </w:pPr>
          </w:p>
        </w:tc>
        <w:tc>
          <w:tcPr>
            <w:tcW w:w="2286" w:type="dxa"/>
          </w:tcPr>
          <w:p>
            <w:pPr>
              <w:spacing w:line="360" w:lineRule="auto"/>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43" w:type="dxa"/>
          </w:tcPr>
          <w:p>
            <w:pPr>
              <w:spacing w:line="360" w:lineRule="auto"/>
              <w:rPr>
                <w:color w:val="auto"/>
                <w:sz w:val="24"/>
              </w:rPr>
            </w:pPr>
          </w:p>
        </w:tc>
        <w:tc>
          <w:tcPr>
            <w:tcW w:w="1637" w:type="dxa"/>
          </w:tcPr>
          <w:p>
            <w:pPr>
              <w:spacing w:line="360" w:lineRule="auto"/>
              <w:rPr>
                <w:color w:val="auto"/>
                <w:sz w:val="24"/>
              </w:rPr>
            </w:pPr>
          </w:p>
        </w:tc>
        <w:tc>
          <w:tcPr>
            <w:tcW w:w="1908" w:type="dxa"/>
          </w:tcPr>
          <w:p>
            <w:pPr>
              <w:spacing w:line="360" w:lineRule="auto"/>
              <w:rPr>
                <w:color w:val="auto"/>
                <w:sz w:val="24"/>
              </w:rPr>
            </w:pPr>
          </w:p>
        </w:tc>
        <w:tc>
          <w:tcPr>
            <w:tcW w:w="1256" w:type="dxa"/>
          </w:tcPr>
          <w:p>
            <w:pPr>
              <w:spacing w:line="360" w:lineRule="auto"/>
              <w:rPr>
                <w:color w:val="auto"/>
                <w:sz w:val="24"/>
              </w:rPr>
            </w:pPr>
          </w:p>
        </w:tc>
        <w:tc>
          <w:tcPr>
            <w:tcW w:w="1861" w:type="dxa"/>
          </w:tcPr>
          <w:p>
            <w:pPr>
              <w:spacing w:line="360" w:lineRule="auto"/>
              <w:rPr>
                <w:color w:val="auto"/>
                <w:sz w:val="24"/>
              </w:rPr>
            </w:pPr>
          </w:p>
        </w:tc>
        <w:tc>
          <w:tcPr>
            <w:tcW w:w="2286" w:type="dxa"/>
          </w:tcPr>
          <w:p>
            <w:pPr>
              <w:spacing w:line="360" w:lineRule="auto"/>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43" w:type="dxa"/>
          </w:tcPr>
          <w:p>
            <w:pPr>
              <w:spacing w:line="360" w:lineRule="auto"/>
              <w:rPr>
                <w:color w:val="auto"/>
                <w:sz w:val="24"/>
              </w:rPr>
            </w:pPr>
          </w:p>
        </w:tc>
        <w:tc>
          <w:tcPr>
            <w:tcW w:w="1637" w:type="dxa"/>
          </w:tcPr>
          <w:p>
            <w:pPr>
              <w:spacing w:line="360" w:lineRule="auto"/>
              <w:rPr>
                <w:color w:val="auto"/>
                <w:sz w:val="24"/>
              </w:rPr>
            </w:pPr>
          </w:p>
        </w:tc>
        <w:tc>
          <w:tcPr>
            <w:tcW w:w="1908" w:type="dxa"/>
          </w:tcPr>
          <w:p>
            <w:pPr>
              <w:spacing w:line="360" w:lineRule="auto"/>
              <w:rPr>
                <w:color w:val="auto"/>
                <w:sz w:val="24"/>
              </w:rPr>
            </w:pPr>
          </w:p>
        </w:tc>
        <w:tc>
          <w:tcPr>
            <w:tcW w:w="1256" w:type="dxa"/>
          </w:tcPr>
          <w:p>
            <w:pPr>
              <w:spacing w:line="360" w:lineRule="auto"/>
              <w:rPr>
                <w:color w:val="auto"/>
                <w:sz w:val="24"/>
              </w:rPr>
            </w:pPr>
          </w:p>
        </w:tc>
        <w:tc>
          <w:tcPr>
            <w:tcW w:w="1861" w:type="dxa"/>
          </w:tcPr>
          <w:p>
            <w:pPr>
              <w:spacing w:line="360" w:lineRule="auto"/>
              <w:rPr>
                <w:color w:val="auto"/>
                <w:sz w:val="24"/>
              </w:rPr>
            </w:pPr>
          </w:p>
        </w:tc>
        <w:tc>
          <w:tcPr>
            <w:tcW w:w="2286" w:type="dxa"/>
          </w:tcPr>
          <w:p>
            <w:pPr>
              <w:spacing w:line="360" w:lineRule="auto"/>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43" w:type="dxa"/>
          </w:tcPr>
          <w:p>
            <w:pPr>
              <w:spacing w:line="360" w:lineRule="auto"/>
              <w:rPr>
                <w:color w:val="auto"/>
                <w:sz w:val="24"/>
              </w:rPr>
            </w:pPr>
          </w:p>
        </w:tc>
        <w:tc>
          <w:tcPr>
            <w:tcW w:w="1637" w:type="dxa"/>
          </w:tcPr>
          <w:p>
            <w:pPr>
              <w:spacing w:line="360" w:lineRule="auto"/>
              <w:rPr>
                <w:color w:val="auto"/>
                <w:sz w:val="24"/>
              </w:rPr>
            </w:pPr>
          </w:p>
        </w:tc>
        <w:tc>
          <w:tcPr>
            <w:tcW w:w="1908" w:type="dxa"/>
          </w:tcPr>
          <w:p>
            <w:pPr>
              <w:spacing w:line="360" w:lineRule="auto"/>
              <w:rPr>
                <w:color w:val="auto"/>
                <w:sz w:val="24"/>
              </w:rPr>
            </w:pPr>
          </w:p>
        </w:tc>
        <w:tc>
          <w:tcPr>
            <w:tcW w:w="1256" w:type="dxa"/>
          </w:tcPr>
          <w:p>
            <w:pPr>
              <w:spacing w:line="360" w:lineRule="auto"/>
              <w:rPr>
                <w:color w:val="auto"/>
                <w:sz w:val="24"/>
              </w:rPr>
            </w:pPr>
          </w:p>
        </w:tc>
        <w:tc>
          <w:tcPr>
            <w:tcW w:w="1861" w:type="dxa"/>
          </w:tcPr>
          <w:p>
            <w:pPr>
              <w:spacing w:line="360" w:lineRule="auto"/>
              <w:rPr>
                <w:color w:val="auto"/>
                <w:sz w:val="24"/>
              </w:rPr>
            </w:pPr>
          </w:p>
        </w:tc>
        <w:tc>
          <w:tcPr>
            <w:tcW w:w="2286" w:type="dxa"/>
          </w:tcPr>
          <w:p>
            <w:pPr>
              <w:spacing w:line="360" w:lineRule="auto"/>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43" w:type="dxa"/>
          </w:tcPr>
          <w:p>
            <w:pPr>
              <w:spacing w:line="360" w:lineRule="auto"/>
              <w:rPr>
                <w:color w:val="auto"/>
                <w:sz w:val="24"/>
              </w:rPr>
            </w:pPr>
          </w:p>
        </w:tc>
        <w:tc>
          <w:tcPr>
            <w:tcW w:w="1637" w:type="dxa"/>
          </w:tcPr>
          <w:p>
            <w:pPr>
              <w:spacing w:line="360" w:lineRule="auto"/>
              <w:rPr>
                <w:color w:val="auto"/>
                <w:sz w:val="24"/>
              </w:rPr>
            </w:pPr>
          </w:p>
        </w:tc>
        <w:tc>
          <w:tcPr>
            <w:tcW w:w="1908" w:type="dxa"/>
          </w:tcPr>
          <w:p>
            <w:pPr>
              <w:spacing w:line="360" w:lineRule="auto"/>
              <w:rPr>
                <w:color w:val="auto"/>
                <w:sz w:val="24"/>
              </w:rPr>
            </w:pPr>
          </w:p>
        </w:tc>
        <w:tc>
          <w:tcPr>
            <w:tcW w:w="1256" w:type="dxa"/>
          </w:tcPr>
          <w:p>
            <w:pPr>
              <w:spacing w:line="360" w:lineRule="auto"/>
              <w:rPr>
                <w:color w:val="auto"/>
                <w:sz w:val="24"/>
              </w:rPr>
            </w:pPr>
          </w:p>
        </w:tc>
        <w:tc>
          <w:tcPr>
            <w:tcW w:w="1861" w:type="dxa"/>
          </w:tcPr>
          <w:p>
            <w:pPr>
              <w:spacing w:line="360" w:lineRule="auto"/>
              <w:rPr>
                <w:color w:val="auto"/>
                <w:sz w:val="24"/>
              </w:rPr>
            </w:pPr>
          </w:p>
        </w:tc>
        <w:tc>
          <w:tcPr>
            <w:tcW w:w="2286" w:type="dxa"/>
          </w:tcPr>
          <w:p>
            <w:pPr>
              <w:spacing w:line="360" w:lineRule="auto"/>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43" w:type="dxa"/>
          </w:tcPr>
          <w:p>
            <w:pPr>
              <w:spacing w:line="360" w:lineRule="auto"/>
              <w:rPr>
                <w:color w:val="auto"/>
                <w:sz w:val="24"/>
              </w:rPr>
            </w:pPr>
          </w:p>
        </w:tc>
        <w:tc>
          <w:tcPr>
            <w:tcW w:w="1637" w:type="dxa"/>
          </w:tcPr>
          <w:p>
            <w:pPr>
              <w:spacing w:line="360" w:lineRule="auto"/>
              <w:rPr>
                <w:color w:val="auto"/>
                <w:sz w:val="24"/>
              </w:rPr>
            </w:pPr>
          </w:p>
        </w:tc>
        <w:tc>
          <w:tcPr>
            <w:tcW w:w="1908" w:type="dxa"/>
          </w:tcPr>
          <w:p>
            <w:pPr>
              <w:spacing w:line="360" w:lineRule="auto"/>
              <w:rPr>
                <w:color w:val="auto"/>
                <w:sz w:val="24"/>
              </w:rPr>
            </w:pPr>
          </w:p>
        </w:tc>
        <w:tc>
          <w:tcPr>
            <w:tcW w:w="1256" w:type="dxa"/>
          </w:tcPr>
          <w:p>
            <w:pPr>
              <w:spacing w:line="360" w:lineRule="auto"/>
              <w:rPr>
                <w:color w:val="auto"/>
                <w:sz w:val="24"/>
              </w:rPr>
            </w:pPr>
          </w:p>
        </w:tc>
        <w:tc>
          <w:tcPr>
            <w:tcW w:w="1861" w:type="dxa"/>
          </w:tcPr>
          <w:p>
            <w:pPr>
              <w:spacing w:line="360" w:lineRule="auto"/>
              <w:rPr>
                <w:color w:val="auto"/>
                <w:sz w:val="24"/>
              </w:rPr>
            </w:pPr>
          </w:p>
        </w:tc>
        <w:tc>
          <w:tcPr>
            <w:tcW w:w="2286" w:type="dxa"/>
          </w:tcPr>
          <w:p>
            <w:pPr>
              <w:spacing w:line="360" w:lineRule="auto"/>
              <w:rPr>
                <w:color w:val="auto"/>
                <w:sz w:val="24"/>
              </w:rPr>
            </w:pPr>
          </w:p>
        </w:tc>
      </w:tr>
    </w:tbl>
    <w:p>
      <w:pPr>
        <w:spacing w:line="360" w:lineRule="auto"/>
        <w:rPr>
          <w:color w:val="auto"/>
          <w:sz w:val="24"/>
        </w:rPr>
      </w:pPr>
    </w:p>
    <w:p>
      <w:pPr>
        <w:pStyle w:val="2"/>
        <w:rPr>
          <w:rFonts w:ascii="Times New Roman" w:hAnsi="Times New Roman"/>
          <w:color w:val="auto"/>
          <w:sz w:val="24"/>
        </w:rPr>
      </w:pPr>
    </w:p>
    <w:p>
      <w:pPr>
        <w:pStyle w:val="2"/>
        <w:rPr>
          <w:rFonts w:ascii="Times New Roman" w:hAnsi="Times New Roman"/>
          <w:color w:val="auto"/>
          <w:sz w:val="24"/>
        </w:rPr>
      </w:pPr>
    </w:p>
    <w:p>
      <w:pPr>
        <w:pStyle w:val="2"/>
        <w:rPr>
          <w:rFonts w:ascii="Times New Roman" w:hAnsi="Times New Roman"/>
          <w:color w:val="auto"/>
          <w:sz w:val="24"/>
        </w:rPr>
      </w:pPr>
    </w:p>
    <w:p>
      <w:pPr>
        <w:pStyle w:val="2"/>
        <w:rPr>
          <w:rFonts w:ascii="Times New Roman" w:hAnsi="Times New Roman"/>
          <w:color w:val="auto"/>
          <w:sz w:val="24"/>
        </w:rPr>
      </w:pPr>
    </w:p>
    <w:p>
      <w:pPr>
        <w:pStyle w:val="2"/>
        <w:rPr>
          <w:rFonts w:ascii="Times New Roman" w:hAnsi="Times New Roman"/>
          <w:color w:val="auto"/>
          <w:sz w:val="24"/>
        </w:rPr>
      </w:pPr>
    </w:p>
    <w:p>
      <w:pPr>
        <w:pStyle w:val="2"/>
        <w:rPr>
          <w:rFonts w:ascii="Times New Roman" w:hAnsi="Times New Roman"/>
          <w:color w:val="auto"/>
          <w:sz w:val="24"/>
        </w:rPr>
      </w:pPr>
    </w:p>
    <w:p>
      <w:pPr>
        <w:pStyle w:val="2"/>
        <w:rPr>
          <w:rFonts w:ascii="Times New Roman" w:hAnsi="Times New Roman"/>
          <w:color w:val="auto"/>
          <w:sz w:val="24"/>
        </w:rPr>
      </w:pPr>
    </w:p>
    <w:p>
      <w:pPr>
        <w:pStyle w:val="2"/>
        <w:rPr>
          <w:rFonts w:ascii="Times New Roman" w:hAnsi="Times New Roman"/>
          <w:color w:val="auto"/>
          <w:sz w:val="24"/>
        </w:rPr>
      </w:pPr>
    </w:p>
    <w:p>
      <w:pPr>
        <w:pStyle w:val="2"/>
        <w:rPr>
          <w:rFonts w:ascii="Times New Roman" w:hAnsi="Times New Roman"/>
          <w:color w:val="auto"/>
          <w:sz w:val="24"/>
        </w:rPr>
      </w:pPr>
    </w:p>
    <w:p>
      <w:pPr>
        <w:pStyle w:val="2"/>
        <w:rPr>
          <w:rFonts w:ascii="Times New Roman" w:hAnsi="Times New Roman"/>
          <w:color w:val="auto"/>
          <w:sz w:val="24"/>
        </w:rPr>
      </w:pPr>
    </w:p>
    <w:p>
      <w:pPr>
        <w:pStyle w:val="2"/>
        <w:rPr>
          <w:rFonts w:ascii="Times New Roman" w:hAnsi="Times New Roman"/>
          <w:color w:val="auto"/>
          <w:sz w:val="24"/>
        </w:rPr>
      </w:pPr>
    </w:p>
    <w:p>
      <w:pPr>
        <w:spacing w:line="360" w:lineRule="auto"/>
        <w:rPr>
          <w:color w:val="auto"/>
          <w:sz w:val="24"/>
        </w:rPr>
      </w:pPr>
    </w:p>
    <w:p>
      <w:pPr>
        <w:spacing w:line="360" w:lineRule="auto"/>
        <w:rPr>
          <w:color w:val="auto"/>
          <w:sz w:val="24"/>
        </w:rPr>
      </w:pPr>
      <w:r>
        <w:rPr>
          <w:color w:val="auto"/>
          <w:sz w:val="24"/>
        </w:rPr>
        <w:t>法定代表人（或其委托代理人）签字或盖章：</w:t>
      </w:r>
      <w:r>
        <w:rPr>
          <w:color w:val="auto"/>
          <w:sz w:val="28"/>
          <w:szCs w:val="28"/>
        </w:rPr>
        <w:t xml:space="preserve"> </w:t>
      </w:r>
      <w:r>
        <w:rPr>
          <w:color w:val="auto"/>
          <w:sz w:val="24"/>
        </w:rPr>
        <w:t xml:space="preserve">                    </w:t>
      </w:r>
    </w:p>
    <w:p>
      <w:pPr>
        <w:spacing w:line="360" w:lineRule="auto"/>
        <w:rPr>
          <w:color w:val="auto"/>
          <w:sz w:val="24"/>
        </w:rPr>
      </w:pPr>
      <w:r>
        <w:rPr>
          <w:color w:val="auto"/>
          <w:sz w:val="24"/>
        </w:rPr>
        <w:t>投标人（盖章）：</w:t>
      </w:r>
    </w:p>
    <w:p>
      <w:pPr>
        <w:spacing w:line="360" w:lineRule="auto"/>
        <w:ind w:firstLine="480" w:firstLineChars="200"/>
        <w:jc w:val="right"/>
        <w:rPr>
          <w:bCs/>
          <w:color w:val="auto"/>
          <w:sz w:val="24"/>
        </w:rPr>
      </w:pPr>
    </w:p>
    <w:p>
      <w:pPr>
        <w:spacing w:line="360" w:lineRule="auto"/>
        <w:ind w:firstLine="480" w:firstLineChars="200"/>
        <w:jc w:val="right"/>
        <w:rPr>
          <w:bCs/>
          <w:color w:val="auto"/>
          <w:sz w:val="24"/>
        </w:rPr>
      </w:pPr>
    </w:p>
    <w:p>
      <w:pPr>
        <w:spacing w:line="360" w:lineRule="auto"/>
        <w:ind w:firstLine="480" w:firstLineChars="200"/>
        <w:jc w:val="right"/>
        <w:rPr>
          <w:bCs/>
          <w:color w:val="auto"/>
          <w:sz w:val="24"/>
        </w:rPr>
      </w:pPr>
    </w:p>
    <w:p>
      <w:pPr>
        <w:spacing w:line="360" w:lineRule="auto"/>
        <w:ind w:firstLine="480" w:firstLineChars="200"/>
        <w:jc w:val="right"/>
        <w:rPr>
          <w:bCs/>
          <w:color w:val="auto"/>
          <w:sz w:val="24"/>
        </w:rPr>
      </w:pPr>
    </w:p>
    <w:p>
      <w:pPr>
        <w:spacing w:line="360" w:lineRule="auto"/>
        <w:ind w:firstLine="480" w:firstLineChars="200"/>
        <w:jc w:val="right"/>
        <w:rPr>
          <w:bCs/>
          <w:color w:val="auto"/>
          <w:sz w:val="24"/>
        </w:rPr>
      </w:pPr>
    </w:p>
    <w:p>
      <w:pPr>
        <w:spacing w:line="360" w:lineRule="auto"/>
        <w:ind w:firstLine="480" w:firstLineChars="200"/>
        <w:jc w:val="right"/>
        <w:rPr>
          <w:bCs/>
          <w:color w:val="auto"/>
          <w:sz w:val="24"/>
        </w:rPr>
      </w:pPr>
    </w:p>
    <w:p>
      <w:pPr>
        <w:spacing w:line="360" w:lineRule="auto"/>
        <w:ind w:firstLine="480" w:firstLineChars="200"/>
        <w:jc w:val="right"/>
        <w:rPr>
          <w:bCs/>
          <w:color w:val="auto"/>
          <w:sz w:val="24"/>
        </w:rPr>
      </w:pPr>
      <w:r>
        <w:rPr>
          <w:bCs/>
          <w:color w:val="auto"/>
          <w:sz w:val="24"/>
        </w:rPr>
        <w:t>年  月  日</w:t>
      </w:r>
    </w:p>
    <w:p>
      <w:pPr>
        <w:spacing w:line="360" w:lineRule="auto"/>
        <w:ind w:firstLine="562" w:firstLineChars="200"/>
        <w:rPr>
          <w:b/>
          <w:color w:val="auto"/>
          <w:sz w:val="28"/>
          <w:szCs w:val="28"/>
        </w:rPr>
      </w:pPr>
    </w:p>
    <w:p>
      <w:pPr>
        <w:spacing w:line="360" w:lineRule="auto"/>
        <w:ind w:firstLine="4680" w:firstLineChars="1950"/>
        <w:rPr>
          <w:color w:val="auto"/>
          <w:sz w:val="24"/>
          <w:u w:val="single"/>
        </w:rPr>
      </w:pPr>
    </w:p>
    <w:p>
      <w:pPr>
        <w:spacing w:line="360" w:lineRule="auto"/>
        <w:jc w:val="center"/>
        <w:rPr>
          <w:b/>
          <w:color w:val="auto"/>
          <w:sz w:val="28"/>
          <w:szCs w:val="28"/>
        </w:rPr>
      </w:pPr>
    </w:p>
    <w:p>
      <w:pPr>
        <w:spacing w:line="360" w:lineRule="auto"/>
        <w:jc w:val="center"/>
        <w:rPr>
          <w:b/>
          <w:color w:val="auto"/>
          <w:sz w:val="28"/>
          <w:szCs w:val="28"/>
        </w:rPr>
      </w:pPr>
    </w:p>
    <w:p>
      <w:pPr>
        <w:spacing w:beforeLines="100" w:afterLines="100" w:line="360" w:lineRule="auto"/>
        <w:jc w:val="center"/>
        <w:rPr>
          <w:b/>
          <w:bCs/>
          <w:color w:val="auto"/>
          <w:sz w:val="28"/>
          <w:szCs w:val="28"/>
        </w:rPr>
      </w:pPr>
      <w:r>
        <w:rPr>
          <w:b/>
          <w:bCs/>
          <w:color w:val="auto"/>
          <w:sz w:val="28"/>
          <w:szCs w:val="28"/>
        </w:rPr>
        <w:t>3、服务承诺书</w:t>
      </w:r>
    </w:p>
    <w:p>
      <w:pPr>
        <w:spacing w:line="360" w:lineRule="auto"/>
        <w:rPr>
          <w:b/>
          <w:bCs/>
          <w:color w:val="auto"/>
          <w:sz w:val="27"/>
          <w:szCs w:val="27"/>
        </w:rPr>
      </w:pPr>
    </w:p>
    <w:p>
      <w:pPr>
        <w:spacing w:line="360" w:lineRule="auto"/>
        <w:ind w:firstLine="480" w:firstLineChars="200"/>
        <w:rPr>
          <w:color w:val="auto"/>
          <w:sz w:val="24"/>
        </w:rPr>
      </w:pPr>
    </w:p>
    <w:p>
      <w:pPr>
        <w:spacing w:line="360" w:lineRule="auto"/>
        <w:ind w:firstLine="480" w:firstLineChars="200"/>
        <w:rPr>
          <w:color w:val="auto"/>
          <w:sz w:val="24"/>
        </w:rPr>
      </w:pPr>
    </w:p>
    <w:p>
      <w:pPr>
        <w:spacing w:line="360" w:lineRule="auto"/>
        <w:ind w:firstLine="480" w:firstLineChars="200"/>
        <w:rPr>
          <w:b/>
          <w:color w:val="auto"/>
          <w:sz w:val="24"/>
        </w:rPr>
      </w:pPr>
      <w:r>
        <w:rPr>
          <w:color w:val="auto"/>
          <w:sz w:val="24"/>
        </w:rPr>
        <w:t>致：</w:t>
      </w:r>
      <w:r>
        <w:rPr>
          <w:color w:val="auto"/>
          <w:sz w:val="24"/>
          <w:u w:val="single"/>
        </w:rPr>
        <w:t xml:space="preserve">          （招标人）     ：</w:t>
      </w:r>
    </w:p>
    <w:p>
      <w:pPr>
        <w:spacing w:line="360" w:lineRule="auto"/>
        <w:ind w:firstLine="480" w:firstLineChars="200"/>
        <w:rPr>
          <w:color w:val="auto"/>
          <w:sz w:val="24"/>
        </w:rPr>
      </w:pPr>
      <w:r>
        <w:rPr>
          <w:color w:val="auto"/>
          <w:sz w:val="24"/>
        </w:rPr>
        <w:t>本承诺声明：</w:t>
      </w:r>
      <w:r>
        <w:rPr>
          <w:color w:val="auto"/>
          <w:sz w:val="24"/>
          <w:u w:val="single"/>
        </w:rPr>
        <w:t xml:space="preserve"> （投标人名称）</w:t>
      </w:r>
      <w:r>
        <w:rPr>
          <w:color w:val="auto"/>
          <w:sz w:val="24"/>
        </w:rPr>
        <w:t>对本招标文件的相关要求完全响应。若有幸中标将严格按照以上承诺进行服务。</w:t>
      </w:r>
    </w:p>
    <w:p>
      <w:pPr>
        <w:spacing w:line="360" w:lineRule="auto"/>
        <w:rPr>
          <w:color w:val="auto"/>
          <w:sz w:val="24"/>
        </w:rPr>
      </w:pPr>
    </w:p>
    <w:p>
      <w:pPr>
        <w:spacing w:line="360" w:lineRule="auto"/>
        <w:rPr>
          <w:color w:val="auto"/>
          <w:sz w:val="24"/>
        </w:rPr>
      </w:pPr>
      <w:r>
        <w:rPr>
          <w:color w:val="auto"/>
          <w:sz w:val="24"/>
        </w:rPr>
        <w:t>特此声明</w:t>
      </w:r>
    </w:p>
    <w:p>
      <w:pPr>
        <w:spacing w:line="360" w:lineRule="auto"/>
        <w:rPr>
          <w:color w:val="auto"/>
          <w:sz w:val="24"/>
        </w:rPr>
      </w:pPr>
      <w:r>
        <w:rPr>
          <w:color w:val="auto"/>
          <w:sz w:val="24"/>
        </w:rPr>
        <w:t> </w:t>
      </w:r>
    </w:p>
    <w:p>
      <w:pPr>
        <w:spacing w:line="360" w:lineRule="auto"/>
        <w:rPr>
          <w:color w:val="auto"/>
          <w:sz w:val="24"/>
        </w:rPr>
      </w:pPr>
      <w:r>
        <w:rPr>
          <w:color w:val="auto"/>
          <w:sz w:val="24"/>
        </w:rPr>
        <w:t xml:space="preserve">          法定代表人或代理人（被授权人）签字或盖章：</w:t>
      </w:r>
      <w:r>
        <w:rPr>
          <w:color w:val="auto"/>
          <w:sz w:val="24"/>
          <w:u w:val="single"/>
        </w:rPr>
        <w:t xml:space="preserve">                  </w:t>
      </w:r>
    </w:p>
    <w:p>
      <w:pPr>
        <w:spacing w:line="360" w:lineRule="auto"/>
        <w:rPr>
          <w:color w:val="auto"/>
          <w:sz w:val="24"/>
          <w:u w:val="single"/>
        </w:rPr>
      </w:pPr>
      <w:r>
        <w:rPr>
          <w:color w:val="auto"/>
          <w:sz w:val="24"/>
        </w:rPr>
        <w:t xml:space="preserve">                                     </w:t>
      </w:r>
    </w:p>
    <w:p>
      <w:pPr>
        <w:spacing w:line="360" w:lineRule="auto"/>
        <w:rPr>
          <w:color w:val="auto"/>
          <w:sz w:val="24"/>
        </w:rPr>
      </w:pPr>
      <w:r>
        <w:rPr>
          <w:color w:val="auto"/>
          <w:sz w:val="24"/>
        </w:rPr>
        <w:t xml:space="preserve">                                   </w:t>
      </w: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jc w:val="center"/>
        <w:rPr>
          <w:color w:val="auto"/>
          <w:sz w:val="24"/>
        </w:rPr>
      </w:pPr>
      <w:r>
        <w:rPr>
          <w:color w:val="auto"/>
          <w:sz w:val="24"/>
        </w:rPr>
        <w:t xml:space="preserve">                                      投标单位名称：</w:t>
      </w:r>
      <w:r>
        <w:rPr>
          <w:color w:val="auto"/>
          <w:sz w:val="24"/>
          <w:u w:val="single"/>
        </w:rPr>
        <w:t xml:space="preserve">        （公章）              </w:t>
      </w:r>
    </w:p>
    <w:p>
      <w:pPr>
        <w:spacing w:line="360" w:lineRule="auto"/>
        <w:ind w:firstLine="4680" w:firstLineChars="1950"/>
        <w:rPr>
          <w:color w:val="auto"/>
          <w:sz w:val="24"/>
        </w:rPr>
      </w:pPr>
    </w:p>
    <w:p>
      <w:pPr>
        <w:spacing w:line="360" w:lineRule="auto"/>
        <w:ind w:firstLine="4680" w:firstLineChars="1950"/>
        <w:rPr>
          <w:color w:val="auto"/>
          <w:sz w:val="24"/>
        </w:rPr>
      </w:pPr>
    </w:p>
    <w:p>
      <w:pPr>
        <w:spacing w:line="360" w:lineRule="auto"/>
        <w:ind w:firstLine="5400" w:firstLineChars="2250"/>
        <w:rPr>
          <w:b/>
          <w:color w:val="auto"/>
          <w:sz w:val="24"/>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 w:val="24"/>
        </w:rPr>
        <w:t>日    期：</w:t>
      </w:r>
      <w:r>
        <w:rPr>
          <w:color w:val="auto"/>
          <w:sz w:val="24"/>
          <w:u w:val="single"/>
        </w:rPr>
        <w:t xml:space="preserve">                    </w:t>
      </w:r>
    </w:p>
    <w:p>
      <w:pPr>
        <w:spacing w:beforeLines="100" w:afterLines="100" w:line="360" w:lineRule="auto"/>
        <w:jc w:val="center"/>
        <w:rPr>
          <w:b/>
          <w:bCs/>
          <w:color w:val="auto"/>
          <w:sz w:val="28"/>
          <w:szCs w:val="28"/>
        </w:rPr>
      </w:pPr>
      <w:bookmarkStart w:id="79" w:name="_Toc451410641"/>
      <w:r>
        <w:rPr>
          <w:b/>
          <w:bCs/>
          <w:color w:val="auto"/>
          <w:sz w:val="28"/>
          <w:szCs w:val="28"/>
        </w:rPr>
        <w:t xml:space="preserve">4、招标文件规定或投标人认为应提供的其它材料  </w:t>
      </w:r>
    </w:p>
    <w:p>
      <w:pPr>
        <w:spacing w:line="360" w:lineRule="auto"/>
        <w:jc w:val="center"/>
        <w:rPr>
          <w:color w:val="auto"/>
          <w:sz w:val="28"/>
          <w:szCs w:val="28"/>
        </w:rPr>
      </w:pPr>
      <w:r>
        <w:rPr>
          <w:color w:val="auto"/>
          <w:sz w:val="28"/>
          <w:szCs w:val="28"/>
        </w:rPr>
        <w:t xml:space="preserve"> </w:t>
      </w:r>
    </w:p>
    <w:p>
      <w:pPr>
        <w:spacing w:line="360" w:lineRule="auto"/>
        <w:rPr>
          <w:color w:val="auto"/>
          <w:sz w:val="24"/>
          <w:szCs w:val="24"/>
        </w:rPr>
      </w:pPr>
      <w:r>
        <w:rPr>
          <w:color w:val="auto"/>
          <w:sz w:val="24"/>
          <w:szCs w:val="24"/>
        </w:rPr>
        <w:t xml:space="preserve">1、包括所投产品情况 </w:t>
      </w:r>
    </w:p>
    <w:p>
      <w:pPr>
        <w:spacing w:line="360" w:lineRule="auto"/>
        <w:rPr>
          <w:color w:val="auto"/>
          <w:sz w:val="24"/>
          <w:szCs w:val="24"/>
        </w:rPr>
      </w:pPr>
      <w:r>
        <w:rPr>
          <w:color w:val="auto"/>
          <w:sz w:val="24"/>
          <w:szCs w:val="24"/>
        </w:rPr>
        <w:t xml:space="preserve">2、其它资料 </w:t>
      </w:r>
    </w:p>
    <w:p>
      <w:pPr>
        <w:pStyle w:val="2"/>
        <w:rPr>
          <w:color w:val="auto"/>
        </w:rPr>
      </w:pPr>
      <w:r>
        <w:rPr>
          <w:rFonts w:hint="eastAsia" w:ascii="Times New Roman" w:hAnsi="Times New Roman" w:eastAsia="宋体" w:cs="Times New Roman"/>
          <w:color w:val="auto"/>
          <w:sz w:val="24"/>
          <w:u w:color="000000"/>
          <w:lang w:val="en-US" w:eastAsia="zh-CN" w:bidi="ar-SA"/>
        </w:rPr>
        <w:t>3、技术标评分细则里需要提供的相关材料。</w:t>
      </w:r>
    </w:p>
    <w:p>
      <w:pPr>
        <w:rPr>
          <w:color w:val="auto"/>
        </w:rPr>
      </w:pPr>
      <w:r>
        <w:rPr>
          <w:color w:val="auto"/>
        </w:rPr>
        <w:br w:type="page"/>
      </w:r>
    </w:p>
    <w:p>
      <w:pPr>
        <w:numPr>
          <w:ilvl w:val="0"/>
          <w:numId w:val="16"/>
        </w:numPr>
        <w:jc w:val="center"/>
        <w:rPr>
          <w:b/>
          <w:bCs/>
          <w:color w:val="auto"/>
          <w:sz w:val="28"/>
          <w:szCs w:val="28"/>
        </w:rPr>
      </w:pPr>
      <w:r>
        <w:rPr>
          <w:rFonts w:hint="eastAsia"/>
          <w:b/>
          <w:bCs/>
          <w:color w:val="auto"/>
          <w:sz w:val="28"/>
          <w:szCs w:val="28"/>
          <w:lang w:val="en-US" w:eastAsia="zh-CN"/>
        </w:rPr>
        <w:t>实施方案</w:t>
      </w:r>
    </w:p>
    <w:p>
      <w:pPr>
        <w:widowControl w:val="0"/>
        <w:numPr>
          <w:ilvl w:val="0"/>
          <w:numId w:val="0"/>
        </w:numPr>
        <w:spacing w:line="360" w:lineRule="auto"/>
        <w:textAlignment w:val="auto"/>
        <w:rPr>
          <w:rFonts w:hint="eastAsia"/>
          <w:color w:val="auto"/>
          <w:sz w:val="24"/>
          <w:szCs w:val="24"/>
          <w:lang w:eastAsia="zh-CN"/>
        </w:rPr>
      </w:pPr>
    </w:p>
    <w:p>
      <w:pPr>
        <w:widowControl w:val="0"/>
        <w:numPr>
          <w:ilvl w:val="0"/>
          <w:numId w:val="0"/>
        </w:numPr>
        <w:spacing w:line="360" w:lineRule="auto"/>
        <w:textAlignment w:val="auto"/>
        <w:rPr>
          <w:color w:val="auto"/>
          <w:sz w:val="24"/>
          <w:szCs w:val="24"/>
        </w:rPr>
      </w:pPr>
      <w:r>
        <w:rPr>
          <w:rFonts w:hint="eastAsia"/>
          <w:color w:val="auto"/>
          <w:sz w:val="24"/>
          <w:szCs w:val="24"/>
          <w:lang w:eastAsia="zh-CN"/>
        </w:rPr>
        <w:t>（</w:t>
      </w:r>
      <w:r>
        <w:rPr>
          <w:color w:val="auto"/>
          <w:sz w:val="24"/>
          <w:szCs w:val="24"/>
        </w:rPr>
        <w:t>为本项目实施所采用的技术措施和实施方案等</w:t>
      </w:r>
      <w:r>
        <w:rPr>
          <w:rFonts w:hint="eastAsia"/>
          <w:color w:val="auto"/>
          <w:sz w:val="24"/>
          <w:szCs w:val="24"/>
          <w:lang w:eastAsia="zh-CN"/>
        </w:rPr>
        <w:t>）</w:t>
      </w:r>
    </w:p>
    <w:p>
      <w:pPr>
        <w:rPr>
          <w:color w:val="auto"/>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b/>
          <w:color w:val="auto"/>
          <w:sz w:val="44"/>
          <w:szCs w:val="44"/>
        </w:rPr>
      </w:pPr>
    </w:p>
    <w:p>
      <w:pPr>
        <w:spacing w:line="360" w:lineRule="auto"/>
        <w:jc w:val="center"/>
        <w:rPr>
          <w:rFonts w:hint="eastAsia" w:eastAsia="宋体"/>
          <w:b/>
          <w:color w:val="auto"/>
          <w:sz w:val="44"/>
          <w:szCs w:val="44"/>
          <w:lang w:eastAsia="zh-CN"/>
        </w:rPr>
      </w:pPr>
      <w:r>
        <w:rPr>
          <w:b/>
          <w:color w:val="auto"/>
          <w:sz w:val="44"/>
          <w:szCs w:val="44"/>
        </w:rPr>
        <w:t>第三部分：</w:t>
      </w:r>
      <w:bookmarkEnd w:id="79"/>
      <w:r>
        <w:rPr>
          <w:rFonts w:hint="eastAsia"/>
          <w:b/>
          <w:color w:val="auto"/>
          <w:sz w:val="44"/>
          <w:szCs w:val="44"/>
          <w:lang w:val="en-US" w:eastAsia="zh-CN"/>
        </w:rPr>
        <w:t>经济标</w:t>
      </w: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pStyle w:val="2"/>
        <w:rPr>
          <w:rFonts w:ascii="Times New Roman" w:hAnsi="Times New Roman"/>
          <w:color w:val="auto"/>
          <w:szCs w:val="28"/>
        </w:rPr>
      </w:pPr>
    </w:p>
    <w:p>
      <w:pPr>
        <w:pStyle w:val="2"/>
        <w:rPr>
          <w:rFonts w:ascii="Times New Roman" w:hAnsi="Times New Roman"/>
          <w:color w:val="auto"/>
          <w:szCs w:val="28"/>
        </w:rPr>
      </w:pPr>
    </w:p>
    <w:p>
      <w:pPr>
        <w:spacing w:line="360" w:lineRule="auto"/>
        <w:ind w:firstLine="562" w:firstLineChars="200"/>
        <w:rPr>
          <w:b/>
          <w:color w:val="auto"/>
          <w:sz w:val="28"/>
          <w:szCs w:val="28"/>
        </w:rPr>
      </w:pPr>
    </w:p>
    <w:p>
      <w:pPr>
        <w:spacing w:line="360" w:lineRule="auto"/>
        <w:ind w:firstLine="562" w:firstLineChars="200"/>
        <w:rPr>
          <w:b/>
          <w:color w:val="auto"/>
          <w:sz w:val="28"/>
          <w:szCs w:val="28"/>
        </w:rPr>
      </w:pPr>
    </w:p>
    <w:p>
      <w:pPr>
        <w:spacing w:beforeLines="100" w:afterLines="100" w:line="360" w:lineRule="auto"/>
        <w:jc w:val="center"/>
        <w:rPr>
          <w:b/>
          <w:bCs/>
          <w:color w:val="auto"/>
          <w:sz w:val="28"/>
          <w:szCs w:val="28"/>
        </w:rPr>
      </w:pPr>
      <w:r>
        <w:rPr>
          <w:b/>
          <w:bCs/>
          <w:color w:val="auto"/>
          <w:sz w:val="28"/>
          <w:szCs w:val="28"/>
        </w:rPr>
        <w:t>1、开标一览表</w:t>
      </w:r>
    </w:p>
    <w:p>
      <w:pPr>
        <w:spacing w:line="360" w:lineRule="auto"/>
        <w:ind w:firstLine="354" w:firstLineChars="147"/>
        <w:rPr>
          <w:b/>
          <w:color w:val="auto"/>
          <w:sz w:val="24"/>
        </w:rPr>
      </w:pPr>
    </w:p>
    <w:p>
      <w:pPr>
        <w:spacing w:line="360" w:lineRule="auto"/>
        <w:rPr>
          <w:color w:val="auto"/>
          <w:sz w:val="24"/>
        </w:rPr>
      </w:pPr>
      <w:r>
        <w:rPr>
          <w:color w:val="auto"/>
          <w:sz w:val="24"/>
        </w:rPr>
        <w:t>（注：开标一览表必须编入投标文件，与投标文件一起装订，唱标时，以投标文件正本中的开标一览表进行唱标）</w:t>
      </w:r>
    </w:p>
    <w:p>
      <w:pPr>
        <w:snapToGrid w:val="0"/>
        <w:spacing w:line="360" w:lineRule="auto"/>
        <w:ind w:left="2940" w:leftChars="1400" w:firstLine="720" w:firstLineChars="300"/>
        <w:rPr>
          <w:color w:val="auto"/>
          <w:sz w:val="24"/>
        </w:rPr>
      </w:pPr>
    </w:p>
    <w:tbl>
      <w:tblPr>
        <w:tblStyle w:val="29"/>
        <w:tblW w:w="85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69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8" w:hRule="exact"/>
          <w:jc w:val="center"/>
        </w:trPr>
        <w:tc>
          <w:tcPr>
            <w:tcW w:w="1602" w:type="dxa"/>
            <w:tcBorders>
              <w:top w:val="single" w:color="auto" w:sz="12" w:space="0"/>
              <w:bottom w:val="single" w:color="auto" w:sz="12" w:space="0"/>
              <w:right w:val="single" w:color="auto" w:sz="12" w:space="0"/>
            </w:tcBorders>
            <w:vAlign w:val="center"/>
          </w:tcPr>
          <w:p>
            <w:pPr>
              <w:spacing w:line="360" w:lineRule="auto"/>
              <w:ind w:right="-512" w:rightChars="-244" w:firstLine="240" w:firstLineChars="100"/>
              <w:rPr>
                <w:color w:val="auto"/>
                <w:sz w:val="24"/>
              </w:rPr>
            </w:pPr>
            <w:r>
              <w:rPr>
                <w:color w:val="auto"/>
                <w:sz w:val="24"/>
              </w:rPr>
              <w:t>项目名称</w:t>
            </w:r>
          </w:p>
        </w:tc>
        <w:tc>
          <w:tcPr>
            <w:tcW w:w="6926" w:type="dxa"/>
            <w:tcBorders>
              <w:top w:val="single" w:color="auto" w:sz="12" w:space="0"/>
              <w:left w:val="single" w:color="auto" w:sz="12" w:space="0"/>
              <w:bottom w:val="single" w:color="auto" w:sz="12" w:space="0"/>
            </w:tcBorders>
            <w:vAlign w:val="center"/>
          </w:tcPr>
          <w:p>
            <w:pPr>
              <w:spacing w:line="360" w:lineRule="auto"/>
              <w:ind w:right="-512" w:rightChars="-244"/>
              <w:jc w:val="left"/>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3" w:hRule="exact"/>
          <w:jc w:val="center"/>
        </w:trPr>
        <w:tc>
          <w:tcPr>
            <w:tcW w:w="1602" w:type="dxa"/>
            <w:tcBorders>
              <w:top w:val="single" w:color="auto" w:sz="12" w:space="0"/>
              <w:right w:val="single" w:color="auto" w:sz="12" w:space="0"/>
            </w:tcBorders>
            <w:vAlign w:val="center"/>
          </w:tcPr>
          <w:p>
            <w:pPr>
              <w:spacing w:line="360" w:lineRule="auto"/>
              <w:ind w:right="-512" w:rightChars="-244" w:firstLine="240" w:firstLineChars="100"/>
              <w:rPr>
                <w:color w:val="auto"/>
                <w:sz w:val="24"/>
              </w:rPr>
            </w:pPr>
            <w:r>
              <w:rPr>
                <w:color w:val="auto"/>
                <w:sz w:val="24"/>
              </w:rPr>
              <w:t>项目编号</w:t>
            </w:r>
          </w:p>
        </w:tc>
        <w:tc>
          <w:tcPr>
            <w:tcW w:w="6926" w:type="dxa"/>
            <w:tcBorders>
              <w:top w:val="single" w:color="auto" w:sz="12" w:space="0"/>
              <w:left w:val="single" w:color="auto" w:sz="12" w:space="0"/>
            </w:tcBorders>
            <w:vAlign w:val="center"/>
          </w:tcPr>
          <w:p>
            <w:pPr>
              <w:spacing w:line="360" w:lineRule="auto"/>
              <w:ind w:right="-512" w:rightChars="-244"/>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1602" w:type="dxa"/>
            <w:tcBorders>
              <w:right w:val="single" w:color="auto" w:sz="12" w:space="0"/>
            </w:tcBorders>
            <w:vAlign w:val="center"/>
          </w:tcPr>
          <w:p>
            <w:pPr>
              <w:spacing w:line="360" w:lineRule="auto"/>
              <w:ind w:right="-512" w:rightChars="-244" w:firstLine="120" w:firstLineChars="50"/>
              <w:rPr>
                <w:color w:val="auto"/>
                <w:sz w:val="24"/>
              </w:rPr>
            </w:pPr>
            <w:r>
              <w:rPr>
                <w:color w:val="auto"/>
                <w:sz w:val="24"/>
              </w:rPr>
              <w:t>投标人名称</w:t>
            </w:r>
          </w:p>
        </w:tc>
        <w:tc>
          <w:tcPr>
            <w:tcW w:w="6926" w:type="dxa"/>
            <w:tcBorders>
              <w:left w:val="single" w:color="auto" w:sz="12" w:space="0"/>
            </w:tcBorders>
          </w:tcPr>
          <w:p>
            <w:pPr>
              <w:pStyle w:val="18"/>
              <w:spacing w:line="360" w:lineRule="auto"/>
              <w:ind w:left="86" w:leftChars="41" w:right="-512" w:rightChars="-244"/>
              <w:rPr>
                <w:rFonts w:ascii="Times New Roman" w:hAnsi="Times New Roman"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1" w:hRule="exact"/>
          <w:jc w:val="center"/>
        </w:trPr>
        <w:tc>
          <w:tcPr>
            <w:tcW w:w="1602" w:type="dxa"/>
            <w:tcBorders>
              <w:right w:val="single" w:color="auto" w:sz="12" w:space="0"/>
            </w:tcBorders>
            <w:vAlign w:val="center"/>
          </w:tcPr>
          <w:p>
            <w:pPr>
              <w:spacing w:line="360" w:lineRule="auto"/>
              <w:ind w:right="-512" w:rightChars="-244" w:firstLine="240" w:firstLineChars="100"/>
              <w:rPr>
                <w:color w:val="auto"/>
                <w:sz w:val="24"/>
              </w:rPr>
            </w:pPr>
            <w:r>
              <w:rPr>
                <w:color w:val="auto"/>
                <w:sz w:val="24"/>
              </w:rPr>
              <w:t>总投标价</w:t>
            </w:r>
          </w:p>
          <w:p>
            <w:pPr>
              <w:spacing w:line="360" w:lineRule="auto"/>
              <w:ind w:right="-512" w:rightChars="-244" w:firstLine="240" w:firstLineChars="100"/>
              <w:rPr>
                <w:color w:val="auto"/>
                <w:sz w:val="24"/>
              </w:rPr>
            </w:pPr>
            <w:r>
              <w:rPr>
                <w:color w:val="auto"/>
                <w:sz w:val="24"/>
              </w:rPr>
              <w:t>供货期限</w:t>
            </w:r>
          </w:p>
          <w:p>
            <w:pPr>
              <w:spacing w:line="360" w:lineRule="auto"/>
              <w:ind w:right="-512" w:rightChars="-244"/>
              <w:rPr>
                <w:color w:val="auto"/>
                <w:sz w:val="24"/>
              </w:rPr>
            </w:pPr>
          </w:p>
        </w:tc>
        <w:tc>
          <w:tcPr>
            <w:tcW w:w="6926" w:type="dxa"/>
            <w:tcBorders>
              <w:left w:val="single" w:color="auto" w:sz="12" w:space="0"/>
            </w:tcBorders>
            <w:vAlign w:val="center"/>
          </w:tcPr>
          <w:p>
            <w:pPr>
              <w:spacing w:line="360" w:lineRule="auto"/>
              <w:ind w:right="-512" w:rightChars="-244"/>
              <w:rPr>
                <w:color w:val="auto"/>
                <w:sz w:val="24"/>
              </w:rPr>
            </w:pPr>
            <w:r>
              <w:rPr>
                <w:color w:val="auto"/>
                <w:sz w:val="24"/>
              </w:rPr>
              <w:t>投标总价：</w:t>
            </w:r>
          </w:p>
          <w:p>
            <w:pPr>
              <w:spacing w:line="360" w:lineRule="auto"/>
              <w:ind w:right="-512" w:rightChars="-244"/>
              <w:rPr>
                <w:color w:val="auto"/>
                <w:sz w:val="24"/>
              </w:rPr>
            </w:pPr>
            <w:r>
              <w:rPr>
                <w:color w:val="auto"/>
                <w:sz w:val="24"/>
              </w:rPr>
              <w:t>大写</w:t>
            </w:r>
            <w:r>
              <w:rPr>
                <w:color w:val="auto"/>
                <w:sz w:val="24"/>
                <w:u w:val="single"/>
              </w:rPr>
              <w:t xml:space="preserve">            </w:t>
            </w:r>
            <w:r>
              <w:rPr>
                <w:color w:val="auto"/>
                <w:sz w:val="24"/>
              </w:rPr>
              <w:t xml:space="preserve"> 元，小写</w:t>
            </w:r>
            <w:r>
              <w:rPr>
                <w:color w:val="auto"/>
                <w:sz w:val="24"/>
                <w:u w:val="single"/>
              </w:rPr>
              <w:t xml:space="preserve">          </w:t>
            </w:r>
            <w:r>
              <w:rPr>
                <w:color w:val="auto"/>
                <w:sz w:val="24"/>
              </w:rPr>
              <w:t>元。</w:t>
            </w:r>
          </w:p>
          <w:p>
            <w:pPr>
              <w:pStyle w:val="27"/>
              <w:spacing w:before="0" w:beforeAutospacing="0" w:after="0" w:afterAutospacing="0" w:line="360" w:lineRule="auto"/>
              <w:rPr>
                <w:rFonts w:ascii="Times New Roman" w:hAnsi="Times New Roman" w:cs="Times New Roman"/>
                <w:color w:val="auto"/>
                <w:szCs w:val="22"/>
              </w:rPr>
            </w:pPr>
            <w:r>
              <w:rPr>
                <w:rFonts w:ascii="Times New Roman" w:hAnsi="Times New Roman" w:cs="Times New Roman"/>
                <w:color w:val="auto"/>
                <w:szCs w:val="22"/>
              </w:rPr>
              <w:t>供货期限：</w:t>
            </w:r>
          </w:p>
          <w:p>
            <w:pPr>
              <w:pStyle w:val="27"/>
              <w:spacing w:before="0" w:beforeAutospacing="0" w:after="0" w:afterAutospacing="0" w:line="360" w:lineRule="auto"/>
              <w:rPr>
                <w:rFonts w:ascii="Times New Roman" w:hAnsi="Times New Roman" w:cs="Times New Roman"/>
                <w:color w:val="auto"/>
              </w:rPr>
            </w:pPr>
            <w:r>
              <w:rPr>
                <w:rFonts w:ascii="Times New Roman" w:hAnsi="Times New Roman" w:cs="Times New Roman"/>
                <w:color w:val="auto"/>
                <w:szCs w:val="22"/>
                <w:u w:val="single"/>
              </w:rPr>
              <w:t xml:space="preserve"> </w:t>
            </w:r>
            <w:r>
              <w:rPr>
                <w:rFonts w:ascii="Times New Roman" w:hAnsi="Times New Roman" w:cs="Times New Roman"/>
                <w:color w:val="auto"/>
                <w:szCs w:val="22"/>
              </w:rPr>
              <w:t xml:space="preserve">       </w:t>
            </w:r>
            <w:r>
              <w:rPr>
                <w:rFonts w:ascii="Times New Roman" w:hAnsi="Times New Roman" w:cs="Times New Roman"/>
                <w:color w:val="auto"/>
                <w:szCs w:val="22"/>
                <w:u w:val="single"/>
              </w:rPr>
              <w:t xml:space="preserve">    </w:t>
            </w:r>
          </w:p>
        </w:tc>
      </w:tr>
    </w:tbl>
    <w:p>
      <w:pPr>
        <w:snapToGrid w:val="0"/>
        <w:spacing w:line="360" w:lineRule="auto"/>
        <w:ind w:left="2940" w:leftChars="1400" w:firstLine="723" w:firstLineChars="300"/>
        <w:rPr>
          <w:b/>
          <w:color w:val="auto"/>
          <w:sz w:val="24"/>
        </w:rPr>
      </w:pPr>
    </w:p>
    <w:p>
      <w:pPr>
        <w:spacing w:line="360" w:lineRule="auto"/>
        <w:rPr>
          <w:color w:val="auto"/>
          <w:sz w:val="24"/>
        </w:rPr>
      </w:pPr>
      <w:r>
        <w:rPr>
          <w:color w:val="auto"/>
          <w:sz w:val="24"/>
        </w:rPr>
        <w:t>法定代表人或其委托代理人签字：             投标人盖章：</w:t>
      </w:r>
    </w:p>
    <w:p>
      <w:pPr>
        <w:snapToGrid w:val="0"/>
        <w:spacing w:beforeLines="100" w:afterLines="100" w:line="360" w:lineRule="auto"/>
        <w:jc w:val="center"/>
        <w:rPr>
          <w:color w:val="auto"/>
          <w:sz w:val="24"/>
        </w:rPr>
      </w:pPr>
      <w:r>
        <w:rPr>
          <w:color w:val="auto"/>
          <w:sz w:val="24"/>
        </w:rPr>
        <w:t xml:space="preserve">                                      </w:t>
      </w:r>
    </w:p>
    <w:p>
      <w:pPr>
        <w:snapToGrid w:val="0"/>
        <w:spacing w:beforeLines="100" w:afterLines="100" w:line="360" w:lineRule="auto"/>
        <w:jc w:val="center"/>
        <w:rPr>
          <w:color w:val="auto"/>
          <w:sz w:val="24"/>
        </w:rPr>
      </w:pPr>
    </w:p>
    <w:p>
      <w:pPr>
        <w:snapToGrid w:val="0"/>
        <w:spacing w:beforeLines="100" w:afterLines="100" w:line="360" w:lineRule="auto"/>
        <w:jc w:val="right"/>
        <w:rPr>
          <w:color w:val="auto"/>
          <w:sz w:val="24"/>
        </w:rPr>
      </w:pPr>
      <w:r>
        <w:rPr>
          <w:color w:val="auto"/>
          <w:sz w:val="24"/>
        </w:rPr>
        <w:t xml:space="preserve">日  期：    年  月  日 </w:t>
      </w:r>
    </w:p>
    <w:p>
      <w:pPr>
        <w:spacing w:line="360" w:lineRule="auto"/>
        <w:jc w:val="center"/>
        <w:rPr>
          <w:b/>
          <w:bCs/>
          <w:color w:val="auto"/>
          <w:sz w:val="30"/>
          <w:szCs w:val="30"/>
        </w:rPr>
      </w:pPr>
    </w:p>
    <w:p>
      <w:pPr>
        <w:spacing w:line="360" w:lineRule="auto"/>
        <w:jc w:val="center"/>
        <w:rPr>
          <w:b/>
          <w:bCs/>
          <w:color w:val="auto"/>
          <w:sz w:val="30"/>
          <w:szCs w:val="30"/>
        </w:rPr>
      </w:pPr>
    </w:p>
    <w:p>
      <w:pPr>
        <w:spacing w:beforeLines="100" w:afterLines="100" w:line="360" w:lineRule="auto"/>
        <w:jc w:val="center"/>
        <w:rPr>
          <w:b/>
          <w:bCs/>
          <w:color w:val="auto"/>
          <w:sz w:val="28"/>
          <w:szCs w:val="28"/>
        </w:rPr>
      </w:pPr>
      <w:r>
        <w:rPr>
          <w:b/>
          <w:bCs/>
          <w:color w:val="auto"/>
          <w:sz w:val="28"/>
          <w:szCs w:val="28"/>
        </w:rPr>
        <w:t>2、投  标  函</w:t>
      </w:r>
    </w:p>
    <w:p>
      <w:pPr>
        <w:spacing w:line="360" w:lineRule="auto"/>
        <w:rPr>
          <w:color w:val="auto"/>
          <w:sz w:val="24"/>
        </w:rPr>
      </w:pPr>
    </w:p>
    <w:p>
      <w:pPr>
        <w:spacing w:line="360" w:lineRule="auto"/>
        <w:rPr>
          <w:color w:val="auto"/>
          <w:sz w:val="24"/>
        </w:rPr>
      </w:pPr>
      <w:r>
        <w:rPr>
          <w:color w:val="auto"/>
          <w:sz w:val="24"/>
        </w:rPr>
        <w:t>致：</w:t>
      </w:r>
      <w:r>
        <w:rPr>
          <w:color w:val="auto"/>
          <w:sz w:val="24"/>
          <w:u w:val="single"/>
        </w:rPr>
        <w:t xml:space="preserve">      </w:t>
      </w:r>
      <w:r>
        <w:rPr>
          <w:rFonts w:hint="eastAsia"/>
          <w:color w:val="auto"/>
          <w:sz w:val="24"/>
          <w:u w:val="single"/>
          <w:lang w:eastAsia="zh-CN"/>
        </w:rPr>
        <w:t>（</w:t>
      </w:r>
      <w:r>
        <w:rPr>
          <w:color w:val="auto"/>
          <w:sz w:val="24"/>
          <w:u w:val="single"/>
        </w:rPr>
        <w:t>招标人</w:t>
      </w:r>
      <w:r>
        <w:rPr>
          <w:rFonts w:hint="eastAsia"/>
          <w:color w:val="auto"/>
          <w:sz w:val="24"/>
          <w:u w:val="single"/>
          <w:lang w:eastAsia="zh-CN"/>
        </w:rPr>
        <w:t>）</w:t>
      </w:r>
      <w:r>
        <w:rPr>
          <w:color w:val="auto"/>
          <w:sz w:val="24"/>
          <w:u w:val="single"/>
        </w:rPr>
        <w:t xml:space="preserve">       </w:t>
      </w:r>
      <w:r>
        <w:rPr>
          <w:color w:val="auto"/>
          <w:sz w:val="24"/>
        </w:rPr>
        <w:t xml:space="preserve"> </w:t>
      </w:r>
    </w:p>
    <w:p>
      <w:pPr>
        <w:spacing w:line="360" w:lineRule="auto"/>
        <w:ind w:firstLine="480" w:firstLineChars="200"/>
        <w:rPr>
          <w:color w:val="auto"/>
          <w:sz w:val="24"/>
        </w:rPr>
      </w:pPr>
      <w:r>
        <w:rPr>
          <w:color w:val="auto"/>
          <w:sz w:val="24"/>
        </w:rPr>
        <w:t>1、我们决定参加贵单位组织的“</w:t>
      </w:r>
      <w:r>
        <w:rPr>
          <w:color w:val="auto"/>
          <w:sz w:val="24"/>
          <w:u w:val="single"/>
        </w:rPr>
        <w:t xml:space="preserve"> （项目名称）</w:t>
      </w:r>
      <w:r>
        <w:rPr>
          <w:color w:val="auto"/>
          <w:sz w:val="24"/>
        </w:rPr>
        <w:t>（编号：</w:t>
      </w:r>
      <w:r>
        <w:rPr>
          <w:color w:val="auto"/>
          <w:sz w:val="24"/>
          <w:u w:val="single"/>
        </w:rPr>
        <w:t xml:space="preserve">             </w:t>
      </w:r>
      <w:r>
        <w:rPr>
          <w:color w:val="auto"/>
          <w:sz w:val="24"/>
        </w:rPr>
        <w:t xml:space="preserve">）”的采购。我方授权 </w:t>
      </w:r>
      <w:r>
        <w:rPr>
          <w:color w:val="auto"/>
          <w:sz w:val="24"/>
          <w:u w:val="single"/>
        </w:rPr>
        <w:t xml:space="preserve">             </w:t>
      </w:r>
      <w:r>
        <w:rPr>
          <w:rFonts w:hint="eastAsia"/>
          <w:color w:val="auto"/>
          <w:sz w:val="24"/>
          <w:u w:val="single"/>
          <w:lang w:eastAsia="zh-CN"/>
        </w:rPr>
        <w:t>（</w:t>
      </w:r>
      <w:r>
        <w:rPr>
          <w:color w:val="auto"/>
          <w:sz w:val="24"/>
        </w:rPr>
        <w:t>姓名和职务</w:t>
      </w:r>
      <w:r>
        <w:rPr>
          <w:rFonts w:hint="eastAsia"/>
          <w:color w:val="auto"/>
          <w:sz w:val="24"/>
          <w:lang w:eastAsia="zh-CN"/>
        </w:rPr>
        <w:t>）</w:t>
      </w:r>
      <w:r>
        <w:rPr>
          <w:color w:val="auto"/>
          <w:sz w:val="24"/>
        </w:rPr>
        <w:t>代表我方</w:t>
      </w:r>
      <w:r>
        <w:rPr>
          <w:color w:val="auto"/>
          <w:sz w:val="24"/>
          <w:u w:val="single"/>
        </w:rPr>
        <w:t xml:space="preserve">               </w:t>
      </w:r>
      <w:r>
        <w:rPr>
          <w:color w:val="auto"/>
          <w:sz w:val="24"/>
        </w:rPr>
        <w:t>（投标单位的名称）全权处理本项目投标的有关事宜。</w:t>
      </w:r>
    </w:p>
    <w:p>
      <w:pPr>
        <w:spacing w:line="360" w:lineRule="auto"/>
        <w:ind w:firstLine="480" w:firstLineChars="200"/>
        <w:rPr>
          <w:color w:val="auto"/>
          <w:sz w:val="24"/>
        </w:rPr>
      </w:pPr>
      <w:r>
        <w:rPr>
          <w:color w:val="auto"/>
          <w:sz w:val="24"/>
        </w:rPr>
        <w:t xml:space="preserve">2、我方愿意按照采购文件规定的各项要求，向招标人提供“ </w:t>
      </w:r>
      <w:r>
        <w:rPr>
          <w:color w:val="auto"/>
          <w:sz w:val="24"/>
          <w:u w:val="single"/>
        </w:rPr>
        <w:t>（项目编号）</w:t>
      </w:r>
      <w:r>
        <w:rPr>
          <w:color w:val="auto"/>
          <w:sz w:val="24"/>
        </w:rPr>
        <w:t>”项目的货物与服务，总投标价为人民币（大写）</w:t>
      </w:r>
      <w:r>
        <w:rPr>
          <w:color w:val="auto"/>
          <w:sz w:val="24"/>
          <w:u w:val="single"/>
        </w:rPr>
        <w:t xml:space="preserve">           </w:t>
      </w:r>
      <w:r>
        <w:rPr>
          <w:color w:val="auto"/>
          <w:sz w:val="24"/>
        </w:rPr>
        <w:t xml:space="preserve"> ；自签订合同之日起</w:t>
      </w:r>
      <w:r>
        <w:rPr>
          <w:color w:val="auto"/>
          <w:sz w:val="24"/>
          <w:u w:val="single"/>
        </w:rPr>
        <w:t xml:space="preserve">    </w:t>
      </w:r>
      <w:r>
        <w:rPr>
          <w:color w:val="auto"/>
          <w:sz w:val="24"/>
        </w:rPr>
        <w:t>个日历天内完成供货并安装调试完毕；投标文件有效期：</w:t>
      </w:r>
      <w:r>
        <w:rPr>
          <w:color w:val="auto"/>
          <w:sz w:val="24"/>
          <w:u w:val="single"/>
        </w:rPr>
        <w:t xml:space="preserve">      </w:t>
      </w:r>
      <w:r>
        <w:rPr>
          <w:color w:val="auto"/>
          <w:sz w:val="24"/>
        </w:rPr>
        <w:t>日历天。</w:t>
      </w:r>
    </w:p>
    <w:p>
      <w:pPr>
        <w:spacing w:line="360" w:lineRule="auto"/>
        <w:ind w:firstLine="480" w:firstLineChars="200"/>
        <w:rPr>
          <w:color w:val="auto"/>
          <w:sz w:val="24"/>
        </w:rPr>
      </w:pPr>
      <w:r>
        <w:rPr>
          <w:color w:val="auto"/>
          <w:sz w:val="24"/>
        </w:rPr>
        <w:t>3、一旦我方成为合同签字人，我方将严格履行合同规定的责任和义务。</w:t>
      </w:r>
    </w:p>
    <w:p>
      <w:pPr>
        <w:spacing w:line="360" w:lineRule="auto"/>
        <w:ind w:firstLine="480" w:firstLineChars="200"/>
        <w:rPr>
          <w:color w:val="auto"/>
          <w:sz w:val="24"/>
        </w:rPr>
      </w:pPr>
      <w:r>
        <w:rPr>
          <w:color w:val="auto"/>
          <w:sz w:val="24"/>
        </w:rPr>
        <w:t>4、我方同意按照采购文件的要求，缴纳投标保证金。并且承诺，在采购有效期内如果我方撤回采购投标书或成为合同签字人后拒绝签订合同，我方将放弃要求退还该保证金的权力。</w:t>
      </w:r>
    </w:p>
    <w:p>
      <w:pPr>
        <w:spacing w:line="360" w:lineRule="auto"/>
        <w:ind w:firstLine="480" w:firstLineChars="200"/>
        <w:rPr>
          <w:color w:val="auto"/>
          <w:sz w:val="24"/>
        </w:rPr>
      </w:pPr>
      <w:r>
        <w:rPr>
          <w:color w:val="auto"/>
          <w:sz w:val="24"/>
        </w:rPr>
        <w:t>5、我方为本项目提交的投标书一式三份，其中正本一份、副本</w:t>
      </w:r>
      <w:r>
        <w:rPr>
          <w:rFonts w:hint="eastAsia"/>
          <w:color w:val="auto"/>
          <w:sz w:val="24"/>
          <w:lang w:eastAsia="zh-CN"/>
        </w:rPr>
        <w:t>贰</w:t>
      </w:r>
      <w:r>
        <w:rPr>
          <w:color w:val="auto"/>
          <w:sz w:val="24"/>
        </w:rPr>
        <w:t>份。</w:t>
      </w:r>
    </w:p>
    <w:p>
      <w:pPr>
        <w:spacing w:line="360" w:lineRule="auto"/>
        <w:ind w:firstLine="480" w:firstLineChars="200"/>
        <w:rPr>
          <w:color w:val="auto"/>
          <w:sz w:val="24"/>
        </w:rPr>
      </w:pPr>
      <w:r>
        <w:rPr>
          <w:color w:val="auto"/>
          <w:sz w:val="24"/>
        </w:rPr>
        <w:t>6、我方愿意提供可能另外要求的、与采购投标有关的文件资料，并保证我方已提供和将要提供的文件是真实的、准确的。</w:t>
      </w:r>
    </w:p>
    <w:p>
      <w:pPr>
        <w:spacing w:line="360" w:lineRule="auto"/>
        <w:rPr>
          <w:color w:val="auto"/>
          <w:sz w:val="24"/>
        </w:rPr>
      </w:pPr>
      <w:r>
        <w:rPr>
          <w:color w:val="auto"/>
          <w:sz w:val="24"/>
        </w:rPr>
        <w:t> </w:t>
      </w:r>
    </w:p>
    <w:p>
      <w:pPr>
        <w:spacing w:line="360" w:lineRule="auto"/>
        <w:rPr>
          <w:color w:val="auto"/>
          <w:sz w:val="24"/>
        </w:rPr>
      </w:pPr>
      <w:r>
        <w:rPr>
          <w:color w:val="auto"/>
          <w:sz w:val="24"/>
        </w:rPr>
        <w:t>投标单位名称</w:t>
      </w:r>
      <w:r>
        <w:rPr>
          <w:color w:val="auto"/>
          <w:sz w:val="24"/>
          <w:u w:val="single"/>
        </w:rPr>
        <w:t xml:space="preserve">：                                </w:t>
      </w:r>
      <w:r>
        <w:rPr>
          <w:color w:val="auto"/>
          <w:sz w:val="24"/>
        </w:rPr>
        <w:t>（公    章）</w:t>
      </w:r>
    </w:p>
    <w:p>
      <w:pPr>
        <w:spacing w:line="360" w:lineRule="auto"/>
        <w:rPr>
          <w:color w:val="auto"/>
          <w:sz w:val="24"/>
        </w:rPr>
      </w:pPr>
      <w:r>
        <w:rPr>
          <w:color w:val="auto"/>
          <w:sz w:val="24"/>
        </w:rPr>
        <w:t xml:space="preserve">                        </w:t>
      </w:r>
    </w:p>
    <w:p>
      <w:pPr>
        <w:spacing w:line="360" w:lineRule="auto"/>
        <w:rPr>
          <w:color w:val="auto"/>
          <w:sz w:val="24"/>
          <w:u w:val="single"/>
        </w:rPr>
      </w:pPr>
      <w:r>
        <w:rPr>
          <w:color w:val="auto"/>
          <w:sz w:val="24"/>
        </w:rPr>
        <w:t>投标单位授权代表姓名（签字）：</w:t>
      </w:r>
      <w:r>
        <w:rPr>
          <w:color w:val="auto"/>
          <w:sz w:val="24"/>
          <w:u w:val="single"/>
        </w:rPr>
        <w:t xml:space="preserve">                  </w:t>
      </w:r>
    </w:p>
    <w:p>
      <w:pPr>
        <w:spacing w:line="360" w:lineRule="auto"/>
        <w:ind w:firstLine="2520" w:firstLineChars="1050"/>
        <w:rPr>
          <w:color w:val="auto"/>
          <w:sz w:val="24"/>
        </w:rPr>
      </w:pPr>
    </w:p>
    <w:p>
      <w:pPr>
        <w:spacing w:line="360" w:lineRule="auto"/>
        <w:ind w:firstLine="2520" w:firstLineChars="1050"/>
        <w:rPr>
          <w:color w:val="auto"/>
          <w:sz w:val="24"/>
        </w:rPr>
      </w:pPr>
      <w:r>
        <w:rPr>
          <w:color w:val="auto"/>
          <w:sz w:val="24"/>
        </w:rPr>
        <w:t>日  期：</w:t>
      </w:r>
      <w:r>
        <w:rPr>
          <w:color w:val="auto"/>
          <w:sz w:val="24"/>
          <w:u w:val="single"/>
        </w:rPr>
        <w:t xml:space="preserve">                   </w:t>
      </w:r>
    </w:p>
    <w:p>
      <w:pPr>
        <w:spacing w:line="360" w:lineRule="auto"/>
        <w:ind w:firstLine="2520" w:firstLineChars="1050"/>
        <w:rPr>
          <w:color w:val="auto"/>
          <w:sz w:val="24"/>
        </w:rPr>
      </w:pPr>
    </w:p>
    <w:p>
      <w:pPr>
        <w:spacing w:line="360" w:lineRule="auto"/>
        <w:ind w:firstLine="2520" w:firstLineChars="1050"/>
        <w:rPr>
          <w:color w:val="auto"/>
          <w:sz w:val="24"/>
        </w:rPr>
      </w:pPr>
      <w:r>
        <w:rPr>
          <w:color w:val="auto"/>
          <w:sz w:val="24"/>
        </w:rPr>
        <w:t>通讯地址：</w:t>
      </w:r>
      <w:r>
        <w:rPr>
          <w:color w:val="auto"/>
          <w:sz w:val="24"/>
          <w:u w:val="single"/>
        </w:rPr>
        <w:t xml:space="preserve">                  </w:t>
      </w:r>
      <w:r>
        <w:rPr>
          <w:color w:val="auto"/>
          <w:sz w:val="24"/>
        </w:rPr>
        <w:t xml:space="preserve">                </w:t>
      </w:r>
    </w:p>
    <w:p>
      <w:pPr>
        <w:spacing w:line="360" w:lineRule="auto"/>
        <w:ind w:firstLine="2520" w:firstLineChars="1050"/>
        <w:rPr>
          <w:color w:val="auto"/>
          <w:sz w:val="24"/>
        </w:rPr>
      </w:pPr>
    </w:p>
    <w:p>
      <w:pPr>
        <w:spacing w:line="360" w:lineRule="auto"/>
        <w:ind w:firstLine="2520" w:firstLineChars="1050"/>
        <w:rPr>
          <w:color w:val="auto"/>
          <w:sz w:val="24"/>
        </w:rPr>
      </w:pPr>
      <w:r>
        <w:rPr>
          <w:color w:val="auto"/>
          <w:sz w:val="24"/>
        </w:rPr>
        <w:t>电   话：</w:t>
      </w:r>
      <w:r>
        <w:rPr>
          <w:color w:val="auto"/>
          <w:sz w:val="24"/>
          <w:u w:val="single"/>
        </w:rPr>
        <w:t xml:space="preserve">                   </w:t>
      </w:r>
    </w:p>
    <w:p>
      <w:pPr>
        <w:spacing w:line="360" w:lineRule="auto"/>
        <w:ind w:right="-178" w:rightChars="-85" w:firstLine="2520" w:firstLineChars="1050"/>
        <w:rPr>
          <w:color w:val="auto"/>
          <w:sz w:val="24"/>
        </w:rPr>
      </w:pPr>
    </w:p>
    <w:p>
      <w:pPr>
        <w:spacing w:line="360" w:lineRule="auto"/>
        <w:ind w:right="-178" w:rightChars="-85" w:firstLine="2520" w:firstLineChars="1050"/>
        <w:rPr>
          <w:color w:val="auto"/>
          <w:sz w:val="24"/>
          <w:u w:val="single"/>
        </w:rPr>
      </w:pPr>
      <w:r>
        <w:rPr>
          <w:color w:val="auto"/>
          <w:sz w:val="24"/>
        </w:rPr>
        <w:t>传   真：</w:t>
      </w:r>
      <w:r>
        <w:rPr>
          <w:color w:val="auto"/>
          <w:sz w:val="24"/>
          <w:u w:val="single"/>
        </w:rPr>
        <w:t xml:space="preserve">                   </w:t>
      </w:r>
    </w:p>
    <w:p>
      <w:pPr>
        <w:spacing w:line="360" w:lineRule="auto"/>
        <w:ind w:right="-178" w:rightChars="-85" w:firstLine="2520" w:firstLineChars="1050"/>
        <w:rPr>
          <w:color w:val="auto"/>
          <w:sz w:val="24"/>
          <w:u w:val="single"/>
        </w:rPr>
      </w:pPr>
    </w:p>
    <w:p>
      <w:pPr>
        <w:pStyle w:val="2"/>
        <w:rPr>
          <w:rFonts w:ascii="Times New Roman" w:hAnsi="Times New Roman"/>
          <w:color w:val="auto"/>
          <w:sz w:val="24"/>
          <w:u w:val="single"/>
        </w:rPr>
      </w:pPr>
    </w:p>
    <w:p>
      <w:pPr>
        <w:pStyle w:val="2"/>
        <w:rPr>
          <w:rFonts w:ascii="Times New Roman" w:hAnsi="Times New Roman"/>
          <w:color w:val="auto"/>
          <w:sz w:val="24"/>
          <w:u w:val="single"/>
        </w:rPr>
      </w:pPr>
    </w:p>
    <w:p>
      <w:pPr>
        <w:spacing w:beforeLines="100" w:afterLines="100" w:line="360" w:lineRule="auto"/>
        <w:jc w:val="center"/>
        <w:rPr>
          <w:b/>
          <w:bCs/>
          <w:color w:val="auto"/>
          <w:sz w:val="28"/>
          <w:szCs w:val="28"/>
        </w:rPr>
      </w:pPr>
      <w:r>
        <w:rPr>
          <w:b/>
          <w:bCs/>
          <w:color w:val="auto"/>
          <w:sz w:val="28"/>
          <w:szCs w:val="28"/>
        </w:rPr>
        <w:t>3、诚信投标承诺书 </w:t>
      </w:r>
    </w:p>
    <w:p>
      <w:pPr>
        <w:spacing w:line="360" w:lineRule="auto"/>
        <w:ind w:firstLine="480" w:firstLineChars="200"/>
        <w:rPr>
          <w:color w:val="auto"/>
          <w:sz w:val="24"/>
        </w:rPr>
      </w:pPr>
    </w:p>
    <w:p>
      <w:pPr>
        <w:spacing w:line="360" w:lineRule="auto"/>
        <w:ind w:firstLine="480" w:firstLineChars="200"/>
        <w:rPr>
          <w:color w:val="auto"/>
          <w:sz w:val="24"/>
        </w:rPr>
      </w:pPr>
      <w:r>
        <w:rPr>
          <w:color w:val="auto"/>
          <w:sz w:val="24"/>
        </w:rPr>
        <w:t>本人以企业法定代表人的身份郑重承诺：</w:t>
      </w:r>
    </w:p>
    <w:p>
      <w:pPr>
        <w:spacing w:line="360" w:lineRule="auto"/>
        <w:ind w:firstLine="480" w:firstLineChars="200"/>
        <w:rPr>
          <w:color w:val="auto"/>
          <w:sz w:val="24"/>
        </w:rPr>
      </w:pPr>
      <w:r>
        <w:rPr>
          <w:color w:val="auto"/>
          <w:sz w:val="24"/>
        </w:rPr>
        <w:t>一、将遵循公开、公正和诚实信用的原则自愿参加</w:t>
      </w:r>
      <w:r>
        <w:rPr>
          <w:color w:val="auto"/>
          <w:sz w:val="24"/>
          <w:u w:val="single"/>
        </w:rPr>
        <w:t xml:space="preserve">                   </w:t>
      </w:r>
      <w:r>
        <w:rPr>
          <w:color w:val="auto"/>
          <w:sz w:val="24"/>
        </w:rPr>
        <w:t>项目的投标；</w:t>
      </w:r>
    </w:p>
    <w:p>
      <w:pPr>
        <w:spacing w:line="360" w:lineRule="auto"/>
        <w:ind w:firstLine="480" w:firstLineChars="200"/>
        <w:rPr>
          <w:color w:val="auto"/>
          <w:sz w:val="24"/>
        </w:rPr>
      </w:pPr>
      <w:r>
        <w:rPr>
          <w:color w:val="auto"/>
          <w:sz w:val="24"/>
        </w:rPr>
        <w:t>二、所提供的一切材料都是真实、有效、合法的；</w:t>
      </w:r>
    </w:p>
    <w:p>
      <w:pPr>
        <w:spacing w:line="360" w:lineRule="auto"/>
        <w:ind w:firstLine="480" w:firstLineChars="200"/>
        <w:rPr>
          <w:color w:val="auto"/>
          <w:sz w:val="24"/>
        </w:rPr>
      </w:pPr>
      <w:r>
        <w:rPr>
          <w:color w:val="auto"/>
          <w:sz w:val="24"/>
        </w:rPr>
        <w:t>三、不出借、转让资质证书，不让他人挂靠投标，不以他人名义投标或者以其他方式弄虚作假，骗取中标；</w:t>
      </w:r>
    </w:p>
    <w:p>
      <w:pPr>
        <w:spacing w:line="360" w:lineRule="auto"/>
        <w:ind w:firstLine="480" w:firstLineChars="200"/>
        <w:rPr>
          <w:color w:val="auto"/>
          <w:sz w:val="24"/>
        </w:rPr>
      </w:pPr>
      <w:r>
        <w:rPr>
          <w:color w:val="auto"/>
          <w:sz w:val="24"/>
        </w:rPr>
        <w:t>四、不与其他投标人相互串通投标报价，不排挤其他投标人的公平竞争、损害招标人的合法权益；</w:t>
      </w:r>
    </w:p>
    <w:p>
      <w:pPr>
        <w:spacing w:line="360" w:lineRule="auto"/>
        <w:ind w:firstLine="480" w:firstLineChars="200"/>
        <w:rPr>
          <w:color w:val="auto"/>
          <w:sz w:val="24"/>
        </w:rPr>
      </w:pPr>
      <w:r>
        <w:rPr>
          <w:color w:val="auto"/>
          <w:sz w:val="24"/>
        </w:rPr>
        <w:t>五、不与招标人、招标代理机构或其他投标人串通投标，损害国家利益、社会公共利益或者他人的合法权益；</w:t>
      </w:r>
    </w:p>
    <w:p>
      <w:pPr>
        <w:spacing w:line="360" w:lineRule="auto"/>
        <w:ind w:firstLine="480" w:firstLineChars="200"/>
        <w:rPr>
          <w:color w:val="auto"/>
          <w:sz w:val="24"/>
        </w:rPr>
      </w:pPr>
      <w:r>
        <w:rPr>
          <w:color w:val="auto"/>
          <w:sz w:val="24"/>
        </w:rPr>
        <w:t>六、严格遵守开标现场纪律，服从监管人员管理；</w:t>
      </w:r>
    </w:p>
    <w:p>
      <w:pPr>
        <w:spacing w:line="360" w:lineRule="auto"/>
        <w:ind w:firstLine="480" w:firstLineChars="200"/>
        <w:rPr>
          <w:color w:val="auto"/>
          <w:sz w:val="24"/>
        </w:rPr>
      </w:pPr>
      <w:r>
        <w:rPr>
          <w:color w:val="auto"/>
          <w:sz w:val="24"/>
        </w:rPr>
        <w:t>七、保证中标后不转包，若有分包征得招标人同意；</w:t>
      </w:r>
    </w:p>
    <w:p>
      <w:pPr>
        <w:spacing w:line="360" w:lineRule="auto"/>
        <w:ind w:firstLine="480" w:firstLineChars="200"/>
        <w:rPr>
          <w:color w:val="auto"/>
          <w:sz w:val="24"/>
        </w:rPr>
      </w:pPr>
      <w:r>
        <w:rPr>
          <w:color w:val="auto"/>
          <w:sz w:val="24"/>
        </w:rPr>
        <w:t>八、保证中标之后，按照投标文件要求提供相关后续服务；</w:t>
      </w:r>
    </w:p>
    <w:p>
      <w:pPr>
        <w:spacing w:line="360" w:lineRule="auto"/>
        <w:ind w:firstLine="480" w:firstLineChars="200"/>
        <w:rPr>
          <w:color w:val="auto"/>
          <w:sz w:val="24"/>
        </w:rPr>
      </w:pPr>
      <w:r>
        <w:rPr>
          <w:color w:val="auto"/>
          <w:sz w:val="24"/>
        </w:rPr>
        <w:t>九、保证企业及所属相关人员在本次投标中无行贿等犯罪行为；</w:t>
      </w:r>
    </w:p>
    <w:p>
      <w:pPr>
        <w:spacing w:line="360" w:lineRule="auto"/>
        <w:ind w:firstLine="480" w:firstLineChars="200"/>
        <w:rPr>
          <w:color w:val="auto"/>
          <w:sz w:val="24"/>
        </w:rPr>
      </w:pPr>
      <w:r>
        <w:rPr>
          <w:color w:val="auto"/>
          <w:sz w:val="24"/>
        </w:rPr>
        <w:t>十、如在投标过程和公示期间发生投诉行为，保证按照《伊犁州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pPr>
        <w:spacing w:line="360" w:lineRule="auto"/>
        <w:ind w:firstLine="480" w:firstLineChars="200"/>
        <w:rPr>
          <w:color w:val="auto"/>
          <w:sz w:val="24"/>
        </w:rPr>
      </w:pPr>
      <w:r>
        <w:rPr>
          <w:color w:val="auto"/>
          <w:sz w:val="24"/>
        </w:rPr>
        <w:t>以上内容我已仔细阅读，本公司若有违反承诺内容的行为，自愿依法接受取消投标资格、记入不良信用档案、取消中标资格、没收投标保证金等有关处理，愿意承担法律责任，给招标人造成损失的，依法承担赔偿责任。</w:t>
      </w:r>
    </w:p>
    <w:p>
      <w:pPr>
        <w:spacing w:line="360" w:lineRule="auto"/>
        <w:ind w:firstLine="480" w:firstLineChars="200"/>
        <w:rPr>
          <w:color w:val="auto"/>
          <w:sz w:val="24"/>
        </w:rPr>
      </w:pPr>
      <w:r>
        <w:rPr>
          <w:color w:val="auto"/>
          <w:sz w:val="24"/>
        </w:rPr>
        <w:t> </w:t>
      </w:r>
    </w:p>
    <w:p>
      <w:pPr>
        <w:spacing w:line="360" w:lineRule="auto"/>
        <w:ind w:firstLine="480" w:firstLineChars="200"/>
        <w:rPr>
          <w:color w:val="auto"/>
          <w:sz w:val="24"/>
        </w:rPr>
      </w:pPr>
    </w:p>
    <w:p>
      <w:pPr>
        <w:spacing w:line="360" w:lineRule="auto"/>
        <w:ind w:firstLine="480" w:firstLineChars="200"/>
        <w:rPr>
          <w:color w:val="auto"/>
          <w:sz w:val="24"/>
        </w:rPr>
      </w:pPr>
      <w:r>
        <w:rPr>
          <w:color w:val="auto"/>
          <w:sz w:val="24"/>
        </w:rPr>
        <w:t>开户银行：                   基本账户：</w:t>
      </w:r>
    </w:p>
    <w:p>
      <w:pPr>
        <w:spacing w:line="360" w:lineRule="auto"/>
        <w:ind w:firstLine="480" w:firstLineChars="200"/>
        <w:rPr>
          <w:color w:val="auto"/>
          <w:sz w:val="24"/>
        </w:rPr>
      </w:pPr>
      <w:r>
        <w:rPr>
          <w:color w:val="auto"/>
          <w:sz w:val="24"/>
        </w:rPr>
        <w:t>投标单位（公章）：          法定代表人（签字或盖章）：</w:t>
      </w:r>
    </w:p>
    <w:p>
      <w:pPr>
        <w:spacing w:line="360" w:lineRule="auto"/>
        <w:rPr>
          <w:color w:val="auto"/>
          <w:sz w:val="24"/>
          <w:lang w:val="en-GB"/>
        </w:rPr>
      </w:pPr>
    </w:p>
    <w:p>
      <w:pPr>
        <w:spacing w:line="360" w:lineRule="auto"/>
        <w:rPr>
          <w:b/>
          <w:color w:val="auto"/>
          <w:sz w:val="28"/>
          <w:szCs w:val="28"/>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beforeLines="100" w:afterLines="100" w:line="360" w:lineRule="auto"/>
        <w:jc w:val="center"/>
        <w:rPr>
          <w:b/>
          <w:bCs/>
          <w:color w:val="auto"/>
          <w:sz w:val="28"/>
          <w:szCs w:val="28"/>
        </w:rPr>
      </w:pPr>
      <w:r>
        <w:rPr>
          <w:b/>
          <w:bCs/>
          <w:color w:val="auto"/>
          <w:sz w:val="28"/>
          <w:szCs w:val="28"/>
        </w:rPr>
        <w:t>4、报价明细表</w:t>
      </w:r>
    </w:p>
    <w:p>
      <w:pPr>
        <w:spacing w:line="360" w:lineRule="auto"/>
        <w:ind w:firstLine="482" w:firstLineChars="200"/>
        <w:rPr>
          <w:b/>
          <w:bCs/>
          <w:color w:val="auto"/>
          <w:sz w:val="24"/>
          <w:szCs w:val="22"/>
        </w:rPr>
      </w:pPr>
    </w:p>
    <w:p>
      <w:pPr>
        <w:spacing w:line="360" w:lineRule="auto"/>
        <w:ind w:firstLine="482" w:firstLineChars="200"/>
        <w:rPr>
          <w:b/>
          <w:bCs/>
          <w:color w:val="auto"/>
          <w:sz w:val="24"/>
          <w:szCs w:val="22"/>
        </w:rPr>
      </w:pPr>
    </w:p>
    <w:p>
      <w:pPr>
        <w:spacing w:line="360" w:lineRule="auto"/>
        <w:ind w:firstLine="482" w:firstLineChars="200"/>
        <w:rPr>
          <w:b/>
          <w:bCs/>
          <w:color w:val="auto"/>
          <w:sz w:val="24"/>
          <w:szCs w:val="22"/>
        </w:rPr>
      </w:pPr>
      <w:r>
        <w:rPr>
          <w:b/>
          <w:bCs/>
          <w:color w:val="auto"/>
          <w:sz w:val="24"/>
          <w:szCs w:val="22"/>
        </w:rPr>
        <w:t xml:space="preserve">注：投标人不可更改采购清单中的数量，否侧投标将被否决。招标人清标时发现报价数量不一致，可取消投标人中标资格。 </w:t>
      </w:r>
    </w:p>
    <w:p>
      <w:pPr>
        <w:spacing w:line="360" w:lineRule="auto"/>
        <w:ind w:firstLine="482" w:firstLineChars="200"/>
        <w:rPr>
          <w:b/>
          <w:bCs/>
          <w:color w:val="auto"/>
          <w:sz w:val="24"/>
          <w:szCs w:val="22"/>
        </w:rPr>
      </w:pPr>
      <w:r>
        <w:rPr>
          <w:b/>
          <w:bCs/>
          <w:color w:val="auto"/>
          <w:sz w:val="24"/>
          <w:szCs w:val="22"/>
        </w:rPr>
        <w:t>投标人按照采购清单的格式填写投标报价，并加盖公章，表中的“投标总报价”应与“投标函附录”及投标函中的投标总报价一致。</w:t>
      </w:r>
    </w:p>
    <w:p>
      <w:pPr>
        <w:spacing w:line="360" w:lineRule="auto"/>
        <w:ind w:firstLine="482" w:firstLineChars="200"/>
        <w:rPr>
          <w:rFonts w:hint="eastAsia" w:ascii="Times New Roman" w:hAnsi="Times New Roman" w:eastAsia="宋体" w:cs="Times New Roman"/>
          <w:b/>
          <w:bCs/>
          <w:color w:val="auto"/>
          <w:sz w:val="24"/>
          <w:szCs w:val="22"/>
        </w:rPr>
      </w:pPr>
      <w:r>
        <w:rPr>
          <w:rFonts w:hint="eastAsia" w:cs="Times New Roman"/>
          <w:b/>
          <w:bCs/>
          <w:color w:val="auto"/>
          <w:sz w:val="24"/>
          <w:szCs w:val="22"/>
          <w:lang w:eastAsia="zh-CN"/>
        </w:rPr>
        <w:t>投标</w:t>
      </w:r>
      <w:r>
        <w:rPr>
          <w:rFonts w:hint="eastAsia" w:ascii="Times New Roman" w:hAnsi="Times New Roman" w:eastAsia="宋体" w:cs="Times New Roman"/>
          <w:b/>
          <w:bCs/>
          <w:color w:val="auto"/>
          <w:sz w:val="24"/>
          <w:szCs w:val="22"/>
        </w:rPr>
        <w:t>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rPr>
          <w:rFonts w:hint="eastAsia" w:ascii="Times New Roman" w:hAnsi="Times New Roman" w:eastAsia="宋体" w:cs="Times New Roman"/>
          <w:b/>
          <w:bCs/>
          <w:color w:val="auto"/>
          <w:sz w:val="24"/>
          <w:szCs w:val="22"/>
        </w:rPr>
      </w:pPr>
      <w:r>
        <w:rPr>
          <w:rFonts w:hint="eastAsia" w:ascii="Times New Roman" w:hAnsi="Times New Roman" w:eastAsia="宋体" w:cs="Times New Roman"/>
          <w:b/>
          <w:bCs/>
          <w:color w:val="auto"/>
          <w:sz w:val="24"/>
          <w:szCs w:val="22"/>
        </w:rPr>
        <w:br w:type="page"/>
      </w:r>
    </w:p>
    <w:p>
      <w:pPr>
        <w:spacing w:line="360" w:lineRule="auto"/>
        <w:ind w:firstLine="562" w:firstLineChars="200"/>
        <w:jc w:val="center"/>
        <w:rPr>
          <w:b/>
          <w:bCs/>
          <w:color w:val="auto"/>
          <w:sz w:val="28"/>
          <w:szCs w:val="28"/>
        </w:rPr>
      </w:pPr>
      <w:r>
        <w:rPr>
          <w:b/>
          <w:bCs/>
          <w:color w:val="auto"/>
          <w:sz w:val="28"/>
          <w:szCs w:val="28"/>
        </w:rPr>
        <w:t>5、中小企业生产或销售的产品优惠明细表</w:t>
      </w:r>
    </w:p>
    <w:p>
      <w:pPr>
        <w:spacing w:line="360" w:lineRule="auto"/>
        <w:jc w:val="center"/>
        <w:rPr>
          <w:color w:val="auto"/>
          <w:sz w:val="24"/>
          <w:szCs w:val="24"/>
        </w:rPr>
      </w:pPr>
      <w:r>
        <w:rPr>
          <w:color w:val="auto"/>
          <w:sz w:val="24"/>
          <w:szCs w:val="24"/>
        </w:rPr>
        <w:t>（若有，请如实填写）</w:t>
      </w:r>
    </w:p>
    <w:tbl>
      <w:tblPr>
        <w:tblStyle w:val="2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010"/>
        <w:gridCol w:w="1275"/>
        <w:gridCol w:w="1010"/>
        <w:gridCol w:w="794"/>
        <w:gridCol w:w="1178"/>
        <w:gridCol w:w="1443"/>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9" w:type="dxa"/>
            <w:vAlign w:val="center"/>
          </w:tcPr>
          <w:p>
            <w:pPr>
              <w:spacing w:line="360" w:lineRule="auto"/>
              <w:jc w:val="center"/>
              <w:rPr>
                <w:color w:val="auto"/>
                <w:sz w:val="24"/>
                <w:szCs w:val="24"/>
              </w:rPr>
            </w:pPr>
            <w:r>
              <w:rPr>
                <w:color w:val="auto"/>
                <w:sz w:val="24"/>
                <w:szCs w:val="24"/>
              </w:rPr>
              <w:t>1</w:t>
            </w:r>
          </w:p>
        </w:tc>
        <w:tc>
          <w:tcPr>
            <w:tcW w:w="1010" w:type="dxa"/>
            <w:vAlign w:val="center"/>
          </w:tcPr>
          <w:p>
            <w:pPr>
              <w:spacing w:line="360" w:lineRule="auto"/>
              <w:jc w:val="center"/>
              <w:rPr>
                <w:color w:val="auto"/>
                <w:sz w:val="24"/>
                <w:szCs w:val="24"/>
              </w:rPr>
            </w:pPr>
            <w:r>
              <w:rPr>
                <w:color w:val="auto"/>
                <w:sz w:val="24"/>
                <w:szCs w:val="24"/>
              </w:rPr>
              <w:t>2</w:t>
            </w:r>
          </w:p>
        </w:tc>
        <w:tc>
          <w:tcPr>
            <w:tcW w:w="1275" w:type="dxa"/>
            <w:vAlign w:val="center"/>
          </w:tcPr>
          <w:p>
            <w:pPr>
              <w:spacing w:line="360" w:lineRule="auto"/>
              <w:jc w:val="center"/>
              <w:rPr>
                <w:color w:val="auto"/>
                <w:sz w:val="24"/>
                <w:szCs w:val="24"/>
              </w:rPr>
            </w:pPr>
            <w:r>
              <w:rPr>
                <w:color w:val="auto"/>
                <w:sz w:val="24"/>
                <w:szCs w:val="24"/>
              </w:rPr>
              <w:t>3</w:t>
            </w:r>
          </w:p>
        </w:tc>
        <w:tc>
          <w:tcPr>
            <w:tcW w:w="1010" w:type="dxa"/>
            <w:vAlign w:val="center"/>
          </w:tcPr>
          <w:p>
            <w:pPr>
              <w:spacing w:line="360" w:lineRule="auto"/>
              <w:jc w:val="center"/>
              <w:rPr>
                <w:color w:val="auto"/>
                <w:sz w:val="24"/>
                <w:szCs w:val="24"/>
              </w:rPr>
            </w:pPr>
            <w:r>
              <w:rPr>
                <w:color w:val="auto"/>
                <w:sz w:val="24"/>
                <w:szCs w:val="24"/>
              </w:rPr>
              <w:t>4</w:t>
            </w:r>
          </w:p>
        </w:tc>
        <w:tc>
          <w:tcPr>
            <w:tcW w:w="794" w:type="dxa"/>
            <w:vAlign w:val="center"/>
          </w:tcPr>
          <w:p>
            <w:pPr>
              <w:spacing w:line="360" w:lineRule="auto"/>
              <w:jc w:val="center"/>
              <w:rPr>
                <w:color w:val="auto"/>
                <w:sz w:val="24"/>
                <w:szCs w:val="24"/>
              </w:rPr>
            </w:pPr>
            <w:r>
              <w:rPr>
                <w:color w:val="auto"/>
                <w:sz w:val="24"/>
                <w:szCs w:val="24"/>
              </w:rPr>
              <w:t>5</w:t>
            </w:r>
          </w:p>
        </w:tc>
        <w:tc>
          <w:tcPr>
            <w:tcW w:w="1178" w:type="dxa"/>
            <w:vAlign w:val="center"/>
          </w:tcPr>
          <w:p>
            <w:pPr>
              <w:spacing w:line="360" w:lineRule="auto"/>
              <w:jc w:val="center"/>
              <w:rPr>
                <w:color w:val="auto"/>
                <w:sz w:val="24"/>
                <w:szCs w:val="24"/>
              </w:rPr>
            </w:pPr>
            <w:r>
              <w:rPr>
                <w:color w:val="auto"/>
                <w:sz w:val="24"/>
                <w:szCs w:val="24"/>
              </w:rPr>
              <w:t>6</w:t>
            </w:r>
          </w:p>
        </w:tc>
        <w:tc>
          <w:tcPr>
            <w:tcW w:w="1443" w:type="dxa"/>
            <w:vAlign w:val="center"/>
          </w:tcPr>
          <w:p>
            <w:pPr>
              <w:spacing w:line="360" w:lineRule="auto"/>
              <w:jc w:val="center"/>
              <w:rPr>
                <w:color w:val="auto"/>
                <w:sz w:val="24"/>
                <w:szCs w:val="24"/>
              </w:rPr>
            </w:pPr>
            <w:r>
              <w:rPr>
                <w:color w:val="auto"/>
                <w:sz w:val="24"/>
                <w:szCs w:val="24"/>
              </w:rPr>
              <w:t>7</w:t>
            </w:r>
          </w:p>
        </w:tc>
        <w:tc>
          <w:tcPr>
            <w:tcW w:w="1761" w:type="dxa"/>
            <w:vAlign w:val="center"/>
          </w:tcPr>
          <w:p>
            <w:pPr>
              <w:spacing w:line="360" w:lineRule="auto"/>
              <w:jc w:val="center"/>
              <w:rPr>
                <w:color w:val="auto"/>
                <w:sz w:val="24"/>
                <w:szCs w:val="24"/>
              </w:rPr>
            </w:pPr>
            <w:r>
              <w:rPr>
                <w:color w:val="auto"/>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949" w:type="dxa"/>
            <w:vAlign w:val="center"/>
          </w:tcPr>
          <w:p>
            <w:pPr>
              <w:spacing w:line="360" w:lineRule="auto"/>
              <w:jc w:val="center"/>
              <w:rPr>
                <w:color w:val="auto"/>
                <w:sz w:val="24"/>
                <w:szCs w:val="24"/>
              </w:rPr>
            </w:pPr>
            <w:r>
              <w:rPr>
                <w:color w:val="auto"/>
                <w:sz w:val="24"/>
                <w:szCs w:val="24"/>
              </w:rPr>
              <w:t>标段（包）</w:t>
            </w:r>
          </w:p>
        </w:tc>
        <w:tc>
          <w:tcPr>
            <w:tcW w:w="1010" w:type="dxa"/>
            <w:vAlign w:val="center"/>
          </w:tcPr>
          <w:p>
            <w:pPr>
              <w:spacing w:line="360" w:lineRule="auto"/>
              <w:jc w:val="center"/>
              <w:rPr>
                <w:color w:val="auto"/>
                <w:sz w:val="24"/>
                <w:szCs w:val="24"/>
              </w:rPr>
            </w:pPr>
            <w:r>
              <w:rPr>
                <w:color w:val="auto"/>
                <w:sz w:val="24"/>
                <w:szCs w:val="24"/>
              </w:rPr>
              <w:t>品目号</w:t>
            </w:r>
          </w:p>
        </w:tc>
        <w:tc>
          <w:tcPr>
            <w:tcW w:w="1275" w:type="dxa"/>
            <w:vAlign w:val="center"/>
          </w:tcPr>
          <w:p>
            <w:pPr>
              <w:spacing w:line="360" w:lineRule="auto"/>
              <w:jc w:val="center"/>
              <w:rPr>
                <w:color w:val="auto"/>
                <w:sz w:val="24"/>
                <w:szCs w:val="24"/>
              </w:rPr>
            </w:pPr>
            <w:r>
              <w:rPr>
                <w:color w:val="auto"/>
                <w:sz w:val="24"/>
                <w:szCs w:val="24"/>
              </w:rPr>
              <w:t>小型和微型企业产品名称</w:t>
            </w:r>
          </w:p>
        </w:tc>
        <w:tc>
          <w:tcPr>
            <w:tcW w:w="1010" w:type="dxa"/>
            <w:vAlign w:val="center"/>
          </w:tcPr>
          <w:p>
            <w:pPr>
              <w:spacing w:line="360" w:lineRule="auto"/>
              <w:jc w:val="center"/>
              <w:rPr>
                <w:color w:val="auto"/>
                <w:sz w:val="24"/>
                <w:szCs w:val="24"/>
              </w:rPr>
            </w:pPr>
            <w:r>
              <w:rPr>
                <w:color w:val="auto"/>
                <w:sz w:val="24"/>
                <w:szCs w:val="24"/>
              </w:rPr>
              <w:t>品牌型号规格</w:t>
            </w:r>
          </w:p>
        </w:tc>
        <w:tc>
          <w:tcPr>
            <w:tcW w:w="794" w:type="dxa"/>
            <w:vAlign w:val="center"/>
          </w:tcPr>
          <w:p>
            <w:pPr>
              <w:spacing w:line="360" w:lineRule="auto"/>
              <w:jc w:val="center"/>
              <w:rPr>
                <w:color w:val="auto"/>
                <w:sz w:val="24"/>
                <w:szCs w:val="24"/>
              </w:rPr>
            </w:pPr>
            <w:r>
              <w:rPr>
                <w:color w:val="auto"/>
                <w:sz w:val="24"/>
                <w:szCs w:val="24"/>
              </w:rPr>
              <w:t>数量</w:t>
            </w:r>
          </w:p>
        </w:tc>
        <w:tc>
          <w:tcPr>
            <w:tcW w:w="1178" w:type="dxa"/>
            <w:vAlign w:val="center"/>
          </w:tcPr>
          <w:p>
            <w:pPr>
              <w:spacing w:line="360" w:lineRule="auto"/>
              <w:jc w:val="center"/>
              <w:rPr>
                <w:color w:val="auto"/>
                <w:sz w:val="24"/>
                <w:szCs w:val="24"/>
              </w:rPr>
            </w:pPr>
            <w:r>
              <w:rPr>
                <w:color w:val="auto"/>
                <w:sz w:val="24"/>
                <w:szCs w:val="24"/>
              </w:rPr>
              <w:t>制造商</w:t>
            </w:r>
          </w:p>
          <w:p>
            <w:pPr>
              <w:spacing w:line="360" w:lineRule="auto"/>
              <w:jc w:val="center"/>
              <w:rPr>
                <w:color w:val="auto"/>
                <w:sz w:val="24"/>
                <w:szCs w:val="24"/>
              </w:rPr>
            </w:pPr>
            <w:r>
              <w:rPr>
                <w:color w:val="auto"/>
                <w:sz w:val="24"/>
                <w:szCs w:val="24"/>
              </w:rPr>
              <w:t>全称</w:t>
            </w:r>
          </w:p>
        </w:tc>
        <w:tc>
          <w:tcPr>
            <w:tcW w:w="1443" w:type="dxa"/>
            <w:vAlign w:val="center"/>
          </w:tcPr>
          <w:p>
            <w:pPr>
              <w:spacing w:line="360" w:lineRule="auto"/>
              <w:jc w:val="center"/>
              <w:rPr>
                <w:color w:val="auto"/>
                <w:sz w:val="24"/>
                <w:szCs w:val="24"/>
              </w:rPr>
            </w:pPr>
            <w:r>
              <w:rPr>
                <w:color w:val="auto"/>
                <w:sz w:val="24"/>
                <w:szCs w:val="24"/>
              </w:rPr>
              <w:t>报价（元）</w:t>
            </w:r>
          </w:p>
        </w:tc>
        <w:tc>
          <w:tcPr>
            <w:tcW w:w="1761" w:type="dxa"/>
            <w:vAlign w:val="center"/>
          </w:tcPr>
          <w:p>
            <w:pPr>
              <w:spacing w:line="360" w:lineRule="auto"/>
              <w:jc w:val="center"/>
              <w:rPr>
                <w:color w:val="auto"/>
                <w:sz w:val="24"/>
                <w:szCs w:val="24"/>
              </w:rPr>
            </w:pPr>
            <w:r>
              <w:rPr>
                <w:color w:val="auto"/>
                <w:sz w:val="24"/>
                <w:szCs w:val="24"/>
              </w:rPr>
              <w:t>价格评审扣除金额（元）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9" w:type="dxa"/>
            <w:vMerge w:val="restart"/>
            <w:vAlign w:val="center"/>
          </w:tcPr>
          <w:p>
            <w:pPr>
              <w:spacing w:line="360" w:lineRule="auto"/>
              <w:jc w:val="center"/>
              <w:rPr>
                <w:color w:val="auto"/>
                <w:sz w:val="24"/>
                <w:szCs w:val="24"/>
              </w:rPr>
            </w:pPr>
          </w:p>
        </w:tc>
        <w:tc>
          <w:tcPr>
            <w:tcW w:w="1010" w:type="dxa"/>
            <w:vAlign w:val="center"/>
          </w:tcPr>
          <w:p>
            <w:pPr>
              <w:spacing w:line="360" w:lineRule="auto"/>
              <w:jc w:val="center"/>
              <w:rPr>
                <w:color w:val="auto"/>
                <w:sz w:val="24"/>
                <w:szCs w:val="24"/>
              </w:rPr>
            </w:pPr>
          </w:p>
        </w:tc>
        <w:tc>
          <w:tcPr>
            <w:tcW w:w="1275" w:type="dxa"/>
            <w:vAlign w:val="center"/>
          </w:tcPr>
          <w:p>
            <w:pPr>
              <w:spacing w:line="360" w:lineRule="auto"/>
              <w:jc w:val="center"/>
              <w:rPr>
                <w:color w:val="auto"/>
                <w:sz w:val="24"/>
                <w:szCs w:val="24"/>
              </w:rPr>
            </w:pPr>
          </w:p>
        </w:tc>
        <w:tc>
          <w:tcPr>
            <w:tcW w:w="1010" w:type="dxa"/>
            <w:vAlign w:val="center"/>
          </w:tcPr>
          <w:p>
            <w:pPr>
              <w:spacing w:line="360" w:lineRule="auto"/>
              <w:jc w:val="center"/>
              <w:rPr>
                <w:color w:val="auto"/>
                <w:sz w:val="24"/>
                <w:szCs w:val="24"/>
              </w:rPr>
            </w:pPr>
          </w:p>
        </w:tc>
        <w:tc>
          <w:tcPr>
            <w:tcW w:w="794" w:type="dxa"/>
            <w:vAlign w:val="center"/>
          </w:tcPr>
          <w:p>
            <w:pPr>
              <w:spacing w:line="360" w:lineRule="auto"/>
              <w:jc w:val="center"/>
              <w:rPr>
                <w:color w:val="auto"/>
                <w:sz w:val="24"/>
                <w:szCs w:val="24"/>
              </w:rPr>
            </w:pPr>
          </w:p>
        </w:tc>
        <w:tc>
          <w:tcPr>
            <w:tcW w:w="1178" w:type="dxa"/>
            <w:vAlign w:val="center"/>
          </w:tcPr>
          <w:p>
            <w:pPr>
              <w:spacing w:line="360" w:lineRule="auto"/>
              <w:jc w:val="center"/>
              <w:rPr>
                <w:color w:val="auto"/>
                <w:sz w:val="24"/>
                <w:szCs w:val="24"/>
              </w:rPr>
            </w:pPr>
          </w:p>
        </w:tc>
        <w:tc>
          <w:tcPr>
            <w:tcW w:w="1443" w:type="dxa"/>
            <w:vAlign w:val="center"/>
          </w:tcPr>
          <w:p>
            <w:pPr>
              <w:spacing w:line="360" w:lineRule="auto"/>
              <w:jc w:val="center"/>
              <w:rPr>
                <w:color w:val="auto"/>
                <w:sz w:val="24"/>
                <w:szCs w:val="24"/>
              </w:rPr>
            </w:pPr>
          </w:p>
        </w:tc>
        <w:tc>
          <w:tcPr>
            <w:tcW w:w="1761" w:type="dxa"/>
            <w:vAlign w:val="center"/>
          </w:tcPr>
          <w:p>
            <w:pPr>
              <w:spacing w:line="360" w:lineRule="auto"/>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9" w:type="dxa"/>
            <w:vMerge w:val="continue"/>
            <w:vAlign w:val="center"/>
          </w:tcPr>
          <w:p>
            <w:pPr>
              <w:spacing w:line="360" w:lineRule="auto"/>
              <w:jc w:val="center"/>
              <w:rPr>
                <w:color w:val="auto"/>
                <w:sz w:val="24"/>
                <w:szCs w:val="24"/>
              </w:rPr>
            </w:pPr>
          </w:p>
        </w:tc>
        <w:tc>
          <w:tcPr>
            <w:tcW w:w="1010" w:type="dxa"/>
            <w:vAlign w:val="center"/>
          </w:tcPr>
          <w:p>
            <w:pPr>
              <w:spacing w:line="360" w:lineRule="auto"/>
              <w:jc w:val="center"/>
              <w:rPr>
                <w:color w:val="auto"/>
                <w:sz w:val="24"/>
                <w:szCs w:val="24"/>
              </w:rPr>
            </w:pPr>
          </w:p>
        </w:tc>
        <w:tc>
          <w:tcPr>
            <w:tcW w:w="1275" w:type="dxa"/>
            <w:vAlign w:val="center"/>
          </w:tcPr>
          <w:p>
            <w:pPr>
              <w:spacing w:line="360" w:lineRule="auto"/>
              <w:jc w:val="center"/>
              <w:rPr>
                <w:color w:val="auto"/>
                <w:sz w:val="24"/>
                <w:szCs w:val="24"/>
              </w:rPr>
            </w:pPr>
          </w:p>
        </w:tc>
        <w:tc>
          <w:tcPr>
            <w:tcW w:w="1010" w:type="dxa"/>
            <w:vAlign w:val="center"/>
          </w:tcPr>
          <w:p>
            <w:pPr>
              <w:spacing w:line="360" w:lineRule="auto"/>
              <w:jc w:val="center"/>
              <w:rPr>
                <w:color w:val="auto"/>
                <w:sz w:val="24"/>
                <w:szCs w:val="24"/>
              </w:rPr>
            </w:pPr>
          </w:p>
        </w:tc>
        <w:tc>
          <w:tcPr>
            <w:tcW w:w="794" w:type="dxa"/>
            <w:vAlign w:val="center"/>
          </w:tcPr>
          <w:p>
            <w:pPr>
              <w:spacing w:line="360" w:lineRule="auto"/>
              <w:jc w:val="center"/>
              <w:rPr>
                <w:color w:val="auto"/>
                <w:sz w:val="24"/>
                <w:szCs w:val="24"/>
              </w:rPr>
            </w:pPr>
          </w:p>
        </w:tc>
        <w:tc>
          <w:tcPr>
            <w:tcW w:w="1178" w:type="dxa"/>
            <w:vAlign w:val="center"/>
          </w:tcPr>
          <w:p>
            <w:pPr>
              <w:spacing w:line="360" w:lineRule="auto"/>
              <w:jc w:val="center"/>
              <w:rPr>
                <w:color w:val="auto"/>
                <w:sz w:val="24"/>
                <w:szCs w:val="24"/>
              </w:rPr>
            </w:pPr>
          </w:p>
        </w:tc>
        <w:tc>
          <w:tcPr>
            <w:tcW w:w="1443" w:type="dxa"/>
            <w:vAlign w:val="center"/>
          </w:tcPr>
          <w:p>
            <w:pPr>
              <w:spacing w:line="360" w:lineRule="auto"/>
              <w:jc w:val="center"/>
              <w:rPr>
                <w:color w:val="auto"/>
                <w:sz w:val="24"/>
                <w:szCs w:val="24"/>
              </w:rPr>
            </w:pPr>
          </w:p>
        </w:tc>
        <w:tc>
          <w:tcPr>
            <w:tcW w:w="1761" w:type="dxa"/>
            <w:vAlign w:val="center"/>
          </w:tcPr>
          <w:p>
            <w:pPr>
              <w:spacing w:line="360" w:lineRule="auto"/>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9" w:type="dxa"/>
            <w:vMerge w:val="continue"/>
            <w:vAlign w:val="center"/>
          </w:tcPr>
          <w:p>
            <w:pPr>
              <w:spacing w:line="360" w:lineRule="auto"/>
              <w:jc w:val="center"/>
              <w:rPr>
                <w:color w:val="auto"/>
                <w:sz w:val="24"/>
                <w:szCs w:val="24"/>
              </w:rPr>
            </w:pPr>
          </w:p>
        </w:tc>
        <w:tc>
          <w:tcPr>
            <w:tcW w:w="1010" w:type="dxa"/>
            <w:vAlign w:val="center"/>
          </w:tcPr>
          <w:p>
            <w:pPr>
              <w:spacing w:line="360" w:lineRule="auto"/>
              <w:jc w:val="center"/>
              <w:rPr>
                <w:color w:val="auto"/>
                <w:sz w:val="24"/>
                <w:szCs w:val="24"/>
              </w:rPr>
            </w:pPr>
          </w:p>
        </w:tc>
        <w:tc>
          <w:tcPr>
            <w:tcW w:w="1275" w:type="dxa"/>
            <w:vAlign w:val="center"/>
          </w:tcPr>
          <w:p>
            <w:pPr>
              <w:spacing w:line="360" w:lineRule="auto"/>
              <w:jc w:val="center"/>
              <w:rPr>
                <w:color w:val="auto"/>
                <w:sz w:val="24"/>
                <w:szCs w:val="24"/>
              </w:rPr>
            </w:pPr>
          </w:p>
        </w:tc>
        <w:tc>
          <w:tcPr>
            <w:tcW w:w="1010" w:type="dxa"/>
            <w:vAlign w:val="center"/>
          </w:tcPr>
          <w:p>
            <w:pPr>
              <w:spacing w:line="360" w:lineRule="auto"/>
              <w:jc w:val="center"/>
              <w:rPr>
                <w:color w:val="auto"/>
                <w:sz w:val="24"/>
                <w:szCs w:val="24"/>
              </w:rPr>
            </w:pPr>
          </w:p>
        </w:tc>
        <w:tc>
          <w:tcPr>
            <w:tcW w:w="794" w:type="dxa"/>
            <w:vAlign w:val="center"/>
          </w:tcPr>
          <w:p>
            <w:pPr>
              <w:spacing w:line="360" w:lineRule="auto"/>
              <w:jc w:val="center"/>
              <w:rPr>
                <w:color w:val="auto"/>
                <w:sz w:val="24"/>
                <w:szCs w:val="24"/>
              </w:rPr>
            </w:pPr>
          </w:p>
        </w:tc>
        <w:tc>
          <w:tcPr>
            <w:tcW w:w="1178" w:type="dxa"/>
            <w:vAlign w:val="center"/>
          </w:tcPr>
          <w:p>
            <w:pPr>
              <w:spacing w:line="360" w:lineRule="auto"/>
              <w:jc w:val="center"/>
              <w:rPr>
                <w:color w:val="auto"/>
                <w:sz w:val="24"/>
                <w:szCs w:val="24"/>
              </w:rPr>
            </w:pPr>
          </w:p>
        </w:tc>
        <w:tc>
          <w:tcPr>
            <w:tcW w:w="1443" w:type="dxa"/>
            <w:vAlign w:val="center"/>
          </w:tcPr>
          <w:p>
            <w:pPr>
              <w:spacing w:line="360" w:lineRule="auto"/>
              <w:jc w:val="center"/>
              <w:rPr>
                <w:color w:val="auto"/>
                <w:sz w:val="24"/>
                <w:szCs w:val="24"/>
              </w:rPr>
            </w:pPr>
          </w:p>
        </w:tc>
        <w:tc>
          <w:tcPr>
            <w:tcW w:w="1761" w:type="dxa"/>
            <w:vAlign w:val="center"/>
          </w:tcPr>
          <w:p>
            <w:pPr>
              <w:spacing w:line="360" w:lineRule="auto"/>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9" w:type="dxa"/>
            <w:vMerge w:val="continue"/>
            <w:vAlign w:val="center"/>
          </w:tcPr>
          <w:p>
            <w:pPr>
              <w:spacing w:line="360" w:lineRule="auto"/>
              <w:jc w:val="center"/>
              <w:rPr>
                <w:color w:val="auto"/>
                <w:sz w:val="24"/>
                <w:szCs w:val="24"/>
              </w:rPr>
            </w:pPr>
          </w:p>
        </w:tc>
        <w:tc>
          <w:tcPr>
            <w:tcW w:w="5267" w:type="dxa"/>
            <w:gridSpan w:val="5"/>
            <w:vAlign w:val="center"/>
          </w:tcPr>
          <w:p>
            <w:pPr>
              <w:spacing w:line="360" w:lineRule="auto"/>
              <w:jc w:val="center"/>
              <w:rPr>
                <w:color w:val="auto"/>
                <w:sz w:val="24"/>
                <w:szCs w:val="24"/>
              </w:rPr>
            </w:pPr>
            <w:r>
              <w:rPr>
                <w:color w:val="auto"/>
                <w:sz w:val="24"/>
                <w:szCs w:val="24"/>
              </w:rPr>
              <w:t>本标段（包）小计</w:t>
            </w:r>
          </w:p>
        </w:tc>
        <w:tc>
          <w:tcPr>
            <w:tcW w:w="1443" w:type="dxa"/>
            <w:vAlign w:val="center"/>
          </w:tcPr>
          <w:p>
            <w:pPr>
              <w:spacing w:line="360" w:lineRule="auto"/>
              <w:jc w:val="center"/>
              <w:rPr>
                <w:color w:val="auto"/>
                <w:sz w:val="24"/>
                <w:szCs w:val="24"/>
              </w:rPr>
            </w:pPr>
          </w:p>
        </w:tc>
        <w:tc>
          <w:tcPr>
            <w:tcW w:w="1761" w:type="dxa"/>
            <w:vAlign w:val="center"/>
          </w:tcPr>
          <w:p>
            <w:pPr>
              <w:spacing w:line="360" w:lineRule="auto"/>
              <w:jc w:val="center"/>
              <w:rPr>
                <w:color w:val="auto"/>
                <w:sz w:val="24"/>
                <w:szCs w:val="24"/>
              </w:rPr>
            </w:pPr>
          </w:p>
        </w:tc>
      </w:tr>
    </w:tbl>
    <w:p>
      <w:pPr>
        <w:spacing w:line="360" w:lineRule="auto"/>
        <w:rPr>
          <w:color w:val="auto"/>
          <w:sz w:val="24"/>
          <w:szCs w:val="24"/>
        </w:rPr>
      </w:pPr>
    </w:p>
    <w:p>
      <w:pPr>
        <w:spacing w:line="360" w:lineRule="auto"/>
        <w:rPr>
          <w:color w:val="auto"/>
          <w:sz w:val="24"/>
          <w:szCs w:val="24"/>
        </w:rPr>
      </w:pPr>
      <w:r>
        <w:rPr>
          <w:color w:val="auto"/>
          <w:sz w:val="24"/>
          <w:szCs w:val="24"/>
        </w:rPr>
        <w:t>注：</w:t>
      </w:r>
    </w:p>
    <w:p>
      <w:pPr>
        <w:spacing w:line="360" w:lineRule="auto"/>
        <w:rPr>
          <w:color w:val="auto"/>
          <w:sz w:val="24"/>
          <w:szCs w:val="24"/>
        </w:rPr>
      </w:pPr>
      <w:r>
        <w:rPr>
          <w:color w:val="auto"/>
          <w:sz w:val="24"/>
          <w:szCs w:val="24"/>
        </w:rPr>
        <w:t xml:space="preserve">   1、当一个标段（包）内有多个属于小型和微型企业的产品时，供应商应按品目号详细填写。    </w:t>
      </w:r>
    </w:p>
    <w:p>
      <w:pPr>
        <w:spacing w:line="360" w:lineRule="auto"/>
        <w:jc w:val="left"/>
        <w:rPr>
          <w:color w:val="auto"/>
          <w:sz w:val="24"/>
          <w:szCs w:val="24"/>
        </w:rPr>
      </w:pPr>
      <w:r>
        <w:rPr>
          <w:color w:val="auto"/>
          <w:sz w:val="24"/>
          <w:szCs w:val="24"/>
        </w:rPr>
        <w:t xml:space="preserve">   2、栏目8=栏</w:t>
      </w:r>
      <w:r>
        <w:rPr>
          <w:snapToGrid w:val="0"/>
          <w:color w:val="auto"/>
          <w:sz w:val="24"/>
          <w:szCs w:val="24"/>
        </w:rPr>
        <w:t>目</w:t>
      </w:r>
      <w:r>
        <w:rPr>
          <w:color w:val="auto"/>
          <w:sz w:val="24"/>
          <w:szCs w:val="24"/>
        </w:rPr>
        <w:t>7×招标文件规定的价格扣除比率的优惠幅度。</w:t>
      </w:r>
    </w:p>
    <w:p>
      <w:pPr>
        <w:spacing w:line="360" w:lineRule="auto"/>
        <w:rPr>
          <w:color w:val="auto"/>
          <w:sz w:val="24"/>
          <w:szCs w:val="24"/>
        </w:rPr>
      </w:pPr>
      <w:r>
        <w:rPr>
          <w:color w:val="auto"/>
          <w:sz w:val="24"/>
          <w:szCs w:val="24"/>
        </w:rPr>
        <w:t xml:space="preserve">   3、计算分数时四舍五入取小数点后两位。    </w:t>
      </w:r>
    </w:p>
    <w:p>
      <w:pPr>
        <w:spacing w:line="360" w:lineRule="auto"/>
        <w:rPr>
          <w:color w:val="auto"/>
          <w:sz w:val="24"/>
          <w:szCs w:val="24"/>
        </w:rPr>
      </w:pPr>
      <w:r>
        <w:rPr>
          <w:color w:val="auto"/>
          <w:sz w:val="24"/>
          <w:szCs w:val="24"/>
        </w:rPr>
        <w:t xml:space="preserve">   4、以上属于小型和微型企业的产品须按招标文件提供相关证明材料并加盖供应商公章。    </w:t>
      </w:r>
    </w:p>
    <w:p>
      <w:pPr>
        <w:spacing w:line="360" w:lineRule="auto"/>
        <w:rPr>
          <w:color w:val="auto"/>
          <w:sz w:val="24"/>
          <w:szCs w:val="24"/>
        </w:rPr>
      </w:pPr>
      <w:r>
        <w:rPr>
          <w:color w:val="auto"/>
          <w:sz w:val="24"/>
          <w:szCs w:val="24"/>
        </w:rPr>
        <w:t xml:space="preserve">   5、若所投的产品不具备此类评审优惠条件，本“中小价格扣除明细表”不必填写。</w:t>
      </w:r>
    </w:p>
    <w:p>
      <w:pPr>
        <w:spacing w:line="360" w:lineRule="auto"/>
        <w:rPr>
          <w:color w:val="auto"/>
          <w:sz w:val="24"/>
          <w:szCs w:val="24"/>
        </w:rPr>
      </w:pPr>
    </w:p>
    <w:p>
      <w:pPr>
        <w:spacing w:line="360" w:lineRule="auto"/>
        <w:rPr>
          <w:color w:val="auto"/>
          <w:sz w:val="24"/>
          <w:szCs w:val="24"/>
        </w:rPr>
      </w:pPr>
    </w:p>
    <w:p>
      <w:pPr>
        <w:pStyle w:val="83"/>
        <w:wordWrap w:val="0"/>
        <w:spacing w:line="360" w:lineRule="auto"/>
        <w:rPr>
          <w:color w:val="auto"/>
          <w:szCs w:val="24"/>
        </w:rPr>
      </w:pPr>
      <w:r>
        <w:rPr>
          <w:color w:val="auto"/>
          <w:sz w:val="28"/>
        </w:rPr>
        <w:t xml:space="preserve"> </w:t>
      </w:r>
      <w:r>
        <w:rPr>
          <w:color w:val="auto"/>
          <w:szCs w:val="24"/>
        </w:rPr>
        <w:t>供应商名称（盖单位章）：</w:t>
      </w:r>
    </w:p>
    <w:p>
      <w:pPr>
        <w:pStyle w:val="83"/>
        <w:wordWrap w:val="0"/>
        <w:spacing w:line="360" w:lineRule="auto"/>
        <w:rPr>
          <w:color w:val="auto"/>
          <w:szCs w:val="24"/>
        </w:rPr>
      </w:pPr>
      <w:r>
        <w:rPr>
          <w:color w:val="auto"/>
          <w:szCs w:val="24"/>
        </w:rPr>
        <w:t xml:space="preserve"> 法定代表人或其委托代理人签字：</w:t>
      </w:r>
    </w:p>
    <w:p>
      <w:pPr>
        <w:spacing w:line="360" w:lineRule="auto"/>
        <w:rPr>
          <w:color w:val="auto"/>
          <w:sz w:val="24"/>
          <w:szCs w:val="24"/>
        </w:rPr>
      </w:pPr>
      <w:r>
        <w:rPr>
          <w:color w:val="auto"/>
          <w:sz w:val="24"/>
          <w:szCs w:val="24"/>
        </w:rPr>
        <w:t xml:space="preserve"> 日期：</w:t>
      </w: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p>
    <w:p>
      <w:pPr>
        <w:spacing w:line="360" w:lineRule="auto"/>
        <w:rPr>
          <w:b/>
          <w:bCs/>
          <w:color w:val="auto"/>
          <w:sz w:val="24"/>
          <w:szCs w:val="24"/>
        </w:rPr>
      </w:pPr>
      <w:r>
        <w:rPr>
          <w:color w:val="auto"/>
          <w:sz w:val="24"/>
          <w:szCs w:val="24"/>
        </w:rPr>
        <w:br w:type="page"/>
      </w:r>
    </w:p>
    <w:p>
      <w:pPr>
        <w:spacing w:beforeLines="100" w:afterLines="100" w:line="360" w:lineRule="auto"/>
        <w:jc w:val="center"/>
        <w:rPr>
          <w:b/>
          <w:bCs/>
          <w:color w:val="auto"/>
          <w:sz w:val="28"/>
          <w:szCs w:val="28"/>
        </w:rPr>
      </w:pPr>
      <w:r>
        <w:rPr>
          <w:b/>
          <w:bCs/>
          <w:color w:val="auto"/>
          <w:sz w:val="28"/>
          <w:szCs w:val="28"/>
        </w:rPr>
        <w:t>6、小微企业声明函（如有）</w:t>
      </w:r>
    </w:p>
    <w:p>
      <w:pPr>
        <w:spacing w:line="360" w:lineRule="auto"/>
        <w:rPr>
          <w:color w:val="auto"/>
          <w:sz w:val="28"/>
          <w:szCs w:val="28"/>
        </w:rPr>
      </w:pPr>
      <w:r>
        <w:rPr>
          <w:color w:val="auto"/>
          <w:sz w:val="28"/>
          <w:szCs w:val="28"/>
        </w:rPr>
        <w:t xml:space="preserve">    </w:t>
      </w:r>
    </w:p>
    <w:p>
      <w:pPr>
        <w:spacing w:line="360" w:lineRule="auto"/>
        <w:rPr>
          <w:color w:val="auto"/>
          <w:sz w:val="24"/>
          <w:szCs w:val="24"/>
        </w:rPr>
      </w:pPr>
      <w:r>
        <w:rPr>
          <w:color w:val="auto"/>
          <w:sz w:val="28"/>
          <w:szCs w:val="28"/>
        </w:rPr>
        <w:t xml:space="preserve">  </w:t>
      </w:r>
      <w:r>
        <w:rPr>
          <w:color w:val="auto"/>
          <w:sz w:val="24"/>
          <w:szCs w:val="24"/>
        </w:rPr>
        <w:t xml:space="preserve">  本公司郑重声明，根据《政府采购促进中小企业发展暂行办法》（财库[2011]181号）的规定，本公司为</w:t>
      </w:r>
      <w:r>
        <w:rPr>
          <w:color w:val="auto"/>
          <w:sz w:val="24"/>
          <w:szCs w:val="24"/>
          <w:u w:val="single"/>
        </w:rPr>
        <w:t xml:space="preserve">          </w:t>
      </w:r>
      <w:r>
        <w:rPr>
          <w:color w:val="auto"/>
          <w:sz w:val="24"/>
          <w:szCs w:val="24"/>
        </w:rPr>
        <w:t>（请填写：中型、小型、微型）企业。即，本公司同时满足以下条件：</w:t>
      </w:r>
    </w:p>
    <w:p>
      <w:pPr>
        <w:spacing w:line="360" w:lineRule="auto"/>
        <w:ind w:firstLine="360" w:firstLineChars="150"/>
        <w:rPr>
          <w:color w:val="auto"/>
          <w:sz w:val="24"/>
          <w:szCs w:val="24"/>
        </w:rPr>
      </w:pPr>
      <w:r>
        <w:rPr>
          <w:color w:val="auto"/>
          <w:sz w:val="24"/>
          <w:szCs w:val="24"/>
        </w:rPr>
        <w:t xml:space="preserve"> 1.根据《工业和信息化部、国家统计局、国家发展和改革委员会、财政部关于印发中小企业划型标准规定的通知》（工信部联企业[2011]300号）规定的划分标准，本公司为</w:t>
      </w:r>
      <w:r>
        <w:rPr>
          <w:color w:val="auto"/>
          <w:sz w:val="24"/>
          <w:szCs w:val="24"/>
          <w:u w:val="single"/>
        </w:rPr>
        <w:t xml:space="preserve">        </w:t>
      </w:r>
      <w:r>
        <w:rPr>
          <w:color w:val="auto"/>
          <w:sz w:val="24"/>
          <w:szCs w:val="24"/>
        </w:rPr>
        <w:t>（请填写：中型、小型、微型）企业。</w:t>
      </w:r>
    </w:p>
    <w:p>
      <w:pPr>
        <w:spacing w:line="360" w:lineRule="auto"/>
        <w:ind w:firstLine="360" w:firstLineChars="150"/>
        <w:rPr>
          <w:color w:val="auto"/>
          <w:sz w:val="24"/>
          <w:szCs w:val="24"/>
        </w:rPr>
      </w:pPr>
      <w:r>
        <w:rPr>
          <w:color w:val="auto"/>
          <w:sz w:val="24"/>
          <w:szCs w:val="24"/>
        </w:rPr>
        <w:t xml:space="preserve"> 2.本公司参加</w:t>
      </w:r>
      <w:r>
        <w:rPr>
          <w:color w:val="auto"/>
          <w:sz w:val="24"/>
          <w:szCs w:val="24"/>
          <w:u w:val="single"/>
        </w:rPr>
        <w:t xml:space="preserve">        </w:t>
      </w:r>
      <w:r>
        <w:rPr>
          <w:color w:val="auto"/>
          <w:sz w:val="24"/>
          <w:szCs w:val="24"/>
        </w:rPr>
        <w:t>单位的</w:t>
      </w:r>
      <w:r>
        <w:rPr>
          <w:color w:val="auto"/>
          <w:sz w:val="24"/>
          <w:szCs w:val="24"/>
          <w:u w:val="single"/>
        </w:rPr>
        <w:t xml:space="preserve">        </w:t>
      </w:r>
      <w:r>
        <w:rPr>
          <w:color w:val="auto"/>
          <w:sz w:val="24"/>
          <w:szCs w:val="24"/>
        </w:rPr>
        <w:t>项目采购活动提供本企业制造的货物，由本企业承担工程、提供服务，或者提供其他</w:t>
      </w:r>
      <w:r>
        <w:rPr>
          <w:color w:val="auto"/>
          <w:sz w:val="24"/>
          <w:szCs w:val="24"/>
          <w:u w:val="single"/>
        </w:rPr>
        <w:t xml:space="preserve">      </w:t>
      </w:r>
      <w:r>
        <w:rPr>
          <w:color w:val="auto"/>
          <w:sz w:val="24"/>
          <w:szCs w:val="24"/>
        </w:rPr>
        <w:t>（请填写：中型、小型、微型）企业制造的货物。本条所称货物不包括使用大型企业注册商标的货物。</w:t>
      </w:r>
    </w:p>
    <w:p>
      <w:pPr>
        <w:spacing w:line="360" w:lineRule="auto"/>
        <w:ind w:firstLine="360" w:firstLineChars="150"/>
        <w:rPr>
          <w:color w:val="auto"/>
          <w:sz w:val="24"/>
          <w:szCs w:val="24"/>
        </w:rPr>
      </w:pPr>
      <w:r>
        <w:rPr>
          <w:color w:val="auto"/>
          <w:sz w:val="24"/>
          <w:szCs w:val="24"/>
        </w:rPr>
        <w:t xml:space="preserve"> 本公司对上述声明的真实性负责。如有虚假，将依法承担相应责任。</w:t>
      </w:r>
    </w:p>
    <w:p>
      <w:pPr>
        <w:spacing w:line="360" w:lineRule="auto"/>
        <w:ind w:firstLine="2640" w:firstLineChars="1100"/>
        <w:rPr>
          <w:color w:val="auto"/>
          <w:sz w:val="24"/>
          <w:szCs w:val="24"/>
        </w:rPr>
      </w:pPr>
    </w:p>
    <w:p>
      <w:pPr>
        <w:spacing w:line="360" w:lineRule="auto"/>
        <w:rPr>
          <w:color w:val="auto"/>
          <w:sz w:val="24"/>
          <w:szCs w:val="24"/>
        </w:rPr>
      </w:pPr>
      <w:r>
        <w:rPr>
          <w:color w:val="auto"/>
          <w:sz w:val="24"/>
          <w:szCs w:val="24"/>
        </w:rPr>
        <w:t xml:space="preserve">      供应商名称（盖单位章）：</w:t>
      </w:r>
    </w:p>
    <w:p>
      <w:pPr>
        <w:spacing w:line="360" w:lineRule="auto"/>
        <w:rPr>
          <w:color w:val="auto"/>
          <w:sz w:val="24"/>
          <w:szCs w:val="24"/>
        </w:rPr>
      </w:pPr>
      <w:r>
        <w:rPr>
          <w:color w:val="auto"/>
          <w:sz w:val="24"/>
          <w:szCs w:val="24"/>
        </w:rPr>
        <w:t xml:space="preserve">      法定代表人或其委托代理人签字：</w:t>
      </w:r>
    </w:p>
    <w:p>
      <w:pPr>
        <w:spacing w:line="360" w:lineRule="auto"/>
        <w:rPr>
          <w:color w:val="auto"/>
          <w:sz w:val="24"/>
          <w:szCs w:val="24"/>
        </w:rPr>
      </w:pPr>
      <w:r>
        <w:rPr>
          <w:color w:val="auto"/>
          <w:sz w:val="24"/>
          <w:szCs w:val="24"/>
        </w:rPr>
        <w:t xml:space="preserve">      日期：        年    月    日</w:t>
      </w:r>
    </w:p>
    <w:p>
      <w:pPr>
        <w:spacing w:line="360" w:lineRule="auto"/>
        <w:rPr>
          <w:b/>
          <w:bCs/>
          <w:color w:val="auto"/>
          <w:sz w:val="24"/>
          <w:szCs w:val="24"/>
        </w:rPr>
      </w:pPr>
    </w:p>
    <w:p>
      <w:pPr>
        <w:spacing w:line="360" w:lineRule="auto"/>
        <w:rPr>
          <w:b/>
          <w:bCs/>
          <w:color w:val="auto"/>
          <w:sz w:val="24"/>
          <w:szCs w:val="24"/>
        </w:rPr>
      </w:pPr>
    </w:p>
    <w:p>
      <w:pPr>
        <w:spacing w:line="360" w:lineRule="auto"/>
        <w:rPr>
          <w:color w:val="auto"/>
          <w:sz w:val="24"/>
          <w:szCs w:val="24"/>
        </w:rPr>
      </w:pPr>
      <w:r>
        <w:rPr>
          <w:b/>
          <w:bCs/>
          <w:color w:val="auto"/>
          <w:sz w:val="24"/>
          <w:szCs w:val="24"/>
        </w:rPr>
        <w:t>说明:</w:t>
      </w:r>
      <w:r>
        <w:rPr>
          <w:color w:val="auto"/>
          <w:spacing w:val="5"/>
          <w:sz w:val="24"/>
          <w:szCs w:val="24"/>
        </w:rPr>
        <w:t>1、填写前请认真阅读《工业和信息化部、国家统计局、国家发展和改革委</w:t>
      </w:r>
      <w:r>
        <w:rPr>
          <w:color w:val="auto"/>
          <w:spacing w:val="4"/>
          <w:sz w:val="24"/>
          <w:szCs w:val="24"/>
        </w:rPr>
        <w:t>员会、财政部关于印发中小企业划型标准规定的通知》（工信部联企业[2011] 300号）</w:t>
      </w:r>
      <w:r>
        <w:rPr>
          <w:color w:val="auto"/>
          <w:spacing w:val="7"/>
          <w:sz w:val="24"/>
          <w:szCs w:val="24"/>
        </w:rPr>
        <w:t>和《财政部工业和信息化部关于印发&lt;政府采购促进中小企业发展暂行办法&gt;的通知》</w:t>
      </w:r>
      <w:r>
        <w:rPr>
          <w:color w:val="auto"/>
          <w:sz w:val="24"/>
          <w:szCs w:val="24"/>
        </w:rPr>
        <w:t>（财库[2011]181号）相关规定。</w:t>
      </w:r>
    </w:p>
    <w:p>
      <w:pPr>
        <w:spacing w:line="360" w:lineRule="auto"/>
        <w:rPr>
          <w:color w:val="auto"/>
          <w:sz w:val="24"/>
          <w:szCs w:val="24"/>
        </w:rPr>
      </w:pPr>
      <w:r>
        <w:rPr>
          <w:color w:val="auto"/>
          <w:sz w:val="24"/>
          <w:szCs w:val="24"/>
        </w:rPr>
        <w:t xml:space="preserve">     2、中小企业部分提供其他中小企业制造货物的应另附说明，并与后面的报价一栏表保持一致。</w:t>
      </w:r>
    </w:p>
    <w:p>
      <w:pPr>
        <w:spacing w:line="360" w:lineRule="auto"/>
        <w:rPr>
          <w:color w:val="auto"/>
          <w:sz w:val="24"/>
          <w:szCs w:val="24"/>
        </w:rPr>
      </w:pPr>
      <w:r>
        <w:rPr>
          <w:color w:val="auto"/>
          <w:sz w:val="24"/>
          <w:szCs w:val="24"/>
        </w:rPr>
        <w:t xml:space="preserve">     3、未按上述要求提供、填写的，评审时不予以考虑。</w:t>
      </w:r>
    </w:p>
    <w:p>
      <w:pPr>
        <w:spacing w:beforeLines="100" w:afterLines="100" w:line="360" w:lineRule="auto"/>
        <w:jc w:val="center"/>
        <w:rPr>
          <w:b/>
          <w:bCs/>
          <w:color w:val="auto"/>
          <w:sz w:val="28"/>
          <w:szCs w:val="28"/>
        </w:rPr>
      </w:pPr>
      <w:r>
        <w:rPr>
          <w:b/>
          <w:bCs/>
          <w:color w:val="auto"/>
          <w:sz w:val="24"/>
          <w:szCs w:val="24"/>
        </w:rPr>
        <w:br w:type="page"/>
      </w:r>
      <w:r>
        <w:rPr>
          <w:b/>
          <w:bCs/>
          <w:color w:val="auto"/>
          <w:sz w:val="28"/>
          <w:szCs w:val="28"/>
        </w:rPr>
        <w:t>7、投标人认为需要提供的其他材料</w:t>
      </w:r>
    </w:p>
    <w:p>
      <w:pPr>
        <w:spacing w:line="360" w:lineRule="auto"/>
        <w:rPr>
          <w:color w:val="auto"/>
        </w:rPr>
      </w:pPr>
    </w:p>
    <w:p>
      <w:pPr>
        <w:spacing w:line="360" w:lineRule="auto"/>
        <w:rPr>
          <w:color w:val="auto"/>
        </w:rPr>
      </w:pPr>
    </w:p>
    <w:p>
      <w:pPr>
        <w:spacing w:line="360" w:lineRule="auto"/>
        <w:rPr>
          <w:color w:val="auto"/>
        </w:rPr>
      </w:pPr>
    </w:p>
    <w:sectPr>
      <w:footerReference r:id="rId12" w:type="first"/>
      <w:headerReference r:id="rId9" w:type="default"/>
      <w:footerReference r:id="rId10" w:type="default"/>
      <w:footerReference r:id="rId11" w:type="even"/>
      <w:pgSz w:w="11906" w:h="16838"/>
      <w:pgMar w:top="1440" w:right="1080" w:bottom="1440" w:left="1080" w:header="284" w:footer="680" w:gutter="0"/>
      <w:pgBorders>
        <w:top w:val="none" w:sz="0" w:space="0"/>
        <w:left w:val="none" w:sz="0" w:space="0"/>
        <w:bottom w:val="none" w:sz="0" w:space="0"/>
        <w:right w:val="none" w:sz="0" w:space="0"/>
      </w:pgBorders>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fldChar w:fldCharType="begin"/>
    </w:r>
    <w:r>
      <w:rPr>
        <w:rStyle w:val="33"/>
      </w:rPr>
      <w:instrText xml:space="preserve">PAGE  </w:instrText>
    </w:r>
    <w:r>
      <w:fldChar w:fldCharType="end"/>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D6A9E"/>
    <w:multiLevelType w:val="singleLevel"/>
    <w:tmpl w:val="A42D6A9E"/>
    <w:lvl w:ilvl="0" w:tentative="0">
      <w:start w:val="6"/>
      <w:numFmt w:val="chineseCounting"/>
      <w:suff w:val="nothing"/>
      <w:lvlText w:val="%1、"/>
      <w:lvlJc w:val="left"/>
      <w:rPr>
        <w:rFonts w:hint="eastAsia"/>
      </w:rPr>
    </w:lvl>
  </w:abstractNum>
  <w:abstractNum w:abstractNumId="1">
    <w:nsid w:val="AC6D408B"/>
    <w:multiLevelType w:val="singleLevel"/>
    <w:tmpl w:val="AC6D408B"/>
    <w:lvl w:ilvl="0" w:tentative="0">
      <w:start w:val="1"/>
      <w:numFmt w:val="decimal"/>
      <w:suff w:val="nothing"/>
      <w:lvlText w:val="（%1）"/>
      <w:lvlJc w:val="left"/>
    </w:lvl>
  </w:abstractNum>
  <w:abstractNum w:abstractNumId="2">
    <w:nsid w:val="AC9E827A"/>
    <w:multiLevelType w:val="singleLevel"/>
    <w:tmpl w:val="AC9E827A"/>
    <w:lvl w:ilvl="0" w:tentative="0">
      <w:start w:val="2"/>
      <w:numFmt w:val="decimal"/>
      <w:suff w:val="space"/>
      <w:lvlText w:val="%1."/>
      <w:lvlJc w:val="left"/>
    </w:lvl>
  </w:abstractNum>
  <w:abstractNum w:abstractNumId="3">
    <w:nsid w:val="DDF14996"/>
    <w:multiLevelType w:val="singleLevel"/>
    <w:tmpl w:val="DDF14996"/>
    <w:lvl w:ilvl="0" w:tentative="0">
      <w:start w:val="7"/>
      <w:numFmt w:val="decimal"/>
      <w:suff w:val="space"/>
      <w:lvlText w:val="%1."/>
      <w:lvlJc w:val="left"/>
    </w:lvl>
  </w:abstractNum>
  <w:abstractNum w:abstractNumId="4">
    <w:nsid w:val="E77ECE5F"/>
    <w:multiLevelType w:val="singleLevel"/>
    <w:tmpl w:val="E77ECE5F"/>
    <w:lvl w:ilvl="0" w:tentative="0">
      <w:start w:val="6"/>
      <w:numFmt w:val="decimal"/>
      <w:suff w:val="space"/>
      <w:lvlText w:val="%1."/>
      <w:lvlJc w:val="left"/>
    </w:lvl>
  </w:abstractNum>
  <w:abstractNum w:abstractNumId="5">
    <w:nsid w:val="F07D9466"/>
    <w:multiLevelType w:val="singleLevel"/>
    <w:tmpl w:val="F07D9466"/>
    <w:lvl w:ilvl="0" w:tentative="0">
      <w:start w:val="13"/>
      <w:numFmt w:val="decimal"/>
      <w:suff w:val="space"/>
      <w:lvlText w:val="%1."/>
      <w:lvlJc w:val="left"/>
    </w:lvl>
  </w:abstractNum>
  <w:abstractNum w:abstractNumId="6">
    <w:nsid w:val="00000003"/>
    <w:multiLevelType w:val="singleLevel"/>
    <w:tmpl w:val="00000003"/>
    <w:lvl w:ilvl="0" w:tentative="0">
      <w:start w:val="5"/>
      <w:numFmt w:val="decimal"/>
      <w:suff w:val="nothing"/>
      <w:lvlText w:val="%1、"/>
      <w:lvlJc w:val="left"/>
    </w:lvl>
  </w:abstractNum>
  <w:abstractNum w:abstractNumId="7">
    <w:nsid w:val="00000006"/>
    <w:multiLevelType w:val="multilevel"/>
    <w:tmpl w:val="00000006"/>
    <w:lvl w:ilvl="0" w:tentative="0">
      <w:start w:val="6"/>
      <w:numFmt w:val="decimal"/>
      <w:lvlText w:val="（%1）"/>
      <w:lvlJc w:val="left"/>
      <w:pPr>
        <w:tabs>
          <w:tab w:val="left" w:pos="1500"/>
        </w:tabs>
        <w:ind w:left="1500" w:hanging="1080"/>
      </w:pPr>
      <w:rPr>
        <w:rFonts w:hint="eastAsia"/>
      </w:rPr>
    </w:lvl>
    <w:lvl w:ilvl="1" w:tentative="0">
      <w:start w:val="1"/>
      <w:numFmt w:val="decimal"/>
      <w:pStyle w:val="19"/>
      <w:lvlText w:val="（%2）"/>
      <w:lvlJc w:val="left"/>
      <w:pPr>
        <w:tabs>
          <w:tab w:val="left" w:pos="1920"/>
        </w:tabs>
        <w:ind w:left="192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E"/>
    <w:multiLevelType w:val="multilevel"/>
    <w:tmpl w:val="0000000E"/>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4"/>
      <w:lvlText w:val="%2、"/>
      <w:lvlJc w:val="left"/>
      <w:pPr>
        <w:tabs>
          <w:tab w:val="left" w:pos="2740"/>
        </w:tabs>
        <w:ind w:left="2740"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E1E14D5"/>
    <w:multiLevelType w:val="singleLevel"/>
    <w:tmpl w:val="0E1E14D5"/>
    <w:lvl w:ilvl="0" w:tentative="0">
      <w:start w:val="27"/>
      <w:numFmt w:val="decimal"/>
      <w:suff w:val="space"/>
      <w:lvlText w:val="%1."/>
      <w:lvlJc w:val="left"/>
    </w:lvl>
  </w:abstractNum>
  <w:abstractNum w:abstractNumId="10">
    <w:nsid w:val="10CF3FFA"/>
    <w:multiLevelType w:val="singleLevel"/>
    <w:tmpl w:val="10CF3FFA"/>
    <w:lvl w:ilvl="0" w:tentative="0">
      <w:start w:val="9"/>
      <w:numFmt w:val="decimal"/>
      <w:suff w:val="space"/>
      <w:lvlText w:val="%1."/>
      <w:lvlJc w:val="left"/>
    </w:lvl>
  </w:abstractNum>
  <w:abstractNum w:abstractNumId="11">
    <w:nsid w:val="2546DBAA"/>
    <w:multiLevelType w:val="singleLevel"/>
    <w:tmpl w:val="2546DBAA"/>
    <w:lvl w:ilvl="0" w:tentative="0">
      <w:start w:val="2"/>
      <w:numFmt w:val="decimal"/>
      <w:suff w:val="nothing"/>
      <w:lvlText w:val="（%1）"/>
      <w:lvlJc w:val="left"/>
    </w:lvl>
  </w:abstractNum>
  <w:abstractNum w:abstractNumId="12">
    <w:nsid w:val="3510AF4A"/>
    <w:multiLevelType w:val="singleLevel"/>
    <w:tmpl w:val="3510AF4A"/>
    <w:lvl w:ilvl="0" w:tentative="0">
      <w:start w:val="35"/>
      <w:numFmt w:val="decimal"/>
      <w:suff w:val="space"/>
      <w:lvlText w:val="%1."/>
      <w:lvlJc w:val="left"/>
    </w:lvl>
  </w:abstractNum>
  <w:abstractNum w:abstractNumId="13">
    <w:nsid w:val="47C994B7"/>
    <w:multiLevelType w:val="singleLevel"/>
    <w:tmpl w:val="47C994B7"/>
    <w:lvl w:ilvl="0" w:tentative="0">
      <w:start w:val="1"/>
      <w:numFmt w:val="decimal"/>
      <w:suff w:val="nothing"/>
      <w:lvlText w:val="（%1）"/>
      <w:lvlJc w:val="left"/>
    </w:lvl>
  </w:abstractNum>
  <w:abstractNum w:abstractNumId="14">
    <w:nsid w:val="5F0EABA7"/>
    <w:multiLevelType w:val="singleLevel"/>
    <w:tmpl w:val="5F0EABA7"/>
    <w:lvl w:ilvl="0" w:tentative="0">
      <w:start w:val="26"/>
      <w:numFmt w:val="decimal"/>
      <w:suff w:val="space"/>
      <w:lvlText w:val="%1."/>
      <w:lvlJc w:val="left"/>
    </w:lvl>
  </w:abstractNum>
  <w:abstractNum w:abstractNumId="15">
    <w:nsid w:val="75D13340"/>
    <w:multiLevelType w:val="singleLevel"/>
    <w:tmpl w:val="75D13340"/>
    <w:lvl w:ilvl="0" w:tentative="0">
      <w:start w:val="11"/>
      <w:numFmt w:val="decimal"/>
      <w:suff w:val="space"/>
      <w:lvlText w:val="%1."/>
      <w:lvlJc w:val="left"/>
    </w:lvl>
  </w:abstractNum>
  <w:num w:numId="1">
    <w:abstractNumId w:val="8"/>
  </w:num>
  <w:num w:numId="2">
    <w:abstractNumId w:val="7"/>
  </w:num>
  <w:num w:numId="3">
    <w:abstractNumId w:val="0"/>
  </w:num>
  <w:num w:numId="4">
    <w:abstractNumId w:val="2"/>
  </w:num>
  <w:num w:numId="5">
    <w:abstractNumId w:val="4"/>
  </w:num>
  <w:num w:numId="6">
    <w:abstractNumId w:val="3"/>
  </w:num>
  <w:num w:numId="7">
    <w:abstractNumId w:val="10"/>
  </w:num>
  <w:num w:numId="8">
    <w:abstractNumId w:val="15"/>
  </w:num>
  <w:num w:numId="9">
    <w:abstractNumId w:val="5"/>
  </w:num>
  <w:num w:numId="10">
    <w:abstractNumId w:val="1"/>
  </w:num>
  <w:num w:numId="11">
    <w:abstractNumId w:val="14"/>
  </w:num>
  <w:num w:numId="12">
    <w:abstractNumId w:val="9"/>
  </w:num>
  <w:num w:numId="13">
    <w:abstractNumId w:val="12"/>
  </w:num>
  <w:num w:numId="14">
    <w:abstractNumId w:val="11"/>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04FC"/>
    <w:rsid w:val="00266095"/>
    <w:rsid w:val="00714994"/>
    <w:rsid w:val="00EF7F72"/>
    <w:rsid w:val="00F5631A"/>
    <w:rsid w:val="00FB4547"/>
    <w:rsid w:val="00FD57A1"/>
    <w:rsid w:val="013C2CBD"/>
    <w:rsid w:val="01545A05"/>
    <w:rsid w:val="017F169C"/>
    <w:rsid w:val="01E449DA"/>
    <w:rsid w:val="027F3D47"/>
    <w:rsid w:val="02A40414"/>
    <w:rsid w:val="0306706C"/>
    <w:rsid w:val="032633D2"/>
    <w:rsid w:val="03C230FA"/>
    <w:rsid w:val="041B680B"/>
    <w:rsid w:val="046441B2"/>
    <w:rsid w:val="04921E11"/>
    <w:rsid w:val="04C95B5B"/>
    <w:rsid w:val="04DF357B"/>
    <w:rsid w:val="04FB7C9D"/>
    <w:rsid w:val="05546757"/>
    <w:rsid w:val="058D7738"/>
    <w:rsid w:val="05F81055"/>
    <w:rsid w:val="06C66B43"/>
    <w:rsid w:val="06CB0518"/>
    <w:rsid w:val="06D23428"/>
    <w:rsid w:val="06FD0BBC"/>
    <w:rsid w:val="07021C39"/>
    <w:rsid w:val="0708176C"/>
    <w:rsid w:val="0721638A"/>
    <w:rsid w:val="07346017"/>
    <w:rsid w:val="07857678"/>
    <w:rsid w:val="07FB2DEA"/>
    <w:rsid w:val="08145EEF"/>
    <w:rsid w:val="081C3FC0"/>
    <w:rsid w:val="088D57EE"/>
    <w:rsid w:val="089661E2"/>
    <w:rsid w:val="08AD4CFB"/>
    <w:rsid w:val="08D13DE0"/>
    <w:rsid w:val="08E91129"/>
    <w:rsid w:val="08F666DA"/>
    <w:rsid w:val="08F906A5"/>
    <w:rsid w:val="09130C5B"/>
    <w:rsid w:val="09132B65"/>
    <w:rsid w:val="092F3133"/>
    <w:rsid w:val="094F6E02"/>
    <w:rsid w:val="09BC4A90"/>
    <w:rsid w:val="09C50192"/>
    <w:rsid w:val="09F713CA"/>
    <w:rsid w:val="0A0124A3"/>
    <w:rsid w:val="0A2D4F26"/>
    <w:rsid w:val="0A9E5F43"/>
    <w:rsid w:val="0ADA31AD"/>
    <w:rsid w:val="0ADB6785"/>
    <w:rsid w:val="0AE0030A"/>
    <w:rsid w:val="0B0432EA"/>
    <w:rsid w:val="0B17346B"/>
    <w:rsid w:val="0B1F52D6"/>
    <w:rsid w:val="0B3C7C36"/>
    <w:rsid w:val="0B3E26C2"/>
    <w:rsid w:val="0B431DA0"/>
    <w:rsid w:val="0BB75534"/>
    <w:rsid w:val="0C1C227E"/>
    <w:rsid w:val="0C48260B"/>
    <w:rsid w:val="0C4A4962"/>
    <w:rsid w:val="0C4B4D8B"/>
    <w:rsid w:val="0CAC740E"/>
    <w:rsid w:val="0CE3267D"/>
    <w:rsid w:val="0CF26CF7"/>
    <w:rsid w:val="0CF72F1E"/>
    <w:rsid w:val="0D054058"/>
    <w:rsid w:val="0D6B65B1"/>
    <w:rsid w:val="0D766DC6"/>
    <w:rsid w:val="0DB02216"/>
    <w:rsid w:val="0DB279B5"/>
    <w:rsid w:val="0DDD1225"/>
    <w:rsid w:val="0DE66214"/>
    <w:rsid w:val="0DF646B0"/>
    <w:rsid w:val="0E252E83"/>
    <w:rsid w:val="0E714D63"/>
    <w:rsid w:val="0E8969FD"/>
    <w:rsid w:val="0E922F09"/>
    <w:rsid w:val="0EB30B77"/>
    <w:rsid w:val="0EB35B41"/>
    <w:rsid w:val="0EE83C31"/>
    <w:rsid w:val="0F4470B9"/>
    <w:rsid w:val="0F495E5D"/>
    <w:rsid w:val="0FB46460"/>
    <w:rsid w:val="0FC71A98"/>
    <w:rsid w:val="0FD026AC"/>
    <w:rsid w:val="103A394B"/>
    <w:rsid w:val="10621892"/>
    <w:rsid w:val="10680A70"/>
    <w:rsid w:val="10E072B6"/>
    <w:rsid w:val="111C7CF4"/>
    <w:rsid w:val="11716D64"/>
    <w:rsid w:val="118A0FD0"/>
    <w:rsid w:val="118B5473"/>
    <w:rsid w:val="118D1823"/>
    <w:rsid w:val="11B524F0"/>
    <w:rsid w:val="11BD076E"/>
    <w:rsid w:val="11C24D61"/>
    <w:rsid w:val="11CE074C"/>
    <w:rsid w:val="120B1BBE"/>
    <w:rsid w:val="120C0DF4"/>
    <w:rsid w:val="12503FC7"/>
    <w:rsid w:val="126B1C32"/>
    <w:rsid w:val="1279389A"/>
    <w:rsid w:val="12CA3D79"/>
    <w:rsid w:val="12F3679A"/>
    <w:rsid w:val="132C0590"/>
    <w:rsid w:val="134746BB"/>
    <w:rsid w:val="13637054"/>
    <w:rsid w:val="136F66CF"/>
    <w:rsid w:val="13A520F1"/>
    <w:rsid w:val="13AF2F6F"/>
    <w:rsid w:val="13EA184F"/>
    <w:rsid w:val="14015397"/>
    <w:rsid w:val="141D74B1"/>
    <w:rsid w:val="14233646"/>
    <w:rsid w:val="14305E5E"/>
    <w:rsid w:val="14501A52"/>
    <w:rsid w:val="146F1580"/>
    <w:rsid w:val="147026FF"/>
    <w:rsid w:val="14970FA9"/>
    <w:rsid w:val="14F137FE"/>
    <w:rsid w:val="15283EB7"/>
    <w:rsid w:val="15451BE4"/>
    <w:rsid w:val="155C3B14"/>
    <w:rsid w:val="15602773"/>
    <w:rsid w:val="15910B7E"/>
    <w:rsid w:val="15A46B04"/>
    <w:rsid w:val="15A8318D"/>
    <w:rsid w:val="15CA22E2"/>
    <w:rsid w:val="15D548CC"/>
    <w:rsid w:val="15DB03F2"/>
    <w:rsid w:val="16565924"/>
    <w:rsid w:val="167A1613"/>
    <w:rsid w:val="16A823AB"/>
    <w:rsid w:val="16B41C25"/>
    <w:rsid w:val="16BD05A9"/>
    <w:rsid w:val="170610F8"/>
    <w:rsid w:val="17575DF8"/>
    <w:rsid w:val="17784E50"/>
    <w:rsid w:val="1780461B"/>
    <w:rsid w:val="17A72937"/>
    <w:rsid w:val="17B64543"/>
    <w:rsid w:val="17DC7171"/>
    <w:rsid w:val="1838489C"/>
    <w:rsid w:val="183A4A8E"/>
    <w:rsid w:val="183A69FF"/>
    <w:rsid w:val="18C662FD"/>
    <w:rsid w:val="192166BD"/>
    <w:rsid w:val="192A4AD4"/>
    <w:rsid w:val="193312AD"/>
    <w:rsid w:val="193971DA"/>
    <w:rsid w:val="19944435"/>
    <w:rsid w:val="19A90B8D"/>
    <w:rsid w:val="19BB08C0"/>
    <w:rsid w:val="1A9E0206"/>
    <w:rsid w:val="1AB04B09"/>
    <w:rsid w:val="1ABF1CEA"/>
    <w:rsid w:val="1AD239D9"/>
    <w:rsid w:val="1AFE5B78"/>
    <w:rsid w:val="1B241CD5"/>
    <w:rsid w:val="1B300E3A"/>
    <w:rsid w:val="1B4641B9"/>
    <w:rsid w:val="1B5026B1"/>
    <w:rsid w:val="1B891082"/>
    <w:rsid w:val="1B8D1DE8"/>
    <w:rsid w:val="1BC51582"/>
    <w:rsid w:val="1BFF759F"/>
    <w:rsid w:val="1C04244A"/>
    <w:rsid w:val="1C077731"/>
    <w:rsid w:val="1C375971"/>
    <w:rsid w:val="1C815ABE"/>
    <w:rsid w:val="1D291FE4"/>
    <w:rsid w:val="1D2971FB"/>
    <w:rsid w:val="1D6D20DE"/>
    <w:rsid w:val="1D930211"/>
    <w:rsid w:val="1DBE272D"/>
    <w:rsid w:val="1DDC7057"/>
    <w:rsid w:val="1DFC3255"/>
    <w:rsid w:val="1E171E3D"/>
    <w:rsid w:val="1E8E0DC4"/>
    <w:rsid w:val="1E9C0379"/>
    <w:rsid w:val="1EA73B9E"/>
    <w:rsid w:val="1F02190B"/>
    <w:rsid w:val="1F100A40"/>
    <w:rsid w:val="1F3F164B"/>
    <w:rsid w:val="1F584062"/>
    <w:rsid w:val="1FA53C39"/>
    <w:rsid w:val="1FA601CB"/>
    <w:rsid w:val="1FAD16F6"/>
    <w:rsid w:val="1FB86721"/>
    <w:rsid w:val="1FE7642F"/>
    <w:rsid w:val="1FF70178"/>
    <w:rsid w:val="1FFC753C"/>
    <w:rsid w:val="204151E9"/>
    <w:rsid w:val="20415FFD"/>
    <w:rsid w:val="209C5863"/>
    <w:rsid w:val="20AE7F2E"/>
    <w:rsid w:val="20C77B4A"/>
    <w:rsid w:val="20D3029D"/>
    <w:rsid w:val="20D93CBE"/>
    <w:rsid w:val="20E1111D"/>
    <w:rsid w:val="20F765D7"/>
    <w:rsid w:val="21350F58"/>
    <w:rsid w:val="21513D9B"/>
    <w:rsid w:val="2151717A"/>
    <w:rsid w:val="215C37BA"/>
    <w:rsid w:val="21674E89"/>
    <w:rsid w:val="21994E53"/>
    <w:rsid w:val="21C66054"/>
    <w:rsid w:val="21C85928"/>
    <w:rsid w:val="21DE339D"/>
    <w:rsid w:val="21EE450F"/>
    <w:rsid w:val="22242A10"/>
    <w:rsid w:val="222A7D26"/>
    <w:rsid w:val="222D1C2F"/>
    <w:rsid w:val="2271206B"/>
    <w:rsid w:val="22821F7B"/>
    <w:rsid w:val="228F5682"/>
    <w:rsid w:val="229106B7"/>
    <w:rsid w:val="22BA4FB3"/>
    <w:rsid w:val="22D93B65"/>
    <w:rsid w:val="22E76633"/>
    <w:rsid w:val="22F17100"/>
    <w:rsid w:val="23906919"/>
    <w:rsid w:val="2396112B"/>
    <w:rsid w:val="23F33055"/>
    <w:rsid w:val="240D1D18"/>
    <w:rsid w:val="24324439"/>
    <w:rsid w:val="24401F5B"/>
    <w:rsid w:val="24783F2E"/>
    <w:rsid w:val="24B46637"/>
    <w:rsid w:val="24FF3700"/>
    <w:rsid w:val="251252B2"/>
    <w:rsid w:val="25981AB5"/>
    <w:rsid w:val="261E111D"/>
    <w:rsid w:val="2677762E"/>
    <w:rsid w:val="2685203A"/>
    <w:rsid w:val="26AD28DA"/>
    <w:rsid w:val="26F00D14"/>
    <w:rsid w:val="26FA0E6E"/>
    <w:rsid w:val="26FC0BBD"/>
    <w:rsid w:val="27247AA4"/>
    <w:rsid w:val="2750030D"/>
    <w:rsid w:val="27BF726B"/>
    <w:rsid w:val="28095A5F"/>
    <w:rsid w:val="28362877"/>
    <w:rsid w:val="2849353B"/>
    <w:rsid w:val="2852127B"/>
    <w:rsid w:val="285C74E3"/>
    <w:rsid w:val="28942A08"/>
    <w:rsid w:val="28BD075F"/>
    <w:rsid w:val="28CB7F11"/>
    <w:rsid w:val="28E16EFE"/>
    <w:rsid w:val="28E3573D"/>
    <w:rsid w:val="28EC18AC"/>
    <w:rsid w:val="29015BC3"/>
    <w:rsid w:val="2949231D"/>
    <w:rsid w:val="297058A1"/>
    <w:rsid w:val="29B53D84"/>
    <w:rsid w:val="29CA3944"/>
    <w:rsid w:val="29F623F5"/>
    <w:rsid w:val="2A8820F8"/>
    <w:rsid w:val="2A8A7EAB"/>
    <w:rsid w:val="2AC00927"/>
    <w:rsid w:val="2ACD477C"/>
    <w:rsid w:val="2B1F0A6C"/>
    <w:rsid w:val="2B8C3045"/>
    <w:rsid w:val="2BBF5C96"/>
    <w:rsid w:val="2BC74B7B"/>
    <w:rsid w:val="2BD33847"/>
    <w:rsid w:val="2BF74811"/>
    <w:rsid w:val="2C4E3130"/>
    <w:rsid w:val="2C534988"/>
    <w:rsid w:val="2C595171"/>
    <w:rsid w:val="2CC9039A"/>
    <w:rsid w:val="2CE51D4D"/>
    <w:rsid w:val="2CEA2420"/>
    <w:rsid w:val="2D4F41C3"/>
    <w:rsid w:val="2D93157A"/>
    <w:rsid w:val="2DC93154"/>
    <w:rsid w:val="2DF57C01"/>
    <w:rsid w:val="2F087CAC"/>
    <w:rsid w:val="2F300FB0"/>
    <w:rsid w:val="2F5A16BB"/>
    <w:rsid w:val="2FB40E42"/>
    <w:rsid w:val="2FC170F4"/>
    <w:rsid w:val="2FE7555B"/>
    <w:rsid w:val="2FEB51AF"/>
    <w:rsid w:val="2FF36EF8"/>
    <w:rsid w:val="300A35B0"/>
    <w:rsid w:val="303D0EB6"/>
    <w:rsid w:val="306616BE"/>
    <w:rsid w:val="30F06C49"/>
    <w:rsid w:val="30FA7AC8"/>
    <w:rsid w:val="311D12A2"/>
    <w:rsid w:val="3140763A"/>
    <w:rsid w:val="314B3E80"/>
    <w:rsid w:val="31572824"/>
    <w:rsid w:val="317C0393"/>
    <w:rsid w:val="32004C6A"/>
    <w:rsid w:val="321150C9"/>
    <w:rsid w:val="321E77E6"/>
    <w:rsid w:val="32411B40"/>
    <w:rsid w:val="329F219D"/>
    <w:rsid w:val="32B97334"/>
    <w:rsid w:val="32D0606E"/>
    <w:rsid w:val="32D17F26"/>
    <w:rsid w:val="32EC48A6"/>
    <w:rsid w:val="33185FE3"/>
    <w:rsid w:val="33274478"/>
    <w:rsid w:val="33482480"/>
    <w:rsid w:val="336F21B5"/>
    <w:rsid w:val="339C0CF2"/>
    <w:rsid w:val="33E85E3D"/>
    <w:rsid w:val="33F9568F"/>
    <w:rsid w:val="344E43B3"/>
    <w:rsid w:val="347831DE"/>
    <w:rsid w:val="34784F8C"/>
    <w:rsid w:val="349F69BC"/>
    <w:rsid w:val="34C12418"/>
    <w:rsid w:val="34E43E85"/>
    <w:rsid w:val="35284C04"/>
    <w:rsid w:val="357804F0"/>
    <w:rsid w:val="359D0A22"/>
    <w:rsid w:val="36067761"/>
    <w:rsid w:val="36195DA8"/>
    <w:rsid w:val="36A302BA"/>
    <w:rsid w:val="36BE445D"/>
    <w:rsid w:val="36E4513F"/>
    <w:rsid w:val="36F06545"/>
    <w:rsid w:val="3710594F"/>
    <w:rsid w:val="371371EE"/>
    <w:rsid w:val="37517A31"/>
    <w:rsid w:val="37796952"/>
    <w:rsid w:val="37835B10"/>
    <w:rsid w:val="37D72911"/>
    <w:rsid w:val="38172D0E"/>
    <w:rsid w:val="3825367C"/>
    <w:rsid w:val="387463B2"/>
    <w:rsid w:val="38806B05"/>
    <w:rsid w:val="38832151"/>
    <w:rsid w:val="38CD199B"/>
    <w:rsid w:val="38EA0CC3"/>
    <w:rsid w:val="392650DC"/>
    <w:rsid w:val="397F157E"/>
    <w:rsid w:val="399B29A2"/>
    <w:rsid w:val="39B527DE"/>
    <w:rsid w:val="39D11A2C"/>
    <w:rsid w:val="3A2A31CC"/>
    <w:rsid w:val="3A2C00DF"/>
    <w:rsid w:val="3A5E0D80"/>
    <w:rsid w:val="3AB74334"/>
    <w:rsid w:val="3AC058DE"/>
    <w:rsid w:val="3AC627E4"/>
    <w:rsid w:val="3ACD7FBA"/>
    <w:rsid w:val="3AD82C28"/>
    <w:rsid w:val="3AD969A0"/>
    <w:rsid w:val="3AE62396"/>
    <w:rsid w:val="3B856CB6"/>
    <w:rsid w:val="3BB41E32"/>
    <w:rsid w:val="3BD620EB"/>
    <w:rsid w:val="3C4D4481"/>
    <w:rsid w:val="3CAB0F3C"/>
    <w:rsid w:val="3CAD55B8"/>
    <w:rsid w:val="3CC932A4"/>
    <w:rsid w:val="3D452C28"/>
    <w:rsid w:val="3D503914"/>
    <w:rsid w:val="3D580A48"/>
    <w:rsid w:val="3DB74671"/>
    <w:rsid w:val="3DF75C8A"/>
    <w:rsid w:val="3E2D328B"/>
    <w:rsid w:val="3E357E77"/>
    <w:rsid w:val="3E3C4101"/>
    <w:rsid w:val="3E4305DD"/>
    <w:rsid w:val="3E5E3444"/>
    <w:rsid w:val="3E746056"/>
    <w:rsid w:val="3E7A2262"/>
    <w:rsid w:val="3EB70DA6"/>
    <w:rsid w:val="3EB72B54"/>
    <w:rsid w:val="3ECE30B7"/>
    <w:rsid w:val="3F423CF3"/>
    <w:rsid w:val="3F577CFB"/>
    <w:rsid w:val="3F654183"/>
    <w:rsid w:val="3F7922D7"/>
    <w:rsid w:val="3F7E4ACE"/>
    <w:rsid w:val="3FC25D26"/>
    <w:rsid w:val="3FE4523F"/>
    <w:rsid w:val="3FFA0F4B"/>
    <w:rsid w:val="4092104D"/>
    <w:rsid w:val="40B502FF"/>
    <w:rsid w:val="40C46EF7"/>
    <w:rsid w:val="410B34CD"/>
    <w:rsid w:val="416D2C43"/>
    <w:rsid w:val="417E6496"/>
    <w:rsid w:val="4186433F"/>
    <w:rsid w:val="41A27AEC"/>
    <w:rsid w:val="421772B4"/>
    <w:rsid w:val="42480355"/>
    <w:rsid w:val="426C1EA8"/>
    <w:rsid w:val="4278084D"/>
    <w:rsid w:val="427C20F5"/>
    <w:rsid w:val="429A7A35"/>
    <w:rsid w:val="42B62C93"/>
    <w:rsid w:val="42F94CC8"/>
    <w:rsid w:val="43471309"/>
    <w:rsid w:val="437D5B6C"/>
    <w:rsid w:val="439B456B"/>
    <w:rsid w:val="44297709"/>
    <w:rsid w:val="443A04B0"/>
    <w:rsid w:val="443A2B62"/>
    <w:rsid w:val="44586B88"/>
    <w:rsid w:val="4484172B"/>
    <w:rsid w:val="448E3E6A"/>
    <w:rsid w:val="44E328F5"/>
    <w:rsid w:val="44F248E6"/>
    <w:rsid w:val="450F3DDF"/>
    <w:rsid w:val="45243EE6"/>
    <w:rsid w:val="453F23E9"/>
    <w:rsid w:val="45497132"/>
    <w:rsid w:val="456F1F6A"/>
    <w:rsid w:val="45752D4D"/>
    <w:rsid w:val="45770A64"/>
    <w:rsid w:val="458B2362"/>
    <w:rsid w:val="45A46C77"/>
    <w:rsid w:val="45AC718B"/>
    <w:rsid w:val="45B82622"/>
    <w:rsid w:val="45C83899"/>
    <w:rsid w:val="45FB6165"/>
    <w:rsid w:val="46182AB3"/>
    <w:rsid w:val="4642364B"/>
    <w:rsid w:val="466F3B42"/>
    <w:rsid w:val="467D4684"/>
    <w:rsid w:val="46E67835"/>
    <w:rsid w:val="477E4AC9"/>
    <w:rsid w:val="47A125F4"/>
    <w:rsid w:val="47BA1D07"/>
    <w:rsid w:val="47ED62E0"/>
    <w:rsid w:val="4860425D"/>
    <w:rsid w:val="48A3655A"/>
    <w:rsid w:val="48AD6E21"/>
    <w:rsid w:val="48DE3CD2"/>
    <w:rsid w:val="48E11A61"/>
    <w:rsid w:val="48EE3617"/>
    <w:rsid w:val="48F069B3"/>
    <w:rsid w:val="49014067"/>
    <w:rsid w:val="49057811"/>
    <w:rsid w:val="4907372F"/>
    <w:rsid w:val="49210A45"/>
    <w:rsid w:val="49431F7D"/>
    <w:rsid w:val="496A5ECB"/>
    <w:rsid w:val="499917D4"/>
    <w:rsid w:val="499A50C2"/>
    <w:rsid w:val="49B303BC"/>
    <w:rsid w:val="49EC54BB"/>
    <w:rsid w:val="49F857C9"/>
    <w:rsid w:val="4A096910"/>
    <w:rsid w:val="4B3B005B"/>
    <w:rsid w:val="4B3C5FD8"/>
    <w:rsid w:val="4B871B00"/>
    <w:rsid w:val="4BD41A75"/>
    <w:rsid w:val="4BF21670"/>
    <w:rsid w:val="4C0630A6"/>
    <w:rsid w:val="4C8F6EBF"/>
    <w:rsid w:val="4C9427CE"/>
    <w:rsid w:val="4CBA6CC4"/>
    <w:rsid w:val="4CBB507D"/>
    <w:rsid w:val="4CC765CD"/>
    <w:rsid w:val="4D023B34"/>
    <w:rsid w:val="4D08475C"/>
    <w:rsid w:val="4D2A669C"/>
    <w:rsid w:val="4D6B2874"/>
    <w:rsid w:val="4DA85998"/>
    <w:rsid w:val="4E2B0E69"/>
    <w:rsid w:val="4F9D2FF2"/>
    <w:rsid w:val="4FCE4377"/>
    <w:rsid w:val="4FEC22E6"/>
    <w:rsid w:val="4FF05EC6"/>
    <w:rsid w:val="501264FC"/>
    <w:rsid w:val="50923421"/>
    <w:rsid w:val="510A37B4"/>
    <w:rsid w:val="51100A1F"/>
    <w:rsid w:val="511B6F73"/>
    <w:rsid w:val="511C2DB0"/>
    <w:rsid w:val="511D718F"/>
    <w:rsid w:val="5144296E"/>
    <w:rsid w:val="5153495F"/>
    <w:rsid w:val="516A1CA8"/>
    <w:rsid w:val="519D2D48"/>
    <w:rsid w:val="51A728EA"/>
    <w:rsid w:val="51B86EB8"/>
    <w:rsid w:val="51E952C3"/>
    <w:rsid w:val="52055541"/>
    <w:rsid w:val="524453CE"/>
    <w:rsid w:val="52495D62"/>
    <w:rsid w:val="52B50C9E"/>
    <w:rsid w:val="52CE40CD"/>
    <w:rsid w:val="52DF7092"/>
    <w:rsid w:val="52FC3F9A"/>
    <w:rsid w:val="53206D81"/>
    <w:rsid w:val="53450996"/>
    <w:rsid w:val="53517C5D"/>
    <w:rsid w:val="53591FD4"/>
    <w:rsid w:val="53731188"/>
    <w:rsid w:val="53741B93"/>
    <w:rsid w:val="537C5C93"/>
    <w:rsid w:val="53943E1F"/>
    <w:rsid w:val="53957C99"/>
    <w:rsid w:val="53AE7F63"/>
    <w:rsid w:val="54050405"/>
    <w:rsid w:val="54BF230B"/>
    <w:rsid w:val="54DC4C6B"/>
    <w:rsid w:val="54FB77E7"/>
    <w:rsid w:val="552A7D56"/>
    <w:rsid w:val="55A43730"/>
    <w:rsid w:val="55D342C0"/>
    <w:rsid w:val="55E5223F"/>
    <w:rsid w:val="55F04E72"/>
    <w:rsid w:val="561623FF"/>
    <w:rsid w:val="5637484F"/>
    <w:rsid w:val="565D5647"/>
    <w:rsid w:val="56CD0C83"/>
    <w:rsid w:val="56F74773"/>
    <w:rsid w:val="57340F4B"/>
    <w:rsid w:val="57585C2D"/>
    <w:rsid w:val="57763155"/>
    <w:rsid w:val="57827D4C"/>
    <w:rsid w:val="57870679"/>
    <w:rsid w:val="578C2978"/>
    <w:rsid w:val="57B77B98"/>
    <w:rsid w:val="57DE61E7"/>
    <w:rsid w:val="57F4371A"/>
    <w:rsid w:val="58225E42"/>
    <w:rsid w:val="58B70469"/>
    <w:rsid w:val="58C457C3"/>
    <w:rsid w:val="58D05074"/>
    <w:rsid w:val="58EF46E7"/>
    <w:rsid w:val="58F846B0"/>
    <w:rsid w:val="591B6157"/>
    <w:rsid w:val="594943CC"/>
    <w:rsid w:val="596E19C4"/>
    <w:rsid w:val="59A876B2"/>
    <w:rsid w:val="59D232DF"/>
    <w:rsid w:val="5A08684B"/>
    <w:rsid w:val="5A092EC8"/>
    <w:rsid w:val="5A0D7479"/>
    <w:rsid w:val="5A117165"/>
    <w:rsid w:val="5A986BC2"/>
    <w:rsid w:val="5A9C55A3"/>
    <w:rsid w:val="5AA91A93"/>
    <w:rsid w:val="5AD102F4"/>
    <w:rsid w:val="5AF22ED4"/>
    <w:rsid w:val="5AFD30B5"/>
    <w:rsid w:val="5B0A3CC5"/>
    <w:rsid w:val="5B1A5B33"/>
    <w:rsid w:val="5B2D4472"/>
    <w:rsid w:val="5B3F5F54"/>
    <w:rsid w:val="5B450011"/>
    <w:rsid w:val="5B7756EE"/>
    <w:rsid w:val="5B9C300A"/>
    <w:rsid w:val="5BA4202E"/>
    <w:rsid w:val="5BB84863"/>
    <w:rsid w:val="5BD40D92"/>
    <w:rsid w:val="5BDD7C46"/>
    <w:rsid w:val="5BE03293"/>
    <w:rsid w:val="5BE96EEF"/>
    <w:rsid w:val="5C136B67"/>
    <w:rsid w:val="5C173CB8"/>
    <w:rsid w:val="5C1F61D9"/>
    <w:rsid w:val="5C20510A"/>
    <w:rsid w:val="5C460E09"/>
    <w:rsid w:val="5CD83DA7"/>
    <w:rsid w:val="5CE802BB"/>
    <w:rsid w:val="5D2147EA"/>
    <w:rsid w:val="5D3E4715"/>
    <w:rsid w:val="5D4236E3"/>
    <w:rsid w:val="5D426BB2"/>
    <w:rsid w:val="5D4B3F6A"/>
    <w:rsid w:val="5D6E5930"/>
    <w:rsid w:val="5D881E34"/>
    <w:rsid w:val="5E160396"/>
    <w:rsid w:val="5E20521A"/>
    <w:rsid w:val="5E2A4C99"/>
    <w:rsid w:val="5E4B1C4B"/>
    <w:rsid w:val="5E5F36D4"/>
    <w:rsid w:val="5E601E71"/>
    <w:rsid w:val="5E81167D"/>
    <w:rsid w:val="5E8C2D28"/>
    <w:rsid w:val="5EA17FED"/>
    <w:rsid w:val="5EFB03E4"/>
    <w:rsid w:val="5F3C0979"/>
    <w:rsid w:val="5F5F595A"/>
    <w:rsid w:val="5F8403D9"/>
    <w:rsid w:val="5FD2383A"/>
    <w:rsid w:val="5FE10B9A"/>
    <w:rsid w:val="5FE62E42"/>
    <w:rsid w:val="5FF61CBA"/>
    <w:rsid w:val="60D249E0"/>
    <w:rsid w:val="610C68D8"/>
    <w:rsid w:val="610D6CCD"/>
    <w:rsid w:val="611759A9"/>
    <w:rsid w:val="613227E3"/>
    <w:rsid w:val="61454DE8"/>
    <w:rsid w:val="61565DA5"/>
    <w:rsid w:val="616D08A6"/>
    <w:rsid w:val="618A3826"/>
    <w:rsid w:val="61A609D3"/>
    <w:rsid w:val="62013F63"/>
    <w:rsid w:val="6220088D"/>
    <w:rsid w:val="622A34BA"/>
    <w:rsid w:val="624F2F20"/>
    <w:rsid w:val="62546789"/>
    <w:rsid w:val="62CF1222"/>
    <w:rsid w:val="62CF7BBD"/>
    <w:rsid w:val="631F6D97"/>
    <w:rsid w:val="632324F3"/>
    <w:rsid w:val="63540793"/>
    <w:rsid w:val="63732C3E"/>
    <w:rsid w:val="637A221F"/>
    <w:rsid w:val="638766EA"/>
    <w:rsid w:val="638C5331"/>
    <w:rsid w:val="638C5FE8"/>
    <w:rsid w:val="638E7A78"/>
    <w:rsid w:val="63F62B3F"/>
    <w:rsid w:val="64061D04"/>
    <w:rsid w:val="642D0BA5"/>
    <w:rsid w:val="643A29B7"/>
    <w:rsid w:val="64413F63"/>
    <w:rsid w:val="644670BD"/>
    <w:rsid w:val="6479445C"/>
    <w:rsid w:val="6492702A"/>
    <w:rsid w:val="64C73242"/>
    <w:rsid w:val="64C82E90"/>
    <w:rsid w:val="64F14763"/>
    <w:rsid w:val="654A5C21"/>
    <w:rsid w:val="654B0103"/>
    <w:rsid w:val="65705A8A"/>
    <w:rsid w:val="66035F33"/>
    <w:rsid w:val="663A7961"/>
    <w:rsid w:val="663E7534"/>
    <w:rsid w:val="666F3B91"/>
    <w:rsid w:val="66806DB2"/>
    <w:rsid w:val="66913B76"/>
    <w:rsid w:val="669D6875"/>
    <w:rsid w:val="66AD1816"/>
    <w:rsid w:val="66D00664"/>
    <w:rsid w:val="67397CFB"/>
    <w:rsid w:val="676B67D9"/>
    <w:rsid w:val="676E0EB5"/>
    <w:rsid w:val="676E3E49"/>
    <w:rsid w:val="67967A16"/>
    <w:rsid w:val="67A4786A"/>
    <w:rsid w:val="67E82B27"/>
    <w:rsid w:val="680415E3"/>
    <w:rsid w:val="68075CD0"/>
    <w:rsid w:val="68183DB4"/>
    <w:rsid w:val="684352D5"/>
    <w:rsid w:val="68547C0D"/>
    <w:rsid w:val="6857474E"/>
    <w:rsid w:val="68622FEB"/>
    <w:rsid w:val="686446CE"/>
    <w:rsid w:val="687328F1"/>
    <w:rsid w:val="68B56499"/>
    <w:rsid w:val="68DC2B8F"/>
    <w:rsid w:val="68EC7BC2"/>
    <w:rsid w:val="68F43C20"/>
    <w:rsid w:val="69004887"/>
    <w:rsid w:val="69083E29"/>
    <w:rsid w:val="69475092"/>
    <w:rsid w:val="69632605"/>
    <w:rsid w:val="697621BF"/>
    <w:rsid w:val="69A80950"/>
    <w:rsid w:val="69AE2C22"/>
    <w:rsid w:val="6A753740"/>
    <w:rsid w:val="6A761051"/>
    <w:rsid w:val="6A805D25"/>
    <w:rsid w:val="6A9F3997"/>
    <w:rsid w:val="6AA302AD"/>
    <w:rsid w:val="6AE65E85"/>
    <w:rsid w:val="6B0A20DA"/>
    <w:rsid w:val="6BD91AAD"/>
    <w:rsid w:val="6BFD2E89"/>
    <w:rsid w:val="6C396551"/>
    <w:rsid w:val="6C3D64DF"/>
    <w:rsid w:val="6C6B5784"/>
    <w:rsid w:val="6CBE46EF"/>
    <w:rsid w:val="6CC22541"/>
    <w:rsid w:val="6CCD1611"/>
    <w:rsid w:val="6CE2101C"/>
    <w:rsid w:val="6CE768EC"/>
    <w:rsid w:val="6D3A2BDC"/>
    <w:rsid w:val="6D4A450F"/>
    <w:rsid w:val="6D854596"/>
    <w:rsid w:val="6D9F62D0"/>
    <w:rsid w:val="6DF628DC"/>
    <w:rsid w:val="6E02485F"/>
    <w:rsid w:val="6E197D4D"/>
    <w:rsid w:val="6E436F43"/>
    <w:rsid w:val="6E623FDB"/>
    <w:rsid w:val="6E82467D"/>
    <w:rsid w:val="6EB01616"/>
    <w:rsid w:val="6EB5235D"/>
    <w:rsid w:val="6EBE48E7"/>
    <w:rsid w:val="6ECE3975"/>
    <w:rsid w:val="6EFB4AD9"/>
    <w:rsid w:val="6F3D169F"/>
    <w:rsid w:val="6F5C0A2B"/>
    <w:rsid w:val="6F922A75"/>
    <w:rsid w:val="6F9F55CE"/>
    <w:rsid w:val="6FE86762"/>
    <w:rsid w:val="6FFF0510"/>
    <w:rsid w:val="702F27AA"/>
    <w:rsid w:val="703B200E"/>
    <w:rsid w:val="70912F14"/>
    <w:rsid w:val="711303FE"/>
    <w:rsid w:val="714300F4"/>
    <w:rsid w:val="71644D6C"/>
    <w:rsid w:val="717C53B4"/>
    <w:rsid w:val="71AA78B3"/>
    <w:rsid w:val="71EF67EF"/>
    <w:rsid w:val="720C6738"/>
    <w:rsid w:val="720F431A"/>
    <w:rsid w:val="721F1113"/>
    <w:rsid w:val="72415A14"/>
    <w:rsid w:val="72503E82"/>
    <w:rsid w:val="72620508"/>
    <w:rsid w:val="72A1574A"/>
    <w:rsid w:val="73395984"/>
    <w:rsid w:val="73656C5B"/>
    <w:rsid w:val="73AA445A"/>
    <w:rsid w:val="73C848E1"/>
    <w:rsid w:val="74192DFC"/>
    <w:rsid w:val="74307A19"/>
    <w:rsid w:val="743326A2"/>
    <w:rsid w:val="743F04AF"/>
    <w:rsid w:val="744D1529"/>
    <w:rsid w:val="74854EE2"/>
    <w:rsid w:val="749D615C"/>
    <w:rsid w:val="74BB7BBE"/>
    <w:rsid w:val="74FC6F38"/>
    <w:rsid w:val="74FD6DFA"/>
    <w:rsid w:val="7509415A"/>
    <w:rsid w:val="750A10CA"/>
    <w:rsid w:val="75114065"/>
    <w:rsid w:val="752C70F1"/>
    <w:rsid w:val="75716660"/>
    <w:rsid w:val="75743988"/>
    <w:rsid w:val="758A6FCE"/>
    <w:rsid w:val="75CA5680"/>
    <w:rsid w:val="75D532E5"/>
    <w:rsid w:val="75E26D18"/>
    <w:rsid w:val="75F83389"/>
    <w:rsid w:val="75FA1687"/>
    <w:rsid w:val="75FF0362"/>
    <w:rsid w:val="762878B8"/>
    <w:rsid w:val="76642C05"/>
    <w:rsid w:val="76911902"/>
    <w:rsid w:val="76CC0B8C"/>
    <w:rsid w:val="76E23EA6"/>
    <w:rsid w:val="7709364C"/>
    <w:rsid w:val="771F7EEC"/>
    <w:rsid w:val="775C1D35"/>
    <w:rsid w:val="77685934"/>
    <w:rsid w:val="77870DF7"/>
    <w:rsid w:val="77D07A74"/>
    <w:rsid w:val="77E2496F"/>
    <w:rsid w:val="77FC724F"/>
    <w:rsid w:val="78385680"/>
    <w:rsid w:val="78A771BA"/>
    <w:rsid w:val="78B13B3D"/>
    <w:rsid w:val="78F67CAA"/>
    <w:rsid w:val="79084528"/>
    <w:rsid w:val="792702FB"/>
    <w:rsid w:val="79827787"/>
    <w:rsid w:val="79B55907"/>
    <w:rsid w:val="7A2303E8"/>
    <w:rsid w:val="7A4E3666"/>
    <w:rsid w:val="7A8D180D"/>
    <w:rsid w:val="7ABB2DC9"/>
    <w:rsid w:val="7AD666C6"/>
    <w:rsid w:val="7B0B1FB3"/>
    <w:rsid w:val="7B0E3521"/>
    <w:rsid w:val="7B320F9C"/>
    <w:rsid w:val="7B6C46EB"/>
    <w:rsid w:val="7B98103C"/>
    <w:rsid w:val="7BE248AE"/>
    <w:rsid w:val="7BF72207"/>
    <w:rsid w:val="7C0916EE"/>
    <w:rsid w:val="7C7C270C"/>
    <w:rsid w:val="7C8B6DF3"/>
    <w:rsid w:val="7CAB2FF1"/>
    <w:rsid w:val="7CB4634A"/>
    <w:rsid w:val="7CF274B2"/>
    <w:rsid w:val="7D0F532E"/>
    <w:rsid w:val="7D2222C1"/>
    <w:rsid w:val="7D2C4132"/>
    <w:rsid w:val="7D5A6784"/>
    <w:rsid w:val="7D926AC5"/>
    <w:rsid w:val="7E386B07"/>
    <w:rsid w:val="7E4436FD"/>
    <w:rsid w:val="7E567F8D"/>
    <w:rsid w:val="7EB72C7C"/>
    <w:rsid w:val="7EC02D84"/>
    <w:rsid w:val="7EC80A00"/>
    <w:rsid w:val="7ECB1C8A"/>
    <w:rsid w:val="7F3D4DB6"/>
    <w:rsid w:val="7F532551"/>
    <w:rsid w:val="7F6317BF"/>
    <w:rsid w:val="7F635236"/>
    <w:rsid w:val="7F74591C"/>
    <w:rsid w:val="7F98785D"/>
    <w:rsid w:val="7F9D1317"/>
    <w:rsid w:val="7FA44C3C"/>
    <w:rsid w:val="7FD34D39"/>
    <w:rsid w:val="7FDB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85"/>
    <w:qFormat/>
    <w:uiPriority w:val="9"/>
    <w:pPr>
      <w:keepNext/>
      <w:keepLines/>
      <w:widowControl w:val="0"/>
      <w:spacing w:before="340" w:after="330" w:line="578" w:lineRule="auto"/>
      <w:textAlignment w:val="auto"/>
      <w:outlineLvl w:val="0"/>
    </w:pPr>
    <w:rPr>
      <w:b/>
      <w:bCs/>
      <w:color w:val="auto"/>
      <w:kern w:val="44"/>
      <w:sz w:val="44"/>
      <w:szCs w:val="44"/>
    </w:rPr>
  </w:style>
  <w:style w:type="paragraph" w:styleId="4">
    <w:name w:val="heading 2"/>
    <w:basedOn w:val="1"/>
    <w:next w:val="1"/>
    <w:qFormat/>
    <w:uiPriority w:val="0"/>
    <w:pPr>
      <w:keepNext/>
      <w:keepLines/>
      <w:widowControl w:val="0"/>
      <w:numPr>
        <w:ilvl w:val="1"/>
        <w:numId w:val="1"/>
      </w:numPr>
      <w:adjustRightInd w:val="0"/>
      <w:spacing w:line="360" w:lineRule="atLeast"/>
      <w:outlineLvl w:val="1"/>
    </w:pPr>
    <w:rPr>
      <w:color w:val="auto"/>
      <w:sz w:val="24"/>
    </w:rPr>
  </w:style>
  <w:style w:type="paragraph" w:styleId="5">
    <w:name w:val="heading 3"/>
    <w:basedOn w:val="1"/>
    <w:next w:val="1"/>
    <w:qFormat/>
    <w:uiPriority w:val="0"/>
    <w:pPr>
      <w:keepNext/>
      <w:keepLines/>
      <w:spacing w:before="260" w:after="260" w:line="416" w:lineRule="atLeast"/>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Calibri Light" w:hAnsi="Calibri Light"/>
      <w:b/>
      <w:bCs/>
      <w:sz w:val="28"/>
      <w:szCs w:val="28"/>
    </w:rPr>
  </w:style>
  <w:style w:type="paragraph" w:styleId="7">
    <w:name w:val="heading 6"/>
    <w:basedOn w:val="1"/>
    <w:next w:val="1"/>
    <w:link w:val="57"/>
    <w:qFormat/>
    <w:uiPriority w:val="9"/>
    <w:pPr>
      <w:keepNext/>
      <w:keepLines/>
      <w:spacing w:before="240" w:after="64" w:line="320" w:lineRule="atLeast"/>
      <w:outlineLvl w:val="5"/>
    </w:pPr>
    <w:rPr>
      <w:rFonts w:ascii="Cambria" w:hAnsi="Cambria"/>
      <w:b/>
      <w:bCs/>
      <w:sz w:val="24"/>
      <w:szCs w:val="24"/>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styleId="2">
    <w:name w:val="List"/>
    <w:basedOn w:val="1"/>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8">
    <w:name w:val="Normal Indent"/>
    <w:basedOn w:val="1"/>
    <w:qFormat/>
    <w:uiPriority w:val="0"/>
    <w:pPr>
      <w:widowControl w:val="0"/>
      <w:adjustRightInd w:val="0"/>
      <w:spacing w:line="360" w:lineRule="atLeast"/>
      <w:ind w:firstLine="482"/>
    </w:pPr>
    <w:rPr>
      <w:color w:val="auto"/>
      <w:sz w:val="24"/>
    </w:rPr>
  </w:style>
  <w:style w:type="paragraph" w:styleId="9">
    <w:name w:val="Document Map"/>
    <w:basedOn w:val="1"/>
    <w:qFormat/>
    <w:uiPriority w:val="0"/>
    <w:pPr>
      <w:shd w:val="clear" w:color="auto" w:fill="000080"/>
    </w:p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43"/>
    <w:qFormat/>
    <w:uiPriority w:val="0"/>
    <w:pPr>
      <w:jc w:val="left"/>
    </w:pPr>
  </w:style>
  <w:style w:type="paragraph" w:styleId="12">
    <w:name w:val="Body Text 3"/>
    <w:basedOn w:val="1"/>
    <w:link w:val="49"/>
    <w:qFormat/>
    <w:uiPriority w:val="99"/>
    <w:pPr>
      <w:spacing w:after="120"/>
    </w:pPr>
    <w:rPr>
      <w:sz w:val="16"/>
      <w:szCs w:val="16"/>
    </w:rPr>
  </w:style>
  <w:style w:type="paragraph" w:styleId="13">
    <w:name w:val="Body Text"/>
    <w:basedOn w:val="1"/>
    <w:next w:val="14"/>
    <w:qFormat/>
    <w:uiPriority w:val="0"/>
    <w:pPr>
      <w:widowControl w:val="0"/>
      <w:snapToGrid w:val="0"/>
      <w:spacing w:line="360" w:lineRule="auto"/>
    </w:pPr>
    <w:rPr>
      <w:rFonts w:ascii="Arial" w:hAnsi="Arial" w:eastAsia="仿宋_GB2312"/>
      <w:sz w:val="31"/>
    </w:rPr>
  </w:style>
  <w:style w:type="paragraph" w:styleId="14">
    <w:name w:val="Body Text 2"/>
    <w:basedOn w:val="1"/>
    <w:qFormat/>
    <w:uiPriority w:val="0"/>
    <w:rPr>
      <w:rFonts w:ascii="楷体_GB2312" w:hAnsi="Copperplate Gothic Bold" w:eastAsia="楷体_GB2312"/>
      <w:sz w:val="28"/>
    </w:rPr>
  </w:style>
  <w:style w:type="paragraph" w:styleId="15">
    <w:name w:val="Body Text Indent"/>
    <w:basedOn w:val="1"/>
    <w:qFormat/>
    <w:uiPriority w:val="99"/>
    <w:pPr>
      <w:widowControl w:val="0"/>
      <w:spacing w:after="120" w:line="240" w:lineRule="auto"/>
      <w:ind w:left="420" w:leftChars="200"/>
      <w:textAlignment w:val="auto"/>
    </w:pPr>
    <w:rPr>
      <w:color w:val="auto"/>
      <w:kern w:val="2"/>
      <w:szCs w:val="24"/>
    </w:rPr>
  </w:style>
  <w:style w:type="paragraph" w:styleId="16">
    <w:name w:val="toc 3"/>
    <w:basedOn w:val="1"/>
    <w:next w:val="1"/>
    <w:qFormat/>
    <w:uiPriority w:val="39"/>
    <w:pPr>
      <w:ind w:left="840" w:leftChars="400"/>
    </w:pPr>
  </w:style>
  <w:style w:type="paragraph" w:styleId="17">
    <w:name w:val="Plain Text"/>
    <w:basedOn w:val="1"/>
    <w:link w:val="50"/>
    <w:qFormat/>
    <w:uiPriority w:val="0"/>
    <w:pPr>
      <w:widowControl w:val="0"/>
      <w:spacing w:line="240" w:lineRule="auto"/>
      <w:textAlignment w:val="auto"/>
    </w:pPr>
    <w:rPr>
      <w:rFonts w:ascii="宋体" w:hAnsi="Courier New"/>
      <w:color w:val="auto"/>
      <w:kern w:val="2"/>
    </w:rPr>
  </w:style>
  <w:style w:type="paragraph" w:styleId="18">
    <w:name w:val="Date"/>
    <w:basedOn w:val="1"/>
    <w:next w:val="1"/>
    <w:link w:val="40"/>
    <w:qFormat/>
    <w:uiPriority w:val="0"/>
    <w:pPr>
      <w:widowControl w:val="0"/>
      <w:spacing w:line="240" w:lineRule="auto"/>
      <w:textAlignment w:val="auto"/>
    </w:pPr>
    <w:rPr>
      <w:rFonts w:ascii="Arial" w:hAnsi="Arial" w:eastAsia="仿宋_GB2312"/>
      <w:color w:val="auto"/>
      <w:kern w:val="2"/>
      <w:sz w:val="32"/>
    </w:rPr>
  </w:style>
  <w:style w:type="paragraph" w:styleId="19">
    <w:name w:val="Body Text Indent 2"/>
    <w:basedOn w:val="1"/>
    <w:qFormat/>
    <w:uiPriority w:val="0"/>
    <w:pPr>
      <w:numPr>
        <w:ilvl w:val="1"/>
        <w:numId w:val="2"/>
      </w:numPr>
      <w:tabs>
        <w:tab w:val="clear" w:pos="1920"/>
      </w:tabs>
      <w:spacing w:after="120" w:line="480" w:lineRule="auto"/>
      <w:ind w:left="420" w:leftChars="200" w:firstLine="0"/>
    </w:pPr>
  </w:style>
  <w:style w:type="paragraph" w:styleId="20">
    <w:name w:val="Balloon Text"/>
    <w:basedOn w:val="1"/>
    <w:qFormat/>
    <w:uiPriority w:val="0"/>
    <w:rPr>
      <w:sz w:val="18"/>
      <w:szCs w:val="18"/>
    </w:rPr>
  </w:style>
  <w:style w:type="paragraph" w:styleId="21">
    <w:name w:val="footer"/>
    <w:basedOn w:val="1"/>
    <w:link w:val="51"/>
    <w:qFormat/>
    <w:uiPriority w:val="99"/>
    <w:pPr>
      <w:tabs>
        <w:tab w:val="center" w:pos="4153"/>
        <w:tab w:val="right" w:pos="8306"/>
      </w:tabs>
      <w:snapToGrid w:val="0"/>
      <w:spacing w:line="240" w:lineRule="atLeast"/>
      <w:jc w:val="left"/>
    </w:pPr>
    <w:rPr>
      <w:sz w:val="18"/>
      <w:szCs w:val="18"/>
    </w:rPr>
  </w:style>
  <w:style w:type="paragraph" w:styleId="22">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qFormat/>
    <w:uiPriority w:val="39"/>
  </w:style>
  <w:style w:type="paragraph" w:styleId="24">
    <w:name w:val="Body Text Indent 3"/>
    <w:basedOn w:val="1"/>
    <w:link w:val="46"/>
    <w:qFormat/>
    <w:uiPriority w:val="0"/>
    <w:pPr>
      <w:spacing w:after="120"/>
      <w:ind w:left="420" w:leftChars="200"/>
    </w:pPr>
    <w:rPr>
      <w:sz w:val="16"/>
      <w:szCs w:val="16"/>
    </w:rPr>
  </w:style>
  <w:style w:type="paragraph" w:styleId="25">
    <w:name w:val="toc 2"/>
    <w:basedOn w:val="1"/>
    <w:next w:val="1"/>
    <w:qFormat/>
    <w:uiPriority w:val="39"/>
    <w:pPr>
      <w:ind w:left="420" w:leftChars="200"/>
    </w:pPr>
  </w:style>
  <w:style w:type="paragraph" w:styleId="2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szCs w:val="24"/>
    </w:rPr>
  </w:style>
  <w:style w:type="paragraph" w:styleId="27">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paragraph" w:styleId="28">
    <w:name w:val="annotation subject"/>
    <w:basedOn w:val="11"/>
    <w:next w:val="11"/>
    <w:link w:val="54"/>
    <w:qFormat/>
    <w:uiPriority w:val="99"/>
    <w:rPr>
      <w:b/>
      <w:bCs/>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basedOn w:val="31"/>
    <w:qFormat/>
    <w:uiPriority w:val="99"/>
    <w:rPr>
      <w:color w:val="333333"/>
      <w:u w:val="none"/>
    </w:rPr>
  </w:style>
  <w:style w:type="character" w:styleId="35">
    <w:name w:val="Emphasis"/>
    <w:basedOn w:val="31"/>
    <w:qFormat/>
    <w:uiPriority w:val="20"/>
  </w:style>
  <w:style w:type="character" w:styleId="36">
    <w:name w:val="Hyperlink"/>
    <w:basedOn w:val="31"/>
    <w:qFormat/>
    <w:uiPriority w:val="99"/>
    <w:rPr>
      <w:color w:val="0000FF"/>
      <w:u w:val="single"/>
    </w:rPr>
  </w:style>
  <w:style w:type="character" w:styleId="37">
    <w:name w:val="annotation reference"/>
    <w:basedOn w:val="31"/>
    <w:qFormat/>
    <w:uiPriority w:val="99"/>
    <w:rPr>
      <w:sz w:val="21"/>
      <w:szCs w:val="21"/>
    </w:rPr>
  </w:style>
  <w:style w:type="paragraph" w:customStyle="1" w:styleId="3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首行缩进"/>
    <w:basedOn w:val="1"/>
    <w:qFormat/>
    <w:uiPriority w:val="0"/>
    <w:pPr>
      <w:ind w:firstLine="480" w:firstLineChars="200"/>
    </w:pPr>
    <w:rPr>
      <w:lang w:val="zh-CN"/>
    </w:rPr>
  </w:style>
  <w:style w:type="character" w:customStyle="1" w:styleId="40">
    <w:name w:val="日期 Char"/>
    <w:link w:val="18"/>
    <w:qFormat/>
    <w:uiPriority w:val="0"/>
    <w:rPr>
      <w:rFonts w:ascii="Arial" w:hAnsi="Arial" w:eastAsia="仿宋_GB2312"/>
      <w:kern w:val="2"/>
      <w:sz w:val="32"/>
      <w:lang w:val="en-US" w:eastAsia="zh-CN" w:bidi="ar-SA"/>
    </w:rPr>
  </w:style>
  <w:style w:type="character" w:customStyle="1" w:styleId="41">
    <w:name w:val="正文缩进 Char2"/>
    <w:qFormat/>
    <w:uiPriority w:val="0"/>
    <w:rPr>
      <w:rFonts w:eastAsia="宋体"/>
      <w:sz w:val="24"/>
      <w:lang w:val="en-US" w:eastAsia="zh-CN" w:bidi="ar-SA"/>
    </w:rPr>
  </w:style>
  <w:style w:type="character" w:customStyle="1" w:styleId="42">
    <w:name w:val="页眉 Char"/>
    <w:qFormat/>
    <w:uiPriority w:val="99"/>
    <w:rPr>
      <w:rFonts w:eastAsia="宋体"/>
      <w:color w:val="000000"/>
      <w:sz w:val="18"/>
      <w:szCs w:val="18"/>
      <w:u w:color="000000"/>
      <w:lang w:val="en-US" w:eastAsia="zh-CN" w:bidi="ar-SA"/>
    </w:rPr>
  </w:style>
  <w:style w:type="character" w:customStyle="1" w:styleId="43">
    <w:name w:val="批注文字 Char"/>
    <w:basedOn w:val="31"/>
    <w:link w:val="11"/>
    <w:qFormat/>
    <w:uiPriority w:val="99"/>
    <w:rPr>
      <w:color w:val="000000"/>
      <w:sz w:val="21"/>
      <w:u w:color="000000"/>
    </w:rPr>
  </w:style>
  <w:style w:type="character" w:customStyle="1" w:styleId="44">
    <w:name w:val="无间隔 Char"/>
    <w:basedOn w:val="31"/>
    <w:link w:val="45"/>
    <w:qFormat/>
    <w:uiPriority w:val="1"/>
    <w:rPr>
      <w:rFonts w:ascii="Calibri" w:hAnsi="Calibri"/>
      <w:sz w:val="22"/>
      <w:szCs w:val="22"/>
      <w:lang w:val="en-US" w:eastAsia="zh-CN" w:bidi="ar-SA"/>
    </w:rPr>
  </w:style>
  <w:style w:type="paragraph" w:customStyle="1" w:styleId="45">
    <w:name w:val="无间隔1"/>
    <w:link w:val="44"/>
    <w:qFormat/>
    <w:uiPriority w:val="1"/>
    <w:rPr>
      <w:rFonts w:ascii="Calibri" w:hAnsi="Calibri" w:eastAsia="宋体" w:cs="Times New Roman"/>
      <w:sz w:val="22"/>
      <w:szCs w:val="22"/>
      <w:lang w:val="en-US" w:eastAsia="zh-CN" w:bidi="ar-SA"/>
    </w:rPr>
  </w:style>
  <w:style w:type="character" w:customStyle="1" w:styleId="46">
    <w:name w:val="正文文本缩进 3 Char"/>
    <w:link w:val="24"/>
    <w:qFormat/>
    <w:uiPriority w:val="0"/>
    <w:rPr>
      <w:color w:val="000000"/>
      <w:sz w:val="16"/>
      <w:szCs w:val="16"/>
      <w:u w:color="000000"/>
    </w:rPr>
  </w:style>
  <w:style w:type="character" w:customStyle="1" w:styleId="47">
    <w:name w:val="正文缩进 Char"/>
    <w:qFormat/>
    <w:uiPriority w:val="0"/>
    <w:rPr>
      <w:rFonts w:eastAsia="宋体"/>
      <w:kern w:val="2"/>
      <w:sz w:val="21"/>
      <w:szCs w:val="24"/>
      <w:lang w:val="en-US" w:eastAsia="zh-CN" w:bidi="ar-SA"/>
    </w:rPr>
  </w:style>
  <w:style w:type="character" w:customStyle="1" w:styleId="48">
    <w:name w:val="Char Char"/>
    <w:basedOn w:val="31"/>
    <w:qFormat/>
    <w:uiPriority w:val="0"/>
    <w:rPr>
      <w:rFonts w:ascii="仿宋_GB2312" w:eastAsia="仿宋_GB2312"/>
      <w:kern w:val="2"/>
      <w:sz w:val="30"/>
      <w:lang w:val="en-US" w:eastAsia="zh-CN" w:bidi="ar-SA"/>
    </w:rPr>
  </w:style>
  <w:style w:type="character" w:customStyle="1" w:styleId="49">
    <w:name w:val="正文文本 3 Char"/>
    <w:link w:val="12"/>
    <w:qFormat/>
    <w:uiPriority w:val="99"/>
    <w:rPr>
      <w:color w:val="000000"/>
      <w:sz w:val="16"/>
      <w:szCs w:val="16"/>
      <w:u w:color="000000"/>
    </w:rPr>
  </w:style>
  <w:style w:type="character" w:customStyle="1" w:styleId="50">
    <w:name w:val="纯文本 Char"/>
    <w:link w:val="17"/>
    <w:qFormat/>
    <w:uiPriority w:val="0"/>
    <w:rPr>
      <w:rFonts w:ascii="宋体" w:hAnsi="Courier New"/>
      <w:kern w:val="2"/>
      <w:sz w:val="21"/>
    </w:rPr>
  </w:style>
  <w:style w:type="character" w:customStyle="1" w:styleId="51">
    <w:name w:val="页脚 Char"/>
    <w:basedOn w:val="31"/>
    <w:link w:val="21"/>
    <w:qFormat/>
    <w:uiPriority w:val="99"/>
    <w:rPr>
      <w:color w:val="000000"/>
      <w:sz w:val="18"/>
      <w:szCs w:val="18"/>
      <w:u w:color="000000"/>
    </w:rPr>
  </w:style>
  <w:style w:type="character" w:customStyle="1" w:styleId="52">
    <w:name w:val="标题 2 Char"/>
    <w:qFormat/>
    <w:uiPriority w:val="0"/>
    <w:rPr>
      <w:rFonts w:eastAsia="宋体"/>
      <w:sz w:val="24"/>
      <w:lang w:val="en-US" w:eastAsia="zh-CN" w:bidi="ar-SA"/>
    </w:rPr>
  </w:style>
  <w:style w:type="character" w:customStyle="1" w:styleId="53">
    <w:name w:val="class1"/>
    <w:basedOn w:val="31"/>
    <w:qFormat/>
    <w:uiPriority w:val="0"/>
  </w:style>
  <w:style w:type="character" w:customStyle="1" w:styleId="54">
    <w:name w:val="批注主题 Char"/>
    <w:basedOn w:val="43"/>
    <w:link w:val="28"/>
    <w:qFormat/>
    <w:uiPriority w:val="99"/>
    <w:rPr>
      <w:b/>
      <w:bCs/>
      <w:color w:val="000000"/>
      <w:sz w:val="21"/>
      <w:u w:color="000000"/>
    </w:rPr>
  </w:style>
  <w:style w:type="character" w:customStyle="1" w:styleId="55">
    <w:name w:val="正文（缩进） Char"/>
    <w:link w:val="56"/>
    <w:qFormat/>
    <w:uiPriority w:val="0"/>
    <w:rPr>
      <w:rFonts w:eastAsia="宋体"/>
      <w:kern w:val="2"/>
      <w:sz w:val="24"/>
      <w:szCs w:val="24"/>
      <w:lang w:val="en-US" w:eastAsia="zh-CN" w:bidi="ar-SA"/>
    </w:rPr>
  </w:style>
  <w:style w:type="paragraph" w:customStyle="1" w:styleId="56">
    <w:name w:val="正文（缩进）"/>
    <w:basedOn w:val="1"/>
    <w:link w:val="55"/>
    <w:qFormat/>
    <w:uiPriority w:val="0"/>
    <w:pPr>
      <w:widowControl w:val="0"/>
      <w:spacing w:beforeLines="50" w:afterLines="50" w:line="360" w:lineRule="auto"/>
      <w:ind w:firstLine="480" w:firstLineChars="200"/>
      <w:textAlignment w:val="auto"/>
    </w:pPr>
    <w:rPr>
      <w:color w:val="auto"/>
      <w:kern w:val="2"/>
      <w:sz w:val="24"/>
      <w:szCs w:val="24"/>
    </w:rPr>
  </w:style>
  <w:style w:type="character" w:customStyle="1" w:styleId="57">
    <w:name w:val="标题 6 Char"/>
    <w:link w:val="7"/>
    <w:qFormat/>
    <w:uiPriority w:val="9"/>
    <w:rPr>
      <w:rFonts w:ascii="Cambria" w:hAnsi="Cambria" w:eastAsia="宋体" w:cs="Times New Roman"/>
      <w:b/>
      <w:bCs/>
      <w:color w:val="000000"/>
      <w:sz w:val="24"/>
      <w:szCs w:val="24"/>
      <w:u w:color="000000"/>
    </w:rPr>
  </w:style>
  <w:style w:type="paragraph" w:customStyle="1" w:styleId="58">
    <w:name w:val="head 1.1.1"/>
    <w:basedOn w:val="1"/>
    <w:qFormat/>
    <w:uiPriority w:val="0"/>
    <w:pPr>
      <w:widowControl w:val="0"/>
      <w:spacing w:before="100" w:beforeAutospacing="1" w:line="240" w:lineRule="auto"/>
      <w:ind w:left="720"/>
      <w:textAlignment w:val="auto"/>
    </w:pPr>
    <w:rPr>
      <w:rFonts w:ascii="Calibri" w:hAnsi="Calibri"/>
      <w:color w:val="auto"/>
      <w:kern w:val="2"/>
      <w:szCs w:val="21"/>
    </w:rPr>
  </w:style>
  <w:style w:type="paragraph" w:customStyle="1" w:styleId="59">
    <w:name w:val="Char Char Char Char Char Char Char"/>
    <w:basedOn w:val="1"/>
    <w:qFormat/>
    <w:uiPriority w:val="0"/>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60">
    <w:name w:val="Char Char Char Char"/>
    <w:basedOn w:val="1"/>
    <w:qFormat/>
    <w:uiPriority w:val="0"/>
    <w:pPr>
      <w:widowControl w:val="0"/>
      <w:spacing w:line="240" w:lineRule="auto"/>
      <w:textAlignment w:val="auto"/>
    </w:pPr>
    <w:rPr>
      <w:rFonts w:ascii="Tahoma" w:hAnsi="Tahoma"/>
      <w:color w:val="auto"/>
      <w:kern w:val="2"/>
      <w:sz w:val="24"/>
    </w:rPr>
  </w:style>
  <w:style w:type="paragraph" w:customStyle="1" w:styleId="61">
    <w:name w:val="Char4"/>
    <w:basedOn w:val="1"/>
    <w:qFormat/>
    <w:uiPriority w:val="0"/>
    <w:pPr>
      <w:spacing w:line="360" w:lineRule="auto"/>
      <w:ind w:firstLine="200" w:firstLineChars="200"/>
    </w:pPr>
  </w:style>
  <w:style w:type="paragraph" w:customStyle="1" w:styleId="62">
    <w:name w:val="正文文字2"/>
    <w:basedOn w:val="13"/>
    <w:qFormat/>
    <w:uiPriority w:val="0"/>
    <w:pPr>
      <w:adjustRightInd w:val="0"/>
      <w:snapToGrid/>
      <w:spacing w:after="60" w:line="360" w:lineRule="atLeast"/>
      <w:ind w:left="72" w:leftChars="30" w:right="72" w:rightChars="30"/>
      <w:jc w:val="center"/>
    </w:pPr>
    <w:rPr>
      <w:rFonts w:hAnsi="Times New Roman" w:eastAsia="黑体"/>
      <w:color w:val="auto"/>
      <w:sz w:val="21"/>
    </w:rPr>
  </w:style>
  <w:style w:type="paragraph" w:customStyle="1" w:styleId="63">
    <w:name w:val="缺省文本"/>
    <w:basedOn w:val="1"/>
    <w:qFormat/>
    <w:uiPriority w:val="0"/>
    <w:pPr>
      <w:widowControl w:val="0"/>
      <w:autoSpaceDE w:val="0"/>
      <w:autoSpaceDN w:val="0"/>
      <w:adjustRightInd w:val="0"/>
      <w:spacing w:line="240" w:lineRule="auto"/>
      <w:jc w:val="left"/>
      <w:textAlignment w:val="auto"/>
    </w:pPr>
    <w:rPr>
      <w:color w:val="auto"/>
      <w:sz w:val="24"/>
    </w:rPr>
  </w:style>
  <w:style w:type="paragraph" w:customStyle="1" w:styleId="64">
    <w:name w:val="正文文字1"/>
    <w:basedOn w:val="13"/>
    <w:qFormat/>
    <w:uiPriority w:val="0"/>
    <w:pPr>
      <w:adjustRightInd w:val="0"/>
      <w:snapToGrid/>
      <w:spacing w:line="360" w:lineRule="atLeast"/>
      <w:ind w:left="72" w:leftChars="30" w:right="72" w:rightChars="30"/>
    </w:pPr>
    <w:rPr>
      <w:rFonts w:ascii="Times New Roman" w:hAnsi="Times New Roman" w:eastAsia="宋体"/>
      <w:color w:val="auto"/>
      <w:sz w:val="21"/>
    </w:rPr>
  </w:style>
  <w:style w:type="paragraph" w:customStyle="1" w:styleId="65">
    <w:name w:val="列出段落1"/>
    <w:basedOn w:val="1"/>
    <w:qFormat/>
    <w:uiPriority w:val="99"/>
    <w:pPr>
      <w:spacing w:after="200" w:line="276" w:lineRule="auto"/>
      <w:ind w:left="720"/>
      <w:contextualSpacing/>
      <w:jc w:val="left"/>
      <w:textAlignment w:val="auto"/>
    </w:pPr>
    <w:rPr>
      <w:rFonts w:ascii="Calibri" w:hAnsi="Calibri"/>
      <w:color w:val="auto"/>
      <w:sz w:val="22"/>
      <w:szCs w:val="22"/>
    </w:rPr>
  </w:style>
  <w:style w:type="paragraph" w:customStyle="1" w:styleId="66">
    <w:name w:val="中等深浅网格 1 - 着色 21"/>
    <w:basedOn w:val="1"/>
    <w:qFormat/>
    <w:uiPriority w:val="99"/>
    <w:pPr>
      <w:widowControl w:val="0"/>
      <w:spacing w:line="240" w:lineRule="auto"/>
      <w:ind w:firstLine="420" w:firstLineChars="200"/>
      <w:textAlignment w:val="auto"/>
    </w:pPr>
    <w:rPr>
      <w:color w:val="auto"/>
      <w:kern w:val="2"/>
    </w:rPr>
  </w:style>
  <w:style w:type="paragraph" w:customStyle="1" w:styleId="67">
    <w:name w:val="reader-word-layer"/>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68">
    <w:name w:val="Char Char Char Char1"/>
    <w:basedOn w:val="1"/>
    <w:qFormat/>
    <w:uiPriority w:val="0"/>
    <w:pPr>
      <w:widowControl w:val="0"/>
      <w:spacing w:line="240" w:lineRule="auto"/>
      <w:textAlignment w:val="auto"/>
    </w:pPr>
    <w:rPr>
      <w:color w:val="auto"/>
      <w:kern w:val="2"/>
    </w:rPr>
  </w:style>
  <w:style w:type="paragraph" w:customStyle="1" w:styleId="69">
    <w:name w:val="样式1"/>
    <w:basedOn w:val="1"/>
    <w:qFormat/>
    <w:uiPriority w:val="0"/>
    <w:pPr>
      <w:widowControl w:val="0"/>
      <w:spacing w:line="240" w:lineRule="auto"/>
      <w:textAlignment w:val="auto"/>
    </w:pPr>
    <w:rPr>
      <w:rFonts w:ascii="Arial" w:hAnsi="Arial" w:eastAsia="仿宋_GB2312"/>
      <w:color w:val="auto"/>
      <w:kern w:val="2"/>
      <w:sz w:val="32"/>
    </w:rPr>
  </w:style>
  <w:style w:type="paragraph" w:customStyle="1" w:styleId="70">
    <w:name w:val="样式 正文（缩进） + (中文) 楷体_GB2312"/>
    <w:basedOn w:val="56"/>
    <w:qFormat/>
    <w:uiPriority w:val="0"/>
    <w:pPr>
      <w:ind w:left="1" w:leftChars="-1" w:hanging="3" w:hangingChars="1"/>
      <w:jc w:val="center"/>
    </w:pPr>
    <w:rPr>
      <w:rFonts w:ascii="宋体" w:hAnsi="宋体"/>
      <w:b/>
      <w:bCs/>
      <w:sz w:val="28"/>
      <w:szCs w:val="28"/>
    </w:rPr>
  </w:style>
  <w:style w:type="paragraph" w:customStyle="1" w:styleId="71">
    <w:name w:val="Char Char Char Char Char Char"/>
    <w:basedOn w:val="1"/>
    <w:qFormat/>
    <w:uiPriority w:val="0"/>
    <w:pPr>
      <w:widowControl w:val="0"/>
      <w:spacing w:line="240" w:lineRule="auto"/>
      <w:textAlignment w:val="auto"/>
    </w:pPr>
    <w:rPr>
      <w:color w:val="auto"/>
      <w:kern w:val="2"/>
      <w:szCs w:val="21"/>
    </w:rPr>
  </w:style>
  <w:style w:type="paragraph" w:customStyle="1" w:styleId="72">
    <w:name w:val="List Paragraph11"/>
    <w:basedOn w:val="1"/>
    <w:qFormat/>
    <w:uiPriority w:val="0"/>
    <w:pPr>
      <w:ind w:firstLine="420" w:firstLineChars="200"/>
    </w:pPr>
    <w:rPr>
      <w:rFonts w:ascii="Calibri" w:hAnsi="Calibri"/>
      <w:szCs w:val="22"/>
    </w:rPr>
  </w:style>
  <w:style w:type="paragraph" w:customStyle="1" w:styleId="73">
    <w:name w:val="List Paragraph1"/>
    <w:basedOn w:val="1"/>
    <w:qFormat/>
    <w:uiPriority w:val="99"/>
    <w:pPr>
      <w:ind w:firstLine="420" w:firstLineChars="200"/>
    </w:pPr>
  </w:style>
  <w:style w:type="paragraph" w:customStyle="1" w:styleId="74">
    <w:name w:val="p0 New"/>
    <w:basedOn w:val="1"/>
    <w:qFormat/>
    <w:uiPriority w:val="0"/>
    <w:pPr>
      <w:spacing w:line="240" w:lineRule="auto"/>
      <w:jc w:val="left"/>
      <w:textAlignment w:val="auto"/>
    </w:pPr>
    <w:rPr>
      <w:rFonts w:ascii="宋体" w:hAnsi="宋体" w:cs="宋体"/>
      <w:color w:val="auto"/>
      <w:sz w:val="18"/>
      <w:szCs w:val="18"/>
    </w:rPr>
  </w:style>
  <w:style w:type="paragraph" w:customStyle="1" w:styleId="75">
    <w:name w:val="flName"/>
    <w:basedOn w:val="1"/>
    <w:qFormat/>
    <w:uiPriority w:val="0"/>
    <w:pPr>
      <w:widowControl w:val="0"/>
      <w:adjustRightInd w:val="0"/>
      <w:spacing w:before="320" w:after="160" w:line="360" w:lineRule="atLeast"/>
      <w:jc w:val="center"/>
    </w:pPr>
    <w:rPr>
      <w:rFonts w:ascii="Arial" w:eastAsia="黑体"/>
      <w:color w:val="auto"/>
      <w:sz w:val="32"/>
    </w:rPr>
  </w:style>
  <w:style w:type="paragraph" w:customStyle="1" w:styleId="76">
    <w:name w:val="_Style 46"/>
    <w:basedOn w:val="1"/>
    <w:qFormat/>
    <w:uiPriority w:val="0"/>
    <w:pPr>
      <w:widowControl w:val="0"/>
      <w:spacing w:line="240" w:lineRule="auto"/>
      <w:textAlignment w:val="auto"/>
    </w:pPr>
    <w:rPr>
      <w:color w:val="auto"/>
      <w:kern w:val="2"/>
      <w:szCs w:val="24"/>
    </w:rPr>
  </w:style>
  <w:style w:type="paragraph" w:customStyle="1" w:styleId="77">
    <w:name w:val="Char"/>
    <w:basedOn w:val="1"/>
    <w:qFormat/>
    <w:uiPriority w:val="0"/>
    <w:pPr>
      <w:widowControl w:val="0"/>
      <w:spacing w:line="240" w:lineRule="auto"/>
      <w:textAlignment w:val="auto"/>
    </w:pPr>
    <w:rPr>
      <w:rFonts w:ascii="仿宋_GB2312" w:eastAsia="仿宋_GB2312"/>
      <w:b/>
      <w:color w:val="auto"/>
      <w:kern w:val="2"/>
      <w:sz w:val="32"/>
      <w:szCs w:val="32"/>
    </w:rPr>
  </w:style>
  <w:style w:type="paragraph" w:customStyle="1" w:styleId="78">
    <w:name w:val="px12black"/>
    <w:basedOn w:val="1"/>
    <w:qFormat/>
    <w:uiPriority w:val="0"/>
    <w:pPr>
      <w:spacing w:before="100" w:beforeAutospacing="1" w:after="100" w:afterAutospacing="1"/>
      <w:jc w:val="left"/>
    </w:pPr>
    <w:rPr>
      <w:rFonts w:ascii="宋体" w:hAnsi="宋体" w:cs="宋体"/>
      <w:sz w:val="24"/>
    </w:rPr>
  </w:style>
  <w:style w:type="paragraph" w:customStyle="1" w:styleId="79">
    <w:name w:val="节标题"/>
    <w:basedOn w:val="1"/>
    <w:next w:val="1"/>
    <w:qFormat/>
    <w:uiPriority w:val="0"/>
    <w:pPr>
      <w:spacing w:line="289" w:lineRule="atLeast"/>
      <w:jc w:val="center"/>
    </w:pPr>
    <w:rPr>
      <w:sz w:val="28"/>
    </w:rPr>
  </w:style>
  <w:style w:type="paragraph" w:customStyle="1" w:styleId="80">
    <w:name w:val="Biao00"/>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81">
    <w:name w:val="_Style 2"/>
    <w:basedOn w:val="1"/>
    <w:next w:val="1"/>
    <w:qFormat/>
    <w:uiPriority w:val="34"/>
    <w:pPr>
      <w:wordWrap w:val="0"/>
      <w:spacing w:line="240" w:lineRule="auto"/>
      <w:ind w:left="850"/>
    </w:pPr>
  </w:style>
  <w:style w:type="paragraph" w:customStyle="1" w:styleId="8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3">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84">
    <w:name w:val="Normal1"/>
    <w:qFormat/>
    <w:uiPriority w:val="0"/>
    <w:rPr>
      <w:rFonts w:ascii="Calibri" w:hAnsi="Calibri" w:eastAsia="Times New Roman" w:cs="Times New Roman"/>
      <w:sz w:val="24"/>
      <w:szCs w:val="24"/>
      <w:lang w:val="en-US" w:eastAsia="zh-CN" w:bidi="ar-SA"/>
    </w:rPr>
  </w:style>
  <w:style w:type="character" w:customStyle="1" w:styleId="85">
    <w:name w:val="标题 1 Char"/>
    <w:basedOn w:val="31"/>
    <w:link w:val="3"/>
    <w:qFormat/>
    <w:uiPriority w:val="9"/>
    <w:rPr>
      <w:rFonts w:ascii="Times New Roman" w:hAnsi="Times New Roman" w:eastAsia="宋体" w:cs="Times New Roman"/>
      <w:b/>
      <w:bCs/>
      <w:kern w:val="44"/>
      <w:sz w:val="44"/>
      <w:szCs w:val="44"/>
    </w:rPr>
  </w:style>
  <w:style w:type="character" w:customStyle="1" w:styleId="86">
    <w:name w:val="bookmark-item"/>
    <w:basedOn w:val="31"/>
    <w:qFormat/>
    <w:uiPriority w:val="0"/>
  </w:style>
  <w:style w:type="paragraph" w:customStyle="1" w:styleId="87">
    <w:name w:val="Normal2"/>
    <w:basedOn w:val="1"/>
    <w:qFormat/>
    <w:uiPriority w:val="0"/>
    <w:pPr>
      <w:spacing w:after="200" w:line="300" w:lineRule="atLeast"/>
      <w:jc w:val="left"/>
      <w:textAlignment w:val="auto"/>
    </w:pPr>
    <w:rPr>
      <w:rFonts w:ascii="Calibri" w:hAnsi="Calibri" w:cs="宋体"/>
      <w:color w:val="auto"/>
      <w:sz w:val="22"/>
      <w:szCs w:val="22"/>
    </w:rPr>
  </w:style>
  <w:style w:type="paragraph" w:styleId="88">
    <w:name w:val="List Paragraph"/>
    <w:basedOn w:val="1"/>
    <w:qFormat/>
    <w:uiPriority w:val="99"/>
    <w:pPr>
      <w:ind w:firstLine="420" w:firstLineChars="200"/>
    </w:pPr>
  </w:style>
  <w:style w:type="table" w:customStyle="1" w:styleId="89">
    <w:name w:val="网格型1"/>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
    <w:name w:val="NormalCharacter"/>
    <w:qFormat/>
    <w:uiPriority w:val="0"/>
  </w:style>
  <w:style w:type="table" w:customStyle="1" w:styleId="91">
    <w:name w:val="Table Normal"/>
    <w:semiHidden/>
    <w:unhideWhenUsed/>
    <w:qFormat/>
    <w:uiPriority w:val="0"/>
    <w:tblPr>
      <w:tblCellMar>
        <w:top w:w="0" w:type="dxa"/>
        <w:left w:w="0" w:type="dxa"/>
        <w:bottom w:w="0" w:type="dxa"/>
        <w:right w:w="0" w:type="dxa"/>
      </w:tblCellMar>
    </w:tblPr>
  </w:style>
  <w:style w:type="paragraph" w:customStyle="1" w:styleId="9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25853</Words>
  <Characters>27628</Characters>
  <Paragraphs>1771</Paragraphs>
  <TotalTime>48</TotalTime>
  <ScaleCrop>false</ScaleCrop>
  <LinksUpToDate>false</LinksUpToDate>
  <CharactersWithSpaces>30378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2020-10-23T07:31:00Z</dcterms:created>
  <dc:creator>微软用户</dc:creator>
  <cp:lastModifiedBy>ღ໊南风未起ꦿ༉°</cp:lastModifiedBy>
  <cp:lastPrinted>2021-03-26T03:11:00Z</cp:lastPrinted>
  <dcterms:modified xsi:type="dcterms:W3CDTF">2021-12-04T05:21:47Z</dcterms:modified>
  <dc:subject>(代理机构名称）作者名称</dc:subject>
  <dc:title>项目编号：MASCG-HD2011030</dc:title>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3CFD5248C4D94D54AC0C98B1638C816C</vt:lpwstr>
  </property>
</Properties>
</file>