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spacing w:line="360" w:lineRule="auto"/>
        <w:jc w:val="both"/>
        <w:rPr>
          <w:rFonts w:hint="eastAsia" w:ascii="宋体" w:hAnsi="宋体" w:eastAsia="宋体" w:cs="宋体"/>
          <w:b/>
          <w:color w:val="auto"/>
          <w:sz w:val="28"/>
          <w:szCs w:val="28"/>
        </w:rPr>
      </w:pPr>
    </w:p>
    <w:p>
      <w:pPr>
        <w:adjustRightInd w:val="0"/>
        <w:snapToGrid w:val="0"/>
        <w:spacing w:line="360" w:lineRule="auto"/>
        <w:jc w:val="center"/>
        <w:rPr>
          <w:rFonts w:hint="eastAsia" w:ascii="宋体" w:hAnsi="宋体" w:eastAsia="宋体" w:cs="宋体"/>
          <w:b/>
          <w:color w:val="auto"/>
          <w:sz w:val="48"/>
          <w:szCs w:val="48"/>
          <w:lang w:eastAsia="zh-CN"/>
        </w:rPr>
      </w:pPr>
      <w:r>
        <w:rPr>
          <w:rFonts w:hint="eastAsia" w:ascii="宋体" w:hAnsi="宋体" w:eastAsia="宋体" w:cs="宋体"/>
          <w:b/>
          <w:color w:val="auto"/>
          <w:sz w:val="48"/>
          <w:szCs w:val="48"/>
          <w:lang w:eastAsia="zh-CN"/>
        </w:rPr>
        <w:t>新疆轮台县自然资源局永久基本农田全面核实及划定项目</w:t>
      </w:r>
    </w:p>
    <w:p>
      <w:pPr>
        <w:pStyle w:val="22"/>
        <w:rPr>
          <w:rFonts w:hint="eastAsia" w:ascii="宋体" w:hAnsi="宋体" w:eastAsia="宋体" w:cs="宋体"/>
          <w:b/>
          <w:color w:val="auto"/>
          <w:sz w:val="48"/>
          <w:szCs w:val="48"/>
          <w:lang w:eastAsia="zh-CN"/>
        </w:rPr>
      </w:pPr>
    </w:p>
    <w:p>
      <w:pPr>
        <w:pStyle w:val="22"/>
        <w:rPr>
          <w:rFonts w:hint="eastAsia" w:ascii="宋体" w:hAnsi="宋体" w:eastAsia="宋体" w:cs="宋体"/>
          <w:b/>
          <w:color w:val="auto"/>
          <w:sz w:val="48"/>
          <w:szCs w:val="48"/>
          <w:lang w:eastAsia="zh-CN"/>
        </w:rPr>
      </w:pPr>
    </w:p>
    <w:p>
      <w:pPr>
        <w:adjustRightInd w:val="0"/>
        <w:snapToGrid w:val="0"/>
        <w:spacing w:line="360" w:lineRule="auto"/>
        <w:jc w:val="center"/>
        <w:rPr>
          <w:rFonts w:hint="eastAsia" w:ascii="宋体" w:hAnsi="宋体" w:eastAsia="宋体" w:cs="宋体"/>
          <w:b/>
          <w:color w:val="auto"/>
          <w:sz w:val="56"/>
          <w:szCs w:val="56"/>
        </w:rPr>
      </w:pPr>
      <w:r>
        <w:rPr>
          <w:rFonts w:hint="eastAsia" w:ascii="宋体" w:hAnsi="宋体" w:eastAsia="宋体" w:cs="宋体"/>
          <w:b/>
          <w:color w:val="auto"/>
          <w:sz w:val="56"/>
          <w:szCs w:val="56"/>
        </w:rPr>
        <w:t>竞争性磋商文件</w:t>
      </w:r>
    </w:p>
    <w:p>
      <w:pPr>
        <w:adjustRightInd w:val="0"/>
        <w:snapToGrid w:val="0"/>
        <w:spacing w:line="360" w:lineRule="auto"/>
        <w:jc w:val="center"/>
        <w:rPr>
          <w:rFonts w:hint="eastAsia" w:ascii="宋体" w:hAnsi="宋体" w:eastAsia="宋体" w:cs="宋体"/>
          <w:b/>
          <w:color w:val="auto"/>
          <w:sz w:val="36"/>
          <w:szCs w:val="36"/>
        </w:rPr>
      </w:pPr>
    </w:p>
    <w:p>
      <w:pPr>
        <w:adjustRightInd w:val="0"/>
        <w:snapToGrid w:val="0"/>
        <w:spacing w:line="360" w:lineRule="auto"/>
        <w:jc w:val="center"/>
        <w:rPr>
          <w:rFonts w:hint="eastAsia" w:ascii="宋体" w:hAnsi="宋体" w:eastAsia="宋体" w:cs="宋体"/>
          <w:b/>
          <w:color w:val="auto"/>
          <w:sz w:val="36"/>
          <w:szCs w:val="36"/>
        </w:rPr>
      </w:pPr>
    </w:p>
    <w:p>
      <w:pPr>
        <w:adjustRightInd w:val="0"/>
        <w:snapToGrid w:val="0"/>
        <w:spacing w:line="360" w:lineRule="auto"/>
        <w:jc w:val="center"/>
        <w:rPr>
          <w:rFonts w:hint="eastAsia" w:ascii="宋体" w:hAnsi="宋体" w:eastAsia="宋体" w:cs="宋体"/>
          <w:b/>
          <w:color w:val="auto"/>
          <w:sz w:val="36"/>
          <w:szCs w:val="36"/>
        </w:rPr>
      </w:pPr>
    </w:p>
    <w:p>
      <w:pPr>
        <w:adjustRightInd w:val="0"/>
        <w:snapToGrid w:val="0"/>
        <w:spacing w:line="360" w:lineRule="auto"/>
        <w:jc w:val="center"/>
        <w:rPr>
          <w:rFonts w:hint="eastAsia" w:ascii="宋体" w:hAnsi="宋体" w:eastAsia="宋体" w:cs="宋体"/>
          <w:b/>
          <w:color w:val="auto"/>
          <w:sz w:val="36"/>
          <w:szCs w:val="36"/>
        </w:rPr>
      </w:pPr>
    </w:p>
    <w:p>
      <w:pPr>
        <w:adjustRightInd w:val="0"/>
        <w:snapToGrid w:val="0"/>
        <w:spacing w:line="360" w:lineRule="auto"/>
        <w:jc w:val="center"/>
        <w:rPr>
          <w:rFonts w:hint="eastAsia" w:ascii="宋体" w:hAnsi="宋体" w:eastAsia="宋体" w:cs="宋体"/>
          <w:color w:val="auto"/>
        </w:rPr>
      </w:pPr>
      <w:r>
        <w:rPr>
          <w:rFonts w:hint="eastAsia" w:ascii="宋体" w:hAnsi="宋体" w:eastAsia="宋体" w:cs="宋体"/>
          <w:b/>
          <w:color w:val="auto"/>
          <w:sz w:val="36"/>
          <w:szCs w:val="36"/>
        </w:rPr>
        <w:t xml:space="preserve">     </w:t>
      </w:r>
    </w:p>
    <w:p>
      <w:pPr>
        <w:keepNext w:val="0"/>
        <w:keepLines w:val="0"/>
        <w:pageBreakBefore w:val="0"/>
        <w:widowControl w:val="0"/>
        <w:kinsoku/>
        <w:wordWrap/>
        <w:overflowPunct/>
        <w:topLinePunct w:val="0"/>
        <w:autoSpaceDE/>
        <w:autoSpaceDN/>
        <w:bidi w:val="0"/>
        <w:adjustRightInd/>
        <w:snapToGrid w:val="0"/>
        <w:spacing w:line="1000" w:lineRule="exact"/>
        <w:textAlignment w:val="auto"/>
        <w:rPr>
          <w:rFonts w:hint="default" w:ascii="宋体" w:hAnsi="宋体" w:eastAsia="宋体" w:cs="宋体"/>
          <w:b/>
          <w:color w:val="auto"/>
          <w:kern w:val="0"/>
          <w:sz w:val="32"/>
          <w:szCs w:val="31"/>
          <w:lang w:val="en-US" w:eastAsia="zh-CN"/>
        </w:rPr>
      </w:pPr>
      <w:r>
        <w:rPr>
          <w:rFonts w:hint="eastAsia" w:ascii="宋体" w:hAnsi="宋体" w:eastAsia="宋体" w:cs="宋体"/>
          <w:b/>
          <w:color w:val="auto"/>
          <w:kern w:val="0"/>
          <w:sz w:val="32"/>
          <w:szCs w:val="31"/>
          <w:lang w:val="zh-CN"/>
        </w:rPr>
        <w:t>招标编号：XJHL-(JZXCS)-2021-</w:t>
      </w:r>
      <w:r>
        <w:rPr>
          <w:rFonts w:hint="eastAsia" w:ascii="宋体" w:hAnsi="宋体" w:cs="宋体"/>
          <w:b/>
          <w:color w:val="auto"/>
          <w:kern w:val="0"/>
          <w:sz w:val="32"/>
          <w:szCs w:val="31"/>
          <w:lang w:val="en-US" w:eastAsia="zh-CN"/>
        </w:rPr>
        <w:t>03</w:t>
      </w:r>
    </w:p>
    <w:p>
      <w:pPr>
        <w:keepNext w:val="0"/>
        <w:keepLines w:val="0"/>
        <w:pageBreakBefore w:val="0"/>
        <w:widowControl w:val="0"/>
        <w:kinsoku/>
        <w:wordWrap/>
        <w:overflowPunct/>
        <w:topLinePunct w:val="0"/>
        <w:autoSpaceDE/>
        <w:autoSpaceDN/>
        <w:bidi w:val="0"/>
        <w:adjustRightInd/>
        <w:snapToGrid w:val="0"/>
        <w:spacing w:line="1000" w:lineRule="exact"/>
        <w:textAlignment w:val="auto"/>
        <w:rPr>
          <w:rFonts w:hint="eastAsia" w:ascii="宋体" w:hAnsi="宋体" w:eastAsia="宋体" w:cs="宋体"/>
          <w:b/>
          <w:color w:val="auto"/>
          <w:kern w:val="0"/>
          <w:sz w:val="32"/>
          <w:szCs w:val="31"/>
          <w:lang w:val="zh-CN"/>
        </w:rPr>
      </w:pPr>
      <w:r>
        <w:rPr>
          <w:rFonts w:hint="eastAsia" w:ascii="宋体" w:hAnsi="宋体" w:eastAsia="宋体" w:cs="宋体"/>
          <w:b/>
          <w:color w:val="auto"/>
          <w:kern w:val="0"/>
          <w:sz w:val="32"/>
          <w:szCs w:val="31"/>
        </w:rPr>
        <w:t>采购单位</w:t>
      </w:r>
      <w:r>
        <w:rPr>
          <w:rFonts w:hint="eastAsia" w:ascii="宋体" w:hAnsi="宋体" w:eastAsia="宋体" w:cs="宋体"/>
          <w:b/>
          <w:color w:val="auto"/>
          <w:kern w:val="0"/>
          <w:sz w:val="32"/>
          <w:szCs w:val="31"/>
          <w:lang w:val="zh-CN"/>
        </w:rPr>
        <w:t>（盖章）：新疆轮台县自然资源局</w:t>
      </w:r>
    </w:p>
    <w:p>
      <w:pPr>
        <w:pStyle w:val="5"/>
        <w:rPr>
          <w:rFonts w:hint="eastAsia" w:ascii="宋体" w:hAnsi="宋体" w:eastAsia="宋体" w:cs="宋体"/>
          <w:color w:val="auto"/>
          <w:lang w:val="zh-CN"/>
        </w:rPr>
      </w:pPr>
    </w:p>
    <w:p>
      <w:pPr>
        <w:pStyle w:val="18"/>
        <w:ind w:left="0" w:leftChars="0" w:firstLine="0" w:firstLineChars="0"/>
        <w:jc w:val="left"/>
        <w:rPr>
          <w:rFonts w:hint="eastAsia" w:ascii="宋体" w:hAnsi="宋体" w:eastAsia="宋体" w:cs="宋体"/>
          <w:b/>
          <w:bCs/>
          <w:color w:val="auto"/>
          <w:lang w:eastAsia="zh-CN"/>
        </w:rPr>
      </w:pPr>
      <w:r>
        <w:rPr>
          <w:rFonts w:hint="eastAsia" w:ascii="宋体" w:hAnsi="宋体" w:eastAsia="宋体" w:cs="宋体"/>
          <w:b/>
          <w:color w:val="auto"/>
          <w:kern w:val="0"/>
          <w:sz w:val="32"/>
          <w:szCs w:val="31"/>
          <w:lang w:val="zh-CN"/>
        </w:rPr>
        <w:t>代理机构（盖章）：</w:t>
      </w:r>
      <w:r>
        <w:rPr>
          <w:rFonts w:hint="eastAsia" w:ascii="宋体" w:hAnsi="宋体" w:eastAsia="宋体" w:cs="宋体"/>
          <w:b/>
          <w:bCs/>
          <w:color w:val="auto"/>
          <w:lang w:eastAsia="zh-CN"/>
        </w:rPr>
        <w:t>新疆鸿澜工程项目管理有限公司</w:t>
      </w:r>
    </w:p>
    <w:p>
      <w:pPr>
        <w:spacing w:line="520" w:lineRule="exact"/>
        <w:jc w:val="both"/>
        <w:rPr>
          <w:rFonts w:hint="eastAsia" w:ascii="宋体" w:hAnsi="宋体" w:eastAsia="宋体" w:cs="宋体"/>
          <w:b/>
          <w:color w:val="auto"/>
          <w:kern w:val="0"/>
          <w:sz w:val="32"/>
          <w:szCs w:val="31"/>
          <w:lang w:val="zh-CN"/>
        </w:rPr>
      </w:pPr>
    </w:p>
    <w:p>
      <w:pPr>
        <w:pStyle w:val="18"/>
        <w:rPr>
          <w:rFonts w:hint="eastAsia" w:ascii="宋体" w:hAnsi="宋体" w:eastAsia="宋体" w:cs="宋体"/>
          <w:color w:val="auto"/>
        </w:rPr>
        <w:sectPr>
          <w:headerReference r:id="rId4" w:type="first"/>
          <w:footerReference r:id="rId6" w:type="first"/>
          <w:headerReference r:id="rId3" w:type="default"/>
          <w:footerReference r:id="rId5" w:type="default"/>
          <w:pgSz w:w="11906" w:h="16838"/>
          <w:pgMar w:top="1418" w:right="1417" w:bottom="1418" w:left="141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pPr>
        <w:spacing w:before="0" w:beforeLines="0" w:after="0" w:afterLines="0" w:line="240" w:lineRule="auto"/>
        <w:ind w:left="0" w:leftChars="0" w:right="0" w:rightChars="0" w:firstLine="0" w:firstLineChars="0"/>
        <w:jc w:val="center"/>
        <w:rPr>
          <w:rFonts w:hint="eastAsia" w:ascii="宋体" w:hAnsi="宋体" w:eastAsia="宋体" w:cs="宋体"/>
          <w:b/>
          <w:bCs/>
        </w:rPr>
      </w:pPr>
      <w:bookmarkStart w:id="0" w:name="_Toc26663"/>
      <w:bookmarkStart w:id="1" w:name="_Toc24631"/>
      <w:bookmarkStart w:id="2" w:name="_Toc8184"/>
      <w:bookmarkStart w:id="3" w:name="_Toc8757"/>
      <w:bookmarkStart w:id="4" w:name="_Toc7471"/>
      <w:r>
        <w:rPr>
          <w:rFonts w:hint="eastAsia" w:ascii="宋体" w:hAnsi="宋体" w:eastAsia="宋体" w:cs="宋体"/>
          <w:b/>
          <w:bCs/>
          <w:sz w:val="21"/>
        </w:rPr>
        <w:t>目</w:t>
      </w:r>
      <w:r>
        <w:rPr>
          <w:rFonts w:hint="eastAsia" w:ascii="宋体" w:hAnsi="宋体" w:eastAsia="宋体" w:cs="宋体"/>
          <w:b/>
          <w:bCs/>
          <w:sz w:val="21"/>
          <w:lang w:val="en-US" w:eastAsia="zh-CN"/>
        </w:rPr>
        <w:t xml:space="preserve">  </w:t>
      </w:r>
      <w:r>
        <w:rPr>
          <w:rFonts w:hint="eastAsia" w:ascii="宋体" w:hAnsi="宋体" w:eastAsia="宋体" w:cs="宋体"/>
          <w:b/>
          <w:bCs/>
          <w:sz w:val="21"/>
        </w:rPr>
        <w:t>录</w:t>
      </w:r>
    </w:p>
    <w:p>
      <w:pPr>
        <w:pStyle w:val="11"/>
        <w:tabs>
          <w:tab w:val="right" w:leader="dot" w:pos="9072"/>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"1-3" \h \u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_Toc5076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第一章</w:t>
      </w:r>
      <w:r>
        <w:rPr>
          <w:rFonts w:hint="eastAsia" w:ascii="宋体" w:hAnsi="宋体" w:eastAsia="宋体" w:cs="宋体"/>
          <w:b/>
          <w:bCs/>
          <w:sz w:val="28"/>
          <w:szCs w:val="28"/>
          <w:lang w:val="en-US" w:eastAsia="zh-CN"/>
        </w:rPr>
        <w:t xml:space="preserve"> 竞争性磋商公告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_Toc5076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1"/>
        <w:tabs>
          <w:tab w:val="right" w:leader="dot" w:pos="9072"/>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_Toc15972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第二章 供应商须知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_Toc15972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6</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5"/>
        <w:tabs>
          <w:tab w:val="right" w:leader="dot" w:pos="9072"/>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_Toc2078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总  则</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_Toc2078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12</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5"/>
        <w:tabs>
          <w:tab w:val="right" w:leader="dot" w:pos="9072"/>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_Toc29028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二、</w:t>
      </w:r>
      <w:r>
        <w:rPr>
          <w:rFonts w:hint="eastAsia" w:ascii="宋体" w:hAnsi="宋体" w:eastAsia="宋体" w:cs="宋体"/>
          <w:b/>
          <w:bCs/>
          <w:sz w:val="28"/>
          <w:szCs w:val="28"/>
          <w:lang w:eastAsia="zh-CN"/>
        </w:rPr>
        <w:t>竞争性磋商文件</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_Toc29028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14</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5"/>
        <w:tabs>
          <w:tab w:val="right" w:leader="dot" w:pos="9072"/>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_Toc14881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三、 </w:t>
      </w:r>
      <w:r>
        <w:rPr>
          <w:rFonts w:hint="eastAsia" w:ascii="宋体" w:hAnsi="宋体" w:eastAsia="宋体" w:cs="宋体"/>
          <w:b/>
          <w:bCs/>
          <w:sz w:val="28"/>
          <w:szCs w:val="28"/>
          <w:lang w:val="en-US" w:eastAsia="zh-CN"/>
        </w:rPr>
        <w:t>响应</w:t>
      </w:r>
      <w:r>
        <w:rPr>
          <w:rFonts w:hint="eastAsia" w:ascii="宋体" w:hAnsi="宋体" w:eastAsia="宋体" w:cs="宋体"/>
          <w:b/>
          <w:bCs/>
          <w:sz w:val="28"/>
          <w:szCs w:val="28"/>
        </w:rPr>
        <w:t>文件的编制</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_Toc14881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16</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5"/>
        <w:tabs>
          <w:tab w:val="right" w:leader="dot" w:pos="9072"/>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_Toc2665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四、 </w:t>
      </w:r>
      <w:r>
        <w:rPr>
          <w:rFonts w:hint="eastAsia" w:ascii="宋体" w:hAnsi="宋体" w:eastAsia="宋体" w:cs="宋体"/>
          <w:b/>
          <w:bCs/>
          <w:sz w:val="28"/>
          <w:szCs w:val="28"/>
          <w:lang w:eastAsia="zh-CN"/>
        </w:rPr>
        <w:t>响应文件</w:t>
      </w:r>
      <w:r>
        <w:rPr>
          <w:rFonts w:hint="eastAsia" w:ascii="宋体" w:hAnsi="宋体" w:eastAsia="宋体" w:cs="宋体"/>
          <w:b/>
          <w:bCs/>
          <w:sz w:val="28"/>
          <w:szCs w:val="28"/>
        </w:rPr>
        <w:t>的</w:t>
      </w:r>
      <w:r>
        <w:rPr>
          <w:rFonts w:hint="eastAsia" w:ascii="宋体" w:hAnsi="宋体" w:eastAsia="宋体" w:cs="宋体"/>
          <w:b/>
          <w:bCs/>
          <w:sz w:val="28"/>
          <w:szCs w:val="28"/>
          <w:lang w:val="en-US" w:eastAsia="zh-CN"/>
        </w:rPr>
        <w:t>提</w:t>
      </w:r>
      <w:r>
        <w:rPr>
          <w:rFonts w:hint="eastAsia" w:ascii="宋体" w:hAnsi="宋体" w:eastAsia="宋体" w:cs="宋体"/>
          <w:b/>
          <w:bCs/>
          <w:sz w:val="28"/>
          <w:szCs w:val="28"/>
        </w:rPr>
        <w:t>交</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_Toc2665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5"/>
        <w:tabs>
          <w:tab w:val="right" w:leader="dot" w:pos="9072"/>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_Toc12676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五、开   标</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_Toc12676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19</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5"/>
        <w:tabs>
          <w:tab w:val="right" w:leader="dot" w:pos="9072"/>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_Toc28173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六、 评标、定标</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_Toc28173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20</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1"/>
        <w:tabs>
          <w:tab w:val="right" w:leader="dot" w:pos="9072"/>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_Toc30169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eastAsia="zh-CN"/>
        </w:rPr>
        <w:t>第三章</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采购内容及技术要求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_Toc30169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1"/>
        <w:tabs>
          <w:tab w:val="right" w:leader="dot" w:pos="9072"/>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_Toc28012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第四章 主要</w:t>
      </w:r>
      <w:r>
        <w:rPr>
          <w:rFonts w:hint="eastAsia" w:ascii="宋体" w:hAnsi="宋体" w:eastAsia="宋体" w:cs="宋体"/>
          <w:b/>
          <w:bCs/>
          <w:sz w:val="28"/>
          <w:szCs w:val="28"/>
          <w:lang w:eastAsia="zh-CN"/>
        </w:rPr>
        <w:t>响应文件</w:t>
      </w:r>
      <w:r>
        <w:rPr>
          <w:rFonts w:hint="eastAsia" w:ascii="宋体" w:hAnsi="宋体" w:eastAsia="宋体" w:cs="宋体"/>
          <w:b/>
          <w:bCs/>
          <w:sz w:val="28"/>
          <w:szCs w:val="28"/>
        </w:rPr>
        <w:t>的格式及其内容</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_Toc28012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ascii="宋体" w:hAnsi="宋体" w:eastAsia="宋体" w:cs="宋体"/>
          <w:b/>
          <w:bCs/>
          <w:sz w:val="28"/>
          <w:szCs w:val="28"/>
        </w:rPr>
      </w:pPr>
      <w:r>
        <w:rPr>
          <w:rFonts w:hint="eastAsia" w:ascii="宋体" w:hAnsi="宋体" w:eastAsia="宋体" w:cs="宋体"/>
          <w:b/>
          <w:bCs/>
          <w:sz w:val="28"/>
          <w:szCs w:val="28"/>
        </w:rPr>
        <w:fldChar w:fldCharType="end"/>
      </w:r>
    </w:p>
    <w:p>
      <w:pPr>
        <w:bidi w:val="0"/>
        <w:jc w:val="center"/>
        <w:rPr>
          <w:rFonts w:hint="eastAsia" w:ascii="宋体" w:hAnsi="宋体" w:eastAsia="宋体" w:cs="宋体"/>
          <w:b/>
          <w:color w:val="auto"/>
          <w:sz w:val="36"/>
          <w:szCs w:val="36"/>
        </w:rPr>
      </w:pPr>
      <w:r>
        <w:rPr>
          <w:rFonts w:hint="eastAsia" w:ascii="宋体" w:hAnsi="宋体" w:eastAsia="宋体" w:cs="宋体"/>
          <w:bCs/>
          <w:color w:val="auto"/>
          <w:szCs w:val="28"/>
        </w:rPr>
        <w:br w:type="page"/>
      </w:r>
      <w:r>
        <w:rPr>
          <w:rFonts w:hint="eastAsia" w:ascii="宋体" w:hAnsi="宋体" w:eastAsia="宋体" w:cs="宋体"/>
          <w:b/>
          <w:color w:val="auto"/>
          <w:sz w:val="44"/>
          <w:szCs w:val="44"/>
        </w:rPr>
        <w:t>特 别 提 示</w:t>
      </w:r>
      <w:bookmarkEnd w:id="0"/>
      <w:bookmarkEnd w:id="1"/>
      <w:bookmarkEnd w:id="2"/>
      <w:bookmarkEnd w:id="3"/>
      <w:bookmarkEnd w:id="4"/>
    </w:p>
    <w:p>
      <w:pPr>
        <w:bidi w:val="0"/>
        <w:rPr>
          <w:rFonts w:hint="eastAsia" w:ascii="宋体" w:hAnsi="宋体" w:eastAsia="宋体" w:cs="宋体"/>
          <w:b/>
          <w:bCs/>
          <w:color w:val="auto"/>
          <w:sz w:val="28"/>
          <w:szCs w:val="28"/>
        </w:rPr>
      </w:pPr>
      <w:r>
        <w:rPr>
          <w:rFonts w:hint="eastAsia" w:ascii="宋体" w:hAnsi="宋体" w:eastAsia="宋体" w:cs="宋体"/>
          <w:b/>
          <w:bCs/>
          <w:color w:val="auto"/>
          <w:sz w:val="28"/>
          <w:szCs w:val="28"/>
        </w:rPr>
        <w:t>各供应商：</w:t>
      </w:r>
    </w:p>
    <w:p>
      <w:pPr>
        <w:bidi w:val="0"/>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在参与本次采购项目投标时，请按</w:t>
      </w:r>
      <w:r>
        <w:rPr>
          <w:rFonts w:hint="eastAsia" w:ascii="宋体" w:hAnsi="宋体" w:eastAsia="宋体" w:cs="宋体"/>
          <w:b/>
          <w:bCs/>
          <w:color w:val="auto"/>
          <w:sz w:val="28"/>
          <w:szCs w:val="28"/>
          <w:lang w:eastAsia="zh-CN"/>
        </w:rPr>
        <w:t>竞争性磋商文件</w:t>
      </w:r>
      <w:r>
        <w:rPr>
          <w:rFonts w:hint="eastAsia" w:ascii="宋体" w:hAnsi="宋体" w:eastAsia="宋体" w:cs="宋体"/>
          <w:b/>
          <w:bCs/>
          <w:color w:val="auto"/>
          <w:sz w:val="28"/>
          <w:szCs w:val="28"/>
        </w:rPr>
        <w:t>中规定的可能导致无效投标、废标、黑体字要求的内容逐条响应,若不响应将导致投标失败。</w:t>
      </w:r>
      <w:bookmarkStart w:id="5" w:name="_Toc16329"/>
      <w:bookmarkStart w:id="6" w:name="_Toc3329"/>
      <w:bookmarkStart w:id="7" w:name="_Toc22470"/>
      <w:bookmarkStart w:id="8" w:name="_Toc10095"/>
      <w:bookmarkStart w:id="9" w:name="_Toc30457"/>
    </w:p>
    <w:p>
      <w:pPr>
        <w:bidi w:val="0"/>
        <w:jc w:val="center"/>
        <w:rPr>
          <w:rFonts w:hint="eastAsia" w:ascii="宋体" w:hAnsi="宋体" w:eastAsia="宋体" w:cs="宋体"/>
          <w:b/>
          <w:bCs/>
          <w:color w:val="auto"/>
          <w:sz w:val="32"/>
          <w:szCs w:val="21"/>
        </w:rPr>
        <w:sectPr>
          <w:footerReference r:id="rId7" w:type="default"/>
          <w:pgSz w:w="11906" w:h="16838"/>
          <w:pgMar w:top="1418" w:right="1417" w:bottom="1418" w:left="141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pStyle w:val="3"/>
        <w:bidi w:val="0"/>
        <w:rPr>
          <w:rFonts w:hint="eastAsia" w:ascii="宋体" w:hAnsi="宋体" w:eastAsia="宋体" w:cs="宋体"/>
        </w:rPr>
      </w:pPr>
      <w:bookmarkStart w:id="10" w:name="_Toc24067"/>
      <w:bookmarkStart w:id="11" w:name="_Toc5076"/>
      <w:r>
        <w:rPr>
          <w:rFonts w:hint="eastAsia" w:ascii="宋体" w:hAnsi="宋体" w:eastAsia="宋体" w:cs="宋体"/>
        </w:rPr>
        <w:t>第一章</w:t>
      </w:r>
      <w:r>
        <w:rPr>
          <w:rFonts w:hint="eastAsia" w:ascii="宋体" w:hAnsi="宋体" w:eastAsia="宋体" w:cs="宋体"/>
          <w:lang w:val="en-US" w:eastAsia="zh-CN"/>
        </w:rPr>
        <w:t xml:space="preserve"> </w:t>
      </w:r>
      <w:bookmarkEnd w:id="5"/>
      <w:bookmarkEnd w:id="6"/>
      <w:bookmarkEnd w:id="7"/>
      <w:bookmarkEnd w:id="8"/>
      <w:bookmarkEnd w:id="9"/>
      <w:r>
        <w:rPr>
          <w:rFonts w:hint="eastAsia" w:ascii="宋体" w:hAnsi="宋体" w:eastAsia="宋体" w:cs="宋体"/>
          <w:lang w:val="en-US" w:eastAsia="zh-CN"/>
        </w:rPr>
        <w:t>竞争性磋商公告</w:t>
      </w:r>
      <w:bookmarkEnd w:id="10"/>
      <w:bookmarkEnd w:id="11"/>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color w:val="auto"/>
          <w:sz w:val="24"/>
          <w:szCs w:val="24"/>
          <w:highlight w:val="none"/>
        </w:rPr>
      </w:pPr>
      <w:bookmarkStart w:id="12" w:name="_Toc28183"/>
      <w:bookmarkStart w:id="13" w:name="_Toc3183"/>
      <w:bookmarkStart w:id="14" w:name="_Toc31575"/>
      <w:bookmarkStart w:id="15" w:name="_Toc21191"/>
      <w:bookmarkStart w:id="16" w:name="_Toc17188"/>
      <w:r>
        <w:rPr>
          <w:rFonts w:hint="eastAsia" w:ascii="宋体" w:hAnsi="宋体" w:eastAsia="宋体" w:cs="宋体"/>
          <w:color w:val="auto"/>
          <w:sz w:val="24"/>
          <w:szCs w:val="24"/>
          <w:highlight w:val="none"/>
        </w:rPr>
        <w:t>受采购单位新疆轮台县自然资源局的委托，</w:t>
      </w:r>
      <w:r>
        <w:rPr>
          <w:rFonts w:hint="eastAsia" w:ascii="宋体" w:hAnsi="宋体" w:cs="宋体"/>
          <w:color w:val="auto"/>
          <w:sz w:val="24"/>
          <w:szCs w:val="24"/>
          <w:highlight w:val="none"/>
          <w:lang w:eastAsia="zh-CN"/>
        </w:rPr>
        <w:t>新疆鸿澜工程项目管理有限公司</w:t>
      </w:r>
      <w:r>
        <w:rPr>
          <w:rFonts w:hint="eastAsia" w:ascii="宋体" w:hAnsi="宋体" w:eastAsia="宋体" w:cs="宋体"/>
          <w:color w:val="auto"/>
          <w:sz w:val="24"/>
          <w:szCs w:val="24"/>
          <w:highlight w:val="none"/>
        </w:rPr>
        <w:t>将对下列项目进行竞争性磋商采购，现邀请合格供应商提交</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w:t>
      </w: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一、项目基本情况</w:t>
      </w: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项目编号：XJHL-(JZXCS)-2021-0</w:t>
      </w:r>
      <w:r>
        <w:rPr>
          <w:rFonts w:hint="eastAsia" w:ascii="宋体" w:hAnsi="宋体" w:cs="宋体"/>
          <w:color w:val="auto"/>
          <w:sz w:val="24"/>
          <w:szCs w:val="24"/>
          <w:highlight w:val="none"/>
          <w:lang w:val="en-US" w:eastAsia="zh-CN"/>
        </w:rPr>
        <w:t>3</w:t>
      </w: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项目名称：新疆轮台县自然资源局永久基本农田全面核实及划定项目</w:t>
      </w: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采购方式：</w:t>
      </w:r>
      <w:r>
        <w:rPr>
          <w:rFonts w:hint="eastAsia" w:ascii="宋体" w:hAnsi="宋体" w:cs="宋体"/>
          <w:color w:val="auto"/>
          <w:sz w:val="24"/>
          <w:szCs w:val="24"/>
          <w:highlight w:val="none"/>
          <w:lang w:eastAsia="zh-CN"/>
        </w:rPr>
        <w:t>竞争性磋商</w:t>
      </w: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预算金额（元）：</w:t>
      </w:r>
      <w:r>
        <w:rPr>
          <w:rFonts w:hint="eastAsia" w:ascii="宋体" w:hAnsi="宋体" w:cs="宋体"/>
          <w:color w:val="auto"/>
          <w:sz w:val="24"/>
          <w:szCs w:val="24"/>
          <w:highlight w:val="none"/>
          <w:lang w:val="en-US" w:eastAsia="zh-CN"/>
        </w:rPr>
        <w:t>900000.00</w:t>
      </w:r>
      <w:r>
        <w:rPr>
          <w:rFonts w:hint="eastAsia" w:ascii="宋体" w:hAnsi="宋体" w:eastAsia="宋体" w:cs="宋体"/>
          <w:color w:val="auto"/>
          <w:sz w:val="24"/>
          <w:szCs w:val="24"/>
          <w:highlight w:val="none"/>
        </w:rPr>
        <w:t>元</w:t>
      </w: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最高限价（元）：</w:t>
      </w:r>
      <w:r>
        <w:rPr>
          <w:rFonts w:hint="eastAsia" w:ascii="宋体" w:hAnsi="宋体" w:cs="宋体"/>
          <w:color w:val="auto"/>
          <w:sz w:val="24"/>
          <w:szCs w:val="24"/>
          <w:highlight w:val="none"/>
          <w:lang w:val="en-US" w:eastAsia="zh-CN"/>
        </w:rPr>
        <w:t>900000.00</w:t>
      </w:r>
      <w:r>
        <w:rPr>
          <w:rFonts w:hint="eastAsia" w:ascii="宋体" w:hAnsi="宋体" w:eastAsia="宋体" w:cs="宋体"/>
          <w:color w:val="auto"/>
          <w:sz w:val="24"/>
          <w:szCs w:val="24"/>
          <w:highlight w:val="none"/>
        </w:rPr>
        <w:t>元</w:t>
      </w: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数量:不限</w:t>
      </w: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采购内容：永久基本农田储备区划定</w:t>
      </w:r>
      <w:r>
        <w:rPr>
          <w:rFonts w:hint="eastAsia" w:ascii="宋体" w:hAnsi="宋体" w:cs="宋体"/>
          <w:color w:val="auto"/>
          <w:sz w:val="24"/>
          <w:szCs w:val="24"/>
          <w:highlight w:val="none"/>
          <w:lang w:val="en-US" w:eastAsia="zh-CN"/>
        </w:rPr>
        <w:t>及永久基本农田全面核实整改工作内容</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（具体技术要求详见招标文件）</w:t>
      </w: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服务地点：</w:t>
      </w:r>
      <w:r>
        <w:rPr>
          <w:rFonts w:hint="eastAsia" w:ascii="宋体" w:hAnsi="宋体" w:cs="宋体"/>
          <w:color w:val="auto"/>
          <w:sz w:val="24"/>
          <w:szCs w:val="24"/>
          <w:highlight w:val="none"/>
          <w:lang w:val="en-US" w:eastAsia="zh-CN"/>
        </w:rPr>
        <w:t>新疆轮台县</w:t>
      </w:r>
      <w:r>
        <w:rPr>
          <w:rFonts w:hint="eastAsia" w:ascii="宋体" w:hAnsi="宋体" w:eastAsia="宋体" w:cs="宋体"/>
          <w:color w:val="auto"/>
          <w:sz w:val="24"/>
          <w:szCs w:val="24"/>
          <w:highlight w:val="none"/>
        </w:rPr>
        <w:t>。</w:t>
      </w:r>
    </w:p>
    <w:p>
      <w:pPr>
        <w:pageBreakBefore w:val="0"/>
        <w:widowControl/>
        <w:numPr>
          <w:ilvl w:val="0"/>
          <w:numId w:val="0"/>
        </w:numPr>
        <w:kinsoku/>
        <w:wordWrap/>
        <w:overflowPunct/>
        <w:topLinePunct w:val="0"/>
        <w:bidi w:val="0"/>
        <w:adjustRightInd w:val="0"/>
        <w:snapToGrid w:val="0"/>
        <w:spacing w:line="360" w:lineRule="auto"/>
        <w:ind w:firstLine="484" w:firstLineChars="200"/>
        <w:jc w:val="left"/>
        <w:textAlignment w:val="auto"/>
        <w:rPr>
          <w:rFonts w:hint="eastAsia" w:ascii="宋体" w:hAnsi="宋体" w:cs="宋体"/>
          <w:b/>
          <w:bCs/>
          <w:color w:val="auto"/>
          <w:sz w:val="24"/>
          <w:szCs w:val="24"/>
          <w:highlight w:val="none"/>
          <w:lang w:eastAsia="zh-CN"/>
        </w:rPr>
      </w:pPr>
      <w:r>
        <w:rPr>
          <w:rFonts w:hint="eastAsia" w:ascii="宋体" w:hAnsi="宋体" w:cs="宋体"/>
          <w:color w:val="auto"/>
          <w:sz w:val="24"/>
          <w:szCs w:val="24"/>
          <w:highlight w:val="none"/>
          <w:lang w:eastAsia="zh-CN"/>
        </w:rPr>
        <w:t>服务期限：202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05</w:t>
      </w:r>
      <w:r>
        <w:rPr>
          <w:rFonts w:hint="eastAsia" w:ascii="宋体" w:hAnsi="宋体" w:cs="宋体"/>
          <w:color w:val="auto"/>
          <w:sz w:val="24"/>
          <w:szCs w:val="24"/>
          <w:highlight w:val="none"/>
          <w:lang w:eastAsia="zh-CN"/>
        </w:rPr>
        <w:t>月前完成本项目全部工作内容（以最终签订合同为准）。</w:t>
      </w:r>
    </w:p>
    <w:p>
      <w:pPr>
        <w:pageBreakBefore w:val="0"/>
        <w:widowControl/>
        <w:numPr>
          <w:ilvl w:val="0"/>
          <w:numId w:val="0"/>
        </w:numPr>
        <w:kinsoku/>
        <w:wordWrap/>
        <w:overflowPunct/>
        <w:topLinePunct w:val="0"/>
        <w:bidi w:val="0"/>
        <w:adjustRightInd w:val="0"/>
        <w:snapToGrid w:val="0"/>
        <w:spacing w:line="360" w:lineRule="auto"/>
        <w:ind w:firstLine="484" w:firstLineChars="200"/>
        <w:jc w:val="left"/>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二、投标人资格要求</w:t>
      </w:r>
    </w:p>
    <w:p>
      <w:pPr>
        <w:pageBreakBefore w:val="0"/>
        <w:widowControl/>
        <w:kinsoku/>
        <w:wordWrap/>
        <w:overflowPunct/>
        <w:topLinePunct w:val="0"/>
        <w:bidi w:val="0"/>
        <w:adjustRightInd w:val="0"/>
        <w:snapToGrid w:val="0"/>
        <w:spacing w:line="360" w:lineRule="auto"/>
        <w:ind w:firstLine="484"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（1）满足《中华人民共和国政府采购法》第二十二条规定并提交承诺书彩色扫描件；</w:t>
      </w:r>
    </w:p>
    <w:p>
      <w:pPr>
        <w:pageBreakBefore w:val="0"/>
        <w:widowControl/>
        <w:kinsoku/>
        <w:wordWrap/>
        <w:overflowPunct/>
        <w:topLinePunct w:val="0"/>
        <w:bidi w:val="0"/>
        <w:adjustRightInd w:val="0"/>
        <w:snapToGrid w:val="0"/>
        <w:spacing w:line="360" w:lineRule="auto"/>
        <w:ind w:firstLine="484"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（2）具有独立法人资格的有效企业法人营业执照或事业单位法人证书；</w:t>
      </w:r>
    </w:p>
    <w:p>
      <w:pPr>
        <w:pageBreakBefore w:val="0"/>
        <w:widowControl/>
        <w:kinsoku/>
        <w:wordWrap/>
        <w:overflowPunct/>
        <w:topLinePunct w:val="0"/>
        <w:bidi w:val="0"/>
        <w:adjustRightInd w:val="0"/>
        <w:snapToGrid w:val="0"/>
        <w:spacing w:line="360" w:lineRule="auto"/>
        <w:ind w:firstLine="484"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（3）具有土地规划丙级（含丙级）以上资质</w:t>
      </w:r>
      <w:r>
        <w:rPr>
          <w:rFonts w:hint="eastAsia" w:ascii="宋体" w:hAnsi="宋体" w:cs="宋体"/>
          <w:b/>
          <w:bCs/>
          <w:color w:val="auto"/>
          <w:sz w:val="24"/>
          <w:szCs w:val="24"/>
          <w:highlight w:val="none"/>
          <w:lang w:val="en-US" w:eastAsia="zh-CN"/>
        </w:rPr>
        <w:t>；</w:t>
      </w: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）具有良好的信誉，未被 “信用中国”(www.creditchina.gov.cn) 列入失信被执行人、重大税收违法案件当事人名单，未被 “中国政府采购网”（www.ccgp.gov.cn）列入政府采购严重违法失信行为记录名单</w:t>
      </w:r>
      <w:r>
        <w:rPr>
          <w:rFonts w:hint="eastAsia" w:ascii="宋体" w:hAnsi="宋体" w:cs="宋体"/>
          <w:b/>
          <w:bCs/>
          <w:color w:val="auto"/>
          <w:sz w:val="24"/>
          <w:szCs w:val="24"/>
          <w:highlight w:val="none"/>
          <w:lang w:val="en-US" w:eastAsia="zh-CN"/>
        </w:rPr>
        <w:t>。</w:t>
      </w:r>
    </w:p>
    <w:p>
      <w:pPr>
        <w:pageBreakBefore w:val="0"/>
        <w:widowControl/>
        <w:kinsoku/>
        <w:wordWrap/>
        <w:overflowPunct/>
        <w:topLinePunct w:val="0"/>
        <w:bidi w:val="0"/>
        <w:adjustRightInd w:val="0"/>
        <w:snapToGrid w:val="0"/>
        <w:spacing w:line="360" w:lineRule="auto"/>
        <w:ind w:firstLine="484"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）本项目不接受联合体投标。</w:t>
      </w: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三、</w:t>
      </w:r>
      <w:r>
        <w:rPr>
          <w:rFonts w:hint="eastAsia" w:ascii="宋体" w:hAnsi="宋体" w:eastAsia="宋体" w:cs="宋体"/>
          <w:b/>
          <w:bCs/>
          <w:color w:val="auto"/>
          <w:sz w:val="24"/>
          <w:szCs w:val="24"/>
          <w:highlight w:val="none"/>
        </w:rPr>
        <w:t>获取竞争性磋商文件时间</w:t>
      </w:r>
      <w:r>
        <w:rPr>
          <w:rFonts w:hint="eastAsia" w:ascii="宋体" w:hAnsi="宋体" w:cs="宋体"/>
          <w:b/>
          <w:bCs/>
          <w:color w:val="auto"/>
          <w:sz w:val="24"/>
          <w:szCs w:val="24"/>
          <w:highlight w:val="none"/>
          <w:lang w:eastAsia="zh-CN"/>
        </w:rPr>
        <w:t>及方式</w:t>
      </w:r>
      <w:r>
        <w:rPr>
          <w:rFonts w:hint="eastAsia" w:ascii="宋体" w:hAnsi="宋体" w:eastAsia="宋体" w:cs="宋体"/>
          <w:color w:val="auto"/>
          <w:sz w:val="24"/>
          <w:szCs w:val="24"/>
          <w:highlight w:val="none"/>
        </w:rPr>
        <w:t>：</w:t>
      </w: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eastAsia="zh-CN"/>
        </w:rPr>
        <w:t>2021年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lang w:eastAsia="zh-CN"/>
        </w:rPr>
        <w:t>月</w:t>
      </w:r>
      <w:r>
        <w:rPr>
          <w:rFonts w:hint="eastAsia" w:ascii="宋体" w:hAnsi="宋体" w:cs="宋体"/>
          <w:color w:val="auto"/>
          <w:kern w:val="0"/>
          <w:sz w:val="24"/>
          <w:highlight w:val="none"/>
          <w:lang w:val="en-US" w:eastAsia="zh-CN"/>
        </w:rPr>
        <w:t>07</w:t>
      </w:r>
      <w:r>
        <w:rPr>
          <w:rFonts w:hint="eastAsia" w:ascii="宋体" w:hAnsi="宋体" w:eastAsia="宋体" w:cs="宋体"/>
          <w:color w:val="auto"/>
          <w:kern w:val="0"/>
          <w:sz w:val="24"/>
          <w:highlight w:val="none"/>
          <w:lang w:eastAsia="zh-CN"/>
        </w:rPr>
        <w:t>日起至2021年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lang w:eastAsia="zh-CN"/>
        </w:rPr>
        <w:t>月</w:t>
      </w:r>
      <w:r>
        <w:rPr>
          <w:rFonts w:hint="eastAsia" w:ascii="宋体" w:hAnsi="宋体" w:cs="宋体"/>
          <w:color w:val="auto"/>
          <w:kern w:val="0"/>
          <w:sz w:val="24"/>
          <w:highlight w:val="none"/>
          <w:lang w:val="en-US" w:eastAsia="zh-CN"/>
        </w:rPr>
        <w:t>14</w:t>
      </w:r>
      <w:r>
        <w:rPr>
          <w:rFonts w:hint="eastAsia" w:ascii="宋体" w:hAnsi="宋体" w:eastAsia="宋体" w:cs="宋体"/>
          <w:color w:val="auto"/>
          <w:kern w:val="0"/>
          <w:sz w:val="24"/>
          <w:highlight w:val="none"/>
          <w:lang w:eastAsia="zh-CN"/>
        </w:rPr>
        <w:t>日止</w:t>
      </w:r>
      <w:r>
        <w:rPr>
          <w:rFonts w:hint="eastAsia" w:ascii="宋体" w:hAnsi="宋体" w:eastAsia="宋体" w:cs="宋体"/>
          <w:color w:val="auto"/>
          <w:sz w:val="24"/>
          <w:szCs w:val="24"/>
          <w:highlight w:val="none"/>
        </w:rPr>
        <w:t>。</w:t>
      </w:r>
    </w:p>
    <w:p>
      <w:pPr>
        <w:pStyle w:val="17"/>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报名（发售／获取）地址：</w:t>
      </w:r>
      <w:r>
        <w:rPr>
          <w:rFonts w:hint="eastAsia" w:ascii="宋体" w:hAnsi="宋体" w:eastAsia="宋体" w:cs="宋体"/>
          <w:color w:val="auto"/>
          <w:kern w:val="2"/>
          <w:sz w:val="24"/>
          <w:szCs w:val="24"/>
          <w:highlight w:val="none"/>
          <w:lang w:val="en-US" w:eastAsia="zh-CN" w:bidi="ar-SA"/>
        </w:rPr>
        <w:t>在政采云平台（www.zcygov.cn）在线申请获取磋商文件（进入“项目采购”应用，在获取采购文件菜单中选择项目，申请获取采购文件），过期不予受理。</w:t>
      </w:r>
    </w:p>
    <w:p>
      <w:pPr>
        <w:pStyle w:val="17"/>
        <w:keepNext w:val="0"/>
        <w:keepLines w:val="0"/>
        <w:widowControl/>
        <w:suppressLineNumbers w:val="0"/>
        <w:spacing w:before="75" w:beforeAutospacing="0" w:after="75" w:afterAutospacing="0" w:line="360" w:lineRule="auto"/>
        <w:ind w:left="0" w:right="0" w:firstLine="484"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投标人购买标书时应提交的资料：</w:t>
      </w:r>
      <w:r>
        <w:rPr>
          <w:rFonts w:hint="eastAsia" w:ascii="宋体" w:hAnsi="宋体" w:eastAsia="宋体" w:cs="宋体"/>
          <w:color w:val="FF0000"/>
          <w:kern w:val="2"/>
          <w:sz w:val="24"/>
          <w:szCs w:val="24"/>
          <w:highlight w:val="none"/>
          <w:lang w:val="en-US" w:eastAsia="zh-CN" w:bidi="ar-SA"/>
        </w:rPr>
        <w:t>申请获取磋商文件前须上传的资格证明文件彩色扫描件有：营业执照副本、土地规划丙级（含丙级）以上资质</w:t>
      </w:r>
      <w:r>
        <w:rPr>
          <w:rFonts w:hint="eastAsia" w:cs="宋体"/>
          <w:color w:val="FF0000"/>
          <w:kern w:val="2"/>
          <w:sz w:val="24"/>
          <w:szCs w:val="24"/>
          <w:highlight w:val="none"/>
          <w:lang w:val="en-US" w:eastAsia="zh-CN" w:bidi="ar-SA"/>
        </w:rPr>
        <w:t>、</w:t>
      </w:r>
      <w:r>
        <w:rPr>
          <w:rFonts w:hint="eastAsia" w:ascii="宋体" w:hAnsi="宋体" w:eastAsia="宋体" w:cs="宋体"/>
          <w:color w:val="FF0000"/>
          <w:kern w:val="2"/>
          <w:sz w:val="24"/>
          <w:szCs w:val="24"/>
          <w:highlight w:val="none"/>
          <w:lang w:val="en-US" w:eastAsia="zh-CN" w:bidi="ar-SA"/>
        </w:rPr>
        <w:t>法定代表人授权书、被授权人身份证</w:t>
      </w:r>
      <w:r>
        <w:rPr>
          <w:rFonts w:hint="eastAsia" w:cs="宋体"/>
          <w:color w:val="FF0000"/>
          <w:kern w:val="2"/>
          <w:sz w:val="24"/>
          <w:szCs w:val="24"/>
          <w:highlight w:val="none"/>
          <w:lang w:val="en-US" w:eastAsia="zh-CN" w:bidi="ar-SA"/>
        </w:rPr>
        <w:t>、在“信用中国”（www.creditchina.gov.cn）和中国政府采购网（www.ccgp.gov.cn）网站上未被列入失信被执行人、重大税收违法案件当事人名单以及政府采购严重违法失信行为记录名单的网页打印件（网页打印件须自招标公告发布之日起至首次提交投标文件截止时间内从上述网站中打印）并加盖公章，</w:t>
      </w:r>
      <w:r>
        <w:rPr>
          <w:rFonts w:hint="eastAsia" w:ascii="宋体" w:hAnsi="宋体" w:eastAsia="宋体" w:cs="宋体"/>
          <w:color w:val="FF0000"/>
          <w:kern w:val="2"/>
          <w:sz w:val="24"/>
          <w:szCs w:val="24"/>
          <w:highlight w:val="none"/>
          <w:lang w:val="en-US" w:eastAsia="zh-CN" w:bidi="ar-SA"/>
        </w:rPr>
        <w:t>务必将以上报名资料形成1个PDF文件并加盖公章提交，否则将被退回。</w:t>
      </w: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11、投标保证金缴纳及确认时间：凡拟参加本次招标项目的供应商，必须在</w:t>
      </w:r>
      <w:r>
        <w:rPr>
          <w:rFonts w:hint="eastAsia" w:ascii="宋体" w:hAnsi="宋体" w:eastAsia="宋体" w:cs="宋体"/>
          <w:b/>
          <w:bCs/>
          <w:color w:val="auto"/>
          <w:kern w:val="0"/>
          <w:sz w:val="24"/>
          <w:highlight w:val="none"/>
          <w:lang w:eastAsia="zh-CN"/>
        </w:rPr>
        <w:t>2021年</w:t>
      </w:r>
      <w:r>
        <w:rPr>
          <w:rFonts w:hint="eastAsia" w:ascii="宋体" w:hAnsi="宋体" w:cs="宋体"/>
          <w:b/>
          <w:bCs/>
          <w:color w:val="auto"/>
          <w:kern w:val="0"/>
          <w:sz w:val="24"/>
          <w:highlight w:val="none"/>
          <w:lang w:val="en-US" w:eastAsia="zh-CN"/>
        </w:rPr>
        <w:t>12</w:t>
      </w:r>
      <w:r>
        <w:rPr>
          <w:rFonts w:hint="eastAsia" w:ascii="宋体" w:hAnsi="宋体" w:eastAsia="宋体" w:cs="宋体"/>
          <w:b/>
          <w:bCs/>
          <w:color w:val="auto"/>
          <w:kern w:val="0"/>
          <w:sz w:val="24"/>
          <w:highlight w:val="none"/>
          <w:lang w:eastAsia="zh-CN"/>
        </w:rPr>
        <w:t>月</w:t>
      </w:r>
      <w:r>
        <w:rPr>
          <w:rFonts w:hint="eastAsia" w:ascii="宋体" w:hAnsi="宋体" w:cs="宋体"/>
          <w:b/>
          <w:bCs/>
          <w:color w:val="auto"/>
          <w:kern w:val="0"/>
          <w:sz w:val="24"/>
          <w:highlight w:val="none"/>
          <w:lang w:val="en-US" w:eastAsia="zh-CN"/>
        </w:rPr>
        <w:t>17</w:t>
      </w:r>
      <w:r>
        <w:rPr>
          <w:rFonts w:hint="eastAsia" w:ascii="宋体" w:hAnsi="宋体" w:eastAsia="宋体" w:cs="宋体"/>
          <w:b/>
          <w:bCs/>
          <w:color w:val="auto"/>
          <w:kern w:val="0"/>
          <w:sz w:val="24"/>
          <w:highlight w:val="none"/>
          <w:lang w:eastAsia="zh-CN"/>
        </w:rPr>
        <w:t>日1</w:t>
      </w:r>
      <w:r>
        <w:rPr>
          <w:rFonts w:hint="eastAsia" w:ascii="宋体" w:hAnsi="宋体" w:cs="宋体"/>
          <w:b/>
          <w:bCs/>
          <w:color w:val="auto"/>
          <w:kern w:val="0"/>
          <w:sz w:val="24"/>
          <w:highlight w:val="none"/>
          <w:lang w:val="en-US" w:eastAsia="zh-CN"/>
        </w:rPr>
        <w:t>6</w:t>
      </w:r>
      <w:r>
        <w:rPr>
          <w:rFonts w:hint="eastAsia" w:ascii="宋体" w:hAnsi="宋体" w:eastAsia="宋体" w:cs="宋体"/>
          <w:b/>
          <w:bCs/>
          <w:color w:val="auto"/>
          <w:kern w:val="0"/>
          <w:sz w:val="24"/>
          <w:highlight w:val="none"/>
          <w:lang w:eastAsia="zh-CN"/>
        </w:rPr>
        <w:t>:00时</w:t>
      </w:r>
      <w:r>
        <w:rPr>
          <w:rFonts w:hint="eastAsia" w:ascii="宋体" w:hAnsi="宋体" w:eastAsia="宋体" w:cs="宋体"/>
          <w:color w:val="auto"/>
          <w:sz w:val="24"/>
          <w:szCs w:val="24"/>
          <w:highlight w:val="none"/>
        </w:rPr>
        <w:t>（北京时间）之前将投标保证金汇入指定账户，投标保证金汇款凭证上用途栏应注明本项目</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标准格式：</w:t>
      </w:r>
      <w:r>
        <w:rPr>
          <w:rFonts w:hint="eastAsia" w:ascii="宋体" w:hAnsi="宋体" w:eastAsia="宋体" w:cs="宋体"/>
          <w:color w:val="auto"/>
          <w:sz w:val="24"/>
          <w:szCs w:val="24"/>
          <w:highlight w:val="none"/>
          <w:u w:val="single"/>
          <w:lang w:eastAsia="zh-CN"/>
        </w:rPr>
        <w:t>新疆轮台县自然资源局永久基本农田全面核实及划定项目</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w:t>
      </w: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12、开标（投标）日期：</w:t>
      </w:r>
      <w:r>
        <w:rPr>
          <w:rFonts w:hint="eastAsia" w:ascii="宋体" w:hAnsi="宋体" w:eastAsia="宋体" w:cs="宋体"/>
          <w:b/>
          <w:bCs/>
          <w:color w:val="auto"/>
          <w:sz w:val="24"/>
          <w:szCs w:val="24"/>
          <w:highlight w:val="none"/>
          <w:lang w:eastAsia="zh-CN"/>
        </w:rPr>
        <w:t>2021年</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lang w:eastAsia="zh-CN"/>
        </w:rPr>
        <w:t>月</w:t>
      </w:r>
      <w:r>
        <w:rPr>
          <w:rFonts w:hint="eastAsia" w:ascii="宋体" w:hAnsi="宋体" w:cs="宋体"/>
          <w:b/>
          <w:bCs/>
          <w:color w:val="auto"/>
          <w:sz w:val="24"/>
          <w:szCs w:val="24"/>
          <w:highlight w:val="none"/>
          <w:lang w:val="en-US" w:eastAsia="zh-CN"/>
        </w:rPr>
        <w:t>17</w:t>
      </w:r>
      <w:r>
        <w:rPr>
          <w:rFonts w:hint="eastAsia" w:ascii="宋体" w:hAnsi="宋体" w:eastAsia="宋体" w:cs="宋体"/>
          <w:b/>
          <w:bCs/>
          <w:color w:val="auto"/>
          <w:sz w:val="24"/>
          <w:szCs w:val="24"/>
          <w:highlight w:val="none"/>
          <w:lang w:eastAsia="zh-CN"/>
        </w:rPr>
        <w:t>日</w:t>
      </w:r>
      <w:r>
        <w:rPr>
          <w:rFonts w:hint="eastAsia" w:ascii="宋体" w:hAnsi="宋体" w:cs="宋体"/>
          <w:b/>
          <w:bCs/>
          <w:color w:val="auto"/>
          <w:sz w:val="24"/>
          <w:szCs w:val="24"/>
          <w:highlight w:val="none"/>
          <w:lang w:val="en-US" w:eastAsia="zh-CN"/>
        </w:rPr>
        <w:t>16</w:t>
      </w:r>
      <w:r>
        <w:rPr>
          <w:rFonts w:hint="eastAsia" w:ascii="宋体" w:hAnsi="宋体" w:eastAsia="宋体" w:cs="宋体"/>
          <w:b/>
          <w:bCs/>
          <w:color w:val="auto"/>
          <w:sz w:val="24"/>
          <w:szCs w:val="24"/>
          <w:highlight w:val="none"/>
          <w:lang w:eastAsia="zh-CN"/>
        </w:rPr>
        <w:t>:00时</w:t>
      </w:r>
      <w:r>
        <w:rPr>
          <w:rFonts w:hint="eastAsia" w:ascii="宋体" w:hAnsi="宋体" w:eastAsia="宋体" w:cs="宋体"/>
          <w:b/>
          <w:bCs/>
          <w:color w:val="auto"/>
          <w:sz w:val="24"/>
          <w:szCs w:val="24"/>
          <w:highlight w:val="none"/>
        </w:rPr>
        <w:t>（北京时间）</w:t>
      </w:r>
      <w:r>
        <w:rPr>
          <w:rFonts w:hint="eastAsia" w:ascii="宋体" w:hAnsi="宋体" w:eastAsia="宋体" w:cs="宋体"/>
          <w:color w:val="auto"/>
          <w:sz w:val="24"/>
          <w:szCs w:val="24"/>
          <w:highlight w:val="none"/>
        </w:rPr>
        <w:t>。若逾时，届时其投标将被拒绝。</w:t>
      </w: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13、竞争性磋商文件发售费用：</w:t>
      </w:r>
      <w:r>
        <w:rPr>
          <w:rFonts w:hint="eastAsia" w:ascii="宋体" w:hAnsi="宋体" w:eastAsia="宋体" w:cs="宋体"/>
          <w:color w:val="auto"/>
          <w:sz w:val="24"/>
          <w:szCs w:val="24"/>
          <w:highlight w:val="none"/>
          <w:lang w:eastAsia="zh-CN"/>
        </w:rPr>
        <w:t>免费</w:t>
      </w: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14、开标地点：</w:t>
      </w:r>
      <w:r>
        <w:rPr>
          <w:rFonts w:hint="eastAsia" w:ascii="宋体" w:hAnsi="宋体" w:eastAsia="宋体" w:cs="宋体"/>
          <w:color w:val="auto"/>
          <w:sz w:val="24"/>
          <w:szCs w:val="24"/>
          <w:highlight w:val="none"/>
          <w:lang w:eastAsia="zh-CN"/>
        </w:rPr>
        <w:t>政采云平台</w:t>
      </w:r>
    </w:p>
    <w:p>
      <w:pPr>
        <w:pStyle w:val="17"/>
        <w:keepNext w:val="0"/>
        <w:keepLines w:val="0"/>
        <w:widowControl/>
        <w:suppressLineNumbers w:val="0"/>
        <w:spacing w:before="75" w:beforeAutospacing="0" w:after="75" w:afterAutospacing="0" w:line="360" w:lineRule="auto"/>
        <w:ind w:left="0" w:right="0"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15、其他事项：</w:t>
      </w:r>
    </w:p>
    <w:p>
      <w:pPr>
        <w:pStyle w:val="17"/>
        <w:keepNext w:val="0"/>
        <w:keepLines w:val="0"/>
        <w:widowControl/>
        <w:suppressLineNumbers w:val="0"/>
        <w:spacing w:before="75" w:beforeAutospacing="0" w:after="75" w:afterAutospacing="0" w:line="360" w:lineRule="auto"/>
        <w:ind w:left="0" w:right="0" w:firstLine="48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（1）本项目为电子招投标项目，投标人需要使用CA加密设备，凡参加本项目供应商可通过新疆数字证书认证中心官网（</w:t>
      </w: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color w:val="auto"/>
          <w:kern w:val="2"/>
          <w:sz w:val="24"/>
          <w:szCs w:val="24"/>
          <w:highlight w:val="none"/>
          <w:lang w:val="en-US" w:eastAsia="zh-CN" w:bidi="ar-SA"/>
        </w:rPr>
        <w:instrText xml:space="preserve"> HYPERLINK "https://www.xjca.com.cn/%EF%BC%89%E6%88%96%E4%B8%8B%E8%BD%BD%E2%80%9C%E6%96%B0%E7%96%86%E6%94%BF%E5%8A%A1%E9%80%9A%E2%80%9DAPP%E8%87%AA%E8%A1%8C%E8%BF%9B%E8%A1%8C%E7%94%B3%E9%A2%86" \t "_blank" </w:instrText>
      </w:r>
      <w:r>
        <w:rPr>
          <w:rFonts w:hint="eastAsia" w:ascii="宋体" w:hAnsi="宋体" w:eastAsia="宋体" w:cs="宋体"/>
          <w:b/>
          <w:bCs/>
          <w:color w:val="auto"/>
          <w:kern w:val="2"/>
          <w:sz w:val="24"/>
          <w:szCs w:val="24"/>
          <w:highlight w:val="none"/>
          <w:lang w:val="en-US" w:eastAsia="zh-CN" w:bidi="ar-SA"/>
        </w:rPr>
        <w:fldChar w:fldCharType="separate"/>
      </w:r>
      <w:r>
        <w:rPr>
          <w:rFonts w:hint="eastAsia" w:ascii="宋体" w:hAnsi="宋体" w:eastAsia="宋体" w:cs="宋体"/>
          <w:b/>
          <w:bCs/>
          <w:color w:val="auto"/>
          <w:kern w:val="2"/>
          <w:sz w:val="24"/>
          <w:szCs w:val="24"/>
          <w:highlight w:val="none"/>
          <w:lang w:val="en-US" w:eastAsia="zh-CN" w:bidi="ar-SA"/>
        </w:rPr>
        <w:t>https://www.xjca.com.cn/）或下载“新疆政务通”APP自行进行申领</w:t>
      </w:r>
      <w:r>
        <w:rPr>
          <w:rFonts w:hint="eastAsia" w:ascii="宋体" w:hAnsi="宋体" w:eastAsia="宋体" w:cs="宋体"/>
          <w:b/>
          <w:bCs/>
          <w:color w:val="auto"/>
          <w:kern w:val="2"/>
          <w:sz w:val="24"/>
          <w:szCs w:val="24"/>
          <w:highlight w:val="none"/>
          <w:lang w:val="en-US" w:eastAsia="zh-CN" w:bidi="ar-SA"/>
        </w:rPr>
        <w:fldChar w:fldCharType="end"/>
      </w:r>
      <w:r>
        <w:rPr>
          <w:rFonts w:hint="eastAsia" w:ascii="宋体" w:hAnsi="宋体" w:eastAsia="宋体" w:cs="宋体"/>
          <w:b/>
          <w:bCs/>
          <w:color w:val="auto"/>
          <w:kern w:val="2"/>
          <w:sz w:val="24"/>
          <w:szCs w:val="24"/>
          <w:highlight w:val="none"/>
          <w:lang w:val="en-US" w:eastAsia="zh-CN" w:bidi="ar-SA"/>
        </w:rPr>
        <w:t>。如原有兵团或公共资源使用的CA，可与新疆CA联系，申请增加电子证书即可，无需重复申领。新疆CA服务热线0991-2819290。 </w:t>
      </w:r>
    </w:p>
    <w:p>
      <w:pPr>
        <w:pStyle w:val="17"/>
        <w:keepNext w:val="0"/>
        <w:keepLines w:val="0"/>
        <w:widowControl/>
        <w:suppressLineNumbers w:val="0"/>
        <w:spacing w:before="75" w:beforeAutospacing="0" w:after="75" w:afterAutospacing="0" w:line="360" w:lineRule="auto"/>
        <w:ind w:left="0" w:right="0" w:firstLine="48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（2）本项目实行网上投标，采用电子响应文件，若供应商参与投标，自行承担投标一切费用。</w:t>
      </w:r>
    </w:p>
    <w:p>
      <w:pPr>
        <w:pStyle w:val="17"/>
        <w:keepNext w:val="0"/>
        <w:keepLines w:val="0"/>
        <w:widowControl/>
        <w:suppressLineNumbers w:val="0"/>
        <w:spacing w:before="75" w:beforeAutospacing="0" w:after="75" w:afterAutospacing="0" w:line="360" w:lineRule="auto"/>
        <w:ind w:left="0" w:right="0" w:firstLine="48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（3）各供应商应在开标前应确保成为新疆政府采购网正式注册入库供应商，并完成CA数字证书申领。因未注册入库、未办理CA数字证书等原因造成无法投标或投标失败等后果由供应商自行承担。</w:t>
      </w:r>
    </w:p>
    <w:p>
      <w:pPr>
        <w:pStyle w:val="17"/>
        <w:keepNext w:val="0"/>
        <w:keepLines w:val="0"/>
        <w:widowControl/>
        <w:suppressLineNumbers w:val="0"/>
        <w:spacing w:before="75" w:beforeAutospacing="0" w:after="75" w:afterAutospacing="0" w:line="360" w:lineRule="auto"/>
        <w:ind w:left="0" w:right="0" w:firstLine="48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400-881-7190进行咨询。</w:t>
      </w:r>
    </w:p>
    <w:p>
      <w:pPr>
        <w:pStyle w:val="17"/>
        <w:keepNext w:val="0"/>
        <w:keepLines w:val="0"/>
        <w:widowControl/>
        <w:suppressLineNumbers w:val="0"/>
        <w:spacing w:before="75" w:beforeAutospacing="0" w:after="75" w:afterAutospacing="0" w:line="360" w:lineRule="auto"/>
        <w:ind w:left="0" w:right="0" w:firstLine="480"/>
        <w:rPr>
          <w:rFonts w:hint="eastAsia" w:ascii="宋体" w:hAnsi="宋体" w:eastAsia="宋体" w:cs="宋体"/>
          <w:color w:val="auto"/>
          <w:highlight w:val="none"/>
        </w:rPr>
      </w:pPr>
      <w:r>
        <w:rPr>
          <w:rFonts w:hint="eastAsia" w:ascii="宋体" w:hAnsi="宋体" w:eastAsia="宋体" w:cs="宋体"/>
          <w:b/>
          <w:bCs/>
          <w:color w:val="auto"/>
          <w:kern w:val="2"/>
          <w:sz w:val="24"/>
          <w:szCs w:val="24"/>
          <w:highlight w:val="none"/>
          <w:lang w:val="en-US" w:eastAsia="zh-CN" w:bidi="ar-SA"/>
        </w:rPr>
        <w:t>（5）各供应商须准备CA数字证书（解密响应文件）、备份文件（BFBS格式）参与投标。</w:t>
      </w:r>
    </w:p>
    <w:p>
      <w:pPr>
        <w:pageBreakBefore w:val="0"/>
        <w:kinsoku/>
        <w:wordWrap/>
        <w:overflowPunct w:val="0"/>
        <w:topLinePunct w:val="0"/>
        <w:bidi w:val="0"/>
        <w:spacing w:line="360" w:lineRule="auto"/>
        <w:ind w:firstLine="484" w:firstLineChars="200"/>
        <w:textAlignment w:val="auto"/>
        <w:rPr>
          <w:rFonts w:hint="default" w:ascii="宋体" w:hAnsi="宋体" w:eastAsia="宋体" w:cs="宋体"/>
          <w:i w:val="0"/>
          <w:iCs w:val="0"/>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采购单位联系电话：</w:t>
      </w:r>
      <w:r>
        <w:rPr>
          <w:rFonts w:hint="eastAsia" w:ascii="宋体" w:hAnsi="宋体" w:cs="宋体"/>
          <w:color w:val="auto"/>
          <w:sz w:val="24"/>
          <w:szCs w:val="24"/>
          <w:highlight w:val="none"/>
          <w:lang w:val="en-US" w:eastAsia="zh-CN"/>
        </w:rPr>
        <w:t>0996-2262020</w:t>
      </w:r>
    </w:p>
    <w:p>
      <w:pPr>
        <w:pageBreakBefore w:val="0"/>
        <w:widowControl/>
        <w:kinsoku/>
        <w:wordWrap/>
        <w:topLinePunct w:val="0"/>
        <w:bidi w:val="0"/>
        <w:adjustRightInd w:val="0"/>
        <w:snapToGrid w:val="0"/>
        <w:spacing w:line="360" w:lineRule="auto"/>
        <w:ind w:firstLine="48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如对竞争性磋商文件有疑问，请致电招标代理公司：</w:t>
      </w:r>
      <w:r>
        <w:rPr>
          <w:rFonts w:hint="eastAsia" w:ascii="宋体" w:hAnsi="宋体" w:cs="宋体"/>
          <w:color w:val="auto"/>
          <w:sz w:val="24"/>
          <w:szCs w:val="24"/>
          <w:highlight w:val="none"/>
          <w:lang w:val="en-US" w:eastAsia="zh-CN"/>
        </w:rPr>
        <w:t>13079989995</w:t>
      </w:r>
      <w:r>
        <w:rPr>
          <w:rFonts w:hint="eastAsia" w:ascii="宋体" w:hAnsi="宋体" w:eastAsia="宋体" w:cs="宋体"/>
          <w:color w:val="auto"/>
          <w:sz w:val="24"/>
          <w:szCs w:val="24"/>
          <w:highlight w:val="none"/>
          <w:lang w:val="en-US" w:eastAsia="zh-CN"/>
        </w:rPr>
        <w:t xml:space="preserve"> </w:t>
      </w:r>
    </w:p>
    <w:p>
      <w:pPr>
        <w:pStyle w:val="12"/>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12"/>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12"/>
        <w:rPr>
          <w:rFonts w:hint="eastAsia" w:ascii="宋体" w:hAnsi="宋体" w:eastAsia="宋体" w:cs="宋体"/>
          <w:color w:val="auto"/>
          <w:lang w:val="en-US" w:eastAsia="zh-CN"/>
        </w:rPr>
      </w:pPr>
    </w:p>
    <w:p>
      <w:pPr>
        <w:pStyle w:val="14"/>
        <w:pageBreakBefore w:val="0"/>
        <w:kinsoku/>
        <w:wordWrap/>
        <w:topLinePunct w:val="0"/>
        <w:bidi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 xml:space="preserve">                               </w:t>
      </w:r>
    </w:p>
    <w:p>
      <w:pPr>
        <w:pageBreakBefore w:val="0"/>
        <w:widowControl/>
        <w:kinsoku/>
        <w:wordWrap/>
        <w:topLinePunct w:val="0"/>
        <w:bidi w:val="0"/>
        <w:adjustRightInd w:val="0"/>
        <w:snapToGrid w:val="0"/>
        <w:spacing w:line="360" w:lineRule="auto"/>
        <w:ind w:firstLine="484" w:firstLineChars="200"/>
        <w:jc w:val="righ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新疆鸿澜工程项目管理有限公司</w:t>
      </w:r>
      <w:r>
        <w:rPr>
          <w:rFonts w:hint="eastAsia" w:ascii="宋体" w:hAnsi="宋体" w:eastAsia="宋体" w:cs="宋体"/>
          <w:color w:val="auto"/>
          <w:sz w:val="24"/>
          <w:szCs w:val="24"/>
          <w:highlight w:val="none"/>
        </w:rPr>
        <w:t xml:space="preserve">                             </w:t>
      </w:r>
    </w:p>
    <w:p>
      <w:pPr>
        <w:pageBreakBefore w:val="0"/>
        <w:widowControl/>
        <w:kinsoku/>
        <w:wordWrap/>
        <w:topLinePunct w:val="0"/>
        <w:bidi w:val="0"/>
        <w:adjustRightInd w:val="0"/>
        <w:snapToGrid w:val="0"/>
        <w:spacing w:line="360" w:lineRule="auto"/>
        <w:ind w:firstLine="6534" w:firstLineChars="27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2021年</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07</w:t>
      </w:r>
      <w:r>
        <w:rPr>
          <w:rFonts w:hint="eastAsia" w:ascii="宋体" w:hAnsi="宋体" w:eastAsia="宋体" w:cs="宋体"/>
          <w:color w:val="auto"/>
          <w:sz w:val="24"/>
          <w:szCs w:val="24"/>
          <w:highlight w:val="none"/>
          <w:lang w:eastAsia="zh-CN"/>
        </w:rPr>
        <w:t>日</w:t>
      </w:r>
    </w:p>
    <w:p>
      <w:pPr>
        <w:widowControl/>
        <w:adjustRightInd w:val="0"/>
        <w:snapToGrid w:val="0"/>
        <w:spacing w:line="312" w:lineRule="auto"/>
        <w:ind w:firstLine="484" w:firstLineChars="200"/>
        <w:jc w:val="center"/>
        <w:rPr>
          <w:rFonts w:hint="eastAsia" w:ascii="宋体" w:hAnsi="宋体" w:eastAsia="宋体" w:cs="宋体"/>
          <w:color w:val="auto"/>
          <w:kern w:val="2"/>
          <w:sz w:val="24"/>
          <w:szCs w:val="24"/>
          <w:lang w:val="zh-CN" w:eastAsia="zh-CN" w:bidi="ar-SA"/>
        </w:rPr>
      </w:pPr>
    </w:p>
    <w:p>
      <w:pPr>
        <w:widowControl/>
        <w:adjustRightInd w:val="0"/>
        <w:snapToGrid w:val="0"/>
        <w:spacing w:line="312" w:lineRule="auto"/>
        <w:ind w:firstLine="484" w:firstLineChars="200"/>
        <w:jc w:val="center"/>
        <w:rPr>
          <w:rFonts w:hint="eastAsia" w:ascii="宋体" w:hAnsi="宋体" w:eastAsia="宋体" w:cs="宋体"/>
          <w:color w:val="auto"/>
          <w:kern w:val="2"/>
          <w:sz w:val="24"/>
          <w:szCs w:val="24"/>
          <w:lang w:val="zh-CN" w:eastAsia="zh-CN" w:bidi="ar-SA"/>
        </w:rPr>
      </w:pPr>
    </w:p>
    <w:p>
      <w:pPr>
        <w:widowControl/>
        <w:adjustRightInd w:val="0"/>
        <w:snapToGrid w:val="0"/>
        <w:spacing w:line="312" w:lineRule="auto"/>
        <w:ind w:firstLine="484" w:firstLineChars="200"/>
        <w:jc w:val="center"/>
        <w:rPr>
          <w:rFonts w:hint="eastAsia" w:ascii="宋体" w:hAnsi="宋体" w:eastAsia="宋体" w:cs="宋体"/>
          <w:color w:val="auto"/>
          <w:kern w:val="2"/>
          <w:sz w:val="24"/>
          <w:szCs w:val="24"/>
          <w:lang w:val="zh-CN" w:eastAsia="zh-CN" w:bidi="ar-SA"/>
        </w:rPr>
      </w:pPr>
    </w:p>
    <w:p>
      <w:pPr>
        <w:widowControl/>
        <w:adjustRightInd w:val="0"/>
        <w:snapToGrid w:val="0"/>
        <w:spacing w:line="312" w:lineRule="auto"/>
        <w:ind w:firstLine="484" w:firstLineChars="200"/>
        <w:jc w:val="center"/>
        <w:rPr>
          <w:rFonts w:hint="eastAsia" w:ascii="宋体" w:hAnsi="宋体" w:eastAsia="宋体" w:cs="宋体"/>
          <w:color w:val="auto"/>
          <w:kern w:val="2"/>
          <w:sz w:val="24"/>
          <w:szCs w:val="24"/>
          <w:lang w:val="zh-CN" w:eastAsia="zh-CN" w:bidi="ar-SA"/>
        </w:rPr>
      </w:pPr>
    </w:p>
    <w:p>
      <w:pPr>
        <w:widowControl/>
        <w:adjustRightInd w:val="0"/>
        <w:snapToGrid w:val="0"/>
        <w:spacing w:line="312" w:lineRule="auto"/>
        <w:ind w:firstLine="484" w:firstLineChars="200"/>
        <w:jc w:val="center"/>
        <w:rPr>
          <w:rFonts w:hint="eastAsia" w:ascii="宋体" w:hAnsi="宋体" w:eastAsia="宋体" w:cs="宋体"/>
          <w:color w:val="auto"/>
          <w:kern w:val="2"/>
          <w:sz w:val="24"/>
          <w:szCs w:val="24"/>
          <w:lang w:val="zh-CN" w:eastAsia="zh-CN" w:bidi="ar-SA"/>
        </w:rPr>
      </w:pPr>
    </w:p>
    <w:p>
      <w:pPr>
        <w:widowControl/>
        <w:adjustRightInd w:val="0"/>
        <w:snapToGrid w:val="0"/>
        <w:spacing w:line="312" w:lineRule="auto"/>
        <w:ind w:firstLine="484" w:firstLineChars="200"/>
        <w:jc w:val="center"/>
        <w:rPr>
          <w:rFonts w:hint="eastAsia" w:ascii="宋体" w:hAnsi="宋体" w:eastAsia="宋体" w:cs="宋体"/>
          <w:color w:val="auto"/>
          <w:kern w:val="2"/>
          <w:sz w:val="24"/>
          <w:szCs w:val="24"/>
          <w:lang w:val="zh-CN" w:eastAsia="zh-CN" w:bidi="ar-SA"/>
        </w:rPr>
      </w:pPr>
    </w:p>
    <w:p>
      <w:pPr>
        <w:widowControl/>
        <w:adjustRightInd w:val="0"/>
        <w:snapToGrid w:val="0"/>
        <w:spacing w:line="312" w:lineRule="auto"/>
        <w:ind w:firstLine="484" w:firstLineChars="200"/>
        <w:jc w:val="center"/>
        <w:rPr>
          <w:rFonts w:hint="eastAsia" w:ascii="宋体" w:hAnsi="宋体" w:eastAsia="宋体" w:cs="宋体"/>
          <w:color w:val="auto"/>
          <w:kern w:val="2"/>
          <w:sz w:val="24"/>
          <w:szCs w:val="24"/>
          <w:lang w:val="zh-CN" w:eastAsia="zh-CN" w:bidi="ar-SA"/>
        </w:rPr>
      </w:pPr>
    </w:p>
    <w:p>
      <w:pPr>
        <w:widowControl/>
        <w:adjustRightInd w:val="0"/>
        <w:snapToGrid w:val="0"/>
        <w:spacing w:line="312" w:lineRule="auto"/>
        <w:ind w:firstLine="484" w:firstLineChars="200"/>
        <w:jc w:val="center"/>
        <w:rPr>
          <w:rFonts w:hint="eastAsia" w:ascii="宋体" w:hAnsi="宋体" w:eastAsia="宋体" w:cs="宋体"/>
          <w:color w:val="auto"/>
          <w:kern w:val="2"/>
          <w:sz w:val="24"/>
          <w:szCs w:val="24"/>
          <w:lang w:val="zh-CN" w:eastAsia="zh-CN" w:bidi="ar-SA"/>
        </w:rPr>
      </w:pPr>
    </w:p>
    <w:p>
      <w:pPr>
        <w:widowControl/>
        <w:adjustRightInd w:val="0"/>
        <w:snapToGrid w:val="0"/>
        <w:spacing w:line="312" w:lineRule="auto"/>
        <w:ind w:firstLine="484" w:firstLineChars="200"/>
        <w:jc w:val="center"/>
        <w:rPr>
          <w:rFonts w:hint="eastAsia" w:ascii="宋体" w:hAnsi="宋体" w:eastAsia="宋体" w:cs="宋体"/>
          <w:color w:val="auto"/>
          <w:kern w:val="2"/>
          <w:sz w:val="24"/>
          <w:szCs w:val="24"/>
          <w:lang w:val="zh-CN" w:eastAsia="zh-CN" w:bidi="ar-SA"/>
        </w:rPr>
      </w:pPr>
    </w:p>
    <w:p>
      <w:pPr>
        <w:widowControl/>
        <w:adjustRightInd w:val="0"/>
        <w:snapToGrid w:val="0"/>
        <w:spacing w:line="312" w:lineRule="auto"/>
        <w:ind w:firstLine="484" w:firstLineChars="200"/>
        <w:jc w:val="center"/>
        <w:rPr>
          <w:rFonts w:hint="eastAsia" w:ascii="宋体" w:hAnsi="宋体" w:eastAsia="宋体" w:cs="宋体"/>
          <w:color w:val="auto"/>
          <w:kern w:val="2"/>
          <w:sz w:val="24"/>
          <w:szCs w:val="24"/>
          <w:lang w:val="zh-CN" w:eastAsia="zh-CN" w:bidi="ar-SA"/>
        </w:rPr>
      </w:pPr>
    </w:p>
    <w:p>
      <w:pPr>
        <w:widowControl/>
        <w:adjustRightInd w:val="0"/>
        <w:snapToGrid w:val="0"/>
        <w:spacing w:line="312" w:lineRule="auto"/>
        <w:ind w:firstLine="484" w:firstLineChars="200"/>
        <w:jc w:val="center"/>
        <w:rPr>
          <w:rFonts w:hint="eastAsia" w:ascii="宋体" w:hAnsi="宋体" w:eastAsia="宋体" w:cs="宋体"/>
          <w:color w:val="auto"/>
          <w:kern w:val="2"/>
          <w:sz w:val="24"/>
          <w:szCs w:val="24"/>
          <w:lang w:val="zh-CN" w:eastAsia="zh-CN" w:bidi="ar-SA"/>
        </w:rPr>
      </w:pPr>
    </w:p>
    <w:p>
      <w:pPr>
        <w:widowControl/>
        <w:adjustRightInd w:val="0"/>
        <w:snapToGrid w:val="0"/>
        <w:spacing w:line="312" w:lineRule="auto"/>
        <w:ind w:firstLine="484" w:firstLineChars="200"/>
        <w:jc w:val="center"/>
        <w:rPr>
          <w:rFonts w:hint="eastAsia" w:ascii="宋体" w:hAnsi="宋体" w:eastAsia="宋体" w:cs="宋体"/>
          <w:color w:val="auto"/>
          <w:kern w:val="2"/>
          <w:sz w:val="24"/>
          <w:szCs w:val="24"/>
          <w:lang w:val="zh-CN" w:eastAsia="zh-CN" w:bidi="ar-SA"/>
        </w:rPr>
      </w:pPr>
    </w:p>
    <w:p>
      <w:pPr>
        <w:widowControl/>
        <w:adjustRightInd w:val="0"/>
        <w:snapToGrid w:val="0"/>
        <w:spacing w:line="312" w:lineRule="auto"/>
        <w:ind w:firstLine="484" w:firstLineChars="200"/>
        <w:jc w:val="center"/>
        <w:rPr>
          <w:rFonts w:hint="eastAsia" w:ascii="宋体" w:hAnsi="宋体" w:eastAsia="宋体" w:cs="宋体"/>
          <w:color w:val="auto"/>
          <w:kern w:val="2"/>
          <w:sz w:val="24"/>
          <w:szCs w:val="24"/>
          <w:lang w:val="zh-CN" w:eastAsia="zh-CN" w:bidi="ar-SA"/>
        </w:rPr>
      </w:pPr>
    </w:p>
    <w:p>
      <w:pPr>
        <w:pStyle w:val="12"/>
        <w:rPr>
          <w:rFonts w:hint="eastAsia" w:ascii="宋体" w:hAnsi="宋体" w:eastAsia="宋体" w:cs="宋体"/>
          <w:lang w:val="zh-CN" w:eastAsia="zh-CN"/>
        </w:rPr>
      </w:pPr>
    </w:p>
    <w:p>
      <w:pPr>
        <w:widowControl/>
        <w:adjustRightInd w:val="0"/>
        <w:snapToGrid w:val="0"/>
        <w:spacing w:line="312" w:lineRule="auto"/>
        <w:ind w:firstLine="484" w:firstLineChars="200"/>
        <w:jc w:val="center"/>
        <w:rPr>
          <w:rFonts w:hint="eastAsia" w:ascii="宋体" w:hAnsi="宋体" w:eastAsia="宋体" w:cs="宋体"/>
          <w:color w:val="auto"/>
          <w:kern w:val="2"/>
          <w:sz w:val="24"/>
          <w:szCs w:val="24"/>
          <w:lang w:val="zh-CN" w:eastAsia="zh-CN" w:bidi="ar-SA"/>
        </w:rPr>
      </w:pPr>
    </w:p>
    <w:p>
      <w:pPr>
        <w:widowControl/>
        <w:adjustRightInd w:val="0"/>
        <w:snapToGrid w:val="0"/>
        <w:spacing w:line="312" w:lineRule="auto"/>
        <w:ind w:firstLine="484" w:firstLineChars="200"/>
        <w:jc w:val="center"/>
        <w:rPr>
          <w:rFonts w:hint="eastAsia" w:ascii="宋体" w:hAnsi="宋体" w:eastAsia="宋体" w:cs="宋体"/>
          <w:color w:val="auto"/>
          <w:kern w:val="2"/>
          <w:sz w:val="24"/>
          <w:szCs w:val="24"/>
          <w:lang w:val="zh-CN" w:eastAsia="zh-CN" w:bidi="ar-SA"/>
        </w:rPr>
      </w:pPr>
    </w:p>
    <w:p>
      <w:pPr>
        <w:pStyle w:val="22"/>
        <w:rPr>
          <w:rFonts w:hint="eastAsia" w:ascii="宋体" w:hAnsi="宋体" w:eastAsia="宋体" w:cs="宋体"/>
          <w:color w:val="auto"/>
          <w:kern w:val="2"/>
          <w:sz w:val="24"/>
          <w:szCs w:val="24"/>
          <w:lang w:val="zh-CN" w:eastAsia="zh-CN" w:bidi="ar-SA"/>
        </w:rPr>
      </w:pPr>
    </w:p>
    <w:p>
      <w:pPr>
        <w:pStyle w:val="22"/>
        <w:rPr>
          <w:rFonts w:hint="eastAsia" w:ascii="宋体" w:hAnsi="宋体" w:eastAsia="宋体" w:cs="宋体"/>
          <w:color w:val="auto"/>
          <w:kern w:val="2"/>
          <w:sz w:val="24"/>
          <w:szCs w:val="24"/>
          <w:lang w:val="zh-CN" w:eastAsia="zh-CN" w:bidi="ar-SA"/>
        </w:rPr>
      </w:pPr>
    </w:p>
    <w:p>
      <w:pPr>
        <w:widowControl/>
        <w:adjustRightInd w:val="0"/>
        <w:snapToGrid w:val="0"/>
        <w:spacing w:line="312" w:lineRule="auto"/>
        <w:ind w:firstLine="484" w:firstLineChars="200"/>
        <w:jc w:val="center"/>
        <w:rPr>
          <w:rFonts w:hint="eastAsia" w:ascii="宋体" w:hAnsi="宋体" w:eastAsia="宋体" w:cs="宋体"/>
          <w:color w:val="auto"/>
          <w:kern w:val="2"/>
          <w:sz w:val="24"/>
          <w:szCs w:val="24"/>
          <w:lang w:val="zh-CN" w:eastAsia="zh-CN" w:bidi="ar-SA"/>
        </w:rPr>
      </w:pPr>
    </w:p>
    <w:p>
      <w:pPr>
        <w:widowControl/>
        <w:adjustRightInd w:val="0"/>
        <w:snapToGrid w:val="0"/>
        <w:spacing w:line="312" w:lineRule="auto"/>
        <w:ind w:firstLine="484" w:firstLineChars="200"/>
        <w:jc w:val="center"/>
        <w:rPr>
          <w:rFonts w:hint="eastAsia" w:ascii="宋体" w:hAnsi="宋体" w:eastAsia="宋体" w:cs="宋体"/>
          <w:color w:val="auto"/>
          <w:kern w:val="2"/>
          <w:sz w:val="24"/>
          <w:szCs w:val="24"/>
          <w:lang w:val="zh-CN" w:eastAsia="zh-CN" w:bidi="ar-SA"/>
        </w:rPr>
      </w:pPr>
    </w:p>
    <w:p>
      <w:pPr>
        <w:pStyle w:val="3"/>
        <w:bidi w:val="0"/>
        <w:rPr>
          <w:rFonts w:hint="eastAsia" w:ascii="宋体" w:hAnsi="宋体" w:eastAsia="宋体" w:cs="宋体"/>
        </w:rPr>
      </w:pPr>
      <w:bookmarkStart w:id="17" w:name="_Toc15972"/>
      <w:bookmarkStart w:id="18" w:name="_Toc2215"/>
      <w:r>
        <w:rPr>
          <w:rFonts w:hint="eastAsia" w:ascii="宋体" w:hAnsi="宋体" w:eastAsia="宋体" w:cs="宋体"/>
        </w:rPr>
        <w:t>第二章 供应商须知</w:t>
      </w:r>
      <w:bookmarkEnd w:id="12"/>
      <w:bookmarkEnd w:id="13"/>
      <w:bookmarkEnd w:id="14"/>
      <w:bookmarkEnd w:id="15"/>
      <w:bookmarkEnd w:id="17"/>
      <w:bookmarkEnd w:id="18"/>
    </w:p>
    <w:bookmarkEnd w:id="16"/>
    <w:p>
      <w:pPr>
        <w:bidi w:val="0"/>
        <w:jc w:val="center"/>
        <w:rPr>
          <w:rFonts w:hint="eastAsia" w:ascii="宋体" w:hAnsi="宋体" w:eastAsia="宋体" w:cs="宋体"/>
          <w:b/>
          <w:bCs/>
          <w:sz w:val="28"/>
          <w:szCs w:val="28"/>
        </w:rPr>
      </w:pPr>
      <w:bookmarkStart w:id="19" w:name="_Toc14932"/>
      <w:bookmarkStart w:id="20" w:name="_Toc5420"/>
      <w:bookmarkStart w:id="21" w:name="_Toc12824"/>
      <w:r>
        <w:rPr>
          <w:rFonts w:hint="eastAsia" w:ascii="宋体" w:hAnsi="宋体" w:eastAsia="宋体" w:cs="宋体"/>
          <w:b/>
          <w:bCs/>
          <w:sz w:val="28"/>
          <w:szCs w:val="28"/>
          <w:lang w:val="en-US" w:eastAsia="zh-CN"/>
        </w:rPr>
        <w:t>供应商</w:t>
      </w:r>
      <w:r>
        <w:rPr>
          <w:rFonts w:hint="eastAsia" w:ascii="宋体" w:hAnsi="宋体" w:eastAsia="宋体" w:cs="宋体"/>
          <w:b/>
          <w:bCs/>
          <w:sz w:val="28"/>
          <w:szCs w:val="28"/>
        </w:rPr>
        <w:t>须知前附表</w:t>
      </w:r>
      <w:bookmarkEnd w:id="19"/>
      <w:bookmarkEnd w:id="20"/>
      <w:bookmarkEnd w:id="21"/>
    </w:p>
    <w:p>
      <w:pPr>
        <w:widowControl/>
        <w:adjustRightInd w:val="0"/>
        <w:snapToGrid w:val="0"/>
        <w:spacing w:line="312" w:lineRule="auto"/>
        <w:ind w:firstLine="484" w:firstLineChars="200"/>
        <w:jc w:val="left"/>
        <w:rPr>
          <w:rFonts w:hint="eastAsia" w:ascii="宋体" w:hAnsi="宋体" w:eastAsia="宋体" w:cs="宋体"/>
          <w:color w:val="auto"/>
        </w:rPr>
      </w:pPr>
      <w:r>
        <w:rPr>
          <w:rFonts w:hint="eastAsia" w:ascii="宋体" w:hAnsi="宋体" w:eastAsia="宋体" w:cs="宋体"/>
          <w:color w:val="auto"/>
          <w:sz w:val="24"/>
          <w:szCs w:val="24"/>
        </w:rPr>
        <w:t>本表的具体资料是对投标人须知的具体补充和修改，如有矛盾，应以本前附表为准。</w:t>
      </w:r>
    </w:p>
    <w:tbl>
      <w:tblPr>
        <w:tblStyle w:val="19"/>
        <w:tblW w:w="10063" w:type="dxa"/>
        <w:jc w:val="center"/>
        <w:tblLayout w:type="fixed"/>
        <w:tblCellMar>
          <w:top w:w="0" w:type="dxa"/>
          <w:left w:w="108" w:type="dxa"/>
          <w:bottom w:w="0" w:type="dxa"/>
          <w:right w:w="108" w:type="dxa"/>
        </w:tblCellMar>
      </w:tblPr>
      <w:tblGrid>
        <w:gridCol w:w="1109"/>
        <w:gridCol w:w="2008"/>
        <w:gridCol w:w="11"/>
        <w:gridCol w:w="6935"/>
      </w:tblGrid>
      <w:tr>
        <w:tblPrEx>
          <w:tblCellMar>
            <w:top w:w="0" w:type="dxa"/>
            <w:left w:w="108" w:type="dxa"/>
            <w:bottom w:w="0" w:type="dxa"/>
            <w:right w:w="108" w:type="dxa"/>
          </w:tblCellMar>
        </w:tblPrEx>
        <w:trPr>
          <w:trHeight w:val="567"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条款名称</w:t>
            </w:r>
          </w:p>
        </w:tc>
        <w:tc>
          <w:tcPr>
            <w:tcW w:w="6946"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编 列 内 容</w:t>
            </w:r>
          </w:p>
        </w:tc>
      </w:tr>
      <w:tr>
        <w:tblPrEx>
          <w:tblCellMar>
            <w:top w:w="0" w:type="dxa"/>
            <w:left w:w="108" w:type="dxa"/>
            <w:bottom w:w="0" w:type="dxa"/>
            <w:right w:w="108" w:type="dxa"/>
          </w:tblCellMar>
        </w:tblPrEx>
        <w:trPr>
          <w:trHeight w:val="567"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采购人</w:t>
            </w:r>
          </w:p>
        </w:tc>
        <w:tc>
          <w:tcPr>
            <w:tcW w:w="6946"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名  称：新疆轮台县自然资源局永久基本农田全面核实及划定项目</w:t>
            </w:r>
          </w:p>
          <w:p>
            <w:pPr>
              <w:bidi w:val="0"/>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w:t>
            </w:r>
            <w:r>
              <w:rPr>
                <w:rFonts w:hint="eastAsia" w:ascii="宋体" w:hAnsi="宋体" w:cs="宋体"/>
                <w:color w:val="auto"/>
                <w:sz w:val="24"/>
                <w:szCs w:val="24"/>
                <w:lang w:val="en-US" w:eastAsia="zh-CN"/>
              </w:rPr>
              <w:t>新疆轮台县</w:t>
            </w:r>
          </w:p>
          <w:p>
            <w:pPr>
              <w:bidi w:val="0"/>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电  话：</w:t>
            </w:r>
            <w:r>
              <w:rPr>
                <w:rFonts w:hint="eastAsia" w:ascii="宋体" w:hAnsi="宋体" w:cs="宋体"/>
                <w:color w:val="auto"/>
                <w:sz w:val="24"/>
                <w:szCs w:val="24"/>
                <w:lang w:val="en-US" w:eastAsia="zh-CN"/>
              </w:rPr>
              <w:t>0996-4690165</w:t>
            </w:r>
            <w:bookmarkStart w:id="246" w:name="_GoBack"/>
            <w:bookmarkEnd w:id="246"/>
          </w:p>
        </w:tc>
      </w:tr>
      <w:tr>
        <w:tblPrEx>
          <w:tblCellMar>
            <w:top w:w="0" w:type="dxa"/>
            <w:left w:w="108" w:type="dxa"/>
            <w:bottom w:w="0" w:type="dxa"/>
            <w:right w:w="108" w:type="dxa"/>
          </w:tblCellMar>
        </w:tblPrEx>
        <w:trPr>
          <w:trHeight w:val="567"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代理机构</w:t>
            </w:r>
          </w:p>
        </w:tc>
        <w:tc>
          <w:tcPr>
            <w:tcW w:w="6946"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  称：</w:t>
            </w:r>
            <w:r>
              <w:rPr>
                <w:rFonts w:hint="eastAsia" w:ascii="宋体" w:hAnsi="宋体" w:cs="宋体"/>
                <w:color w:val="auto"/>
                <w:sz w:val="24"/>
                <w:szCs w:val="24"/>
                <w:lang w:eastAsia="zh-CN"/>
              </w:rPr>
              <w:t>新疆鸿澜工程项目管理有限公司</w:t>
            </w:r>
            <w:r>
              <w:rPr>
                <w:rFonts w:hint="eastAsia" w:ascii="宋体" w:hAnsi="宋体" w:eastAsia="宋体" w:cs="宋体"/>
                <w:color w:val="auto"/>
                <w:sz w:val="24"/>
                <w:szCs w:val="24"/>
                <w:lang w:eastAsia="zh-CN"/>
              </w:rPr>
              <w:t> </w:t>
            </w:r>
          </w:p>
          <w:p>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 库尔勒市</w:t>
            </w:r>
            <w:r>
              <w:rPr>
                <w:rFonts w:hint="eastAsia" w:ascii="宋体" w:hAnsi="宋体" w:cs="宋体"/>
                <w:color w:val="auto"/>
                <w:sz w:val="24"/>
                <w:szCs w:val="24"/>
                <w:lang w:val="en-US" w:eastAsia="zh-CN"/>
              </w:rPr>
              <w:t>人民东路华誉综合楼A座1201室</w:t>
            </w:r>
            <w:r>
              <w:rPr>
                <w:rFonts w:hint="eastAsia" w:ascii="宋体" w:hAnsi="宋体" w:eastAsia="宋体" w:cs="宋体"/>
                <w:color w:val="auto"/>
                <w:sz w:val="24"/>
                <w:szCs w:val="24"/>
                <w:lang w:val="en-US" w:eastAsia="zh-CN"/>
              </w:rPr>
              <w:t> </w:t>
            </w:r>
          </w:p>
          <w:p>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cs="宋体"/>
                <w:color w:val="auto"/>
                <w:sz w:val="24"/>
                <w:szCs w:val="24"/>
                <w:lang w:eastAsia="zh-CN"/>
              </w:rPr>
              <w:t>尹女士</w:t>
            </w:r>
          </w:p>
          <w:p>
            <w:pPr>
              <w:bidi w:val="0"/>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电  话：</w:t>
            </w:r>
            <w:r>
              <w:rPr>
                <w:rFonts w:hint="eastAsia" w:ascii="宋体" w:hAnsi="宋体" w:cs="宋体"/>
                <w:color w:val="auto"/>
                <w:sz w:val="24"/>
                <w:szCs w:val="24"/>
                <w:lang w:val="en-US" w:eastAsia="zh-CN"/>
              </w:rPr>
              <w:t>13079989995</w:t>
            </w:r>
          </w:p>
        </w:tc>
      </w:tr>
      <w:tr>
        <w:tblPrEx>
          <w:tblCellMar>
            <w:top w:w="0" w:type="dxa"/>
            <w:left w:w="108" w:type="dxa"/>
            <w:bottom w:w="0" w:type="dxa"/>
            <w:right w:w="108" w:type="dxa"/>
          </w:tblCellMar>
        </w:tblPrEx>
        <w:trPr>
          <w:trHeight w:val="574"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w:t>
            </w:r>
          </w:p>
        </w:tc>
        <w:tc>
          <w:tcPr>
            <w:tcW w:w="6946"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新疆轮台县自然资源局永久基本农田全面核实及划定项目</w:t>
            </w:r>
          </w:p>
        </w:tc>
      </w:tr>
      <w:tr>
        <w:tblPrEx>
          <w:tblCellMar>
            <w:top w:w="0" w:type="dxa"/>
            <w:left w:w="108" w:type="dxa"/>
            <w:bottom w:w="0" w:type="dxa"/>
            <w:right w:w="108" w:type="dxa"/>
          </w:tblCellMar>
        </w:tblPrEx>
        <w:trPr>
          <w:trHeight w:val="496"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采购需求</w:t>
            </w:r>
          </w:p>
        </w:tc>
        <w:tc>
          <w:tcPr>
            <w:tcW w:w="6946"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公告</w:t>
            </w:r>
          </w:p>
        </w:tc>
      </w:tr>
      <w:tr>
        <w:tblPrEx>
          <w:tblCellMar>
            <w:top w:w="0" w:type="dxa"/>
            <w:left w:w="108" w:type="dxa"/>
            <w:bottom w:w="0" w:type="dxa"/>
            <w:right w:w="108" w:type="dxa"/>
          </w:tblCellMar>
        </w:tblPrEx>
        <w:trPr>
          <w:trHeight w:val="567"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预算金额</w:t>
            </w:r>
          </w:p>
        </w:tc>
        <w:tc>
          <w:tcPr>
            <w:tcW w:w="6946"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rPr>
              <w:t>900000</w:t>
            </w:r>
            <w:r>
              <w:rPr>
                <w:rFonts w:hint="eastAsia" w:ascii="宋体" w:hAnsi="宋体" w:eastAsia="宋体" w:cs="宋体"/>
                <w:color w:val="auto"/>
                <w:sz w:val="24"/>
                <w:szCs w:val="24"/>
                <w:lang w:val="en-US" w:eastAsia="zh-CN"/>
              </w:rPr>
              <w:t>.00元整</w:t>
            </w:r>
          </w:p>
        </w:tc>
      </w:tr>
      <w:tr>
        <w:tblPrEx>
          <w:tblCellMar>
            <w:top w:w="0" w:type="dxa"/>
            <w:left w:w="108" w:type="dxa"/>
            <w:bottom w:w="0" w:type="dxa"/>
            <w:right w:w="108" w:type="dxa"/>
          </w:tblCellMar>
        </w:tblPrEx>
        <w:trPr>
          <w:trHeight w:val="462"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资金落实情况</w:t>
            </w:r>
          </w:p>
        </w:tc>
        <w:tc>
          <w:tcPr>
            <w:tcW w:w="6946"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已落实</w:t>
            </w:r>
          </w:p>
        </w:tc>
      </w:tr>
      <w:tr>
        <w:tblPrEx>
          <w:tblCellMar>
            <w:top w:w="0" w:type="dxa"/>
            <w:left w:w="108" w:type="dxa"/>
            <w:bottom w:w="0" w:type="dxa"/>
            <w:right w:w="108" w:type="dxa"/>
          </w:tblCellMar>
        </w:tblPrEx>
        <w:trPr>
          <w:trHeight w:val="434"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招标方式</w:t>
            </w:r>
          </w:p>
        </w:tc>
        <w:tc>
          <w:tcPr>
            <w:tcW w:w="6946"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竞争性磋商</w:t>
            </w:r>
          </w:p>
        </w:tc>
      </w:tr>
      <w:tr>
        <w:tblPrEx>
          <w:tblCellMar>
            <w:top w:w="0" w:type="dxa"/>
            <w:left w:w="108" w:type="dxa"/>
            <w:bottom w:w="0" w:type="dxa"/>
            <w:right w:w="108" w:type="dxa"/>
          </w:tblCellMar>
        </w:tblPrEx>
        <w:trPr>
          <w:trHeight w:val="487"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资金来源</w:t>
            </w:r>
          </w:p>
        </w:tc>
        <w:tc>
          <w:tcPr>
            <w:tcW w:w="6946"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财政资金</w:t>
            </w:r>
          </w:p>
        </w:tc>
      </w:tr>
      <w:tr>
        <w:tblPrEx>
          <w:tblCellMar>
            <w:top w:w="0" w:type="dxa"/>
            <w:left w:w="108" w:type="dxa"/>
            <w:bottom w:w="0" w:type="dxa"/>
            <w:right w:w="108" w:type="dxa"/>
          </w:tblCellMar>
        </w:tblPrEx>
        <w:trPr>
          <w:trHeight w:val="541"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服务期限</w:t>
            </w:r>
          </w:p>
        </w:tc>
        <w:tc>
          <w:tcPr>
            <w:tcW w:w="6946"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2022年05月前完成本项目全部工作内容（以最终签订合同为准）</w:t>
            </w:r>
          </w:p>
        </w:tc>
      </w:tr>
      <w:tr>
        <w:tblPrEx>
          <w:tblCellMar>
            <w:top w:w="0" w:type="dxa"/>
            <w:left w:w="108" w:type="dxa"/>
            <w:bottom w:w="0" w:type="dxa"/>
            <w:right w:w="108" w:type="dxa"/>
          </w:tblCellMar>
        </w:tblPrEx>
        <w:trPr>
          <w:trHeight w:val="567"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现场踏勘</w:t>
            </w:r>
          </w:p>
        </w:tc>
        <w:tc>
          <w:tcPr>
            <w:tcW w:w="6946"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lang w:val="en-US" w:eastAsia="zh-CN"/>
              </w:rPr>
            </w:pPr>
            <w:r>
              <w:rPr>
                <w:rFonts w:hint="eastAsia"/>
                <w:lang w:val="en-US" w:eastAsia="zh-CN"/>
              </w:rPr>
              <w:sym w:font="Wingdings" w:char="00FE"/>
            </w:r>
            <w:r>
              <w:rPr>
                <w:rFonts w:hint="eastAsia" w:ascii="宋体" w:hAnsi="宋体" w:eastAsia="宋体" w:cs="宋体"/>
                <w:color w:val="auto"/>
                <w:sz w:val="24"/>
                <w:szCs w:val="24"/>
                <w:lang w:val="en-US" w:eastAsia="zh-CN"/>
              </w:rPr>
              <w:t>不组织</w:t>
            </w:r>
          </w:p>
          <w:p>
            <w:pPr>
              <w:bidi w:val="0"/>
              <w:spacing w:line="360" w:lineRule="auto"/>
              <w:rPr>
                <w:rFonts w:hint="default" w:eastAsia="宋体"/>
                <w:lang w:val="en-US" w:eastAsia="zh-CN"/>
              </w:rPr>
            </w:pPr>
            <w:r>
              <w:rPr>
                <w:rFonts w:hint="eastAsia"/>
                <w:lang w:val="en-US" w:eastAsia="zh-CN"/>
              </w:rPr>
              <w:sym w:font="Wingdings" w:char="00A8"/>
            </w:r>
            <w:r>
              <w:rPr>
                <w:rFonts w:hint="eastAsia" w:ascii="宋体" w:hAnsi="宋体" w:eastAsia="宋体" w:cs="宋体"/>
                <w:color w:val="auto"/>
                <w:sz w:val="24"/>
                <w:szCs w:val="24"/>
                <w:lang w:val="en-US" w:eastAsia="zh-CN"/>
              </w:rPr>
              <w:t>组织</w:t>
            </w:r>
          </w:p>
        </w:tc>
      </w:tr>
      <w:tr>
        <w:tblPrEx>
          <w:tblCellMar>
            <w:top w:w="0" w:type="dxa"/>
            <w:left w:w="108" w:type="dxa"/>
            <w:bottom w:w="0" w:type="dxa"/>
            <w:right w:w="108" w:type="dxa"/>
          </w:tblCellMar>
        </w:tblPrEx>
        <w:trPr>
          <w:trHeight w:val="567"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11</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响应</w:t>
            </w:r>
            <w:r>
              <w:rPr>
                <w:rFonts w:hint="eastAsia" w:ascii="宋体" w:hAnsi="宋体" w:eastAsia="宋体" w:cs="宋体"/>
                <w:b w:val="0"/>
                <w:bCs w:val="0"/>
                <w:color w:val="auto"/>
                <w:sz w:val="24"/>
                <w:szCs w:val="24"/>
              </w:rPr>
              <w:t>文件有效期</w:t>
            </w:r>
          </w:p>
        </w:tc>
        <w:tc>
          <w:tcPr>
            <w:tcW w:w="6946"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提交</w:t>
            </w:r>
            <w:r>
              <w:rPr>
                <w:rFonts w:hint="eastAsia" w:ascii="宋体" w:hAnsi="宋体" w:eastAsia="宋体" w:cs="宋体"/>
                <w:b w:val="0"/>
                <w:bCs w:val="0"/>
                <w:color w:val="auto"/>
                <w:sz w:val="24"/>
                <w:szCs w:val="24"/>
                <w:lang w:val="en-US" w:eastAsia="zh-CN"/>
              </w:rPr>
              <w:t>响应</w:t>
            </w:r>
            <w:r>
              <w:rPr>
                <w:rFonts w:hint="eastAsia" w:ascii="宋体" w:hAnsi="宋体" w:eastAsia="宋体" w:cs="宋体"/>
                <w:b w:val="0"/>
                <w:bCs w:val="0"/>
                <w:color w:val="auto"/>
                <w:sz w:val="24"/>
                <w:szCs w:val="24"/>
              </w:rPr>
              <w:t>文件的截止之日起90天</w:t>
            </w:r>
          </w:p>
        </w:tc>
      </w:tr>
      <w:tr>
        <w:tblPrEx>
          <w:tblCellMar>
            <w:top w:w="0" w:type="dxa"/>
            <w:left w:w="108" w:type="dxa"/>
            <w:bottom w:w="0" w:type="dxa"/>
            <w:right w:w="108" w:type="dxa"/>
          </w:tblCellMar>
        </w:tblPrEx>
        <w:trPr>
          <w:trHeight w:val="567"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12</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是否接受</w:t>
            </w:r>
          </w:p>
          <w:p>
            <w:pPr>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联合体投标</w:t>
            </w:r>
          </w:p>
        </w:tc>
        <w:tc>
          <w:tcPr>
            <w:tcW w:w="6946"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√不接受</w:t>
            </w:r>
          </w:p>
          <w:p>
            <w:pPr>
              <w:bidi w:val="0"/>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sym w:font="Wingdings" w:char="00A8"/>
            </w:r>
            <w:r>
              <w:rPr>
                <w:rFonts w:hint="eastAsia" w:ascii="宋体" w:hAnsi="宋体" w:eastAsia="宋体" w:cs="宋体"/>
                <w:b w:val="0"/>
                <w:bCs w:val="0"/>
                <w:color w:val="auto"/>
                <w:sz w:val="24"/>
                <w:szCs w:val="24"/>
              </w:rPr>
              <w:t>接受</w:t>
            </w:r>
          </w:p>
        </w:tc>
      </w:tr>
      <w:tr>
        <w:tblPrEx>
          <w:tblCellMar>
            <w:top w:w="0" w:type="dxa"/>
            <w:left w:w="108" w:type="dxa"/>
            <w:bottom w:w="0" w:type="dxa"/>
            <w:right w:w="108" w:type="dxa"/>
          </w:tblCellMar>
        </w:tblPrEx>
        <w:trPr>
          <w:trHeight w:val="567"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13</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w:t>
            </w:r>
          </w:p>
          <w:p>
            <w:pPr>
              <w:bidi w:val="0"/>
              <w:spacing w:line="360"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响应资格条件</w:t>
            </w:r>
          </w:p>
        </w:tc>
        <w:tc>
          <w:tcPr>
            <w:tcW w:w="6946"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b/>
                <w:bCs/>
                <w:color w:val="000000"/>
                <w:lang w:val="en-US"/>
              </w:rPr>
            </w:pPr>
            <w:r>
              <w:rPr>
                <w:rFonts w:hint="eastAsia" w:ascii="宋体" w:hAnsi="宋体" w:eastAsia="宋体" w:cs="宋体"/>
                <w:b/>
                <w:bCs/>
                <w:color w:val="000000"/>
                <w:lang w:val="en-US"/>
              </w:rPr>
              <w:t>（1）-（</w:t>
            </w:r>
            <w:r>
              <w:rPr>
                <w:rFonts w:hint="eastAsia" w:ascii="宋体" w:hAnsi="宋体" w:cs="宋体"/>
                <w:b/>
                <w:bCs/>
                <w:color w:val="000000"/>
                <w:lang w:val="en-US" w:eastAsia="zh-CN"/>
              </w:rPr>
              <w:t>4</w:t>
            </w:r>
            <w:r>
              <w:rPr>
                <w:rFonts w:hint="eastAsia" w:ascii="宋体" w:hAnsi="宋体" w:eastAsia="宋体" w:cs="宋体"/>
                <w:b/>
                <w:bCs/>
                <w:color w:val="000000"/>
                <w:lang w:val="en-US"/>
              </w:rPr>
              <w:t>）为投标报价时资格审查的必备条件，开标时投标人必须逐一关联响应,如果不能提供或有缺项则视为对竞争性磋商文件资格审查内容的不响应，其投标将被拒绝，此内容为采购人审查。注：后续供应商在线制作响应文件时需对资格审查项进行逐一关联响应。</w:t>
            </w:r>
          </w:p>
          <w:p>
            <w:pPr>
              <w:bidi w:val="0"/>
              <w:spacing w:line="360" w:lineRule="auto"/>
              <w:rPr>
                <w:rFonts w:hint="eastAsia" w:ascii="宋体" w:hAnsi="宋体" w:eastAsia="宋体" w:cs="宋体"/>
                <w:b/>
                <w:bCs/>
                <w:color w:val="000000"/>
                <w:lang w:val="en-US"/>
              </w:rPr>
            </w:pPr>
            <w:r>
              <w:rPr>
                <w:rFonts w:hint="eastAsia" w:ascii="宋体" w:hAnsi="宋体" w:eastAsia="宋体" w:cs="宋体"/>
                <w:b/>
                <w:bCs/>
                <w:color w:val="000000"/>
                <w:lang w:val="en-US"/>
              </w:rPr>
              <w:t>（1）满足《中华人民共和国政府采购法》第二十二条规定并提交承诺书彩色扫描件；</w:t>
            </w:r>
          </w:p>
          <w:p>
            <w:pPr>
              <w:bidi w:val="0"/>
              <w:spacing w:line="360" w:lineRule="auto"/>
              <w:rPr>
                <w:rFonts w:hint="eastAsia" w:ascii="宋体" w:hAnsi="宋体" w:eastAsia="宋体" w:cs="宋体"/>
                <w:b/>
                <w:bCs/>
                <w:color w:val="000000"/>
                <w:lang w:val="en-US"/>
              </w:rPr>
            </w:pPr>
            <w:r>
              <w:rPr>
                <w:rFonts w:hint="eastAsia" w:ascii="宋体" w:hAnsi="宋体" w:eastAsia="宋体" w:cs="宋体"/>
                <w:b/>
                <w:bCs/>
                <w:color w:val="000000"/>
                <w:lang w:val="en-US"/>
              </w:rPr>
              <w:t>（2）具有独立法人资格的有效企业法人营业执照或事业单位法人证书；</w:t>
            </w:r>
          </w:p>
          <w:p>
            <w:pPr>
              <w:bidi w:val="0"/>
              <w:spacing w:line="360" w:lineRule="auto"/>
              <w:rPr>
                <w:rFonts w:hint="eastAsia" w:ascii="宋体" w:hAnsi="宋体" w:eastAsia="宋体" w:cs="宋体"/>
                <w:b/>
                <w:bCs/>
                <w:color w:val="000000"/>
                <w:lang w:val="en-US"/>
              </w:rPr>
            </w:pPr>
            <w:r>
              <w:rPr>
                <w:rFonts w:hint="eastAsia" w:ascii="宋体" w:hAnsi="宋体" w:eastAsia="宋体" w:cs="宋体"/>
                <w:b/>
                <w:bCs/>
                <w:color w:val="000000"/>
                <w:lang w:val="en-US"/>
              </w:rPr>
              <w:t>（3）具有土地规划丙级（含丙级）以上资</w:t>
            </w:r>
            <w:r>
              <w:rPr>
                <w:rFonts w:hint="eastAsia" w:ascii="宋体" w:hAnsi="宋体" w:eastAsia="宋体" w:cs="宋体"/>
                <w:b/>
                <w:bCs/>
                <w:color w:val="000000"/>
                <w:highlight w:val="none"/>
                <w:lang w:val="en-US"/>
              </w:rPr>
              <w:t>质；</w:t>
            </w:r>
          </w:p>
          <w:p>
            <w:pPr>
              <w:bidi w:val="0"/>
              <w:spacing w:line="360" w:lineRule="auto"/>
              <w:rPr>
                <w:rFonts w:hint="eastAsia" w:ascii="宋体" w:hAnsi="宋体" w:eastAsia="宋体" w:cs="宋体"/>
                <w:color w:val="auto"/>
                <w:lang w:val="en-US"/>
              </w:rPr>
            </w:pPr>
            <w:r>
              <w:rPr>
                <w:rFonts w:hint="eastAsia" w:ascii="宋体" w:hAnsi="宋体" w:eastAsia="宋体" w:cs="宋体"/>
                <w:b/>
                <w:bCs/>
                <w:color w:val="000000"/>
                <w:lang w:val="en-US"/>
              </w:rPr>
              <w:t>（4）具有良好的信誉，未被 “信用中国”(www.creditchina.gov.cn) 列入失信被执行人、重大税收违法案件当事人名单，未被 “中国政府采购网”（www.ccgp.gov.cn）列入政府采购严重违法失信行为记录名单。</w:t>
            </w:r>
          </w:p>
        </w:tc>
      </w:tr>
      <w:tr>
        <w:tblPrEx>
          <w:tblCellMar>
            <w:top w:w="0" w:type="dxa"/>
            <w:left w:w="108" w:type="dxa"/>
            <w:bottom w:w="0" w:type="dxa"/>
            <w:right w:w="108" w:type="dxa"/>
          </w:tblCellMar>
        </w:tblPrEx>
        <w:trPr>
          <w:trHeight w:val="90"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14</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是否允许递交</w:t>
            </w:r>
          </w:p>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备选投标方案</w:t>
            </w:r>
          </w:p>
        </w:tc>
        <w:tc>
          <w:tcPr>
            <w:tcW w:w="6946"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√不允许</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允许</w:t>
            </w:r>
          </w:p>
        </w:tc>
      </w:tr>
      <w:tr>
        <w:tblPrEx>
          <w:tblCellMar>
            <w:top w:w="0" w:type="dxa"/>
            <w:left w:w="108" w:type="dxa"/>
            <w:bottom w:w="0" w:type="dxa"/>
            <w:right w:w="108" w:type="dxa"/>
          </w:tblCellMar>
        </w:tblPrEx>
        <w:trPr>
          <w:trHeight w:val="567"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15</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竞争性磋商文件领取</w:t>
            </w:r>
          </w:p>
        </w:tc>
        <w:tc>
          <w:tcPr>
            <w:tcW w:w="6946"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供应商登陆政采云平http://www.zcygov.cn/可下载竞争性磋商文件，如有操作性问题，可与政采云在线客服进行咨询，咨询电话：400-881-7190）。 </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本次招标不提供纸质版竞争性磋商文件。  </w:t>
            </w:r>
          </w:p>
        </w:tc>
      </w:tr>
      <w:tr>
        <w:tblPrEx>
          <w:tblCellMar>
            <w:top w:w="0" w:type="dxa"/>
            <w:left w:w="108" w:type="dxa"/>
            <w:bottom w:w="0" w:type="dxa"/>
            <w:right w:w="108" w:type="dxa"/>
          </w:tblCellMar>
        </w:tblPrEx>
        <w:trPr>
          <w:trHeight w:val="567"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16</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签字和（或）</w:t>
            </w:r>
          </w:p>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盖章要求</w:t>
            </w:r>
          </w:p>
        </w:tc>
        <w:tc>
          <w:tcPr>
            <w:tcW w:w="6946"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企业公章</w:t>
            </w:r>
            <w:r>
              <w:rPr>
                <w:rFonts w:hint="eastAsia" w:ascii="宋体" w:hAnsi="宋体" w:eastAsia="宋体" w:cs="宋体"/>
                <w:color w:val="auto"/>
                <w:sz w:val="24"/>
                <w:szCs w:val="24"/>
                <w:lang w:eastAsia="zh-CN"/>
              </w:rPr>
              <w:t>、法人章</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企业法定代表人或其委托代理人签字</w:t>
            </w:r>
          </w:p>
        </w:tc>
      </w:tr>
      <w:tr>
        <w:tblPrEx>
          <w:tblCellMar>
            <w:top w:w="0" w:type="dxa"/>
            <w:left w:w="108" w:type="dxa"/>
            <w:bottom w:w="0" w:type="dxa"/>
            <w:right w:w="108" w:type="dxa"/>
          </w:tblCellMar>
        </w:tblPrEx>
        <w:trPr>
          <w:trHeight w:val="567"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sz w:val="24"/>
                <w:szCs w:val="24"/>
                <w:lang w:val="en-US" w:eastAsia="zh-CN"/>
              </w:rPr>
              <w:t>17</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c>
          <w:tcPr>
            <w:tcW w:w="6946"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技术指标是作为功能性说明，不论任何情况，供应商在投标时必须达到或优于</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要求。</w:t>
            </w:r>
          </w:p>
        </w:tc>
      </w:tr>
      <w:tr>
        <w:tblPrEx>
          <w:tblCellMar>
            <w:top w:w="0" w:type="dxa"/>
            <w:left w:w="108" w:type="dxa"/>
            <w:bottom w:w="0" w:type="dxa"/>
            <w:right w:w="108" w:type="dxa"/>
          </w:tblCellMar>
        </w:tblPrEx>
        <w:trPr>
          <w:trHeight w:val="567"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18</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Cs/>
                <w:color w:val="auto"/>
                <w:sz w:val="24"/>
                <w:szCs w:val="24"/>
              </w:rPr>
              <w:t>报价方式</w:t>
            </w:r>
          </w:p>
        </w:tc>
        <w:tc>
          <w:tcPr>
            <w:tcW w:w="694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经磋商确定的最后报价</w:t>
            </w:r>
          </w:p>
        </w:tc>
      </w:tr>
      <w:tr>
        <w:tblPrEx>
          <w:tblCellMar>
            <w:top w:w="0" w:type="dxa"/>
            <w:left w:w="108" w:type="dxa"/>
            <w:bottom w:w="0" w:type="dxa"/>
            <w:right w:w="108" w:type="dxa"/>
          </w:tblCellMar>
        </w:tblPrEx>
        <w:trPr>
          <w:trHeight w:val="448"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19</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评标办法</w:t>
            </w:r>
          </w:p>
        </w:tc>
        <w:tc>
          <w:tcPr>
            <w:tcW w:w="6946"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综合评分法</w:t>
            </w:r>
          </w:p>
        </w:tc>
      </w:tr>
      <w:tr>
        <w:tblPrEx>
          <w:tblCellMar>
            <w:top w:w="0" w:type="dxa"/>
            <w:left w:w="108" w:type="dxa"/>
            <w:bottom w:w="0" w:type="dxa"/>
            <w:right w:w="108" w:type="dxa"/>
          </w:tblCellMar>
        </w:tblPrEx>
        <w:trPr>
          <w:trHeight w:val="670"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0</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投标保证金</w:t>
            </w:r>
          </w:p>
        </w:tc>
        <w:tc>
          <w:tcPr>
            <w:tcW w:w="6946"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ind w:left="1410" w:hanging="1210" w:hangingChars="5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投标保证金：</w:t>
            </w:r>
            <w:r>
              <w:rPr>
                <w:rFonts w:hint="eastAsia" w:ascii="宋体" w:hAnsi="宋体" w:cs="宋体"/>
                <w:b/>
                <w:bCs/>
                <w:color w:val="auto"/>
                <w:sz w:val="24"/>
                <w:szCs w:val="24"/>
                <w:lang w:val="en-US" w:eastAsia="zh-CN"/>
              </w:rPr>
              <w:t>壹万伍仟</w:t>
            </w:r>
            <w:r>
              <w:rPr>
                <w:rFonts w:hint="eastAsia" w:ascii="宋体" w:hAnsi="宋体" w:eastAsia="宋体" w:cs="宋体"/>
                <w:b/>
                <w:bCs/>
                <w:color w:val="auto"/>
                <w:sz w:val="24"/>
                <w:szCs w:val="24"/>
                <w:lang w:val="en-US" w:eastAsia="zh-CN"/>
              </w:rPr>
              <w:t xml:space="preserve">万元整 </w:t>
            </w:r>
          </w:p>
          <w:p>
            <w:pPr>
              <w:bidi w:val="0"/>
              <w:spacing w:line="36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收款单位：</w:t>
            </w:r>
            <w:r>
              <w:rPr>
                <w:rFonts w:hint="eastAsia" w:ascii="宋体" w:hAnsi="宋体" w:cs="宋体"/>
                <w:b/>
                <w:bCs/>
                <w:color w:val="auto"/>
                <w:sz w:val="24"/>
                <w:szCs w:val="24"/>
                <w:lang w:eastAsia="zh-CN"/>
              </w:rPr>
              <w:t>新疆鸿澜工程项目管理有限公司</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开户银行：昆仑银行股份有限公司库尔勒石化大道支行</w:t>
            </w:r>
          </w:p>
          <w:p>
            <w:pPr>
              <w:pStyle w:val="24"/>
              <w:spacing w:line="360" w:lineRule="auto"/>
              <w:ind w:left="0" w:leftChars="0" w:firstLine="0"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帐    号：88812100687390000010</w:t>
            </w:r>
          </w:p>
          <w:p>
            <w:pPr>
              <w:pStyle w:val="24"/>
              <w:spacing w:line="360" w:lineRule="auto"/>
              <w:ind w:left="0" w:leftChars="0" w:firstLine="0"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注：投标保证金只针对公对公汇款，个人名义汇款无效。</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必须在20</w:t>
            </w:r>
            <w:r>
              <w:rPr>
                <w:rFonts w:hint="eastAsia" w:ascii="宋体" w:hAnsi="宋体" w:eastAsia="宋体" w:cs="宋体"/>
                <w:b/>
                <w:bCs/>
                <w:color w:val="auto"/>
                <w:sz w:val="24"/>
                <w:szCs w:val="24"/>
                <w:lang w:val="en-US" w:eastAsia="zh-CN"/>
              </w:rPr>
              <w:t>21</w:t>
            </w:r>
            <w:r>
              <w:rPr>
                <w:rFonts w:hint="eastAsia" w:ascii="宋体" w:hAnsi="宋体" w:eastAsia="宋体" w:cs="宋体"/>
                <w:b/>
                <w:bCs/>
                <w:color w:val="auto"/>
                <w:sz w:val="24"/>
                <w:szCs w:val="24"/>
              </w:rPr>
              <w:t>年</w:t>
            </w:r>
            <w:r>
              <w:rPr>
                <w:rFonts w:hint="eastAsia" w:ascii="宋体" w:hAnsi="宋体" w:cs="宋体"/>
                <w:b/>
                <w:bCs/>
                <w:color w:val="auto"/>
                <w:sz w:val="24"/>
                <w:szCs w:val="24"/>
                <w:lang w:val="en-US" w:eastAsia="zh-CN"/>
              </w:rPr>
              <w:t>12</w:t>
            </w:r>
            <w:r>
              <w:rPr>
                <w:rFonts w:hint="eastAsia" w:ascii="宋体" w:hAnsi="宋体" w:eastAsia="宋体" w:cs="宋体"/>
                <w:b/>
                <w:bCs/>
                <w:color w:val="auto"/>
                <w:sz w:val="24"/>
                <w:szCs w:val="24"/>
              </w:rPr>
              <w:t>月</w:t>
            </w:r>
            <w:r>
              <w:rPr>
                <w:rFonts w:hint="eastAsia" w:ascii="宋体" w:hAnsi="宋体" w:cs="宋体"/>
                <w:b/>
                <w:bCs/>
                <w:color w:val="auto"/>
                <w:sz w:val="24"/>
                <w:szCs w:val="24"/>
                <w:lang w:val="en-US" w:eastAsia="zh-CN"/>
              </w:rPr>
              <w:t>17</w:t>
            </w:r>
            <w:r>
              <w:rPr>
                <w:rFonts w:hint="eastAsia" w:ascii="宋体" w:hAnsi="宋体" w:eastAsia="宋体" w:cs="宋体"/>
                <w:b/>
                <w:bCs/>
                <w:color w:val="auto"/>
                <w:sz w:val="24"/>
                <w:szCs w:val="24"/>
              </w:rPr>
              <w:t>日</w:t>
            </w:r>
            <w:r>
              <w:rPr>
                <w:rFonts w:hint="eastAsia" w:ascii="宋体" w:hAnsi="宋体" w:eastAsia="宋体" w:cs="宋体"/>
                <w:b/>
                <w:bCs/>
                <w:color w:val="auto"/>
                <w:sz w:val="24"/>
                <w:szCs w:val="24"/>
                <w:lang w:val="en-US" w:eastAsia="zh-CN"/>
              </w:rPr>
              <w:t>1</w:t>
            </w:r>
            <w:r>
              <w:rPr>
                <w:rFonts w:hint="eastAsia" w:ascii="宋体" w:hAnsi="宋体" w:cs="宋体"/>
                <w:b/>
                <w:bCs/>
                <w:color w:val="auto"/>
                <w:sz w:val="24"/>
                <w:szCs w:val="24"/>
                <w:lang w:val="en-US" w:eastAsia="zh-CN"/>
              </w:rPr>
              <w:t>6</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00</w:t>
            </w:r>
            <w:r>
              <w:rPr>
                <w:rFonts w:hint="eastAsia" w:ascii="宋体" w:hAnsi="宋体" w:eastAsia="宋体" w:cs="宋体"/>
                <w:b/>
                <w:bCs/>
                <w:color w:val="auto"/>
                <w:sz w:val="24"/>
                <w:szCs w:val="24"/>
              </w:rPr>
              <w:t>时（北京时间）前将投标保证金汇入指定账户并告知我公司确认投标。投标保证金汇款凭证上用途栏应注明本项目[标准格式：</w:t>
            </w:r>
            <w:r>
              <w:rPr>
                <w:rFonts w:hint="eastAsia" w:ascii="宋体" w:hAnsi="宋体" w:eastAsia="宋体" w:cs="宋体"/>
                <w:b/>
                <w:bCs/>
                <w:color w:val="auto"/>
                <w:sz w:val="24"/>
                <w:szCs w:val="24"/>
                <w:u w:val="single"/>
              </w:rPr>
              <w:t>新疆轮台县自然资源局永久基本农田全面核实及划定项目</w:t>
            </w:r>
            <w:r>
              <w:rPr>
                <w:rFonts w:hint="eastAsia" w:ascii="宋体" w:hAnsi="宋体" w:eastAsia="宋体" w:cs="宋体"/>
                <w:b/>
                <w:bCs/>
                <w:color w:val="auto"/>
                <w:sz w:val="24"/>
                <w:szCs w:val="24"/>
                <w:lang w:eastAsia="zh-CN"/>
              </w:rPr>
              <w:t>保证证金</w:t>
            </w:r>
            <w:r>
              <w:rPr>
                <w:rFonts w:hint="eastAsia" w:ascii="宋体" w:hAnsi="宋体" w:eastAsia="宋体" w:cs="宋体"/>
                <w:b/>
                <w:bCs/>
                <w:color w:val="auto"/>
                <w:sz w:val="24"/>
                <w:szCs w:val="24"/>
              </w:rPr>
              <w:t>]。如未按时缴纳投标保证金，投标将被拒绝。</w:t>
            </w:r>
          </w:p>
        </w:tc>
      </w:tr>
      <w:tr>
        <w:tblPrEx>
          <w:tblCellMar>
            <w:top w:w="0" w:type="dxa"/>
            <w:left w:w="108" w:type="dxa"/>
            <w:bottom w:w="0" w:type="dxa"/>
            <w:right w:w="108" w:type="dxa"/>
          </w:tblCellMar>
        </w:tblPrEx>
        <w:trPr>
          <w:trHeight w:val="567"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响应</w:t>
            </w:r>
            <w:r>
              <w:rPr>
                <w:rFonts w:hint="eastAsia" w:ascii="宋体" w:hAnsi="宋体" w:eastAsia="宋体" w:cs="宋体"/>
                <w:b/>
                <w:bCs/>
                <w:color w:val="auto"/>
                <w:sz w:val="24"/>
                <w:szCs w:val="24"/>
              </w:rPr>
              <w:t>文件</w:t>
            </w:r>
          </w:p>
          <w:p>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(电子加密文件)</w:t>
            </w:r>
          </w:p>
          <w:p>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提</w:t>
            </w:r>
            <w:r>
              <w:rPr>
                <w:rFonts w:hint="eastAsia" w:ascii="宋体" w:hAnsi="宋体" w:eastAsia="宋体" w:cs="宋体"/>
                <w:b/>
                <w:bCs/>
                <w:color w:val="auto"/>
                <w:sz w:val="24"/>
                <w:szCs w:val="24"/>
              </w:rPr>
              <w:t>交时间及地点</w:t>
            </w:r>
          </w:p>
        </w:tc>
        <w:tc>
          <w:tcPr>
            <w:tcW w:w="6946"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提交</w:t>
            </w:r>
            <w:r>
              <w:rPr>
                <w:rFonts w:hint="eastAsia" w:ascii="宋体" w:hAnsi="宋体" w:eastAsia="宋体" w:cs="宋体"/>
                <w:b/>
                <w:bCs/>
                <w:color w:val="auto"/>
                <w:sz w:val="24"/>
                <w:szCs w:val="24"/>
                <w:lang w:val="en-US" w:eastAsia="zh-CN"/>
              </w:rPr>
              <w:t>响应</w:t>
            </w:r>
            <w:r>
              <w:rPr>
                <w:rFonts w:hint="eastAsia" w:ascii="宋体" w:hAnsi="宋体" w:eastAsia="宋体" w:cs="宋体"/>
                <w:b/>
                <w:bCs/>
                <w:color w:val="auto"/>
                <w:sz w:val="24"/>
                <w:szCs w:val="24"/>
              </w:rPr>
              <w:t>文件截止时间及开标时间：</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2021年</w:t>
            </w:r>
            <w:r>
              <w:rPr>
                <w:rFonts w:hint="eastAsia" w:ascii="宋体" w:hAnsi="宋体" w:cs="宋体"/>
                <w:b/>
                <w:bCs/>
                <w:color w:val="auto"/>
                <w:sz w:val="24"/>
                <w:szCs w:val="24"/>
                <w:lang w:val="en-US" w:eastAsia="zh-CN"/>
              </w:rPr>
              <w:t>12</w:t>
            </w:r>
            <w:r>
              <w:rPr>
                <w:rFonts w:hint="eastAsia" w:ascii="宋体" w:hAnsi="宋体" w:eastAsia="宋体" w:cs="宋体"/>
                <w:b/>
                <w:bCs/>
                <w:color w:val="auto"/>
                <w:sz w:val="24"/>
                <w:szCs w:val="24"/>
              </w:rPr>
              <w:t>月</w:t>
            </w:r>
            <w:r>
              <w:rPr>
                <w:rFonts w:hint="eastAsia" w:ascii="宋体" w:hAnsi="宋体" w:cs="宋体"/>
                <w:b/>
                <w:bCs/>
                <w:color w:val="auto"/>
                <w:sz w:val="24"/>
                <w:szCs w:val="24"/>
                <w:lang w:val="en-US" w:eastAsia="zh-CN"/>
              </w:rPr>
              <w:t>17</w:t>
            </w:r>
            <w:r>
              <w:rPr>
                <w:rFonts w:hint="eastAsia" w:ascii="宋体" w:hAnsi="宋体" w:eastAsia="宋体" w:cs="宋体"/>
                <w:b/>
                <w:bCs/>
                <w:color w:val="auto"/>
                <w:sz w:val="24"/>
                <w:szCs w:val="24"/>
              </w:rPr>
              <w:t>日</w:t>
            </w:r>
            <w:r>
              <w:rPr>
                <w:rFonts w:hint="eastAsia" w:ascii="宋体" w:hAnsi="宋体" w:eastAsia="宋体" w:cs="宋体"/>
                <w:b/>
                <w:bCs/>
                <w:color w:val="auto"/>
                <w:sz w:val="24"/>
                <w:szCs w:val="24"/>
                <w:lang w:val="en-US" w:eastAsia="zh-CN"/>
              </w:rPr>
              <w:t>1</w:t>
            </w:r>
            <w:r>
              <w:rPr>
                <w:rFonts w:hint="eastAsia" w:ascii="宋体" w:hAnsi="宋体" w:cs="宋体"/>
                <w:b/>
                <w:bCs/>
                <w:color w:val="auto"/>
                <w:sz w:val="24"/>
                <w:szCs w:val="24"/>
                <w:lang w:val="en-US" w:eastAsia="zh-CN"/>
              </w:rPr>
              <w:t>6</w:t>
            </w:r>
            <w:r>
              <w:rPr>
                <w:rFonts w:hint="eastAsia" w:ascii="宋体" w:hAnsi="宋体" w:eastAsia="宋体" w:cs="宋体"/>
                <w:b/>
                <w:bCs/>
                <w:color w:val="auto"/>
                <w:sz w:val="24"/>
                <w:szCs w:val="24"/>
              </w:rPr>
              <w:t>时</w:t>
            </w:r>
            <w:r>
              <w:rPr>
                <w:rFonts w:hint="eastAsia" w:ascii="宋体" w:hAnsi="宋体" w:eastAsia="宋体" w:cs="宋体"/>
                <w:b/>
                <w:bCs/>
                <w:color w:val="auto"/>
                <w:sz w:val="24"/>
                <w:szCs w:val="24"/>
                <w:lang w:val="en-US" w:eastAsia="zh-CN"/>
              </w:rPr>
              <w:t>00</w:t>
            </w:r>
            <w:r>
              <w:rPr>
                <w:rFonts w:hint="eastAsia" w:ascii="宋体" w:hAnsi="宋体" w:eastAsia="宋体" w:cs="宋体"/>
                <w:b/>
                <w:bCs/>
                <w:color w:val="auto"/>
                <w:sz w:val="24"/>
                <w:szCs w:val="24"/>
              </w:rPr>
              <w:t>分（北京时间）</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投标地点及开标地点：</w:t>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"https://www.zcygov.cn"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https://www.zcygov.cn</w:t>
            </w:r>
            <w:r>
              <w:rPr>
                <w:rFonts w:hint="eastAsia" w:ascii="宋体" w:hAnsi="宋体" w:eastAsia="宋体" w:cs="宋体"/>
                <w:b/>
                <w:bCs/>
                <w:color w:val="auto"/>
                <w:sz w:val="24"/>
                <w:szCs w:val="24"/>
              </w:rPr>
              <w:fldChar w:fldCharType="end"/>
            </w:r>
          </w:p>
        </w:tc>
      </w:tr>
      <w:tr>
        <w:tblPrEx>
          <w:tblCellMar>
            <w:top w:w="0" w:type="dxa"/>
            <w:left w:w="108" w:type="dxa"/>
            <w:bottom w:w="0" w:type="dxa"/>
            <w:right w:w="108" w:type="dxa"/>
          </w:tblCellMar>
        </w:tblPrEx>
        <w:trPr>
          <w:trHeight w:val="567"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响应</w:t>
            </w:r>
            <w:r>
              <w:rPr>
                <w:rFonts w:hint="eastAsia" w:ascii="宋体" w:hAnsi="宋体" w:eastAsia="宋体" w:cs="宋体"/>
                <w:b/>
                <w:bCs/>
                <w:color w:val="auto"/>
                <w:sz w:val="24"/>
                <w:szCs w:val="24"/>
              </w:rPr>
              <w:t>文件的份数</w:t>
            </w:r>
          </w:p>
        </w:tc>
        <w:tc>
          <w:tcPr>
            <w:tcW w:w="6946"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中标后5日内</w:t>
            </w:r>
            <w:r>
              <w:rPr>
                <w:rFonts w:hint="eastAsia" w:ascii="宋体" w:hAnsi="宋体" w:eastAsia="宋体" w:cs="宋体"/>
                <w:b/>
                <w:bCs/>
                <w:color w:val="auto"/>
                <w:sz w:val="24"/>
                <w:szCs w:val="24"/>
              </w:rPr>
              <w:t>投标</w:t>
            </w:r>
            <w:r>
              <w:rPr>
                <w:rFonts w:hint="eastAsia" w:ascii="宋体" w:hAnsi="宋体" w:eastAsia="宋体" w:cs="宋体"/>
                <w:b/>
                <w:bCs/>
                <w:color w:val="auto"/>
                <w:sz w:val="24"/>
                <w:szCs w:val="24"/>
                <w:lang w:val="en-US" w:eastAsia="zh-CN"/>
              </w:rPr>
              <w:t>供应商</w:t>
            </w:r>
            <w:r>
              <w:rPr>
                <w:rFonts w:hint="eastAsia" w:ascii="宋体" w:hAnsi="宋体" w:eastAsia="宋体" w:cs="宋体"/>
                <w:b/>
                <w:bCs/>
                <w:color w:val="auto"/>
                <w:sz w:val="24"/>
                <w:szCs w:val="24"/>
              </w:rPr>
              <w:t>提供纸质版文件一式三份</w:t>
            </w:r>
            <w:r>
              <w:rPr>
                <w:rFonts w:hint="eastAsia" w:ascii="宋体" w:hAnsi="宋体" w:eastAsia="宋体" w:cs="宋体"/>
                <w:b/>
                <w:bCs/>
                <w:color w:val="auto"/>
                <w:sz w:val="24"/>
                <w:szCs w:val="24"/>
                <w:lang w:eastAsia="zh-CN"/>
              </w:rPr>
              <w:t>（与电子版投标文件一致）</w:t>
            </w:r>
            <w:r>
              <w:rPr>
                <w:rFonts w:hint="eastAsia" w:ascii="宋体" w:hAnsi="宋体" w:eastAsia="宋体" w:cs="宋体"/>
                <w:b/>
                <w:bCs/>
                <w:color w:val="auto"/>
                <w:sz w:val="24"/>
                <w:szCs w:val="24"/>
              </w:rPr>
              <w:t>。</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zh-CN" w:eastAsia="zh-CN"/>
              </w:rPr>
              <w:t>（注：采用不见面方式开标的，开标结束后，所有投标人须将投标文件（须与上传政采云投标文件一致）电子版U盘一份及纸质版正本一份，副本贰分，盖章处按要求盖章或签字，递交至招标代理公司。</w:t>
            </w:r>
          </w:p>
        </w:tc>
      </w:tr>
      <w:tr>
        <w:tblPrEx>
          <w:tblCellMar>
            <w:top w:w="0" w:type="dxa"/>
            <w:left w:w="108" w:type="dxa"/>
            <w:bottom w:w="0" w:type="dxa"/>
            <w:right w:w="108" w:type="dxa"/>
          </w:tblCellMar>
        </w:tblPrEx>
        <w:trPr>
          <w:trHeight w:val="434"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最高限价</w:t>
            </w:r>
          </w:p>
        </w:tc>
        <w:tc>
          <w:tcPr>
            <w:tcW w:w="6946"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最高限价</w:t>
            </w:r>
            <w:r>
              <w:rPr>
                <w:rFonts w:hint="eastAsia" w:ascii="宋体" w:hAnsi="宋体" w:eastAsia="宋体" w:cs="宋体"/>
                <w:b w:val="0"/>
                <w:bCs w:val="0"/>
                <w:color w:val="auto"/>
                <w:sz w:val="24"/>
                <w:szCs w:val="24"/>
                <w:lang w:eastAsia="zh-CN"/>
              </w:rPr>
              <w:t>：无</w:t>
            </w:r>
          </w:p>
        </w:tc>
      </w:tr>
      <w:tr>
        <w:tblPrEx>
          <w:tblCellMar>
            <w:top w:w="0" w:type="dxa"/>
            <w:left w:w="108" w:type="dxa"/>
            <w:bottom w:w="0" w:type="dxa"/>
            <w:right w:w="108" w:type="dxa"/>
          </w:tblCellMar>
        </w:tblPrEx>
        <w:trPr>
          <w:trHeight w:val="567"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24</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代理服务费</w:t>
            </w:r>
          </w:p>
        </w:tc>
        <w:tc>
          <w:tcPr>
            <w:tcW w:w="6946"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由中标单位支付，</w:t>
            </w:r>
            <w:r>
              <w:rPr>
                <w:rFonts w:hint="eastAsia" w:ascii="宋体" w:hAnsi="宋体" w:eastAsia="宋体" w:cs="宋体"/>
                <w:b/>
                <w:bCs/>
                <w:color w:val="auto"/>
                <w:sz w:val="24"/>
                <w:szCs w:val="24"/>
              </w:rPr>
              <w:t>收取标准参照国计委计价格[2002]1980号文执行。</w:t>
            </w:r>
          </w:p>
        </w:tc>
      </w:tr>
      <w:tr>
        <w:tblPrEx>
          <w:tblCellMar>
            <w:top w:w="0" w:type="dxa"/>
            <w:left w:w="108" w:type="dxa"/>
            <w:bottom w:w="0" w:type="dxa"/>
            <w:right w:w="108" w:type="dxa"/>
          </w:tblCellMar>
        </w:tblPrEx>
        <w:trPr>
          <w:trHeight w:val="567"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25</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提出质疑的时间</w:t>
            </w:r>
          </w:p>
        </w:tc>
        <w:tc>
          <w:tcPr>
            <w:tcW w:w="6946"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1、供应商认为采购文件、采购过程、中标或者成交结果使自己的权益受到损害的，可以在知道或者应知其权益受到损害之日起7个工作日内，以书面形式向采购人、采购代理机构提出质疑。</w:t>
            </w:r>
          </w:p>
          <w:p>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2、提出质疑的供应商（以下简称质疑供应商）应当是参与所质疑项目采购活动的供应商。</w:t>
            </w:r>
          </w:p>
          <w:p>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3、对采购文件提出质疑的，应当在获取采购文件或者采购文件公告期限届满之日起7个工作日内提出。</w:t>
            </w:r>
          </w:p>
          <w:p>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4、质疑函应当包括下列内容：</w:t>
            </w:r>
          </w:p>
          <w:p>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（一）供应商的姓名或者名称、地址、邮编、联系人及联系电话；</w:t>
            </w:r>
          </w:p>
          <w:p>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（二）质疑项目的名称、编号；</w:t>
            </w:r>
          </w:p>
          <w:p>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（三）具体、明确的质疑事项和与质疑事项相关的请求；</w:t>
            </w:r>
          </w:p>
          <w:p>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（四）事实依据；</w:t>
            </w:r>
          </w:p>
          <w:p>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（五）必要的法律依据；</w:t>
            </w:r>
          </w:p>
          <w:p>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（六）提出质疑的日期。</w:t>
            </w:r>
          </w:p>
          <w:p>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供应商为自然人的，应当由本人签字；供应商为法人或者其他组织的，应当由法定代表人、主要负责人，或者其授权代表签字或者盖章，并加盖公章。</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5、接受质疑函的方式：现场递交纸质版及Word格式电子版质疑文件（一式两份）。</w:t>
            </w:r>
          </w:p>
        </w:tc>
      </w:tr>
      <w:tr>
        <w:tblPrEx>
          <w:tblCellMar>
            <w:top w:w="0" w:type="dxa"/>
            <w:left w:w="108" w:type="dxa"/>
            <w:bottom w:w="0" w:type="dxa"/>
            <w:right w:w="108" w:type="dxa"/>
          </w:tblCellMar>
        </w:tblPrEx>
        <w:trPr>
          <w:trHeight w:val="567"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26</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知识产权</w:t>
            </w:r>
          </w:p>
        </w:tc>
        <w:tc>
          <w:tcPr>
            <w:tcW w:w="6946"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1.供应商须保证，</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在中华人民共和国境内使用投标设施设备、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损失的，供应商须承担全部赔偿责任。</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2.供应商如欲在项目实施过程中采用自有知识成果，须在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文件中声明，并提供相关知识产权证明文件。使用该知识成果后，供应商须提供开发接口和开发手册等技术文档。</w:t>
            </w:r>
          </w:p>
        </w:tc>
      </w:tr>
      <w:tr>
        <w:tblPrEx>
          <w:tblCellMar>
            <w:top w:w="0" w:type="dxa"/>
            <w:left w:w="108" w:type="dxa"/>
            <w:bottom w:w="0" w:type="dxa"/>
            <w:right w:w="108" w:type="dxa"/>
          </w:tblCellMar>
        </w:tblPrEx>
        <w:trPr>
          <w:trHeight w:val="567"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27</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政府采购</w:t>
            </w:r>
          </w:p>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政策支持</w:t>
            </w:r>
          </w:p>
        </w:tc>
        <w:tc>
          <w:tcPr>
            <w:tcW w:w="6946"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促进中小企业发展政策：根据《政府采购促进中小企业发展暂行办法》规定，本项目供应商为小型或微型企业且报价产品为小型或微型企业生产的，将对该报价产品的评标报价给予6%的扣除。供应商和制造商应出具</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文件要求的《中小企业声明函》给予证明，否则评标时不予认可。供应商和制造商应对提交的中小企业声明函的真实性负责，提交的中小企业声明函不真实的，应承担相应的法律责任。</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监狱企业扶持政策：供应商如为监狱企业将视同小型或微型企业，且报价产品为小型或微型企业生产的，将对该产品的评标报价给予6%的扣除。供应商为监狱企业的，应提供由省级以上监狱管理局、戒毒管理局（含新疆生产建设兵团）出具的属于监狱企业的证明文件。供应商应对提交属于监狱企业的证明文件的真实性负责，提交的监狱企业的证明文件不真实的，应承担相应的法律责任。</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3.残疾人福利性单位视同小型、微型企业。不重复享受政策。</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列入财政部会同国务院有关部门发布的节能产品、环境标志产品品目清单，供应商应当提供国家确定的认证机构出具的、处于有效期之内的节能产品、环境标志产品认证证书。</w:t>
            </w:r>
          </w:p>
        </w:tc>
      </w:tr>
      <w:tr>
        <w:tblPrEx>
          <w:tblCellMar>
            <w:top w:w="0" w:type="dxa"/>
            <w:left w:w="108" w:type="dxa"/>
            <w:bottom w:w="0" w:type="dxa"/>
            <w:right w:w="108" w:type="dxa"/>
          </w:tblCellMar>
        </w:tblPrEx>
        <w:trPr>
          <w:trHeight w:val="567"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28</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其他说明</w:t>
            </w:r>
          </w:p>
        </w:tc>
        <w:tc>
          <w:tcPr>
            <w:tcW w:w="6946"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1.请投标单位提前自学线上开标流程；投标截止时间当天，线上开标环节，</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文件解密时长30分钟，请各投标单位请自带笔记本电脑及CA锁网上进行文件解密以及操作投标事项，请供应商提前调试好在线参标电脑各项配置。</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中采购清单、技术需求等如有偏差，如有疑义请澄清中及时提出；否则视为充分理解</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各项要求。</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3.本次采用政府采购云平台线上招标、投标，请各潜在供应商及时办理CA锁和学习政府采购云平台线上投标相关知识。请在政府采购云平台登录后，进行下载</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。请各供应商获取</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后及时关注云平台答疑文件获取栏目。具体相关事宜见政府采购云平台。本项目采用资格后审，请供应商仔细阅读</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和各项要求，制作文件及相关资料过程中，若因供应商资格条件不符、提供资料不全等原因导致</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文件予以退还，责任自负。</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中如有内容冲突的地方，以供应商须知要求为准。</w:t>
            </w:r>
          </w:p>
        </w:tc>
      </w:tr>
      <w:tr>
        <w:tblPrEx>
          <w:tblCellMar>
            <w:top w:w="0" w:type="dxa"/>
            <w:left w:w="108" w:type="dxa"/>
            <w:bottom w:w="0" w:type="dxa"/>
            <w:right w:w="108" w:type="dxa"/>
          </w:tblCellMar>
        </w:tblPrEx>
        <w:trPr>
          <w:trHeight w:val="567"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档案资料说明</w:t>
            </w:r>
          </w:p>
        </w:tc>
        <w:tc>
          <w:tcPr>
            <w:tcW w:w="6946"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为了落实政府采购档案管理规定，凡参与本项目的投标供应商需提供纸质版响应文件，正本一份（逐页加盖公章）、副本两份（副本为正本的复印件），使用 A4 规格纸张打印（可以双面打印），装订成册（必须胶装），纸质版响应文件须与解密文件内容一致，以上资料请于开标结束后两日内送达我公司，否则后果自负。</w:t>
            </w:r>
          </w:p>
        </w:tc>
      </w:tr>
      <w:tr>
        <w:tblPrEx>
          <w:tblCellMar>
            <w:top w:w="0" w:type="dxa"/>
            <w:left w:w="108" w:type="dxa"/>
            <w:bottom w:w="0" w:type="dxa"/>
            <w:right w:w="108" w:type="dxa"/>
          </w:tblCellMar>
        </w:tblPrEx>
        <w:trPr>
          <w:trHeight w:val="567"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2019" w:type="dxa"/>
            <w:gridSpan w:val="2"/>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备注</w:t>
            </w:r>
          </w:p>
        </w:tc>
        <w:tc>
          <w:tcPr>
            <w:tcW w:w="6935"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竞争性磋商文件中废标、无效标、投标被拒绝字样的条款，为招标的实质性要求和条件，着重提醒各投标人注意，并认真查看竞争性磋商文件中的每一个条款及要求，因误读竞争性磋商文件而造成的后果，招标人概不负责。</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响应文件中有弄虚作假的内容，其响应文件作废。（如假证书、假业绩、隐瞒不良行为记录、夸大荣誉、使用非本单位在职员工的相关证件及不符合竞争性磋商文件规定的条款等）；在签订合同之前，投标人如发现投标人的响应文件有弄虚作假内容，招标人可拒绝与其签订合同，并将其列入政府采购黑名单库。</w:t>
            </w:r>
          </w:p>
        </w:tc>
      </w:tr>
      <w:tr>
        <w:tblPrEx>
          <w:tblCellMar>
            <w:top w:w="0" w:type="dxa"/>
            <w:left w:w="108" w:type="dxa"/>
            <w:bottom w:w="0" w:type="dxa"/>
            <w:right w:w="108" w:type="dxa"/>
          </w:tblCellMar>
        </w:tblPrEx>
        <w:trPr>
          <w:trHeight w:val="567"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p>
        </w:tc>
        <w:tc>
          <w:tcPr>
            <w:tcW w:w="8954" w:type="dxa"/>
            <w:gridSpan w:val="3"/>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rPr>
                <w:rFonts w:hint="eastAsia" w:ascii="宋体" w:hAnsi="宋体" w:eastAsia="宋体" w:cs="宋体"/>
                <w:b/>
                <w:bCs/>
                <w:color w:val="auto"/>
                <w:sz w:val="24"/>
                <w:szCs w:val="24"/>
                <w:highlight w:val="green"/>
                <w:lang w:val="en-US"/>
              </w:rPr>
            </w:pPr>
            <w:r>
              <w:rPr>
                <w:rFonts w:hint="eastAsia" w:ascii="宋体" w:hAnsi="宋体" w:eastAsia="宋体" w:cs="宋体"/>
                <w:b/>
                <w:bCs/>
                <w:color w:val="auto"/>
                <w:sz w:val="24"/>
                <w:szCs w:val="24"/>
              </w:rPr>
              <w:t>请各供应商务必在投标截止时间前申请加入QQ</w:t>
            </w:r>
            <w:r>
              <w:rPr>
                <w:rFonts w:hint="eastAsia" w:ascii="宋体" w:hAnsi="宋体" w:eastAsia="宋体" w:cs="宋体"/>
                <w:b/>
                <w:bCs/>
                <w:color w:val="auto"/>
                <w:sz w:val="24"/>
                <w:szCs w:val="24"/>
                <w:highlight w:val="none"/>
              </w:rPr>
              <w:t>群：</w:t>
            </w:r>
            <w:r>
              <w:rPr>
                <w:rFonts w:hint="eastAsia" w:ascii="宋体" w:hAnsi="宋体" w:eastAsia="宋体" w:cs="宋体"/>
                <w:b/>
                <w:bCs/>
                <w:color w:val="auto"/>
                <w:sz w:val="24"/>
                <w:szCs w:val="24"/>
                <w:highlight w:val="yellow"/>
                <w:lang w:val="en-US" w:eastAsia="zh-CN"/>
              </w:rPr>
              <w:t>676342901</w:t>
            </w:r>
          </w:p>
          <w:p>
            <w:pPr>
              <w:bidi w:val="0"/>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我单位会在投标截止时间前</w:t>
            </w:r>
            <w:r>
              <w:rPr>
                <w:rFonts w:hint="eastAsia" w:ascii="宋体" w:hAnsi="宋体" w:eastAsia="宋体" w:cs="宋体"/>
                <w:b/>
                <w:bCs/>
                <w:color w:val="auto"/>
                <w:sz w:val="24"/>
                <w:szCs w:val="24"/>
                <w:lang w:val="en-US" w:eastAsia="zh-CN"/>
              </w:rPr>
              <w:t>20</w:t>
            </w:r>
            <w:r>
              <w:rPr>
                <w:rFonts w:hint="eastAsia" w:ascii="宋体" w:hAnsi="宋体" w:eastAsia="宋体" w:cs="宋体"/>
                <w:b/>
                <w:bCs/>
                <w:color w:val="auto"/>
                <w:sz w:val="24"/>
                <w:szCs w:val="24"/>
              </w:rPr>
              <w:t>分钟内通过验证信息；进入群后请各供应商及时修改备注：单位名称+姓名+联系方式。</w:t>
            </w:r>
          </w:p>
        </w:tc>
      </w:tr>
    </w:tbl>
    <w:p>
      <w:pPr>
        <w:pStyle w:val="23"/>
        <w:spacing w:line="360" w:lineRule="auto"/>
        <w:jc w:val="center"/>
        <w:rPr>
          <w:rStyle w:val="25"/>
          <w:rFonts w:hint="eastAsia" w:ascii="宋体" w:hAnsi="宋体" w:eastAsia="宋体" w:cs="宋体"/>
          <w:color w:val="auto"/>
          <w:sz w:val="32"/>
          <w:szCs w:val="32"/>
        </w:rPr>
      </w:pPr>
    </w:p>
    <w:p>
      <w:pPr>
        <w:pStyle w:val="23"/>
        <w:spacing w:line="360" w:lineRule="auto"/>
        <w:jc w:val="center"/>
        <w:rPr>
          <w:rStyle w:val="25"/>
          <w:rFonts w:hint="eastAsia" w:ascii="宋体" w:hAnsi="宋体" w:eastAsia="宋体" w:cs="宋体"/>
          <w:color w:val="auto"/>
          <w:sz w:val="32"/>
          <w:szCs w:val="32"/>
        </w:rPr>
      </w:pPr>
    </w:p>
    <w:p>
      <w:pPr>
        <w:pStyle w:val="23"/>
        <w:spacing w:line="360" w:lineRule="auto"/>
        <w:jc w:val="center"/>
        <w:rPr>
          <w:rStyle w:val="25"/>
          <w:rFonts w:hint="eastAsia" w:ascii="宋体" w:hAnsi="宋体" w:eastAsia="宋体" w:cs="宋体"/>
          <w:color w:val="auto"/>
          <w:sz w:val="32"/>
          <w:szCs w:val="32"/>
        </w:rPr>
      </w:pPr>
    </w:p>
    <w:p>
      <w:pPr>
        <w:pStyle w:val="23"/>
        <w:spacing w:line="360" w:lineRule="auto"/>
        <w:jc w:val="center"/>
        <w:rPr>
          <w:rStyle w:val="25"/>
          <w:rFonts w:hint="eastAsia" w:ascii="宋体" w:hAnsi="宋体" w:eastAsia="宋体" w:cs="宋体"/>
          <w:color w:val="auto"/>
          <w:sz w:val="32"/>
          <w:szCs w:val="32"/>
        </w:rPr>
      </w:pPr>
    </w:p>
    <w:p>
      <w:pPr>
        <w:pStyle w:val="23"/>
        <w:spacing w:line="360" w:lineRule="auto"/>
        <w:jc w:val="center"/>
        <w:rPr>
          <w:rStyle w:val="25"/>
          <w:rFonts w:hint="eastAsia" w:ascii="宋体" w:hAnsi="宋体" w:eastAsia="宋体" w:cs="宋体"/>
          <w:color w:val="auto"/>
          <w:sz w:val="32"/>
          <w:szCs w:val="32"/>
        </w:rPr>
      </w:pPr>
    </w:p>
    <w:p>
      <w:pPr>
        <w:pStyle w:val="23"/>
        <w:spacing w:line="360" w:lineRule="auto"/>
        <w:jc w:val="center"/>
        <w:rPr>
          <w:rStyle w:val="25"/>
          <w:rFonts w:hint="eastAsia" w:ascii="宋体" w:hAnsi="宋体" w:eastAsia="宋体" w:cs="宋体"/>
          <w:color w:val="auto"/>
          <w:sz w:val="32"/>
          <w:szCs w:val="32"/>
        </w:rPr>
      </w:pPr>
    </w:p>
    <w:p>
      <w:pPr>
        <w:pStyle w:val="23"/>
        <w:spacing w:line="360" w:lineRule="auto"/>
        <w:jc w:val="center"/>
        <w:rPr>
          <w:rStyle w:val="25"/>
          <w:rFonts w:hint="eastAsia" w:ascii="宋体" w:hAnsi="宋体" w:eastAsia="宋体" w:cs="宋体"/>
          <w:color w:val="auto"/>
          <w:sz w:val="32"/>
          <w:szCs w:val="32"/>
        </w:rPr>
      </w:pPr>
    </w:p>
    <w:p>
      <w:pPr>
        <w:pStyle w:val="23"/>
        <w:spacing w:line="360" w:lineRule="auto"/>
        <w:jc w:val="center"/>
        <w:rPr>
          <w:rStyle w:val="25"/>
          <w:rFonts w:hint="eastAsia" w:ascii="宋体" w:hAnsi="宋体" w:eastAsia="宋体" w:cs="宋体"/>
          <w:color w:val="auto"/>
          <w:sz w:val="32"/>
          <w:szCs w:val="32"/>
        </w:rPr>
      </w:pPr>
    </w:p>
    <w:p>
      <w:pPr>
        <w:pStyle w:val="23"/>
        <w:spacing w:line="360" w:lineRule="auto"/>
        <w:jc w:val="center"/>
        <w:rPr>
          <w:rStyle w:val="25"/>
          <w:rFonts w:hint="eastAsia" w:ascii="宋体" w:hAnsi="宋体" w:eastAsia="宋体" w:cs="宋体"/>
          <w:color w:val="auto"/>
          <w:sz w:val="32"/>
          <w:szCs w:val="32"/>
        </w:rPr>
      </w:pPr>
    </w:p>
    <w:p>
      <w:pPr>
        <w:pStyle w:val="23"/>
        <w:spacing w:line="360" w:lineRule="auto"/>
        <w:jc w:val="center"/>
        <w:rPr>
          <w:rStyle w:val="25"/>
          <w:rFonts w:hint="eastAsia" w:ascii="宋体" w:hAnsi="宋体" w:eastAsia="宋体" w:cs="宋体"/>
          <w:color w:val="auto"/>
          <w:sz w:val="32"/>
          <w:szCs w:val="32"/>
        </w:rPr>
      </w:pPr>
    </w:p>
    <w:p>
      <w:pPr>
        <w:pStyle w:val="23"/>
        <w:spacing w:line="360" w:lineRule="auto"/>
        <w:jc w:val="center"/>
        <w:rPr>
          <w:rStyle w:val="25"/>
          <w:rFonts w:hint="eastAsia" w:ascii="宋体" w:hAnsi="宋体" w:eastAsia="宋体" w:cs="宋体"/>
          <w:color w:val="auto"/>
          <w:sz w:val="32"/>
          <w:szCs w:val="32"/>
        </w:rPr>
      </w:pPr>
    </w:p>
    <w:p>
      <w:pPr>
        <w:pStyle w:val="23"/>
        <w:spacing w:line="360" w:lineRule="auto"/>
        <w:jc w:val="center"/>
        <w:rPr>
          <w:rStyle w:val="25"/>
          <w:rFonts w:hint="eastAsia" w:ascii="宋体" w:hAnsi="宋体" w:eastAsia="宋体" w:cs="宋体"/>
          <w:color w:val="auto"/>
          <w:sz w:val="32"/>
          <w:szCs w:val="32"/>
        </w:rPr>
      </w:pPr>
    </w:p>
    <w:p>
      <w:pPr>
        <w:pStyle w:val="23"/>
        <w:spacing w:line="360" w:lineRule="auto"/>
        <w:jc w:val="center"/>
        <w:rPr>
          <w:rStyle w:val="25"/>
          <w:rFonts w:hint="eastAsia" w:ascii="宋体" w:hAnsi="宋体" w:eastAsia="宋体" w:cs="宋体"/>
          <w:color w:val="auto"/>
          <w:sz w:val="32"/>
          <w:szCs w:val="32"/>
        </w:rPr>
      </w:pPr>
    </w:p>
    <w:p>
      <w:pPr>
        <w:pStyle w:val="23"/>
        <w:spacing w:line="360" w:lineRule="auto"/>
        <w:jc w:val="center"/>
        <w:rPr>
          <w:rStyle w:val="25"/>
          <w:rFonts w:hint="eastAsia" w:ascii="宋体" w:hAnsi="宋体" w:eastAsia="宋体" w:cs="宋体"/>
          <w:color w:val="auto"/>
          <w:sz w:val="32"/>
          <w:szCs w:val="32"/>
        </w:rPr>
      </w:pPr>
    </w:p>
    <w:p>
      <w:pPr>
        <w:pStyle w:val="23"/>
        <w:spacing w:line="360" w:lineRule="auto"/>
        <w:jc w:val="center"/>
        <w:rPr>
          <w:rStyle w:val="25"/>
          <w:rFonts w:hint="eastAsia" w:ascii="宋体" w:hAnsi="宋体" w:eastAsia="宋体" w:cs="宋体"/>
          <w:color w:val="auto"/>
          <w:sz w:val="32"/>
          <w:szCs w:val="32"/>
        </w:rPr>
      </w:pPr>
    </w:p>
    <w:p>
      <w:pPr>
        <w:pStyle w:val="23"/>
        <w:spacing w:line="360" w:lineRule="auto"/>
        <w:jc w:val="center"/>
        <w:rPr>
          <w:rStyle w:val="25"/>
          <w:rFonts w:hint="eastAsia" w:ascii="宋体" w:hAnsi="宋体" w:eastAsia="宋体" w:cs="宋体"/>
          <w:color w:val="auto"/>
          <w:sz w:val="32"/>
          <w:szCs w:val="32"/>
        </w:rPr>
      </w:pPr>
    </w:p>
    <w:p>
      <w:pPr>
        <w:pStyle w:val="23"/>
        <w:spacing w:line="360" w:lineRule="auto"/>
        <w:jc w:val="center"/>
        <w:rPr>
          <w:rStyle w:val="25"/>
          <w:rFonts w:hint="eastAsia" w:ascii="宋体" w:hAnsi="宋体" w:eastAsia="宋体" w:cs="宋体"/>
          <w:color w:val="auto"/>
          <w:sz w:val="32"/>
          <w:szCs w:val="32"/>
        </w:rPr>
      </w:pPr>
    </w:p>
    <w:p>
      <w:pPr>
        <w:bidi w:val="0"/>
        <w:jc w:val="center"/>
        <w:rPr>
          <w:rFonts w:hint="eastAsia" w:ascii="宋体" w:hAnsi="宋体" w:eastAsia="宋体" w:cs="宋体"/>
          <w:b/>
          <w:bCs/>
          <w:sz w:val="28"/>
          <w:szCs w:val="28"/>
        </w:rPr>
      </w:pPr>
      <w:bookmarkStart w:id="22" w:name="_Toc25716"/>
      <w:r>
        <w:rPr>
          <w:rFonts w:hint="eastAsia" w:ascii="宋体" w:hAnsi="宋体" w:eastAsia="宋体" w:cs="宋体"/>
          <w:b/>
          <w:bCs/>
          <w:sz w:val="28"/>
          <w:szCs w:val="28"/>
          <w:lang w:val="en-US" w:eastAsia="zh-CN"/>
        </w:rPr>
        <w:t>供应商须知正文部分</w:t>
      </w:r>
      <w:bookmarkEnd w:id="22"/>
    </w:p>
    <w:p>
      <w:pPr>
        <w:pStyle w:val="4"/>
        <w:numPr>
          <w:ilvl w:val="0"/>
          <w:numId w:val="0"/>
        </w:numPr>
        <w:bidi w:val="0"/>
        <w:ind w:leftChars="0"/>
        <w:jc w:val="center"/>
        <w:rPr>
          <w:rFonts w:hint="eastAsia" w:ascii="宋体" w:hAnsi="宋体" w:eastAsia="宋体" w:cs="宋体"/>
        </w:rPr>
      </w:pPr>
      <w:bookmarkStart w:id="23" w:name="_Toc21821"/>
      <w:bookmarkStart w:id="24" w:name="_Toc23291"/>
      <w:bookmarkStart w:id="25" w:name="_Toc18439"/>
      <w:bookmarkStart w:id="26" w:name="_Toc27410"/>
      <w:bookmarkStart w:id="27" w:name="_Toc6529"/>
      <w:bookmarkStart w:id="28" w:name="_Toc7140"/>
      <w:bookmarkStart w:id="29" w:name="_Toc12052"/>
      <w:bookmarkStart w:id="30" w:name="_Toc19026"/>
      <w:bookmarkStart w:id="31" w:name="_Toc15356"/>
      <w:bookmarkStart w:id="32" w:name="_Toc2078"/>
      <w:bookmarkStart w:id="33" w:name="_Toc1706"/>
      <w:bookmarkStart w:id="34" w:name="_Toc19272"/>
      <w:r>
        <w:rPr>
          <w:rFonts w:hint="eastAsia" w:ascii="宋体" w:hAnsi="宋体" w:eastAsia="宋体" w:cs="宋体"/>
          <w:lang w:val="en-US" w:eastAsia="zh-CN"/>
        </w:rPr>
        <w:t>一、</w:t>
      </w:r>
      <w:r>
        <w:rPr>
          <w:rFonts w:hint="eastAsia" w:ascii="宋体" w:hAnsi="宋体" w:eastAsia="宋体" w:cs="宋体"/>
        </w:rPr>
        <w:t>总  则</w:t>
      </w:r>
      <w:bookmarkEnd w:id="23"/>
      <w:bookmarkEnd w:id="24"/>
      <w:bookmarkEnd w:id="25"/>
      <w:bookmarkEnd w:id="26"/>
      <w:bookmarkEnd w:id="27"/>
      <w:bookmarkEnd w:id="28"/>
      <w:bookmarkEnd w:id="29"/>
      <w:bookmarkEnd w:id="30"/>
      <w:bookmarkEnd w:id="31"/>
      <w:bookmarkEnd w:id="32"/>
      <w:bookmarkEnd w:id="33"/>
      <w:bookmarkEnd w:id="34"/>
    </w:p>
    <w:p>
      <w:pPr>
        <w:bidi w:val="0"/>
        <w:spacing w:line="360" w:lineRule="auto"/>
        <w:rPr>
          <w:rFonts w:hint="eastAsia" w:ascii="宋体" w:hAnsi="宋体" w:eastAsia="宋体" w:cs="宋体"/>
          <w:b/>
          <w:bCs/>
          <w:color w:val="auto"/>
          <w:sz w:val="24"/>
          <w:szCs w:val="24"/>
        </w:rPr>
      </w:pPr>
      <w:bookmarkStart w:id="35" w:name="_Toc20661"/>
      <w:bookmarkStart w:id="36" w:name="_Toc15894"/>
      <w:bookmarkStart w:id="37" w:name="_Toc2677"/>
      <w:r>
        <w:rPr>
          <w:rFonts w:hint="eastAsia" w:ascii="宋体" w:hAnsi="宋体" w:eastAsia="宋体" w:cs="宋体"/>
          <w:b/>
          <w:bCs/>
          <w:color w:val="auto"/>
          <w:sz w:val="24"/>
          <w:szCs w:val="24"/>
        </w:rPr>
        <w:t>1  合格的供应商</w:t>
      </w:r>
      <w:bookmarkEnd w:id="35"/>
      <w:bookmarkEnd w:id="36"/>
      <w:bookmarkEnd w:id="37"/>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 供应商参加政府采购活动应当具备下列条件：</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（一）具有独立承担民事责任的能力；</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（二）具有良好的商业信誉和健全的财务会计制度；</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（三）具有履行合同所必需的设备和专业技术能力；</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（四）有依法缴纳税收和社会保障资金的良好记录；</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（五）参加政府采购活动前三年内，在经营活动中没有重大违法记录；</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（六）法律、行政法规规定的其他条件。</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 凡参加投标的供应商必须具有履行本</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规定的有关要求的能力，信誉良好。</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 若采购人员及相关人员与供应商有下列利害关系之一的，应当回避：</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1.3.1 参加采购活动前3年内与供应商存在劳动关系；</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1.3.2 参加采购活动前3年内担任供应商的董事、监事；</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1.3.3 参加采购活动前3年内是供应商的控股股东或者实际控制人；</w:t>
      </w:r>
    </w:p>
    <w:p>
      <w:pPr>
        <w:bidi w:val="0"/>
        <w:spacing w:line="360" w:lineRule="auto"/>
        <w:ind w:firstLine="242" w:firstLineChars="100"/>
        <w:rPr>
          <w:rFonts w:hint="eastAsia" w:ascii="宋体" w:hAnsi="宋体" w:eastAsia="宋体" w:cs="宋体"/>
          <w:color w:val="auto"/>
          <w:sz w:val="24"/>
          <w:szCs w:val="24"/>
        </w:rPr>
      </w:pPr>
      <w:r>
        <w:rPr>
          <w:rFonts w:hint="eastAsia" w:ascii="宋体" w:hAnsi="宋体" w:eastAsia="宋体" w:cs="宋体"/>
          <w:color w:val="auto"/>
          <w:sz w:val="24"/>
          <w:szCs w:val="24"/>
        </w:rPr>
        <w:t>1.3.4 与供应商的法定代表人或者负责人有夫妻、直系血亲、三代以内旁系血亲或者近姻亲关系；</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1.3.5 与供应商有其他可能影响政府采购活动公平、公正进行的关系。</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1.3.6 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 采购人或者采购代理机构有下列情形之一的，属于以不合理的条件对供应商实行差别待遇或者歧视待遇：</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1.4.1 就同一采购项目向供应商提供有差别的项目信息；</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1.4.2 设定的资格、技术、商务条件与采购项目的具体特点和实际需要不相适应或者与合同履行无关；</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1.4.3 采购需求中的技术、服务等要求指向特定供应商、特定产品；</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1.4.4 以特定行政区域或者特定行业的业绩、奖项作为中标</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rPr>
        <w:t>成交条件；</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1.4.5 对供应商采取不同的资格审查或者评审标准；</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1.4.6 限定或者指定特定的专利、商标、品牌或者供应商；</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1.4.7 非法限定供应商的所有制形式、组织形式或者所在地；</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1.4.8 以其他不合理条件限制或者排斥潜在供应商。</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 有下列情形之一的，视为供应商串通投标，其投标无效：</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1.5.1不同供应商的响应文件由同一单位或者个人编制；</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1.5.2不同供应商委托同一单位或者个人办理投标事宜；</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1.5.3不同供应商的响应文件载明的项目管理成员或者联系人员为同一人；</w:t>
      </w:r>
    </w:p>
    <w:p>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1.5.4不同供应商的响应文件异常一致或者投标报价呈规律性差异；</w:t>
      </w:r>
    </w:p>
    <w:p>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1.5.5不同供应商的响应文件相互混装；</w:t>
      </w:r>
    </w:p>
    <w:p>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1.5.6不同供应商的投标保证金从同一单位或者个人的账户转出。</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 供应商在本次采购活动中，必须遵循《中华人民共和国政府采购法实施条例》等相关法令、法规的规定。</w:t>
      </w:r>
    </w:p>
    <w:p>
      <w:pPr>
        <w:bidi w:val="0"/>
        <w:spacing w:line="360" w:lineRule="auto"/>
        <w:rPr>
          <w:rFonts w:hint="eastAsia" w:ascii="宋体" w:hAnsi="宋体" w:eastAsia="宋体" w:cs="宋体"/>
          <w:b/>
          <w:bCs/>
          <w:color w:val="auto"/>
          <w:sz w:val="24"/>
          <w:szCs w:val="24"/>
        </w:rPr>
      </w:pPr>
      <w:bookmarkStart w:id="38" w:name="_Toc21311"/>
      <w:bookmarkStart w:id="39" w:name="_Toc13508"/>
      <w:bookmarkStart w:id="40" w:name="_Toc21361"/>
      <w:r>
        <w:rPr>
          <w:rFonts w:hint="eastAsia" w:ascii="宋体" w:hAnsi="宋体" w:eastAsia="宋体" w:cs="宋体"/>
          <w:b/>
          <w:bCs/>
          <w:color w:val="auto"/>
          <w:sz w:val="24"/>
          <w:szCs w:val="24"/>
        </w:rPr>
        <w:t>2  定义</w:t>
      </w:r>
      <w:bookmarkEnd w:id="38"/>
      <w:bookmarkEnd w:id="39"/>
      <w:bookmarkEnd w:id="40"/>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2.1“采购人”系指依法进行政府采购的国家机关、事业单位、团体组织。</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2.2“采购代理机构”系指具备一定条件，经政府有关部门批准而依法拥有政府采购代理资格的社会中介机构。</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2.3“供应商”系指参加政府采购市场的合法供应</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"https://baike.baidu.com/item/%E4%B8%BB%E4%BD%93/2888766" \t "https://baike.baidu.com/item/%E6%94%BF%E5%BA%9C%E9%87%87%E8%B4%AD%E4%BE%9B%E5%BA%94%E5%95%86/_blank"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主体</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，具体是指向采购人提供货物、工程或者服务的法人、其他组织或者</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"https://baike.baidu.com/item/%E8%87%AA%E7%84%B6%E4%BA%BA/1465" \t "https://baike.baidu.com/item/%E6%94%BF%E5%BA%9C%E9%87%87%E8%B4%AD%E4%BE%9B%E5%BA%94%E5%95%86/_blank"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自然人</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“采购”是指以合同方式有偿取得货物、工程或者服务的行为，包括购买、租赁、委托、雇用等。</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2.5“货物”是指各种形态和种类的物品，包括原材料、燃料、设备、产品等。</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2.6“工程”是指建设工程，包括建筑物和构筑物的新建、改建、扩建、装修、拆除、修缮等。</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2.7“服务”是指除货物和工程以外的其他政府采购对象，包括政府自身需要的服务和政府向社会公众提供的公共服务。</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文件”系指由采购人向供应商发出的本采购项目的全部文件（包括修改文件、补充文件、答疑纪要、各种通知和附件等）。</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文件”系指供应商根据</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提交的所有文件。</w:t>
      </w:r>
    </w:p>
    <w:p>
      <w:pPr>
        <w:bidi w:val="0"/>
        <w:spacing w:line="360" w:lineRule="auto"/>
        <w:rPr>
          <w:rFonts w:hint="eastAsia" w:ascii="宋体" w:hAnsi="宋体" w:eastAsia="宋体" w:cs="宋体"/>
          <w:b/>
          <w:bCs/>
          <w:color w:val="auto"/>
          <w:sz w:val="24"/>
          <w:szCs w:val="24"/>
        </w:rPr>
      </w:pPr>
      <w:bookmarkStart w:id="41" w:name="_Toc8374"/>
      <w:bookmarkStart w:id="42" w:name="_Toc9762"/>
      <w:bookmarkStart w:id="43" w:name="_Toc28507"/>
      <w:r>
        <w:rPr>
          <w:rFonts w:hint="eastAsia" w:ascii="宋体" w:hAnsi="宋体" w:eastAsia="宋体" w:cs="宋体"/>
          <w:b/>
          <w:bCs/>
          <w:color w:val="auto"/>
          <w:sz w:val="24"/>
          <w:szCs w:val="24"/>
        </w:rPr>
        <w:t>3  文件费用:无。</w:t>
      </w:r>
      <w:bookmarkEnd w:id="41"/>
      <w:bookmarkEnd w:id="42"/>
      <w:bookmarkEnd w:id="43"/>
    </w:p>
    <w:p>
      <w:pPr>
        <w:bidi w:val="0"/>
        <w:spacing w:line="360" w:lineRule="auto"/>
        <w:rPr>
          <w:rFonts w:hint="eastAsia" w:ascii="宋体" w:hAnsi="宋体" w:eastAsia="宋体" w:cs="宋体"/>
          <w:b/>
          <w:bCs/>
          <w:color w:val="auto"/>
          <w:sz w:val="24"/>
          <w:szCs w:val="24"/>
        </w:rPr>
      </w:pPr>
      <w:bookmarkStart w:id="44" w:name="_Toc12273"/>
      <w:bookmarkStart w:id="45" w:name="_Toc26674"/>
      <w:bookmarkStart w:id="46" w:name="_Toc9236"/>
      <w:r>
        <w:rPr>
          <w:rFonts w:hint="eastAsia" w:ascii="宋体" w:hAnsi="宋体" w:eastAsia="宋体" w:cs="宋体"/>
          <w:b/>
          <w:bCs/>
          <w:color w:val="auto"/>
          <w:sz w:val="24"/>
          <w:szCs w:val="24"/>
        </w:rPr>
        <w:t>4  采购内容</w:t>
      </w:r>
      <w:bookmarkEnd w:id="44"/>
      <w:bookmarkEnd w:id="45"/>
      <w:bookmarkEnd w:id="46"/>
    </w:p>
    <w:p>
      <w:pPr>
        <w:bidi w:val="0"/>
        <w:spacing w:line="360" w:lineRule="auto"/>
        <w:ind w:left="563" w:leftChars="266"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4.1 采购内容</w:t>
      </w:r>
      <w:r>
        <w:rPr>
          <w:rFonts w:hint="eastAsia" w:ascii="宋体" w:hAnsi="宋体" w:eastAsia="宋体" w:cs="宋体"/>
          <w:color w:val="auto"/>
          <w:sz w:val="24"/>
          <w:szCs w:val="24"/>
          <w:lang w:eastAsia="zh-CN"/>
        </w:rPr>
        <w:t>：永久基本农田储备区划定及永久基本农田全面核实整改工作内容</w:t>
      </w:r>
      <w:r>
        <w:rPr>
          <w:rFonts w:hint="eastAsia" w:ascii="宋体" w:hAnsi="宋体" w:eastAsia="宋体" w:cs="宋体"/>
          <w:color w:val="auto"/>
          <w:sz w:val="24"/>
          <w:szCs w:val="24"/>
          <w:lang w:val="en-US" w:eastAsia="zh-CN"/>
        </w:rPr>
        <w:t>。</w:t>
      </w:r>
    </w:p>
    <w:p>
      <w:pPr>
        <w:bidi w:val="0"/>
        <w:spacing w:line="360" w:lineRule="auto"/>
        <w:ind w:left="563" w:leftChars="266"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4.2 </w:t>
      </w:r>
      <w:r>
        <w:rPr>
          <w:rFonts w:hint="eastAsia" w:ascii="宋体" w:hAnsi="宋体" w:eastAsia="宋体" w:cs="宋体"/>
          <w:color w:val="auto"/>
          <w:sz w:val="24"/>
          <w:szCs w:val="24"/>
        </w:rPr>
        <w:t>采购项目</w:t>
      </w:r>
      <w:r>
        <w:rPr>
          <w:rFonts w:hint="eastAsia" w:ascii="宋体" w:hAnsi="宋体" w:cs="宋体"/>
          <w:color w:val="auto"/>
          <w:sz w:val="24"/>
          <w:szCs w:val="24"/>
          <w:lang w:eastAsia="zh-CN"/>
        </w:rPr>
        <w:t>基本服务</w:t>
      </w:r>
      <w:r>
        <w:rPr>
          <w:rFonts w:hint="eastAsia" w:ascii="宋体" w:hAnsi="宋体" w:eastAsia="宋体" w:cs="宋体"/>
          <w:color w:val="auto"/>
          <w:sz w:val="24"/>
          <w:szCs w:val="24"/>
        </w:rPr>
        <w:t>要求</w:t>
      </w:r>
      <w:r>
        <w:rPr>
          <w:rFonts w:hint="eastAsia" w:ascii="宋体" w:hAnsi="宋体" w:cs="宋体"/>
          <w:color w:val="auto"/>
          <w:sz w:val="24"/>
          <w:szCs w:val="24"/>
          <w:lang w:eastAsia="zh-CN"/>
        </w:rPr>
        <w:t>（</w:t>
      </w:r>
      <w:r>
        <w:rPr>
          <w:rFonts w:hint="eastAsia" w:ascii="宋体" w:hAnsi="宋体" w:eastAsia="宋体" w:cs="宋体"/>
          <w:color w:val="auto"/>
          <w:sz w:val="24"/>
          <w:szCs w:val="24"/>
        </w:rPr>
        <w:t>详见第三章</w:t>
      </w:r>
      <w:r>
        <w:rPr>
          <w:rFonts w:hint="eastAsia" w:ascii="宋体" w:hAnsi="宋体" w:cs="宋体"/>
          <w:color w:val="auto"/>
          <w:sz w:val="24"/>
          <w:szCs w:val="24"/>
          <w:lang w:eastAsia="zh-CN"/>
        </w:rPr>
        <w:t>）</w:t>
      </w:r>
      <w:r>
        <w:rPr>
          <w:rFonts w:hint="eastAsia" w:ascii="宋体" w:hAnsi="宋体" w:eastAsia="宋体" w:cs="宋体"/>
          <w:color w:val="auto"/>
          <w:sz w:val="24"/>
          <w:szCs w:val="24"/>
        </w:rPr>
        <w:t>；</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在采购活动中的标准按国家现行规定（国际标准、国家标准、部标或行业标准）执行。</w:t>
      </w:r>
    </w:p>
    <w:p>
      <w:pPr>
        <w:bidi w:val="0"/>
        <w:spacing w:line="360" w:lineRule="auto"/>
        <w:rPr>
          <w:rFonts w:hint="eastAsia" w:ascii="宋体" w:hAnsi="宋体" w:eastAsia="宋体" w:cs="宋体"/>
          <w:b/>
          <w:bCs/>
          <w:color w:val="auto"/>
          <w:sz w:val="24"/>
          <w:szCs w:val="24"/>
        </w:rPr>
      </w:pPr>
      <w:bookmarkStart w:id="47" w:name="_Toc13918"/>
      <w:bookmarkStart w:id="48" w:name="_Toc30414"/>
      <w:bookmarkStart w:id="49" w:name="_Toc2891"/>
      <w:r>
        <w:rPr>
          <w:rFonts w:hint="eastAsia" w:ascii="宋体" w:hAnsi="宋体" w:eastAsia="宋体" w:cs="宋体"/>
          <w:b/>
          <w:bCs/>
          <w:color w:val="auto"/>
          <w:sz w:val="24"/>
          <w:szCs w:val="24"/>
        </w:rPr>
        <w:t>5  有关说明</w:t>
      </w:r>
      <w:bookmarkEnd w:id="47"/>
      <w:bookmarkEnd w:id="48"/>
      <w:bookmarkEnd w:id="49"/>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规范要求和实际需要的内容，在</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中有漏项，务请在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文件中指出，并提供解决方案作实质性响应。</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供应商根据招标文件载明的标的采购项目实际情况，拟在中标后将中标项目的非主体、非关键性工作交由他人完成的，应当在投标文件中载明。</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供应商应提供该项目技术支持和服务承诺书。</w:t>
      </w:r>
    </w:p>
    <w:p>
      <w:pPr>
        <w:pStyle w:val="4"/>
        <w:numPr>
          <w:ilvl w:val="0"/>
          <w:numId w:val="0"/>
        </w:numPr>
        <w:bidi w:val="0"/>
        <w:ind w:leftChars="0"/>
        <w:jc w:val="center"/>
        <w:rPr>
          <w:rFonts w:hint="eastAsia" w:ascii="宋体" w:hAnsi="宋体" w:eastAsia="宋体" w:cs="宋体"/>
          <w:lang w:eastAsia="zh-CN"/>
        </w:rPr>
      </w:pPr>
      <w:bookmarkStart w:id="50" w:name="_Toc18640"/>
      <w:bookmarkStart w:id="51" w:name="_Toc6626"/>
      <w:bookmarkStart w:id="52" w:name="_Toc4128"/>
      <w:bookmarkStart w:id="53" w:name="_Toc17382"/>
      <w:bookmarkStart w:id="54" w:name="_Toc18325"/>
      <w:bookmarkStart w:id="55" w:name="_Toc29028"/>
      <w:r>
        <w:rPr>
          <w:rFonts w:hint="eastAsia" w:ascii="宋体" w:hAnsi="宋体" w:eastAsia="宋体" w:cs="宋体"/>
        </w:rPr>
        <w:t>二、</w:t>
      </w:r>
      <w:bookmarkEnd w:id="50"/>
      <w:bookmarkEnd w:id="51"/>
      <w:bookmarkEnd w:id="52"/>
      <w:bookmarkEnd w:id="53"/>
      <w:r>
        <w:rPr>
          <w:rFonts w:hint="eastAsia" w:ascii="宋体" w:hAnsi="宋体" w:eastAsia="宋体" w:cs="宋体"/>
          <w:lang w:eastAsia="zh-CN"/>
        </w:rPr>
        <w:t>竞争性磋商文件</w:t>
      </w:r>
      <w:bookmarkEnd w:id="54"/>
      <w:bookmarkEnd w:id="55"/>
    </w:p>
    <w:p>
      <w:pPr>
        <w:bidi w:val="0"/>
        <w:spacing w:line="36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 xml:space="preserve">6  </w:t>
      </w:r>
      <w:r>
        <w:rPr>
          <w:rFonts w:hint="eastAsia" w:ascii="宋体" w:hAnsi="宋体" w:eastAsia="宋体" w:cs="宋体"/>
          <w:b/>
          <w:bCs/>
          <w:color w:val="auto"/>
          <w:sz w:val="24"/>
          <w:szCs w:val="24"/>
          <w:lang w:eastAsia="zh-CN"/>
        </w:rPr>
        <w:t>竞争性磋商文件</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6.1 </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用以阐明所需</w:t>
      </w:r>
      <w:r>
        <w:rPr>
          <w:rFonts w:hint="eastAsia" w:ascii="宋体" w:hAnsi="宋体" w:eastAsia="宋体" w:cs="宋体"/>
          <w:color w:val="auto"/>
          <w:sz w:val="24"/>
          <w:szCs w:val="24"/>
          <w:lang w:val="en-US" w:eastAsia="zh-CN"/>
        </w:rPr>
        <w:t>货物、工程或者服务</w:t>
      </w:r>
      <w:r>
        <w:rPr>
          <w:rFonts w:hint="eastAsia" w:ascii="宋体" w:hAnsi="宋体" w:eastAsia="宋体" w:cs="宋体"/>
          <w:color w:val="auto"/>
          <w:sz w:val="24"/>
          <w:szCs w:val="24"/>
        </w:rPr>
        <w:t>采购程序和商务合同主要条款，包括：</w:t>
      </w:r>
    </w:p>
    <w:p>
      <w:pPr>
        <w:bidi w:val="0"/>
        <w:spacing w:line="360" w:lineRule="auto"/>
        <w:ind w:firstLine="484"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 xml:space="preserve">第一章 </w:t>
      </w:r>
      <w:r>
        <w:rPr>
          <w:rFonts w:hint="eastAsia" w:ascii="宋体" w:hAnsi="宋体" w:eastAsia="宋体" w:cs="宋体"/>
          <w:b/>
          <w:bCs/>
          <w:color w:val="auto"/>
          <w:sz w:val="24"/>
          <w:szCs w:val="24"/>
          <w:lang w:eastAsia="zh-CN"/>
        </w:rPr>
        <w:t>竞争性磋商公告</w:t>
      </w:r>
    </w:p>
    <w:p>
      <w:pPr>
        <w:bidi w:val="0"/>
        <w:spacing w:line="360" w:lineRule="auto"/>
        <w:ind w:firstLine="484"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第二章 供应商须知</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供应商须知前附表</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供应商须知正文部分</w:t>
      </w:r>
    </w:p>
    <w:p>
      <w:pPr>
        <w:bidi w:val="0"/>
        <w:spacing w:line="360" w:lineRule="auto"/>
        <w:ind w:firstLine="484"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 xml:space="preserve">第三章 </w:t>
      </w:r>
      <w:r>
        <w:rPr>
          <w:rFonts w:hint="eastAsia" w:ascii="宋体" w:hAnsi="宋体" w:eastAsia="宋体" w:cs="宋体"/>
          <w:b/>
          <w:bCs/>
          <w:color w:val="auto"/>
          <w:sz w:val="24"/>
          <w:szCs w:val="24"/>
          <w:lang w:eastAsia="zh-CN"/>
        </w:rPr>
        <w:t>采购内容及技术要求</w:t>
      </w:r>
    </w:p>
    <w:p>
      <w:pPr>
        <w:bidi w:val="0"/>
        <w:spacing w:line="360" w:lineRule="auto"/>
        <w:ind w:firstLine="484"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第四章</w:t>
      </w:r>
      <w:r>
        <w:rPr>
          <w:rFonts w:hint="eastAsia" w:ascii="宋体" w:hAnsi="宋体" w:eastAsia="宋体" w:cs="宋体"/>
          <w:b/>
          <w:bCs/>
          <w:color w:val="auto"/>
          <w:sz w:val="24"/>
          <w:szCs w:val="24"/>
        </w:rPr>
        <w:t xml:space="preserve"> 合同</w:t>
      </w:r>
      <w:r>
        <w:rPr>
          <w:rFonts w:hint="eastAsia" w:ascii="宋体" w:hAnsi="宋体" w:eastAsia="宋体" w:cs="宋体"/>
          <w:b/>
          <w:bCs/>
          <w:color w:val="auto"/>
          <w:sz w:val="24"/>
          <w:szCs w:val="24"/>
          <w:lang w:eastAsia="zh-CN"/>
        </w:rPr>
        <w:t>条款</w:t>
      </w:r>
    </w:p>
    <w:p>
      <w:pPr>
        <w:bidi w:val="0"/>
        <w:spacing w:line="360" w:lineRule="auto"/>
        <w:ind w:firstLine="484"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第五章</w:t>
      </w:r>
      <w:r>
        <w:rPr>
          <w:rFonts w:hint="eastAsia" w:ascii="宋体" w:hAnsi="宋体" w:eastAsia="宋体" w:cs="宋体"/>
          <w:b/>
          <w:bCs/>
          <w:color w:val="auto"/>
          <w:sz w:val="24"/>
          <w:szCs w:val="24"/>
        </w:rPr>
        <w:t xml:space="preserve"> 主要</w:t>
      </w:r>
      <w:r>
        <w:rPr>
          <w:rFonts w:hint="eastAsia" w:ascii="宋体" w:hAnsi="宋体" w:eastAsia="宋体" w:cs="宋体"/>
          <w:b/>
          <w:bCs/>
          <w:color w:val="auto"/>
          <w:sz w:val="24"/>
          <w:szCs w:val="24"/>
          <w:lang w:val="en-US" w:eastAsia="zh-CN"/>
        </w:rPr>
        <w:t>响应</w:t>
      </w:r>
      <w:r>
        <w:rPr>
          <w:rFonts w:hint="eastAsia" w:ascii="宋体" w:hAnsi="宋体" w:eastAsia="宋体" w:cs="宋体"/>
          <w:b/>
          <w:bCs/>
          <w:color w:val="auto"/>
          <w:sz w:val="24"/>
          <w:szCs w:val="24"/>
        </w:rPr>
        <w:t xml:space="preserve">文件的格式及其内容  </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（1）投标函；</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（2）法定代表人资格证明及授权委托书；</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（3）报价一览表；</w:t>
      </w:r>
    </w:p>
    <w:p>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（4）采购内容及技术要求；</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（5）反商业贿赂承诺书；</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（6）商务条款偏离表；</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（7）近</w:t>
      </w:r>
      <w:r>
        <w:rPr>
          <w:rFonts w:hint="eastAsia" w:ascii="宋体" w:hAnsi="宋体" w:cs="宋体"/>
          <w:color w:val="auto"/>
          <w:sz w:val="24"/>
          <w:szCs w:val="24"/>
          <w:lang w:eastAsia="zh-CN"/>
        </w:rPr>
        <w:t>五</w:t>
      </w:r>
      <w:r>
        <w:rPr>
          <w:rFonts w:hint="eastAsia" w:ascii="宋体" w:hAnsi="宋体" w:eastAsia="宋体" w:cs="宋体"/>
          <w:color w:val="auto"/>
          <w:sz w:val="24"/>
          <w:szCs w:val="24"/>
        </w:rPr>
        <w:t>年同类项目业绩表；</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（8）拟派项目负责人简历表及拟投入本项目的主要成员表；</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（9）关于资格的声明函；</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（10）技术参数偏离表；</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（11）技术支持及服务承诺书；</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（12）中小企业声明函；</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（13）监狱企业声明函（监狱企业适用）；</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（14）残疾人福利性单位声明函；</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）技术方案</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）组织实施方案</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17</w:t>
      </w:r>
      <w:r>
        <w:rPr>
          <w:rFonts w:hint="eastAsia" w:ascii="宋体" w:hAnsi="宋体" w:eastAsia="宋体" w:cs="宋体"/>
          <w:color w:val="auto"/>
          <w:sz w:val="24"/>
          <w:szCs w:val="24"/>
        </w:rPr>
        <w:t>）要求提供的其它材料以及供应商认为需要提交的材料。</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6.2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供应商应认真阅读</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中所有的事项、格式、条款和规范等要求。如果没有按照</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要求提交全部资料或者</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文件没有对</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做出实质性响应，其</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文件可能被拒绝。</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7  </w:t>
      </w:r>
      <w:r>
        <w:rPr>
          <w:rFonts w:hint="eastAsia" w:ascii="宋体" w:hAnsi="宋体" w:eastAsia="宋体" w:cs="宋体"/>
          <w:b/>
          <w:bCs/>
          <w:color w:val="auto"/>
          <w:sz w:val="24"/>
          <w:szCs w:val="24"/>
          <w:lang w:eastAsia="zh-CN"/>
        </w:rPr>
        <w:t>竞争性磋商文件</w:t>
      </w:r>
      <w:r>
        <w:rPr>
          <w:rFonts w:hint="eastAsia" w:ascii="宋体" w:hAnsi="宋体" w:eastAsia="宋体" w:cs="宋体"/>
          <w:b/>
          <w:bCs/>
          <w:color w:val="auto"/>
          <w:sz w:val="24"/>
          <w:szCs w:val="24"/>
        </w:rPr>
        <w:t>的澄清</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7.1 采购人或者采购代理机构可以对已发出的</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资格预审文件、投标邀请书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进行必要的澄清或者修改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但不得改变采购标的和资格条件。澄清或者修改应当在原公告发布媒体上发布澄清公告。澄清或者修改的内容为</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资格预审文件、投标邀请书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的组成部分。</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澄清或者修改的内容可能影响</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文件编制的，采购人或者采购代理机构应当在投标截止时间至少</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日前，以书面形式通知所有获取</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的潜在供应商；不足</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日的，采购人或者采购代理机构可顺延提交</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文件的截止时间。</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8  </w:t>
      </w:r>
      <w:r>
        <w:rPr>
          <w:rFonts w:hint="eastAsia" w:ascii="宋体" w:hAnsi="宋体" w:eastAsia="宋体" w:cs="宋体"/>
          <w:b/>
          <w:bCs/>
          <w:color w:val="auto"/>
          <w:sz w:val="24"/>
          <w:szCs w:val="24"/>
          <w:lang w:eastAsia="zh-CN"/>
        </w:rPr>
        <w:t>竞争性磋商文件</w:t>
      </w:r>
      <w:r>
        <w:rPr>
          <w:rFonts w:hint="eastAsia" w:ascii="宋体" w:hAnsi="宋体" w:eastAsia="宋体" w:cs="宋体"/>
          <w:b/>
          <w:bCs/>
          <w:color w:val="auto"/>
          <w:sz w:val="24"/>
          <w:szCs w:val="24"/>
        </w:rPr>
        <w:t>的修改</w:t>
      </w:r>
    </w:p>
    <w:p>
      <w:pPr>
        <w:bidi w:val="0"/>
        <w:spacing w:line="360" w:lineRule="auto"/>
        <w:ind w:firstLine="484" w:firstLineChars="200"/>
        <w:rPr>
          <w:rFonts w:hint="eastAsia" w:ascii="宋体" w:hAnsi="宋体" w:eastAsia="宋体" w:cs="宋体"/>
          <w:color w:val="auto"/>
          <w:sz w:val="24"/>
          <w:szCs w:val="24"/>
        </w:rPr>
      </w:pPr>
      <w:bookmarkStart w:id="56" w:name="_Toc4140"/>
      <w:bookmarkStart w:id="57" w:name="_Toc29841"/>
      <w:bookmarkStart w:id="58" w:name="_Toc13169"/>
      <w:bookmarkStart w:id="59" w:name="_Toc7406"/>
      <w:bookmarkStart w:id="60" w:name="_Toc8777"/>
      <w:bookmarkStart w:id="61" w:name="_Toc4805"/>
      <w:r>
        <w:rPr>
          <w:rFonts w:hint="eastAsia" w:ascii="宋体" w:hAnsi="宋体" w:eastAsia="宋体" w:cs="宋体"/>
          <w:color w:val="auto"/>
          <w:sz w:val="24"/>
          <w:szCs w:val="24"/>
        </w:rPr>
        <w:t>8.1 采购人可以视采购具体情况，延长投标截止时间和开标时间，但至少应当在</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要求提交</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文件的截止时间3日前，将变更时间书面通知所有</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收受人，并在财政部门指定的政府采购信息发布媒体上发布变更公告。</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8.2 </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的修改将以书面通知所有</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收受人，并对供应商具有约束力。</w:t>
      </w:r>
    </w:p>
    <w:p>
      <w:pPr>
        <w:pStyle w:val="4"/>
        <w:numPr>
          <w:ilvl w:val="0"/>
          <w:numId w:val="0"/>
        </w:numPr>
        <w:bidi w:val="0"/>
        <w:ind w:leftChars="0"/>
        <w:jc w:val="center"/>
        <w:rPr>
          <w:rFonts w:hint="eastAsia" w:ascii="宋体" w:hAnsi="宋体" w:eastAsia="宋体" w:cs="宋体"/>
        </w:rPr>
      </w:pPr>
      <w:bookmarkStart w:id="62" w:name="_Toc13096"/>
      <w:bookmarkStart w:id="63" w:name="_Toc32526"/>
      <w:bookmarkStart w:id="64" w:name="_Toc3540"/>
      <w:bookmarkStart w:id="65" w:name="_Toc26361"/>
      <w:bookmarkStart w:id="66" w:name="_Toc14881"/>
      <w:bookmarkStart w:id="67" w:name="_Toc5967"/>
      <w:r>
        <w:rPr>
          <w:rFonts w:hint="eastAsia" w:ascii="宋体" w:hAnsi="宋体" w:eastAsia="宋体" w:cs="宋体"/>
        </w:rPr>
        <w:t xml:space="preserve">三、 </w:t>
      </w:r>
      <w:bookmarkEnd w:id="56"/>
      <w:bookmarkEnd w:id="57"/>
      <w:bookmarkEnd w:id="58"/>
      <w:bookmarkEnd w:id="59"/>
      <w:bookmarkEnd w:id="60"/>
      <w:bookmarkEnd w:id="61"/>
      <w:r>
        <w:rPr>
          <w:rFonts w:hint="eastAsia" w:ascii="宋体" w:hAnsi="宋体" w:eastAsia="宋体" w:cs="宋体"/>
          <w:lang w:val="en-US" w:eastAsia="zh-CN"/>
        </w:rPr>
        <w:t>响应</w:t>
      </w:r>
      <w:r>
        <w:rPr>
          <w:rFonts w:hint="eastAsia" w:ascii="宋体" w:hAnsi="宋体" w:eastAsia="宋体" w:cs="宋体"/>
        </w:rPr>
        <w:t>文件的编制</w:t>
      </w:r>
      <w:bookmarkEnd w:id="62"/>
      <w:bookmarkEnd w:id="63"/>
      <w:bookmarkEnd w:id="64"/>
      <w:bookmarkEnd w:id="65"/>
      <w:bookmarkEnd w:id="66"/>
      <w:bookmarkEnd w:id="67"/>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9  </w:t>
      </w:r>
      <w:r>
        <w:rPr>
          <w:rFonts w:hint="eastAsia" w:ascii="宋体" w:hAnsi="宋体" w:eastAsia="宋体" w:cs="宋体"/>
          <w:b/>
          <w:bCs/>
          <w:color w:val="auto"/>
          <w:sz w:val="24"/>
          <w:szCs w:val="24"/>
          <w:lang w:val="en-US" w:eastAsia="zh-CN"/>
        </w:rPr>
        <w:t>响应</w:t>
      </w:r>
      <w:r>
        <w:rPr>
          <w:rFonts w:hint="eastAsia" w:ascii="宋体" w:hAnsi="宋体" w:eastAsia="宋体" w:cs="宋体"/>
          <w:b/>
          <w:bCs/>
          <w:color w:val="auto"/>
          <w:sz w:val="24"/>
          <w:szCs w:val="24"/>
        </w:rPr>
        <w:t>文件的编写</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9.1 供应商应仔细阅读</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,了解</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的要求。在充分理解</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、技术规范及标准、项目采购需求、合同文本（主要内容）后编制</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9.2 投标供应商编制电子</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文件可参考《政府采购项目电子交易管理操作指南-供应商》，在政采云《帮助文档》下载。</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9.3 </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文件中需要分别对资格审查要求、符合性审查要求、开标一览表、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逐一关联响应。</w:t>
      </w:r>
    </w:p>
    <w:p>
      <w:pPr>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10  </w:t>
      </w:r>
      <w:r>
        <w:rPr>
          <w:rFonts w:hint="eastAsia" w:ascii="宋体" w:hAnsi="宋体" w:eastAsia="宋体" w:cs="宋体"/>
          <w:b/>
          <w:bCs/>
          <w:color w:val="auto"/>
          <w:sz w:val="28"/>
          <w:szCs w:val="28"/>
          <w:lang w:eastAsia="zh-CN"/>
        </w:rPr>
        <w:t>响应文件</w:t>
      </w:r>
      <w:r>
        <w:rPr>
          <w:rFonts w:hint="eastAsia" w:ascii="宋体" w:hAnsi="宋体" w:eastAsia="宋体" w:cs="宋体"/>
          <w:b/>
          <w:bCs/>
          <w:color w:val="auto"/>
          <w:sz w:val="28"/>
          <w:szCs w:val="28"/>
        </w:rPr>
        <w:t>的语言及计量单位</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10.1 </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以及供应商和采购人及采购代理机构就有关采购活动的所有文件和来往函件，应以中文书写。供应商可以提交用其他语言（原文）打印的资料，但必须翻译成中文，当原文和译文（中文）之间存有差异和/或矛盾时，以中文为准。</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10.2 </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中所使用的计量单位除</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中有特殊规定外，一律使用法定计量单位。</w:t>
      </w:r>
    </w:p>
    <w:p>
      <w:pPr>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11  </w:t>
      </w:r>
      <w:r>
        <w:rPr>
          <w:rFonts w:hint="eastAsia" w:ascii="宋体" w:hAnsi="宋体" w:eastAsia="宋体" w:cs="宋体"/>
          <w:b/>
          <w:bCs/>
          <w:color w:val="auto"/>
          <w:sz w:val="28"/>
          <w:szCs w:val="28"/>
          <w:lang w:eastAsia="zh-CN"/>
        </w:rPr>
        <w:t>响应文件</w:t>
      </w:r>
      <w:r>
        <w:rPr>
          <w:rFonts w:hint="eastAsia" w:ascii="宋体" w:hAnsi="宋体" w:eastAsia="宋体" w:cs="宋体"/>
          <w:b/>
          <w:bCs/>
          <w:color w:val="auto"/>
          <w:sz w:val="28"/>
          <w:szCs w:val="28"/>
        </w:rPr>
        <w:t>构成</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供应商编写的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应按下列顺序及内容提供:</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（1）投标函；</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（2）法定代表人资格证明及授权委托书；</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（3）报价一览表；</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（4）采购内容及技术要求；</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（5）反商业贿赂承诺书；</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（6）商务条款偏离表；</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（7）近</w:t>
      </w:r>
      <w:r>
        <w:rPr>
          <w:rFonts w:hint="eastAsia" w:ascii="宋体" w:hAnsi="宋体" w:cs="宋体"/>
          <w:b/>
          <w:bCs/>
          <w:color w:val="auto"/>
          <w:sz w:val="24"/>
          <w:szCs w:val="24"/>
          <w:lang w:eastAsia="zh-CN"/>
        </w:rPr>
        <w:t>五</w:t>
      </w:r>
      <w:r>
        <w:rPr>
          <w:rFonts w:hint="eastAsia" w:ascii="宋体" w:hAnsi="宋体" w:eastAsia="宋体" w:cs="宋体"/>
          <w:b/>
          <w:bCs/>
          <w:color w:val="auto"/>
          <w:sz w:val="24"/>
          <w:szCs w:val="24"/>
        </w:rPr>
        <w:t>年同类项目业绩表；</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（8）拟派项目负责人简历表及拟投入本项目的主要成员表；</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（9）关于资格的声明函；</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（10）技术参数偏离表；</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（11）技术支持及服务承诺书；</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（12）中小企业声明函；</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（13）监狱企业声明函（监狱企业适用）；</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（14）残疾人福利性单位声明函；</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rPr>
        <w:t>）技术方案</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cs="宋体"/>
          <w:b/>
          <w:bCs/>
          <w:color w:val="auto"/>
          <w:sz w:val="24"/>
          <w:szCs w:val="24"/>
          <w:lang w:val="en-US" w:eastAsia="zh-CN"/>
        </w:rPr>
        <w:t>6</w:t>
      </w:r>
      <w:r>
        <w:rPr>
          <w:rFonts w:hint="eastAsia" w:ascii="宋体" w:hAnsi="宋体" w:eastAsia="宋体" w:cs="宋体"/>
          <w:b/>
          <w:bCs/>
          <w:color w:val="auto"/>
          <w:sz w:val="24"/>
          <w:szCs w:val="24"/>
        </w:rPr>
        <w:t>）组织实施方案</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cs="宋体"/>
          <w:b/>
          <w:bCs/>
          <w:color w:val="auto"/>
          <w:sz w:val="24"/>
          <w:szCs w:val="24"/>
          <w:lang w:val="en-US" w:eastAsia="zh-CN"/>
        </w:rPr>
        <w:t>17</w:t>
      </w:r>
      <w:r>
        <w:rPr>
          <w:rFonts w:hint="eastAsia" w:ascii="宋体" w:hAnsi="宋体" w:eastAsia="宋体" w:cs="宋体"/>
          <w:b/>
          <w:bCs/>
          <w:color w:val="auto"/>
          <w:sz w:val="24"/>
          <w:szCs w:val="24"/>
        </w:rPr>
        <w:t>）要求提供的其它材料以及供应商认为需要提交的材料。</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12  </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的格式</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12.1 </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附件及</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各章节提供了一部分用于编制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时必要的格式，供应商应按此格式编制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12.2 </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中未提供格式的部分由供应商自行编制。</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13  投标报价</w:t>
      </w:r>
    </w:p>
    <w:p>
      <w:pPr>
        <w:bidi w:val="0"/>
        <w:spacing w:line="360" w:lineRule="auto"/>
        <w:ind w:firstLine="484"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13.1 除本</w:t>
      </w:r>
      <w:r>
        <w:rPr>
          <w:rFonts w:hint="eastAsia" w:ascii="宋体" w:hAnsi="宋体" w:eastAsia="宋体" w:cs="宋体"/>
          <w:b/>
          <w:bCs/>
          <w:color w:val="auto"/>
          <w:sz w:val="24"/>
          <w:szCs w:val="24"/>
          <w:lang w:eastAsia="zh-CN"/>
        </w:rPr>
        <w:t>竞争性磋商文件</w:t>
      </w:r>
      <w:r>
        <w:rPr>
          <w:rFonts w:hint="eastAsia" w:ascii="宋体" w:hAnsi="宋体" w:eastAsia="宋体" w:cs="宋体"/>
          <w:b/>
          <w:bCs/>
          <w:color w:val="auto"/>
          <w:sz w:val="24"/>
          <w:szCs w:val="24"/>
        </w:rPr>
        <w:t>另有规定外，供应商应按</w:t>
      </w:r>
      <w:r>
        <w:rPr>
          <w:rFonts w:hint="eastAsia" w:ascii="宋体" w:hAnsi="宋体" w:eastAsia="宋体" w:cs="宋体"/>
          <w:b/>
          <w:bCs/>
          <w:color w:val="auto"/>
          <w:sz w:val="24"/>
          <w:szCs w:val="24"/>
          <w:lang w:eastAsia="zh-CN"/>
        </w:rPr>
        <w:t>竞争性磋商文件</w:t>
      </w:r>
      <w:r>
        <w:rPr>
          <w:rFonts w:hint="eastAsia" w:ascii="宋体" w:hAnsi="宋体" w:eastAsia="宋体" w:cs="宋体"/>
          <w:b/>
          <w:bCs/>
          <w:color w:val="auto"/>
          <w:sz w:val="24"/>
          <w:szCs w:val="24"/>
        </w:rPr>
        <w:t>所附相应的投标一览表格式标明</w:t>
      </w:r>
      <w:r>
        <w:rPr>
          <w:rFonts w:hint="eastAsia" w:ascii="宋体" w:hAnsi="宋体" w:eastAsia="宋体" w:cs="宋体"/>
          <w:b/>
          <w:bCs/>
          <w:color w:val="auto"/>
          <w:sz w:val="24"/>
          <w:szCs w:val="24"/>
          <w:lang w:val="en-US" w:eastAsia="zh-CN"/>
        </w:rPr>
        <w:t>投标报</w:t>
      </w:r>
      <w:r>
        <w:rPr>
          <w:rFonts w:hint="eastAsia" w:ascii="宋体" w:hAnsi="宋体" w:eastAsia="宋体" w:cs="宋体"/>
          <w:b/>
          <w:bCs/>
          <w:color w:val="auto"/>
          <w:sz w:val="24"/>
          <w:szCs w:val="24"/>
        </w:rPr>
        <w:t>价等内容。报价以人民币报价。</w:t>
      </w:r>
    </w:p>
    <w:p>
      <w:pPr>
        <w:bidi w:val="0"/>
        <w:spacing w:line="360" w:lineRule="auto"/>
        <w:ind w:firstLine="484"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13.2 任何有选择性的报价将不予接受。</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13.3 供应商须充分注意并重视第三章“</w:t>
      </w:r>
      <w:r>
        <w:rPr>
          <w:rFonts w:hint="eastAsia" w:ascii="宋体" w:hAnsi="宋体" w:eastAsia="宋体" w:cs="宋体"/>
          <w:color w:val="auto"/>
          <w:sz w:val="24"/>
          <w:szCs w:val="24"/>
          <w:lang w:eastAsia="zh-CN"/>
        </w:rPr>
        <w:t>技术要求</w:t>
      </w:r>
      <w:r>
        <w:rPr>
          <w:rFonts w:hint="eastAsia" w:ascii="宋体" w:hAnsi="宋体" w:eastAsia="宋体" w:cs="宋体"/>
          <w:color w:val="auto"/>
          <w:sz w:val="24"/>
          <w:szCs w:val="24"/>
        </w:rPr>
        <w:t>”的内容，并严格按该章的有关内容做出实质性响应。</w:t>
      </w:r>
    </w:p>
    <w:p>
      <w:pPr>
        <w:bidi w:val="0"/>
        <w:spacing w:line="360" w:lineRule="auto"/>
        <w:ind w:firstLine="484"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13.4 供应商可按</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第三章“</w:t>
      </w:r>
      <w:r>
        <w:rPr>
          <w:rFonts w:hint="eastAsia" w:ascii="宋体" w:hAnsi="宋体" w:eastAsia="宋体" w:cs="宋体"/>
          <w:color w:val="auto"/>
          <w:sz w:val="24"/>
          <w:szCs w:val="24"/>
          <w:lang w:eastAsia="zh-CN"/>
        </w:rPr>
        <w:t>技术要求</w:t>
      </w:r>
      <w:r>
        <w:rPr>
          <w:rFonts w:hint="eastAsia" w:ascii="宋体" w:hAnsi="宋体" w:eastAsia="宋体" w:cs="宋体"/>
          <w:color w:val="auto"/>
          <w:sz w:val="24"/>
          <w:szCs w:val="24"/>
        </w:rPr>
        <w:t>”的内容</w:t>
      </w:r>
      <w:r>
        <w:rPr>
          <w:rFonts w:hint="eastAsia" w:ascii="宋体" w:hAnsi="宋体" w:eastAsia="宋体" w:cs="宋体"/>
          <w:color w:val="auto"/>
          <w:sz w:val="24"/>
          <w:szCs w:val="24"/>
          <w:lang w:val="en-US" w:eastAsia="zh-CN"/>
        </w:rPr>
        <w:t>进行</w:t>
      </w:r>
      <w:r>
        <w:rPr>
          <w:rFonts w:hint="eastAsia" w:ascii="宋体" w:hAnsi="宋体" w:eastAsia="宋体" w:cs="宋体"/>
          <w:color w:val="auto"/>
          <w:sz w:val="24"/>
          <w:szCs w:val="24"/>
        </w:rPr>
        <w:t>报价，投标报价</w:t>
      </w:r>
      <w:r>
        <w:rPr>
          <w:rFonts w:hint="eastAsia" w:ascii="宋体" w:hAnsi="宋体" w:eastAsia="宋体" w:cs="宋体"/>
          <w:color w:val="auto"/>
          <w:sz w:val="24"/>
          <w:szCs w:val="24"/>
          <w:lang w:val="en-US" w:eastAsia="zh-CN"/>
        </w:rPr>
        <w:t>应</w:t>
      </w:r>
      <w:r>
        <w:rPr>
          <w:rFonts w:hint="eastAsia" w:ascii="宋体" w:hAnsi="宋体" w:eastAsia="宋体" w:cs="宋体"/>
          <w:color w:val="auto"/>
          <w:sz w:val="24"/>
          <w:szCs w:val="24"/>
        </w:rPr>
        <w:t>包</w:t>
      </w:r>
      <w:r>
        <w:rPr>
          <w:rFonts w:hint="eastAsia" w:ascii="宋体" w:hAnsi="宋体" w:eastAsia="宋体" w:cs="宋体"/>
          <w:color w:val="auto"/>
          <w:sz w:val="24"/>
          <w:szCs w:val="24"/>
          <w:lang w:val="en-US" w:eastAsia="zh-CN"/>
        </w:rPr>
        <w:t>含</w:t>
      </w:r>
      <w:r>
        <w:rPr>
          <w:rFonts w:hint="eastAsia" w:ascii="宋体" w:hAnsi="宋体" w:eastAsia="宋体" w:cs="宋体"/>
          <w:color w:val="auto"/>
          <w:sz w:val="24"/>
          <w:szCs w:val="24"/>
        </w:rPr>
        <w:t>税金及本</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所</w:t>
      </w:r>
      <w:r>
        <w:rPr>
          <w:rFonts w:hint="eastAsia" w:ascii="宋体" w:hAnsi="宋体" w:eastAsia="宋体" w:cs="宋体"/>
          <w:color w:val="auto"/>
          <w:sz w:val="24"/>
          <w:szCs w:val="24"/>
          <w:lang w:val="en-US" w:eastAsia="zh-CN"/>
        </w:rPr>
        <w:t>产生</w:t>
      </w:r>
      <w:r>
        <w:rPr>
          <w:rFonts w:hint="eastAsia" w:ascii="宋体" w:hAnsi="宋体" w:eastAsia="宋体" w:cs="宋体"/>
          <w:color w:val="auto"/>
          <w:sz w:val="24"/>
          <w:szCs w:val="24"/>
        </w:rPr>
        <w:t>的全部费用，</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13.5</w:t>
      </w:r>
      <w:r>
        <w:rPr>
          <w:rFonts w:hint="eastAsia" w:ascii="宋体" w:hAnsi="宋体" w:eastAsia="宋体" w:cs="宋体"/>
          <w:color w:val="auto"/>
          <w:sz w:val="24"/>
          <w:szCs w:val="24"/>
        </w:rPr>
        <w:t xml:space="preserve"> 供应商的报价在中标后的合同实施期间应保持不变，即不因市场价格或政策性价格的调整而增减。</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14  证明供应商合格</w:t>
      </w:r>
      <w:r>
        <w:rPr>
          <w:rFonts w:hint="eastAsia" w:ascii="宋体" w:hAnsi="宋体" w:eastAsia="宋体" w:cs="宋体"/>
          <w:b/>
          <w:bCs/>
          <w:color w:val="auto"/>
          <w:sz w:val="24"/>
          <w:szCs w:val="24"/>
          <w:lang w:val="en-US" w:eastAsia="zh-CN"/>
        </w:rPr>
        <w:t>的</w:t>
      </w:r>
      <w:r>
        <w:rPr>
          <w:rFonts w:hint="eastAsia" w:ascii="宋体" w:hAnsi="宋体" w:eastAsia="宋体" w:cs="宋体"/>
          <w:b/>
          <w:bCs/>
          <w:color w:val="auto"/>
          <w:sz w:val="24"/>
          <w:szCs w:val="24"/>
        </w:rPr>
        <w:t>资格</w:t>
      </w:r>
      <w:r>
        <w:rPr>
          <w:rFonts w:hint="eastAsia" w:ascii="宋体" w:hAnsi="宋体" w:eastAsia="宋体" w:cs="宋体"/>
          <w:b/>
          <w:bCs/>
          <w:color w:val="auto"/>
          <w:sz w:val="24"/>
          <w:szCs w:val="24"/>
          <w:lang w:val="en-US" w:eastAsia="zh-CN"/>
        </w:rPr>
        <w:t>证明</w:t>
      </w:r>
      <w:r>
        <w:rPr>
          <w:rFonts w:hint="eastAsia" w:ascii="宋体" w:hAnsi="宋体" w:eastAsia="宋体" w:cs="宋体"/>
          <w:b/>
          <w:bCs/>
          <w:color w:val="auto"/>
          <w:sz w:val="24"/>
          <w:szCs w:val="24"/>
        </w:rPr>
        <w:t>文件</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按照供应商须知前附表规定，供应商应提交</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所要求的资格证明文件。</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15  证明符合</w:t>
      </w:r>
      <w:r>
        <w:rPr>
          <w:rFonts w:hint="eastAsia" w:ascii="宋体" w:hAnsi="宋体" w:eastAsia="宋体" w:cs="宋体"/>
          <w:b/>
          <w:bCs/>
          <w:color w:val="auto"/>
          <w:sz w:val="24"/>
          <w:szCs w:val="24"/>
          <w:lang w:eastAsia="zh-CN"/>
        </w:rPr>
        <w:t>竞争性磋商文件</w:t>
      </w:r>
      <w:r>
        <w:rPr>
          <w:rFonts w:hint="eastAsia" w:ascii="宋体" w:hAnsi="宋体" w:eastAsia="宋体" w:cs="宋体"/>
          <w:b/>
          <w:bCs/>
          <w:color w:val="auto"/>
          <w:sz w:val="24"/>
          <w:szCs w:val="24"/>
        </w:rPr>
        <w:t>规定的文件</w:t>
      </w:r>
    </w:p>
    <w:p>
      <w:pPr>
        <w:bidi w:val="0"/>
        <w:spacing w:line="360" w:lineRule="auto"/>
        <w:ind w:firstLine="484"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供应商应逐条对</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要求的</w:t>
      </w:r>
      <w:r>
        <w:rPr>
          <w:rFonts w:hint="eastAsia" w:ascii="宋体" w:hAnsi="宋体" w:eastAsia="宋体" w:cs="宋体"/>
          <w:color w:val="auto"/>
          <w:sz w:val="24"/>
          <w:szCs w:val="24"/>
          <w:lang w:val="en-US" w:eastAsia="zh-CN"/>
        </w:rPr>
        <w:t>内容</w:t>
      </w:r>
      <w:r>
        <w:rPr>
          <w:rFonts w:hint="eastAsia" w:ascii="宋体" w:hAnsi="宋体" w:eastAsia="宋体" w:cs="宋体"/>
          <w:color w:val="auto"/>
          <w:sz w:val="24"/>
          <w:szCs w:val="24"/>
        </w:rPr>
        <w:t>做出实质性</w:t>
      </w:r>
      <w:r>
        <w:rPr>
          <w:rFonts w:hint="eastAsia" w:ascii="宋体" w:hAnsi="宋体" w:eastAsia="宋体" w:cs="宋体"/>
          <w:color w:val="auto"/>
          <w:sz w:val="24"/>
          <w:szCs w:val="24"/>
          <w:lang w:val="en-US" w:eastAsia="zh-CN"/>
        </w:rPr>
        <w:t>响</w:t>
      </w:r>
      <w:r>
        <w:rPr>
          <w:rFonts w:hint="eastAsia" w:ascii="宋体" w:hAnsi="宋体" w:eastAsia="宋体" w:cs="宋体"/>
          <w:color w:val="auto"/>
          <w:sz w:val="24"/>
          <w:szCs w:val="24"/>
        </w:rPr>
        <w:t>应，认真填写</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所附的“商务条款偏离表”、“技术规格偏离表”。</w:t>
      </w:r>
      <w:r>
        <w:rPr>
          <w:rFonts w:hint="eastAsia" w:ascii="宋体" w:hAnsi="宋体" w:eastAsia="宋体" w:cs="宋体"/>
          <w:b/>
          <w:bCs/>
          <w:color w:val="auto"/>
          <w:sz w:val="24"/>
          <w:szCs w:val="24"/>
        </w:rPr>
        <w:t>若有偏离,请将具体偏离条款在“偏离”一栏中详细说明</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若无偏离</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请在“偏离”一栏中标注“无”字样。如不填写将视为不响应</w:t>
      </w:r>
      <w:r>
        <w:rPr>
          <w:rFonts w:hint="eastAsia" w:ascii="宋体" w:hAnsi="宋体" w:eastAsia="宋体" w:cs="宋体"/>
          <w:b/>
          <w:bCs/>
          <w:color w:val="auto"/>
          <w:sz w:val="24"/>
          <w:szCs w:val="24"/>
          <w:lang w:eastAsia="zh-CN"/>
        </w:rPr>
        <w:t>竞争性磋商文件</w:t>
      </w:r>
      <w:r>
        <w:rPr>
          <w:rFonts w:hint="eastAsia" w:ascii="宋体" w:hAnsi="宋体" w:eastAsia="宋体" w:cs="宋体"/>
          <w:b/>
          <w:bCs/>
          <w:color w:val="auto"/>
          <w:sz w:val="24"/>
          <w:szCs w:val="24"/>
        </w:rPr>
        <w:t>要求。</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16  电子</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的有效期</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16.1 </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有效期</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提交</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的截止之日起90天。</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16.2 在特殊情况下, 在原</w:t>
      </w:r>
      <w:r>
        <w:rPr>
          <w:rFonts w:hint="eastAsia" w:ascii="宋体" w:hAnsi="宋体" w:eastAsia="宋体" w:cs="宋体"/>
          <w:color w:val="auto"/>
          <w:sz w:val="24"/>
          <w:szCs w:val="24"/>
          <w:lang w:val="en-US" w:eastAsia="zh-CN"/>
        </w:rPr>
        <w:t>响应文件</w:t>
      </w:r>
      <w:r>
        <w:rPr>
          <w:rFonts w:hint="eastAsia" w:ascii="宋体" w:hAnsi="宋体" w:eastAsia="宋体" w:cs="宋体"/>
          <w:color w:val="auto"/>
          <w:sz w:val="24"/>
          <w:szCs w:val="24"/>
        </w:rPr>
        <w:t>有效期届满之前，采购人可与供应商协商延长</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的有效期，并经供应商确认。</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17  电子</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的</w:t>
      </w:r>
      <w:r>
        <w:rPr>
          <w:rFonts w:hint="eastAsia" w:ascii="宋体" w:hAnsi="宋体" w:eastAsia="宋体" w:cs="宋体"/>
          <w:b/>
          <w:bCs/>
          <w:color w:val="auto"/>
          <w:sz w:val="24"/>
          <w:szCs w:val="24"/>
          <w:lang w:val="en-US" w:eastAsia="zh-CN"/>
        </w:rPr>
        <w:t>格式</w:t>
      </w:r>
      <w:r>
        <w:rPr>
          <w:rFonts w:hint="eastAsia" w:ascii="宋体" w:hAnsi="宋体" w:eastAsia="宋体" w:cs="宋体"/>
          <w:b/>
          <w:bCs/>
          <w:color w:val="auto"/>
          <w:sz w:val="24"/>
          <w:szCs w:val="24"/>
        </w:rPr>
        <w:t>要求及签署</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17.1 </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格式</w:t>
      </w:r>
      <w:r>
        <w:rPr>
          <w:rFonts w:hint="eastAsia" w:ascii="宋体" w:hAnsi="宋体" w:eastAsia="宋体" w:cs="宋体"/>
          <w:color w:val="auto"/>
          <w:sz w:val="24"/>
          <w:szCs w:val="24"/>
        </w:rPr>
        <w:t>应清楚工整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未实质性响应</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、字迹潦草、表达不清、未按要求填写或可能导致非唯一理解的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将按无效投标处理。</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应由供应商法</w:t>
      </w:r>
      <w:r>
        <w:rPr>
          <w:rFonts w:hint="eastAsia" w:ascii="宋体" w:hAnsi="宋体" w:eastAsia="宋体" w:cs="宋体"/>
          <w:color w:val="auto"/>
          <w:sz w:val="24"/>
          <w:szCs w:val="24"/>
          <w:lang w:val="en-US" w:eastAsia="zh-CN"/>
        </w:rPr>
        <w:t>定代表人</w:t>
      </w:r>
      <w:r>
        <w:rPr>
          <w:rFonts w:hint="eastAsia" w:ascii="宋体" w:hAnsi="宋体" w:eastAsia="宋体" w:cs="宋体"/>
          <w:color w:val="auto"/>
          <w:sz w:val="24"/>
          <w:szCs w:val="24"/>
        </w:rPr>
        <w:t>或委托代理人在规定签章处逐一签署及加盖供应商的公章。</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18  投标保证金</w:t>
      </w:r>
    </w:p>
    <w:p>
      <w:pPr>
        <w:bidi w:val="0"/>
        <w:spacing w:line="360" w:lineRule="auto"/>
        <w:ind w:firstLine="484" w:firstLineChars="200"/>
        <w:rPr>
          <w:rFonts w:hint="eastAsia"/>
        </w:rPr>
      </w:pPr>
      <w:r>
        <w:rPr>
          <w:rFonts w:hint="eastAsia" w:ascii="宋体" w:hAnsi="宋体" w:eastAsia="宋体" w:cs="宋体"/>
          <w:color w:val="auto"/>
          <w:sz w:val="24"/>
          <w:szCs w:val="24"/>
        </w:rPr>
        <w:t>18.1 各供应商必须在投标截止时间前</w:t>
      </w:r>
      <w:r>
        <w:rPr>
          <w:rFonts w:hint="eastAsia" w:ascii="宋体" w:hAnsi="宋体" w:eastAsia="宋体" w:cs="宋体"/>
          <w:color w:val="auto"/>
          <w:sz w:val="24"/>
          <w:szCs w:val="24"/>
          <w:lang w:val="en-US" w:eastAsia="zh-CN"/>
        </w:rPr>
        <w:t>提</w:t>
      </w:r>
      <w:r>
        <w:rPr>
          <w:rFonts w:hint="eastAsia" w:ascii="宋体" w:hAnsi="宋体" w:eastAsia="宋体" w:cs="宋体"/>
          <w:color w:val="auto"/>
          <w:sz w:val="24"/>
          <w:szCs w:val="24"/>
        </w:rPr>
        <w:t>交。</w:t>
      </w:r>
    </w:p>
    <w:p>
      <w:pPr>
        <w:keepNext w:val="0"/>
        <w:keepLines w:val="0"/>
        <w:pageBreakBefore w:val="0"/>
        <w:widowControl/>
        <w:kinsoku/>
        <w:wordWrap/>
        <w:overflowPunct/>
        <w:topLinePunct w:val="0"/>
        <w:autoSpaceDE/>
        <w:autoSpaceDN/>
        <w:bidi w:val="0"/>
        <w:adjustRightInd w:val="0"/>
        <w:snapToGrid w:val="0"/>
        <w:spacing w:line="360" w:lineRule="auto"/>
        <w:ind w:firstLine="484" w:firstLineChars="200"/>
        <w:jc w:val="left"/>
        <w:textAlignment w:val="auto"/>
        <w:rPr>
          <w:rFonts w:hint="eastAsia" w:ascii="宋体" w:hAnsi="宋体" w:eastAsia="宋体" w:cs="宋体"/>
          <w:color w:val="auto"/>
        </w:rPr>
      </w:pPr>
      <w:r>
        <w:rPr>
          <w:rFonts w:hint="eastAsia" w:ascii="宋体" w:hAnsi="宋体" w:eastAsia="宋体" w:cs="宋体"/>
          <w:b/>
          <w:bCs/>
          <w:color w:val="auto"/>
          <w:sz w:val="24"/>
          <w:szCs w:val="24"/>
          <w:lang w:eastAsia="zh-CN"/>
        </w:rPr>
        <w:t>退保证金时间：（各单位交付退保证金申请后</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lang w:eastAsia="zh-CN"/>
        </w:rPr>
        <w:t>邮寄以收到日期为准）</w:t>
      </w:r>
      <w:r>
        <w:rPr>
          <w:rFonts w:hint="eastAsia" w:ascii="宋体" w:hAnsi="宋体" w:eastAsia="宋体" w:cs="宋体"/>
          <w:b/>
          <w:bCs/>
          <w:color w:val="auto"/>
          <w:sz w:val="24"/>
          <w:szCs w:val="24"/>
          <w:lang w:val="en-US" w:eastAsia="zh-CN"/>
        </w:rPr>
        <w:t>1、未中标单位在我公司收到相关手续后5个工作日内办理；2、</w:t>
      </w:r>
      <w:r>
        <w:rPr>
          <w:rFonts w:hint="eastAsia" w:ascii="宋体" w:hAnsi="宋体" w:eastAsia="宋体" w:cs="宋体"/>
          <w:b/>
          <w:bCs/>
          <w:color w:val="auto"/>
          <w:sz w:val="24"/>
          <w:szCs w:val="24"/>
          <w:lang w:eastAsia="zh-CN"/>
        </w:rPr>
        <w:t>中标单位将签订合同复印件或扫描件交付我公司后</w:t>
      </w:r>
      <w:r>
        <w:rPr>
          <w:rFonts w:hint="eastAsia" w:ascii="宋体" w:hAnsi="宋体" w:eastAsia="宋体" w:cs="宋体"/>
          <w:b/>
          <w:bCs/>
          <w:color w:val="auto"/>
          <w:sz w:val="24"/>
          <w:szCs w:val="24"/>
          <w:lang w:val="en-US" w:eastAsia="zh-CN"/>
        </w:rPr>
        <w:t>5个工作日内</w:t>
      </w:r>
      <w:r>
        <w:rPr>
          <w:rFonts w:hint="eastAsia" w:ascii="宋体" w:hAnsi="宋体" w:eastAsia="宋体" w:cs="宋体"/>
          <w:b/>
          <w:bCs/>
          <w:color w:val="auto"/>
          <w:sz w:val="24"/>
          <w:szCs w:val="24"/>
          <w:lang w:eastAsia="zh-CN"/>
        </w:rPr>
        <w:t>办理</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 xml:space="preserve"> </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18.2 投标保证金用于保护本次招标免受供应商的违规、违约行为而引起的风险。</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18.3 发生以下情况投标保证金不予退还：</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18.3.1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如果供应商在投标有效期内撤回</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18.3.2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中标供应商有下列情形之一的，投标保证金不予退还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情节严重的，由</w:t>
      </w:r>
      <w:r>
        <w:rPr>
          <w:rFonts w:hint="eastAsia" w:ascii="宋体" w:hAnsi="宋体" w:eastAsia="宋体" w:cs="宋体"/>
          <w:color w:val="auto"/>
          <w:sz w:val="24"/>
          <w:szCs w:val="24"/>
          <w:lang w:val="en-US" w:eastAsia="zh-CN"/>
        </w:rPr>
        <w:t>财政</w:t>
      </w:r>
      <w:r>
        <w:rPr>
          <w:rFonts w:hint="eastAsia" w:ascii="宋体" w:hAnsi="宋体" w:eastAsia="宋体" w:cs="宋体"/>
          <w:color w:val="auto"/>
          <w:sz w:val="24"/>
          <w:szCs w:val="24"/>
        </w:rPr>
        <w:t>部门将其列入不良行为记录名单，在一至三年内禁止参加政府采购活动，并予以通报：</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中标后无正当理由不与采购人签订合同的；</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（二）未经采购人同意将中标项目转让给他人，或者将中标项目分包给他人的；</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（三）拒绝履行合同义务的。</w:t>
      </w:r>
    </w:p>
    <w:p>
      <w:pPr>
        <w:bidi w:val="0"/>
        <w:spacing w:line="360" w:lineRule="auto"/>
        <w:ind w:firstLine="484" w:firstLineChars="200"/>
        <w:rPr>
          <w:rFonts w:hint="eastAsia" w:ascii="宋体" w:hAnsi="宋体" w:eastAsia="宋体" w:cs="宋体"/>
          <w:color w:val="auto"/>
          <w:sz w:val="28"/>
          <w:szCs w:val="28"/>
        </w:rPr>
      </w:pPr>
      <w:r>
        <w:rPr>
          <w:rFonts w:hint="eastAsia" w:ascii="宋体" w:hAnsi="宋体" w:eastAsia="宋体" w:cs="宋体"/>
          <w:color w:val="auto"/>
          <w:sz w:val="24"/>
          <w:szCs w:val="24"/>
        </w:rPr>
        <w:t>18.3.3 如果中标供应商放弃中标项目的，无正当理由不与采购人签订合同的，在签订合同时向采购人提出附加条件或者更改合同实质性内容的，或者拒不提交所要求的履约保证金的</w:t>
      </w:r>
      <w:r>
        <w:rPr>
          <w:rFonts w:hint="eastAsia" w:ascii="宋体" w:hAnsi="宋体" w:eastAsia="宋体" w:cs="宋体"/>
          <w:color w:val="auto"/>
          <w:sz w:val="28"/>
          <w:szCs w:val="28"/>
        </w:rPr>
        <w:t>。</w:t>
      </w:r>
      <w:bookmarkStart w:id="68" w:name="_Toc167"/>
      <w:bookmarkStart w:id="69" w:name="_Toc5423"/>
      <w:bookmarkStart w:id="70" w:name="_Toc20192"/>
    </w:p>
    <w:p>
      <w:pPr>
        <w:pStyle w:val="4"/>
        <w:numPr>
          <w:ilvl w:val="0"/>
          <w:numId w:val="0"/>
        </w:numPr>
        <w:bidi w:val="0"/>
        <w:ind w:leftChars="0"/>
        <w:jc w:val="center"/>
        <w:rPr>
          <w:rFonts w:hint="eastAsia" w:ascii="宋体" w:hAnsi="宋体" w:eastAsia="宋体" w:cs="宋体"/>
        </w:rPr>
      </w:pPr>
      <w:bookmarkStart w:id="71" w:name="_Toc30175"/>
      <w:bookmarkStart w:id="72" w:name="_Toc19171"/>
      <w:bookmarkStart w:id="73" w:name="_Toc28814"/>
      <w:bookmarkStart w:id="74" w:name="_Toc13957"/>
      <w:bookmarkStart w:id="75" w:name="_Toc2665"/>
      <w:bookmarkStart w:id="76" w:name="_Toc15133"/>
      <w:bookmarkStart w:id="77" w:name="_Toc20072"/>
      <w:bookmarkStart w:id="78" w:name="_Toc5633"/>
      <w:bookmarkStart w:id="79" w:name="_Toc10478"/>
      <w:r>
        <w:rPr>
          <w:rFonts w:hint="eastAsia" w:ascii="宋体" w:hAnsi="宋体" w:eastAsia="宋体" w:cs="宋体"/>
        </w:rPr>
        <w:t xml:space="preserve">四、 </w:t>
      </w:r>
      <w:r>
        <w:rPr>
          <w:rFonts w:hint="eastAsia" w:ascii="宋体" w:hAnsi="宋体" w:eastAsia="宋体" w:cs="宋体"/>
          <w:lang w:eastAsia="zh-CN"/>
        </w:rPr>
        <w:t>响应文件</w:t>
      </w:r>
      <w:r>
        <w:rPr>
          <w:rFonts w:hint="eastAsia" w:ascii="宋体" w:hAnsi="宋体" w:eastAsia="宋体" w:cs="宋体"/>
        </w:rPr>
        <w:t>的</w:t>
      </w:r>
      <w:r>
        <w:rPr>
          <w:rFonts w:hint="eastAsia" w:ascii="宋体" w:hAnsi="宋体" w:eastAsia="宋体" w:cs="宋体"/>
          <w:lang w:val="en-US" w:eastAsia="zh-CN"/>
        </w:rPr>
        <w:t>提</w:t>
      </w:r>
      <w:r>
        <w:rPr>
          <w:rFonts w:hint="eastAsia" w:ascii="宋体" w:hAnsi="宋体" w:eastAsia="宋体" w:cs="宋体"/>
        </w:rPr>
        <w:t>交</w:t>
      </w:r>
      <w:bookmarkEnd w:id="68"/>
      <w:bookmarkEnd w:id="69"/>
      <w:bookmarkEnd w:id="70"/>
      <w:bookmarkEnd w:id="71"/>
      <w:bookmarkEnd w:id="72"/>
      <w:bookmarkEnd w:id="73"/>
      <w:bookmarkEnd w:id="74"/>
      <w:bookmarkEnd w:id="75"/>
      <w:bookmarkEnd w:id="76"/>
      <w:bookmarkEnd w:id="77"/>
      <w:bookmarkEnd w:id="78"/>
      <w:bookmarkEnd w:id="79"/>
    </w:p>
    <w:p>
      <w:pPr>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19  </w:t>
      </w:r>
      <w:r>
        <w:rPr>
          <w:rFonts w:hint="eastAsia" w:ascii="宋体" w:hAnsi="宋体" w:eastAsia="宋体" w:cs="宋体"/>
          <w:b/>
          <w:bCs/>
          <w:color w:val="auto"/>
          <w:sz w:val="28"/>
          <w:szCs w:val="28"/>
          <w:lang w:eastAsia="zh-CN"/>
        </w:rPr>
        <w:t>响应文件</w:t>
      </w:r>
      <w:r>
        <w:rPr>
          <w:rFonts w:hint="eastAsia" w:ascii="宋体" w:hAnsi="宋体" w:eastAsia="宋体" w:cs="宋体"/>
          <w:b/>
          <w:bCs/>
          <w:color w:val="auto"/>
          <w:sz w:val="28"/>
          <w:szCs w:val="28"/>
        </w:rPr>
        <w:t>的</w:t>
      </w:r>
      <w:r>
        <w:rPr>
          <w:rFonts w:hint="eastAsia" w:ascii="宋体" w:hAnsi="宋体" w:eastAsia="宋体" w:cs="宋体"/>
          <w:b/>
          <w:bCs/>
          <w:color w:val="auto"/>
          <w:sz w:val="28"/>
          <w:szCs w:val="28"/>
          <w:lang w:val="en-US" w:eastAsia="zh-CN"/>
        </w:rPr>
        <w:t>提</w:t>
      </w:r>
      <w:r>
        <w:rPr>
          <w:rFonts w:hint="eastAsia" w:ascii="宋体" w:hAnsi="宋体" w:eastAsia="宋体" w:cs="宋体"/>
          <w:b/>
          <w:bCs/>
          <w:color w:val="auto"/>
          <w:sz w:val="28"/>
          <w:szCs w:val="28"/>
        </w:rPr>
        <w:t>交详见供应商须知。</w:t>
      </w:r>
    </w:p>
    <w:p>
      <w:pPr>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20  </w:t>
      </w:r>
      <w:r>
        <w:rPr>
          <w:rFonts w:hint="eastAsia" w:ascii="宋体" w:hAnsi="宋体" w:eastAsia="宋体" w:cs="宋体"/>
          <w:b/>
          <w:bCs/>
          <w:color w:val="auto"/>
          <w:sz w:val="28"/>
          <w:szCs w:val="28"/>
          <w:lang w:eastAsia="zh-CN"/>
        </w:rPr>
        <w:t>响应文件</w:t>
      </w:r>
      <w:r>
        <w:rPr>
          <w:rFonts w:hint="eastAsia" w:ascii="宋体" w:hAnsi="宋体" w:eastAsia="宋体" w:cs="宋体"/>
          <w:b/>
          <w:bCs/>
          <w:color w:val="auto"/>
          <w:sz w:val="28"/>
          <w:szCs w:val="28"/>
          <w:lang w:val="en-US" w:eastAsia="zh-CN"/>
        </w:rPr>
        <w:t>提</w:t>
      </w:r>
      <w:r>
        <w:rPr>
          <w:rFonts w:hint="eastAsia" w:ascii="宋体" w:hAnsi="宋体" w:eastAsia="宋体" w:cs="宋体"/>
          <w:b/>
          <w:bCs/>
          <w:color w:val="auto"/>
          <w:sz w:val="28"/>
          <w:szCs w:val="28"/>
        </w:rPr>
        <w:t>交的截止时间</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20.1 供应商必须在</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要求提交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的截止时间前</w:t>
      </w:r>
      <w:r>
        <w:rPr>
          <w:rFonts w:hint="eastAsia" w:ascii="宋体" w:hAnsi="宋体" w:eastAsia="宋体" w:cs="宋体"/>
          <w:color w:val="auto"/>
          <w:sz w:val="24"/>
          <w:szCs w:val="24"/>
          <w:lang w:val="en-US" w:eastAsia="zh-CN"/>
        </w:rPr>
        <w:t>提</w:t>
      </w:r>
      <w:r>
        <w:rPr>
          <w:rFonts w:hint="eastAsia" w:ascii="宋体" w:hAnsi="宋体" w:eastAsia="宋体" w:cs="宋体"/>
          <w:color w:val="auto"/>
          <w:sz w:val="24"/>
          <w:szCs w:val="24"/>
        </w:rPr>
        <w:t>交。</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20.2 在</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要求提交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的截止时间之后上传的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，为无效</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，采购人将不予接收。</w:t>
      </w:r>
    </w:p>
    <w:p>
      <w:pPr>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21  </w:t>
      </w:r>
      <w:r>
        <w:rPr>
          <w:rFonts w:hint="eastAsia" w:ascii="宋体" w:hAnsi="宋体" w:eastAsia="宋体" w:cs="宋体"/>
          <w:b/>
          <w:bCs/>
          <w:color w:val="auto"/>
          <w:sz w:val="28"/>
          <w:szCs w:val="28"/>
          <w:lang w:eastAsia="zh-CN"/>
        </w:rPr>
        <w:t>响应文件</w:t>
      </w:r>
      <w:r>
        <w:rPr>
          <w:rFonts w:hint="eastAsia" w:ascii="宋体" w:hAnsi="宋体" w:eastAsia="宋体" w:cs="宋体"/>
          <w:b/>
          <w:bCs/>
          <w:color w:val="auto"/>
          <w:sz w:val="28"/>
          <w:szCs w:val="28"/>
        </w:rPr>
        <w:t>的修改和撤回</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21.1 供应商在投标截止时间前，可以对所</w:t>
      </w:r>
      <w:r>
        <w:rPr>
          <w:rFonts w:hint="eastAsia" w:ascii="宋体" w:hAnsi="宋体" w:eastAsia="宋体" w:cs="宋体"/>
          <w:color w:val="auto"/>
          <w:sz w:val="24"/>
          <w:szCs w:val="24"/>
          <w:lang w:val="en-US" w:eastAsia="zh-CN"/>
        </w:rPr>
        <w:t>提</w:t>
      </w:r>
      <w:r>
        <w:rPr>
          <w:rFonts w:hint="eastAsia" w:ascii="宋体" w:hAnsi="宋体" w:eastAsia="宋体" w:cs="宋体"/>
          <w:color w:val="auto"/>
          <w:sz w:val="24"/>
          <w:szCs w:val="24"/>
        </w:rPr>
        <w:t>交的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进行补充、修改或者撤回。补充、修改的内容应当按</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要求签署、盖章，并作为</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的组成部分。供应商对其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进行的修改或撤回应在</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规定的投标截止时间前送达。</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21.2 供应商根据</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载明采购项目的实际情况，拟在中标后将中标项目的非主体、非关键性工作交由他人完成的，应当在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中载明。</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21.3 投标截止时间后不得修改</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21.4 供应商不得在投标有效期</w:t>
      </w:r>
      <w:r>
        <w:rPr>
          <w:rFonts w:hint="eastAsia" w:ascii="宋体" w:hAnsi="宋体" w:eastAsia="宋体" w:cs="宋体"/>
          <w:color w:val="auto"/>
          <w:sz w:val="24"/>
          <w:szCs w:val="24"/>
          <w:lang w:val="en-US" w:eastAsia="zh-CN"/>
        </w:rPr>
        <w:t>内</w:t>
      </w:r>
      <w:r>
        <w:rPr>
          <w:rFonts w:hint="eastAsia" w:ascii="宋体" w:hAnsi="宋体" w:eastAsia="宋体" w:cs="宋体"/>
          <w:color w:val="auto"/>
          <w:sz w:val="24"/>
          <w:szCs w:val="24"/>
        </w:rPr>
        <w:t>撤销</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，否则采购人将不予退还其投标保证金。</w:t>
      </w:r>
      <w:bookmarkStart w:id="80" w:name="_Toc26952"/>
      <w:bookmarkStart w:id="81" w:name="_Toc14795"/>
      <w:bookmarkStart w:id="82" w:name="_Toc10256"/>
    </w:p>
    <w:p>
      <w:pPr>
        <w:pStyle w:val="4"/>
        <w:numPr>
          <w:ilvl w:val="0"/>
          <w:numId w:val="0"/>
        </w:numPr>
        <w:bidi w:val="0"/>
        <w:ind w:leftChars="0"/>
        <w:jc w:val="center"/>
        <w:rPr>
          <w:rFonts w:hint="eastAsia" w:ascii="宋体" w:hAnsi="宋体" w:eastAsia="宋体" w:cs="宋体"/>
        </w:rPr>
      </w:pPr>
      <w:bookmarkStart w:id="83" w:name="_Toc24323"/>
      <w:bookmarkStart w:id="84" w:name="_Toc25534"/>
      <w:bookmarkStart w:id="85" w:name="_Toc11186"/>
      <w:bookmarkStart w:id="86" w:name="_Toc18848"/>
      <w:bookmarkStart w:id="87" w:name="_Toc12676"/>
      <w:bookmarkStart w:id="88" w:name="_Toc18583"/>
      <w:bookmarkStart w:id="89" w:name="_Toc30259"/>
      <w:bookmarkStart w:id="90" w:name="_Toc21719"/>
      <w:bookmarkStart w:id="91" w:name="_Toc8730"/>
      <w:r>
        <w:rPr>
          <w:rFonts w:hint="eastAsia" w:ascii="宋体" w:hAnsi="宋体" w:eastAsia="宋体" w:cs="宋体"/>
        </w:rPr>
        <w:t>五、开   标</w:t>
      </w:r>
      <w:bookmarkEnd w:id="80"/>
      <w:bookmarkEnd w:id="81"/>
      <w:bookmarkEnd w:id="82"/>
      <w:bookmarkEnd w:id="83"/>
      <w:bookmarkEnd w:id="84"/>
      <w:bookmarkEnd w:id="85"/>
      <w:bookmarkEnd w:id="86"/>
      <w:bookmarkEnd w:id="87"/>
      <w:bookmarkEnd w:id="88"/>
      <w:bookmarkEnd w:id="89"/>
      <w:bookmarkEnd w:id="90"/>
      <w:bookmarkEnd w:id="91"/>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22  开标</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22.1 开标</w:t>
      </w:r>
      <w:r>
        <w:rPr>
          <w:rFonts w:hint="eastAsia" w:ascii="宋体" w:hAnsi="宋体" w:eastAsia="宋体" w:cs="宋体"/>
          <w:color w:val="auto"/>
          <w:sz w:val="24"/>
          <w:szCs w:val="24"/>
          <w:lang w:val="en-US" w:eastAsia="zh-CN"/>
        </w:rPr>
        <w:t>时间</w:t>
      </w:r>
      <w:r>
        <w:rPr>
          <w:rFonts w:hint="eastAsia" w:ascii="宋体" w:hAnsi="宋体" w:eastAsia="宋体" w:cs="宋体"/>
          <w:color w:val="auto"/>
          <w:sz w:val="24"/>
          <w:szCs w:val="24"/>
        </w:rPr>
        <w:t>为</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lang w:val="en-US" w:eastAsia="zh-CN"/>
        </w:rPr>
        <w:t>中</w:t>
      </w:r>
      <w:r>
        <w:rPr>
          <w:rFonts w:hint="eastAsia" w:ascii="宋体" w:hAnsi="宋体" w:eastAsia="宋体" w:cs="宋体"/>
          <w:color w:val="auto"/>
          <w:sz w:val="24"/>
          <w:szCs w:val="24"/>
        </w:rPr>
        <w:t>提交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截止时间；开标地点为</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中预先确定的地点。</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22.2 采购代理机构主持，采购人和有关方面代表参加。投标供应商不足3家的，不得开标。</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22.3 开标方式：电子开评标</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22.3.1开标时间到达后，主持人</w:t>
      </w:r>
      <w:r>
        <w:rPr>
          <w:rFonts w:hint="eastAsia" w:ascii="宋体" w:hAnsi="宋体" w:eastAsia="宋体" w:cs="宋体"/>
          <w:color w:val="auto"/>
          <w:sz w:val="24"/>
          <w:szCs w:val="24"/>
          <w:lang w:val="en-US" w:eastAsia="zh-CN"/>
        </w:rPr>
        <w:t>开启解密标书后，供应商点击【CA解密】进行解密，超过解密时限，默认供应商自动放弃。解密成功的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的可继续进行开标。</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22.3.2 若</w:t>
      </w:r>
      <w:r>
        <w:rPr>
          <w:rFonts w:hint="eastAsia" w:ascii="宋体" w:hAnsi="宋体" w:eastAsia="宋体" w:cs="宋体"/>
          <w:color w:val="auto"/>
          <w:sz w:val="24"/>
          <w:szCs w:val="24"/>
          <w:lang w:val="en-US" w:eastAsia="zh-CN"/>
        </w:rPr>
        <w:t>提交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家数少于三家或者开标后成功解密的家数少于三家的，将终止该</w:t>
      </w:r>
      <w:r>
        <w:rPr>
          <w:rFonts w:hint="eastAsia" w:ascii="宋体" w:hAnsi="宋体" w:eastAsia="宋体" w:cs="宋体"/>
          <w:color w:val="auto"/>
          <w:sz w:val="24"/>
          <w:szCs w:val="24"/>
          <w:lang w:val="en-US" w:eastAsia="zh-CN"/>
        </w:rPr>
        <w:t>项目（标项）</w:t>
      </w:r>
      <w:r>
        <w:rPr>
          <w:rFonts w:hint="eastAsia" w:ascii="宋体" w:hAnsi="宋体" w:eastAsia="宋体" w:cs="宋体"/>
          <w:color w:val="auto"/>
          <w:sz w:val="24"/>
          <w:szCs w:val="24"/>
        </w:rPr>
        <w:t xml:space="preserve">的开标。 </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22.4 </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报价出现前后不一致的，除</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另有规定外，按照下列规定修正：</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22.4.1</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中开标一览表（报价</w:t>
      </w:r>
      <w:r>
        <w:rPr>
          <w:rFonts w:hint="eastAsia" w:ascii="宋体" w:hAnsi="宋体" w:eastAsia="宋体" w:cs="宋体"/>
          <w:color w:val="auto"/>
          <w:sz w:val="24"/>
          <w:szCs w:val="24"/>
          <w:lang w:val="en-US" w:eastAsia="zh-CN"/>
        </w:rPr>
        <w:t>一览</w:t>
      </w:r>
      <w:r>
        <w:rPr>
          <w:rFonts w:hint="eastAsia" w:ascii="宋体" w:hAnsi="宋体" w:eastAsia="宋体" w:cs="宋体"/>
          <w:color w:val="auto"/>
          <w:sz w:val="24"/>
          <w:szCs w:val="24"/>
        </w:rPr>
        <w:t>表）内容与</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中相应内容不一致的，以开标一览表（报价</w:t>
      </w:r>
      <w:r>
        <w:rPr>
          <w:rFonts w:hint="eastAsia" w:ascii="宋体" w:hAnsi="宋体" w:eastAsia="宋体" w:cs="宋体"/>
          <w:color w:val="auto"/>
          <w:sz w:val="24"/>
          <w:szCs w:val="24"/>
          <w:lang w:val="en-US" w:eastAsia="zh-CN"/>
        </w:rPr>
        <w:t>一览</w:t>
      </w:r>
      <w:r>
        <w:rPr>
          <w:rFonts w:hint="eastAsia" w:ascii="宋体" w:hAnsi="宋体" w:eastAsia="宋体" w:cs="宋体"/>
          <w:color w:val="auto"/>
          <w:sz w:val="24"/>
          <w:szCs w:val="24"/>
        </w:rPr>
        <w:t>表）为准；</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22.4.2</w:t>
      </w:r>
      <w:r>
        <w:rPr>
          <w:rFonts w:hint="eastAsia" w:ascii="宋体" w:hAnsi="宋体" w:eastAsia="宋体" w:cs="宋体"/>
          <w:color w:val="auto"/>
          <w:sz w:val="24"/>
          <w:szCs w:val="24"/>
        </w:rPr>
        <w:t>大写金额和小写金额不一致的，以大写金额为准；</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22.4.3</w:t>
      </w:r>
      <w:r>
        <w:rPr>
          <w:rFonts w:hint="eastAsia" w:ascii="宋体" w:hAnsi="宋体" w:eastAsia="宋体" w:cs="宋体"/>
          <w:color w:val="auto"/>
          <w:sz w:val="24"/>
          <w:szCs w:val="24"/>
        </w:rPr>
        <w:t>单价金额小数点或者百分比有明显错位的，以开标一览表（报价</w:t>
      </w:r>
      <w:r>
        <w:rPr>
          <w:rFonts w:hint="eastAsia" w:ascii="宋体" w:hAnsi="宋体" w:eastAsia="宋体" w:cs="宋体"/>
          <w:color w:val="auto"/>
          <w:sz w:val="24"/>
          <w:szCs w:val="24"/>
          <w:lang w:val="en-US" w:eastAsia="zh-CN"/>
        </w:rPr>
        <w:t>一览</w:t>
      </w:r>
      <w:r>
        <w:rPr>
          <w:rFonts w:hint="eastAsia" w:ascii="宋体" w:hAnsi="宋体" w:eastAsia="宋体" w:cs="宋体"/>
          <w:color w:val="auto"/>
          <w:sz w:val="24"/>
          <w:szCs w:val="24"/>
        </w:rPr>
        <w:t>表）的总价为准，并修改单价；</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22.4.4</w:t>
      </w:r>
      <w:r>
        <w:rPr>
          <w:rFonts w:hint="eastAsia" w:ascii="宋体" w:hAnsi="宋体" w:eastAsia="宋体" w:cs="宋体"/>
          <w:color w:val="auto"/>
          <w:sz w:val="24"/>
          <w:szCs w:val="24"/>
        </w:rPr>
        <w:t>总价金额与按单价汇总金额不一致的，以单价金额计算结果为准。</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22.4.5</w:t>
      </w:r>
      <w:r>
        <w:rPr>
          <w:rFonts w:hint="eastAsia" w:ascii="宋体" w:hAnsi="宋体" w:eastAsia="宋体" w:cs="宋体"/>
          <w:color w:val="auto"/>
          <w:sz w:val="24"/>
          <w:szCs w:val="24"/>
        </w:rPr>
        <w:t>对不同文字文本</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的解释发生异议的，以中文文本为准。</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22.5 对未按照本</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要求进行投标及资格审查不合格的供应商，其</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将按无效投标处理。</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22.6 供应商之间不得相互串通投标报价，不得妨碍其他供应商的公平竞争，不得损害采购人或者其他供应商的合法权益。</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22.7 供应商不得向采购人、</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成员行贿或者采取其他不正当手段谋取中标。</w:t>
      </w:r>
    </w:p>
    <w:p>
      <w:pPr>
        <w:pStyle w:val="4"/>
        <w:numPr>
          <w:ilvl w:val="0"/>
          <w:numId w:val="0"/>
        </w:numPr>
        <w:bidi w:val="0"/>
        <w:ind w:leftChars="0"/>
        <w:jc w:val="center"/>
        <w:rPr>
          <w:rFonts w:hint="eastAsia" w:ascii="宋体" w:hAnsi="宋体" w:eastAsia="宋体" w:cs="宋体"/>
        </w:rPr>
      </w:pPr>
      <w:bookmarkStart w:id="92" w:name="_Toc16901"/>
      <w:bookmarkStart w:id="93" w:name="_Toc10859"/>
      <w:bookmarkStart w:id="94" w:name="_Toc17564"/>
      <w:bookmarkStart w:id="95" w:name="_Toc24841"/>
      <w:bookmarkStart w:id="96" w:name="_Toc29037"/>
      <w:bookmarkStart w:id="97" w:name="_Toc27665"/>
      <w:bookmarkStart w:id="98" w:name="_Toc4557"/>
      <w:bookmarkStart w:id="99" w:name="_Toc6415"/>
      <w:bookmarkStart w:id="100" w:name="_Toc16195"/>
      <w:bookmarkStart w:id="101" w:name="_Toc28173"/>
      <w:bookmarkStart w:id="102" w:name="_Toc12203"/>
      <w:bookmarkStart w:id="103" w:name="_Toc32611"/>
      <w:r>
        <w:rPr>
          <w:rFonts w:hint="eastAsia" w:ascii="宋体" w:hAnsi="宋体" w:eastAsia="宋体" w:cs="宋体"/>
        </w:rPr>
        <w:t>六、 评标、定标</w:t>
      </w:r>
      <w:bookmarkEnd w:id="92"/>
      <w:bookmarkEnd w:id="93"/>
      <w:bookmarkEnd w:id="94"/>
      <w:bookmarkEnd w:id="95"/>
      <w:bookmarkEnd w:id="96"/>
      <w:bookmarkEnd w:id="97"/>
      <w:bookmarkEnd w:id="98"/>
      <w:bookmarkEnd w:id="99"/>
      <w:bookmarkEnd w:id="100"/>
      <w:bookmarkEnd w:id="101"/>
      <w:bookmarkEnd w:id="102"/>
      <w:bookmarkEnd w:id="103"/>
    </w:p>
    <w:p>
      <w:pPr>
        <w:bidi w:val="0"/>
        <w:spacing w:line="360" w:lineRule="auto"/>
        <w:rPr>
          <w:rFonts w:hint="eastAsia" w:ascii="宋体" w:hAnsi="宋体" w:eastAsia="宋体" w:cs="宋体"/>
          <w:b/>
          <w:bCs/>
          <w:color w:val="auto"/>
          <w:sz w:val="28"/>
          <w:szCs w:val="28"/>
        </w:rPr>
      </w:pPr>
      <w:bookmarkStart w:id="104" w:name="OLE_LINK1"/>
      <w:r>
        <w:rPr>
          <w:rFonts w:hint="eastAsia" w:ascii="宋体" w:hAnsi="宋体" w:eastAsia="宋体" w:cs="宋体"/>
          <w:b/>
          <w:bCs/>
          <w:color w:val="auto"/>
          <w:sz w:val="28"/>
          <w:szCs w:val="28"/>
        </w:rPr>
        <w:t>23  评标</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23.1</w:t>
      </w:r>
      <w:r>
        <w:rPr>
          <w:rFonts w:hint="eastAsia" w:ascii="宋体" w:hAnsi="宋体" w:eastAsia="宋体" w:cs="宋体"/>
          <w:color w:val="auto"/>
          <w:sz w:val="24"/>
          <w:szCs w:val="24"/>
          <w:lang w:eastAsia="zh-CN"/>
        </w:rPr>
        <w:t>磋商小组</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23.1.1 磋商小组由采购人代表和评审专家组成，成员人数应当为</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eastAsia="zh-CN"/>
        </w:rPr>
        <w:t>人以上单数，其中评审专家不得少于成员总数的三分之二。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23.1.2 </w:t>
      </w:r>
      <w:r>
        <w:rPr>
          <w:rFonts w:hint="eastAsia" w:ascii="宋体" w:hAnsi="宋体" w:eastAsia="宋体" w:cs="宋体"/>
          <w:color w:val="auto"/>
          <w:sz w:val="24"/>
          <w:szCs w:val="24"/>
          <w:lang w:eastAsia="zh-CN"/>
        </w:rPr>
        <w:t>评审专家对本单位的采购项目只能作为采购人代表参与评标。</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23.1.</w:t>
      </w:r>
      <w:r>
        <w:rPr>
          <w:rFonts w:hint="eastAsia" w:ascii="宋体" w:hAnsi="宋体" w:eastAsia="宋体" w:cs="宋体"/>
          <w:color w:val="auto"/>
          <w:sz w:val="24"/>
          <w:szCs w:val="24"/>
          <w:lang w:val="en-US" w:eastAsia="zh-CN"/>
        </w:rPr>
        <w:t xml:space="preserve">3 </w:t>
      </w:r>
      <w:r>
        <w:rPr>
          <w:rFonts w:hint="eastAsia" w:ascii="宋体" w:hAnsi="宋体" w:eastAsia="宋体" w:cs="宋体"/>
          <w:color w:val="auto"/>
          <w:sz w:val="24"/>
          <w:szCs w:val="24"/>
        </w:rPr>
        <w:t>采购人就</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征询过意见的专家，不得再作为评</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rPr>
        <w:t>专家参加评标。采购代理机构工作人员不得参加由本机构代理的政府采购项目的评标。</w:t>
      </w:r>
    </w:p>
    <w:p>
      <w:pPr>
        <w:bidi w:val="0"/>
        <w:spacing w:line="360" w:lineRule="auto"/>
        <w:ind w:firstLine="564"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23.1.</w:t>
      </w:r>
      <w:r>
        <w:rPr>
          <w:rFonts w:hint="eastAsia" w:ascii="宋体" w:hAnsi="宋体" w:eastAsia="宋体" w:cs="宋体"/>
          <w:b/>
          <w:bCs/>
          <w:color w:val="auto"/>
          <w:sz w:val="28"/>
          <w:szCs w:val="28"/>
          <w:lang w:val="en-US" w:eastAsia="zh-CN"/>
        </w:rPr>
        <w:t>4</w:t>
      </w:r>
      <w:r>
        <w:rPr>
          <w:rFonts w:hint="eastAsia" w:ascii="宋体" w:hAnsi="宋体" w:eastAsia="宋体" w:cs="宋体"/>
          <w:b/>
          <w:bCs/>
          <w:color w:val="auto"/>
          <w:sz w:val="28"/>
          <w:szCs w:val="28"/>
        </w:rPr>
        <w:t xml:space="preserve"> 采购人委托代表参加</w:t>
      </w:r>
      <w:r>
        <w:rPr>
          <w:rFonts w:hint="eastAsia" w:ascii="宋体" w:hAnsi="宋体" w:eastAsia="宋体" w:cs="宋体"/>
          <w:b/>
          <w:bCs/>
          <w:color w:val="auto"/>
          <w:sz w:val="28"/>
          <w:szCs w:val="28"/>
          <w:lang w:val="en-US" w:eastAsia="zh-CN"/>
        </w:rPr>
        <w:t>评审的</w:t>
      </w:r>
      <w:r>
        <w:rPr>
          <w:rFonts w:hint="eastAsia" w:ascii="宋体" w:hAnsi="宋体" w:eastAsia="宋体" w:cs="宋体"/>
          <w:b/>
          <w:bCs/>
          <w:color w:val="auto"/>
          <w:sz w:val="28"/>
          <w:szCs w:val="28"/>
        </w:rPr>
        <w:t>，向采购代理机构出具授权</w:t>
      </w:r>
      <w:r>
        <w:rPr>
          <w:rFonts w:hint="eastAsia" w:ascii="宋体" w:hAnsi="宋体" w:eastAsia="宋体" w:cs="宋体"/>
          <w:b/>
          <w:bCs/>
          <w:color w:val="auto"/>
          <w:sz w:val="28"/>
          <w:szCs w:val="28"/>
          <w:lang w:val="en-US" w:eastAsia="zh-CN"/>
        </w:rPr>
        <w:t>函</w:t>
      </w:r>
      <w:r>
        <w:rPr>
          <w:rFonts w:hint="eastAsia" w:ascii="宋体" w:hAnsi="宋体" w:eastAsia="宋体" w:cs="宋体"/>
          <w:b/>
          <w:bCs/>
          <w:color w:val="auto"/>
          <w:sz w:val="28"/>
          <w:szCs w:val="28"/>
        </w:rPr>
        <w:t>，采购人代表不得担任</w:t>
      </w:r>
      <w:r>
        <w:rPr>
          <w:rFonts w:hint="eastAsia" w:ascii="宋体" w:hAnsi="宋体" w:eastAsia="宋体" w:cs="宋体"/>
          <w:b/>
          <w:bCs/>
          <w:color w:val="auto"/>
          <w:sz w:val="28"/>
          <w:szCs w:val="28"/>
          <w:lang w:eastAsia="zh-CN"/>
        </w:rPr>
        <w:t>磋商小组</w:t>
      </w:r>
      <w:r>
        <w:rPr>
          <w:rFonts w:hint="eastAsia" w:ascii="宋体" w:hAnsi="宋体" w:eastAsia="宋体" w:cs="宋体"/>
          <w:b/>
          <w:bCs/>
          <w:color w:val="auto"/>
          <w:sz w:val="28"/>
          <w:szCs w:val="28"/>
          <w:lang w:val="en-US" w:eastAsia="zh-CN"/>
        </w:rPr>
        <w:t>组长</w:t>
      </w:r>
      <w:r>
        <w:rPr>
          <w:rFonts w:hint="eastAsia" w:ascii="宋体" w:hAnsi="宋体" w:eastAsia="宋体" w:cs="宋体"/>
          <w:b/>
          <w:bCs/>
          <w:color w:val="auto"/>
          <w:sz w:val="28"/>
          <w:szCs w:val="28"/>
        </w:rPr>
        <w:t>。</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23.1.5 评审专家</w:t>
      </w:r>
      <w:r>
        <w:rPr>
          <w:rFonts w:hint="eastAsia" w:ascii="宋体" w:hAnsi="宋体" w:eastAsia="宋体" w:cs="宋体"/>
          <w:color w:val="auto"/>
          <w:sz w:val="24"/>
          <w:szCs w:val="24"/>
        </w:rPr>
        <w:t>由</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代理在政采云评审专家库中，通过随机方式抽取</w:t>
      </w:r>
      <w:r>
        <w:rPr>
          <w:rFonts w:hint="eastAsia" w:ascii="宋体" w:hAnsi="宋体" w:eastAsia="宋体" w:cs="宋体"/>
          <w:color w:val="auto"/>
          <w:sz w:val="24"/>
          <w:szCs w:val="24"/>
          <w:lang w:eastAsia="zh-CN"/>
        </w:rPr>
        <w:t>，磋商小组成员名单在评标结果公告前应当保密。</w:t>
      </w:r>
      <w:r>
        <w:rPr>
          <w:rFonts w:hint="eastAsia" w:ascii="宋体" w:hAnsi="宋体" w:eastAsia="宋体" w:cs="宋体"/>
          <w:color w:val="auto"/>
          <w:sz w:val="24"/>
          <w:szCs w:val="24"/>
        </w:rPr>
        <w:t xml:space="preserve"> </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磋商小组</w:t>
      </w:r>
      <w:r>
        <w:rPr>
          <w:rFonts w:hint="eastAsia" w:ascii="宋体" w:hAnsi="宋体" w:eastAsia="宋体" w:cs="宋体"/>
          <w:color w:val="auto"/>
          <w:sz w:val="24"/>
          <w:szCs w:val="24"/>
        </w:rPr>
        <w:t>成员应认真执行相关法规规定，同时维护采购人与供应商的合法权益。</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23.1.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 xml:space="preserve"> 评标的依据为</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文件和</w:t>
      </w:r>
      <w:r>
        <w:rPr>
          <w:rFonts w:hint="eastAsia" w:ascii="宋体" w:hAnsi="宋体" w:eastAsia="宋体" w:cs="宋体"/>
          <w:color w:val="auto"/>
          <w:sz w:val="24"/>
          <w:szCs w:val="24"/>
          <w:lang w:eastAsia="zh-CN"/>
        </w:rPr>
        <w:t>响应文件。</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23.1.6 评标中</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成员若发生意见分歧，通过书面表决形式，以少数服从多数为原则决定。</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23.2 评标纪律</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23.2.1 </w:t>
      </w:r>
      <w:r>
        <w:rPr>
          <w:rFonts w:hint="eastAsia" w:ascii="宋体" w:hAnsi="宋体" w:eastAsia="宋体" w:cs="宋体"/>
          <w:color w:val="auto"/>
          <w:sz w:val="24"/>
          <w:szCs w:val="24"/>
        </w:rPr>
        <w:t>要严格遵守评审时间，主动出具身份证明，遵守评审工作纪律和评审回避的相关规定。</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23.2.2 </w:t>
      </w:r>
      <w:r>
        <w:rPr>
          <w:rFonts w:hint="eastAsia" w:ascii="宋体" w:hAnsi="宋体" w:eastAsia="宋体" w:cs="宋体"/>
          <w:color w:val="auto"/>
          <w:sz w:val="24"/>
          <w:szCs w:val="24"/>
        </w:rPr>
        <w:t>在评审工作开始前，将手机等通讯工具或相关电子设备交由采购人或采购代理机构统一保管，拒不上交的，采购人或采购代理机构可以拒绝其参加评审工作并向财政部门报告。</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23.2.3 </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成员和评审工作有关人员不得干预或者影响正常评审工作，不得明示或者暗示其倾向性、引导性意见，不得修改或细化采购文件确定的评审程序、评审方法、评审因素和评审标准，不得接受供应商主动提出的澄清和解释，不得征询采购人代表的倾向性意见，不得协商评分，不得记录、复制或带走任何评审资料。</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23.2.4 </w:t>
      </w:r>
      <w:r>
        <w:rPr>
          <w:rFonts w:hint="eastAsia" w:ascii="宋体" w:hAnsi="宋体" w:eastAsia="宋体" w:cs="宋体"/>
          <w:color w:val="auto"/>
          <w:sz w:val="24"/>
          <w:szCs w:val="24"/>
        </w:rPr>
        <w:t>评审结果汇总完成后，采购人、采购代理机构和</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均不得修改评审结果或者要求重新评审，但资格性检查认定错误、分值汇总计算错误、分项评分超出评分标准范围、客观分评分不一致、经</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一致认定评分畸高、畸低的情形除外。出现上述除外情形的，</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应当现场修改评审结果，并在评审报告中明确记载。</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23.3 </w:t>
      </w:r>
      <w:r>
        <w:rPr>
          <w:rFonts w:hint="eastAsia" w:ascii="宋体" w:hAnsi="宋体" w:eastAsia="宋体" w:cs="宋体"/>
          <w:color w:val="auto"/>
          <w:sz w:val="24"/>
          <w:szCs w:val="24"/>
          <w:lang w:val="en-US" w:eastAsia="zh-CN"/>
        </w:rPr>
        <w:t>磋商小组负责具体评标事务，并独立履行下列职责：</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23.3.1 审查、评价响应文件是否符合竞争性磋商文件的商务、技术等实质性要求；</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23.3.2 要求供应商对响应文件有关事项作出澄清或者说明；</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23.3.3 对响应文件进行比较和评价；</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23.3.4 确定中标候选人名单，以及根据采购人委托直接确定中标人；</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23.3.5 向采购人、采购代理机构或者有关部门报告评标中发现的违法行为。</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23.4 磋商小组成员应当履行下列义务： </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23.4.1 遵纪守法，客观、公正、廉洁地履行职责；</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23.4.2 按照竞争性磋商文件规定的评标方法和评标标准进行评标，对评审意见承担个人责任；</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23.4.3 对评标过程和结果，以及供应商的商业秘密保密；</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23.4.4 参与评标报告的起草；</w:t>
      </w:r>
    </w:p>
    <w:p>
      <w:pPr>
        <w:bidi w:val="0"/>
        <w:spacing w:line="360" w:lineRule="auto"/>
        <w:ind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23.4.5 配合财政部门的投诉处理工作；</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23.4.6 配合采购人答复投标供应商提出的质疑。</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24  评标原则</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24.1 评审专家应当严格遵守评审工作纪律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按照客观、公正、审慎的原则，根据磋商文件规定的评审程序、评审方法和评审标准进行独立评审。未实质性响应磋商文件的响应文件按无效响应处理，评审专家应当告知提交响应文件的供应商。磋商文件内容违反国家有关强制性规定的，磋商小组应当停止评审并向采购人或者采购代理机构说明情况。</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24.2 评审专家应当在评审报告上签字,对自己的评审意见承担法律责任。对需要共同认定的事项存在争议的,按照少数服从多数的原则做出结论。对评审报告有异议的,应当在评审报告上签署不同意见并说明理由,否则视为同意评审报告。</w:t>
      </w:r>
    </w:p>
    <w:p>
      <w:pPr>
        <w:pStyle w:val="23"/>
        <w:spacing w:line="360" w:lineRule="auto"/>
        <w:jc w:val="both"/>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25 详细评审 </w:t>
      </w:r>
    </w:p>
    <w:p>
      <w:pPr>
        <w:tabs>
          <w:tab w:val="left" w:pos="567"/>
        </w:tabs>
        <w:snapToGrid w:val="0"/>
        <w:spacing w:line="360" w:lineRule="auto"/>
        <w:ind w:firstLine="564"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25.1 首次报价</w:t>
      </w:r>
    </w:p>
    <w:p>
      <w:pPr>
        <w:tabs>
          <w:tab w:val="left" w:pos="567"/>
        </w:tabs>
        <w:snapToGrid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供应商的首次报价于提交首次响应文件截止时间开启，本环节由采购代理机构主持，采购人和有关方面代表参加。</w:t>
      </w:r>
    </w:p>
    <w:p>
      <w:pPr>
        <w:tabs>
          <w:tab w:val="left" w:pos="567"/>
        </w:tabs>
        <w:snapToGrid w:val="0"/>
        <w:spacing w:line="360" w:lineRule="auto"/>
        <w:ind w:firstLine="484"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25.</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 xml:space="preserve"> 评审方法：综合评分法。</w:t>
      </w:r>
    </w:p>
    <w:p>
      <w:pPr>
        <w:tabs>
          <w:tab w:val="left" w:pos="567"/>
        </w:tabs>
        <w:snapToGrid w:val="0"/>
        <w:spacing w:line="360" w:lineRule="auto"/>
        <w:ind w:firstLine="484" w:firstLineChars="200"/>
        <w:rPr>
          <w:rFonts w:hint="eastAsia" w:ascii="宋体" w:hAnsi="宋体" w:eastAsia="宋体" w:cs="宋体"/>
          <w:color w:val="auto"/>
          <w:sz w:val="24"/>
          <w:szCs w:val="24"/>
          <w:lang w:eastAsia="zh-TW"/>
        </w:rPr>
      </w:pPr>
      <w:r>
        <w:rPr>
          <w:rFonts w:hint="eastAsia" w:ascii="宋体" w:hAnsi="宋体" w:eastAsia="宋体" w:cs="宋体"/>
          <w:b/>
          <w:color w:val="auto"/>
          <w:sz w:val="24"/>
          <w:szCs w:val="24"/>
        </w:rPr>
        <w:t>25.</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 xml:space="preserve"> 评审程序</w:t>
      </w:r>
    </w:p>
    <w:p>
      <w:pPr>
        <w:tabs>
          <w:tab w:val="left" w:pos="567"/>
        </w:tabs>
        <w:snapToGrid w:val="0"/>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25.</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.1 磋商小组确认磋商文件</w:t>
      </w:r>
    </w:p>
    <w:p>
      <w:pPr>
        <w:tabs>
          <w:tab w:val="left" w:pos="567"/>
        </w:tabs>
        <w:snapToGrid w:val="0"/>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 xml:space="preserve">25.3.2 </w:t>
      </w:r>
      <w:r>
        <w:rPr>
          <w:rFonts w:hint="eastAsia" w:ascii="宋体" w:hAnsi="宋体" w:eastAsia="宋体" w:cs="宋体"/>
          <w:bCs/>
          <w:color w:val="auto"/>
          <w:sz w:val="24"/>
          <w:szCs w:val="24"/>
        </w:rPr>
        <w:t>资格性</w:t>
      </w:r>
      <w:r>
        <w:rPr>
          <w:rFonts w:hint="eastAsia" w:ascii="宋体" w:hAnsi="宋体" w:eastAsia="宋体" w:cs="宋体"/>
          <w:bCs/>
          <w:color w:val="auto"/>
          <w:sz w:val="24"/>
          <w:szCs w:val="24"/>
          <w:lang w:eastAsia="zh-CN"/>
        </w:rPr>
        <w:t>和符合性</w:t>
      </w:r>
      <w:r>
        <w:rPr>
          <w:rFonts w:hint="eastAsia" w:ascii="宋体" w:hAnsi="宋体" w:eastAsia="宋体" w:cs="宋体"/>
          <w:bCs/>
          <w:color w:val="auto"/>
          <w:sz w:val="24"/>
          <w:szCs w:val="24"/>
        </w:rPr>
        <w:t>审查</w:t>
      </w:r>
    </w:p>
    <w:p>
      <w:pPr>
        <w:snapToGrid w:val="0"/>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磋商小组对每个供应商的响应文件进行资格</w:t>
      </w:r>
      <w:r>
        <w:rPr>
          <w:rFonts w:hint="eastAsia" w:ascii="宋体" w:hAnsi="宋体" w:eastAsia="宋体" w:cs="宋体"/>
          <w:bCs/>
          <w:color w:val="auto"/>
          <w:sz w:val="24"/>
          <w:szCs w:val="24"/>
          <w:lang w:eastAsia="zh-CN"/>
        </w:rPr>
        <w:t>和</w:t>
      </w:r>
      <w:r>
        <w:rPr>
          <w:rFonts w:hint="eastAsia" w:ascii="宋体" w:hAnsi="宋体" w:eastAsia="宋体" w:cs="宋体"/>
          <w:bCs/>
          <w:color w:val="auto"/>
          <w:sz w:val="24"/>
          <w:szCs w:val="24"/>
        </w:rPr>
        <w:t>符合性审查。资格</w:t>
      </w:r>
      <w:r>
        <w:rPr>
          <w:rFonts w:hint="eastAsia" w:ascii="宋体" w:hAnsi="宋体" w:eastAsia="宋体" w:cs="宋体"/>
          <w:bCs/>
          <w:color w:val="auto"/>
          <w:sz w:val="24"/>
          <w:szCs w:val="24"/>
          <w:lang w:eastAsia="zh-CN"/>
        </w:rPr>
        <w:t>性审查</w:t>
      </w:r>
      <w:r>
        <w:rPr>
          <w:rFonts w:hint="eastAsia" w:ascii="宋体" w:hAnsi="宋体" w:eastAsia="宋体" w:cs="宋体"/>
          <w:bCs/>
          <w:color w:val="auto"/>
          <w:sz w:val="24"/>
          <w:szCs w:val="24"/>
        </w:rPr>
        <w:t>、符合性审查是审查响应文件是否对磋商文件的资格及实质性条款作出响应。对资格</w:t>
      </w:r>
      <w:r>
        <w:rPr>
          <w:rFonts w:hint="eastAsia" w:ascii="宋体" w:hAnsi="宋体" w:eastAsia="宋体" w:cs="宋体"/>
          <w:bCs/>
          <w:color w:val="auto"/>
          <w:sz w:val="24"/>
          <w:szCs w:val="24"/>
          <w:lang w:eastAsia="zh-CN"/>
        </w:rPr>
        <w:t>和</w:t>
      </w:r>
      <w:r>
        <w:rPr>
          <w:rFonts w:hint="eastAsia" w:ascii="宋体" w:hAnsi="宋体" w:eastAsia="宋体" w:cs="宋体"/>
          <w:bCs/>
          <w:color w:val="auto"/>
          <w:sz w:val="24"/>
          <w:szCs w:val="24"/>
        </w:rPr>
        <w:t>符合性审查不通过的供应商，其响应文件作无效处理。</w:t>
      </w:r>
    </w:p>
    <w:p>
      <w:pPr>
        <w:tabs>
          <w:tab w:val="left" w:pos="567"/>
        </w:tabs>
        <w:snapToGrid w:val="0"/>
        <w:spacing w:line="360" w:lineRule="auto"/>
        <w:ind w:firstLine="484" w:firstLineChars="20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25.</w:t>
      </w:r>
      <w:r>
        <w:rPr>
          <w:rFonts w:hint="eastAsia" w:ascii="宋体" w:hAnsi="宋体" w:eastAsia="宋体" w:cs="宋体"/>
          <w:b/>
          <w:bCs w:val="0"/>
          <w:color w:val="auto"/>
          <w:sz w:val="24"/>
          <w:szCs w:val="24"/>
          <w:lang w:val="en-US" w:eastAsia="zh-CN"/>
        </w:rPr>
        <w:t>4</w:t>
      </w:r>
      <w:r>
        <w:rPr>
          <w:rFonts w:hint="eastAsia" w:ascii="宋体" w:hAnsi="宋体" w:eastAsia="宋体" w:cs="宋体"/>
          <w:b/>
          <w:bCs w:val="0"/>
          <w:color w:val="auto"/>
          <w:sz w:val="24"/>
          <w:szCs w:val="24"/>
        </w:rPr>
        <w:t xml:space="preserve"> 磋商</w:t>
      </w:r>
    </w:p>
    <w:p>
      <w:pPr>
        <w:snapToGrid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25.4.1 </w:t>
      </w:r>
      <w:r>
        <w:rPr>
          <w:rFonts w:hint="eastAsia" w:ascii="宋体" w:hAnsi="宋体" w:eastAsia="宋体" w:cs="宋体"/>
          <w:color w:val="auto"/>
          <w:sz w:val="24"/>
          <w:szCs w:val="24"/>
        </w:rPr>
        <w:t>磋商小组与每个供应商分别进行磋商，本次磋商采用</w:t>
      </w:r>
      <w:r>
        <w:rPr>
          <w:rFonts w:hint="eastAsia" w:ascii="宋体" w:hAnsi="宋体" w:eastAsia="宋体" w:cs="宋体"/>
          <w:color w:val="auto"/>
          <w:sz w:val="24"/>
          <w:szCs w:val="24"/>
          <w:lang w:eastAsia="zh-CN"/>
        </w:rPr>
        <w:t>多</w:t>
      </w:r>
      <w:r>
        <w:rPr>
          <w:rFonts w:hint="eastAsia" w:ascii="宋体" w:hAnsi="宋体" w:eastAsia="宋体" w:cs="宋体"/>
          <w:color w:val="auto"/>
          <w:sz w:val="24"/>
          <w:szCs w:val="24"/>
        </w:rPr>
        <w:t>轮磋商，</w:t>
      </w:r>
      <w:r>
        <w:rPr>
          <w:rFonts w:hint="eastAsia" w:ascii="宋体" w:hAnsi="宋体" w:eastAsia="宋体" w:cs="宋体"/>
          <w:color w:val="auto"/>
          <w:sz w:val="24"/>
          <w:szCs w:val="24"/>
          <w:lang w:eastAsia="zh-CN"/>
        </w:rPr>
        <w:t>多次</w:t>
      </w:r>
      <w:r>
        <w:rPr>
          <w:rFonts w:hint="eastAsia" w:ascii="宋体" w:hAnsi="宋体" w:eastAsia="宋体" w:cs="宋体"/>
          <w:color w:val="auto"/>
          <w:sz w:val="24"/>
          <w:szCs w:val="24"/>
        </w:rPr>
        <w:t>报价形式进行。</w:t>
      </w:r>
    </w:p>
    <w:p>
      <w:pPr>
        <w:snapToGrid w:val="0"/>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25.</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 xml:space="preserve"> 磋商文件未发生实质性变动的：</w:t>
      </w:r>
    </w:p>
    <w:p>
      <w:pPr>
        <w:snapToGrid w:val="0"/>
        <w:spacing w:line="360" w:lineRule="auto"/>
        <w:ind w:firstLine="484" w:firstLineChars="20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磋商小组没有对磋商文件作实质性变动增加新的需求，后一轮报价不得高于前一轮报价，否则将按响应无效处理。</w:t>
      </w:r>
    </w:p>
    <w:p>
      <w:pPr>
        <w:snapToGrid w:val="0"/>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25.</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 xml:space="preserve">3 </w:t>
      </w:r>
      <w:r>
        <w:rPr>
          <w:rFonts w:hint="eastAsia" w:ascii="宋体" w:hAnsi="宋体" w:eastAsia="宋体" w:cs="宋体"/>
          <w:bCs/>
          <w:color w:val="auto"/>
          <w:sz w:val="24"/>
          <w:szCs w:val="24"/>
        </w:rPr>
        <w:t>磋商文件发生实质性变动的：</w:t>
      </w:r>
    </w:p>
    <w:p>
      <w:pPr>
        <w:snapToGrid w:val="0"/>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（1）书面通知变更内容</w:t>
      </w:r>
    </w:p>
    <w:p>
      <w:pPr>
        <w:snapToGrid w:val="0"/>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在磋商过程中，磋商小组可以根据磋商文件和磋商情况实质性变动采购需求中的技术、服务要求以及合同草案条款，但不得变动磋商文件中的其他内容。实质性变动的内容，须经采购人代表确认。实质性变动的内容，经采购人代表确认后，由磋商小组在政采云平台在线询标（谈判）--新增询标函方式通知所有供应商。对磋商文件作出的实质性变动是磋商文件的有效组成部分。</w:t>
      </w:r>
    </w:p>
    <w:p>
      <w:pPr>
        <w:snapToGrid w:val="0"/>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（2）磋商</w:t>
      </w:r>
    </w:p>
    <w:p>
      <w:pPr>
        <w:snapToGrid w:val="0"/>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磋商小组集中与接受磋商文件变更的每个供应商分别进行询标。磋商的内容主要是对响应文件的澄清、修正、补充、确认等。不接受磋商文件变更的供应商，视为自动退出磋商，其响应文件作无效处理。</w:t>
      </w:r>
    </w:p>
    <w:p>
      <w:pPr>
        <w:snapToGrid w:val="0"/>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（3）重新提交响应文件（含报价）</w:t>
      </w:r>
    </w:p>
    <w:p>
      <w:pPr>
        <w:snapToGrid w:val="0"/>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供应商应当按照磋商文件的变动情况和磋商小组的要求重新提交响应文件（指磋商结束后，在规定时间内填写《询标函》，在该文件上注明最后报价及有关承诺，并提交）。最终报价时间视磋商进程由磋商小组决定。《询标函》是响应文件的有效组成部分，须由供应商签章。</w:t>
      </w:r>
    </w:p>
    <w:p>
      <w:pPr>
        <w:snapToGrid w:val="0"/>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若供应商未按《询标函》的要求对相关问题进行响应的，视为非实质性响应磋商文件。</w:t>
      </w:r>
    </w:p>
    <w:p>
      <w:pPr>
        <w:snapToGrid w:val="0"/>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除非在磋商中磋商小组调整或修改采购需求内容，否则采购人不接受高于前面轮次磋商报价的最终报价。</w:t>
      </w:r>
    </w:p>
    <w:p>
      <w:pPr>
        <w:snapToGrid w:val="0"/>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25.</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 xml:space="preserve"> 综合评分法评审步骤</w:t>
      </w:r>
    </w:p>
    <w:p>
      <w:pPr>
        <w:snapToGrid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经磋商确定最终采购需求和提交最后</w:t>
      </w:r>
      <w:r>
        <w:rPr>
          <w:rFonts w:hint="eastAsia" w:ascii="宋体" w:hAnsi="宋体" w:eastAsia="宋体" w:cs="宋体"/>
          <w:color w:val="auto"/>
          <w:sz w:val="24"/>
          <w:szCs w:val="24"/>
        </w:rPr>
        <w:t>报价的供应商后，由磋商小组采用综合评分法对提交最后报价的供应商的响应文件和最后报价进行综合评分。</w:t>
      </w:r>
      <w:r>
        <w:rPr>
          <w:rFonts w:hint="eastAsia" w:ascii="宋体" w:hAnsi="宋体" w:eastAsia="宋体" w:cs="宋体"/>
          <w:b/>
          <w:color w:val="auto"/>
          <w:sz w:val="24"/>
          <w:szCs w:val="24"/>
        </w:rPr>
        <w:t>先进行资格性审查</w:t>
      </w:r>
      <w:r>
        <w:rPr>
          <w:rFonts w:hint="eastAsia" w:ascii="宋体" w:hAnsi="宋体" w:eastAsia="宋体" w:cs="宋体"/>
          <w:b/>
          <w:color w:val="auto"/>
          <w:sz w:val="24"/>
          <w:szCs w:val="24"/>
          <w:lang w:eastAsia="zh-CN"/>
        </w:rPr>
        <w:t>和</w:t>
      </w:r>
      <w:r>
        <w:rPr>
          <w:rFonts w:hint="eastAsia" w:ascii="宋体" w:hAnsi="宋体" w:eastAsia="宋体" w:cs="宋体"/>
          <w:b/>
          <w:color w:val="auto"/>
          <w:sz w:val="24"/>
          <w:szCs w:val="24"/>
        </w:rPr>
        <w:t>符合性审查，再进行技术、商务及价格的详细评审。</w:t>
      </w:r>
      <w:r>
        <w:rPr>
          <w:rFonts w:hint="eastAsia" w:ascii="宋体" w:hAnsi="宋体" w:eastAsia="宋体" w:cs="宋体"/>
          <w:color w:val="auto"/>
          <w:sz w:val="24"/>
          <w:szCs w:val="24"/>
        </w:rPr>
        <w:t>只有通过资格、符合性审查的供应商才能进入下一步的详细评审。</w:t>
      </w:r>
    </w:p>
    <w:p>
      <w:pPr>
        <w:numPr>
          <w:ilvl w:val="1"/>
          <w:numId w:val="3"/>
        </w:numPr>
        <w:spacing w:line="360" w:lineRule="auto"/>
        <w:ind w:left="748" w:hanging="28"/>
        <w:rPr>
          <w:rFonts w:hint="eastAsia" w:ascii="宋体" w:hAnsi="宋体" w:eastAsia="宋体" w:cs="宋体"/>
          <w:color w:val="auto"/>
          <w:sz w:val="24"/>
          <w:szCs w:val="24"/>
        </w:rPr>
      </w:pPr>
      <w:r>
        <w:rPr>
          <w:rFonts w:hint="eastAsia" w:ascii="宋体" w:hAnsi="宋体" w:eastAsia="宋体" w:cs="宋体"/>
          <w:color w:val="auto"/>
          <w:sz w:val="24"/>
          <w:szCs w:val="24"/>
        </w:rPr>
        <w:t>资格</w:t>
      </w:r>
      <w:r>
        <w:rPr>
          <w:rFonts w:hint="eastAsia" w:ascii="宋体" w:hAnsi="宋体" w:eastAsia="宋体" w:cs="宋体"/>
          <w:color w:val="auto"/>
          <w:sz w:val="24"/>
          <w:szCs w:val="24"/>
          <w:lang w:eastAsia="zh-CN"/>
        </w:rPr>
        <w:t>性</w:t>
      </w:r>
      <w:r>
        <w:rPr>
          <w:rFonts w:hint="eastAsia" w:ascii="宋体" w:hAnsi="宋体" w:eastAsia="宋体" w:cs="宋体"/>
          <w:color w:val="auto"/>
          <w:sz w:val="24"/>
          <w:szCs w:val="24"/>
        </w:rPr>
        <w:t>审查表（详见附表一）</w:t>
      </w:r>
    </w:p>
    <w:p>
      <w:pPr>
        <w:numPr>
          <w:ilvl w:val="1"/>
          <w:numId w:val="3"/>
        </w:numPr>
        <w:spacing w:line="360" w:lineRule="auto"/>
        <w:ind w:left="748" w:hanging="28"/>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符合性</w:t>
      </w:r>
      <w:r>
        <w:rPr>
          <w:rFonts w:hint="eastAsia" w:ascii="宋体" w:hAnsi="宋体" w:eastAsia="宋体" w:cs="宋体"/>
          <w:color w:val="auto"/>
          <w:sz w:val="24"/>
          <w:szCs w:val="24"/>
        </w:rPr>
        <w:t>审查表（详见附表</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w:t>
      </w:r>
    </w:p>
    <w:p>
      <w:pPr>
        <w:numPr>
          <w:ilvl w:val="1"/>
          <w:numId w:val="3"/>
        </w:numPr>
        <w:spacing w:line="360" w:lineRule="auto"/>
        <w:ind w:left="748" w:hanging="28"/>
        <w:rPr>
          <w:rFonts w:hint="eastAsia" w:ascii="宋体" w:hAnsi="宋体" w:eastAsia="宋体" w:cs="宋体"/>
          <w:color w:val="auto"/>
          <w:sz w:val="24"/>
          <w:szCs w:val="24"/>
        </w:rPr>
      </w:pPr>
      <w:r>
        <w:rPr>
          <w:rFonts w:hint="eastAsia" w:ascii="宋体" w:hAnsi="宋体" w:eastAsia="宋体" w:cs="宋体"/>
          <w:color w:val="auto"/>
          <w:sz w:val="24"/>
          <w:szCs w:val="24"/>
        </w:rPr>
        <w:t>商务、技术评审表（详见附表</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w:t>
      </w:r>
    </w:p>
    <w:p>
      <w:pPr>
        <w:numPr>
          <w:ilvl w:val="1"/>
          <w:numId w:val="3"/>
        </w:numPr>
        <w:spacing w:line="360" w:lineRule="auto"/>
        <w:ind w:left="748" w:hanging="28"/>
        <w:rPr>
          <w:rFonts w:hint="eastAsia" w:ascii="宋体" w:hAnsi="宋体" w:eastAsia="宋体" w:cs="宋体"/>
          <w:color w:val="auto"/>
          <w:sz w:val="24"/>
          <w:szCs w:val="24"/>
        </w:rPr>
      </w:pPr>
      <w:r>
        <w:rPr>
          <w:rFonts w:hint="eastAsia" w:ascii="宋体" w:hAnsi="宋体" w:eastAsia="宋体" w:cs="宋体"/>
          <w:color w:val="auto"/>
          <w:sz w:val="24"/>
          <w:szCs w:val="24"/>
        </w:rPr>
        <w:t>价格评审</w:t>
      </w:r>
    </w:p>
    <w:p>
      <w:pPr>
        <w:snapToGrid w:val="0"/>
        <w:spacing w:line="360" w:lineRule="auto"/>
        <w:ind w:firstLine="484"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磋商小组按磋商文件中规定的评审方法和标准，对资格、符合性审查合格的响应文件进行商务和技术评估，综合比较与评价。技术、商务、价格部分分值分配如下：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2515"/>
        <w:gridCol w:w="185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21" w:type="dxa"/>
            <w:noWrap w:val="0"/>
            <w:vAlign w:val="center"/>
          </w:tcPr>
          <w:p>
            <w:pPr>
              <w:autoSpaceDE w:val="0"/>
              <w:autoSpaceDN w:val="0"/>
              <w:adjustRightInd w:val="0"/>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评分项目</w:t>
            </w:r>
          </w:p>
        </w:tc>
        <w:tc>
          <w:tcPr>
            <w:tcW w:w="2515" w:type="dxa"/>
            <w:noWrap w:val="0"/>
            <w:vAlign w:val="center"/>
          </w:tcPr>
          <w:p>
            <w:pPr>
              <w:autoSpaceDE w:val="0"/>
              <w:autoSpaceDN w:val="0"/>
              <w:adjustRightInd w:val="0"/>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商务、技术评分</w:t>
            </w:r>
          </w:p>
        </w:tc>
        <w:tc>
          <w:tcPr>
            <w:tcW w:w="1850" w:type="dxa"/>
            <w:noWrap w:val="0"/>
            <w:vAlign w:val="center"/>
          </w:tcPr>
          <w:p>
            <w:pPr>
              <w:autoSpaceDE w:val="0"/>
              <w:autoSpaceDN w:val="0"/>
              <w:adjustRightInd w:val="0"/>
              <w:ind w:left="35" w:leftChars="-51" w:hanging="143" w:hangingChars="51"/>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价格评分</w:t>
            </w:r>
          </w:p>
        </w:tc>
        <w:tc>
          <w:tcPr>
            <w:tcW w:w="1600" w:type="dxa"/>
            <w:noWrap w:val="0"/>
            <w:vAlign w:val="center"/>
          </w:tcPr>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21" w:type="dxa"/>
            <w:noWrap w:val="0"/>
            <w:vAlign w:val="center"/>
          </w:tcPr>
          <w:p>
            <w:pPr>
              <w:autoSpaceDE w:val="0"/>
              <w:autoSpaceDN w:val="0"/>
              <w:adjustRightInd w:val="0"/>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分值</w:t>
            </w:r>
          </w:p>
        </w:tc>
        <w:tc>
          <w:tcPr>
            <w:tcW w:w="2515" w:type="dxa"/>
            <w:noWrap w:val="0"/>
            <w:vAlign w:val="center"/>
          </w:tcPr>
          <w:p>
            <w:pPr>
              <w:autoSpaceDE w:val="0"/>
              <w:autoSpaceDN w:val="0"/>
              <w:adjustRightInd w:val="0"/>
              <w:jc w:val="center"/>
              <w:rPr>
                <w:rFonts w:hint="eastAsia" w:ascii="宋体" w:hAnsi="宋体" w:eastAsia="宋体" w:cs="宋体"/>
                <w:b/>
                <w:color w:val="auto"/>
                <w:kern w:val="0"/>
                <w:sz w:val="28"/>
                <w:szCs w:val="28"/>
              </w:rPr>
            </w:pPr>
            <w:r>
              <w:rPr>
                <w:rFonts w:hint="eastAsia" w:ascii="宋体" w:hAnsi="宋体" w:cs="宋体"/>
                <w:b/>
                <w:color w:val="auto"/>
                <w:kern w:val="0"/>
                <w:sz w:val="28"/>
                <w:szCs w:val="28"/>
                <w:lang w:val="en-US" w:eastAsia="zh-CN"/>
              </w:rPr>
              <w:t>70</w:t>
            </w:r>
            <w:r>
              <w:rPr>
                <w:rFonts w:hint="eastAsia" w:ascii="宋体" w:hAnsi="宋体" w:eastAsia="宋体" w:cs="宋体"/>
                <w:b/>
                <w:color w:val="auto"/>
                <w:kern w:val="0"/>
                <w:sz w:val="28"/>
                <w:szCs w:val="28"/>
              </w:rPr>
              <w:t>分</w:t>
            </w:r>
          </w:p>
        </w:tc>
        <w:tc>
          <w:tcPr>
            <w:tcW w:w="1850" w:type="dxa"/>
            <w:noWrap w:val="0"/>
            <w:vAlign w:val="center"/>
          </w:tcPr>
          <w:p>
            <w:pPr>
              <w:autoSpaceDE w:val="0"/>
              <w:autoSpaceDN w:val="0"/>
              <w:adjustRightInd w:val="0"/>
              <w:jc w:val="center"/>
              <w:rPr>
                <w:rFonts w:hint="eastAsia" w:ascii="宋体" w:hAnsi="宋体" w:eastAsia="宋体" w:cs="宋体"/>
                <w:b/>
                <w:color w:val="auto"/>
                <w:kern w:val="0"/>
                <w:sz w:val="28"/>
                <w:szCs w:val="28"/>
              </w:rPr>
            </w:pPr>
            <w:r>
              <w:rPr>
                <w:rFonts w:hint="eastAsia" w:ascii="宋体" w:hAnsi="宋体" w:cs="宋体"/>
                <w:b/>
                <w:color w:val="auto"/>
                <w:kern w:val="0"/>
                <w:sz w:val="28"/>
                <w:szCs w:val="28"/>
                <w:lang w:val="en-US" w:eastAsia="zh-CN"/>
              </w:rPr>
              <w:t>3</w:t>
            </w:r>
            <w:r>
              <w:rPr>
                <w:rFonts w:hint="eastAsia" w:ascii="宋体" w:hAnsi="宋体" w:eastAsia="宋体" w:cs="宋体"/>
                <w:b/>
                <w:color w:val="auto"/>
                <w:kern w:val="0"/>
                <w:sz w:val="28"/>
                <w:szCs w:val="28"/>
                <w:lang w:val="en-US" w:eastAsia="zh-CN"/>
              </w:rPr>
              <w:t>0</w:t>
            </w:r>
            <w:r>
              <w:rPr>
                <w:rFonts w:hint="eastAsia" w:ascii="宋体" w:hAnsi="宋体" w:eastAsia="宋体" w:cs="宋体"/>
                <w:b/>
                <w:color w:val="auto"/>
                <w:kern w:val="0"/>
                <w:sz w:val="28"/>
                <w:szCs w:val="28"/>
              </w:rPr>
              <w:t>分</w:t>
            </w:r>
          </w:p>
        </w:tc>
        <w:tc>
          <w:tcPr>
            <w:tcW w:w="1600" w:type="dxa"/>
            <w:noWrap w:val="0"/>
            <w:vAlign w:val="center"/>
          </w:tcPr>
          <w:p>
            <w:pPr>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100分</w:t>
            </w:r>
          </w:p>
        </w:tc>
      </w:tr>
    </w:tbl>
    <w:p>
      <w:pPr>
        <w:snapToGrid w:val="0"/>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具体打分标准如下：</w:t>
      </w:r>
    </w:p>
    <w:p>
      <w:pPr>
        <w:snapToGrid w:val="0"/>
        <w:spacing w:line="360" w:lineRule="auto"/>
        <w:ind w:firstLine="564"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（1）</w:t>
      </w:r>
      <w:r>
        <w:rPr>
          <w:rFonts w:hint="eastAsia" w:ascii="宋体" w:hAnsi="宋体" w:eastAsia="宋体" w:cs="宋体"/>
          <w:b/>
          <w:bCs/>
          <w:color w:val="auto"/>
          <w:sz w:val="28"/>
          <w:szCs w:val="28"/>
        </w:rPr>
        <w:t>商务、技术评分</w:t>
      </w:r>
    </w:p>
    <w:p>
      <w:pPr>
        <w:snapToGrid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磋商小组分别对各供应商的商务、技术响应文件中的各项内容进行评议比较，详细对比其商务、技术方案等各种因素方面是否满足磋商文件的要求。在商务、技术评审表的相应项各自记名打分。</w:t>
      </w:r>
    </w:p>
    <w:p>
      <w:pPr>
        <w:snapToGrid w:val="0"/>
        <w:spacing w:line="360" w:lineRule="auto"/>
        <w:ind w:firstLine="564"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（2）商务、技术得分统计</w:t>
      </w:r>
    </w:p>
    <w:p>
      <w:pPr>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将所有磋商小组的商务、技术评分的算术平均值即为每个有效供应商的技术得分（四舍五入后，精确到0.01）。</w:t>
      </w:r>
    </w:p>
    <w:p>
      <w:pPr>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（3）价格核准和评分</w:t>
      </w:r>
    </w:p>
    <w:p>
      <w:pPr>
        <w:pStyle w:val="26"/>
        <w:snapToGrid w:val="0"/>
        <w:spacing w:line="360" w:lineRule="auto"/>
        <w:ind w:firstLine="562"/>
        <w:rPr>
          <w:rFonts w:hint="eastAsia" w:ascii="宋体" w:hAnsi="宋体" w:eastAsia="宋体" w:cs="宋体"/>
          <w:b/>
          <w:color w:val="auto"/>
          <w:sz w:val="24"/>
          <w:szCs w:val="24"/>
        </w:rPr>
      </w:pPr>
      <w:r>
        <w:rPr>
          <w:rFonts w:hint="eastAsia" w:ascii="宋体" w:hAnsi="宋体" w:eastAsia="宋体" w:cs="宋体"/>
          <w:b/>
          <w:color w:val="auto"/>
          <w:sz w:val="24"/>
          <w:szCs w:val="24"/>
        </w:rPr>
        <w:t>A、价格的核准</w:t>
      </w:r>
    </w:p>
    <w:p>
      <w:pPr>
        <w:snapToGrid w:val="0"/>
        <w:spacing w:line="360" w:lineRule="auto"/>
        <w:ind w:firstLine="473" w:firstLineChars="196"/>
        <w:rPr>
          <w:rFonts w:hint="eastAsia" w:ascii="宋体" w:hAnsi="宋体" w:eastAsia="宋体" w:cs="宋体"/>
          <w:color w:val="auto"/>
          <w:sz w:val="24"/>
          <w:szCs w:val="24"/>
        </w:rPr>
      </w:pPr>
      <w:r>
        <w:rPr>
          <w:rFonts w:hint="eastAsia" w:ascii="宋体" w:hAnsi="宋体" w:eastAsia="宋体" w:cs="宋体"/>
          <w:color w:val="auto"/>
          <w:sz w:val="24"/>
          <w:szCs w:val="24"/>
        </w:rPr>
        <w:t>供应商不得以低于成本的报价竞争。如果磋商小组发现供应商的报价明显低于其他供应商的，使得其报价可能低于其个别成本的，将要求该供应商作书面说明并提供相关证明材料。供应商不能合理说明或不能提供相关证明材料的，磋商小组将认定该供应商以低于成本报价竞争，其响应文件作无效处理。</w:t>
      </w:r>
    </w:p>
    <w:p>
      <w:pPr>
        <w:snapToGrid w:val="0"/>
        <w:spacing w:line="360" w:lineRule="auto"/>
        <w:ind w:firstLine="473" w:firstLineChars="196"/>
        <w:rPr>
          <w:rFonts w:hint="eastAsia" w:ascii="宋体" w:hAnsi="宋体" w:eastAsia="宋体" w:cs="宋体"/>
          <w:color w:val="auto"/>
          <w:sz w:val="24"/>
          <w:szCs w:val="24"/>
        </w:rPr>
      </w:pPr>
      <w:r>
        <w:rPr>
          <w:rFonts w:hint="eastAsia" w:ascii="宋体" w:hAnsi="宋体" w:eastAsia="宋体" w:cs="宋体"/>
          <w:color w:val="auto"/>
          <w:sz w:val="24"/>
          <w:szCs w:val="24"/>
        </w:rPr>
        <w:t>磋商小组先对入围供应商的最后报价进行复核，审查其是否有计算上的错误，修正错误的原则如下</w:t>
      </w:r>
    </w:p>
    <w:p>
      <w:pPr>
        <w:snapToGrid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snapToGrid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按上述修正错误的方法调整后的最后报价，对供应商具有约束力。如果供应商不接受修正后的价格，则其响应文件作无效处理。</w:t>
      </w:r>
    </w:p>
    <w:p>
      <w:pPr>
        <w:pStyle w:val="26"/>
        <w:tabs>
          <w:tab w:val="left" w:pos="426"/>
        </w:tabs>
        <w:snapToGrid w:val="0"/>
        <w:spacing w:line="360" w:lineRule="auto"/>
        <w:ind w:left="-2" w:leftChars="-1" w:firstLine="427" w:firstLineChars="177"/>
        <w:rPr>
          <w:rFonts w:hint="eastAsia" w:ascii="宋体" w:hAnsi="宋体" w:eastAsia="宋体" w:cs="宋体"/>
          <w:b/>
          <w:color w:val="auto"/>
          <w:sz w:val="24"/>
          <w:szCs w:val="24"/>
        </w:rPr>
      </w:pPr>
      <w:r>
        <w:rPr>
          <w:rFonts w:hint="eastAsia" w:ascii="宋体" w:hAnsi="宋体" w:eastAsia="宋体" w:cs="宋体"/>
          <w:b/>
          <w:color w:val="auto"/>
          <w:sz w:val="24"/>
          <w:szCs w:val="24"/>
        </w:rPr>
        <w:t>B、政策价格扣除</w:t>
      </w:r>
    </w:p>
    <w:p>
      <w:pPr>
        <w:tabs>
          <w:tab w:val="left" w:pos="1050"/>
        </w:tabs>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1）小型和微型企业产品价格扣除</w:t>
      </w:r>
    </w:p>
    <w:p>
      <w:pPr>
        <w:tabs>
          <w:tab w:val="left" w:pos="1050"/>
        </w:tabs>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a）根据财务部、工业和信息化部印发的《政府采购促进中小企业发展暂行办法》（财库[2011]181号）的规定，对小型和微型企业产品的价格给予6%的扣除，联合体一方为小型、微型企业且小型、微型企业协议合同金额占联合体协议合同总金额30%以上的对联合体总金额扣除2%，用扣除后的价格参与评审；报价产品中仅有部分小型和微型企业产品的，则按所投小型和微型企业产品的价格予以扣除。</w:t>
      </w:r>
    </w:p>
    <w:p>
      <w:pPr>
        <w:tabs>
          <w:tab w:val="left" w:pos="1050"/>
        </w:tabs>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b)《政府采购促进中小企业发展暂行办法》所称中小企业（含中型、小型、微型企业，下同）应当同时符合以下条件：</w:t>
      </w:r>
    </w:p>
    <w:p>
      <w:pPr>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①符合中小企业划分标准；</w:t>
      </w:r>
    </w:p>
    <w:p>
      <w:pPr>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②提供本企业制造的货物、承担的工程或者服务，或者提供其他中小企业制造的货物。本项所称货物不包括使用大型企业注册商标的货物。</w:t>
      </w:r>
    </w:p>
    <w:p>
      <w:pPr>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中小企业划分标准以《工业和信息化部、国家统计局、国家发展和改革委员会、财政部关于印发中小企业划型标准的通知》（工信部联企业[2011]300号）规定的划分标准为准。小型、微型企业提供中型企业制造的货物的，视同为中型企业。</w:t>
      </w:r>
    </w:p>
    <w:p>
      <w:pPr>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③参加政府采购活动的中小企业应当提供《中小企业声明函》</w:t>
      </w:r>
    </w:p>
    <w:p>
      <w:pPr>
        <w:tabs>
          <w:tab w:val="left" w:pos="1050"/>
        </w:tabs>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2）监狱企业产品价格扣除</w:t>
      </w:r>
    </w:p>
    <w:p>
      <w:pPr>
        <w:tabs>
          <w:tab w:val="left" w:pos="1050"/>
        </w:tabs>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a）监狱企业视同小型、微型企业，按上述1.的a)条款享受评审中价格扣除。</w:t>
      </w:r>
    </w:p>
    <w:p>
      <w:pPr>
        <w:tabs>
          <w:tab w:val="left" w:pos="1050"/>
        </w:tabs>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b）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1050"/>
        </w:tabs>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c）监狱企业参加政府采购活动时，应当提供由省级以上监狱管理局、戒毒管理局（含新疆生产建设兵团）出具的属于监狱企业的证明文件，否则不予认可。</w:t>
      </w:r>
    </w:p>
    <w:p>
      <w:pPr>
        <w:tabs>
          <w:tab w:val="left" w:pos="1050"/>
        </w:tabs>
        <w:spacing w:line="360" w:lineRule="auto"/>
        <w:ind w:firstLine="484"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rPr>
        <w:t>3）残疾人福利性单位产品价格扣除</w:t>
      </w:r>
    </w:p>
    <w:p>
      <w:pPr>
        <w:tabs>
          <w:tab w:val="left" w:pos="1050"/>
        </w:tabs>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a）残疾人福利性单位视同小型、微型企业，按上述1.的a)条款享受评审中价格扣除。</w:t>
      </w:r>
    </w:p>
    <w:p>
      <w:pPr>
        <w:tabs>
          <w:tab w:val="left" w:pos="1050"/>
        </w:tabs>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b）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声明的真实性负责。一旦中标将在中标公告中公告其声明函，接受社会监督。供应商提供的《残疾人福利性单位声明函》与事实不符的，依照《政府采购法》第七十七条第一款的规定追究法律责任。</w:t>
      </w:r>
    </w:p>
    <w:p>
      <w:pPr>
        <w:tabs>
          <w:tab w:val="left" w:pos="1050"/>
        </w:tabs>
        <w:spacing w:line="360" w:lineRule="auto"/>
        <w:ind w:firstLine="484"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4）供应商同时为小型、微型企业、监狱企业和残疾人福利性单位任两种或以上情况的，评审中只享受一次价格扣除。不重复进行价格扣除。</w:t>
      </w:r>
    </w:p>
    <w:p>
      <w:pPr>
        <w:pStyle w:val="26"/>
        <w:snapToGrid w:val="0"/>
        <w:spacing w:line="360" w:lineRule="auto"/>
        <w:ind w:firstLine="562"/>
        <w:rPr>
          <w:rFonts w:hint="eastAsia" w:ascii="宋体" w:hAnsi="宋体" w:eastAsia="宋体" w:cs="宋体"/>
          <w:b/>
          <w:color w:val="auto"/>
          <w:sz w:val="24"/>
          <w:szCs w:val="24"/>
        </w:rPr>
      </w:pPr>
      <w:r>
        <w:rPr>
          <w:rFonts w:hint="eastAsia" w:ascii="宋体" w:hAnsi="宋体" w:eastAsia="宋体" w:cs="宋体"/>
          <w:b/>
          <w:color w:val="auto"/>
          <w:sz w:val="24"/>
          <w:szCs w:val="24"/>
        </w:rPr>
        <w:t>C、价格评分</w:t>
      </w:r>
    </w:p>
    <w:p>
      <w:pPr>
        <w:snapToGrid w:val="0"/>
        <w:spacing w:line="360" w:lineRule="auto"/>
        <w:ind w:firstLine="473" w:firstLineChars="196"/>
        <w:rPr>
          <w:rFonts w:hint="eastAsia" w:ascii="宋体" w:hAnsi="宋体" w:eastAsia="宋体" w:cs="宋体"/>
          <w:color w:val="auto"/>
          <w:sz w:val="24"/>
          <w:szCs w:val="24"/>
        </w:rPr>
      </w:pPr>
      <w:r>
        <w:rPr>
          <w:rFonts w:hint="eastAsia" w:ascii="宋体" w:hAnsi="宋体" w:eastAsia="宋体" w:cs="宋体"/>
          <w:color w:val="auto"/>
          <w:sz w:val="24"/>
          <w:szCs w:val="24"/>
        </w:rPr>
        <w:t>磋商小组对入围的供应商的最后价格进行修正及价格扣除得出评审价。综合评分法中的价格分统一采用低价优先法计算，即满足磋商文件要求（通过资格、符合性审查）且价格最低的有效最后报价（指修正后的价格，下同）为磋商基准价，其价格分为满分。其他供应商的价格分统一按照下列公式计算：</w:t>
      </w:r>
    </w:p>
    <w:p>
      <w:pPr>
        <w:snapToGrid w:val="0"/>
        <w:spacing w:line="360" w:lineRule="auto"/>
        <w:ind w:firstLine="484"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磋商报价得分＝（磋商基准价／最终磋商报价）x 分值。</w:t>
      </w:r>
    </w:p>
    <w:p>
      <w:pPr>
        <w:bidi w:val="0"/>
        <w:rPr>
          <w:rFonts w:hint="eastAsia" w:ascii="宋体" w:hAnsi="宋体" w:eastAsia="宋体" w:cs="宋体"/>
        </w:rPr>
      </w:pPr>
    </w:p>
    <w:p>
      <w:pPr>
        <w:bidi w:val="0"/>
        <w:rPr>
          <w:rFonts w:hint="eastAsia" w:ascii="宋体" w:hAnsi="宋体" w:eastAsia="宋体" w:cs="宋体"/>
          <w:b/>
          <w:bCs/>
          <w:sz w:val="28"/>
          <w:szCs w:val="28"/>
        </w:rPr>
      </w:pPr>
      <w:r>
        <w:rPr>
          <w:rFonts w:hint="eastAsia" w:ascii="宋体" w:hAnsi="宋体" w:eastAsia="宋体" w:cs="宋体"/>
          <w:b/>
          <w:bCs/>
          <w:sz w:val="28"/>
          <w:szCs w:val="28"/>
        </w:rPr>
        <w:t>附表一：</w:t>
      </w:r>
    </w:p>
    <w:p>
      <w:pPr>
        <w:bidi w:val="0"/>
        <w:rPr>
          <w:rFonts w:hint="eastAsia" w:ascii="宋体" w:hAnsi="宋体" w:eastAsia="宋体" w:cs="宋体"/>
        </w:rPr>
      </w:pPr>
    </w:p>
    <w:p>
      <w:pPr>
        <w:bidi w:val="0"/>
        <w:jc w:val="center"/>
        <w:rPr>
          <w:rFonts w:hint="eastAsia" w:ascii="宋体" w:hAnsi="宋体" w:eastAsia="宋体" w:cs="宋体"/>
          <w:sz w:val="28"/>
          <w:szCs w:val="28"/>
        </w:rPr>
      </w:pPr>
      <w:r>
        <w:rPr>
          <w:rFonts w:hint="eastAsia" w:ascii="宋体" w:hAnsi="宋体" w:eastAsia="宋体" w:cs="宋体"/>
          <w:sz w:val="28"/>
          <w:szCs w:val="28"/>
        </w:rPr>
        <w:t>资格性审查表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7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noWrap w:val="0"/>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7553" w:type="dxa"/>
            <w:noWrap w:val="0"/>
            <w:vAlign w:val="center"/>
          </w:tcPr>
          <w:p>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54"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55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具有独立法人资格的有效企业法人营业执照或事业单位法人证书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54"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553" w:type="dxa"/>
            <w:noWrap w:val="0"/>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法人授权委托书原件及被授权人《居民身份证》原件</w:t>
            </w:r>
            <w:r>
              <w:rPr>
                <w:rFonts w:hint="eastAsia" w:ascii="宋体" w:hAnsi="宋体" w:eastAsia="宋体" w:cs="宋体"/>
                <w:color w:val="auto"/>
                <w:sz w:val="24"/>
                <w:szCs w:val="24"/>
                <w:lang w:eastAsia="zh-CN"/>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54" w:type="dxa"/>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7553" w:type="dxa"/>
            <w:noWrap w:val="0"/>
            <w:vAlign w:val="center"/>
          </w:tcPr>
          <w:p>
            <w:pP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提供土地规划丙级（含丙级）以上资质复印件加盖公章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54"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553" w:type="dxa"/>
            <w:noWrap w:val="0"/>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投标保证金缴纳凭证（银行回单）加盖公章</w:t>
            </w:r>
            <w:r>
              <w:rPr>
                <w:rFonts w:hint="eastAsia" w:ascii="宋体" w:hAnsi="宋体" w:eastAsia="宋体" w:cs="宋体"/>
                <w:color w:val="auto"/>
                <w:sz w:val="24"/>
                <w:szCs w:val="24"/>
                <w:lang w:eastAsia="zh-CN"/>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54"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553" w:type="dxa"/>
            <w:noWrap w:val="0"/>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投标人未被“信用中国”网站（www.creditchina.gov.cn）、中国政府采购网（www.ccgp.gov.cn）列入失信被执行人、重大税收违法案件当事人名单、政府采购严重违法失信行为记录名单。</w:t>
            </w:r>
          </w:p>
        </w:tc>
      </w:tr>
    </w:tbl>
    <w:p>
      <w:pPr>
        <w:ind w:firstLine="564" w:firstLineChars="200"/>
        <w:jc w:val="both"/>
        <w:rPr>
          <w:rFonts w:hint="eastAsia" w:ascii="宋体" w:hAnsi="宋体" w:eastAsia="宋体" w:cs="宋体"/>
          <w:b/>
          <w:color w:val="auto"/>
          <w:sz w:val="28"/>
          <w:szCs w:val="28"/>
        </w:rPr>
      </w:pPr>
      <w:bookmarkStart w:id="105" w:name="_Toc6957"/>
      <w:bookmarkStart w:id="106" w:name="_Toc13173"/>
      <w:bookmarkStart w:id="107" w:name="_Toc26085"/>
      <w:r>
        <w:rPr>
          <w:rFonts w:hint="eastAsia" w:ascii="宋体" w:hAnsi="宋体" w:eastAsia="宋体" w:cs="宋体"/>
          <w:b/>
          <w:color w:val="auto"/>
          <w:sz w:val="28"/>
          <w:szCs w:val="28"/>
        </w:rPr>
        <w:t>备注：如有一项未通过，</w:t>
      </w:r>
      <w:r>
        <w:rPr>
          <w:rFonts w:hint="eastAsia" w:ascii="宋体" w:hAnsi="宋体" w:eastAsia="宋体" w:cs="宋体"/>
          <w:b/>
          <w:color w:val="auto"/>
          <w:sz w:val="28"/>
          <w:szCs w:val="28"/>
          <w:lang w:eastAsia="zh-CN"/>
        </w:rPr>
        <w:t>磋商小组</w:t>
      </w:r>
      <w:r>
        <w:rPr>
          <w:rFonts w:hint="eastAsia" w:ascii="宋体" w:hAnsi="宋体" w:eastAsia="宋体" w:cs="宋体"/>
          <w:b/>
          <w:color w:val="auto"/>
          <w:sz w:val="28"/>
          <w:szCs w:val="28"/>
        </w:rPr>
        <w:t>将认定整个</w:t>
      </w:r>
      <w:r>
        <w:rPr>
          <w:rFonts w:hint="eastAsia" w:ascii="宋体" w:hAnsi="宋体" w:eastAsia="宋体" w:cs="宋体"/>
          <w:b/>
          <w:color w:val="auto"/>
          <w:sz w:val="28"/>
          <w:szCs w:val="28"/>
          <w:lang w:val="en-US" w:eastAsia="zh-CN"/>
        </w:rPr>
        <w:t>响应</w:t>
      </w:r>
      <w:r>
        <w:rPr>
          <w:rFonts w:hint="eastAsia" w:ascii="宋体" w:hAnsi="宋体" w:eastAsia="宋体" w:cs="宋体"/>
          <w:b/>
          <w:color w:val="auto"/>
          <w:sz w:val="28"/>
          <w:szCs w:val="28"/>
        </w:rPr>
        <w:t>文件未响应</w:t>
      </w:r>
      <w:r>
        <w:rPr>
          <w:rFonts w:hint="eastAsia" w:ascii="宋体" w:hAnsi="宋体" w:eastAsia="宋体" w:cs="宋体"/>
          <w:b/>
          <w:color w:val="auto"/>
          <w:sz w:val="28"/>
          <w:szCs w:val="28"/>
          <w:lang w:val="en-US" w:eastAsia="zh-CN"/>
        </w:rPr>
        <w:t>竞争性磋商</w:t>
      </w:r>
      <w:r>
        <w:rPr>
          <w:rFonts w:hint="eastAsia" w:ascii="宋体" w:hAnsi="宋体" w:eastAsia="宋体" w:cs="宋体"/>
          <w:b/>
          <w:color w:val="auto"/>
          <w:sz w:val="28"/>
          <w:szCs w:val="28"/>
        </w:rPr>
        <w:t>文件而予以废标处理。</w:t>
      </w:r>
    </w:p>
    <w:p>
      <w:pPr>
        <w:bidi w:val="0"/>
        <w:rPr>
          <w:rFonts w:hint="eastAsia" w:ascii="宋体" w:hAnsi="宋体" w:eastAsia="宋体" w:cs="宋体"/>
        </w:rPr>
      </w:pPr>
    </w:p>
    <w:p>
      <w:pPr>
        <w:pStyle w:val="1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bidi w:val="0"/>
        <w:rPr>
          <w:rFonts w:hint="eastAsia" w:ascii="宋体" w:hAnsi="宋体" w:eastAsia="宋体" w:cs="宋体"/>
          <w:b/>
          <w:bCs/>
          <w:sz w:val="28"/>
          <w:szCs w:val="28"/>
        </w:rPr>
      </w:pPr>
      <w:r>
        <w:rPr>
          <w:rFonts w:hint="eastAsia" w:ascii="宋体" w:hAnsi="宋体" w:eastAsia="宋体" w:cs="宋体"/>
          <w:b/>
          <w:bCs/>
          <w:sz w:val="28"/>
          <w:szCs w:val="28"/>
        </w:rPr>
        <w:t>附表</w:t>
      </w:r>
      <w:r>
        <w:rPr>
          <w:rFonts w:hint="eastAsia" w:ascii="宋体" w:hAnsi="宋体" w:eastAsia="宋体" w:cs="宋体"/>
          <w:b/>
          <w:bCs/>
          <w:sz w:val="28"/>
          <w:szCs w:val="28"/>
          <w:lang w:eastAsia="zh-CN"/>
        </w:rPr>
        <w:t>二</w:t>
      </w:r>
      <w:r>
        <w:rPr>
          <w:rFonts w:hint="eastAsia" w:ascii="宋体" w:hAnsi="宋体" w:eastAsia="宋体" w:cs="宋体"/>
          <w:b/>
          <w:bCs/>
          <w:sz w:val="28"/>
          <w:szCs w:val="28"/>
        </w:rPr>
        <w:t>：</w:t>
      </w:r>
    </w:p>
    <w:p>
      <w:pPr>
        <w:bidi w:val="0"/>
        <w:jc w:val="center"/>
        <w:rPr>
          <w:rFonts w:hint="eastAsia" w:ascii="宋体" w:hAnsi="宋体" w:eastAsia="宋体" w:cs="宋体"/>
          <w:b/>
          <w:bCs/>
          <w:sz w:val="28"/>
          <w:szCs w:val="28"/>
        </w:rPr>
      </w:pPr>
      <w:r>
        <w:rPr>
          <w:rFonts w:hint="eastAsia" w:ascii="宋体" w:hAnsi="宋体" w:eastAsia="宋体" w:cs="宋体"/>
          <w:b/>
          <w:bCs/>
          <w:sz w:val="28"/>
          <w:szCs w:val="28"/>
          <w:lang w:eastAsia="zh-CN"/>
        </w:rPr>
        <w:t>符合性审查表</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6"/>
        <w:gridCol w:w="5782"/>
        <w:gridCol w:w="901"/>
        <w:gridCol w:w="17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7" w:hRule="atLeast"/>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序号</w:t>
            </w:r>
          </w:p>
        </w:tc>
        <w:tc>
          <w:tcPr>
            <w:tcW w:w="578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招标人要求</w:t>
            </w:r>
          </w:p>
        </w:tc>
        <w:tc>
          <w:tcPr>
            <w:tcW w:w="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是否响应</w:t>
            </w:r>
          </w:p>
        </w:tc>
        <w:tc>
          <w:tcPr>
            <w:tcW w:w="17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情况说明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578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响应文件是否有投标单位法定代表人或其授权代表签字（章）和加盖投标单位公章；</w:t>
            </w:r>
          </w:p>
        </w:tc>
        <w:tc>
          <w:tcPr>
            <w:tcW w:w="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ind w:firstLine="484" w:firstLineChars="200"/>
              <w:jc w:val="left"/>
              <w:rPr>
                <w:rFonts w:hint="eastAsia" w:ascii="宋体" w:hAnsi="宋体" w:eastAsia="宋体" w:cs="宋体"/>
                <w:color w:val="auto"/>
                <w:sz w:val="24"/>
                <w:szCs w:val="24"/>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ind w:firstLine="484" w:firstLineChars="200"/>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578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zh-CN"/>
              </w:rPr>
              <w:t>售后服务承诺</w:t>
            </w:r>
          </w:p>
        </w:tc>
        <w:tc>
          <w:tcPr>
            <w:tcW w:w="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ind w:firstLine="484" w:firstLineChars="200"/>
              <w:jc w:val="left"/>
              <w:rPr>
                <w:rFonts w:hint="eastAsia" w:ascii="宋体" w:hAnsi="宋体" w:eastAsia="宋体" w:cs="宋体"/>
                <w:color w:val="auto"/>
                <w:sz w:val="24"/>
                <w:szCs w:val="24"/>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ind w:firstLine="484" w:firstLineChars="200"/>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578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jc w:val="left"/>
              <w:rPr>
                <w:rFonts w:hint="eastAsia" w:ascii="宋体" w:hAnsi="宋体" w:eastAsia="宋体" w:cs="宋体"/>
                <w:color w:val="auto"/>
                <w:sz w:val="24"/>
                <w:szCs w:val="24"/>
                <w:lang w:val="zh-CN"/>
              </w:rPr>
            </w:pPr>
            <w:r>
              <w:rPr>
                <w:rFonts w:hint="eastAsia" w:ascii="宋体" w:hAnsi="宋体" w:cs="宋体"/>
                <w:color w:val="auto"/>
                <w:sz w:val="24"/>
                <w:szCs w:val="24"/>
                <w:lang w:val="zh-CN"/>
              </w:rPr>
              <w:t>服务期限</w:t>
            </w:r>
            <w:r>
              <w:rPr>
                <w:rFonts w:hint="eastAsia" w:ascii="宋体" w:hAnsi="宋体" w:eastAsia="宋体" w:cs="宋体"/>
                <w:color w:val="auto"/>
                <w:sz w:val="24"/>
                <w:szCs w:val="24"/>
                <w:lang w:val="zh-CN"/>
              </w:rPr>
              <w:t>是否符合招标文件和采购人要求</w:t>
            </w:r>
          </w:p>
        </w:tc>
        <w:tc>
          <w:tcPr>
            <w:tcW w:w="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ind w:firstLine="484" w:firstLineChars="200"/>
              <w:jc w:val="left"/>
              <w:rPr>
                <w:rFonts w:hint="eastAsia" w:ascii="宋体" w:hAnsi="宋体" w:eastAsia="宋体" w:cs="宋体"/>
                <w:color w:val="auto"/>
                <w:sz w:val="24"/>
                <w:szCs w:val="24"/>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ind w:firstLine="484" w:firstLineChars="200"/>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578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zh-CN"/>
              </w:rPr>
              <w:t>投标报价未超出预算价</w:t>
            </w:r>
          </w:p>
        </w:tc>
        <w:tc>
          <w:tcPr>
            <w:tcW w:w="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ind w:firstLine="484" w:firstLineChars="200"/>
              <w:jc w:val="left"/>
              <w:rPr>
                <w:rFonts w:hint="eastAsia" w:ascii="宋体" w:hAnsi="宋体" w:eastAsia="宋体" w:cs="宋体"/>
                <w:color w:val="auto"/>
                <w:sz w:val="24"/>
                <w:szCs w:val="24"/>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ind w:firstLine="484" w:firstLineChars="200"/>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578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无法律、法规、规章和招标文件禁止的其他情况</w:t>
            </w:r>
          </w:p>
        </w:tc>
        <w:tc>
          <w:tcPr>
            <w:tcW w:w="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ind w:firstLine="484" w:firstLineChars="200"/>
              <w:jc w:val="left"/>
              <w:rPr>
                <w:rFonts w:hint="eastAsia" w:ascii="宋体" w:hAnsi="宋体" w:eastAsia="宋体" w:cs="宋体"/>
                <w:color w:val="auto"/>
                <w:sz w:val="24"/>
                <w:szCs w:val="24"/>
              </w:rPr>
            </w:pPr>
          </w:p>
        </w:tc>
        <w:tc>
          <w:tcPr>
            <w:tcW w:w="174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12" w:lineRule="auto"/>
              <w:ind w:firstLine="484" w:firstLineChars="200"/>
              <w:jc w:val="left"/>
              <w:rPr>
                <w:rFonts w:hint="eastAsia" w:ascii="宋体" w:hAnsi="宋体" w:eastAsia="宋体" w:cs="宋体"/>
                <w:color w:val="auto"/>
                <w:sz w:val="24"/>
                <w:szCs w:val="24"/>
              </w:rPr>
            </w:pPr>
          </w:p>
        </w:tc>
      </w:tr>
    </w:tbl>
    <w:p>
      <w:pPr>
        <w:ind w:firstLine="564" w:firstLineChars="200"/>
        <w:jc w:val="both"/>
        <w:rPr>
          <w:rFonts w:hint="eastAsia" w:ascii="宋体" w:hAnsi="宋体" w:eastAsia="宋体" w:cs="宋体"/>
          <w:b/>
          <w:color w:val="auto"/>
          <w:sz w:val="28"/>
          <w:szCs w:val="28"/>
        </w:rPr>
      </w:pPr>
      <w:r>
        <w:rPr>
          <w:rFonts w:hint="eastAsia" w:ascii="宋体" w:hAnsi="宋体" w:eastAsia="宋体" w:cs="宋体"/>
          <w:b/>
          <w:color w:val="auto"/>
          <w:sz w:val="28"/>
          <w:szCs w:val="28"/>
        </w:rPr>
        <w:t>备注：如有一项未通过，</w:t>
      </w:r>
      <w:r>
        <w:rPr>
          <w:rFonts w:hint="eastAsia" w:ascii="宋体" w:hAnsi="宋体" w:eastAsia="宋体" w:cs="宋体"/>
          <w:b/>
          <w:color w:val="auto"/>
          <w:sz w:val="28"/>
          <w:szCs w:val="28"/>
          <w:lang w:eastAsia="zh-CN"/>
        </w:rPr>
        <w:t>磋商小组</w:t>
      </w:r>
      <w:r>
        <w:rPr>
          <w:rFonts w:hint="eastAsia" w:ascii="宋体" w:hAnsi="宋体" w:eastAsia="宋体" w:cs="宋体"/>
          <w:b/>
          <w:color w:val="auto"/>
          <w:sz w:val="28"/>
          <w:szCs w:val="28"/>
        </w:rPr>
        <w:t>将认定整个</w:t>
      </w:r>
      <w:r>
        <w:rPr>
          <w:rFonts w:hint="eastAsia" w:ascii="宋体" w:hAnsi="宋体" w:eastAsia="宋体" w:cs="宋体"/>
          <w:b/>
          <w:color w:val="auto"/>
          <w:sz w:val="28"/>
          <w:szCs w:val="28"/>
          <w:lang w:val="en-US" w:eastAsia="zh-CN"/>
        </w:rPr>
        <w:t>响应</w:t>
      </w:r>
      <w:r>
        <w:rPr>
          <w:rFonts w:hint="eastAsia" w:ascii="宋体" w:hAnsi="宋体" w:eastAsia="宋体" w:cs="宋体"/>
          <w:b/>
          <w:color w:val="auto"/>
          <w:sz w:val="28"/>
          <w:szCs w:val="28"/>
        </w:rPr>
        <w:t>文件未响应</w:t>
      </w:r>
      <w:r>
        <w:rPr>
          <w:rFonts w:hint="eastAsia" w:ascii="宋体" w:hAnsi="宋体" w:eastAsia="宋体" w:cs="宋体"/>
          <w:b/>
          <w:color w:val="auto"/>
          <w:sz w:val="28"/>
          <w:szCs w:val="28"/>
          <w:lang w:val="en-US" w:eastAsia="zh-CN"/>
        </w:rPr>
        <w:t>竞争性磋商</w:t>
      </w:r>
      <w:r>
        <w:rPr>
          <w:rFonts w:hint="eastAsia" w:ascii="宋体" w:hAnsi="宋体" w:eastAsia="宋体" w:cs="宋体"/>
          <w:b/>
          <w:color w:val="auto"/>
          <w:sz w:val="28"/>
          <w:szCs w:val="28"/>
        </w:rPr>
        <w:t>文件而予以废标处理。</w:t>
      </w:r>
    </w:p>
    <w:p>
      <w:pPr>
        <w:jc w:val="center"/>
        <w:rPr>
          <w:rFonts w:hint="eastAsia" w:ascii="宋体" w:hAnsi="宋体" w:eastAsia="宋体" w:cs="宋体"/>
          <w:b/>
          <w:color w:val="auto"/>
          <w:sz w:val="28"/>
          <w:szCs w:val="28"/>
        </w:rPr>
      </w:pPr>
    </w:p>
    <w:p>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rPr>
        <w:t>附表</w:t>
      </w:r>
      <w:r>
        <w:rPr>
          <w:rFonts w:hint="eastAsia" w:ascii="宋体" w:hAnsi="宋体" w:eastAsia="宋体" w:cs="宋体"/>
          <w:b/>
          <w:bCs/>
          <w:color w:val="auto"/>
          <w:sz w:val="28"/>
          <w:szCs w:val="28"/>
          <w:lang w:eastAsia="zh-CN"/>
        </w:rPr>
        <w:t>三</w:t>
      </w:r>
      <w:r>
        <w:rPr>
          <w:rFonts w:hint="eastAsia" w:ascii="宋体" w:hAnsi="宋体" w:eastAsia="宋体" w:cs="宋体"/>
          <w:b/>
          <w:bCs/>
          <w:color w:val="auto"/>
          <w:sz w:val="28"/>
          <w:szCs w:val="28"/>
        </w:rPr>
        <w:t>：</w:t>
      </w:r>
    </w:p>
    <w:p>
      <w:pPr>
        <w:bidi w:val="0"/>
        <w:rPr>
          <w:rFonts w:hint="eastAsia" w:ascii="宋体" w:hAnsi="宋体" w:eastAsia="宋体" w:cs="宋体"/>
        </w:rPr>
      </w:pPr>
      <w:r>
        <w:rPr>
          <w:rFonts w:hint="eastAsia" w:ascii="宋体" w:hAnsi="宋体" w:eastAsia="宋体" w:cs="宋体"/>
        </w:rPr>
        <w:t>详细评审标准：</w:t>
      </w:r>
    </w:p>
    <w:bookmarkEnd w:id="105"/>
    <w:bookmarkEnd w:id="106"/>
    <w:bookmarkEnd w:id="107"/>
    <w:tbl>
      <w:tblPr>
        <w:tblStyle w:val="19"/>
        <w:tblW w:w="929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4"/>
        <w:gridCol w:w="1497"/>
        <w:gridCol w:w="796"/>
        <w:gridCol w:w="1373"/>
        <w:gridCol w:w="4104"/>
        <w:gridCol w:w="10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71" w:type="dxa"/>
            <w:gridSpan w:val="2"/>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条款号</w:t>
            </w:r>
          </w:p>
        </w:tc>
        <w:tc>
          <w:tcPr>
            <w:tcW w:w="21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条款内容</w:t>
            </w:r>
          </w:p>
        </w:tc>
        <w:tc>
          <w:tcPr>
            <w:tcW w:w="5154"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71" w:type="dxa"/>
            <w:gridSpan w:val="2"/>
            <w:tcBorders>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2.2.1</w:t>
            </w:r>
          </w:p>
        </w:tc>
        <w:tc>
          <w:tcPr>
            <w:tcW w:w="21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分值构成</w:t>
            </w:r>
          </w:p>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(总分100分)</w:t>
            </w:r>
          </w:p>
        </w:tc>
        <w:tc>
          <w:tcPr>
            <w:tcW w:w="5154"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技术、商务部分</w:t>
            </w:r>
            <w:r>
              <w:rPr>
                <w:rFonts w:hint="eastAsia" w:ascii="宋体" w:hAnsi="宋体" w:eastAsia="宋体" w:cs="宋体"/>
                <w:color w:val="auto"/>
                <w:sz w:val="24"/>
                <w:szCs w:val="24"/>
              </w:rPr>
              <w:t>：</w:t>
            </w:r>
            <w:r>
              <w:rPr>
                <w:rFonts w:hint="eastAsia" w:ascii="宋体" w:hAnsi="宋体" w:cs="宋体"/>
                <w:color w:val="auto"/>
                <w:sz w:val="24"/>
                <w:szCs w:val="24"/>
                <w:u w:val="single"/>
                <w:lang w:val="en-US" w:eastAsia="zh-CN"/>
              </w:rPr>
              <w:t>7</w:t>
            </w:r>
            <w:r>
              <w:rPr>
                <w:rFonts w:hint="eastAsia" w:ascii="宋体" w:hAnsi="宋体" w:eastAsia="宋体" w:cs="宋体"/>
                <w:color w:val="auto"/>
                <w:sz w:val="24"/>
                <w:szCs w:val="24"/>
                <w:u w:val="single"/>
              </w:rPr>
              <w:t>0</w:t>
            </w:r>
            <w:r>
              <w:rPr>
                <w:rFonts w:hint="eastAsia" w:ascii="宋体" w:hAnsi="宋体" w:eastAsia="宋体" w:cs="宋体"/>
                <w:color w:val="auto"/>
                <w:sz w:val="24"/>
                <w:szCs w:val="24"/>
              </w:rPr>
              <w:t>分</w:t>
            </w:r>
          </w:p>
          <w:p>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投标报价：</w:t>
            </w:r>
            <w:r>
              <w:rPr>
                <w:rFonts w:hint="eastAsia" w:ascii="宋体" w:hAnsi="宋体" w:cs="宋体"/>
                <w:color w:val="auto"/>
                <w:sz w:val="24"/>
                <w:szCs w:val="24"/>
                <w:u w:val="single"/>
                <w:lang w:val="en-US" w:eastAsia="zh-CN"/>
              </w:rPr>
              <w:t>3</w:t>
            </w:r>
            <w:r>
              <w:rPr>
                <w:rFonts w:hint="eastAsia" w:ascii="宋体" w:hAnsi="宋体" w:eastAsia="宋体" w:cs="宋体"/>
                <w:color w:val="auto"/>
                <w:sz w:val="24"/>
                <w:szCs w:val="24"/>
                <w:u w:val="single"/>
              </w:rPr>
              <w:t>0</w:t>
            </w:r>
            <w:r>
              <w:rPr>
                <w:rFonts w:hint="eastAsia" w:ascii="宋体" w:hAnsi="宋体" w:eastAsia="宋体" w:cs="宋体"/>
                <w:color w:val="auto"/>
                <w:sz w:val="24"/>
                <w:szCs w:val="24"/>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71" w:type="dxa"/>
            <w:gridSpan w:val="2"/>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2.2.2</w:t>
            </w:r>
          </w:p>
        </w:tc>
        <w:tc>
          <w:tcPr>
            <w:tcW w:w="216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投标报价得分计算</w:t>
            </w:r>
          </w:p>
        </w:tc>
        <w:tc>
          <w:tcPr>
            <w:tcW w:w="5154" w:type="dxa"/>
            <w:gridSpan w:val="2"/>
            <w:tcBorders>
              <w:top w:val="single" w:color="auto" w:sz="4" w:space="0"/>
              <w:left w:val="single" w:color="auto" w:sz="4" w:space="0"/>
              <w:bottom w:val="single" w:color="auto" w:sz="4" w:space="0"/>
              <w:right w:val="single" w:color="auto" w:sz="4" w:space="0"/>
            </w:tcBorders>
            <w:noWrap w:val="0"/>
            <w:vAlign w:val="center"/>
          </w:tcPr>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评标基准价 =有效投标报价的最低值，有效投标报价等于基准值的得满分，投标报价得分= （评标基准价/投标报价）×</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0。有效投标报价为通过初步审查的投标人报价；</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zh-CN" w:eastAsia="zh-CN" w:bidi="ar-SA"/>
              </w:rPr>
              <w:t>价格扣除办法:对于非专门面向中小企业的项目,对小型和微型企业(或联合体各方均为小型、微型企业的,残疾人福利性单位、监狱企业视为小微企业)产品的价格给予 6%的扣除,用扣除后的价格参与价格的评审。</w:t>
            </w:r>
            <w:r>
              <w:rPr>
                <w:rFonts w:hint="eastAsia" w:ascii="宋体" w:hAnsi="宋体" w:eastAsia="宋体" w:cs="宋体"/>
                <w:color w:val="auto"/>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1971" w:type="dxa"/>
            <w:gridSpan w:val="2"/>
            <w:vMerge w:val="restart"/>
            <w:tcBorders>
              <w:top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中小型企业</w:t>
            </w:r>
          </w:p>
        </w:tc>
        <w:tc>
          <w:tcPr>
            <w:tcW w:w="7323"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根据工信部等部委发布的《关于印发中小企业划型标准规定的通知》（工信部联企业〔2011〕300号），按照本次采购标的所属行业的划型标准，符合条件的中小微企业须提供《中小企业声明函》。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971" w:type="dxa"/>
            <w:gridSpan w:val="2"/>
            <w:vMerge w:val="continue"/>
            <w:tcBorders>
              <w:right w:val="single" w:color="auto" w:sz="4" w:space="0"/>
            </w:tcBorders>
            <w:noWrap w:val="0"/>
            <w:vAlign w:val="center"/>
          </w:tcPr>
          <w:p>
            <w:pPr>
              <w:spacing w:line="440" w:lineRule="exact"/>
              <w:jc w:val="center"/>
              <w:rPr>
                <w:rFonts w:hint="eastAsia" w:ascii="宋体" w:hAnsi="宋体" w:eastAsia="宋体" w:cs="宋体"/>
                <w:color w:val="auto"/>
                <w:sz w:val="24"/>
                <w:szCs w:val="24"/>
              </w:rPr>
            </w:pPr>
          </w:p>
        </w:tc>
        <w:tc>
          <w:tcPr>
            <w:tcW w:w="7323"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根据财政部发布的《政府采购促进中小企业发展暂行办法》（财库〔2020〕46号）规定，评标时应当在采用原报价进行评分的基础上增加其价格得分的</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%作为其价格分。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1971" w:type="dxa"/>
            <w:gridSpan w:val="2"/>
            <w:vMerge w:val="continue"/>
            <w:tcBorders>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 w:val="24"/>
                <w:szCs w:val="24"/>
              </w:rPr>
            </w:pPr>
          </w:p>
        </w:tc>
        <w:tc>
          <w:tcPr>
            <w:tcW w:w="7323"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小、微企业只有提供本企业制造的货物、承担的工程或者服务，或者提供其他小、微企业制造的货物，享受投标货物的价格折扣；</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小型、微型企业提供中型企业制造的货物或使用大型企业注册商标货物的，视同为中型企业。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971"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监狱型企业</w:t>
            </w:r>
          </w:p>
        </w:tc>
        <w:tc>
          <w:tcPr>
            <w:tcW w:w="7323"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根据财库〔2014〕68号《财政部司法部关于政府采购支持监狱企业发展有关问题的通知》提供声明函，视同小型、微型企业。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71"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福利型企业</w:t>
            </w:r>
          </w:p>
        </w:tc>
        <w:tc>
          <w:tcPr>
            <w:tcW w:w="7323"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根据财库〔2017〕141号《财政部民政部中国残疾人联合会关于促进残疾人就业政府采购政策的通知》，符合享受政府采购支持政策的残疾人福利性单位条件且提供《残疾人福利性单位声明函》的残疾人福利性单位，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4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项目及权重</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满分</w:t>
            </w:r>
          </w:p>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分值</w:t>
            </w:r>
          </w:p>
        </w:tc>
        <w:tc>
          <w:tcPr>
            <w:tcW w:w="547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评  分  标  准</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4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报价</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p>
        </w:tc>
        <w:tc>
          <w:tcPr>
            <w:tcW w:w="547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在所有的有效投标报价中，以最低投标报价为基准价，其价格分为满分。其他供应商的报价分统一按下列公式计算：投标报价得分=(评标基准价／投标报价)×价格权值（</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0（四舍五入后保留小数点后两位）。</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4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547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项目负责人具备土地规划高级及以上职称证书，得2分, 不提供不得分。注：提供职称证书扫描件。</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4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项目组成</w:t>
            </w:r>
            <w:r>
              <w:rPr>
                <w:rFonts w:hint="eastAsia" w:ascii="宋体" w:hAnsi="宋体" w:cs="宋体"/>
                <w:color w:val="auto"/>
                <w:sz w:val="24"/>
                <w:szCs w:val="24"/>
                <w:lang w:val="en-US" w:eastAsia="zh-CN"/>
              </w:rPr>
              <w:t>人</w:t>
            </w:r>
            <w:r>
              <w:rPr>
                <w:rFonts w:hint="eastAsia" w:ascii="宋体" w:hAnsi="宋体" w:eastAsia="宋体" w:cs="宋体"/>
                <w:color w:val="auto"/>
                <w:sz w:val="24"/>
                <w:szCs w:val="24"/>
              </w:rPr>
              <w:t>员</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10</w:t>
            </w:r>
          </w:p>
        </w:tc>
        <w:tc>
          <w:tcPr>
            <w:tcW w:w="547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（1）拟投入本项目组的成员（项目负责人除外）具备规划、地理信息相关专业中级及以上职称5人以上得5分，不提供不得分。注：提供职称证书扫描件；</w:t>
            </w:r>
          </w:p>
          <w:p>
            <w:pPr>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（2）本项目组的成员具有国家测绘地理信息局颁发的涉密成果保管人员岗位培训证5人以上得5分，不提供不得分。注：提供涉密成果保管人员岗位培训证书扫描件；</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4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类似业绩证明材料</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c>
          <w:tcPr>
            <w:tcW w:w="547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承担过类似相关业绩，每提供一</w:t>
            </w:r>
            <w:r>
              <w:rPr>
                <w:rFonts w:hint="eastAsia" w:ascii="宋体" w:hAnsi="宋体" w:cs="宋体"/>
                <w:color w:val="auto"/>
                <w:sz w:val="24"/>
                <w:szCs w:val="24"/>
                <w:lang w:val="en-US" w:eastAsia="zh-CN"/>
              </w:rPr>
              <w:t>份</w:t>
            </w:r>
            <w:r>
              <w:rPr>
                <w:rFonts w:hint="default" w:ascii="宋体" w:hAnsi="宋体" w:eastAsia="宋体" w:cs="宋体"/>
                <w:color w:val="auto"/>
                <w:sz w:val="24"/>
                <w:szCs w:val="24"/>
                <w:lang w:val="en-US" w:eastAsia="zh-CN"/>
              </w:rPr>
              <w:t>得2分，最多得6分;</w:t>
            </w:r>
          </w:p>
          <w:p>
            <w:pPr>
              <w:spacing w:line="400" w:lineRule="exac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注：须提供合同扫描件或中标通知书，未提供或提供业绩不清晰的不得分。</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4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技术方案</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30</w:t>
            </w:r>
          </w:p>
        </w:tc>
        <w:tc>
          <w:tcPr>
            <w:tcW w:w="547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据项目特点阐述对本项目的理解，结合对实际情况的理解及项目实施经验，对永久基本农田全面核实整改及储备区划定中难点及重点的分析和理解。投标人的总体技术方案和实施方案的完整性和编制水平进行评价，包括方案内容结构是否齐全完整准确、条理是否清晰等。由评标委员会酌情打分，优秀20-30分，良好11-19分，一般0-10分。</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4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组织实施方案</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20</w:t>
            </w:r>
          </w:p>
        </w:tc>
        <w:tc>
          <w:tcPr>
            <w:tcW w:w="547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default" w:ascii="宋体" w:hAnsi="宋体" w:eastAsia="宋体" w:cs="宋体"/>
                <w:color w:val="auto"/>
                <w:sz w:val="24"/>
                <w:szCs w:val="24"/>
                <w:lang w:val="en-US" w:eastAsia="zh-CN"/>
              </w:rPr>
              <w:t>日常管理:根据投标人的组织计划、项目进度安排、工作任务完成时限等的可行性和合理性进行评价。优秀8-10分，良好5-7分，一般0-4分。</w:t>
            </w:r>
          </w:p>
          <w:p>
            <w:pPr>
              <w:spacing w:line="400" w:lineRule="exact"/>
              <w:rPr>
                <w:rFonts w:hint="default"/>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保障措施和服务承诺:对质量保证措施、服务承诺、保密措施、风险控制措施、安全生产保障机制等安排的可行性和合理性进行评价。优秀8-10分，良好5-7分，一般0-4分。</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4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标函质量</w:t>
            </w:r>
          </w:p>
        </w:tc>
        <w:tc>
          <w:tcPr>
            <w:tcW w:w="7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c>
          <w:tcPr>
            <w:tcW w:w="547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标书有目录索引、页码无错乱、标题、编号、正文、表格等排版规范,根据标书制作的质量进行综合评分，满分2分；每出现一项不规范，减0.5分，2分</w:t>
            </w:r>
            <w:r>
              <w:rPr>
                <w:rFonts w:hint="eastAsia" w:ascii="宋体" w:hAnsi="宋体" w:cs="宋体"/>
                <w:color w:val="auto"/>
                <w:sz w:val="24"/>
                <w:szCs w:val="24"/>
                <w:lang w:val="en-US" w:eastAsia="zh-CN"/>
              </w:rPr>
              <w:t>扣</w:t>
            </w:r>
            <w:r>
              <w:rPr>
                <w:rFonts w:hint="eastAsia" w:ascii="宋体" w:hAnsi="宋体" w:eastAsia="宋体" w:cs="宋体"/>
                <w:color w:val="auto"/>
                <w:sz w:val="24"/>
                <w:szCs w:val="24"/>
              </w:rPr>
              <w:t>完为止</w:t>
            </w:r>
            <w:r>
              <w:rPr>
                <w:rFonts w:hint="eastAsia" w:ascii="宋体" w:hAnsi="宋体" w:cs="宋体"/>
                <w:color w:val="auto"/>
                <w:sz w:val="24"/>
                <w:szCs w:val="24"/>
                <w:lang w:eastAsia="zh-CN"/>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Cs w:val="21"/>
              </w:rPr>
            </w:pPr>
          </w:p>
        </w:tc>
      </w:tr>
    </w:tbl>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供应商在评标过程中，所进行的力图影响评标结果的不符合招标规则的活动，可能导致其被取消中标资格。</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 与</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有重大偏离的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将被拒绝。</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 xml:space="preserve">  中标供应商的确认</w:t>
      </w:r>
    </w:p>
    <w:bookmarkEnd w:id="104"/>
    <w:p>
      <w:pPr>
        <w:bidi w:val="0"/>
        <w:spacing w:line="360" w:lineRule="auto"/>
        <w:ind w:firstLine="484" w:firstLineChars="200"/>
        <w:rPr>
          <w:rFonts w:hint="eastAsia" w:ascii="宋体" w:hAnsi="宋体" w:eastAsia="宋体" w:cs="宋体"/>
          <w:color w:val="auto"/>
          <w:sz w:val="24"/>
          <w:szCs w:val="24"/>
        </w:rPr>
      </w:pPr>
      <w:bookmarkStart w:id="108" w:name="_Toc18253"/>
      <w:bookmarkStart w:id="109" w:name="_Toc20139"/>
      <w:bookmarkStart w:id="110" w:name="_Toc9748"/>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推荐得分最高的为第一中标候选人。采购人应当接受</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推荐的中标候选人，不得在</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推荐的中标候选人之外确定中标人。</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无义务向供应商进行任何有关评标的解释工作。</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.2 采购人应当确定排名第一的中标候选人为中标供应商。排名第一的中标候选人放弃中标、因不可抗力提出不能履行合同，或者</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规定应当提交履约保证金而在规定的期限内未能提交的，采购人可以确定排名第二的中标候选人为中标供应商。</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.3 在确定中标供应商前，采购人不得与投标供应商就投标价格、投标方案等实质性内容进行谈判。</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 xml:space="preserve"> 中标通知</w:t>
      </w:r>
    </w:p>
    <w:p>
      <w:pPr>
        <w:bidi w:val="0"/>
        <w:spacing w:line="360" w:lineRule="auto"/>
        <w:ind w:firstLine="484" w:firstLineChars="200"/>
        <w:rPr>
          <w:rFonts w:hint="eastAsia" w:ascii="宋体" w:hAnsi="宋体" w:eastAsia="宋体" w:cs="宋体"/>
          <w:color w:val="auto"/>
          <w:sz w:val="24"/>
          <w:szCs w:val="24"/>
          <w:highlight w:val="none"/>
          <w:lang w:eastAsia="zh-CN"/>
        </w:rPr>
      </w:pPr>
      <w:bookmarkStart w:id="111" w:name="_Toc30172"/>
      <w:bookmarkStart w:id="112" w:name="_Toc16205"/>
      <w:bookmarkStart w:id="113" w:name="_Toc13637"/>
      <w:bookmarkStart w:id="114" w:name="_Toc3169"/>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采购人或者采购代理机构应当自中标供应商确定之日起2个工作日内，发出中标通知书，并在省级以上人民政府财政部门指定的媒体上公告中标结果</w:t>
      </w:r>
      <w:r>
        <w:rPr>
          <w:rFonts w:hint="eastAsia" w:ascii="宋体" w:hAnsi="宋体" w:eastAsia="宋体" w:cs="宋体"/>
          <w:color w:val="auto"/>
          <w:sz w:val="24"/>
          <w:szCs w:val="24"/>
          <w:highlight w:val="none"/>
          <w:lang w:eastAsia="zh-CN"/>
        </w:rPr>
        <w:t>。</w:t>
      </w:r>
    </w:p>
    <w:p>
      <w:pPr>
        <w:bidi w:val="0"/>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.2</w:t>
      </w:r>
      <w:r>
        <w:rPr>
          <w:rFonts w:hint="eastAsia" w:ascii="宋体" w:hAnsi="宋体" w:eastAsia="宋体" w:cs="宋体"/>
          <w:b/>
          <w:bCs/>
          <w:color w:val="auto"/>
          <w:sz w:val="24"/>
          <w:szCs w:val="24"/>
          <w:highlight w:val="none"/>
        </w:rPr>
        <w:t xml:space="preserve"> </w:t>
      </w:r>
      <w:bookmarkEnd w:id="111"/>
      <w:bookmarkEnd w:id="112"/>
      <w:bookmarkEnd w:id="113"/>
      <w:bookmarkEnd w:id="114"/>
      <w:r>
        <w:rPr>
          <w:rFonts w:hint="eastAsia" w:ascii="宋体" w:hAnsi="宋体" w:eastAsia="宋体" w:cs="宋体"/>
          <w:color w:val="auto"/>
          <w:sz w:val="24"/>
          <w:szCs w:val="24"/>
          <w:highlight w:val="none"/>
        </w:rPr>
        <w:t>中标通知书对采购人和中标供应商均具有法律效力。中标通知书发出后，采购人改变中标结果的，或者中标供应商放弃中标项目的，应当依法承担法律责任。</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 xml:space="preserve">  拒绝投标的权力</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采购人有权在定标前拒绝任何有不正当行为或扰乱正常采购工作的供应商，由此对供应商造成的损失不负任何责任，同时对此也不做任何解释。</w:t>
      </w:r>
    </w:p>
    <w:p>
      <w:pPr>
        <w:bidi w:val="0"/>
        <w:spacing w:line="360" w:lineRule="auto"/>
        <w:jc w:val="center"/>
        <w:rPr>
          <w:rFonts w:hint="eastAsia" w:ascii="宋体" w:hAnsi="宋体" w:eastAsia="宋体" w:cs="宋体"/>
          <w:b/>
          <w:bCs/>
          <w:color w:val="auto"/>
          <w:sz w:val="24"/>
          <w:szCs w:val="24"/>
        </w:rPr>
      </w:pPr>
    </w:p>
    <w:p>
      <w:pPr>
        <w:bidi w:val="0"/>
        <w:spacing w:line="360" w:lineRule="auto"/>
        <w:jc w:val="center"/>
        <w:rPr>
          <w:rFonts w:hint="eastAsia" w:ascii="宋体" w:hAnsi="宋体" w:eastAsia="宋体" w:cs="宋体"/>
          <w:b/>
          <w:bCs/>
          <w:color w:val="auto"/>
          <w:sz w:val="24"/>
          <w:szCs w:val="24"/>
        </w:rPr>
      </w:pPr>
    </w:p>
    <w:p>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七、 授予合同</w:t>
      </w:r>
      <w:bookmarkEnd w:id="108"/>
      <w:bookmarkEnd w:id="109"/>
      <w:bookmarkEnd w:id="110"/>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29</w:t>
      </w:r>
      <w:r>
        <w:rPr>
          <w:rFonts w:hint="eastAsia" w:ascii="宋体" w:hAnsi="宋体" w:eastAsia="宋体" w:cs="宋体"/>
          <w:b/>
          <w:bCs/>
          <w:color w:val="auto"/>
          <w:sz w:val="24"/>
          <w:szCs w:val="24"/>
        </w:rPr>
        <w:t xml:space="preserve">  签订商务合同</w:t>
      </w:r>
    </w:p>
    <w:p>
      <w:pPr>
        <w:bidi w:val="0"/>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29</w:t>
      </w:r>
      <w:r>
        <w:rPr>
          <w:rFonts w:hint="eastAsia" w:ascii="宋体" w:hAnsi="宋体" w:eastAsia="宋体" w:cs="宋体"/>
          <w:color w:val="auto"/>
          <w:sz w:val="24"/>
          <w:szCs w:val="24"/>
        </w:rPr>
        <w:t>.1</w:t>
      </w:r>
      <w:r>
        <w:rPr>
          <w:rFonts w:hint="eastAsia" w:ascii="宋体" w:hAnsi="宋体" w:eastAsia="宋体" w:cs="宋体"/>
          <w:color w:val="auto"/>
          <w:sz w:val="24"/>
          <w:szCs w:val="24"/>
          <w:highlight w:val="none"/>
        </w:rPr>
        <w:t xml:space="preserve"> 采购人与中标供应商应当在中标通知书发出之日起30日内，按照</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确定的事项签订政府采购合同。</w:t>
      </w:r>
    </w:p>
    <w:p>
      <w:pPr>
        <w:bidi w:val="0"/>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.2 中标合同不得转让。</w:t>
      </w:r>
      <w:r>
        <w:rPr>
          <w:rFonts w:hint="eastAsia" w:ascii="宋体" w:hAnsi="宋体" w:eastAsia="宋体" w:cs="宋体"/>
          <w:color w:val="auto"/>
          <w:sz w:val="24"/>
          <w:szCs w:val="24"/>
          <w:highlight w:val="none"/>
          <w:lang w:val="en-US" w:eastAsia="zh-CN"/>
        </w:rPr>
        <w:t>经采购人同意，中标供应商可以依法采取分包方式履行合同。政府采购合同分包履行的，中标供应商就采购项目和分包项目向采购人负责，分包供应商就分包项目承担责任。</w:t>
      </w:r>
    </w:p>
    <w:p>
      <w:pPr>
        <w:bidi w:val="0"/>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lang w:val="en-US" w:eastAsia="zh-CN"/>
        </w:rPr>
        <w:t>竞争性磋商文件</w:t>
      </w:r>
      <w:r>
        <w:rPr>
          <w:rFonts w:hint="eastAsia" w:ascii="宋体" w:hAnsi="宋体" w:eastAsia="宋体" w:cs="宋体"/>
          <w:color w:val="auto"/>
          <w:sz w:val="24"/>
          <w:szCs w:val="24"/>
          <w:highlight w:val="none"/>
        </w:rPr>
        <w:t>要求中标或者成交供应商提交履约保证金的，供应商应当以支票、汇票、本票或者金融机构、担保机构出具的保函等非现金形式提交。履约保证金的数额不得超过政府采购合同金额的10%。</w:t>
      </w:r>
    </w:p>
    <w:p>
      <w:pPr>
        <w:bidi w:val="0"/>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.4 中标供应商拒绝与采购人签订合同的，采购人可以按照评审报告推荐的中标候选人名单排序，确定下一候选人为中标供应商，也可以重新开展政府采购活动。</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29</w:t>
      </w:r>
      <w:r>
        <w:rPr>
          <w:rFonts w:hint="eastAsia" w:ascii="宋体" w:hAnsi="宋体" w:eastAsia="宋体" w:cs="宋体"/>
          <w:color w:val="auto"/>
          <w:sz w:val="24"/>
          <w:szCs w:val="24"/>
        </w:rPr>
        <w:t>.5 政府采购合同的双方当事人不得擅自变更、中止或者终止合同。</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政府采购合同继续履行将损害国家利益和社会公共利益的，双方当事人应当变更、中止或者终止合同。有过错的一方应当承担赔偿责任，双方都有过错的，各自承担相应的责任。</w:t>
      </w: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0</w:t>
      </w:r>
      <w:r>
        <w:rPr>
          <w:rFonts w:hint="eastAsia" w:ascii="宋体" w:hAnsi="宋体" w:eastAsia="宋体" w:cs="宋体"/>
          <w:b/>
          <w:bCs/>
          <w:color w:val="auto"/>
          <w:sz w:val="24"/>
          <w:szCs w:val="24"/>
        </w:rPr>
        <w:t xml:space="preserve">  商务合同的组成</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 下列文件均为商务合同不可分割的组成部分：</w:t>
      </w:r>
    </w:p>
    <w:p>
      <w:pPr>
        <w:bidi w:val="0"/>
        <w:spacing w:line="360" w:lineRule="auto"/>
        <w:ind w:firstLine="484" w:firstLineChars="200"/>
        <w:rPr>
          <w:rFonts w:hint="eastAsia" w:ascii="宋体" w:hAnsi="宋体" w:eastAsia="宋体" w:cs="宋体"/>
          <w:color w:val="auto"/>
          <w:sz w:val="28"/>
          <w:szCs w:val="28"/>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.1.1 中标通知书；</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.1.2 中标供应商的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.1.3 供应商澄清、说明或补正文件；</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 xml:space="preserve">.1.4 </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w:t>
      </w:r>
    </w:p>
    <w:p>
      <w:pPr>
        <w:bidi w:val="0"/>
        <w:spacing w:line="360" w:lineRule="auto"/>
        <w:jc w:val="center"/>
        <w:rPr>
          <w:rFonts w:hint="eastAsia" w:ascii="宋体" w:hAnsi="宋体" w:eastAsia="宋体" w:cs="宋体"/>
          <w:b/>
          <w:bCs/>
          <w:color w:val="auto"/>
          <w:sz w:val="24"/>
          <w:szCs w:val="24"/>
        </w:rPr>
      </w:pPr>
      <w:bookmarkStart w:id="115" w:name="_Toc10488"/>
      <w:bookmarkStart w:id="116" w:name="_Toc21514"/>
      <w:bookmarkStart w:id="117" w:name="_Toc26655"/>
      <w:bookmarkStart w:id="118" w:name="_Toc26147"/>
      <w:bookmarkStart w:id="119" w:name="_Toc3090"/>
      <w:bookmarkStart w:id="120" w:name="_Toc9177"/>
      <w:bookmarkStart w:id="121" w:name="_Toc7458"/>
      <w:bookmarkStart w:id="122" w:name="_Toc23890"/>
      <w:bookmarkStart w:id="123" w:name="_Toc17298"/>
      <w:bookmarkStart w:id="124" w:name="_Toc24734"/>
      <w:r>
        <w:rPr>
          <w:rFonts w:hint="eastAsia" w:ascii="宋体" w:hAnsi="宋体" w:eastAsia="宋体" w:cs="宋体"/>
          <w:b/>
          <w:bCs/>
          <w:color w:val="auto"/>
          <w:sz w:val="24"/>
          <w:szCs w:val="24"/>
        </w:rPr>
        <w:t>八、</w:t>
      </w:r>
      <w:bookmarkEnd w:id="115"/>
      <w:bookmarkEnd w:id="116"/>
      <w:bookmarkEnd w:id="117"/>
      <w:bookmarkEnd w:id="118"/>
      <w:bookmarkEnd w:id="119"/>
      <w:bookmarkEnd w:id="120"/>
      <w:bookmarkEnd w:id="121"/>
      <w:bookmarkEnd w:id="122"/>
      <w:bookmarkEnd w:id="123"/>
      <w:bookmarkEnd w:id="124"/>
      <w:r>
        <w:rPr>
          <w:rFonts w:hint="eastAsia" w:ascii="宋体" w:hAnsi="宋体" w:eastAsia="宋体" w:cs="宋体"/>
          <w:b/>
          <w:bCs/>
          <w:color w:val="auto"/>
          <w:sz w:val="24"/>
          <w:szCs w:val="24"/>
        </w:rPr>
        <w:t>采购人更改货物、工程或者服务的权利</w:t>
      </w:r>
    </w:p>
    <w:p>
      <w:pPr>
        <w:bidi w:val="0"/>
        <w:spacing w:line="360" w:lineRule="auto"/>
        <w:jc w:val="both"/>
        <w:rPr>
          <w:rFonts w:hint="eastAsia" w:ascii="宋体" w:hAnsi="宋体" w:eastAsia="宋体" w:cs="宋体"/>
          <w:b w:val="0"/>
          <w:bCs w:val="0"/>
          <w:color w:val="auto"/>
          <w:sz w:val="24"/>
          <w:szCs w:val="24"/>
        </w:rPr>
      </w:pPr>
      <w:bookmarkStart w:id="125" w:name="_Toc31334"/>
      <w:bookmarkStart w:id="126" w:name="_Toc31555"/>
      <w:bookmarkStart w:id="127" w:name="_Toc2769"/>
      <w:bookmarkStart w:id="128" w:name="_Toc23616"/>
      <w:bookmarkStart w:id="129" w:name="_Toc31453"/>
      <w:bookmarkStart w:id="130" w:name="_Toc23715"/>
      <w:bookmarkStart w:id="131" w:name="_Toc16744"/>
      <w:bookmarkStart w:id="132" w:name="_Toc13678"/>
      <w:bookmarkStart w:id="133" w:name="_Toc27177"/>
      <w:bookmarkStart w:id="134" w:name="_Toc13025"/>
      <w:r>
        <w:rPr>
          <w:rFonts w:hint="eastAsia" w:ascii="宋体" w:hAnsi="宋体" w:eastAsia="宋体" w:cs="宋体"/>
          <w:b w:val="0"/>
          <w:bCs w:val="0"/>
          <w:color w:val="auto"/>
          <w:sz w:val="24"/>
          <w:szCs w:val="24"/>
          <w:lang w:val="en-US" w:eastAsia="zh-CN"/>
        </w:rPr>
        <w:t xml:space="preserve">31  </w:t>
      </w:r>
      <w:r>
        <w:rPr>
          <w:rFonts w:hint="eastAsia" w:ascii="宋体" w:hAnsi="宋体" w:eastAsia="宋体" w:cs="宋体"/>
          <w:b w:val="0"/>
          <w:bCs w:val="0"/>
          <w:color w:val="auto"/>
          <w:sz w:val="24"/>
          <w:szCs w:val="24"/>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bidi w:val="0"/>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九、其他事项</w:t>
      </w:r>
      <w:bookmarkEnd w:id="125"/>
      <w:bookmarkEnd w:id="126"/>
      <w:bookmarkEnd w:id="127"/>
      <w:bookmarkEnd w:id="128"/>
      <w:bookmarkEnd w:id="129"/>
      <w:bookmarkEnd w:id="130"/>
      <w:bookmarkEnd w:id="131"/>
      <w:bookmarkEnd w:id="132"/>
      <w:bookmarkEnd w:id="133"/>
      <w:bookmarkEnd w:id="134"/>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采购代理服务费</w:t>
      </w:r>
    </w:p>
    <w:p>
      <w:pPr>
        <w:bidi w:val="0"/>
        <w:spacing w:line="360" w:lineRule="auto"/>
        <w:ind w:firstLine="484"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b w:val="0"/>
          <w:bCs w:val="0"/>
          <w:color w:val="auto"/>
          <w:sz w:val="24"/>
          <w:szCs w:val="24"/>
          <w:lang w:val="en-US" w:eastAsia="zh-CN"/>
        </w:rPr>
        <w:t>由中标单位支付，</w:t>
      </w:r>
      <w:r>
        <w:rPr>
          <w:rFonts w:hint="eastAsia" w:ascii="宋体" w:hAnsi="宋体" w:eastAsia="宋体" w:cs="宋体"/>
          <w:b w:val="0"/>
          <w:bCs w:val="0"/>
          <w:color w:val="auto"/>
          <w:sz w:val="24"/>
          <w:szCs w:val="24"/>
        </w:rPr>
        <w:t>收取标准参照国计委计价格[2002]1980号文执行。</w:t>
      </w:r>
    </w:p>
    <w:p>
      <w:pPr>
        <w:bidi w:val="0"/>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 采购代理服务费的计算基数是</w:t>
      </w:r>
      <w:r>
        <w:rPr>
          <w:rFonts w:hint="eastAsia" w:ascii="宋体" w:hAnsi="宋体" w:eastAsia="宋体" w:cs="宋体"/>
          <w:b/>
          <w:bCs/>
          <w:color w:val="auto"/>
          <w:sz w:val="24"/>
          <w:szCs w:val="24"/>
          <w:u w:val="single"/>
        </w:rPr>
        <w:t>中标通知书中载明的中标总金额</w:t>
      </w:r>
      <w:r>
        <w:rPr>
          <w:rFonts w:hint="eastAsia" w:ascii="宋体" w:hAnsi="宋体" w:eastAsia="宋体" w:cs="宋体"/>
          <w:color w:val="auto"/>
          <w:sz w:val="24"/>
          <w:szCs w:val="24"/>
        </w:rPr>
        <w:t>。</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本</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是根据《中华人民共和国政府采购法》、《中华人民共和国政府采购法实施条例》的规定编制，解释权属</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参与本次采购的供应商应当有商务、技术人员对</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提出的商务、技术问题进行答疑。</w:t>
      </w:r>
      <w:bookmarkStart w:id="135" w:name="_Toc22740"/>
      <w:bookmarkStart w:id="136" w:name="_Toc19116"/>
      <w:bookmarkStart w:id="137" w:name="_Toc513029243"/>
      <w:bookmarkStart w:id="138" w:name="_Toc27564"/>
      <w:bookmarkStart w:id="139" w:name="_Toc5864"/>
      <w:bookmarkStart w:id="140" w:name="_Toc20823315"/>
      <w:bookmarkStart w:id="141" w:name="_Toc16938559"/>
      <w:bookmarkStart w:id="142" w:name="_Toc21863"/>
    </w:p>
    <w:p>
      <w:pPr>
        <w:pStyle w:val="12"/>
        <w:rPr>
          <w:rFonts w:hint="eastAsia" w:ascii="宋体" w:hAnsi="宋体" w:eastAsia="宋体" w:cs="宋体"/>
          <w:color w:val="auto"/>
          <w:sz w:val="24"/>
          <w:szCs w:val="24"/>
        </w:rPr>
        <w:sectPr>
          <w:headerReference r:id="rId9" w:type="first"/>
          <w:footerReference r:id="rId11" w:type="first"/>
          <w:headerReference r:id="rId8" w:type="default"/>
          <w:footerReference r:id="rId10" w:type="default"/>
          <w:pgSz w:w="11906" w:h="16838"/>
          <w:pgMar w:top="1417" w:right="1417" w:bottom="1417" w:left="1417" w:header="851" w:footer="850" w:gutter="0"/>
          <w:pgNumType w:fmt="decimal"/>
          <w:cols w:space="720" w:num="1"/>
          <w:titlePg/>
          <w:docGrid w:type="linesAndChars" w:linePitch="312" w:charSpace="530"/>
        </w:sectPr>
      </w:pPr>
    </w:p>
    <w:p>
      <w:pPr>
        <w:pStyle w:val="3"/>
        <w:numPr>
          <w:ilvl w:val="0"/>
          <w:numId w:val="4"/>
        </w:numPr>
        <w:bidi w:val="0"/>
        <w:jc w:val="center"/>
        <w:rPr>
          <w:rStyle w:val="27"/>
          <w:rFonts w:hint="eastAsia" w:ascii="宋体" w:hAnsi="宋体" w:eastAsia="宋体" w:cs="宋体"/>
          <w:b/>
          <w:bCs/>
          <w:color w:val="auto"/>
          <w:sz w:val="32"/>
          <w:szCs w:val="32"/>
          <w:lang w:eastAsia="zh-CN"/>
        </w:rPr>
      </w:pPr>
      <w:bookmarkStart w:id="143" w:name="_Toc9376"/>
      <w:bookmarkStart w:id="144" w:name="_Toc30169"/>
      <w:r>
        <w:rPr>
          <w:rStyle w:val="27"/>
          <w:rFonts w:hint="eastAsia" w:ascii="宋体" w:hAnsi="宋体" w:eastAsia="宋体" w:cs="宋体"/>
          <w:b/>
          <w:bCs/>
          <w:color w:val="auto"/>
          <w:sz w:val="32"/>
          <w:szCs w:val="32"/>
          <w:lang w:eastAsia="zh-CN"/>
        </w:rPr>
        <w:t>采购内容及技术要求</w:t>
      </w:r>
      <w:bookmarkEnd w:id="135"/>
      <w:bookmarkEnd w:id="136"/>
      <w:bookmarkEnd w:id="137"/>
      <w:bookmarkEnd w:id="138"/>
      <w:bookmarkEnd w:id="139"/>
      <w:bookmarkEnd w:id="140"/>
      <w:bookmarkEnd w:id="141"/>
      <w:bookmarkEnd w:id="142"/>
      <w:bookmarkEnd w:id="143"/>
      <w:bookmarkEnd w:id="144"/>
      <w:bookmarkStart w:id="145" w:name="_Toc24433"/>
      <w:bookmarkStart w:id="146" w:name="_Toc28012"/>
      <w:bookmarkStart w:id="147" w:name="_Toc16272"/>
      <w:bookmarkStart w:id="148" w:name="_Toc20911"/>
      <w:bookmarkStart w:id="149" w:name="_Toc16706"/>
      <w:bookmarkStart w:id="150" w:name="_Toc32575"/>
      <w:bookmarkStart w:id="151" w:name="_Toc28246"/>
    </w:p>
    <w:p>
      <w:pPr>
        <w:numPr>
          <w:ilvl w:val="0"/>
          <w:numId w:val="0"/>
        </w:numPr>
        <w:rPr>
          <w:rFonts w:hint="eastAsia"/>
          <w:lang w:eastAsia="zh-CN"/>
        </w:rPr>
      </w:pP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1、永久基本农田储备区划定工作内容</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（1）前期工作：协助甲方做好业务培训与宣传，基础资料的收集、永久基本农田储备区工作底图编制以及数据库软件的购买等；</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（2）依据自治区下发的储备区后备资源潜力成果，结合本县实际情况，确定储备区目标。</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在下发的储备区资源潜力成果中，确定拟划入储备区的具体图斑，利用部下发的核实软件进行逐图斑、逐地块实地核实，填写实地核实情况，查清耕地利用现状，拍摄上传带有定位信息和方位信息的实地照片和视频，确保图、地一致。</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（4）编制永久基本农田储备区划定方案，并进行论证报批；</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（5）建立县级永久基本农田储备区数据库。</w:t>
      </w: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2、永久基本农田全面核实整改工作内容</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（1）前期工作：协助甲方做好业务培训与宣传，基础资料的收集、永久基本农田整改补划工作底图编制以及数据库软件的购买等；</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（2）运用卫星遥感和信息技术化手段，结合第三次全国国土调查、自然资源督查等发现的问题，全面核实本县永久基本农田划定成果。</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（3）根据部下发的疑似问题图斑及本县梳理发现的疑似问题图斑逐图斑摸清永久基本农田现状，查找存在的划定不实和违法占用等问题，全面梳理问题清单；对认为有异议的图斑，按照核查软件要求举证。</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（4）编制永久基本农田整改补划方案，并进行论证报批；</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（5）编制永久基本农田专题图件；</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（6）建立县级永久基本农田数据库。</w:t>
      </w: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2"/>
        <w:rPr>
          <w:rFonts w:hint="eastAsia"/>
          <w:lang w:eastAsia="zh-CN"/>
        </w:rPr>
      </w:pPr>
    </w:p>
    <w:p>
      <w:pPr>
        <w:rPr>
          <w:rFonts w:hint="eastAsia"/>
        </w:rPr>
      </w:pPr>
    </w:p>
    <w:p>
      <w:pPr>
        <w:pStyle w:val="3"/>
        <w:numPr>
          <w:ilvl w:val="0"/>
          <w:numId w:val="5"/>
        </w:numPr>
        <w:bidi w:val="0"/>
        <w:rPr>
          <w:rStyle w:val="27"/>
          <w:rFonts w:hint="eastAsia" w:ascii="宋体" w:hAnsi="宋体" w:eastAsia="宋体" w:cs="宋体"/>
          <w:b/>
          <w:bCs/>
          <w:color w:val="auto"/>
          <w:sz w:val="32"/>
          <w:szCs w:val="32"/>
        </w:rPr>
      </w:pPr>
      <w:r>
        <w:rPr>
          <w:rStyle w:val="27"/>
          <w:rFonts w:hint="eastAsia" w:ascii="宋体" w:hAnsi="宋体" w:eastAsia="宋体" w:cs="宋体"/>
          <w:b/>
          <w:bCs/>
          <w:color w:val="auto"/>
          <w:sz w:val="32"/>
          <w:szCs w:val="32"/>
        </w:rPr>
        <w:t>主要</w:t>
      </w:r>
      <w:r>
        <w:rPr>
          <w:rStyle w:val="27"/>
          <w:rFonts w:hint="eastAsia" w:ascii="宋体" w:hAnsi="宋体" w:eastAsia="宋体" w:cs="宋体"/>
          <w:b/>
          <w:bCs/>
          <w:color w:val="auto"/>
          <w:sz w:val="32"/>
          <w:szCs w:val="32"/>
          <w:lang w:eastAsia="zh-CN"/>
        </w:rPr>
        <w:t>响应文件</w:t>
      </w:r>
      <w:r>
        <w:rPr>
          <w:rStyle w:val="27"/>
          <w:rFonts w:hint="eastAsia" w:ascii="宋体" w:hAnsi="宋体" w:eastAsia="宋体" w:cs="宋体"/>
          <w:b/>
          <w:bCs/>
          <w:color w:val="auto"/>
          <w:sz w:val="32"/>
          <w:szCs w:val="32"/>
        </w:rPr>
        <w:t>的格式及其内容</w:t>
      </w:r>
      <w:bookmarkEnd w:id="145"/>
      <w:bookmarkEnd w:id="146"/>
    </w:p>
    <w:p>
      <w:pPr>
        <w:bidi w:val="0"/>
        <w:jc w:val="center"/>
        <w:rPr>
          <w:rFonts w:hint="eastAsia" w:ascii="宋体" w:hAnsi="宋体" w:eastAsia="宋体" w:cs="宋体"/>
          <w:sz w:val="72"/>
          <w:szCs w:val="72"/>
          <w:lang w:eastAsia="zh-CN"/>
        </w:rPr>
      </w:pPr>
    </w:p>
    <w:p>
      <w:pPr>
        <w:bidi w:val="0"/>
        <w:jc w:val="center"/>
        <w:rPr>
          <w:rFonts w:hint="eastAsia" w:ascii="宋体" w:hAnsi="宋体" w:eastAsia="宋体" w:cs="宋体"/>
          <w:sz w:val="72"/>
          <w:szCs w:val="72"/>
          <w:lang w:eastAsia="zh-CN"/>
        </w:rPr>
      </w:pPr>
      <w:r>
        <w:rPr>
          <w:rFonts w:hint="eastAsia" w:ascii="宋体" w:hAnsi="宋体" w:eastAsia="宋体" w:cs="宋体"/>
          <w:sz w:val="72"/>
          <w:szCs w:val="72"/>
          <w:lang w:eastAsia="zh-CN"/>
        </w:rPr>
        <w:t>响应文件</w:t>
      </w:r>
    </w:p>
    <w:p>
      <w:pPr>
        <w:pStyle w:val="12"/>
        <w:rPr>
          <w:rFonts w:hint="eastAsia" w:ascii="宋体" w:hAnsi="宋体" w:eastAsia="宋体" w:cs="宋体"/>
          <w:sz w:val="72"/>
          <w:szCs w:val="72"/>
          <w:lang w:eastAsia="zh-CN"/>
        </w:rPr>
      </w:pPr>
    </w:p>
    <w:p>
      <w:pPr>
        <w:rPr>
          <w:rFonts w:hint="eastAsia" w:ascii="宋体" w:hAnsi="宋体" w:eastAsia="宋体" w:cs="宋体"/>
          <w:sz w:val="72"/>
          <w:szCs w:val="72"/>
          <w:lang w:eastAsia="zh-CN"/>
        </w:rPr>
      </w:pPr>
    </w:p>
    <w:p>
      <w:pPr>
        <w:pStyle w:val="12"/>
        <w:rPr>
          <w:rFonts w:hint="eastAsia"/>
          <w:lang w:eastAsia="zh-CN"/>
        </w:rPr>
      </w:pPr>
    </w:p>
    <w:p>
      <w:pPr>
        <w:pStyle w:val="12"/>
        <w:numPr>
          <w:ilvl w:val="0"/>
          <w:numId w:val="0"/>
        </w:numPr>
        <w:wordWrap w:val="0"/>
        <w:spacing w:after="60"/>
        <w:jc w:val="center"/>
        <w:rPr>
          <w:rFonts w:hint="eastAsia" w:ascii="宋体" w:hAnsi="宋体" w:eastAsia="宋体" w:cs="宋体"/>
          <w:lang w:val="en-US" w:eastAsia="zh-CN"/>
        </w:rPr>
      </w:pPr>
    </w:p>
    <w:p>
      <w:pPr>
        <w:rPr>
          <w:rFonts w:hint="eastAsia" w:ascii="宋体" w:hAnsi="宋体" w:eastAsia="宋体" w:cs="宋体"/>
          <w:lang w:val="en-US" w:eastAsia="zh-CN"/>
        </w:rPr>
      </w:pPr>
    </w:p>
    <w:bookmarkEnd w:id="147"/>
    <w:bookmarkEnd w:id="148"/>
    <w:bookmarkEnd w:id="149"/>
    <w:bookmarkEnd w:id="150"/>
    <w:bookmarkEnd w:id="151"/>
    <w:p>
      <w:pPr>
        <w:bidi w:val="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项目名称： 新疆轮台县自然资源局永久基本农田全面核实及划定项目</w:t>
      </w:r>
    </w:p>
    <w:p>
      <w:pPr>
        <w:bidi w:val="0"/>
        <w:rPr>
          <w:rFonts w:hint="eastAsia" w:ascii="宋体" w:hAnsi="宋体" w:eastAsia="宋体" w:cs="宋体"/>
          <w:sz w:val="32"/>
          <w:szCs w:val="32"/>
          <w:lang w:eastAsia="zh-CN"/>
        </w:rPr>
      </w:pPr>
      <w:r>
        <w:rPr>
          <w:rFonts w:hint="eastAsia" w:ascii="宋体" w:hAnsi="宋体" w:eastAsia="宋体" w:cs="宋体"/>
          <w:sz w:val="32"/>
          <w:szCs w:val="32"/>
          <w:lang w:val="en-US" w:eastAsia="zh-CN"/>
        </w:rPr>
        <w:t>目项目编号：XJHL-(JZXCS)-2021-0</w:t>
      </w:r>
      <w:r>
        <w:rPr>
          <w:rFonts w:hint="eastAsia" w:ascii="宋体" w:hAnsi="宋体" w:cs="宋体"/>
          <w:sz w:val="32"/>
          <w:szCs w:val="32"/>
          <w:lang w:val="en-US" w:eastAsia="zh-CN"/>
        </w:rPr>
        <w:t>3</w:t>
      </w:r>
    </w:p>
    <w:p>
      <w:pPr>
        <w:pStyle w:val="18"/>
        <w:rPr>
          <w:rFonts w:hint="eastAsia" w:ascii="宋体" w:hAnsi="宋体" w:eastAsia="宋体" w:cs="宋体"/>
          <w:color w:val="auto"/>
          <w:lang w:val="en-US" w:eastAsia="zh-CN"/>
        </w:rPr>
      </w:pPr>
    </w:p>
    <w:p>
      <w:pPr>
        <w:pStyle w:val="23"/>
        <w:spacing w:line="360" w:lineRule="auto"/>
        <w:jc w:val="center"/>
        <w:rPr>
          <w:rFonts w:hint="eastAsia" w:ascii="宋体" w:hAnsi="宋体" w:eastAsia="宋体" w:cs="宋体"/>
          <w:b/>
          <w:bCs/>
          <w:color w:val="auto"/>
          <w:sz w:val="32"/>
          <w:szCs w:val="32"/>
          <w:lang w:val="en-US" w:eastAsia="zh-CN"/>
        </w:rPr>
      </w:pPr>
    </w:p>
    <w:p>
      <w:pPr>
        <w:pStyle w:val="23"/>
        <w:spacing w:line="480" w:lineRule="exact"/>
        <w:jc w:val="both"/>
        <w:rPr>
          <w:rFonts w:hint="eastAsia" w:ascii="宋体" w:hAnsi="宋体" w:eastAsia="宋体" w:cs="宋体"/>
          <w:color w:val="auto"/>
          <w:sz w:val="28"/>
          <w:szCs w:val="28"/>
        </w:rPr>
      </w:pPr>
    </w:p>
    <w:p>
      <w:pPr>
        <w:pStyle w:val="23"/>
        <w:spacing w:line="480" w:lineRule="exact"/>
        <w:ind w:firstLine="567"/>
        <w:jc w:val="both"/>
        <w:rPr>
          <w:rFonts w:hint="eastAsia" w:ascii="宋体" w:hAnsi="宋体" w:eastAsia="宋体" w:cs="宋体"/>
          <w:color w:val="auto"/>
          <w:sz w:val="28"/>
          <w:szCs w:val="28"/>
        </w:rPr>
      </w:pPr>
    </w:p>
    <w:p>
      <w:pPr>
        <w:pStyle w:val="23"/>
        <w:spacing w:line="480" w:lineRule="exact"/>
        <w:ind w:firstLine="567"/>
        <w:jc w:val="both"/>
        <w:rPr>
          <w:rFonts w:hint="eastAsia" w:ascii="宋体" w:hAnsi="宋体" w:eastAsia="宋体" w:cs="宋体"/>
          <w:color w:val="auto"/>
          <w:sz w:val="28"/>
          <w:szCs w:val="28"/>
        </w:rPr>
      </w:pPr>
    </w:p>
    <w:p>
      <w:pPr>
        <w:pStyle w:val="23"/>
        <w:spacing w:line="480" w:lineRule="exact"/>
        <w:jc w:val="both"/>
        <w:rPr>
          <w:rFonts w:hint="eastAsia" w:ascii="宋体" w:hAnsi="宋体" w:eastAsia="宋体" w:cs="宋体"/>
          <w:color w:val="auto"/>
          <w:sz w:val="28"/>
          <w:szCs w:val="28"/>
        </w:rPr>
      </w:pPr>
    </w:p>
    <w:p>
      <w:pPr>
        <w:bidi w:val="0"/>
        <w:rPr>
          <w:rFonts w:hint="eastAsia" w:ascii="宋体" w:hAnsi="宋体" w:eastAsia="宋体" w:cs="宋体"/>
        </w:rPr>
      </w:pPr>
      <w:bookmarkStart w:id="152" w:name="_Toc10223"/>
      <w:bookmarkStart w:id="153" w:name="_Toc29140"/>
      <w:r>
        <w:rPr>
          <w:rFonts w:hint="eastAsia" w:ascii="宋体" w:hAnsi="宋体" w:eastAsia="宋体" w:cs="宋体"/>
        </w:rPr>
        <w:t>供应商名称（盖章）：</w:t>
      </w:r>
    </w:p>
    <w:p>
      <w:pPr>
        <w:pStyle w:val="23"/>
        <w:spacing w:line="360" w:lineRule="auto"/>
        <w:ind w:firstLine="567"/>
        <w:jc w:val="both"/>
        <w:rPr>
          <w:rFonts w:hint="eastAsia" w:ascii="宋体" w:hAnsi="宋体" w:eastAsia="宋体" w:cs="宋体"/>
          <w:b/>
          <w:bCs/>
          <w:color w:val="auto"/>
          <w:sz w:val="32"/>
          <w:szCs w:val="32"/>
        </w:rPr>
      </w:pPr>
    </w:p>
    <w:p>
      <w:pPr>
        <w:bidi w:val="0"/>
        <w:rPr>
          <w:rFonts w:hint="eastAsia" w:ascii="宋体" w:hAnsi="宋体" w:eastAsia="宋体" w:cs="宋体"/>
        </w:rPr>
      </w:pPr>
      <w:r>
        <w:rPr>
          <w:rFonts w:hint="eastAsia" w:ascii="宋体" w:hAnsi="宋体" w:eastAsia="宋体" w:cs="宋体"/>
        </w:rPr>
        <w:t>法定代表人或委托代理人（签字或盖章）：</w:t>
      </w:r>
    </w:p>
    <w:p>
      <w:pPr>
        <w:pStyle w:val="23"/>
        <w:spacing w:line="360" w:lineRule="auto"/>
        <w:ind w:firstLine="567"/>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rPr>
        <w:t xml:space="preserve">                                </w:t>
      </w:r>
    </w:p>
    <w:p>
      <w:pPr>
        <w:bidi w:val="0"/>
        <w:rPr>
          <w:rFonts w:hint="eastAsia" w:ascii="宋体" w:hAnsi="宋体" w:eastAsia="宋体" w:cs="宋体"/>
        </w:rPr>
      </w:pPr>
      <w:r>
        <w:rPr>
          <w:rFonts w:hint="eastAsia" w:ascii="宋体" w:hAnsi="宋体" w:eastAsia="宋体" w:cs="宋体"/>
        </w:rPr>
        <w:t>日期：     年   月   日</w:t>
      </w:r>
      <w:bookmarkStart w:id="154" w:name="_Toc6629"/>
    </w:p>
    <w:p>
      <w:pPr>
        <w:pStyle w:val="12"/>
        <w:rPr>
          <w:rFonts w:hint="eastAsia" w:ascii="宋体" w:hAnsi="宋体" w:eastAsia="宋体" w:cs="宋体"/>
        </w:rPr>
      </w:pPr>
    </w:p>
    <w:p>
      <w:pPr>
        <w:rPr>
          <w:rFonts w:hint="eastAsia" w:ascii="宋体" w:hAnsi="宋体" w:eastAsia="宋体" w:cs="宋体"/>
        </w:rPr>
      </w:pPr>
    </w:p>
    <w:p>
      <w:pPr>
        <w:pStyle w:val="12"/>
        <w:rPr>
          <w:rFonts w:hint="eastAsia" w:ascii="宋体" w:hAnsi="宋体" w:eastAsia="宋体" w:cs="宋体"/>
        </w:rPr>
      </w:pPr>
    </w:p>
    <w:p>
      <w:pPr>
        <w:pStyle w:val="23"/>
        <w:spacing w:line="360" w:lineRule="auto"/>
        <w:jc w:val="both"/>
        <w:rPr>
          <w:rFonts w:hint="eastAsia" w:ascii="宋体" w:hAnsi="宋体" w:eastAsia="宋体" w:cs="宋体"/>
          <w:b/>
          <w:bCs/>
          <w:color w:val="auto"/>
          <w:sz w:val="32"/>
          <w:szCs w:val="32"/>
        </w:rPr>
      </w:pPr>
    </w:p>
    <w:p>
      <w:pPr>
        <w:bidi w:val="0"/>
        <w:rPr>
          <w:rFonts w:hint="eastAsia" w:ascii="宋体" w:hAnsi="宋体" w:eastAsia="宋体" w:cs="宋体"/>
          <w:b/>
          <w:bCs/>
          <w:sz w:val="28"/>
          <w:szCs w:val="24"/>
          <w:lang w:val="en-US" w:eastAsia="zh-CN"/>
        </w:rPr>
      </w:pPr>
      <w:r>
        <w:rPr>
          <w:rFonts w:hint="eastAsia" w:ascii="宋体" w:hAnsi="宋体" w:eastAsia="宋体" w:cs="宋体"/>
          <w:b/>
          <w:bCs/>
          <w:sz w:val="28"/>
          <w:szCs w:val="24"/>
          <w:lang w:val="en-US" w:eastAsia="zh-CN"/>
        </w:rPr>
        <w:t>附件1</w:t>
      </w:r>
      <w:bookmarkEnd w:id="152"/>
      <w:bookmarkEnd w:id="153"/>
      <w:r>
        <w:rPr>
          <w:rFonts w:hint="eastAsia" w:ascii="宋体" w:hAnsi="宋体" w:eastAsia="宋体" w:cs="宋体"/>
          <w:b/>
          <w:bCs/>
          <w:sz w:val="28"/>
          <w:szCs w:val="24"/>
          <w:lang w:val="en-US" w:eastAsia="zh-CN"/>
        </w:rPr>
        <w:t>:</w:t>
      </w:r>
      <w:bookmarkEnd w:id="154"/>
    </w:p>
    <w:p>
      <w:pPr>
        <w:bidi w:val="0"/>
        <w:jc w:val="center"/>
        <w:rPr>
          <w:rFonts w:hint="eastAsia" w:ascii="宋体" w:hAnsi="宋体" w:eastAsia="宋体" w:cs="宋体"/>
          <w:lang w:val="en-US" w:eastAsia="zh-CN"/>
        </w:rPr>
      </w:pPr>
      <w:bookmarkStart w:id="155" w:name="_Toc18361"/>
      <w:r>
        <w:rPr>
          <w:rFonts w:hint="eastAsia" w:ascii="宋体" w:hAnsi="宋体" w:eastAsia="宋体" w:cs="宋体"/>
          <w:lang w:val="en-US" w:eastAsia="zh-CN"/>
        </w:rPr>
        <w:t>投 标 函</w:t>
      </w:r>
      <w:bookmarkEnd w:id="155"/>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none"/>
          <w:lang w:val="zh-CN"/>
        </w:rPr>
        <w:t>致：</w:t>
      </w:r>
      <w:r>
        <w:rPr>
          <w:rFonts w:hint="eastAsia" w:ascii="宋体" w:hAnsi="宋体" w:cs="宋体"/>
          <w:color w:val="auto"/>
          <w:sz w:val="24"/>
          <w:szCs w:val="24"/>
          <w:u w:val="none"/>
          <w:lang w:val="zh-CN"/>
        </w:rPr>
        <w:t>新疆鸿澜工程项目管理有限公司</w:t>
      </w:r>
      <w:r>
        <w:rPr>
          <w:rFonts w:hint="eastAsia" w:ascii="宋体" w:hAnsi="宋体" w:eastAsia="宋体" w:cs="宋体"/>
          <w:color w:val="auto"/>
          <w:sz w:val="24"/>
          <w:szCs w:val="24"/>
          <w:u w:val="none"/>
          <w:lang w:val="zh-CN"/>
        </w:rPr>
        <w:t> </w:t>
      </w:r>
      <w:r>
        <w:rPr>
          <w:rFonts w:hint="eastAsia" w:ascii="宋体" w:hAnsi="宋体" w:eastAsia="宋体" w:cs="宋体"/>
          <w:color w:val="auto"/>
          <w:sz w:val="24"/>
          <w:szCs w:val="24"/>
          <w:u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我公司收到</w:t>
      </w:r>
      <w:r>
        <w:rPr>
          <w:rFonts w:hint="eastAsia" w:ascii="宋体" w:hAnsi="宋体" w:eastAsia="宋体" w:cs="宋体"/>
          <w:color w:val="auto"/>
          <w:sz w:val="24"/>
          <w:szCs w:val="24"/>
          <w:u w:val="single"/>
        </w:rPr>
        <w:t xml:space="preserve">   （项目名称）  </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，经认真研究，我们决定参加本项目投标。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按照</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中的一切要求，我方完全接受</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的规定和要求</w:t>
      </w:r>
      <w:r>
        <w:rPr>
          <w:rFonts w:hint="eastAsia" w:ascii="宋体" w:hAnsi="宋体" w:eastAsia="宋体" w:cs="宋体"/>
          <w:color w:val="auto"/>
          <w:sz w:val="24"/>
          <w:szCs w:val="24"/>
          <w:lang w:eastAsia="zh-CN"/>
        </w:rPr>
        <w:t>愿</w:t>
      </w:r>
      <w:r>
        <w:rPr>
          <w:rFonts w:hint="eastAsia" w:ascii="宋体" w:hAnsi="宋体" w:eastAsia="宋体" w:cs="宋体"/>
          <w:color w:val="auto"/>
          <w:sz w:val="24"/>
          <w:szCs w:val="24"/>
        </w:rPr>
        <w:t>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服务期限</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完成上述项目的所有工作。</w:t>
      </w:r>
    </w:p>
    <w:p>
      <w:pPr>
        <w:keepNext w:val="0"/>
        <w:keepLines w:val="0"/>
        <w:pageBreakBefore w:val="0"/>
        <w:widowControl w:val="0"/>
        <w:kinsoku/>
        <w:wordWrap/>
        <w:overflowPunct/>
        <w:topLinePunct w:val="0"/>
        <w:autoSpaceDE/>
        <w:autoSpaceDN/>
        <w:bidi w:val="0"/>
        <w:adjustRightInd/>
        <w:snapToGrid/>
        <w:spacing w:line="24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如果我们的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被接受，我们将履行</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中规定的每一项要求，按期、按质、按量完成交货和完工任务。</w:t>
      </w:r>
    </w:p>
    <w:p>
      <w:pPr>
        <w:keepNext w:val="0"/>
        <w:keepLines w:val="0"/>
        <w:pageBreakBefore w:val="0"/>
        <w:widowControl w:val="0"/>
        <w:kinsoku/>
        <w:wordWrap/>
        <w:overflowPunct/>
        <w:topLinePunct w:val="0"/>
        <w:autoSpaceDE/>
        <w:autoSpaceDN/>
        <w:bidi w:val="0"/>
        <w:adjustRightInd/>
        <w:snapToGrid/>
        <w:spacing w:line="24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我们同意按</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的规定，本</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的有效期为投标截止时间后</w:t>
      </w:r>
      <w:r>
        <w:rPr>
          <w:rFonts w:hint="eastAsia" w:ascii="宋体" w:hAnsi="宋体" w:eastAsia="宋体" w:cs="宋体"/>
          <w:color w:val="auto"/>
          <w:sz w:val="24"/>
          <w:szCs w:val="24"/>
          <w:u w:val="single"/>
        </w:rPr>
        <w:t xml:space="preserve"> 90 </w:t>
      </w:r>
      <w:r>
        <w:rPr>
          <w:rFonts w:hint="eastAsia" w:ascii="宋体" w:hAnsi="宋体" w:eastAsia="宋体" w:cs="宋体"/>
          <w:color w:val="auto"/>
          <w:sz w:val="24"/>
          <w:szCs w:val="24"/>
        </w:rPr>
        <w:t>天。</w:t>
      </w:r>
    </w:p>
    <w:p>
      <w:pPr>
        <w:keepNext w:val="0"/>
        <w:keepLines w:val="0"/>
        <w:pageBreakBefore w:val="0"/>
        <w:widowControl w:val="0"/>
        <w:kinsoku/>
        <w:wordWrap/>
        <w:overflowPunct/>
        <w:topLinePunct w:val="0"/>
        <w:autoSpaceDE/>
        <w:autoSpaceDN/>
        <w:bidi w:val="0"/>
        <w:adjustRightInd/>
        <w:snapToGrid/>
        <w:spacing w:line="24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我们愿意提供采购人在</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中要求的所有资料。</w:t>
      </w:r>
    </w:p>
    <w:p>
      <w:pPr>
        <w:keepNext w:val="0"/>
        <w:keepLines w:val="0"/>
        <w:pageBreakBefore w:val="0"/>
        <w:widowControl w:val="0"/>
        <w:kinsoku/>
        <w:wordWrap/>
        <w:overflowPunct/>
        <w:topLinePunct w:val="0"/>
        <w:autoSpaceDE/>
        <w:autoSpaceDN/>
        <w:bidi w:val="0"/>
        <w:adjustRightInd/>
        <w:snapToGrid/>
        <w:spacing w:line="24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我们认为采购人有选择或拒绝任何供应商中标的权力。我们理解，最低报价不是中标的唯一条件。</w:t>
      </w:r>
    </w:p>
    <w:p>
      <w:pPr>
        <w:keepNext w:val="0"/>
        <w:keepLines w:val="0"/>
        <w:pageBreakBefore w:val="0"/>
        <w:widowControl w:val="0"/>
        <w:kinsoku/>
        <w:wordWrap/>
        <w:overflowPunct/>
        <w:topLinePunct w:val="0"/>
        <w:autoSpaceDE/>
        <w:autoSpaceDN/>
        <w:bidi w:val="0"/>
        <w:adjustRightInd/>
        <w:snapToGrid/>
        <w:spacing w:line="24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我们愿按合同法履行自己的全部责任。</w:t>
      </w:r>
    </w:p>
    <w:p>
      <w:pPr>
        <w:keepNext w:val="0"/>
        <w:keepLines w:val="0"/>
        <w:pageBreakBefore w:val="0"/>
        <w:widowControl w:val="0"/>
        <w:kinsoku/>
        <w:wordWrap/>
        <w:overflowPunct/>
        <w:topLinePunct w:val="0"/>
        <w:autoSpaceDE/>
        <w:autoSpaceDN/>
        <w:bidi w:val="0"/>
        <w:adjustRightInd/>
        <w:snapToGrid/>
        <w:spacing w:line="24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我方愿意遵守</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中规定的收费标准，承付采购代理服务费。</w:t>
      </w:r>
    </w:p>
    <w:p>
      <w:pPr>
        <w:keepNext w:val="0"/>
        <w:keepLines w:val="0"/>
        <w:pageBreakBefore w:val="0"/>
        <w:widowControl w:val="0"/>
        <w:kinsoku/>
        <w:wordWrap/>
        <w:overflowPunct/>
        <w:topLinePunct w:val="0"/>
        <w:autoSpaceDE/>
        <w:autoSpaceDN/>
        <w:bidi w:val="0"/>
        <w:adjustRightInd/>
        <w:snapToGrid/>
        <w:spacing w:line="24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该项投标在投标截止时间后的投标有效期内保持有效，不作任何更改和变动。</w:t>
      </w:r>
    </w:p>
    <w:p>
      <w:pPr>
        <w:keepNext w:val="0"/>
        <w:keepLines w:val="0"/>
        <w:pageBreakBefore w:val="0"/>
        <w:widowControl w:val="0"/>
        <w:kinsoku/>
        <w:wordWrap/>
        <w:overflowPunct/>
        <w:topLinePunct w:val="0"/>
        <w:autoSpaceDE/>
        <w:autoSpaceDN/>
        <w:bidi w:val="0"/>
        <w:adjustRightInd/>
        <w:snapToGrid/>
        <w:spacing w:line="24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我们同意按</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规定，交纳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）的投标保证金。</w:t>
      </w:r>
    </w:p>
    <w:p>
      <w:pPr>
        <w:keepNext w:val="0"/>
        <w:keepLines w:val="0"/>
        <w:pageBreakBefore w:val="0"/>
        <w:widowControl w:val="0"/>
        <w:kinsoku/>
        <w:wordWrap/>
        <w:overflowPunct/>
        <w:topLinePunct w:val="0"/>
        <w:autoSpaceDE/>
        <w:autoSpaceDN/>
        <w:bidi w:val="0"/>
        <w:adjustRightInd/>
        <w:snapToGrid/>
        <w:spacing w:line="24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所有有关本</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的函电，请按下列地址联系：</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单位名称：</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 系 人：</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    真：</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p>
      <w:pPr>
        <w:bidi w:val="0"/>
        <w:rPr>
          <w:rFonts w:hint="eastAsia" w:ascii="宋体" w:hAnsi="宋体" w:eastAsia="宋体" w:cs="宋体"/>
          <w:color w:val="auto"/>
          <w:sz w:val="24"/>
          <w:szCs w:val="24"/>
        </w:rPr>
      </w:pPr>
    </w:p>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供应商名称（盖章）：</w:t>
      </w:r>
    </w:p>
    <w:p>
      <w:pPr>
        <w:bidi w:val="0"/>
        <w:rPr>
          <w:rFonts w:hint="eastAsia" w:ascii="宋体" w:hAnsi="宋体" w:eastAsia="宋体" w:cs="宋体"/>
          <w:color w:val="auto"/>
          <w:sz w:val="24"/>
          <w:szCs w:val="24"/>
        </w:rPr>
      </w:pPr>
    </w:p>
    <w:p>
      <w:pPr>
        <w:bidi w:val="0"/>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法定代表人或委托代理人（签字或盖章）：</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bidi w:val="0"/>
        <w:jc w:val="right"/>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 日期：     年   月   日</w:t>
      </w:r>
    </w:p>
    <w:p>
      <w:pPr>
        <w:bidi w:val="0"/>
        <w:rPr>
          <w:rFonts w:hint="eastAsia" w:ascii="宋体" w:hAnsi="宋体" w:eastAsia="宋体" w:cs="宋体"/>
          <w:b/>
          <w:bCs/>
          <w:color w:val="auto"/>
          <w:kern w:val="2"/>
          <w:sz w:val="32"/>
          <w:szCs w:val="21"/>
          <w:lang w:val="en-US" w:eastAsia="zh-CN"/>
        </w:rPr>
      </w:pPr>
      <w:bookmarkStart w:id="156" w:name="_Toc4412"/>
      <w:bookmarkStart w:id="157" w:name="_Toc4872"/>
      <w:bookmarkStart w:id="158" w:name="_Toc18057"/>
      <w:r>
        <w:rPr>
          <w:rFonts w:hint="eastAsia" w:ascii="宋体" w:hAnsi="宋体" w:eastAsia="宋体" w:cs="宋体"/>
          <w:b/>
          <w:bCs/>
          <w:color w:val="auto"/>
          <w:kern w:val="2"/>
          <w:sz w:val="24"/>
          <w:szCs w:val="24"/>
          <w:lang w:val="en-US" w:eastAsia="zh-CN"/>
        </w:rPr>
        <w:br w:type="page"/>
      </w:r>
      <w:r>
        <w:rPr>
          <w:rFonts w:hint="eastAsia" w:ascii="宋体" w:hAnsi="宋体" w:eastAsia="宋体" w:cs="宋体"/>
          <w:b/>
          <w:bCs/>
          <w:color w:val="auto"/>
          <w:kern w:val="2"/>
          <w:sz w:val="32"/>
          <w:szCs w:val="32"/>
          <w:lang w:val="en-US" w:eastAsia="zh-CN"/>
        </w:rPr>
        <w:t>附件2</w:t>
      </w:r>
      <w:bookmarkEnd w:id="156"/>
      <w:bookmarkEnd w:id="157"/>
      <w:r>
        <w:rPr>
          <w:rFonts w:hint="eastAsia" w:ascii="宋体" w:hAnsi="宋体" w:eastAsia="宋体" w:cs="宋体"/>
          <w:b/>
          <w:color w:val="auto"/>
          <w:sz w:val="32"/>
          <w:szCs w:val="32"/>
          <w:lang w:val="en-US" w:eastAsia="zh-CN"/>
        </w:rPr>
        <w:t>:</w:t>
      </w:r>
      <w:bookmarkEnd w:id="158"/>
    </w:p>
    <w:p>
      <w:pPr>
        <w:bidi w:val="0"/>
        <w:jc w:val="center"/>
        <w:rPr>
          <w:rFonts w:hint="eastAsia" w:ascii="宋体" w:hAnsi="宋体" w:eastAsia="宋体" w:cs="宋体"/>
          <w:b/>
          <w:bCs/>
          <w:color w:val="auto"/>
          <w:kern w:val="2"/>
          <w:sz w:val="32"/>
          <w:szCs w:val="21"/>
          <w:lang w:val="en-US" w:eastAsia="zh-CN"/>
        </w:rPr>
      </w:pPr>
      <w:bookmarkStart w:id="159" w:name="_Toc8165"/>
      <w:r>
        <w:rPr>
          <w:rFonts w:hint="eastAsia" w:ascii="宋体" w:hAnsi="宋体" w:eastAsia="宋体" w:cs="宋体"/>
          <w:b/>
          <w:bCs/>
          <w:color w:val="auto"/>
          <w:kern w:val="2"/>
          <w:sz w:val="32"/>
          <w:szCs w:val="21"/>
          <w:lang w:val="en-US" w:eastAsia="zh-CN"/>
        </w:rPr>
        <w:t>法定代表人</w:t>
      </w:r>
      <w:bookmarkEnd w:id="159"/>
      <w:r>
        <w:rPr>
          <w:rFonts w:hint="eastAsia" w:ascii="宋体" w:hAnsi="宋体" w:eastAsia="宋体" w:cs="宋体"/>
          <w:b/>
          <w:bCs/>
          <w:color w:val="auto"/>
          <w:kern w:val="0"/>
          <w:sz w:val="30"/>
          <w:szCs w:val="30"/>
        </w:rPr>
        <w:t>身份证明书</w:t>
      </w:r>
    </w:p>
    <w:p>
      <w:pPr>
        <w:bidi w:val="0"/>
        <w:spacing w:line="360" w:lineRule="auto"/>
        <w:rPr>
          <w:rFonts w:hint="eastAsia" w:ascii="宋体" w:hAnsi="宋体" w:eastAsia="宋体" w:cs="宋体"/>
          <w:color w:val="auto"/>
          <w:sz w:val="24"/>
          <w:szCs w:val="24"/>
          <w:u w:val="none"/>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u w:val="none"/>
        </w:rPr>
        <w:t xml:space="preserve">                                            </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地    址：            </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姓    名：        性别：      年龄：       职务：                            </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的法定代表人。</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3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3402" w:type="dxa"/>
            <w:noWrap w:val="0"/>
            <w:vAlign w:val="center"/>
          </w:tcPr>
          <w:p>
            <w:pPr>
              <w:bidi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法定代表人身份证（正面）</w:t>
            </w:r>
          </w:p>
        </w:tc>
        <w:tc>
          <w:tcPr>
            <w:tcW w:w="3439" w:type="dxa"/>
            <w:noWrap w:val="0"/>
            <w:vAlign w:val="center"/>
          </w:tcPr>
          <w:p>
            <w:pPr>
              <w:bidi w:val="0"/>
              <w:rPr>
                <w:rFonts w:hint="eastAsia" w:ascii="宋体" w:hAnsi="宋体" w:eastAsia="宋体" w:cs="宋体"/>
                <w:color w:val="auto"/>
                <w:sz w:val="24"/>
                <w:szCs w:val="24"/>
              </w:rPr>
            </w:pPr>
            <w:r>
              <w:rPr>
                <w:rFonts w:hint="eastAsia" w:ascii="宋体" w:hAnsi="宋体" w:eastAsia="宋体" w:cs="宋体"/>
                <w:color w:val="auto"/>
                <w:sz w:val="24"/>
                <w:szCs w:val="24"/>
              </w:rPr>
              <w:t>法</w:t>
            </w:r>
            <w:r>
              <w:rPr>
                <w:rFonts w:hint="eastAsia" w:ascii="宋体" w:hAnsi="宋体" w:eastAsia="宋体" w:cs="宋体"/>
                <w:color w:val="auto"/>
                <w:sz w:val="24"/>
                <w:szCs w:val="24"/>
                <w:lang w:val="en-US" w:eastAsia="zh-CN"/>
              </w:rPr>
              <w:t>定代表人身份证（背面）</w:t>
            </w:r>
          </w:p>
        </w:tc>
      </w:tr>
    </w:tbl>
    <w:p>
      <w:pPr>
        <w:pStyle w:val="13"/>
        <w:spacing w:line="312" w:lineRule="auto"/>
        <w:ind w:left="0" w:firstLine="0" w:firstLineChars="0"/>
        <w:rPr>
          <w:rFonts w:hint="eastAsia" w:ascii="宋体" w:hAnsi="宋体" w:eastAsia="宋体" w:cs="宋体"/>
          <w:color w:val="auto"/>
          <w:sz w:val="24"/>
          <w:szCs w:val="24"/>
        </w:rPr>
      </w:pPr>
    </w:p>
    <w:p>
      <w:pPr>
        <w:pStyle w:val="13"/>
        <w:spacing w:line="312" w:lineRule="auto"/>
        <w:ind w:left="0" w:firstLine="0" w:firstLineChars="0"/>
        <w:rPr>
          <w:rFonts w:hint="eastAsia" w:ascii="宋体" w:hAnsi="宋体" w:eastAsia="宋体" w:cs="宋体"/>
          <w:color w:val="auto"/>
          <w:sz w:val="24"/>
          <w:szCs w:val="24"/>
        </w:rPr>
      </w:pPr>
    </w:p>
    <w:p>
      <w:pPr>
        <w:pStyle w:val="13"/>
        <w:spacing w:line="312" w:lineRule="auto"/>
        <w:ind w:left="0" w:firstLine="0" w:firstLineChars="0"/>
        <w:rPr>
          <w:rFonts w:hint="eastAsia" w:ascii="宋体" w:hAnsi="宋体" w:eastAsia="宋体" w:cs="宋体"/>
          <w:color w:val="auto"/>
          <w:sz w:val="24"/>
          <w:szCs w:val="24"/>
        </w:rPr>
      </w:pPr>
    </w:p>
    <w:p>
      <w:pPr>
        <w:pStyle w:val="13"/>
        <w:spacing w:line="312" w:lineRule="auto"/>
        <w:ind w:left="0" w:firstLine="0" w:firstLineChars="0"/>
        <w:rPr>
          <w:rFonts w:hint="eastAsia" w:ascii="宋体" w:hAnsi="宋体" w:eastAsia="宋体" w:cs="宋体"/>
          <w:color w:val="auto"/>
          <w:sz w:val="24"/>
          <w:szCs w:val="24"/>
        </w:rPr>
      </w:pPr>
    </w:p>
    <w:p>
      <w:pPr>
        <w:pStyle w:val="13"/>
        <w:spacing w:line="312" w:lineRule="auto"/>
        <w:ind w:left="0" w:firstLine="0" w:firstLineChars="0"/>
        <w:rPr>
          <w:rFonts w:hint="eastAsia" w:ascii="宋体" w:hAnsi="宋体" w:eastAsia="宋体" w:cs="宋体"/>
          <w:color w:val="auto"/>
          <w:sz w:val="24"/>
          <w:szCs w:val="24"/>
        </w:rPr>
      </w:pPr>
    </w:p>
    <w:p>
      <w:pPr>
        <w:pStyle w:val="8"/>
        <w:ind w:left="838" w:firstLine="484"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供应商名称（盖章）：</w:t>
      </w:r>
    </w:p>
    <w:p>
      <w:pPr>
        <w:pStyle w:val="8"/>
        <w:ind w:left="838" w:firstLine="484" w:firstLineChars="200"/>
        <w:jc w:val="right"/>
        <w:rPr>
          <w:rFonts w:hint="eastAsia" w:ascii="宋体" w:hAnsi="宋体" w:eastAsia="宋体" w:cs="宋体"/>
          <w:bCs/>
          <w:color w:val="auto"/>
          <w:sz w:val="24"/>
          <w:szCs w:val="24"/>
        </w:rPr>
      </w:pPr>
    </w:p>
    <w:p>
      <w:pPr>
        <w:pStyle w:val="23"/>
        <w:wordWrap w:val="0"/>
        <w:spacing w:line="360" w:lineRule="auto"/>
        <w:ind w:firstLine="567"/>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23"/>
        <w:wordWrap w:val="0"/>
        <w:spacing w:line="360" w:lineRule="auto"/>
        <w:ind w:firstLine="567"/>
        <w:jc w:val="right"/>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 日期：     年   月   日</w:t>
      </w:r>
    </w:p>
    <w:p>
      <w:pPr>
        <w:pStyle w:val="29"/>
        <w:spacing w:line="312" w:lineRule="auto"/>
        <w:jc w:val="right"/>
        <w:rPr>
          <w:rFonts w:hint="eastAsia" w:ascii="宋体" w:hAnsi="宋体" w:eastAsia="宋体" w:cs="宋体"/>
          <w:color w:val="auto"/>
          <w:sz w:val="24"/>
          <w:szCs w:val="24"/>
        </w:rPr>
      </w:pPr>
    </w:p>
    <w:p>
      <w:pPr>
        <w:bidi w:val="0"/>
        <w:jc w:val="center"/>
        <w:rPr>
          <w:rFonts w:hint="eastAsia" w:ascii="宋体" w:hAnsi="宋体" w:eastAsia="宋体" w:cs="宋体"/>
          <w:color w:val="auto"/>
          <w:sz w:val="30"/>
          <w:szCs w:val="30"/>
          <w:lang w:val="en-US" w:eastAsia="zh-CN"/>
        </w:rPr>
      </w:pPr>
      <w:bookmarkStart w:id="160" w:name="_Toc1629"/>
      <w:r>
        <w:rPr>
          <w:rStyle w:val="27"/>
          <w:rFonts w:hint="eastAsia" w:ascii="宋体" w:hAnsi="宋体" w:eastAsia="宋体" w:cs="宋体"/>
          <w:color w:val="auto"/>
          <w:sz w:val="32"/>
          <w:szCs w:val="28"/>
          <w:lang w:val="en-US" w:eastAsia="zh-CN"/>
        </w:rPr>
        <w:br w:type="page"/>
      </w:r>
      <w:bookmarkStart w:id="161" w:name="_Toc17467"/>
      <w:bookmarkStart w:id="162" w:name="_Toc29989"/>
      <w:r>
        <w:rPr>
          <w:rStyle w:val="27"/>
          <w:rFonts w:hint="eastAsia" w:ascii="宋体" w:hAnsi="宋体" w:eastAsia="宋体" w:cs="宋体"/>
          <w:color w:val="auto"/>
          <w:sz w:val="32"/>
          <w:szCs w:val="28"/>
          <w:lang w:val="en-US" w:eastAsia="zh-CN"/>
        </w:rPr>
        <w:t>授权委托书</w:t>
      </w:r>
      <w:bookmarkEnd w:id="160"/>
      <w:bookmarkEnd w:id="161"/>
      <w:bookmarkEnd w:id="162"/>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本授权委托书声明：我</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（姓名）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的法定代表人，现授权委托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的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（姓名、身份证号）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我</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代理人，以本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的名义参加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的投标活动。</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代理人在处理投标的过程中所签署的一切文件和处理与之有关的一切事务，我均予以承认。</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授权期限:</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2021</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12</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17</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日至</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2022</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12</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16</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bookmarkStart w:id="163" w:name="_Toc23318"/>
      <w:bookmarkStart w:id="164" w:name="_Toc6017"/>
      <w:r>
        <w:rPr>
          <w:rFonts w:hint="eastAsia" w:ascii="宋体" w:hAnsi="宋体" w:eastAsia="宋体" w:cs="宋体"/>
          <w:color w:val="auto"/>
          <w:sz w:val="24"/>
          <w:szCs w:val="24"/>
        </w:rPr>
        <w:t>委托代理人无转委权。特此委托。</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委托代理人：            性  别：</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身份证号码：            电  话：</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部  门：                职  务：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3402" w:type="dxa"/>
            <w:noWrap w:val="0"/>
            <w:vAlign w:val="center"/>
          </w:tcPr>
          <w:p>
            <w:pPr>
              <w:bidi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法定代表人身份证（正面）</w:t>
            </w:r>
          </w:p>
        </w:tc>
        <w:tc>
          <w:tcPr>
            <w:tcW w:w="3402" w:type="dxa"/>
            <w:noWrap w:val="0"/>
            <w:vAlign w:val="center"/>
          </w:tcPr>
          <w:p>
            <w:pPr>
              <w:bidi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3402" w:type="dxa"/>
            <w:noWrap w:val="0"/>
            <w:vAlign w:val="center"/>
          </w:tcPr>
          <w:p>
            <w:pPr>
              <w:bidi w:val="0"/>
              <w:rPr>
                <w:rFonts w:hint="eastAsia" w:ascii="宋体" w:hAnsi="宋体" w:eastAsia="宋体" w:cs="宋体"/>
                <w:color w:val="auto"/>
                <w:sz w:val="24"/>
                <w:szCs w:val="24"/>
              </w:rPr>
            </w:pPr>
            <w:r>
              <w:rPr>
                <w:rFonts w:hint="eastAsia" w:ascii="宋体" w:hAnsi="宋体" w:eastAsia="宋体" w:cs="宋体"/>
                <w:color w:val="auto"/>
                <w:sz w:val="24"/>
                <w:szCs w:val="24"/>
              </w:rPr>
              <w:t>委托代理人身份证（正面）</w:t>
            </w:r>
          </w:p>
        </w:tc>
        <w:tc>
          <w:tcPr>
            <w:tcW w:w="3402" w:type="dxa"/>
            <w:noWrap w:val="0"/>
            <w:vAlign w:val="center"/>
          </w:tcPr>
          <w:p>
            <w:pPr>
              <w:bidi w:val="0"/>
              <w:rPr>
                <w:rFonts w:hint="eastAsia" w:ascii="宋体" w:hAnsi="宋体" w:eastAsia="宋体" w:cs="宋体"/>
                <w:color w:val="auto"/>
                <w:sz w:val="24"/>
                <w:szCs w:val="24"/>
              </w:rPr>
            </w:pPr>
            <w:r>
              <w:rPr>
                <w:rFonts w:hint="eastAsia" w:ascii="宋体" w:hAnsi="宋体" w:eastAsia="宋体" w:cs="宋体"/>
                <w:color w:val="auto"/>
                <w:sz w:val="24"/>
                <w:szCs w:val="24"/>
              </w:rPr>
              <w:t>委托代理人身份证（背面）</w:t>
            </w:r>
          </w:p>
        </w:tc>
      </w:tr>
    </w:tbl>
    <w:p>
      <w:pPr>
        <w:bidi w:val="0"/>
        <w:spacing w:line="6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供应商名称（盖章）：</w:t>
      </w:r>
    </w:p>
    <w:p>
      <w:pPr>
        <w:bidi w:val="0"/>
        <w:spacing w:line="60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法定代表人（签字或盖章）：</w:t>
      </w:r>
    </w:p>
    <w:p>
      <w:pPr>
        <w:bidi w:val="0"/>
        <w:spacing w:line="60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委托代理人（签字或盖章）：</w:t>
      </w:r>
    </w:p>
    <w:p>
      <w:pPr>
        <w:bidi w:val="0"/>
        <w:spacing w:line="60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bookmarkStart w:id="165" w:name="_Toc24450"/>
    </w:p>
    <w:p>
      <w:pPr>
        <w:bidi w:val="0"/>
        <w:rPr>
          <w:rStyle w:val="27"/>
          <w:rFonts w:hint="eastAsia" w:ascii="宋体" w:hAnsi="宋体" w:eastAsia="宋体" w:cs="宋体"/>
          <w:color w:val="auto"/>
          <w:szCs w:val="28"/>
          <w:lang w:val="en-US" w:eastAsia="zh-CN"/>
        </w:rPr>
      </w:pPr>
      <w:r>
        <w:rPr>
          <w:rFonts w:hint="eastAsia" w:ascii="宋体" w:hAnsi="宋体" w:eastAsia="宋体" w:cs="宋体"/>
          <w:color w:val="auto"/>
          <w:sz w:val="28"/>
          <w:szCs w:val="28"/>
        </w:rPr>
        <w:br w:type="page"/>
      </w:r>
      <w:bookmarkStart w:id="166" w:name="_Toc23108"/>
      <w:bookmarkStart w:id="167" w:name="_Toc2020"/>
      <w:r>
        <w:rPr>
          <w:rStyle w:val="27"/>
          <w:rFonts w:hint="eastAsia" w:ascii="宋体" w:hAnsi="宋体" w:eastAsia="宋体" w:cs="宋体"/>
          <w:b/>
          <w:bCs/>
          <w:color w:val="auto"/>
          <w:szCs w:val="28"/>
          <w:lang w:val="en-US" w:eastAsia="zh-CN"/>
        </w:rPr>
        <w:t>附件3</w:t>
      </w:r>
      <w:bookmarkEnd w:id="163"/>
      <w:bookmarkEnd w:id="164"/>
      <w:bookmarkEnd w:id="166"/>
      <w:bookmarkEnd w:id="167"/>
      <w:r>
        <w:rPr>
          <w:rFonts w:hint="eastAsia" w:ascii="宋体" w:hAnsi="宋体" w:eastAsia="宋体" w:cs="宋体"/>
          <w:b/>
          <w:bCs/>
          <w:color w:val="auto"/>
          <w:szCs w:val="28"/>
          <w:lang w:val="en-US" w:eastAsia="zh-CN"/>
        </w:rPr>
        <w:t>:</w:t>
      </w:r>
      <w:bookmarkEnd w:id="165"/>
    </w:p>
    <w:p>
      <w:pPr>
        <w:bidi w:val="0"/>
        <w:jc w:val="center"/>
        <w:rPr>
          <w:rStyle w:val="27"/>
          <w:rFonts w:hint="eastAsia" w:ascii="宋体" w:hAnsi="宋体" w:eastAsia="宋体" w:cs="宋体"/>
          <w:color w:val="auto"/>
          <w:sz w:val="32"/>
          <w:szCs w:val="28"/>
          <w:lang w:val="en-US" w:eastAsia="zh-CN"/>
        </w:rPr>
      </w:pPr>
      <w:bookmarkStart w:id="168" w:name="_Toc16855"/>
      <w:bookmarkStart w:id="169" w:name="_Toc3617"/>
      <w:bookmarkStart w:id="170" w:name="_Toc8853"/>
      <w:r>
        <w:rPr>
          <w:rStyle w:val="27"/>
          <w:rFonts w:hint="eastAsia" w:ascii="宋体" w:hAnsi="宋体" w:eastAsia="宋体" w:cs="宋体"/>
          <w:color w:val="auto"/>
          <w:sz w:val="32"/>
          <w:szCs w:val="28"/>
          <w:lang w:val="en-US" w:eastAsia="zh-CN"/>
        </w:rPr>
        <w:t>报价一览表</w:t>
      </w:r>
      <w:bookmarkEnd w:id="168"/>
    </w:p>
    <w:bookmarkEnd w:id="169"/>
    <w:bookmarkEnd w:id="170"/>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tcBorders>
              <w:bottom w:val="single" w:color="auto" w:sz="4" w:space="0"/>
            </w:tcBorders>
            <w:noWrap w:val="0"/>
            <w:vAlign w:val="center"/>
          </w:tcPr>
          <w:p>
            <w:pPr>
              <w:bidi w:val="0"/>
              <w:jc w:val="center"/>
              <w:rPr>
                <w:rFonts w:hint="eastAsia" w:ascii="宋体" w:hAnsi="宋体" w:eastAsia="宋体" w:cs="宋体"/>
                <w:color w:val="auto"/>
                <w:sz w:val="24"/>
                <w:szCs w:val="24"/>
              </w:rPr>
            </w:pPr>
            <w:bookmarkStart w:id="171" w:name="_Toc14063"/>
            <w:bookmarkStart w:id="172" w:name="_Toc3980"/>
            <w:r>
              <w:rPr>
                <w:rFonts w:hint="eastAsia" w:ascii="宋体" w:hAnsi="宋体" w:eastAsia="宋体" w:cs="宋体"/>
                <w:color w:val="auto"/>
                <w:sz w:val="24"/>
                <w:szCs w:val="24"/>
              </w:rPr>
              <w:t>供应商名称</w:t>
            </w:r>
          </w:p>
        </w:tc>
        <w:tc>
          <w:tcPr>
            <w:tcW w:w="6493" w:type="dxa"/>
            <w:tcBorders>
              <w:bottom w:val="single" w:color="auto" w:sz="4" w:space="0"/>
            </w:tcBorders>
            <w:noWrap w:val="0"/>
            <w:vAlign w:val="center"/>
          </w:tcPr>
          <w:p>
            <w:pPr>
              <w:bidi w:val="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tcBorders>
              <w:bottom w:val="single" w:color="auto" w:sz="4" w:space="0"/>
            </w:tcBorders>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493" w:type="dxa"/>
            <w:tcBorders>
              <w:bottom w:val="single" w:color="auto" w:sz="4" w:space="0"/>
            </w:tcBorders>
            <w:noWrap w:val="0"/>
            <w:vAlign w:val="center"/>
          </w:tcPr>
          <w:p>
            <w:pPr>
              <w:bidi w:val="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w:t>
            </w:r>
            <w:r>
              <w:rPr>
                <w:rFonts w:hint="eastAsia" w:ascii="宋体" w:hAnsi="宋体" w:eastAsia="宋体" w:cs="宋体"/>
                <w:color w:val="auto"/>
                <w:sz w:val="24"/>
                <w:szCs w:val="24"/>
                <w:lang w:eastAsia="zh-CN"/>
              </w:rPr>
              <w:t>总</w:t>
            </w:r>
            <w:r>
              <w:rPr>
                <w:rFonts w:hint="eastAsia" w:ascii="宋体" w:hAnsi="宋体" w:eastAsia="宋体" w:cs="宋体"/>
                <w:color w:val="auto"/>
                <w:sz w:val="24"/>
                <w:szCs w:val="24"/>
              </w:rPr>
              <w:t>报价</w:t>
            </w:r>
          </w:p>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6493" w:type="dxa"/>
            <w:noWrap w:val="0"/>
            <w:vAlign w:val="center"/>
          </w:tcPr>
          <w:p>
            <w:pPr>
              <w:bidi w:val="0"/>
              <w:rPr>
                <w:rFonts w:hint="eastAsia" w:ascii="宋体" w:hAnsi="宋体" w:eastAsia="宋体" w:cs="宋体"/>
                <w:color w:val="auto"/>
                <w:sz w:val="24"/>
                <w:szCs w:val="24"/>
              </w:rPr>
            </w:pPr>
            <w:r>
              <w:rPr>
                <w:rFonts w:hint="eastAsia" w:ascii="宋体" w:hAnsi="宋体" w:eastAsia="宋体" w:cs="宋体"/>
                <w:color w:val="auto"/>
                <w:sz w:val="24"/>
                <w:szCs w:val="24"/>
              </w:rPr>
              <w:t>小写：</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noWrap w:val="0"/>
            <w:vAlign w:val="center"/>
          </w:tcPr>
          <w:p>
            <w:pPr>
              <w:bidi w:val="0"/>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服务期限</w:t>
            </w:r>
          </w:p>
        </w:tc>
        <w:tc>
          <w:tcPr>
            <w:tcW w:w="6493" w:type="dxa"/>
            <w:noWrap w:val="0"/>
            <w:vAlign w:val="center"/>
          </w:tcPr>
          <w:p>
            <w:pPr>
              <w:bidi w:val="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noWrap w:val="0"/>
            <w:vAlign w:val="center"/>
          </w:tcPr>
          <w:p>
            <w:pPr>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备注</w:t>
            </w:r>
          </w:p>
        </w:tc>
        <w:tc>
          <w:tcPr>
            <w:tcW w:w="6493" w:type="dxa"/>
            <w:noWrap w:val="0"/>
            <w:vAlign w:val="center"/>
          </w:tcPr>
          <w:p>
            <w:pPr>
              <w:bidi w:val="0"/>
              <w:rPr>
                <w:rFonts w:hint="eastAsia" w:ascii="宋体" w:hAnsi="宋体" w:eastAsia="宋体" w:cs="宋体"/>
                <w:color w:val="auto"/>
                <w:sz w:val="24"/>
                <w:szCs w:val="24"/>
              </w:rPr>
            </w:pPr>
          </w:p>
        </w:tc>
      </w:tr>
    </w:tbl>
    <w:p>
      <w:pPr>
        <w:jc w:val="left"/>
        <w:rPr>
          <w:rFonts w:hint="eastAsia" w:ascii="宋体" w:hAnsi="宋体" w:eastAsia="宋体" w:cs="宋体"/>
          <w:b/>
          <w:bCs/>
          <w:color w:val="auto"/>
          <w:sz w:val="24"/>
          <w:szCs w:val="24"/>
        </w:rPr>
      </w:pPr>
    </w:p>
    <w:p>
      <w:pPr>
        <w:bidi w:val="0"/>
        <w:spacing w:line="600" w:lineRule="auto"/>
        <w:jc w:val="center"/>
        <w:rPr>
          <w:rFonts w:hint="eastAsia" w:ascii="宋体" w:hAnsi="宋体" w:eastAsia="宋体" w:cs="宋体"/>
          <w:color w:val="auto"/>
          <w:sz w:val="24"/>
          <w:szCs w:val="24"/>
        </w:rPr>
      </w:pP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rPr>
        <w:t>供应商名称（盖章）：</w:t>
      </w:r>
    </w:p>
    <w:p>
      <w:pPr>
        <w:bidi w:val="0"/>
        <w:spacing w:line="60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法定代表人或委托代理人（签字或盖章）：</w:t>
      </w:r>
    </w:p>
    <w:p>
      <w:pPr>
        <w:bidi w:val="0"/>
        <w:spacing w:line="60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ind w:firstLine="0"/>
        <w:jc w:val="right"/>
        <w:rPr>
          <w:rFonts w:hint="eastAsia" w:ascii="宋体" w:hAnsi="宋体" w:eastAsia="宋体" w:cs="宋体"/>
          <w:color w:val="auto"/>
          <w:sz w:val="24"/>
          <w:szCs w:val="24"/>
        </w:rPr>
      </w:pPr>
    </w:p>
    <w:bookmarkEnd w:id="171"/>
    <w:bookmarkEnd w:id="172"/>
    <w:p>
      <w:pPr>
        <w:bidi w:val="0"/>
        <w:spacing w:line="600" w:lineRule="auto"/>
        <w:jc w:val="both"/>
        <w:rPr>
          <w:rFonts w:hint="eastAsia" w:ascii="宋体" w:hAnsi="宋体" w:eastAsia="宋体" w:cs="宋体"/>
          <w:color w:val="auto"/>
          <w:sz w:val="24"/>
          <w:szCs w:val="24"/>
        </w:rPr>
      </w:pPr>
      <w:bookmarkStart w:id="173" w:name="_Toc10628"/>
      <w:bookmarkStart w:id="174" w:name="_Toc8623"/>
      <w:bookmarkStart w:id="175" w:name="_Toc22472"/>
      <w:bookmarkStart w:id="176" w:name="_Toc7675"/>
      <w:bookmarkStart w:id="177" w:name="_Toc21598"/>
    </w:p>
    <w:p>
      <w:pPr>
        <w:ind w:firstLine="0"/>
        <w:jc w:val="right"/>
        <w:rPr>
          <w:rFonts w:hint="eastAsia" w:ascii="宋体" w:hAnsi="宋体" w:eastAsia="宋体" w:cs="宋体"/>
          <w:color w:val="auto"/>
          <w:sz w:val="28"/>
          <w:szCs w:val="28"/>
        </w:rPr>
      </w:pPr>
    </w:p>
    <w:p>
      <w:pPr>
        <w:pStyle w:val="4"/>
        <w:keepNext w:val="0"/>
        <w:numPr>
          <w:ilvl w:val="0"/>
          <w:numId w:val="0"/>
        </w:numPr>
        <w:jc w:val="left"/>
        <w:outlineLvl w:val="9"/>
        <w:rPr>
          <w:rFonts w:hint="eastAsia" w:ascii="宋体" w:hAnsi="宋体" w:eastAsia="宋体" w:cs="宋体"/>
          <w:color w:val="auto"/>
          <w:sz w:val="28"/>
          <w:szCs w:val="28"/>
        </w:rPr>
        <w:sectPr>
          <w:footerReference r:id="rId13" w:type="first"/>
          <w:footerReference r:id="rId12" w:type="default"/>
          <w:pgSz w:w="11906" w:h="16838"/>
          <w:pgMar w:top="1417" w:right="1417" w:bottom="1417" w:left="1417" w:header="851" w:footer="850" w:gutter="0"/>
          <w:pgNumType w:fmt="decimal"/>
          <w:cols w:space="720" w:num="1"/>
          <w:titlePg/>
          <w:docGrid w:type="linesAndChars" w:linePitch="312" w:charSpace="530"/>
        </w:sectPr>
      </w:pPr>
    </w:p>
    <w:bookmarkEnd w:id="173"/>
    <w:bookmarkEnd w:id="174"/>
    <w:bookmarkEnd w:id="175"/>
    <w:p>
      <w:pPr>
        <w:bidi w:val="0"/>
        <w:rPr>
          <w:rStyle w:val="27"/>
          <w:rFonts w:hint="eastAsia" w:ascii="宋体" w:hAnsi="宋体" w:eastAsia="宋体" w:cs="宋体"/>
          <w:color w:val="auto"/>
          <w:sz w:val="32"/>
          <w:szCs w:val="28"/>
          <w:lang w:val="en-US" w:eastAsia="zh-CN"/>
        </w:rPr>
      </w:pPr>
      <w:bookmarkStart w:id="178" w:name="_Toc24465"/>
      <w:bookmarkStart w:id="179" w:name="_Toc3317"/>
      <w:bookmarkStart w:id="180" w:name="_Toc30133"/>
      <w:bookmarkStart w:id="181" w:name="_Toc1805"/>
      <w:bookmarkStart w:id="182" w:name="_Toc10159"/>
      <w:r>
        <w:rPr>
          <w:rStyle w:val="27"/>
          <w:rFonts w:hint="eastAsia" w:ascii="宋体" w:hAnsi="宋体" w:eastAsia="宋体" w:cs="宋体"/>
          <w:color w:val="auto"/>
          <w:sz w:val="32"/>
          <w:szCs w:val="28"/>
          <w:lang w:val="en-US" w:eastAsia="zh-CN"/>
        </w:rPr>
        <w:t>附件4:</w:t>
      </w:r>
      <w:bookmarkEnd w:id="178"/>
      <w:bookmarkEnd w:id="179"/>
      <w:bookmarkEnd w:id="180"/>
      <w:r>
        <w:rPr>
          <w:rStyle w:val="27"/>
          <w:rFonts w:hint="eastAsia" w:ascii="宋体" w:hAnsi="宋体" w:eastAsia="宋体" w:cs="宋体"/>
          <w:color w:val="auto"/>
          <w:sz w:val="32"/>
          <w:szCs w:val="28"/>
          <w:lang w:val="en-US" w:eastAsia="zh-CN"/>
        </w:rPr>
        <w:t>采购内容及技术要求</w:t>
      </w:r>
    </w:p>
    <w:bookmarkEnd w:id="181"/>
    <w:bookmarkEnd w:id="182"/>
    <w:p>
      <w:pPr>
        <w:pStyle w:val="18"/>
        <w:tabs>
          <w:tab w:val="left" w:pos="615"/>
        </w:tabs>
        <w:ind w:firstLine="0" w:firstLineChars="0"/>
        <w:rPr>
          <w:rFonts w:hint="eastAsia" w:ascii="宋体" w:hAnsi="宋体" w:eastAsia="宋体" w:cs="宋体"/>
          <w:color w:val="auto"/>
          <w:kern w:val="2"/>
          <w:sz w:val="21"/>
          <w:szCs w:val="21"/>
        </w:rPr>
      </w:pPr>
    </w:p>
    <w:p>
      <w:pPr>
        <w:rPr>
          <w:rStyle w:val="27"/>
          <w:rFonts w:hint="eastAsia" w:ascii="宋体" w:hAnsi="宋体" w:eastAsia="宋体" w:cs="宋体"/>
          <w:color w:val="auto"/>
          <w:sz w:val="32"/>
          <w:szCs w:val="28"/>
          <w:lang w:val="en-US" w:eastAsia="zh-CN"/>
        </w:rPr>
      </w:pPr>
    </w:p>
    <w:p>
      <w:pPr>
        <w:pStyle w:val="32"/>
        <w:widowControl w:val="0"/>
        <w:numPr>
          <w:ilvl w:val="0"/>
          <w:numId w:val="0"/>
        </w:numPr>
        <w:spacing w:line="360" w:lineRule="auto"/>
        <w:jc w:val="both"/>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4" w:firstLineChars="200"/>
        <w:jc w:val="center"/>
        <w:textAlignment w:val="auto"/>
        <w:rPr>
          <w:rStyle w:val="27"/>
          <w:rFonts w:hint="eastAsia" w:ascii="宋体" w:hAnsi="宋体" w:eastAsia="宋体" w:cs="宋体"/>
          <w:b/>
          <w:color w:val="auto"/>
          <w:kern w:val="2"/>
          <w:sz w:val="32"/>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644" w:firstLineChars="200"/>
        <w:jc w:val="center"/>
        <w:textAlignment w:val="auto"/>
        <w:rPr>
          <w:rStyle w:val="27"/>
          <w:rFonts w:hint="eastAsia" w:ascii="宋体" w:hAnsi="宋体" w:eastAsia="宋体" w:cs="宋体"/>
          <w:b/>
          <w:color w:val="auto"/>
          <w:kern w:val="2"/>
          <w:sz w:val="32"/>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644" w:firstLineChars="200"/>
        <w:jc w:val="center"/>
        <w:textAlignment w:val="auto"/>
        <w:rPr>
          <w:rStyle w:val="27"/>
          <w:rFonts w:hint="eastAsia" w:ascii="宋体" w:hAnsi="宋体" w:eastAsia="宋体" w:cs="宋体"/>
          <w:b/>
          <w:color w:val="auto"/>
          <w:kern w:val="2"/>
          <w:sz w:val="32"/>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644" w:firstLineChars="200"/>
        <w:jc w:val="center"/>
        <w:textAlignment w:val="auto"/>
        <w:rPr>
          <w:rStyle w:val="27"/>
          <w:rFonts w:hint="eastAsia" w:ascii="宋体" w:hAnsi="宋体" w:eastAsia="宋体" w:cs="宋体"/>
          <w:b/>
          <w:color w:val="auto"/>
          <w:kern w:val="2"/>
          <w:sz w:val="32"/>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644" w:firstLineChars="200"/>
        <w:jc w:val="center"/>
        <w:textAlignment w:val="auto"/>
        <w:rPr>
          <w:rStyle w:val="27"/>
          <w:rFonts w:hint="eastAsia" w:ascii="宋体" w:hAnsi="宋体" w:eastAsia="宋体" w:cs="宋体"/>
          <w:b/>
          <w:color w:val="auto"/>
          <w:kern w:val="2"/>
          <w:sz w:val="32"/>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7"/>
          <w:rFonts w:hint="eastAsia" w:ascii="宋体" w:hAnsi="宋体" w:eastAsia="宋体" w:cs="宋体"/>
          <w:b/>
          <w:color w:val="auto"/>
          <w:kern w:val="2"/>
          <w:sz w:val="32"/>
          <w:szCs w:val="28"/>
          <w:lang w:val="en-US" w:eastAsia="zh-CN" w:bidi="ar-SA"/>
        </w:rPr>
      </w:pPr>
    </w:p>
    <w:p>
      <w:pPr>
        <w:pStyle w:val="24"/>
        <w:rPr>
          <w:rStyle w:val="27"/>
          <w:rFonts w:hint="eastAsia" w:ascii="宋体" w:hAnsi="宋体" w:eastAsia="宋体" w:cs="宋体"/>
          <w:b/>
          <w:color w:val="auto"/>
          <w:kern w:val="2"/>
          <w:sz w:val="32"/>
          <w:szCs w:val="28"/>
          <w:lang w:val="en-US" w:eastAsia="zh-CN" w:bidi="ar-SA"/>
        </w:rPr>
      </w:pPr>
    </w:p>
    <w:p>
      <w:pPr>
        <w:pStyle w:val="24"/>
        <w:rPr>
          <w:rStyle w:val="27"/>
          <w:rFonts w:hint="eastAsia" w:ascii="宋体" w:hAnsi="宋体" w:eastAsia="宋体" w:cs="宋体"/>
          <w:b/>
          <w:color w:val="auto"/>
          <w:kern w:val="2"/>
          <w:sz w:val="32"/>
          <w:szCs w:val="28"/>
          <w:lang w:val="en-US" w:eastAsia="zh-CN" w:bidi="ar-SA"/>
        </w:rPr>
      </w:pPr>
    </w:p>
    <w:p>
      <w:pPr>
        <w:pStyle w:val="24"/>
        <w:rPr>
          <w:rStyle w:val="27"/>
          <w:rFonts w:hint="eastAsia" w:ascii="宋体" w:hAnsi="宋体" w:eastAsia="宋体" w:cs="宋体"/>
          <w:b/>
          <w:color w:val="auto"/>
          <w:kern w:val="2"/>
          <w:sz w:val="32"/>
          <w:szCs w:val="28"/>
          <w:lang w:val="en-US" w:eastAsia="zh-CN" w:bidi="ar-SA"/>
        </w:rPr>
      </w:pPr>
    </w:p>
    <w:p>
      <w:pPr>
        <w:pStyle w:val="24"/>
        <w:rPr>
          <w:rStyle w:val="27"/>
          <w:rFonts w:hint="eastAsia" w:ascii="宋体" w:hAnsi="宋体" w:eastAsia="宋体" w:cs="宋体"/>
          <w:b/>
          <w:color w:val="auto"/>
          <w:kern w:val="2"/>
          <w:sz w:val="32"/>
          <w:szCs w:val="28"/>
          <w:lang w:val="en-US" w:eastAsia="zh-CN" w:bidi="ar-SA"/>
        </w:rPr>
      </w:pPr>
    </w:p>
    <w:p>
      <w:pPr>
        <w:pStyle w:val="24"/>
        <w:rPr>
          <w:rStyle w:val="27"/>
          <w:rFonts w:hint="eastAsia" w:ascii="宋体" w:hAnsi="宋体" w:eastAsia="宋体" w:cs="宋体"/>
          <w:b/>
          <w:color w:val="auto"/>
          <w:kern w:val="2"/>
          <w:sz w:val="32"/>
          <w:szCs w:val="28"/>
          <w:lang w:val="en-US" w:eastAsia="zh-CN" w:bidi="ar-SA"/>
        </w:rPr>
      </w:pPr>
    </w:p>
    <w:p>
      <w:pPr>
        <w:bidi w:val="0"/>
        <w:spacing w:line="600" w:lineRule="auto"/>
        <w:jc w:val="both"/>
        <w:rPr>
          <w:rStyle w:val="27"/>
          <w:rFonts w:hint="eastAsia" w:ascii="宋体" w:hAnsi="宋体" w:eastAsia="宋体" w:cs="宋体"/>
          <w:b/>
          <w:bCs/>
          <w:color w:val="auto"/>
          <w:sz w:val="32"/>
          <w:szCs w:val="28"/>
          <w:lang w:val="en-US" w:eastAsia="zh-CN"/>
        </w:rPr>
      </w:pPr>
    </w:p>
    <w:p>
      <w:pPr>
        <w:bidi w:val="0"/>
        <w:spacing w:line="600" w:lineRule="auto"/>
        <w:jc w:val="both"/>
        <w:rPr>
          <w:rStyle w:val="27"/>
          <w:rFonts w:hint="eastAsia" w:ascii="宋体" w:hAnsi="宋体" w:eastAsia="宋体" w:cs="宋体"/>
          <w:b/>
          <w:bCs/>
          <w:color w:val="auto"/>
          <w:sz w:val="32"/>
          <w:szCs w:val="28"/>
          <w:lang w:val="en-US" w:eastAsia="zh-CN"/>
        </w:rPr>
      </w:pPr>
    </w:p>
    <w:p>
      <w:pPr>
        <w:bidi w:val="0"/>
        <w:spacing w:line="600" w:lineRule="auto"/>
        <w:jc w:val="both"/>
        <w:rPr>
          <w:rStyle w:val="27"/>
          <w:rFonts w:hint="eastAsia" w:ascii="宋体" w:hAnsi="宋体" w:eastAsia="宋体" w:cs="宋体"/>
          <w:b/>
          <w:bCs/>
          <w:color w:val="auto"/>
          <w:sz w:val="32"/>
          <w:szCs w:val="28"/>
          <w:lang w:val="en-US" w:eastAsia="zh-CN"/>
        </w:rPr>
      </w:pPr>
    </w:p>
    <w:p>
      <w:pPr>
        <w:bidi w:val="0"/>
        <w:spacing w:line="600" w:lineRule="auto"/>
        <w:jc w:val="both"/>
        <w:rPr>
          <w:rStyle w:val="27"/>
          <w:rFonts w:hint="eastAsia" w:ascii="宋体" w:hAnsi="宋体" w:eastAsia="宋体" w:cs="宋体"/>
          <w:b/>
          <w:bCs/>
          <w:color w:val="auto"/>
          <w:sz w:val="32"/>
          <w:szCs w:val="28"/>
          <w:lang w:val="en-US" w:eastAsia="zh-CN"/>
        </w:rPr>
      </w:pPr>
    </w:p>
    <w:p>
      <w:pPr>
        <w:bidi w:val="0"/>
        <w:spacing w:line="600" w:lineRule="auto"/>
        <w:jc w:val="both"/>
        <w:rPr>
          <w:rStyle w:val="27"/>
          <w:rFonts w:hint="eastAsia" w:ascii="宋体" w:hAnsi="宋体" w:eastAsia="宋体" w:cs="宋体"/>
          <w:b/>
          <w:bCs/>
          <w:color w:val="auto"/>
          <w:sz w:val="32"/>
          <w:szCs w:val="28"/>
          <w:lang w:val="en-US" w:eastAsia="zh-CN"/>
        </w:rPr>
      </w:pPr>
    </w:p>
    <w:p>
      <w:pPr>
        <w:bidi w:val="0"/>
        <w:spacing w:line="600" w:lineRule="auto"/>
        <w:jc w:val="both"/>
        <w:rPr>
          <w:rStyle w:val="27"/>
          <w:rFonts w:hint="eastAsia" w:ascii="宋体" w:hAnsi="宋体" w:eastAsia="宋体" w:cs="宋体"/>
          <w:b/>
          <w:bCs/>
          <w:color w:val="auto"/>
          <w:sz w:val="32"/>
          <w:szCs w:val="28"/>
          <w:lang w:val="en-US" w:eastAsia="zh-CN"/>
        </w:rPr>
      </w:pPr>
    </w:p>
    <w:p>
      <w:pPr>
        <w:bidi w:val="0"/>
        <w:spacing w:line="600" w:lineRule="auto"/>
        <w:jc w:val="both"/>
        <w:rPr>
          <w:rStyle w:val="27"/>
          <w:rFonts w:hint="eastAsia" w:ascii="宋体" w:hAnsi="宋体" w:eastAsia="宋体" w:cs="宋体"/>
          <w:b/>
          <w:bCs/>
          <w:color w:val="auto"/>
          <w:sz w:val="32"/>
          <w:szCs w:val="28"/>
          <w:lang w:val="en-US" w:eastAsia="zh-CN"/>
        </w:rPr>
      </w:pPr>
      <w:bookmarkStart w:id="183" w:name="_Toc17995"/>
      <w:bookmarkStart w:id="184" w:name="_Toc25648"/>
      <w:r>
        <w:rPr>
          <w:rStyle w:val="27"/>
          <w:rFonts w:hint="eastAsia" w:ascii="宋体" w:hAnsi="宋体" w:eastAsia="宋体" w:cs="宋体"/>
          <w:b/>
          <w:bCs/>
          <w:color w:val="auto"/>
          <w:sz w:val="32"/>
          <w:szCs w:val="28"/>
          <w:lang w:val="en-US" w:eastAsia="zh-CN"/>
        </w:rPr>
        <w:t>附件5:</w:t>
      </w:r>
    </w:p>
    <w:bookmarkEnd w:id="183"/>
    <w:bookmarkEnd w:id="184"/>
    <w:p>
      <w:pPr>
        <w:keepNext w:val="0"/>
        <w:keepLines w:val="0"/>
        <w:pageBreakBefore w:val="0"/>
        <w:widowControl w:val="0"/>
        <w:kinsoku/>
        <w:wordWrap/>
        <w:overflowPunct/>
        <w:topLinePunct w:val="0"/>
        <w:autoSpaceDE/>
        <w:autoSpaceDN/>
        <w:bidi w:val="0"/>
        <w:adjustRightInd/>
        <w:snapToGrid/>
        <w:spacing w:line="360" w:lineRule="auto"/>
        <w:ind w:firstLine="644" w:firstLineChars="200"/>
        <w:jc w:val="center"/>
        <w:textAlignment w:val="auto"/>
        <w:rPr>
          <w:rStyle w:val="27"/>
          <w:rFonts w:hint="eastAsia" w:ascii="宋体" w:hAnsi="宋体" w:eastAsia="宋体" w:cs="宋体"/>
          <w:b/>
          <w:color w:val="auto"/>
          <w:kern w:val="2"/>
          <w:sz w:val="32"/>
          <w:szCs w:val="28"/>
          <w:lang w:val="en-US" w:eastAsia="zh-CN" w:bidi="ar-SA"/>
        </w:rPr>
      </w:pPr>
    </w:p>
    <w:p>
      <w:pPr>
        <w:bidi w:val="0"/>
        <w:rPr>
          <w:rFonts w:hint="eastAsia" w:ascii="宋体" w:hAnsi="宋体" w:eastAsia="宋体" w:cs="宋体"/>
          <w:b/>
          <w:color w:val="auto"/>
          <w:spacing w:val="20"/>
          <w:kern w:val="0"/>
          <w:sz w:val="24"/>
          <w:szCs w:val="24"/>
        </w:rPr>
      </w:pPr>
      <w:bookmarkStart w:id="185" w:name="_Toc6250"/>
      <w:bookmarkStart w:id="186" w:name="_Toc9408"/>
      <w:r>
        <w:rPr>
          <w:rStyle w:val="27"/>
          <w:rFonts w:hint="eastAsia" w:ascii="宋体" w:hAnsi="宋体" w:eastAsia="宋体" w:cs="宋体"/>
          <w:b/>
          <w:color w:val="auto"/>
          <w:kern w:val="2"/>
          <w:sz w:val="32"/>
          <w:szCs w:val="28"/>
          <w:lang w:val="en-US" w:eastAsia="zh-CN" w:bidi="ar-SA"/>
        </w:rPr>
        <w:t>投标方（投标方）反商业贿赂承诺书</w:t>
      </w:r>
      <w:bookmarkEnd w:id="185"/>
      <w:bookmarkEnd w:id="186"/>
    </w:p>
    <w:p>
      <w:pPr>
        <w:keepNext w:val="0"/>
        <w:keepLines w:val="0"/>
        <w:pageBreakBefore w:val="0"/>
        <w:widowControl w:val="0"/>
        <w:kinsoku/>
        <w:wordWrap/>
        <w:overflowPunct/>
        <w:topLinePunct w:val="0"/>
        <w:autoSpaceDE/>
        <w:autoSpaceDN/>
        <w:bidi w:val="0"/>
        <w:adjustRightInd/>
        <w:snapToGrid/>
        <w:spacing w:line="480" w:lineRule="auto"/>
        <w:ind w:firstLine="564" w:firstLineChars="200"/>
        <w:textAlignment w:val="auto"/>
        <w:rPr>
          <w:rFonts w:hint="eastAsia" w:ascii="宋体" w:hAnsi="宋体" w:eastAsia="宋体" w:cs="宋体"/>
          <w:color w:val="auto"/>
          <w:spacing w:val="20"/>
          <w:kern w:val="0"/>
          <w:sz w:val="24"/>
          <w:szCs w:val="24"/>
        </w:rPr>
      </w:pPr>
      <w:r>
        <w:rPr>
          <w:rFonts w:hint="eastAsia" w:ascii="宋体" w:hAnsi="宋体" w:eastAsia="宋体" w:cs="宋体"/>
          <w:color w:val="auto"/>
          <w:spacing w:val="20"/>
          <w:kern w:val="0"/>
          <w:sz w:val="24"/>
          <w:szCs w:val="24"/>
        </w:rPr>
        <w:t>我公司承诺在</w:t>
      </w:r>
      <w:r>
        <w:rPr>
          <w:rFonts w:hint="eastAsia" w:ascii="宋体" w:hAnsi="宋体" w:eastAsia="宋体" w:cs="宋体"/>
          <w:color w:val="auto"/>
          <w:spacing w:val="20"/>
          <w:kern w:val="0"/>
          <w:sz w:val="24"/>
          <w:szCs w:val="24"/>
          <w:u w:val="single"/>
        </w:rPr>
        <w:t>（项目编号，项目名称：）</w:t>
      </w:r>
      <w:r>
        <w:rPr>
          <w:rFonts w:hint="eastAsia" w:ascii="宋体" w:hAnsi="宋体" w:eastAsia="宋体" w:cs="宋体"/>
          <w:color w:val="auto"/>
          <w:spacing w:val="20"/>
          <w:kern w:val="0"/>
          <w:sz w:val="24"/>
          <w:szCs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keepNext w:val="0"/>
        <w:keepLines w:val="0"/>
        <w:pageBreakBefore w:val="0"/>
        <w:widowControl w:val="0"/>
        <w:kinsoku/>
        <w:wordWrap/>
        <w:overflowPunct/>
        <w:topLinePunct w:val="0"/>
        <w:autoSpaceDE/>
        <w:autoSpaceDN/>
        <w:bidi w:val="0"/>
        <w:adjustRightInd/>
        <w:snapToGrid/>
        <w:spacing w:line="480" w:lineRule="auto"/>
        <w:ind w:firstLine="564" w:firstLineChars="200"/>
        <w:textAlignment w:val="auto"/>
        <w:rPr>
          <w:rFonts w:hint="eastAsia" w:ascii="宋体" w:hAnsi="宋体" w:eastAsia="宋体" w:cs="宋体"/>
          <w:color w:val="auto"/>
          <w:spacing w:val="20"/>
          <w:kern w:val="0"/>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firstLine="564" w:firstLineChars="200"/>
        <w:textAlignment w:val="auto"/>
        <w:rPr>
          <w:rFonts w:hint="eastAsia" w:ascii="宋体" w:hAnsi="宋体" w:eastAsia="宋体" w:cs="宋体"/>
          <w:color w:val="auto"/>
          <w:spacing w:val="20"/>
          <w:kern w:val="0"/>
          <w:sz w:val="24"/>
          <w:szCs w:val="24"/>
        </w:rPr>
      </w:pPr>
      <w:r>
        <w:rPr>
          <w:rFonts w:hint="eastAsia" w:ascii="宋体" w:hAnsi="宋体" w:eastAsia="宋体" w:cs="宋体"/>
          <w:color w:val="auto"/>
          <w:spacing w:val="20"/>
          <w:kern w:val="0"/>
          <w:sz w:val="24"/>
          <w:szCs w:val="24"/>
        </w:rPr>
        <w:t>公司法人代表签字：</w:t>
      </w:r>
    </w:p>
    <w:p>
      <w:pPr>
        <w:keepNext w:val="0"/>
        <w:keepLines w:val="0"/>
        <w:pageBreakBefore w:val="0"/>
        <w:widowControl w:val="0"/>
        <w:kinsoku/>
        <w:wordWrap/>
        <w:overflowPunct/>
        <w:topLinePunct w:val="0"/>
        <w:autoSpaceDE/>
        <w:autoSpaceDN/>
        <w:bidi w:val="0"/>
        <w:adjustRightInd/>
        <w:snapToGrid/>
        <w:spacing w:line="480" w:lineRule="auto"/>
        <w:ind w:firstLine="564" w:firstLineChars="200"/>
        <w:textAlignment w:val="auto"/>
        <w:rPr>
          <w:rFonts w:hint="eastAsia" w:ascii="宋体" w:hAnsi="宋体" w:eastAsia="宋体" w:cs="宋体"/>
          <w:color w:val="auto"/>
          <w:spacing w:val="20"/>
          <w:kern w:val="0"/>
          <w:sz w:val="24"/>
          <w:szCs w:val="24"/>
        </w:rPr>
      </w:pPr>
      <w:r>
        <w:rPr>
          <w:rFonts w:hint="eastAsia" w:ascii="宋体" w:hAnsi="宋体" w:eastAsia="宋体" w:cs="宋体"/>
          <w:color w:val="auto"/>
          <w:spacing w:val="20"/>
          <w:kern w:val="0"/>
          <w:sz w:val="24"/>
          <w:szCs w:val="24"/>
        </w:rPr>
        <w:t>法人授权代表签字：</w:t>
      </w:r>
    </w:p>
    <w:p>
      <w:pPr>
        <w:keepNext w:val="0"/>
        <w:keepLines w:val="0"/>
        <w:pageBreakBefore w:val="0"/>
        <w:widowControl w:val="0"/>
        <w:kinsoku/>
        <w:wordWrap/>
        <w:overflowPunct/>
        <w:topLinePunct w:val="0"/>
        <w:autoSpaceDE/>
        <w:autoSpaceDN/>
        <w:bidi w:val="0"/>
        <w:adjustRightInd/>
        <w:snapToGrid/>
        <w:spacing w:line="480" w:lineRule="auto"/>
        <w:ind w:firstLine="564" w:firstLineChars="200"/>
        <w:textAlignment w:val="auto"/>
        <w:rPr>
          <w:rFonts w:hint="eastAsia" w:ascii="宋体" w:hAnsi="宋体" w:eastAsia="宋体" w:cs="宋体"/>
          <w:color w:val="auto"/>
          <w:spacing w:val="20"/>
          <w:kern w:val="0"/>
          <w:sz w:val="24"/>
          <w:szCs w:val="24"/>
        </w:rPr>
      </w:pPr>
      <w:r>
        <w:rPr>
          <w:rFonts w:hint="eastAsia" w:ascii="宋体" w:hAnsi="宋体" w:eastAsia="宋体" w:cs="宋体"/>
          <w:color w:val="auto"/>
          <w:spacing w:val="20"/>
          <w:kern w:val="0"/>
          <w:sz w:val="24"/>
          <w:szCs w:val="24"/>
        </w:rPr>
        <w:t>项目经办人签字：</w:t>
      </w:r>
    </w:p>
    <w:p>
      <w:pPr>
        <w:keepNext w:val="0"/>
        <w:keepLines w:val="0"/>
        <w:pageBreakBefore w:val="0"/>
        <w:widowControl w:val="0"/>
        <w:kinsoku/>
        <w:wordWrap/>
        <w:overflowPunct/>
        <w:topLinePunct w:val="0"/>
        <w:autoSpaceDE/>
        <w:autoSpaceDN/>
        <w:bidi w:val="0"/>
        <w:adjustRightInd/>
        <w:snapToGrid/>
        <w:spacing w:line="480" w:lineRule="auto"/>
        <w:ind w:firstLine="564" w:firstLineChars="200"/>
        <w:textAlignment w:val="auto"/>
        <w:rPr>
          <w:rFonts w:hint="eastAsia" w:ascii="宋体" w:hAnsi="宋体" w:eastAsia="宋体" w:cs="宋体"/>
          <w:color w:val="auto"/>
          <w:spacing w:val="20"/>
          <w:sz w:val="24"/>
          <w:szCs w:val="24"/>
        </w:rPr>
      </w:pPr>
      <w:r>
        <w:rPr>
          <w:rFonts w:hint="eastAsia" w:ascii="宋体" w:hAnsi="宋体" w:eastAsia="宋体" w:cs="宋体"/>
          <w:bCs/>
          <w:color w:val="auto"/>
          <w:spacing w:val="20"/>
          <w:kern w:val="0"/>
          <w:sz w:val="24"/>
          <w:szCs w:val="24"/>
        </w:rPr>
        <w:t xml:space="preserve">承诺日期：20  年   </w:t>
      </w:r>
      <w:r>
        <w:rPr>
          <w:rFonts w:hint="eastAsia" w:ascii="宋体" w:hAnsi="宋体" w:eastAsia="宋体" w:cs="宋体"/>
          <w:color w:val="auto"/>
          <w:spacing w:val="20"/>
          <w:kern w:val="0"/>
          <w:sz w:val="24"/>
          <w:szCs w:val="24"/>
        </w:rPr>
        <w:t>月   日</w:t>
      </w:r>
    </w:p>
    <w:bookmarkEnd w:id="176"/>
    <w:bookmarkEnd w:id="177"/>
    <w:p>
      <w:pPr>
        <w:keepNext w:val="0"/>
        <w:keepLines w:val="0"/>
        <w:pageBreakBefore w:val="0"/>
        <w:widowControl w:val="0"/>
        <w:kinsoku/>
        <w:wordWrap w:val="0"/>
        <w:overflowPunct/>
        <w:topLinePunct w:val="0"/>
        <w:autoSpaceDE/>
        <w:autoSpaceDN/>
        <w:bidi w:val="0"/>
        <w:adjustRightInd/>
        <w:snapToGrid/>
        <w:spacing w:line="480" w:lineRule="auto"/>
        <w:jc w:val="right"/>
        <w:textAlignment w:val="auto"/>
        <w:rPr>
          <w:rFonts w:hint="eastAsia" w:ascii="宋体" w:hAnsi="宋体" w:eastAsia="宋体" w:cs="宋体"/>
          <w:color w:val="auto"/>
          <w:sz w:val="24"/>
          <w:szCs w:val="24"/>
          <w:lang w:val="en-US" w:eastAsia="zh-CN"/>
        </w:rPr>
        <w:sectPr>
          <w:pgSz w:w="11906" w:h="16838"/>
          <w:pgMar w:top="1417" w:right="1417" w:bottom="1417" w:left="1417" w:header="851" w:footer="850" w:gutter="0"/>
          <w:pgNumType w:fmt="decimal"/>
          <w:cols w:space="720" w:num="1"/>
          <w:titlePg/>
          <w:docGrid w:type="linesAndChars" w:linePitch="312" w:charSpace="530"/>
        </w:sectPr>
      </w:pPr>
      <w:bookmarkStart w:id="187" w:name="_Toc5939"/>
      <w:bookmarkStart w:id="188" w:name="_Toc22473"/>
      <w:bookmarkStart w:id="189" w:name="_Toc15866"/>
    </w:p>
    <w:bookmarkEnd w:id="187"/>
    <w:bookmarkEnd w:id="188"/>
    <w:bookmarkEnd w:id="189"/>
    <w:p>
      <w:pPr>
        <w:bidi w:val="0"/>
        <w:spacing w:line="600" w:lineRule="auto"/>
        <w:rPr>
          <w:rStyle w:val="27"/>
          <w:rFonts w:hint="eastAsia" w:ascii="宋体" w:hAnsi="宋体" w:eastAsia="宋体" w:cs="宋体"/>
          <w:color w:val="auto"/>
          <w:sz w:val="32"/>
          <w:szCs w:val="28"/>
          <w:lang w:val="en-US" w:eastAsia="zh-CN"/>
        </w:rPr>
      </w:pPr>
      <w:bookmarkStart w:id="190" w:name="_Toc12584"/>
      <w:bookmarkStart w:id="191" w:name="_Toc3096"/>
      <w:bookmarkStart w:id="192" w:name="_Toc6467"/>
      <w:bookmarkStart w:id="193" w:name="_Toc13267"/>
      <w:bookmarkStart w:id="194" w:name="_Toc4526"/>
      <w:r>
        <w:rPr>
          <w:rStyle w:val="27"/>
          <w:rFonts w:hint="eastAsia" w:ascii="宋体" w:hAnsi="宋体" w:eastAsia="宋体" w:cs="宋体"/>
          <w:b/>
          <w:bCs/>
          <w:color w:val="auto"/>
          <w:sz w:val="32"/>
          <w:szCs w:val="28"/>
          <w:lang w:val="en-US" w:eastAsia="zh-CN"/>
        </w:rPr>
        <w:t>附件6:</w:t>
      </w:r>
    </w:p>
    <w:bookmarkEnd w:id="190"/>
    <w:bookmarkEnd w:id="191"/>
    <w:p>
      <w:pPr>
        <w:bidi w:val="0"/>
        <w:jc w:val="center"/>
        <w:rPr>
          <w:rStyle w:val="27"/>
          <w:rFonts w:hint="eastAsia" w:ascii="宋体" w:hAnsi="宋体" w:eastAsia="宋体" w:cs="宋体"/>
          <w:color w:val="auto"/>
          <w:sz w:val="32"/>
          <w:szCs w:val="28"/>
          <w:lang w:val="en-US" w:eastAsia="zh-CN"/>
        </w:rPr>
      </w:pPr>
      <w:bookmarkStart w:id="195" w:name="_Toc11979"/>
      <w:bookmarkStart w:id="196" w:name="_Toc2085"/>
      <w:r>
        <w:rPr>
          <w:rStyle w:val="27"/>
          <w:rFonts w:hint="eastAsia" w:ascii="宋体" w:hAnsi="宋体" w:eastAsia="宋体" w:cs="宋体"/>
          <w:color w:val="auto"/>
          <w:sz w:val="32"/>
          <w:szCs w:val="28"/>
          <w:lang w:val="en-US" w:eastAsia="zh-CN"/>
        </w:rPr>
        <w:t>商务条款偏离表</w:t>
      </w:r>
      <w:bookmarkEnd w:id="192"/>
      <w:bookmarkEnd w:id="193"/>
      <w:bookmarkEnd w:id="194"/>
    </w:p>
    <w:bookmarkEnd w:id="195"/>
    <w:bookmarkEnd w:id="196"/>
    <w:p>
      <w:pPr>
        <w:pStyle w:val="23"/>
        <w:spacing w:line="480" w:lineRule="exact"/>
        <w:ind w:firstLine="103" w:firstLineChars="43"/>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项目名称：</w:t>
      </w:r>
      <w:r>
        <w:rPr>
          <w:rFonts w:hint="eastAsia" w:ascii="宋体" w:hAnsi="宋体" w:eastAsia="宋体" w:cs="宋体"/>
          <w:color w:val="auto"/>
          <w:kern w:val="2"/>
          <w:sz w:val="24"/>
          <w:szCs w:val="24"/>
          <w:lang w:val="en-US" w:eastAsia="zh-CN" w:bidi="ar-SA"/>
        </w:rPr>
        <w:t xml:space="preserve"> 　</w:t>
      </w:r>
      <w:r>
        <w:rPr>
          <w:rFonts w:hint="eastAsia" w:ascii="宋体" w:hAnsi="宋体" w:eastAsia="宋体" w:cs="宋体"/>
          <w:color w:val="auto"/>
          <w:sz w:val="24"/>
          <w:szCs w:val="24"/>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2749"/>
        <w:gridCol w:w="3287"/>
        <w:gridCol w:w="3177"/>
        <w:gridCol w:w="2015"/>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749"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条目号</w:t>
            </w:r>
          </w:p>
        </w:tc>
        <w:tc>
          <w:tcPr>
            <w:tcW w:w="3287"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的商务条款</w:t>
            </w:r>
          </w:p>
        </w:tc>
        <w:tc>
          <w:tcPr>
            <w:tcW w:w="3177"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的商务条款</w:t>
            </w:r>
          </w:p>
        </w:tc>
        <w:tc>
          <w:tcPr>
            <w:tcW w:w="2015"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w:t>
            </w:r>
          </w:p>
        </w:tc>
        <w:tc>
          <w:tcPr>
            <w:tcW w:w="1639"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noWrap w:val="0"/>
            <w:vAlign w:val="top"/>
          </w:tcPr>
          <w:p>
            <w:pPr>
              <w:bidi w:val="0"/>
              <w:rPr>
                <w:rFonts w:hint="eastAsia" w:ascii="宋体" w:hAnsi="宋体" w:eastAsia="宋体" w:cs="宋体"/>
                <w:color w:val="auto"/>
                <w:sz w:val="24"/>
                <w:szCs w:val="24"/>
              </w:rPr>
            </w:pPr>
          </w:p>
        </w:tc>
        <w:tc>
          <w:tcPr>
            <w:tcW w:w="2749" w:type="dxa"/>
            <w:noWrap w:val="0"/>
            <w:vAlign w:val="top"/>
          </w:tcPr>
          <w:p>
            <w:pPr>
              <w:bidi w:val="0"/>
              <w:rPr>
                <w:rFonts w:hint="eastAsia" w:ascii="宋体" w:hAnsi="宋体" w:eastAsia="宋体" w:cs="宋体"/>
                <w:color w:val="auto"/>
                <w:sz w:val="24"/>
                <w:szCs w:val="24"/>
              </w:rPr>
            </w:pPr>
          </w:p>
        </w:tc>
        <w:tc>
          <w:tcPr>
            <w:tcW w:w="3287" w:type="dxa"/>
            <w:noWrap w:val="0"/>
            <w:vAlign w:val="top"/>
          </w:tcPr>
          <w:p>
            <w:pPr>
              <w:bidi w:val="0"/>
              <w:rPr>
                <w:rFonts w:hint="eastAsia" w:ascii="宋体" w:hAnsi="宋体" w:eastAsia="宋体" w:cs="宋体"/>
                <w:color w:val="auto"/>
                <w:sz w:val="24"/>
                <w:szCs w:val="24"/>
              </w:rPr>
            </w:pPr>
          </w:p>
        </w:tc>
        <w:tc>
          <w:tcPr>
            <w:tcW w:w="3177" w:type="dxa"/>
            <w:noWrap w:val="0"/>
            <w:vAlign w:val="top"/>
          </w:tcPr>
          <w:p>
            <w:pPr>
              <w:bidi w:val="0"/>
              <w:rPr>
                <w:rFonts w:hint="eastAsia" w:ascii="宋体" w:hAnsi="宋体" w:eastAsia="宋体" w:cs="宋体"/>
                <w:color w:val="auto"/>
                <w:sz w:val="24"/>
                <w:szCs w:val="24"/>
              </w:rPr>
            </w:pPr>
          </w:p>
        </w:tc>
        <w:tc>
          <w:tcPr>
            <w:tcW w:w="2015" w:type="dxa"/>
            <w:noWrap w:val="0"/>
            <w:vAlign w:val="top"/>
          </w:tcPr>
          <w:p>
            <w:pPr>
              <w:bidi w:val="0"/>
              <w:rPr>
                <w:rFonts w:hint="eastAsia" w:ascii="宋体" w:hAnsi="宋体" w:eastAsia="宋体" w:cs="宋体"/>
                <w:color w:val="auto"/>
                <w:sz w:val="24"/>
                <w:szCs w:val="24"/>
              </w:rPr>
            </w:pPr>
          </w:p>
        </w:tc>
        <w:tc>
          <w:tcPr>
            <w:tcW w:w="1639" w:type="dxa"/>
            <w:noWrap w:val="0"/>
            <w:vAlign w:val="top"/>
          </w:tcPr>
          <w:p>
            <w:pPr>
              <w:bidi w:val="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noWrap w:val="0"/>
            <w:vAlign w:val="top"/>
          </w:tcPr>
          <w:p>
            <w:pPr>
              <w:bidi w:val="0"/>
              <w:rPr>
                <w:rFonts w:hint="eastAsia" w:ascii="宋体" w:hAnsi="宋体" w:eastAsia="宋体" w:cs="宋体"/>
                <w:color w:val="auto"/>
                <w:sz w:val="24"/>
                <w:szCs w:val="24"/>
              </w:rPr>
            </w:pPr>
          </w:p>
        </w:tc>
        <w:tc>
          <w:tcPr>
            <w:tcW w:w="2749" w:type="dxa"/>
            <w:noWrap w:val="0"/>
            <w:vAlign w:val="top"/>
          </w:tcPr>
          <w:p>
            <w:pPr>
              <w:bidi w:val="0"/>
              <w:rPr>
                <w:rFonts w:hint="eastAsia" w:ascii="宋体" w:hAnsi="宋体" w:eastAsia="宋体" w:cs="宋体"/>
                <w:color w:val="auto"/>
                <w:sz w:val="24"/>
                <w:szCs w:val="24"/>
              </w:rPr>
            </w:pPr>
          </w:p>
        </w:tc>
        <w:tc>
          <w:tcPr>
            <w:tcW w:w="3287" w:type="dxa"/>
            <w:noWrap w:val="0"/>
            <w:vAlign w:val="top"/>
          </w:tcPr>
          <w:p>
            <w:pPr>
              <w:bidi w:val="0"/>
              <w:rPr>
                <w:rFonts w:hint="eastAsia" w:ascii="宋体" w:hAnsi="宋体" w:eastAsia="宋体" w:cs="宋体"/>
                <w:color w:val="auto"/>
                <w:sz w:val="24"/>
                <w:szCs w:val="24"/>
              </w:rPr>
            </w:pPr>
          </w:p>
        </w:tc>
        <w:tc>
          <w:tcPr>
            <w:tcW w:w="3177" w:type="dxa"/>
            <w:noWrap w:val="0"/>
            <w:vAlign w:val="top"/>
          </w:tcPr>
          <w:p>
            <w:pPr>
              <w:bidi w:val="0"/>
              <w:rPr>
                <w:rFonts w:hint="eastAsia" w:ascii="宋体" w:hAnsi="宋体" w:eastAsia="宋体" w:cs="宋体"/>
                <w:color w:val="auto"/>
                <w:sz w:val="24"/>
                <w:szCs w:val="24"/>
              </w:rPr>
            </w:pPr>
          </w:p>
        </w:tc>
        <w:tc>
          <w:tcPr>
            <w:tcW w:w="2015" w:type="dxa"/>
            <w:noWrap w:val="0"/>
            <w:vAlign w:val="top"/>
          </w:tcPr>
          <w:p>
            <w:pPr>
              <w:bidi w:val="0"/>
              <w:rPr>
                <w:rFonts w:hint="eastAsia" w:ascii="宋体" w:hAnsi="宋体" w:eastAsia="宋体" w:cs="宋体"/>
                <w:color w:val="auto"/>
                <w:sz w:val="24"/>
                <w:szCs w:val="24"/>
              </w:rPr>
            </w:pPr>
          </w:p>
        </w:tc>
        <w:tc>
          <w:tcPr>
            <w:tcW w:w="1639" w:type="dxa"/>
            <w:noWrap w:val="0"/>
            <w:vAlign w:val="top"/>
          </w:tcPr>
          <w:p>
            <w:pPr>
              <w:bidi w:val="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noWrap w:val="0"/>
            <w:vAlign w:val="top"/>
          </w:tcPr>
          <w:p>
            <w:pPr>
              <w:bidi w:val="0"/>
              <w:rPr>
                <w:rFonts w:hint="eastAsia" w:ascii="宋体" w:hAnsi="宋体" w:eastAsia="宋体" w:cs="宋体"/>
                <w:color w:val="auto"/>
                <w:sz w:val="24"/>
                <w:szCs w:val="24"/>
              </w:rPr>
            </w:pPr>
          </w:p>
        </w:tc>
        <w:tc>
          <w:tcPr>
            <w:tcW w:w="2749" w:type="dxa"/>
            <w:noWrap w:val="0"/>
            <w:vAlign w:val="top"/>
          </w:tcPr>
          <w:p>
            <w:pPr>
              <w:bidi w:val="0"/>
              <w:rPr>
                <w:rFonts w:hint="eastAsia" w:ascii="宋体" w:hAnsi="宋体" w:eastAsia="宋体" w:cs="宋体"/>
                <w:color w:val="auto"/>
                <w:sz w:val="24"/>
                <w:szCs w:val="24"/>
              </w:rPr>
            </w:pPr>
          </w:p>
        </w:tc>
        <w:tc>
          <w:tcPr>
            <w:tcW w:w="3287" w:type="dxa"/>
            <w:noWrap w:val="0"/>
            <w:vAlign w:val="top"/>
          </w:tcPr>
          <w:p>
            <w:pPr>
              <w:bidi w:val="0"/>
              <w:rPr>
                <w:rFonts w:hint="eastAsia" w:ascii="宋体" w:hAnsi="宋体" w:eastAsia="宋体" w:cs="宋体"/>
                <w:color w:val="auto"/>
                <w:sz w:val="24"/>
                <w:szCs w:val="24"/>
              </w:rPr>
            </w:pPr>
          </w:p>
        </w:tc>
        <w:tc>
          <w:tcPr>
            <w:tcW w:w="3177" w:type="dxa"/>
            <w:noWrap w:val="0"/>
            <w:vAlign w:val="top"/>
          </w:tcPr>
          <w:p>
            <w:pPr>
              <w:bidi w:val="0"/>
              <w:rPr>
                <w:rFonts w:hint="eastAsia" w:ascii="宋体" w:hAnsi="宋体" w:eastAsia="宋体" w:cs="宋体"/>
                <w:color w:val="auto"/>
                <w:sz w:val="24"/>
                <w:szCs w:val="24"/>
              </w:rPr>
            </w:pPr>
          </w:p>
        </w:tc>
        <w:tc>
          <w:tcPr>
            <w:tcW w:w="2015" w:type="dxa"/>
            <w:noWrap w:val="0"/>
            <w:vAlign w:val="top"/>
          </w:tcPr>
          <w:p>
            <w:pPr>
              <w:bidi w:val="0"/>
              <w:rPr>
                <w:rFonts w:hint="eastAsia" w:ascii="宋体" w:hAnsi="宋体" w:eastAsia="宋体" w:cs="宋体"/>
                <w:color w:val="auto"/>
                <w:sz w:val="24"/>
                <w:szCs w:val="24"/>
              </w:rPr>
            </w:pPr>
          </w:p>
        </w:tc>
        <w:tc>
          <w:tcPr>
            <w:tcW w:w="1639" w:type="dxa"/>
            <w:noWrap w:val="0"/>
            <w:vAlign w:val="top"/>
          </w:tcPr>
          <w:p>
            <w:pPr>
              <w:bidi w:val="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noWrap w:val="0"/>
            <w:vAlign w:val="top"/>
          </w:tcPr>
          <w:p>
            <w:pPr>
              <w:bidi w:val="0"/>
              <w:rPr>
                <w:rFonts w:hint="eastAsia" w:ascii="宋体" w:hAnsi="宋体" w:eastAsia="宋体" w:cs="宋体"/>
                <w:color w:val="auto"/>
                <w:sz w:val="24"/>
                <w:szCs w:val="24"/>
              </w:rPr>
            </w:pPr>
          </w:p>
        </w:tc>
        <w:tc>
          <w:tcPr>
            <w:tcW w:w="2749" w:type="dxa"/>
            <w:noWrap w:val="0"/>
            <w:vAlign w:val="top"/>
          </w:tcPr>
          <w:p>
            <w:pPr>
              <w:bidi w:val="0"/>
              <w:rPr>
                <w:rFonts w:hint="eastAsia" w:ascii="宋体" w:hAnsi="宋体" w:eastAsia="宋体" w:cs="宋体"/>
                <w:color w:val="auto"/>
                <w:sz w:val="24"/>
                <w:szCs w:val="24"/>
              </w:rPr>
            </w:pPr>
          </w:p>
        </w:tc>
        <w:tc>
          <w:tcPr>
            <w:tcW w:w="3287" w:type="dxa"/>
            <w:noWrap w:val="0"/>
            <w:vAlign w:val="top"/>
          </w:tcPr>
          <w:p>
            <w:pPr>
              <w:bidi w:val="0"/>
              <w:rPr>
                <w:rFonts w:hint="eastAsia" w:ascii="宋体" w:hAnsi="宋体" w:eastAsia="宋体" w:cs="宋体"/>
                <w:color w:val="auto"/>
                <w:sz w:val="24"/>
                <w:szCs w:val="24"/>
              </w:rPr>
            </w:pPr>
          </w:p>
        </w:tc>
        <w:tc>
          <w:tcPr>
            <w:tcW w:w="3177" w:type="dxa"/>
            <w:noWrap w:val="0"/>
            <w:vAlign w:val="top"/>
          </w:tcPr>
          <w:p>
            <w:pPr>
              <w:bidi w:val="0"/>
              <w:rPr>
                <w:rFonts w:hint="eastAsia" w:ascii="宋体" w:hAnsi="宋体" w:eastAsia="宋体" w:cs="宋体"/>
                <w:color w:val="auto"/>
                <w:sz w:val="24"/>
                <w:szCs w:val="24"/>
              </w:rPr>
            </w:pPr>
          </w:p>
        </w:tc>
        <w:tc>
          <w:tcPr>
            <w:tcW w:w="2015" w:type="dxa"/>
            <w:noWrap w:val="0"/>
            <w:vAlign w:val="top"/>
          </w:tcPr>
          <w:p>
            <w:pPr>
              <w:bidi w:val="0"/>
              <w:rPr>
                <w:rFonts w:hint="eastAsia" w:ascii="宋体" w:hAnsi="宋体" w:eastAsia="宋体" w:cs="宋体"/>
                <w:color w:val="auto"/>
                <w:sz w:val="24"/>
                <w:szCs w:val="24"/>
              </w:rPr>
            </w:pPr>
          </w:p>
        </w:tc>
        <w:tc>
          <w:tcPr>
            <w:tcW w:w="1639" w:type="dxa"/>
            <w:noWrap w:val="0"/>
            <w:vAlign w:val="top"/>
          </w:tcPr>
          <w:p>
            <w:pPr>
              <w:bidi w:val="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noWrap w:val="0"/>
            <w:vAlign w:val="top"/>
          </w:tcPr>
          <w:p>
            <w:pPr>
              <w:bidi w:val="0"/>
              <w:rPr>
                <w:rFonts w:hint="eastAsia" w:ascii="宋体" w:hAnsi="宋体" w:eastAsia="宋体" w:cs="宋体"/>
                <w:color w:val="auto"/>
                <w:sz w:val="24"/>
                <w:szCs w:val="24"/>
              </w:rPr>
            </w:pPr>
          </w:p>
        </w:tc>
        <w:tc>
          <w:tcPr>
            <w:tcW w:w="2749" w:type="dxa"/>
            <w:noWrap w:val="0"/>
            <w:vAlign w:val="top"/>
          </w:tcPr>
          <w:p>
            <w:pPr>
              <w:bidi w:val="0"/>
              <w:rPr>
                <w:rFonts w:hint="eastAsia" w:ascii="宋体" w:hAnsi="宋体" w:eastAsia="宋体" w:cs="宋体"/>
                <w:color w:val="auto"/>
                <w:sz w:val="24"/>
                <w:szCs w:val="24"/>
              </w:rPr>
            </w:pPr>
          </w:p>
        </w:tc>
        <w:tc>
          <w:tcPr>
            <w:tcW w:w="3287" w:type="dxa"/>
            <w:noWrap w:val="0"/>
            <w:vAlign w:val="top"/>
          </w:tcPr>
          <w:p>
            <w:pPr>
              <w:bidi w:val="0"/>
              <w:rPr>
                <w:rFonts w:hint="eastAsia" w:ascii="宋体" w:hAnsi="宋体" w:eastAsia="宋体" w:cs="宋体"/>
                <w:color w:val="auto"/>
                <w:sz w:val="24"/>
                <w:szCs w:val="24"/>
              </w:rPr>
            </w:pPr>
          </w:p>
        </w:tc>
        <w:tc>
          <w:tcPr>
            <w:tcW w:w="3177" w:type="dxa"/>
            <w:noWrap w:val="0"/>
            <w:vAlign w:val="top"/>
          </w:tcPr>
          <w:p>
            <w:pPr>
              <w:bidi w:val="0"/>
              <w:rPr>
                <w:rFonts w:hint="eastAsia" w:ascii="宋体" w:hAnsi="宋体" w:eastAsia="宋体" w:cs="宋体"/>
                <w:color w:val="auto"/>
                <w:sz w:val="24"/>
                <w:szCs w:val="24"/>
              </w:rPr>
            </w:pPr>
          </w:p>
        </w:tc>
        <w:tc>
          <w:tcPr>
            <w:tcW w:w="2015" w:type="dxa"/>
            <w:noWrap w:val="0"/>
            <w:vAlign w:val="top"/>
          </w:tcPr>
          <w:p>
            <w:pPr>
              <w:bidi w:val="0"/>
              <w:rPr>
                <w:rFonts w:hint="eastAsia" w:ascii="宋体" w:hAnsi="宋体" w:eastAsia="宋体" w:cs="宋体"/>
                <w:color w:val="auto"/>
                <w:sz w:val="24"/>
                <w:szCs w:val="24"/>
              </w:rPr>
            </w:pPr>
          </w:p>
        </w:tc>
        <w:tc>
          <w:tcPr>
            <w:tcW w:w="1639" w:type="dxa"/>
            <w:noWrap w:val="0"/>
            <w:vAlign w:val="top"/>
          </w:tcPr>
          <w:p>
            <w:pPr>
              <w:bidi w:val="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noWrap w:val="0"/>
            <w:vAlign w:val="top"/>
          </w:tcPr>
          <w:p>
            <w:pPr>
              <w:bidi w:val="0"/>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749" w:type="dxa"/>
            <w:noWrap w:val="0"/>
            <w:vAlign w:val="top"/>
          </w:tcPr>
          <w:p>
            <w:pPr>
              <w:bidi w:val="0"/>
              <w:rPr>
                <w:rFonts w:hint="eastAsia" w:ascii="宋体" w:hAnsi="宋体" w:eastAsia="宋体" w:cs="宋体"/>
                <w:color w:val="auto"/>
                <w:sz w:val="24"/>
                <w:szCs w:val="24"/>
              </w:rPr>
            </w:pPr>
          </w:p>
        </w:tc>
        <w:tc>
          <w:tcPr>
            <w:tcW w:w="3287" w:type="dxa"/>
            <w:noWrap w:val="0"/>
            <w:vAlign w:val="top"/>
          </w:tcPr>
          <w:p>
            <w:pPr>
              <w:bidi w:val="0"/>
              <w:rPr>
                <w:rFonts w:hint="eastAsia" w:ascii="宋体" w:hAnsi="宋体" w:eastAsia="宋体" w:cs="宋体"/>
                <w:color w:val="auto"/>
                <w:sz w:val="24"/>
                <w:szCs w:val="24"/>
              </w:rPr>
            </w:pPr>
          </w:p>
        </w:tc>
        <w:tc>
          <w:tcPr>
            <w:tcW w:w="3177" w:type="dxa"/>
            <w:noWrap w:val="0"/>
            <w:vAlign w:val="top"/>
          </w:tcPr>
          <w:p>
            <w:pPr>
              <w:bidi w:val="0"/>
              <w:rPr>
                <w:rFonts w:hint="eastAsia" w:ascii="宋体" w:hAnsi="宋体" w:eastAsia="宋体" w:cs="宋体"/>
                <w:color w:val="auto"/>
                <w:sz w:val="24"/>
                <w:szCs w:val="24"/>
              </w:rPr>
            </w:pPr>
          </w:p>
        </w:tc>
        <w:tc>
          <w:tcPr>
            <w:tcW w:w="2015" w:type="dxa"/>
            <w:noWrap w:val="0"/>
            <w:vAlign w:val="top"/>
          </w:tcPr>
          <w:p>
            <w:pPr>
              <w:bidi w:val="0"/>
              <w:rPr>
                <w:rFonts w:hint="eastAsia" w:ascii="宋体" w:hAnsi="宋体" w:eastAsia="宋体" w:cs="宋体"/>
                <w:color w:val="auto"/>
                <w:sz w:val="24"/>
                <w:szCs w:val="24"/>
              </w:rPr>
            </w:pPr>
          </w:p>
        </w:tc>
        <w:tc>
          <w:tcPr>
            <w:tcW w:w="1639" w:type="dxa"/>
            <w:noWrap w:val="0"/>
            <w:vAlign w:val="top"/>
          </w:tcPr>
          <w:p>
            <w:pPr>
              <w:bidi w:val="0"/>
              <w:rPr>
                <w:rFonts w:hint="eastAsia" w:ascii="宋体" w:hAnsi="宋体" w:eastAsia="宋体" w:cs="宋体"/>
                <w:color w:val="auto"/>
                <w:sz w:val="24"/>
                <w:szCs w:val="24"/>
              </w:rPr>
            </w:pPr>
          </w:p>
        </w:tc>
      </w:tr>
    </w:tbl>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注:若有偏离,请将具体偏离条款在“偏离”一栏中详细说明;若无偏离,请在“偏离”一栏中标注“无”字样。</w:t>
      </w:r>
    </w:p>
    <w:p>
      <w:pPr>
        <w:bidi w:val="0"/>
        <w:spacing w:line="60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供应商名称（盖章）：</w:t>
      </w:r>
    </w:p>
    <w:p>
      <w:pPr>
        <w:bidi w:val="0"/>
        <w:spacing w:line="60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法定代表人或委托代理人（签字或盖章）：</w:t>
      </w:r>
    </w:p>
    <w:p>
      <w:pPr>
        <w:bidi w:val="0"/>
        <w:spacing w:line="60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bookmarkStart w:id="197" w:name="_Toc2824"/>
      <w:bookmarkStart w:id="198" w:name="_Toc28375"/>
      <w:bookmarkStart w:id="199" w:name="_Toc5781"/>
    </w:p>
    <w:p>
      <w:pPr>
        <w:bidi w:val="0"/>
        <w:rPr>
          <w:rStyle w:val="27"/>
          <w:rFonts w:hint="eastAsia" w:ascii="宋体" w:hAnsi="宋体" w:eastAsia="宋体" w:cs="宋体"/>
          <w:color w:val="auto"/>
          <w:sz w:val="32"/>
          <w:szCs w:val="28"/>
          <w:lang w:val="en-US" w:eastAsia="zh-CN"/>
        </w:rPr>
      </w:pPr>
      <w:r>
        <w:rPr>
          <w:rFonts w:hint="eastAsia" w:ascii="宋体" w:hAnsi="宋体" w:eastAsia="宋体" w:cs="宋体"/>
          <w:color w:val="auto"/>
          <w:sz w:val="28"/>
          <w:szCs w:val="28"/>
        </w:rPr>
        <w:br w:type="page"/>
      </w:r>
      <w:bookmarkEnd w:id="197"/>
      <w:bookmarkEnd w:id="198"/>
      <w:bookmarkEnd w:id="199"/>
      <w:bookmarkStart w:id="200" w:name="_Toc13875"/>
      <w:bookmarkStart w:id="201" w:name="_Toc16059"/>
      <w:r>
        <w:rPr>
          <w:rStyle w:val="27"/>
          <w:rFonts w:hint="eastAsia" w:ascii="宋体" w:hAnsi="宋体" w:eastAsia="宋体" w:cs="宋体"/>
          <w:color w:val="auto"/>
          <w:sz w:val="32"/>
          <w:szCs w:val="28"/>
          <w:lang w:val="en-US" w:eastAsia="zh-CN"/>
        </w:rPr>
        <w:t>附件7:</w:t>
      </w:r>
    </w:p>
    <w:bookmarkEnd w:id="200"/>
    <w:bookmarkEnd w:id="201"/>
    <w:p>
      <w:pPr>
        <w:bidi w:val="0"/>
        <w:spacing w:line="600" w:lineRule="auto"/>
        <w:rPr>
          <w:rStyle w:val="27"/>
          <w:rFonts w:hint="eastAsia" w:ascii="宋体" w:hAnsi="宋体" w:eastAsia="宋体" w:cs="宋体"/>
          <w:color w:val="auto"/>
          <w:sz w:val="32"/>
          <w:szCs w:val="28"/>
          <w:lang w:val="en-US" w:eastAsia="zh-CN"/>
        </w:rPr>
      </w:pPr>
    </w:p>
    <w:p>
      <w:pPr>
        <w:bidi w:val="0"/>
        <w:jc w:val="center"/>
        <w:rPr>
          <w:rStyle w:val="27"/>
          <w:rFonts w:hint="eastAsia" w:ascii="宋体" w:hAnsi="宋体" w:eastAsia="宋体" w:cs="宋体"/>
          <w:color w:val="auto"/>
          <w:sz w:val="32"/>
          <w:szCs w:val="28"/>
          <w:lang w:val="en-US" w:eastAsia="zh-CN"/>
        </w:rPr>
      </w:pPr>
      <w:bookmarkStart w:id="202" w:name="_Toc8429"/>
      <w:bookmarkStart w:id="203" w:name="_Toc28929"/>
      <w:bookmarkStart w:id="204" w:name="_Toc8532"/>
      <w:bookmarkStart w:id="205" w:name="_Toc4883"/>
      <w:bookmarkStart w:id="206" w:name="_Toc23576"/>
      <w:r>
        <w:rPr>
          <w:rStyle w:val="27"/>
          <w:rFonts w:hint="eastAsia" w:ascii="宋体" w:hAnsi="宋体" w:eastAsia="宋体" w:cs="宋体"/>
          <w:color w:val="auto"/>
          <w:sz w:val="32"/>
          <w:szCs w:val="28"/>
          <w:lang w:val="en-US" w:eastAsia="zh-CN"/>
        </w:rPr>
        <w:t>技术参数偏离表</w:t>
      </w:r>
      <w:bookmarkEnd w:id="202"/>
      <w:bookmarkEnd w:id="203"/>
      <w:bookmarkEnd w:id="204"/>
    </w:p>
    <w:bookmarkEnd w:id="205"/>
    <w:bookmarkEnd w:id="206"/>
    <w:p>
      <w:pPr>
        <w:pStyle w:val="23"/>
        <w:spacing w:line="480" w:lineRule="exact"/>
        <w:ind w:firstLine="484"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项目名称：</w:t>
      </w:r>
      <w:r>
        <w:rPr>
          <w:rFonts w:hint="eastAsia" w:ascii="宋体" w:hAnsi="宋体" w:eastAsia="宋体" w:cs="宋体"/>
          <w:color w:val="auto"/>
          <w:sz w:val="24"/>
          <w:szCs w:val="24"/>
        </w:rPr>
        <w:t xml:space="preserve">　　　　　　　　　　　　                                                        </w:t>
      </w:r>
    </w:p>
    <w:tbl>
      <w:tblPr>
        <w:tblStyle w:val="19"/>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4067"/>
        <w:gridCol w:w="2909"/>
        <w:gridCol w:w="2055"/>
        <w:gridCol w:w="19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67"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067"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条目号</w:t>
            </w:r>
          </w:p>
        </w:tc>
        <w:tc>
          <w:tcPr>
            <w:tcW w:w="2909"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招标规格</w:t>
            </w:r>
          </w:p>
        </w:tc>
        <w:tc>
          <w:tcPr>
            <w:tcW w:w="2055"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投标规格</w:t>
            </w:r>
          </w:p>
        </w:tc>
        <w:tc>
          <w:tcPr>
            <w:tcW w:w="1986"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w:t>
            </w:r>
          </w:p>
        </w:tc>
        <w:tc>
          <w:tcPr>
            <w:tcW w:w="1700" w:type="dxa"/>
            <w:noWrap w:val="0"/>
            <w:vAlign w:val="center"/>
          </w:tcPr>
          <w:p>
            <w:pPr>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7" w:type="dxa"/>
            <w:noWrap w:val="0"/>
            <w:vAlign w:val="top"/>
          </w:tcPr>
          <w:p>
            <w:pPr>
              <w:pStyle w:val="23"/>
              <w:spacing w:line="480" w:lineRule="exact"/>
              <w:rPr>
                <w:rFonts w:hint="eastAsia" w:ascii="宋体" w:hAnsi="宋体" w:eastAsia="宋体" w:cs="宋体"/>
                <w:color w:val="auto"/>
                <w:sz w:val="24"/>
                <w:szCs w:val="24"/>
              </w:rPr>
            </w:pPr>
          </w:p>
        </w:tc>
        <w:tc>
          <w:tcPr>
            <w:tcW w:w="4067" w:type="dxa"/>
            <w:noWrap w:val="0"/>
            <w:vAlign w:val="top"/>
          </w:tcPr>
          <w:p>
            <w:pPr>
              <w:pStyle w:val="23"/>
              <w:spacing w:line="480" w:lineRule="exact"/>
              <w:rPr>
                <w:rFonts w:hint="eastAsia" w:ascii="宋体" w:hAnsi="宋体" w:eastAsia="宋体" w:cs="宋体"/>
                <w:color w:val="auto"/>
                <w:sz w:val="24"/>
                <w:szCs w:val="24"/>
              </w:rPr>
            </w:pPr>
          </w:p>
        </w:tc>
        <w:tc>
          <w:tcPr>
            <w:tcW w:w="2909" w:type="dxa"/>
            <w:noWrap w:val="0"/>
            <w:vAlign w:val="top"/>
          </w:tcPr>
          <w:p>
            <w:pPr>
              <w:spacing w:line="480" w:lineRule="exact"/>
              <w:jc w:val="left"/>
              <w:rPr>
                <w:rFonts w:hint="eastAsia" w:ascii="宋体" w:hAnsi="宋体" w:eastAsia="宋体" w:cs="宋体"/>
                <w:color w:val="auto"/>
                <w:kern w:val="0"/>
                <w:sz w:val="24"/>
                <w:szCs w:val="24"/>
              </w:rPr>
            </w:pPr>
          </w:p>
          <w:p>
            <w:pPr>
              <w:pStyle w:val="23"/>
              <w:spacing w:line="480" w:lineRule="exact"/>
              <w:rPr>
                <w:rFonts w:hint="eastAsia" w:ascii="宋体" w:hAnsi="宋体" w:eastAsia="宋体" w:cs="宋体"/>
                <w:color w:val="auto"/>
                <w:sz w:val="24"/>
                <w:szCs w:val="24"/>
              </w:rPr>
            </w:pPr>
          </w:p>
        </w:tc>
        <w:tc>
          <w:tcPr>
            <w:tcW w:w="2055" w:type="dxa"/>
            <w:noWrap w:val="0"/>
            <w:vAlign w:val="top"/>
          </w:tcPr>
          <w:p>
            <w:pPr>
              <w:pStyle w:val="23"/>
              <w:spacing w:line="480" w:lineRule="exact"/>
              <w:rPr>
                <w:rFonts w:hint="eastAsia" w:ascii="宋体" w:hAnsi="宋体" w:eastAsia="宋体" w:cs="宋体"/>
                <w:color w:val="auto"/>
                <w:sz w:val="24"/>
                <w:szCs w:val="24"/>
              </w:rPr>
            </w:pPr>
          </w:p>
        </w:tc>
        <w:tc>
          <w:tcPr>
            <w:tcW w:w="1986" w:type="dxa"/>
            <w:noWrap w:val="0"/>
            <w:vAlign w:val="top"/>
          </w:tcPr>
          <w:p>
            <w:pPr>
              <w:pStyle w:val="23"/>
              <w:spacing w:line="480" w:lineRule="exact"/>
              <w:rPr>
                <w:rFonts w:hint="eastAsia" w:ascii="宋体" w:hAnsi="宋体" w:eastAsia="宋体" w:cs="宋体"/>
                <w:color w:val="auto"/>
                <w:sz w:val="24"/>
                <w:szCs w:val="24"/>
              </w:rPr>
            </w:pPr>
          </w:p>
        </w:tc>
        <w:tc>
          <w:tcPr>
            <w:tcW w:w="1700" w:type="dxa"/>
            <w:noWrap w:val="0"/>
            <w:vAlign w:val="top"/>
          </w:tcPr>
          <w:p>
            <w:pPr>
              <w:pStyle w:val="23"/>
              <w:spacing w:line="48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7" w:type="dxa"/>
            <w:noWrap w:val="0"/>
            <w:vAlign w:val="top"/>
          </w:tcPr>
          <w:p>
            <w:pPr>
              <w:pStyle w:val="23"/>
              <w:spacing w:line="480" w:lineRule="exact"/>
              <w:rPr>
                <w:rFonts w:hint="eastAsia" w:ascii="宋体" w:hAnsi="宋体" w:eastAsia="宋体" w:cs="宋体"/>
                <w:color w:val="auto"/>
                <w:sz w:val="24"/>
                <w:szCs w:val="24"/>
              </w:rPr>
            </w:pPr>
          </w:p>
        </w:tc>
        <w:tc>
          <w:tcPr>
            <w:tcW w:w="4067" w:type="dxa"/>
            <w:noWrap w:val="0"/>
            <w:vAlign w:val="top"/>
          </w:tcPr>
          <w:p>
            <w:pPr>
              <w:pStyle w:val="23"/>
              <w:spacing w:line="480" w:lineRule="exact"/>
              <w:rPr>
                <w:rFonts w:hint="eastAsia" w:ascii="宋体" w:hAnsi="宋体" w:eastAsia="宋体" w:cs="宋体"/>
                <w:color w:val="auto"/>
                <w:sz w:val="24"/>
                <w:szCs w:val="24"/>
              </w:rPr>
            </w:pPr>
          </w:p>
        </w:tc>
        <w:tc>
          <w:tcPr>
            <w:tcW w:w="2909" w:type="dxa"/>
            <w:noWrap w:val="0"/>
            <w:vAlign w:val="top"/>
          </w:tcPr>
          <w:p>
            <w:pPr>
              <w:spacing w:line="480" w:lineRule="exact"/>
              <w:jc w:val="left"/>
              <w:rPr>
                <w:rFonts w:hint="eastAsia" w:ascii="宋体" w:hAnsi="宋体" w:eastAsia="宋体" w:cs="宋体"/>
                <w:color w:val="auto"/>
                <w:kern w:val="0"/>
                <w:sz w:val="24"/>
                <w:szCs w:val="24"/>
              </w:rPr>
            </w:pPr>
          </w:p>
          <w:p>
            <w:pPr>
              <w:pStyle w:val="23"/>
              <w:spacing w:line="480" w:lineRule="exact"/>
              <w:rPr>
                <w:rFonts w:hint="eastAsia" w:ascii="宋体" w:hAnsi="宋体" w:eastAsia="宋体" w:cs="宋体"/>
                <w:color w:val="auto"/>
                <w:sz w:val="24"/>
                <w:szCs w:val="24"/>
              </w:rPr>
            </w:pPr>
          </w:p>
        </w:tc>
        <w:tc>
          <w:tcPr>
            <w:tcW w:w="2055" w:type="dxa"/>
            <w:noWrap w:val="0"/>
            <w:vAlign w:val="top"/>
          </w:tcPr>
          <w:p>
            <w:pPr>
              <w:pStyle w:val="23"/>
              <w:spacing w:line="480" w:lineRule="exact"/>
              <w:rPr>
                <w:rFonts w:hint="eastAsia" w:ascii="宋体" w:hAnsi="宋体" w:eastAsia="宋体" w:cs="宋体"/>
                <w:color w:val="auto"/>
                <w:sz w:val="24"/>
                <w:szCs w:val="24"/>
              </w:rPr>
            </w:pPr>
          </w:p>
        </w:tc>
        <w:tc>
          <w:tcPr>
            <w:tcW w:w="1986" w:type="dxa"/>
            <w:noWrap w:val="0"/>
            <w:vAlign w:val="top"/>
          </w:tcPr>
          <w:p>
            <w:pPr>
              <w:pStyle w:val="23"/>
              <w:spacing w:line="480" w:lineRule="exact"/>
              <w:rPr>
                <w:rFonts w:hint="eastAsia" w:ascii="宋体" w:hAnsi="宋体" w:eastAsia="宋体" w:cs="宋体"/>
                <w:color w:val="auto"/>
                <w:sz w:val="24"/>
                <w:szCs w:val="24"/>
              </w:rPr>
            </w:pPr>
          </w:p>
        </w:tc>
        <w:tc>
          <w:tcPr>
            <w:tcW w:w="1700" w:type="dxa"/>
            <w:noWrap w:val="0"/>
            <w:vAlign w:val="top"/>
          </w:tcPr>
          <w:p>
            <w:pPr>
              <w:pStyle w:val="23"/>
              <w:spacing w:line="48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7" w:type="dxa"/>
            <w:noWrap w:val="0"/>
            <w:vAlign w:val="top"/>
          </w:tcPr>
          <w:p>
            <w:pPr>
              <w:pStyle w:val="23"/>
              <w:spacing w:line="480" w:lineRule="exact"/>
              <w:rPr>
                <w:rFonts w:hint="eastAsia" w:ascii="宋体" w:hAnsi="宋体" w:eastAsia="宋体" w:cs="宋体"/>
                <w:color w:val="auto"/>
                <w:sz w:val="24"/>
                <w:szCs w:val="24"/>
              </w:rPr>
            </w:pPr>
          </w:p>
        </w:tc>
        <w:tc>
          <w:tcPr>
            <w:tcW w:w="4067" w:type="dxa"/>
            <w:noWrap w:val="0"/>
            <w:vAlign w:val="top"/>
          </w:tcPr>
          <w:p>
            <w:pPr>
              <w:pStyle w:val="23"/>
              <w:spacing w:line="480" w:lineRule="exact"/>
              <w:rPr>
                <w:rFonts w:hint="eastAsia" w:ascii="宋体" w:hAnsi="宋体" w:eastAsia="宋体" w:cs="宋体"/>
                <w:color w:val="auto"/>
                <w:sz w:val="24"/>
                <w:szCs w:val="24"/>
              </w:rPr>
            </w:pPr>
          </w:p>
        </w:tc>
        <w:tc>
          <w:tcPr>
            <w:tcW w:w="2909" w:type="dxa"/>
            <w:noWrap w:val="0"/>
            <w:vAlign w:val="top"/>
          </w:tcPr>
          <w:p>
            <w:pPr>
              <w:spacing w:line="480" w:lineRule="exact"/>
              <w:jc w:val="left"/>
              <w:rPr>
                <w:rFonts w:hint="eastAsia" w:ascii="宋体" w:hAnsi="宋体" w:eastAsia="宋体" w:cs="宋体"/>
                <w:color w:val="auto"/>
                <w:kern w:val="0"/>
                <w:sz w:val="24"/>
                <w:szCs w:val="24"/>
              </w:rPr>
            </w:pPr>
          </w:p>
          <w:p>
            <w:pPr>
              <w:pStyle w:val="23"/>
              <w:spacing w:line="480" w:lineRule="exact"/>
              <w:rPr>
                <w:rFonts w:hint="eastAsia" w:ascii="宋体" w:hAnsi="宋体" w:eastAsia="宋体" w:cs="宋体"/>
                <w:color w:val="auto"/>
                <w:sz w:val="24"/>
                <w:szCs w:val="24"/>
              </w:rPr>
            </w:pPr>
          </w:p>
        </w:tc>
        <w:tc>
          <w:tcPr>
            <w:tcW w:w="2055" w:type="dxa"/>
            <w:noWrap w:val="0"/>
            <w:vAlign w:val="top"/>
          </w:tcPr>
          <w:p>
            <w:pPr>
              <w:pStyle w:val="23"/>
              <w:spacing w:line="480" w:lineRule="exact"/>
              <w:rPr>
                <w:rFonts w:hint="eastAsia" w:ascii="宋体" w:hAnsi="宋体" w:eastAsia="宋体" w:cs="宋体"/>
                <w:color w:val="auto"/>
                <w:sz w:val="24"/>
                <w:szCs w:val="24"/>
              </w:rPr>
            </w:pPr>
          </w:p>
        </w:tc>
        <w:tc>
          <w:tcPr>
            <w:tcW w:w="1986" w:type="dxa"/>
            <w:noWrap w:val="0"/>
            <w:vAlign w:val="top"/>
          </w:tcPr>
          <w:p>
            <w:pPr>
              <w:pStyle w:val="23"/>
              <w:spacing w:line="480" w:lineRule="exact"/>
              <w:rPr>
                <w:rFonts w:hint="eastAsia" w:ascii="宋体" w:hAnsi="宋体" w:eastAsia="宋体" w:cs="宋体"/>
                <w:color w:val="auto"/>
                <w:sz w:val="24"/>
                <w:szCs w:val="24"/>
              </w:rPr>
            </w:pPr>
          </w:p>
        </w:tc>
        <w:tc>
          <w:tcPr>
            <w:tcW w:w="1700" w:type="dxa"/>
            <w:noWrap w:val="0"/>
            <w:vAlign w:val="top"/>
          </w:tcPr>
          <w:p>
            <w:pPr>
              <w:pStyle w:val="23"/>
              <w:spacing w:line="480" w:lineRule="exact"/>
              <w:rPr>
                <w:rFonts w:hint="eastAsia" w:ascii="宋体" w:hAnsi="宋体" w:eastAsia="宋体" w:cs="宋体"/>
                <w:color w:val="auto"/>
                <w:sz w:val="24"/>
                <w:szCs w:val="24"/>
              </w:rPr>
            </w:pPr>
          </w:p>
        </w:tc>
      </w:tr>
    </w:tbl>
    <w:p>
      <w:pPr>
        <w:bidi w:val="0"/>
        <w:spacing w:line="360" w:lineRule="auto"/>
        <w:rPr>
          <w:rFonts w:hint="eastAsia" w:ascii="宋体" w:hAnsi="宋体" w:eastAsia="宋体" w:cs="宋体"/>
          <w:color w:val="auto"/>
          <w:sz w:val="24"/>
          <w:szCs w:val="24"/>
        </w:rPr>
      </w:pPr>
      <w:bookmarkStart w:id="207" w:name="_Toc19858"/>
      <w:bookmarkStart w:id="208" w:name="_Toc32067"/>
      <w:r>
        <w:rPr>
          <w:rFonts w:hint="eastAsia" w:ascii="宋体" w:hAnsi="宋体" w:eastAsia="宋体" w:cs="宋体"/>
          <w:color w:val="auto"/>
          <w:sz w:val="24"/>
          <w:szCs w:val="24"/>
        </w:rPr>
        <w:t>注:若有偏离,请将具体偏离条款在“偏离”一栏中详细说明;若无偏离,请在“偏离”一栏中标注“无”字样。</w:t>
      </w:r>
    </w:p>
    <w:p>
      <w:pPr>
        <w:bidi w:val="0"/>
        <w:spacing w:line="60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供应商名称（盖章）：</w:t>
      </w:r>
    </w:p>
    <w:p>
      <w:pPr>
        <w:bidi w:val="0"/>
        <w:spacing w:line="60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法定代表人或委托代理人（签字或盖章）：</w:t>
      </w:r>
    </w:p>
    <w:p>
      <w:pPr>
        <w:bidi w:val="0"/>
        <w:jc w:val="center"/>
        <w:rPr>
          <w:rFonts w:hint="eastAsia" w:ascii="宋体" w:hAnsi="宋体" w:eastAsia="宋体" w:cs="宋体"/>
        </w:rPr>
        <w:sectPr>
          <w:headerReference r:id="rId15" w:type="first"/>
          <w:footerReference r:id="rId17" w:type="first"/>
          <w:headerReference r:id="rId14" w:type="default"/>
          <w:footerReference r:id="rId16" w:type="default"/>
          <w:pgSz w:w="16838" w:h="11906" w:orient="landscape"/>
          <w:pgMar w:top="1417" w:right="1417" w:bottom="1418" w:left="1417" w:header="851" w:footer="850" w:gutter="0"/>
          <w:pgNumType w:fmt="decimal"/>
          <w:cols w:space="720" w:num="1"/>
          <w:titlePg/>
          <w:docGrid w:type="linesAndChars" w:linePitch="312" w:charSpace="530"/>
        </w:sectPr>
      </w:pPr>
      <w:r>
        <w:rPr>
          <w:rFonts w:hint="eastAsia" w:ascii="宋体" w:hAnsi="宋体" w:eastAsia="宋体" w:cs="宋体"/>
        </w:rPr>
        <w:t>日期：     年   月   日</w:t>
      </w:r>
      <w:bookmarkEnd w:id="207"/>
      <w:bookmarkEnd w:id="208"/>
      <w:bookmarkStart w:id="209" w:name="_Toc24389"/>
      <w:bookmarkStart w:id="210" w:name="_Toc10091"/>
      <w:bookmarkStart w:id="211" w:name="_Toc6379"/>
    </w:p>
    <w:bookmarkEnd w:id="209"/>
    <w:bookmarkEnd w:id="210"/>
    <w:bookmarkEnd w:id="211"/>
    <w:p>
      <w:pPr>
        <w:spacing w:line="500" w:lineRule="exact"/>
        <w:jc w:val="both"/>
        <w:rPr>
          <w:rStyle w:val="27"/>
          <w:rFonts w:hint="eastAsia" w:ascii="宋体" w:hAnsi="宋体" w:eastAsia="宋体" w:cs="宋体"/>
          <w:color w:val="auto"/>
          <w:sz w:val="32"/>
          <w:szCs w:val="28"/>
          <w:lang w:val="en-US" w:eastAsia="zh-CN"/>
        </w:rPr>
      </w:pPr>
      <w:bookmarkStart w:id="212" w:name="_Toc28034"/>
      <w:bookmarkStart w:id="213" w:name="_Toc22063"/>
      <w:bookmarkStart w:id="214" w:name="_Toc12578"/>
      <w:bookmarkStart w:id="215" w:name="_Toc7717"/>
      <w:bookmarkStart w:id="216" w:name="_Toc25331"/>
      <w:r>
        <w:rPr>
          <w:rStyle w:val="27"/>
          <w:rFonts w:hint="eastAsia" w:ascii="宋体" w:hAnsi="宋体" w:eastAsia="宋体" w:cs="宋体"/>
          <w:b/>
          <w:bCs/>
          <w:color w:val="auto"/>
          <w:sz w:val="32"/>
          <w:szCs w:val="28"/>
          <w:lang w:val="en-US" w:eastAsia="zh-CN"/>
        </w:rPr>
        <w:t>附件8:</w:t>
      </w:r>
    </w:p>
    <w:bookmarkEnd w:id="212"/>
    <w:bookmarkEnd w:id="213"/>
    <w:p>
      <w:pPr>
        <w:bidi w:val="0"/>
        <w:rPr>
          <w:rStyle w:val="27"/>
          <w:rFonts w:hint="eastAsia" w:ascii="宋体" w:hAnsi="宋体" w:eastAsia="宋体" w:cs="宋体"/>
          <w:color w:val="auto"/>
          <w:sz w:val="24"/>
          <w:szCs w:val="24"/>
          <w:lang w:val="en-US" w:eastAsia="zh-CN"/>
        </w:rPr>
      </w:pPr>
    </w:p>
    <w:p>
      <w:pPr>
        <w:bidi w:val="0"/>
        <w:jc w:val="center"/>
        <w:rPr>
          <w:rStyle w:val="27"/>
          <w:rFonts w:hint="eastAsia" w:ascii="宋体" w:hAnsi="宋体" w:eastAsia="宋体" w:cs="宋体"/>
          <w:color w:val="auto"/>
          <w:sz w:val="24"/>
          <w:szCs w:val="24"/>
          <w:lang w:val="en-US" w:eastAsia="zh-CN"/>
        </w:rPr>
      </w:pPr>
      <w:bookmarkStart w:id="217" w:name="_Toc27646"/>
      <w:bookmarkStart w:id="218" w:name="_Toc28874"/>
      <w:r>
        <w:rPr>
          <w:rStyle w:val="27"/>
          <w:rFonts w:hint="eastAsia" w:ascii="宋体" w:hAnsi="宋体" w:eastAsia="宋体" w:cs="宋体"/>
          <w:color w:val="auto"/>
          <w:sz w:val="24"/>
          <w:szCs w:val="24"/>
          <w:lang w:val="en-US" w:eastAsia="zh-CN"/>
        </w:rPr>
        <w:t>近</w:t>
      </w:r>
      <w:r>
        <w:rPr>
          <w:rStyle w:val="27"/>
          <w:rFonts w:hint="eastAsia" w:ascii="宋体" w:hAnsi="宋体" w:cs="宋体"/>
          <w:color w:val="auto"/>
          <w:sz w:val="24"/>
          <w:szCs w:val="24"/>
          <w:lang w:val="en-US" w:eastAsia="zh-CN"/>
        </w:rPr>
        <w:t>五</w:t>
      </w:r>
      <w:r>
        <w:rPr>
          <w:rStyle w:val="27"/>
          <w:rFonts w:hint="eastAsia" w:ascii="宋体" w:hAnsi="宋体" w:eastAsia="宋体" w:cs="宋体"/>
          <w:color w:val="auto"/>
          <w:sz w:val="24"/>
          <w:szCs w:val="24"/>
          <w:lang w:val="en-US" w:eastAsia="zh-CN"/>
        </w:rPr>
        <w:t>年同类项目业绩表</w:t>
      </w:r>
      <w:bookmarkEnd w:id="214"/>
      <w:bookmarkEnd w:id="215"/>
      <w:bookmarkEnd w:id="216"/>
    </w:p>
    <w:bookmarkEnd w:id="217"/>
    <w:bookmarkEnd w:id="218"/>
    <w:tbl>
      <w:tblPr>
        <w:tblStyle w:val="1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60"/>
        <w:gridCol w:w="1850"/>
        <w:gridCol w:w="1804"/>
        <w:gridCol w:w="1394"/>
        <w:gridCol w:w="1800"/>
        <w:gridCol w:w="16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60" w:type="dxa"/>
            <w:tcBorders>
              <w:top w:val="single" w:color="auto" w:sz="4" w:space="0"/>
              <w:bottom w:val="single" w:color="auto" w:sz="4" w:space="0"/>
            </w:tcBorders>
            <w:noWrap w:val="0"/>
            <w:vAlign w:val="center"/>
          </w:tcPr>
          <w:p>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1850" w:type="dxa"/>
            <w:noWrap w:val="0"/>
            <w:vAlign w:val="center"/>
          </w:tcPr>
          <w:p>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项目名称</w:t>
            </w:r>
          </w:p>
        </w:tc>
        <w:tc>
          <w:tcPr>
            <w:tcW w:w="1804" w:type="dxa"/>
            <w:noWrap w:val="0"/>
            <w:vAlign w:val="center"/>
          </w:tcPr>
          <w:p>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完成时间</w:t>
            </w:r>
          </w:p>
        </w:tc>
        <w:tc>
          <w:tcPr>
            <w:tcW w:w="1394" w:type="dxa"/>
            <w:noWrap w:val="0"/>
            <w:vAlign w:val="center"/>
          </w:tcPr>
          <w:p>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合同金额</w:t>
            </w:r>
          </w:p>
        </w:tc>
        <w:tc>
          <w:tcPr>
            <w:tcW w:w="1800" w:type="dxa"/>
            <w:noWrap w:val="0"/>
            <w:vAlign w:val="center"/>
          </w:tcPr>
          <w:p>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采购人名称</w:t>
            </w:r>
          </w:p>
        </w:tc>
        <w:tc>
          <w:tcPr>
            <w:tcW w:w="1696" w:type="dxa"/>
            <w:tcBorders>
              <w:left w:val="single" w:color="auto" w:sz="4" w:space="0"/>
            </w:tcBorders>
            <w:noWrap w:val="0"/>
            <w:vAlign w:val="center"/>
          </w:tcPr>
          <w:p>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60" w:type="dxa"/>
            <w:tcBorders>
              <w:top w:val="single" w:color="auto" w:sz="4" w:space="0"/>
              <w:bottom w:val="single" w:color="auto" w:sz="4" w:space="0"/>
            </w:tcBorders>
            <w:noWrap w:val="0"/>
            <w:vAlign w:val="center"/>
          </w:tcPr>
          <w:p>
            <w:pPr>
              <w:jc w:val="center"/>
              <w:rPr>
                <w:rFonts w:hint="eastAsia" w:ascii="宋体" w:hAnsi="宋体" w:eastAsia="宋体" w:cs="宋体"/>
                <w:bCs/>
                <w:color w:val="auto"/>
                <w:sz w:val="24"/>
                <w:szCs w:val="24"/>
              </w:rPr>
            </w:pPr>
          </w:p>
        </w:tc>
        <w:tc>
          <w:tcPr>
            <w:tcW w:w="1850" w:type="dxa"/>
            <w:noWrap w:val="0"/>
            <w:vAlign w:val="center"/>
          </w:tcPr>
          <w:p>
            <w:pPr>
              <w:jc w:val="center"/>
              <w:rPr>
                <w:rFonts w:hint="eastAsia" w:ascii="宋体" w:hAnsi="宋体" w:eastAsia="宋体" w:cs="宋体"/>
                <w:bCs/>
                <w:color w:val="auto"/>
                <w:sz w:val="24"/>
                <w:szCs w:val="24"/>
              </w:rPr>
            </w:pPr>
          </w:p>
        </w:tc>
        <w:tc>
          <w:tcPr>
            <w:tcW w:w="1804" w:type="dxa"/>
            <w:noWrap w:val="0"/>
            <w:vAlign w:val="center"/>
          </w:tcPr>
          <w:p>
            <w:pPr>
              <w:jc w:val="center"/>
              <w:rPr>
                <w:rFonts w:hint="eastAsia" w:ascii="宋体" w:hAnsi="宋体" w:eastAsia="宋体" w:cs="宋体"/>
                <w:bCs/>
                <w:color w:val="auto"/>
                <w:sz w:val="24"/>
                <w:szCs w:val="24"/>
              </w:rPr>
            </w:pPr>
          </w:p>
        </w:tc>
        <w:tc>
          <w:tcPr>
            <w:tcW w:w="1394" w:type="dxa"/>
            <w:noWrap w:val="0"/>
            <w:vAlign w:val="center"/>
          </w:tcPr>
          <w:p>
            <w:pPr>
              <w:jc w:val="center"/>
              <w:rPr>
                <w:rFonts w:hint="eastAsia" w:ascii="宋体" w:hAnsi="宋体" w:eastAsia="宋体" w:cs="宋体"/>
                <w:bCs/>
                <w:color w:val="auto"/>
                <w:sz w:val="24"/>
                <w:szCs w:val="24"/>
              </w:rPr>
            </w:pPr>
          </w:p>
        </w:tc>
        <w:tc>
          <w:tcPr>
            <w:tcW w:w="1800" w:type="dxa"/>
            <w:noWrap w:val="0"/>
            <w:vAlign w:val="center"/>
          </w:tcPr>
          <w:p>
            <w:pPr>
              <w:jc w:val="center"/>
              <w:rPr>
                <w:rFonts w:hint="eastAsia" w:ascii="宋体" w:hAnsi="宋体" w:eastAsia="宋体" w:cs="宋体"/>
                <w:bCs/>
                <w:color w:val="auto"/>
                <w:sz w:val="24"/>
                <w:szCs w:val="24"/>
              </w:rPr>
            </w:pPr>
          </w:p>
        </w:tc>
        <w:tc>
          <w:tcPr>
            <w:tcW w:w="1696" w:type="dxa"/>
            <w:tcBorders>
              <w:left w:val="single" w:color="auto" w:sz="4" w:space="0"/>
            </w:tcBorders>
            <w:noWrap w:val="0"/>
            <w:vAlign w:val="center"/>
          </w:tcPr>
          <w:p>
            <w:pPr>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60" w:type="dxa"/>
            <w:tcBorders>
              <w:top w:val="single" w:color="auto" w:sz="4" w:space="0"/>
              <w:bottom w:val="single" w:color="auto" w:sz="4" w:space="0"/>
            </w:tcBorders>
            <w:noWrap w:val="0"/>
            <w:vAlign w:val="center"/>
          </w:tcPr>
          <w:p>
            <w:pPr>
              <w:jc w:val="center"/>
              <w:rPr>
                <w:rFonts w:hint="eastAsia" w:ascii="宋体" w:hAnsi="宋体" w:eastAsia="宋体" w:cs="宋体"/>
                <w:bCs/>
                <w:color w:val="auto"/>
                <w:sz w:val="24"/>
                <w:szCs w:val="24"/>
              </w:rPr>
            </w:pPr>
          </w:p>
        </w:tc>
        <w:tc>
          <w:tcPr>
            <w:tcW w:w="1850" w:type="dxa"/>
            <w:noWrap w:val="0"/>
            <w:vAlign w:val="center"/>
          </w:tcPr>
          <w:p>
            <w:pPr>
              <w:jc w:val="center"/>
              <w:rPr>
                <w:rFonts w:hint="eastAsia" w:ascii="宋体" w:hAnsi="宋体" w:eastAsia="宋体" w:cs="宋体"/>
                <w:bCs/>
                <w:color w:val="auto"/>
                <w:sz w:val="24"/>
                <w:szCs w:val="24"/>
              </w:rPr>
            </w:pPr>
          </w:p>
        </w:tc>
        <w:tc>
          <w:tcPr>
            <w:tcW w:w="1804" w:type="dxa"/>
            <w:noWrap w:val="0"/>
            <w:vAlign w:val="center"/>
          </w:tcPr>
          <w:p>
            <w:pPr>
              <w:jc w:val="center"/>
              <w:rPr>
                <w:rFonts w:hint="eastAsia" w:ascii="宋体" w:hAnsi="宋体" w:eastAsia="宋体" w:cs="宋体"/>
                <w:bCs/>
                <w:color w:val="auto"/>
                <w:sz w:val="24"/>
                <w:szCs w:val="24"/>
              </w:rPr>
            </w:pPr>
          </w:p>
        </w:tc>
        <w:tc>
          <w:tcPr>
            <w:tcW w:w="1394" w:type="dxa"/>
            <w:noWrap w:val="0"/>
            <w:vAlign w:val="center"/>
          </w:tcPr>
          <w:p>
            <w:pPr>
              <w:jc w:val="center"/>
              <w:rPr>
                <w:rFonts w:hint="eastAsia" w:ascii="宋体" w:hAnsi="宋体" w:eastAsia="宋体" w:cs="宋体"/>
                <w:bCs/>
                <w:color w:val="auto"/>
                <w:sz w:val="24"/>
                <w:szCs w:val="24"/>
              </w:rPr>
            </w:pPr>
          </w:p>
        </w:tc>
        <w:tc>
          <w:tcPr>
            <w:tcW w:w="1800" w:type="dxa"/>
            <w:noWrap w:val="0"/>
            <w:vAlign w:val="center"/>
          </w:tcPr>
          <w:p>
            <w:pPr>
              <w:jc w:val="center"/>
              <w:rPr>
                <w:rFonts w:hint="eastAsia" w:ascii="宋体" w:hAnsi="宋体" w:eastAsia="宋体" w:cs="宋体"/>
                <w:bCs/>
                <w:color w:val="auto"/>
                <w:sz w:val="24"/>
                <w:szCs w:val="24"/>
              </w:rPr>
            </w:pPr>
          </w:p>
        </w:tc>
        <w:tc>
          <w:tcPr>
            <w:tcW w:w="1696" w:type="dxa"/>
            <w:tcBorders>
              <w:left w:val="single" w:color="auto" w:sz="4" w:space="0"/>
            </w:tcBorders>
            <w:noWrap w:val="0"/>
            <w:vAlign w:val="center"/>
          </w:tcPr>
          <w:p>
            <w:pPr>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60" w:type="dxa"/>
            <w:tcBorders>
              <w:top w:val="single" w:color="auto" w:sz="4" w:space="0"/>
              <w:bottom w:val="single" w:color="auto" w:sz="4" w:space="0"/>
            </w:tcBorders>
            <w:noWrap w:val="0"/>
            <w:vAlign w:val="center"/>
          </w:tcPr>
          <w:p>
            <w:pPr>
              <w:jc w:val="center"/>
              <w:rPr>
                <w:rFonts w:hint="eastAsia" w:ascii="宋体" w:hAnsi="宋体" w:eastAsia="宋体" w:cs="宋体"/>
                <w:bCs/>
                <w:color w:val="auto"/>
                <w:sz w:val="24"/>
                <w:szCs w:val="24"/>
              </w:rPr>
            </w:pPr>
          </w:p>
        </w:tc>
        <w:tc>
          <w:tcPr>
            <w:tcW w:w="1850" w:type="dxa"/>
            <w:noWrap w:val="0"/>
            <w:vAlign w:val="center"/>
          </w:tcPr>
          <w:p>
            <w:pPr>
              <w:jc w:val="center"/>
              <w:rPr>
                <w:rFonts w:hint="eastAsia" w:ascii="宋体" w:hAnsi="宋体" w:eastAsia="宋体" w:cs="宋体"/>
                <w:bCs/>
                <w:color w:val="auto"/>
                <w:sz w:val="24"/>
                <w:szCs w:val="24"/>
              </w:rPr>
            </w:pPr>
          </w:p>
        </w:tc>
        <w:tc>
          <w:tcPr>
            <w:tcW w:w="1804" w:type="dxa"/>
            <w:noWrap w:val="0"/>
            <w:vAlign w:val="center"/>
          </w:tcPr>
          <w:p>
            <w:pPr>
              <w:jc w:val="center"/>
              <w:rPr>
                <w:rFonts w:hint="eastAsia" w:ascii="宋体" w:hAnsi="宋体" w:eastAsia="宋体" w:cs="宋体"/>
                <w:bCs/>
                <w:color w:val="auto"/>
                <w:sz w:val="24"/>
                <w:szCs w:val="24"/>
              </w:rPr>
            </w:pPr>
          </w:p>
        </w:tc>
        <w:tc>
          <w:tcPr>
            <w:tcW w:w="1394" w:type="dxa"/>
            <w:noWrap w:val="0"/>
            <w:vAlign w:val="center"/>
          </w:tcPr>
          <w:p>
            <w:pPr>
              <w:jc w:val="center"/>
              <w:rPr>
                <w:rFonts w:hint="eastAsia" w:ascii="宋体" w:hAnsi="宋体" w:eastAsia="宋体" w:cs="宋体"/>
                <w:bCs/>
                <w:color w:val="auto"/>
                <w:sz w:val="24"/>
                <w:szCs w:val="24"/>
              </w:rPr>
            </w:pPr>
          </w:p>
        </w:tc>
        <w:tc>
          <w:tcPr>
            <w:tcW w:w="1800" w:type="dxa"/>
            <w:noWrap w:val="0"/>
            <w:vAlign w:val="center"/>
          </w:tcPr>
          <w:p>
            <w:pPr>
              <w:jc w:val="center"/>
              <w:rPr>
                <w:rFonts w:hint="eastAsia" w:ascii="宋体" w:hAnsi="宋体" w:eastAsia="宋体" w:cs="宋体"/>
                <w:bCs/>
                <w:color w:val="auto"/>
                <w:sz w:val="24"/>
                <w:szCs w:val="24"/>
              </w:rPr>
            </w:pPr>
          </w:p>
        </w:tc>
        <w:tc>
          <w:tcPr>
            <w:tcW w:w="1696" w:type="dxa"/>
            <w:tcBorders>
              <w:left w:val="single" w:color="auto" w:sz="4" w:space="0"/>
            </w:tcBorders>
            <w:noWrap w:val="0"/>
            <w:vAlign w:val="center"/>
          </w:tcPr>
          <w:p>
            <w:pPr>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60" w:type="dxa"/>
            <w:tcBorders>
              <w:top w:val="single" w:color="auto" w:sz="4" w:space="0"/>
              <w:bottom w:val="single" w:color="auto" w:sz="4" w:space="0"/>
            </w:tcBorders>
            <w:noWrap w:val="0"/>
            <w:vAlign w:val="center"/>
          </w:tcPr>
          <w:p>
            <w:pPr>
              <w:jc w:val="center"/>
              <w:rPr>
                <w:rFonts w:hint="eastAsia" w:ascii="宋体" w:hAnsi="宋体" w:eastAsia="宋体" w:cs="宋体"/>
                <w:bCs/>
                <w:color w:val="auto"/>
                <w:sz w:val="24"/>
                <w:szCs w:val="24"/>
              </w:rPr>
            </w:pPr>
          </w:p>
        </w:tc>
        <w:tc>
          <w:tcPr>
            <w:tcW w:w="1850" w:type="dxa"/>
            <w:noWrap w:val="0"/>
            <w:vAlign w:val="center"/>
          </w:tcPr>
          <w:p>
            <w:pPr>
              <w:jc w:val="center"/>
              <w:rPr>
                <w:rFonts w:hint="eastAsia" w:ascii="宋体" w:hAnsi="宋体" w:eastAsia="宋体" w:cs="宋体"/>
                <w:bCs/>
                <w:color w:val="auto"/>
                <w:sz w:val="24"/>
                <w:szCs w:val="24"/>
              </w:rPr>
            </w:pPr>
          </w:p>
        </w:tc>
        <w:tc>
          <w:tcPr>
            <w:tcW w:w="1804" w:type="dxa"/>
            <w:noWrap w:val="0"/>
            <w:vAlign w:val="center"/>
          </w:tcPr>
          <w:p>
            <w:pPr>
              <w:jc w:val="center"/>
              <w:rPr>
                <w:rFonts w:hint="eastAsia" w:ascii="宋体" w:hAnsi="宋体" w:eastAsia="宋体" w:cs="宋体"/>
                <w:bCs/>
                <w:color w:val="auto"/>
                <w:sz w:val="24"/>
                <w:szCs w:val="24"/>
              </w:rPr>
            </w:pPr>
          </w:p>
        </w:tc>
        <w:tc>
          <w:tcPr>
            <w:tcW w:w="1394" w:type="dxa"/>
            <w:noWrap w:val="0"/>
            <w:vAlign w:val="center"/>
          </w:tcPr>
          <w:p>
            <w:pPr>
              <w:jc w:val="center"/>
              <w:rPr>
                <w:rFonts w:hint="eastAsia" w:ascii="宋体" w:hAnsi="宋体" w:eastAsia="宋体" w:cs="宋体"/>
                <w:bCs/>
                <w:color w:val="auto"/>
                <w:sz w:val="24"/>
                <w:szCs w:val="24"/>
              </w:rPr>
            </w:pPr>
          </w:p>
        </w:tc>
        <w:tc>
          <w:tcPr>
            <w:tcW w:w="1800" w:type="dxa"/>
            <w:noWrap w:val="0"/>
            <w:vAlign w:val="center"/>
          </w:tcPr>
          <w:p>
            <w:pPr>
              <w:jc w:val="center"/>
              <w:rPr>
                <w:rFonts w:hint="eastAsia" w:ascii="宋体" w:hAnsi="宋体" w:eastAsia="宋体" w:cs="宋体"/>
                <w:bCs/>
                <w:color w:val="auto"/>
                <w:sz w:val="24"/>
                <w:szCs w:val="24"/>
              </w:rPr>
            </w:pPr>
          </w:p>
        </w:tc>
        <w:tc>
          <w:tcPr>
            <w:tcW w:w="1696" w:type="dxa"/>
            <w:tcBorders>
              <w:left w:val="single" w:color="auto" w:sz="4" w:space="0"/>
            </w:tcBorders>
            <w:noWrap w:val="0"/>
            <w:vAlign w:val="center"/>
          </w:tcPr>
          <w:p>
            <w:pPr>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60" w:type="dxa"/>
            <w:tcBorders>
              <w:top w:val="single" w:color="auto" w:sz="4" w:space="0"/>
              <w:bottom w:val="single" w:color="auto" w:sz="4" w:space="0"/>
            </w:tcBorders>
            <w:noWrap w:val="0"/>
            <w:vAlign w:val="center"/>
          </w:tcPr>
          <w:p>
            <w:pPr>
              <w:jc w:val="center"/>
              <w:rPr>
                <w:rFonts w:hint="eastAsia" w:ascii="宋体" w:hAnsi="宋体" w:eastAsia="宋体" w:cs="宋体"/>
                <w:bCs/>
                <w:color w:val="auto"/>
                <w:sz w:val="24"/>
                <w:szCs w:val="24"/>
              </w:rPr>
            </w:pPr>
          </w:p>
        </w:tc>
        <w:tc>
          <w:tcPr>
            <w:tcW w:w="1850" w:type="dxa"/>
            <w:noWrap w:val="0"/>
            <w:vAlign w:val="center"/>
          </w:tcPr>
          <w:p>
            <w:pPr>
              <w:jc w:val="center"/>
              <w:rPr>
                <w:rFonts w:hint="eastAsia" w:ascii="宋体" w:hAnsi="宋体" w:eastAsia="宋体" w:cs="宋体"/>
                <w:bCs/>
                <w:color w:val="auto"/>
                <w:sz w:val="24"/>
                <w:szCs w:val="24"/>
              </w:rPr>
            </w:pPr>
          </w:p>
        </w:tc>
        <w:tc>
          <w:tcPr>
            <w:tcW w:w="1804" w:type="dxa"/>
            <w:noWrap w:val="0"/>
            <w:vAlign w:val="center"/>
          </w:tcPr>
          <w:p>
            <w:pPr>
              <w:jc w:val="center"/>
              <w:rPr>
                <w:rFonts w:hint="eastAsia" w:ascii="宋体" w:hAnsi="宋体" w:eastAsia="宋体" w:cs="宋体"/>
                <w:bCs/>
                <w:color w:val="auto"/>
                <w:sz w:val="24"/>
                <w:szCs w:val="24"/>
              </w:rPr>
            </w:pPr>
          </w:p>
        </w:tc>
        <w:tc>
          <w:tcPr>
            <w:tcW w:w="1394" w:type="dxa"/>
            <w:noWrap w:val="0"/>
            <w:vAlign w:val="center"/>
          </w:tcPr>
          <w:p>
            <w:pPr>
              <w:jc w:val="center"/>
              <w:rPr>
                <w:rFonts w:hint="eastAsia" w:ascii="宋体" w:hAnsi="宋体" w:eastAsia="宋体" w:cs="宋体"/>
                <w:bCs/>
                <w:color w:val="auto"/>
                <w:sz w:val="24"/>
                <w:szCs w:val="24"/>
              </w:rPr>
            </w:pPr>
          </w:p>
        </w:tc>
        <w:tc>
          <w:tcPr>
            <w:tcW w:w="1800" w:type="dxa"/>
            <w:noWrap w:val="0"/>
            <w:vAlign w:val="center"/>
          </w:tcPr>
          <w:p>
            <w:pPr>
              <w:jc w:val="center"/>
              <w:rPr>
                <w:rFonts w:hint="eastAsia" w:ascii="宋体" w:hAnsi="宋体" w:eastAsia="宋体" w:cs="宋体"/>
                <w:bCs/>
                <w:color w:val="auto"/>
                <w:sz w:val="24"/>
                <w:szCs w:val="24"/>
              </w:rPr>
            </w:pPr>
          </w:p>
        </w:tc>
        <w:tc>
          <w:tcPr>
            <w:tcW w:w="1696" w:type="dxa"/>
            <w:tcBorders>
              <w:left w:val="single" w:color="auto" w:sz="4" w:space="0"/>
            </w:tcBorders>
            <w:noWrap w:val="0"/>
            <w:vAlign w:val="center"/>
          </w:tcPr>
          <w:p>
            <w:pPr>
              <w:jc w:val="cente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860" w:type="dxa"/>
            <w:tcBorders>
              <w:top w:val="single" w:color="auto" w:sz="4" w:space="0"/>
            </w:tcBorders>
            <w:noWrap w:val="0"/>
            <w:vAlign w:val="center"/>
          </w:tcPr>
          <w:p>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w:t>
            </w:r>
          </w:p>
        </w:tc>
        <w:tc>
          <w:tcPr>
            <w:tcW w:w="1850" w:type="dxa"/>
            <w:noWrap w:val="0"/>
            <w:vAlign w:val="center"/>
          </w:tcPr>
          <w:p>
            <w:pPr>
              <w:jc w:val="center"/>
              <w:rPr>
                <w:rFonts w:hint="eastAsia" w:ascii="宋体" w:hAnsi="宋体" w:eastAsia="宋体" w:cs="宋体"/>
                <w:bCs/>
                <w:color w:val="auto"/>
                <w:sz w:val="24"/>
                <w:szCs w:val="24"/>
              </w:rPr>
            </w:pPr>
          </w:p>
        </w:tc>
        <w:tc>
          <w:tcPr>
            <w:tcW w:w="1804" w:type="dxa"/>
            <w:noWrap w:val="0"/>
            <w:vAlign w:val="center"/>
          </w:tcPr>
          <w:p>
            <w:pPr>
              <w:jc w:val="center"/>
              <w:rPr>
                <w:rFonts w:hint="eastAsia" w:ascii="宋体" w:hAnsi="宋体" w:eastAsia="宋体" w:cs="宋体"/>
                <w:bCs/>
                <w:color w:val="auto"/>
                <w:sz w:val="24"/>
                <w:szCs w:val="24"/>
              </w:rPr>
            </w:pPr>
          </w:p>
        </w:tc>
        <w:tc>
          <w:tcPr>
            <w:tcW w:w="1394" w:type="dxa"/>
            <w:noWrap w:val="0"/>
            <w:vAlign w:val="center"/>
          </w:tcPr>
          <w:p>
            <w:pPr>
              <w:jc w:val="center"/>
              <w:rPr>
                <w:rFonts w:hint="eastAsia" w:ascii="宋体" w:hAnsi="宋体" w:eastAsia="宋体" w:cs="宋体"/>
                <w:bCs/>
                <w:color w:val="auto"/>
                <w:sz w:val="24"/>
                <w:szCs w:val="24"/>
              </w:rPr>
            </w:pPr>
          </w:p>
        </w:tc>
        <w:tc>
          <w:tcPr>
            <w:tcW w:w="1800" w:type="dxa"/>
            <w:noWrap w:val="0"/>
            <w:vAlign w:val="center"/>
          </w:tcPr>
          <w:p>
            <w:pPr>
              <w:jc w:val="center"/>
              <w:rPr>
                <w:rFonts w:hint="eastAsia" w:ascii="宋体" w:hAnsi="宋体" w:eastAsia="宋体" w:cs="宋体"/>
                <w:bCs/>
                <w:color w:val="auto"/>
                <w:sz w:val="24"/>
                <w:szCs w:val="24"/>
              </w:rPr>
            </w:pPr>
          </w:p>
        </w:tc>
        <w:tc>
          <w:tcPr>
            <w:tcW w:w="1696" w:type="dxa"/>
            <w:tcBorders>
              <w:left w:val="single" w:color="auto" w:sz="4" w:space="0"/>
            </w:tcBorders>
            <w:noWrap w:val="0"/>
            <w:vAlign w:val="center"/>
          </w:tcPr>
          <w:p>
            <w:pPr>
              <w:jc w:val="center"/>
              <w:rPr>
                <w:rFonts w:hint="eastAsia" w:ascii="宋体" w:hAnsi="宋体" w:eastAsia="宋体" w:cs="宋体"/>
                <w:bCs/>
                <w:color w:val="auto"/>
                <w:sz w:val="24"/>
                <w:szCs w:val="24"/>
              </w:rPr>
            </w:pPr>
          </w:p>
        </w:tc>
      </w:tr>
    </w:tbl>
    <w:p>
      <w:pPr>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注：1、所提供的业绩应提供合同协议书、中标（成交）通知书、由项目业主出具的对投标申请人履行合同的证明文件等文件</w:t>
      </w:r>
      <w:r>
        <w:rPr>
          <w:rFonts w:hint="eastAsia" w:ascii="宋体" w:hAnsi="宋体" w:cs="宋体"/>
          <w:color w:val="auto"/>
          <w:sz w:val="24"/>
          <w:szCs w:val="24"/>
          <w:lang w:eastAsia="zh-CN"/>
        </w:rPr>
        <w:t>。</w:t>
      </w:r>
    </w:p>
    <w:p>
      <w:pPr>
        <w:spacing w:line="500" w:lineRule="exact"/>
        <w:rPr>
          <w:rFonts w:hint="eastAsia" w:ascii="宋体" w:hAnsi="宋体" w:eastAsia="宋体" w:cs="宋体"/>
          <w:b/>
          <w:bCs/>
          <w:color w:val="auto"/>
          <w:sz w:val="24"/>
          <w:szCs w:val="24"/>
        </w:rPr>
      </w:pPr>
    </w:p>
    <w:p>
      <w:pPr>
        <w:spacing w:line="500" w:lineRule="exact"/>
        <w:rPr>
          <w:rFonts w:hint="eastAsia" w:ascii="宋体" w:hAnsi="宋体" w:eastAsia="宋体" w:cs="宋体"/>
          <w:b/>
          <w:bCs/>
          <w:color w:val="auto"/>
          <w:sz w:val="24"/>
          <w:szCs w:val="24"/>
        </w:rPr>
      </w:pPr>
    </w:p>
    <w:p>
      <w:pPr>
        <w:pStyle w:val="8"/>
        <w:ind w:firstLine="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供应商名称（盖章）：</w:t>
      </w:r>
    </w:p>
    <w:p>
      <w:pPr>
        <w:pStyle w:val="8"/>
        <w:ind w:left="838" w:firstLine="484" w:firstLineChars="200"/>
        <w:jc w:val="right"/>
        <w:rPr>
          <w:rFonts w:hint="eastAsia" w:ascii="宋体" w:hAnsi="宋体" w:eastAsia="宋体" w:cs="宋体"/>
          <w:bCs/>
          <w:color w:val="auto"/>
          <w:sz w:val="24"/>
          <w:szCs w:val="24"/>
        </w:rPr>
      </w:pPr>
    </w:p>
    <w:p>
      <w:pPr>
        <w:pStyle w:val="8"/>
        <w:ind w:left="838" w:firstLine="484" w:firstLineChars="200"/>
        <w:jc w:val="righ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法定代表人或委托代理人（签字或盖章）：</w:t>
      </w:r>
    </w:p>
    <w:p>
      <w:pPr>
        <w:pStyle w:val="23"/>
        <w:wordWrap w:val="0"/>
        <w:spacing w:line="360" w:lineRule="auto"/>
        <w:ind w:firstLine="567"/>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500" w:lineRule="exact"/>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     年   月   日</w:t>
      </w:r>
      <w:bookmarkStart w:id="219" w:name="_Toc27572"/>
      <w:bookmarkStart w:id="220" w:name="_Toc13500"/>
      <w:bookmarkStart w:id="221" w:name="_Toc597"/>
    </w:p>
    <w:p>
      <w:pPr>
        <w:spacing w:line="360" w:lineRule="auto"/>
        <w:jc w:val="both"/>
        <w:rPr>
          <w:rStyle w:val="27"/>
          <w:rFonts w:hint="eastAsia" w:ascii="宋体" w:hAnsi="宋体" w:eastAsia="宋体" w:cs="宋体"/>
          <w:color w:val="auto"/>
          <w:sz w:val="32"/>
          <w:szCs w:val="28"/>
          <w:lang w:val="en-US" w:eastAsia="zh-CN"/>
        </w:rPr>
      </w:pPr>
      <w:r>
        <w:rPr>
          <w:rFonts w:hint="eastAsia" w:ascii="宋体" w:hAnsi="宋体" w:eastAsia="宋体" w:cs="宋体"/>
          <w:color w:val="auto"/>
          <w:sz w:val="28"/>
          <w:szCs w:val="28"/>
        </w:rPr>
        <w:br w:type="page"/>
      </w:r>
      <w:bookmarkEnd w:id="219"/>
      <w:bookmarkEnd w:id="220"/>
      <w:bookmarkEnd w:id="221"/>
      <w:bookmarkStart w:id="222" w:name="_Toc19100"/>
      <w:bookmarkStart w:id="223" w:name="_Toc25033"/>
      <w:r>
        <w:rPr>
          <w:rStyle w:val="27"/>
          <w:rFonts w:hint="eastAsia" w:ascii="宋体" w:hAnsi="宋体" w:eastAsia="宋体" w:cs="宋体"/>
          <w:b/>
          <w:bCs/>
          <w:color w:val="auto"/>
          <w:sz w:val="32"/>
          <w:szCs w:val="28"/>
          <w:lang w:val="en-US" w:eastAsia="zh-CN"/>
        </w:rPr>
        <w:t>附件9:</w:t>
      </w:r>
    </w:p>
    <w:bookmarkEnd w:id="222"/>
    <w:bookmarkEnd w:id="223"/>
    <w:p>
      <w:pPr>
        <w:spacing w:line="500" w:lineRule="exact"/>
        <w:jc w:val="both"/>
        <w:rPr>
          <w:rStyle w:val="27"/>
          <w:rFonts w:hint="eastAsia" w:ascii="宋体" w:hAnsi="宋体" w:eastAsia="宋体" w:cs="宋体"/>
          <w:color w:val="auto"/>
          <w:sz w:val="32"/>
          <w:szCs w:val="28"/>
          <w:lang w:val="en-US" w:eastAsia="zh-CN"/>
        </w:rPr>
      </w:pPr>
    </w:p>
    <w:p>
      <w:pPr>
        <w:bidi w:val="0"/>
        <w:jc w:val="center"/>
        <w:rPr>
          <w:rStyle w:val="27"/>
          <w:rFonts w:hint="eastAsia" w:ascii="宋体" w:hAnsi="宋体" w:eastAsia="宋体" w:cs="宋体"/>
          <w:color w:val="auto"/>
          <w:sz w:val="24"/>
          <w:szCs w:val="24"/>
          <w:lang w:val="en-US" w:eastAsia="zh-CN"/>
        </w:rPr>
      </w:pPr>
      <w:bookmarkStart w:id="224" w:name="_Toc4298"/>
      <w:bookmarkStart w:id="225" w:name="_Toc15132"/>
      <w:bookmarkStart w:id="226" w:name="_Toc22079"/>
      <w:bookmarkStart w:id="227" w:name="_Toc31243"/>
      <w:r>
        <w:rPr>
          <w:rStyle w:val="27"/>
          <w:rFonts w:hint="eastAsia" w:ascii="宋体" w:hAnsi="宋体" w:eastAsia="宋体" w:cs="宋体"/>
          <w:color w:val="auto"/>
          <w:sz w:val="24"/>
          <w:szCs w:val="24"/>
          <w:lang w:val="en-US" w:eastAsia="zh-CN"/>
        </w:rPr>
        <w:t>拟派项目</w:t>
      </w:r>
      <w:r>
        <w:rPr>
          <w:rStyle w:val="27"/>
          <w:rFonts w:hint="eastAsia" w:ascii="宋体" w:hAnsi="宋体" w:cs="宋体"/>
          <w:color w:val="auto"/>
          <w:sz w:val="24"/>
          <w:szCs w:val="24"/>
          <w:lang w:val="en-US" w:eastAsia="zh-CN"/>
        </w:rPr>
        <w:t>人员</w:t>
      </w:r>
      <w:r>
        <w:rPr>
          <w:rStyle w:val="27"/>
          <w:rFonts w:hint="eastAsia" w:ascii="宋体" w:hAnsi="宋体" w:eastAsia="宋体" w:cs="宋体"/>
          <w:color w:val="auto"/>
          <w:sz w:val="24"/>
          <w:szCs w:val="24"/>
          <w:lang w:val="en-US" w:eastAsia="zh-CN"/>
        </w:rPr>
        <w:t>简历表</w:t>
      </w:r>
      <w:bookmarkEnd w:id="224"/>
      <w:bookmarkEnd w:id="225"/>
    </w:p>
    <w:bookmarkEnd w:id="226"/>
    <w:bookmarkEnd w:id="227"/>
    <w:p>
      <w:pPr>
        <w:numPr>
          <w:ilvl w:val="0"/>
          <w:numId w:val="6"/>
        </w:numPr>
        <w:spacing w:line="360" w:lineRule="auto"/>
        <w:rPr>
          <w:rFonts w:hint="eastAsia" w:ascii="宋体" w:hAnsi="宋体" w:eastAsia="宋体" w:cs="宋体"/>
          <w:b/>
          <w:color w:val="auto"/>
          <w:sz w:val="24"/>
          <w:szCs w:val="24"/>
        </w:rPr>
      </w:pPr>
      <w:r>
        <w:rPr>
          <w:rFonts w:hint="eastAsia" w:ascii="宋体" w:hAnsi="宋体" w:cs="宋体"/>
          <w:b/>
          <w:color w:val="auto"/>
          <w:sz w:val="24"/>
          <w:szCs w:val="24"/>
          <w:lang w:eastAsia="zh-CN"/>
        </w:rPr>
        <w:t>项目负责人</w:t>
      </w:r>
      <w:r>
        <w:rPr>
          <w:rFonts w:hint="eastAsia" w:ascii="宋体" w:hAnsi="宋体" w:eastAsia="宋体" w:cs="宋体"/>
          <w:b/>
          <w:color w:val="auto"/>
          <w:sz w:val="24"/>
          <w:szCs w:val="24"/>
        </w:rPr>
        <w:t>简历表</w:t>
      </w:r>
    </w:p>
    <w:tbl>
      <w:tblPr>
        <w:tblStyle w:val="19"/>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专     业</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职     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r>
      <w:tr>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主要经历</w:t>
            </w:r>
          </w:p>
          <w:p>
            <w:pPr>
              <w:spacing w:line="360" w:lineRule="auto"/>
              <w:rPr>
                <w:rFonts w:hint="eastAsia" w:ascii="宋体" w:hAnsi="宋体" w:eastAsia="宋体" w:cs="宋体"/>
                <w:color w:val="auto"/>
                <w:sz w:val="24"/>
                <w:szCs w:val="24"/>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r>
      <w:tr>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int="eastAsia" w:ascii="宋体" w:hAnsi="宋体" w:eastAsia="宋体" w:cs="宋体"/>
                <w:color w:val="auto"/>
                <w:sz w:val="24"/>
                <w:szCs w:val="24"/>
              </w:rPr>
            </w:pPr>
          </w:p>
        </w:tc>
      </w:tr>
    </w:tbl>
    <w:p>
      <w:pPr>
        <w:autoSpaceDE w:val="0"/>
        <w:autoSpaceDN w:val="0"/>
        <w:adjustRightInd w:val="0"/>
        <w:spacing w:line="360" w:lineRule="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注：提供职称证书扫描件；</w:t>
      </w:r>
    </w:p>
    <w:p>
      <w:pPr>
        <w:autoSpaceDE w:val="0"/>
        <w:autoSpaceDN w:val="0"/>
        <w:adjustRightInd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2、拟投入本项目的主要成员表</w:t>
      </w:r>
    </w:p>
    <w:tbl>
      <w:tblPr>
        <w:tblStyle w:val="19"/>
        <w:tblW w:w="10117"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姓名</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性别</w:t>
            </w:r>
          </w:p>
        </w:tc>
        <w:tc>
          <w:tcPr>
            <w:tcW w:w="19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职称</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岗位</w:t>
            </w:r>
          </w:p>
        </w:tc>
        <w:tc>
          <w:tcPr>
            <w:tcW w:w="20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00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3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20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193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200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00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3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20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193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200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00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3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20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193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200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00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w:t>
            </w:r>
          </w:p>
        </w:tc>
        <w:tc>
          <w:tcPr>
            <w:tcW w:w="13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20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193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c>
          <w:tcPr>
            <w:tcW w:w="200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rPr>
            </w:pPr>
          </w:p>
        </w:tc>
      </w:tr>
    </w:tbl>
    <w:p>
      <w:pPr>
        <w:rPr>
          <w:rFonts w:hint="default" w:ascii="宋体" w:hAnsi="宋体" w:eastAsia="宋体" w:cs="宋体"/>
          <w:color w:val="auto"/>
          <w:lang w:val="en-US" w:eastAsia="zh-CN"/>
        </w:rPr>
      </w:pPr>
      <w:r>
        <w:rPr>
          <w:rFonts w:hint="eastAsia" w:ascii="宋体" w:hAnsi="宋体" w:cs="宋体"/>
          <w:color w:val="auto"/>
          <w:lang w:val="en-US" w:eastAsia="zh-CN"/>
        </w:rPr>
        <w:t>注：1、提供职称证书扫描件；2、提供涉密成果保管人员岗位培训证书扫描件；</w:t>
      </w:r>
    </w:p>
    <w:p>
      <w:pPr>
        <w:pStyle w:val="8"/>
        <w:ind w:firstLine="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w:t>
      </w:r>
    </w:p>
    <w:p>
      <w:pPr>
        <w:pStyle w:val="8"/>
        <w:ind w:firstLine="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供应商名称（盖章）：</w:t>
      </w:r>
    </w:p>
    <w:p>
      <w:pPr>
        <w:pStyle w:val="8"/>
        <w:ind w:firstLine="4747" w:firstLineChars="1962"/>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法定代表人或委托代理人（签字或盖章）：</w:t>
      </w:r>
    </w:p>
    <w:p>
      <w:pPr>
        <w:pStyle w:val="23"/>
        <w:wordWrap/>
        <w:spacing w:line="360" w:lineRule="auto"/>
        <w:ind w:firstLine="567"/>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日期：     年   月   日</w:t>
      </w:r>
      <w:bookmarkStart w:id="228" w:name="_Toc26982"/>
      <w:bookmarkStart w:id="229" w:name="_Toc4287"/>
      <w:bookmarkStart w:id="230" w:name="_Toc6788"/>
    </w:p>
    <w:p>
      <w:pPr>
        <w:spacing w:line="600" w:lineRule="auto"/>
        <w:jc w:val="both"/>
        <w:rPr>
          <w:rStyle w:val="27"/>
          <w:rFonts w:hint="eastAsia" w:ascii="宋体" w:hAnsi="宋体" w:eastAsia="宋体" w:cs="宋体"/>
          <w:color w:val="auto"/>
          <w:sz w:val="32"/>
          <w:szCs w:val="28"/>
          <w:lang w:val="en-US" w:eastAsia="zh-CN"/>
        </w:rPr>
      </w:pPr>
      <w:r>
        <w:rPr>
          <w:rFonts w:hint="eastAsia" w:ascii="宋体" w:hAnsi="宋体" w:eastAsia="宋体" w:cs="宋体"/>
          <w:color w:val="auto"/>
          <w:sz w:val="28"/>
          <w:szCs w:val="28"/>
        </w:rPr>
        <w:br w:type="page"/>
      </w:r>
      <w:bookmarkEnd w:id="228"/>
      <w:bookmarkEnd w:id="229"/>
      <w:bookmarkEnd w:id="230"/>
      <w:bookmarkStart w:id="231" w:name="_Toc23509"/>
      <w:bookmarkStart w:id="232" w:name="_Toc9841"/>
      <w:r>
        <w:rPr>
          <w:rStyle w:val="27"/>
          <w:rFonts w:hint="eastAsia" w:ascii="宋体" w:hAnsi="宋体" w:eastAsia="宋体" w:cs="宋体"/>
          <w:b/>
          <w:bCs/>
          <w:color w:val="auto"/>
          <w:sz w:val="32"/>
          <w:szCs w:val="28"/>
          <w:lang w:val="en-US" w:eastAsia="zh-CN"/>
        </w:rPr>
        <w:t>附件10:</w:t>
      </w:r>
    </w:p>
    <w:bookmarkEnd w:id="231"/>
    <w:bookmarkEnd w:id="232"/>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jc w:val="center"/>
        <w:textAlignment w:val="auto"/>
        <w:rPr>
          <w:rFonts w:hint="eastAsia" w:ascii="宋体" w:hAnsi="宋体" w:eastAsia="宋体" w:cs="宋体"/>
          <w:b/>
          <w:bCs w:val="0"/>
          <w:color w:val="auto"/>
          <w:sz w:val="24"/>
          <w:szCs w:val="24"/>
        </w:rPr>
      </w:pPr>
      <w:bookmarkStart w:id="233" w:name="_Toc7251"/>
      <w:bookmarkStart w:id="234" w:name="_Toc13542"/>
      <w:bookmarkStart w:id="235" w:name="_Toc2493"/>
      <w:r>
        <w:rPr>
          <w:rFonts w:hint="eastAsia" w:ascii="宋体" w:hAnsi="宋体" w:eastAsia="宋体" w:cs="宋体"/>
          <w:b/>
          <w:bCs w:val="0"/>
          <w:color w:val="auto"/>
          <w:sz w:val="24"/>
          <w:szCs w:val="24"/>
        </w:rPr>
        <w:t>关于资格的声明函</w:t>
      </w:r>
    </w:p>
    <w:p>
      <w:pPr>
        <w:pStyle w:val="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lang w:eastAsia="zh-CN"/>
        </w:rPr>
        <w:t>新疆鸿澜工程项目管理有限公司 </w:t>
      </w:r>
      <w:r>
        <w:rPr>
          <w:rFonts w:hint="eastAsia" w:ascii="宋体" w:hAnsi="宋体" w:eastAsia="宋体" w:cs="宋体"/>
          <w:color w:val="auto"/>
          <w:sz w:val="24"/>
          <w:szCs w:val="24"/>
        </w:rPr>
        <w:t>：</w:t>
      </w:r>
    </w:p>
    <w:p>
      <w:pPr>
        <w:pStyle w:val="7"/>
        <w:keepNext w:val="0"/>
        <w:keepLines w:val="0"/>
        <w:pageBreakBefore w:val="0"/>
        <w:widowControl w:val="0"/>
        <w:kinsoku/>
        <w:wordWrap/>
        <w:overflowPunct/>
        <w:topLinePunct w:val="0"/>
        <w:autoSpaceDE/>
        <w:autoSpaceDN/>
        <w:bidi w:val="0"/>
        <w:adjustRightInd/>
        <w:snapToGrid/>
        <w:spacing w:line="360" w:lineRule="auto"/>
        <w:ind w:left="319" w:firstLine="968" w:firstLineChars="4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关于贵方20</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日第</w:t>
      </w:r>
      <w:r>
        <w:rPr>
          <w:rFonts w:hint="eastAsia" w:ascii="宋体" w:hAnsi="宋体" w:eastAsia="宋体" w:cs="宋体"/>
          <w:color w:val="auto"/>
          <w:sz w:val="24"/>
          <w:szCs w:val="24"/>
          <w:u w:val="single"/>
        </w:rPr>
        <w:t xml:space="preserve">  （项目编号） </w:t>
      </w:r>
      <w:r>
        <w:rPr>
          <w:rFonts w:hint="eastAsia" w:ascii="宋体" w:hAnsi="宋体" w:eastAsia="宋体" w:cs="宋体"/>
          <w:color w:val="auto"/>
          <w:sz w:val="24"/>
          <w:szCs w:val="24"/>
        </w:rPr>
        <w:t>磋商公告关于</w:t>
      </w:r>
      <w:r>
        <w:rPr>
          <w:rFonts w:hint="eastAsia" w:ascii="宋体" w:hAnsi="宋体" w:eastAsia="宋体" w:cs="宋体"/>
          <w:color w:val="auto"/>
          <w:kern w:val="0"/>
          <w:sz w:val="24"/>
          <w:szCs w:val="24"/>
          <w:u w:val="single"/>
        </w:rPr>
        <w:t>（项目名称）</w:t>
      </w:r>
      <w:r>
        <w:rPr>
          <w:rFonts w:hint="eastAsia" w:ascii="宋体" w:hAnsi="宋体" w:eastAsia="宋体" w:cs="宋体"/>
          <w:color w:val="auto"/>
          <w:sz w:val="24"/>
          <w:szCs w:val="24"/>
        </w:rPr>
        <w:t>的采购项目，本签字人愿意参加响应，并有能力提供</w:t>
      </w:r>
      <w:r>
        <w:rPr>
          <w:rFonts w:hint="eastAsia" w:ascii="宋体" w:hAnsi="宋体" w:eastAsia="宋体" w:cs="宋体"/>
          <w:color w:val="auto"/>
          <w:kern w:val="0"/>
          <w:sz w:val="24"/>
          <w:szCs w:val="24"/>
          <w:u w:val="single"/>
        </w:rPr>
        <w:t>（项目名称）</w:t>
      </w:r>
      <w:r>
        <w:rPr>
          <w:rFonts w:hint="eastAsia" w:ascii="宋体" w:hAnsi="宋体" w:eastAsia="宋体" w:cs="宋体"/>
          <w:color w:val="auto"/>
          <w:sz w:val="24"/>
          <w:szCs w:val="24"/>
        </w:rPr>
        <w:t>项目中的相关服务，并保证所提交的所有文件和说明是真实和准确的。</w:t>
      </w:r>
    </w:p>
    <w:p>
      <w:pPr>
        <w:pStyle w:val="7"/>
        <w:keepNext w:val="0"/>
        <w:keepLines w:val="0"/>
        <w:pageBreakBefore w:val="0"/>
        <w:widowControl w:val="0"/>
        <w:kinsoku/>
        <w:wordWrap/>
        <w:overflowPunct/>
        <w:topLinePunct w:val="0"/>
        <w:autoSpaceDE/>
        <w:autoSpaceDN/>
        <w:bidi w:val="0"/>
        <w:adjustRightInd/>
        <w:snapToGrid/>
        <w:spacing w:line="360" w:lineRule="auto"/>
        <w:ind w:left="319" w:firstLine="575"/>
        <w:textAlignment w:val="auto"/>
        <w:rPr>
          <w:rFonts w:hint="eastAsia" w:ascii="宋体" w:hAnsi="宋体" w:eastAsia="宋体" w:cs="宋体"/>
          <w:color w:val="auto"/>
          <w:sz w:val="24"/>
          <w:szCs w:val="24"/>
        </w:rPr>
      </w:pPr>
    </w:p>
    <w:p>
      <w:pPr>
        <w:pStyle w:val="7"/>
        <w:keepNext w:val="0"/>
        <w:keepLines w:val="0"/>
        <w:pageBreakBefore w:val="0"/>
        <w:widowControl w:val="0"/>
        <w:kinsoku/>
        <w:wordWrap/>
        <w:overflowPunct/>
        <w:topLinePunct w:val="0"/>
        <w:autoSpaceDE/>
        <w:autoSpaceDN/>
        <w:bidi w:val="0"/>
        <w:adjustRightInd/>
        <w:snapToGrid/>
        <w:spacing w:line="480" w:lineRule="auto"/>
        <w:ind w:left="319" w:firstLine="575"/>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　供应商名称        　</w:t>
      </w:r>
      <w:r>
        <w:rPr>
          <w:rFonts w:hint="eastAsia" w:ascii="宋体" w:hAnsi="宋体" w:eastAsia="宋体" w:cs="宋体"/>
          <w:color w:val="auto"/>
          <w:sz w:val="24"/>
          <w:szCs w:val="24"/>
        </w:rPr>
        <w:t>　签字人姓名、职务：</w:t>
      </w:r>
      <w:r>
        <w:rPr>
          <w:rFonts w:hint="eastAsia" w:ascii="宋体" w:hAnsi="宋体" w:eastAsia="宋体" w:cs="宋体"/>
          <w:color w:val="auto"/>
          <w:sz w:val="24"/>
          <w:szCs w:val="24"/>
          <w:u w:val="single"/>
        </w:rPr>
        <w:t xml:space="preserve">（代理（被授权人）签字或盖章）               </w:t>
      </w:r>
    </w:p>
    <w:p>
      <w:pPr>
        <w:pStyle w:val="7"/>
        <w:keepNext w:val="0"/>
        <w:keepLines w:val="0"/>
        <w:pageBreakBefore w:val="0"/>
        <w:widowControl w:val="0"/>
        <w:kinsoku/>
        <w:wordWrap/>
        <w:overflowPunct/>
        <w:topLinePunct w:val="0"/>
        <w:autoSpaceDE/>
        <w:autoSpaceDN/>
        <w:bidi w:val="0"/>
        <w:adjustRightInd/>
        <w:snapToGrid/>
        <w:spacing w:line="480" w:lineRule="auto"/>
        <w:ind w:left="319" w:firstLine="575"/>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授权签署本资格文件人：</w:t>
      </w:r>
      <w:r>
        <w:rPr>
          <w:rFonts w:hint="eastAsia" w:ascii="宋体" w:hAnsi="宋体" w:eastAsia="宋体" w:cs="宋体"/>
          <w:color w:val="auto"/>
          <w:sz w:val="24"/>
          <w:szCs w:val="24"/>
          <w:u w:val="single"/>
        </w:rPr>
        <w:t xml:space="preserve">（法人签字或盖章）  </w:t>
      </w:r>
    </w:p>
    <w:p>
      <w:pPr>
        <w:pStyle w:val="7"/>
        <w:keepNext w:val="0"/>
        <w:keepLines w:val="0"/>
        <w:pageBreakBefore w:val="0"/>
        <w:widowControl w:val="0"/>
        <w:kinsoku/>
        <w:wordWrap/>
        <w:overflowPunct/>
        <w:topLinePunct w:val="0"/>
        <w:autoSpaceDE/>
        <w:autoSpaceDN/>
        <w:bidi w:val="0"/>
        <w:adjustRightInd/>
        <w:snapToGrid/>
        <w:spacing w:line="480" w:lineRule="auto"/>
        <w:ind w:left="319" w:firstLine="5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w:t>
      </w:r>
    </w:p>
    <w:p>
      <w:pPr>
        <w:pStyle w:val="7"/>
        <w:keepNext w:val="0"/>
        <w:keepLines w:val="0"/>
        <w:pageBreakBefore w:val="0"/>
        <w:widowControl w:val="0"/>
        <w:kinsoku/>
        <w:wordWrap/>
        <w:overflowPunct/>
        <w:topLinePunct w:val="0"/>
        <w:autoSpaceDE/>
        <w:autoSpaceDN/>
        <w:bidi w:val="0"/>
        <w:adjustRightInd/>
        <w:snapToGrid/>
        <w:spacing w:line="480" w:lineRule="auto"/>
        <w:ind w:left="319" w:firstLine="575"/>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邮编：</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电话：</w:t>
      </w:r>
      <w:r>
        <w:rPr>
          <w:rFonts w:hint="eastAsia" w:ascii="宋体" w:hAnsi="宋体" w:eastAsia="宋体" w:cs="宋体"/>
          <w:color w:val="auto"/>
          <w:sz w:val="24"/>
          <w:szCs w:val="24"/>
          <w:u w:val="single"/>
        </w:rPr>
        <w:t>　　　　　　　　</w:t>
      </w:r>
    </w:p>
    <w:p>
      <w:pPr>
        <w:keepNext w:val="0"/>
        <w:keepLines w:val="0"/>
        <w:pageBreakBefore w:val="0"/>
        <w:widowControl w:val="0"/>
        <w:kinsoku/>
        <w:wordWrap/>
        <w:overflowPunct/>
        <w:topLinePunct w:val="0"/>
        <w:autoSpaceDE/>
        <w:autoSpaceDN/>
        <w:bidi w:val="0"/>
        <w:adjustRightInd/>
        <w:snapToGrid/>
        <w:spacing w:line="480" w:lineRule="auto"/>
        <w:ind w:firstLine="6292" w:firstLineChars="2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（单位公章）</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20</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rPr>
      </w:pPr>
    </w:p>
    <w:p>
      <w:pPr>
        <w:spacing w:line="600" w:lineRule="auto"/>
        <w:jc w:val="both"/>
        <w:rPr>
          <w:rFonts w:hint="eastAsia" w:ascii="宋体" w:hAnsi="宋体" w:eastAsia="宋体" w:cs="宋体"/>
          <w:color w:val="auto"/>
          <w:sz w:val="32"/>
          <w:szCs w:val="32"/>
          <w:lang w:val="en-US" w:eastAsia="zh-CN"/>
        </w:rPr>
      </w:pPr>
      <w:r>
        <w:rPr>
          <w:rFonts w:hint="eastAsia" w:ascii="宋体" w:hAnsi="宋体" w:eastAsia="宋体" w:cs="宋体"/>
          <w:color w:val="auto"/>
          <w:sz w:val="24"/>
          <w:szCs w:val="24"/>
        </w:rPr>
        <w:br w:type="page"/>
      </w:r>
      <w:bookmarkEnd w:id="233"/>
      <w:bookmarkEnd w:id="234"/>
      <w:bookmarkEnd w:id="235"/>
      <w:bookmarkStart w:id="236" w:name="_Toc13510"/>
      <w:bookmarkStart w:id="237" w:name="_Toc23785"/>
      <w:r>
        <w:rPr>
          <w:rStyle w:val="27"/>
          <w:rFonts w:hint="eastAsia" w:ascii="宋体" w:hAnsi="宋体" w:eastAsia="宋体" w:cs="宋体"/>
          <w:b/>
          <w:bCs/>
          <w:color w:val="auto"/>
          <w:sz w:val="32"/>
          <w:szCs w:val="32"/>
          <w:lang w:val="en-US" w:eastAsia="zh-CN"/>
        </w:rPr>
        <w:t>附件11:</w:t>
      </w:r>
      <w:bookmarkEnd w:id="236"/>
      <w:bookmarkEnd w:id="237"/>
    </w:p>
    <w:p>
      <w:pPr>
        <w:bidi w:val="0"/>
        <w:jc w:val="center"/>
        <w:rPr>
          <w:rFonts w:hint="eastAsia" w:ascii="宋体" w:hAnsi="宋体" w:eastAsia="宋体" w:cs="宋体"/>
          <w:b/>
          <w:bCs/>
          <w:lang w:val="en-US" w:eastAsia="zh-CN"/>
        </w:rPr>
      </w:pPr>
      <w:bookmarkStart w:id="238" w:name="_Toc12791"/>
      <w:bookmarkStart w:id="239" w:name="_Toc28079"/>
      <w:bookmarkStart w:id="240" w:name="_Toc12421"/>
      <w:r>
        <w:rPr>
          <w:rFonts w:hint="eastAsia" w:ascii="宋体" w:hAnsi="宋体" w:eastAsia="宋体" w:cs="宋体"/>
          <w:b/>
          <w:bCs/>
          <w:lang w:val="en-US" w:eastAsia="zh-CN"/>
        </w:rPr>
        <w:t>中小企业声明函</w:t>
      </w:r>
    </w:p>
    <w:p>
      <w:pPr>
        <w:keepNext w:val="0"/>
        <w:keepLines w:val="0"/>
        <w:pageBreakBefore w:val="0"/>
        <w:widowControl w:val="0"/>
        <w:kinsoku/>
        <w:wordWrap/>
        <w:overflowPunct/>
        <w:topLinePunct w:val="0"/>
        <w:autoSpaceDE/>
        <w:autoSpaceDN/>
        <w:bidi w:val="0"/>
        <w:adjustRightInd/>
        <w:snapToGrid/>
        <w:spacing w:line="360" w:lineRule="auto"/>
        <w:ind w:firstLine="726" w:firstLineChars="3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公司（联合体）郑重声明，根据《政府采购促进中小企业发展管理办法》（财库）（2020）46号）的规定，本公司（联合体）参加（单位名称）的（项目名称）采购活动，提供的货物全部由符合政策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1.（标的名称），属于（采购文件中明确的所属行业）行业；制造商为（企业名称），从业人员      人，营业收入为        万元，资产总额为     万元，属于（中型企业、小型企业、微型企业）；</w:t>
      </w:r>
    </w:p>
    <w:p>
      <w:pPr>
        <w:spacing w:line="60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以上企业，不属于大企业的分支机构，不存在控股股东为大企业的情形，也不存下与大企业的负责分为同一份的情形。</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本企业对上述声明内容的真实性负责。如有虚假，将依法承担相应责任。</w:t>
      </w:r>
    </w:p>
    <w:p>
      <w:pPr>
        <w:spacing w:line="600" w:lineRule="auto"/>
        <w:jc w:val="both"/>
        <w:rPr>
          <w:rFonts w:hint="eastAsia" w:ascii="宋体" w:hAnsi="宋体" w:eastAsia="宋体" w:cs="宋体"/>
          <w:color w:val="auto"/>
          <w:sz w:val="24"/>
          <w:szCs w:val="24"/>
          <w:lang w:val="en-US" w:eastAsia="zh-CN"/>
        </w:rPr>
      </w:pPr>
    </w:p>
    <w:p>
      <w:pPr>
        <w:spacing w:line="60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企业名称（盖章）：</w:t>
      </w:r>
    </w:p>
    <w:p>
      <w:pPr>
        <w:spacing w:line="60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日期：</w:t>
      </w:r>
    </w:p>
    <w:p>
      <w:pPr>
        <w:spacing w:line="60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从业人员、营业收入、资产总额填报上一年度数据，无上一年度数据的新成立企业可不填报。 </w:t>
      </w:r>
    </w:p>
    <w:p>
      <w:pPr>
        <w:spacing w:line="600" w:lineRule="auto"/>
        <w:jc w:val="both"/>
        <w:rPr>
          <w:rFonts w:hint="eastAsia" w:ascii="宋体" w:hAnsi="宋体" w:eastAsia="宋体" w:cs="宋体"/>
          <w:color w:val="auto"/>
          <w:sz w:val="32"/>
          <w:szCs w:val="32"/>
          <w:lang w:val="en-US" w:eastAsia="zh-CN"/>
        </w:rPr>
      </w:pPr>
      <w:r>
        <w:rPr>
          <w:rFonts w:hint="eastAsia" w:ascii="宋体" w:hAnsi="宋体" w:eastAsia="宋体" w:cs="宋体"/>
          <w:color w:val="auto"/>
          <w:sz w:val="24"/>
          <w:szCs w:val="24"/>
        </w:rPr>
        <w:br w:type="page"/>
      </w:r>
      <w:bookmarkEnd w:id="238"/>
      <w:bookmarkEnd w:id="239"/>
      <w:bookmarkEnd w:id="240"/>
      <w:bookmarkStart w:id="241" w:name="_Toc841"/>
      <w:bookmarkStart w:id="242" w:name="_Toc29943"/>
      <w:r>
        <w:rPr>
          <w:rStyle w:val="27"/>
          <w:rFonts w:hint="eastAsia" w:ascii="宋体" w:hAnsi="宋体" w:eastAsia="宋体" w:cs="宋体"/>
          <w:b/>
          <w:bCs/>
          <w:color w:val="auto"/>
          <w:sz w:val="32"/>
          <w:szCs w:val="28"/>
          <w:lang w:val="en-US" w:eastAsia="zh-CN"/>
        </w:rPr>
        <w:t>附件12:</w:t>
      </w:r>
      <w:bookmarkEnd w:id="241"/>
      <w:bookmarkEnd w:id="242"/>
    </w:p>
    <w:p>
      <w:pPr>
        <w:bidi w:val="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监狱企业声明函</w:t>
      </w:r>
      <w:r>
        <w:rPr>
          <w:rFonts w:hint="eastAsia" w:ascii="宋体" w:hAnsi="宋体" w:eastAsia="宋体" w:cs="宋体"/>
          <w:color w:val="auto"/>
          <w:sz w:val="28"/>
          <w:szCs w:val="28"/>
          <w:lang w:val="en-US" w:eastAsia="zh-CN"/>
        </w:rPr>
        <w:t xml:space="preserve"> </w:t>
      </w:r>
      <w:r>
        <w:rPr>
          <w:rFonts w:hint="eastAsia" w:ascii="宋体" w:hAnsi="宋体" w:eastAsia="宋体" w:cs="宋体"/>
          <w:b/>
          <w:bCs/>
          <w:color w:val="auto"/>
          <w:sz w:val="28"/>
          <w:szCs w:val="28"/>
        </w:rPr>
        <w:t>（监狱企业适用）</w:t>
      </w:r>
    </w:p>
    <w:p>
      <w:pPr>
        <w:spacing w:line="600" w:lineRule="auto"/>
        <w:ind w:firstLine="484"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本公司郑重声明，根据《关于政府采购支持监狱企业发展有关问题的通知》（财库[2014]68号）的规定，本公司为监狱企业。</w:t>
      </w:r>
    </w:p>
    <w:p>
      <w:pPr>
        <w:spacing w:line="600" w:lineRule="auto"/>
        <w:ind w:firstLine="484"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本公司参加______单位的______项目采购活动，采购活动提供本企业（制造的货物，由本企业承担工程、提供服务）。</w:t>
      </w:r>
    </w:p>
    <w:p>
      <w:pPr>
        <w:spacing w:line="60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本条所称货物不包括使用大型企业注册商标的货物和服务。</w:t>
      </w:r>
    </w:p>
    <w:p>
      <w:pPr>
        <w:spacing w:line="60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本公司对上述声明的真实性负责。如有虚假，将依法承担相应责任。</w:t>
      </w:r>
    </w:p>
    <w:p>
      <w:pPr>
        <w:spacing w:line="600" w:lineRule="auto"/>
        <w:jc w:val="both"/>
        <w:rPr>
          <w:rFonts w:hint="eastAsia" w:ascii="宋体" w:hAnsi="宋体" w:eastAsia="宋体" w:cs="宋体"/>
          <w:color w:val="auto"/>
          <w:sz w:val="24"/>
          <w:szCs w:val="24"/>
        </w:rPr>
      </w:pPr>
    </w:p>
    <w:p>
      <w:pPr>
        <w:spacing w:line="6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企业名称（盖公章）：</w:t>
      </w:r>
    </w:p>
    <w:p>
      <w:pPr>
        <w:spacing w:line="60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法定代表人或其授权代表(签字)：</w:t>
      </w:r>
      <w:r>
        <w:rPr>
          <w:rFonts w:hint="eastAsia" w:ascii="宋体" w:hAnsi="宋体" w:eastAsia="宋体" w:cs="宋体"/>
          <w:color w:val="auto"/>
          <w:sz w:val="24"/>
          <w:szCs w:val="24"/>
          <w:lang w:val="en-US" w:eastAsia="zh-CN"/>
        </w:rPr>
        <w:t xml:space="preserve">   </w:t>
      </w:r>
    </w:p>
    <w:p>
      <w:pPr>
        <w:spacing w:line="600" w:lineRule="auto"/>
        <w:ind w:firstLine="3872" w:firstLineChars="1600"/>
        <w:jc w:val="both"/>
        <w:rPr>
          <w:rFonts w:hint="eastAsia" w:ascii="宋体" w:hAnsi="宋体" w:eastAsia="宋体" w:cs="宋体"/>
          <w:color w:val="auto"/>
          <w:sz w:val="24"/>
          <w:szCs w:val="24"/>
        </w:rPr>
      </w:pPr>
      <w:r>
        <w:rPr>
          <w:rFonts w:hint="eastAsia" w:ascii="宋体" w:hAnsi="宋体" w:eastAsia="宋体" w:cs="宋体"/>
          <w:color w:val="auto"/>
          <w:sz w:val="24"/>
          <w:szCs w:val="24"/>
        </w:rPr>
        <w:t>日期：</w:t>
      </w:r>
    </w:p>
    <w:p>
      <w:pPr>
        <w:spacing w:line="600" w:lineRule="auto"/>
        <w:jc w:val="both"/>
        <w:rPr>
          <w:rStyle w:val="27"/>
          <w:rFonts w:hint="eastAsia" w:ascii="宋体" w:hAnsi="宋体" w:eastAsia="宋体" w:cs="宋体"/>
          <w:b/>
          <w:bCs/>
          <w:color w:val="auto"/>
          <w:sz w:val="32"/>
          <w:szCs w:val="28"/>
          <w:lang w:val="en-US" w:eastAsia="zh-CN"/>
        </w:rPr>
      </w:pPr>
    </w:p>
    <w:p>
      <w:pPr>
        <w:spacing w:line="600" w:lineRule="auto"/>
        <w:jc w:val="both"/>
        <w:rPr>
          <w:rStyle w:val="27"/>
          <w:rFonts w:hint="eastAsia" w:ascii="宋体" w:hAnsi="宋体" w:eastAsia="宋体" w:cs="宋体"/>
          <w:b/>
          <w:bCs/>
          <w:color w:val="auto"/>
          <w:sz w:val="32"/>
          <w:szCs w:val="28"/>
          <w:lang w:val="en-US" w:eastAsia="zh-CN"/>
        </w:rPr>
      </w:pPr>
    </w:p>
    <w:p>
      <w:pPr>
        <w:spacing w:line="600" w:lineRule="auto"/>
        <w:jc w:val="both"/>
        <w:rPr>
          <w:rStyle w:val="27"/>
          <w:rFonts w:hint="eastAsia" w:ascii="宋体" w:hAnsi="宋体" w:eastAsia="宋体" w:cs="宋体"/>
          <w:b/>
          <w:bCs/>
          <w:color w:val="auto"/>
          <w:sz w:val="32"/>
          <w:szCs w:val="28"/>
          <w:lang w:val="en-US" w:eastAsia="zh-CN"/>
        </w:rPr>
      </w:pPr>
    </w:p>
    <w:p>
      <w:pPr>
        <w:spacing w:line="600" w:lineRule="auto"/>
        <w:jc w:val="both"/>
        <w:rPr>
          <w:rStyle w:val="27"/>
          <w:rFonts w:hint="eastAsia" w:ascii="宋体" w:hAnsi="宋体" w:eastAsia="宋体" w:cs="宋体"/>
          <w:b/>
          <w:bCs/>
          <w:color w:val="auto"/>
          <w:sz w:val="32"/>
          <w:szCs w:val="28"/>
          <w:lang w:val="en-US" w:eastAsia="zh-CN"/>
        </w:rPr>
      </w:pPr>
    </w:p>
    <w:p>
      <w:pPr>
        <w:spacing w:line="600" w:lineRule="auto"/>
        <w:jc w:val="both"/>
        <w:rPr>
          <w:rStyle w:val="27"/>
          <w:rFonts w:hint="eastAsia" w:ascii="宋体" w:hAnsi="宋体" w:eastAsia="宋体" w:cs="宋体"/>
          <w:b/>
          <w:bCs/>
          <w:color w:val="auto"/>
          <w:sz w:val="32"/>
          <w:szCs w:val="28"/>
          <w:lang w:val="en-US" w:eastAsia="zh-CN"/>
        </w:rPr>
      </w:pPr>
    </w:p>
    <w:p>
      <w:pPr>
        <w:pStyle w:val="32"/>
        <w:numPr>
          <w:ilvl w:val="0"/>
          <w:numId w:val="0"/>
        </w:numPr>
        <w:ind w:leftChars="0"/>
        <w:rPr>
          <w:rFonts w:hint="eastAsia" w:ascii="宋体" w:hAnsi="宋体" w:eastAsia="宋体" w:cs="宋体"/>
          <w:color w:val="auto"/>
          <w:lang w:val="en-US" w:eastAsia="zh-CN"/>
        </w:rPr>
      </w:pPr>
    </w:p>
    <w:p>
      <w:pPr>
        <w:spacing w:line="600" w:lineRule="auto"/>
        <w:jc w:val="both"/>
        <w:rPr>
          <w:rStyle w:val="27"/>
          <w:rFonts w:hint="eastAsia" w:ascii="宋体" w:hAnsi="宋体" w:eastAsia="宋体" w:cs="宋体"/>
          <w:b/>
          <w:bCs/>
          <w:color w:val="auto"/>
          <w:sz w:val="32"/>
          <w:szCs w:val="28"/>
          <w:lang w:val="en-US" w:eastAsia="zh-CN"/>
        </w:rPr>
      </w:pPr>
      <w:bookmarkStart w:id="243" w:name="_Toc28444"/>
      <w:bookmarkStart w:id="244" w:name="_Toc2155"/>
      <w:r>
        <w:rPr>
          <w:rStyle w:val="27"/>
          <w:rFonts w:hint="eastAsia" w:ascii="宋体" w:hAnsi="宋体" w:eastAsia="宋体" w:cs="宋体"/>
          <w:b/>
          <w:bCs/>
          <w:color w:val="auto"/>
          <w:sz w:val="32"/>
          <w:szCs w:val="28"/>
          <w:lang w:val="en-US" w:eastAsia="zh-CN"/>
        </w:rPr>
        <w:t>附件13:</w:t>
      </w:r>
      <w:bookmarkEnd w:id="243"/>
      <w:bookmarkEnd w:id="244"/>
    </w:p>
    <w:p>
      <w:pPr>
        <w:bidi w:val="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残疾人福利性单位声明函</w:t>
      </w:r>
    </w:p>
    <w:p>
      <w:pPr>
        <w:spacing w:line="600" w:lineRule="auto"/>
        <w:ind w:firstLine="726" w:firstLineChars="300"/>
        <w:jc w:val="both"/>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60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pPr>
        <w:spacing w:line="60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40" w:firstLineChars="20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单位名称（盖章）：</w:t>
      </w:r>
    </w:p>
    <w:p>
      <w:pPr>
        <w:keepNext w:val="0"/>
        <w:keepLines w:val="0"/>
        <w:pageBreakBefore w:val="0"/>
        <w:widowControl w:val="0"/>
        <w:kinsoku/>
        <w:wordWrap/>
        <w:overflowPunct/>
        <w:topLinePunct w:val="0"/>
        <w:autoSpaceDE/>
        <w:autoSpaceDN/>
        <w:bidi w:val="0"/>
        <w:adjustRightInd/>
        <w:snapToGrid/>
        <w:spacing w:line="360" w:lineRule="auto"/>
        <w:ind w:firstLine="4840" w:firstLineChars="20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eastAsia="zh-CN"/>
        </w:rPr>
        <w:t>：</w:t>
      </w:r>
    </w:p>
    <w:p>
      <w:pPr>
        <w:spacing w:line="600" w:lineRule="auto"/>
        <w:jc w:val="both"/>
        <w:rPr>
          <w:rStyle w:val="27"/>
          <w:rFonts w:hint="eastAsia" w:ascii="宋体" w:hAnsi="宋体" w:eastAsia="宋体" w:cs="宋体"/>
          <w:b/>
          <w:color w:val="auto"/>
          <w:sz w:val="24"/>
          <w:szCs w:val="24"/>
          <w:lang w:val="en-US" w:eastAsia="zh-CN"/>
        </w:rPr>
      </w:pPr>
    </w:p>
    <w:p>
      <w:pPr>
        <w:spacing w:line="600" w:lineRule="auto"/>
        <w:jc w:val="both"/>
        <w:rPr>
          <w:rFonts w:hint="eastAsia" w:ascii="宋体" w:hAnsi="宋体" w:eastAsia="宋体" w:cs="宋体"/>
          <w:color w:val="auto"/>
          <w:sz w:val="28"/>
          <w:szCs w:val="28"/>
        </w:rPr>
      </w:pPr>
    </w:p>
    <w:p>
      <w:pPr>
        <w:spacing w:line="600" w:lineRule="auto"/>
        <w:jc w:val="both"/>
        <w:rPr>
          <w:rFonts w:hint="eastAsia" w:ascii="宋体" w:hAnsi="宋体" w:eastAsia="宋体" w:cs="宋体"/>
          <w:color w:val="auto"/>
          <w:sz w:val="28"/>
          <w:szCs w:val="28"/>
        </w:rPr>
      </w:pPr>
    </w:p>
    <w:p>
      <w:pPr>
        <w:spacing w:line="600" w:lineRule="auto"/>
        <w:jc w:val="both"/>
        <w:rPr>
          <w:rFonts w:hint="eastAsia" w:ascii="宋体" w:hAnsi="宋体" w:eastAsia="宋体" w:cs="宋体"/>
          <w:color w:val="auto"/>
          <w:sz w:val="28"/>
          <w:szCs w:val="28"/>
        </w:rPr>
      </w:pPr>
    </w:p>
    <w:p>
      <w:pPr>
        <w:spacing w:line="600" w:lineRule="auto"/>
        <w:jc w:val="both"/>
        <w:rPr>
          <w:rFonts w:hint="eastAsia" w:ascii="宋体" w:hAnsi="宋体" w:eastAsia="宋体" w:cs="宋体"/>
          <w:color w:val="auto"/>
          <w:sz w:val="28"/>
          <w:szCs w:val="28"/>
          <w:lang w:val="en-US" w:eastAsia="zh-CN"/>
        </w:rPr>
      </w:pPr>
    </w:p>
    <w:p>
      <w:pPr>
        <w:pStyle w:val="12"/>
        <w:rPr>
          <w:rFonts w:hint="eastAsia" w:ascii="宋体" w:hAnsi="宋体" w:eastAsia="宋体" w:cs="宋体"/>
          <w:lang w:val="en-US" w:eastAsia="zh-CN"/>
        </w:rPr>
      </w:pPr>
    </w:p>
    <w:p>
      <w:pPr>
        <w:spacing w:line="600" w:lineRule="auto"/>
        <w:jc w:val="both"/>
        <w:rPr>
          <w:rFonts w:hint="eastAsia" w:ascii="宋体" w:hAnsi="宋体" w:eastAsia="宋体" w:cs="宋体"/>
          <w:b/>
          <w:color w:val="auto"/>
          <w:kern w:val="2"/>
          <w:sz w:val="24"/>
          <w:szCs w:val="24"/>
          <w:lang w:val="en-US" w:eastAsia="zh-CN" w:bidi="ar-SA"/>
        </w:rPr>
      </w:pPr>
    </w:p>
    <w:p>
      <w:pPr>
        <w:spacing w:line="600" w:lineRule="auto"/>
        <w:jc w:val="both"/>
        <w:rPr>
          <w:rFonts w:hint="eastAsia" w:ascii="宋体" w:hAnsi="宋体" w:eastAsia="宋体" w:cs="宋体"/>
          <w:b/>
          <w:color w:val="auto"/>
          <w:kern w:val="2"/>
          <w:sz w:val="24"/>
          <w:szCs w:val="24"/>
          <w:lang w:val="en-US" w:eastAsia="zh-CN" w:bidi="ar-SA"/>
        </w:rPr>
      </w:pPr>
    </w:p>
    <w:p>
      <w:pPr>
        <w:spacing w:line="600" w:lineRule="auto"/>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附件14：技术方案</w:t>
      </w:r>
    </w:p>
    <w:p>
      <w:pPr>
        <w:spacing w:line="600" w:lineRule="auto"/>
        <w:jc w:val="both"/>
        <w:rPr>
          <w:rFonts w:hint="eastAsia"/>
          <w:lang w:val="en-US" w:eastAsia="zh-CN"/>
        </w:rPr>
      </w:pPr>
      <w:r>
        <w:rPr>
          <w:rFonts w:hint="eastAsia" w:ascii="宋体" w:hAnsi="宋体" w:eastAsia="宋体" w:cs="宋体"/>
          <w:b/>
          <w:color w:val="auto"/>
          <w:kern w:val="2"/>
          <w:sz w:val="24"/>
          <w:szCs w:val="24"/>
          <w:lang w:val="en-US" w:eastAsia="zh-CN" w:bidi="ar-SA"/>
        </w:rPr>
        <w:t>附件15: 组织实施方案；</w:t>
      </w:r>
      <w:bookmarkStart w:id="245" w:name="_Toc5206"/>
    </w:p>
    <w:p>
      <w:pPr>
        <w:spacing w:line="600" w:lineRule="auto"/>
        <w:jc w:val="both"/>
        <w:rPr>
          <w:rFonts w:hint="default"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附件</w:t>
      </w:r>
      <w:r>
        <w:rPr>
          <w:rFonts w:hint="eastAsia" w:ascii="宋体" w:hAnsi="宋体" w:cs="宋体"/>
          <w:b/>
          <w:color w:val="auto"/>
          <w:kern w:val="2"/>
          <w:sz w:val="24"/>
          <w:szCs w:val="24"/>
          <w:lang w:val="en-US" w:eastAsia="zh-CN" w:bidi="ar-SA"/>
        </w:rPr>
        <w:t>16</w:t>
      </w:r>
      <w:r>
        <w:rPr>
          <w:rFonts w:hint="eastAsia" w:ascii="宋体" w:hAnsi="宋体" w:eastAsia="宋体" w:cs="宋体"/>
          <w:b/>
          <w:color w:val="auto"/>
          <w:kern w:val="2"/>
          <w:sz w:val="24"/>
          <w:szCs w:val="24"/>
          <w:lang w:val="en-US" w:eastAsia="zh-CN" w:bidi="ar-SA"/>
        </w:rPr>
        <w:t>:</w:t>
      </w:r>
      <w:bookmarkEnd w:id="245"/>
      <w:r>
        <w:rPr>
          <w:rFonts w:hint="eastAsia" w:ascii="宋体" w:hAnsi="宋体" w:cs="宋体"/>
          <w:b/>
          <w:color w:val="auto"/>
          <w:kern w:val="2"/>
          <w:sz w:val="24"/>
          <w:szCs w:val="24"/>
          <w:lang w:val="en-US" w:eastAsia="zh-CN" w:bidi="ar-SA"/>
        </w:rPr>
        <w:t>售后服务承诺</w:t>
      </w:r>
    </w:p>
    <w:p>
      <w:pPr>
        <w:spacing w:line="600" w:lineRule="auto"/>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附件</w:t>
      </w:r>
      <w:r>
        <w:rPr>
          <w:rFonts w:hint="eastAsia" w:ascii="宋体" w:hAnsi="宋体" w:cs="宋体"/>
          <w:b/>
          <w:color w:val="auto"/>
          <w:kern w:val="2"/>
          <w:sz w:val="24"/>
          <w:szCs w:val="24"/>
          <w:lang w:val="en-US" w:eastAsia="zh-CN" w:bidi="ar-SA"/>
        </w:rPr>
        <w:t>17：</w:t>
      </w:r>
      <w:r>
        <w:rPr>
          <w:rFonts w:hint="eastAsia" w:ascii="宋体" w:hAnsi="宋体" w:eastAsia="宋体" w:cs="宋体"/>
          <w:b/>
          <w:color w:val="auto"/>
          <w:kern w:val="2"/>
          <w:sz w:val="24"/>
          <w:szCs w:val="24"/>
          <w:lang w:val="en-US" w:eastAsia="zh-CN" w:bidi="ar-SA"/>
        </w:rPr>
        <w:t>要求提供的其它材料以及供应商认为需要提交的材料（以上格式自拟）。</w:t>
      </w:r>
    </w:p>
    <w:p>
      <w:pPr>
        <w:pStyle w:val="14"/>
        <w:keepNext w:val="0"/>
        <w:keepLines w:val="0"/>
        <w:pageBreakBefore w:val="0"/>
        <w:widowControl w:val="0"/>
        <w:kinsoku/>
        <w:wordWrap/>
        <w:overflowPunct/>
        <w:topLinePunct w:val="0"/>
        <w:autoSpaceDE/>
        <w:autoSpaceDN/>
        <w:bidi w:val="0"/>
        <w:adjustRightInd/>
        <w:spacing w:line="480" w:lineRule="auto"/>
        <w:ind w:firstLine="484" w:firstLineChars="200"/>
        <w:jc w:val="left"/>
        <w:textAlignment w:val="auto"/>
        <w:rPr>
          <w:rFonts w:hint="eastAsia" w:ascii="宋体" w:hAnsi="宋体" w:eastAsia="宋体" w:cs="宋体"/>
          <w:b/>
          <w:color w:val="auto"/>
          <w:kern w:val="2"/>
          <w:sz w:val="24"/>
          <w:szCs w:val="24"/>
          <w:lang w:val="en-US" w:eastAsia="zh-CN" w:bidi="ar-SA"/>
        </w:rPr>
      </w:pPr>
    </w:p>
    <w:p>
      <w:pPr>
        <w:pStyle w:val="14"/>
        <w:spacing w:line="480" w:lineRule="exact"/>
        <w:ind w:firstLine="484" w:firstLineChars="200"/>
        <w:rPr>
          <w:rFonts w:hint="eastAsia" w:ascii="宋体" w:hAnsi="宋体" w:eastAsia="宋体" w:cs="宋体"/>
          <w:b/>
          <w:bCs w:val="0"/>
          <w:color w:val="auto"/>
          <w:sz w:val="24"/>
          <w:szCs w:val="24"/>
        </w:rPr>
      </w:pPr>
    </w:p>
    <w:p>
      <w:pPr>
        <w:pStyle w:val="4"/>
        <w:keepNext w:val="0"/>
        <w:numPr>
          <w:ilvl w:val="0"/>
          <w:numId w:val="0"/>
        </w:numPr>
        <w:jc w:val="left"/>
        <w:outlineLvl w:val="9"/>
        <w:rPr>
          <w:rStyle w:val="27"/>
          <w:rFonts w:hint="eastAsia" w:ascii="宋体" w:hAnsi="宋体" w:eastAsia="宋体" w:cs="宋体"/>
          <w:b/>
          <w:color w:val="auto"/>
          <w:sz w:val="32"/>
          <w:szCs w:val="28"/>
          <w:lang w:val="en-US" w:eastAsia="zh-CN"/>
        </w:rPr>
      </w:pPr>
    </w:p>
    <w:p>
      <w:pPr>
        <w:pStyle w:val="4"/>
        <w:keepNext w:val="0"/>
        <w:numPr>
          <w:ilvl w:val="0"/>
          <w:numId w:val="0"/>
        </w:numPr>
        <w:jc w:val="left"/>
        <w:outlineLvl w:val="9"/>
        <w:rPr>
          <w:rStyle w:val="27"/>
          <w:rFonts w:hint="eastAsia" w:ascii="宋体" w:hAnsi="宋体" w:eastAsia="宋体" w:cs="宋体"/>
          <w:b/>
          <w:color w:val="auto"/>
          <w:sz w:val="32"/>
          <w:szCs w:val="28"/>
          <w:lang w:val="en-US" w:eastAsia="zh-CN"/>
        </w:rPr>
      </w:pPr>
    </w:p>
    <w:p>
      <w:pPr>
        <w:pStyle w:val="4"/>
        <w:keepNext w:val="0"/>
        <w:numPr>
          <w:ilvl w:val="0"/>
          <w:numId w:val="0"/>
        </w:numPr>
        <w:jc w:val="left"/>
        <w:outlineLvl w:val="9"/>
        <w:rPr>
          <w:rStyle w:val="27"/>
          <w:rFonts w:hint="eastAsia" w:ascii="宋体" w:hAnsi="宋体" w:eastAsia="宋体" w:cs="宋体"/>
          <w:b/>
          <w:color w:val="auto"/>
          <w:sz w:val="32"/>
          <w:szCs w:val="28"/>
          <w:lang w:val="en-US" w:eastAsia="zh-CN"/>
        </w:rPr>
      </w:pPr>
    </w:p>
    <w:p>
      <w:pPr>
        <w:pStyle w:val="4"/>
        <w:keepNext w:val="0"/>
        <w:numPr>
          <w:ilvl w:val="0"/>
          <w:numId w:val="0"/>
        </w:numPr>
        <w:jc w:val="left"/>
        <w:outlineLvl w:val="9"/>
        <w:rPr>
          <w:rStyle w:val="27"/>
          <w:rFonts w:hint="eastAsia" w:ascii="宋体" w:hAnsi="宋体" w:eastAsia="宋体" w:cs="宋体"/>
          <w:b/>
          <w:color w:val="auto"/>
          <w:sz w:val="32"/>
          <w:szCs w:val="28"/>
          <w:lang w:val="en-US" w:eastAsia="zh-CN"/>
        </w:rPr>
      </w:pPr>
    </w:p>
    <w:p>
      <w:pPr>
        <w:pStyle w:val="4"/>
        <w:keepNext w:val="0"/>
        <w:numPr>
          <w:ilvl w:val="0"/>
          <w:numId w:val="0"/>
        </w:numPr>
        <w:jc w:val="left"/>
        <w:outlineLvl w:val="9"/>
        <w:rPr>
          <w:rStyle w:val="27"/>
          <w:rFonts w:hint="eastAsia" w:ascii="宋体" w:hAnsi="宋体" w:eastAsia="宋体" w:cs="宋体"/>
          <w:b/>
          <w:color w:val="auto"/>
          <w:sz w:val="32"/>
          <w:szCs w:val="28"/>
          <w:lang w:val="en-US" w:eastAsia="zh-CN"/>
        </w:rPr>
      </w:pPr>
    </w:p>
    <w:p>
      <w:pPr>
        <w:pStyle w:val="4"/>
        <w:keepNext w:val="0"/>
        <w:numPr>
          <w:ilvl w:val="0"/>
          <w:numId w:val="0"/>
        </w:numPr>
        <w:jc w:val="left"/>
        <w:outlineLvl w:val="9"/>
        <w:rPr>
          <w:rStyle w:val="27"/>
          <w:rFonts w:hint="eastAsia" w:ascii="宋体" w:hAnsi="宋体" w:eastAsia="宋体" w:cs="宋体"/>
          <w:b/>
          <w:color w:val="auto"/>
          <w:sz w:val="32"/>
          <w:szCs w:val="28"/>
          <w:lang w:val="en-US" w:eastAsia="zh-CN"/>
        </w:rPr>
      </w:pPr>
    </w:p>
    <w:p>
      <w:pPr>
        <w:pStyle w:val="4"/>
        <w:keepNext w:val="0"/>
        <w:numPr>
          <w:ilvl w:val="0"/>
          <w:numId w:val="0"/>
        </w:numPr>
        <w:jc w:val="left"/>
        <w:outlineLvl w:val="9"/>
        <w:rPr>
          <w:rStyle w:val="27"/>
          <w:rFonts w:hint="eastAsia" w:ascii="宋体" w:hAnsi="宋体" w:eastAsia="宋体" w:cs="宋体"/>
          <w:b/>
          <w:color w:val="auto"/>
          <w:sz w:val="32"/>
          <w:szCs w:val="28"/>
          <w:lang w:val="en-US" w:eastAsia="zh-CN"/>
        </w:rPr>
      </w:pPr>
    </w:p>
    <w:p>
      <w:pPr>
        <w:pStyle w:val="4"/>
        <w:keepNext w:val="0"/>
        <w:numPr>
          <w:ilvl w:val="0"/>
          <w:numId w:val="0"/>
        </w:numPr>
        <w:jc w:val="left"/>
        <w:outlineLvl w:val="9"/>
        <w:rPr>
          <w:rStyle w:val="27"/>
          <w:rFonts w:hint="eastAsia" w:ascii="宋体" w:hAnsi="宋体" w:eastAsia="宋体" w:cs="宋体"/>
          <w:b/>
          <w:color w:val="auto"/>
          <w:sz w:val="32"/>
          <w:szCs w:val="28"/>
          <w:lang w:val="en-US" w:eastAsia="zh-CN"/>
        </w:rPr>
      </w:pPr>
    </w:p>
    <w:p/>
    <w:sectPr>
      <w:headerReference r:id="rId19" w:type="first"/>
      <w:footerReference r:id="rId21" w:type="first"/>
      <w:headerReference r:id="rId18" w:type="default"/>
      <w:footerReference r:id="rId20" w:type="default"/>
      <w:pgSz w:w="11906" w:h="16838"/>
      <w:pgMar w:top="1417" w:right="1418" w:bottom="1417" w:left="1134" w:header="851" w:footer="850" w:gutter="0"/>
      <w:pgNumType w:fmt="decimal"/>
      <w:cols w:space="720" w:num="1"/>
      <w:titlePg/>
      <w:docGrid w:type="linesAndChars" w:linePitch="312" w:charSpace="5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6120" w:firstLineChars="3400"/>
      <w:rPr>
        <w:rFonts w:hint="default"/>
        <w:lang w:val="en-US"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6120" w:firstLineChars="3400"/>
      <w:rPr>
        <w:rFonts w:hint="default"/>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hint="eastAsia" w:eastAsia="宋体"/>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hint="eastAsia" w:eastAsia="宋体"/>
        <w:lang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thinThickSmallGap" w:color="auto" w:sz="12" w:space="1"/>
      </w:pBdr>
      <w:jc w:val="both"/>
      <w:rPr>
        <w:rFonts w:hint="default" w:eastAsia="宋体"/>
        <w:sz w:val="21"/>
        <w:szCs w:val="22"/>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35879"/>
    <w:multiLevelType w:val="singleLevel"/>
    <w:tmpl w:val="CEC35879"/>
    <w:lvl w:ilvl="0" w:tentative="0">
      <w:start w:val="4"/>
      <w:numFmt w:val="chineseCounting"/>
      <w:suff w:val="space"/>
      <w:lvlText w:val="第%1章"/>
      <w:lvlJc w:val="left"/>
      <w:rPr>
        <w:rFonts w:hint="eastAsia"/>
      </w:rPr>
    </w:lvl>
  </w:abstractNum>
  <w:abstractNum w:abstractNumId="1">
    <w:nsid w:val="00000003"/>
    <w:multiLevelType w:val="singleLevel"/>
    <w:tmpl w:val="00000003"/>
    <w:lvl w:ilvl="0" w:tentative="0">
      <w:start w:val="1"/>
      <w:numFmt w:val="upperLetter"/>
      <w:pStyle w:val="4"/>
      <w:lvlText w:val="%1."/>
      <w:lvlJc w:val="left"/>
      <w:pPr>
        <w:tabs>
          <w:tab w:val="left" w:pos="330"/>
        </w:tabs>
        <w:ind w:left="330" w:hanging="330"/>
      </w:pPr>
    </w:lvl>
  </w:abstractNum>
  <w:abstractNum w:abstractNumId="2">
    <w:nsid w:val="0000000F"/>
    <w:multiLevelType w:val="multilevel"/>
    <w:tmpl w:val="0000000F"/>
    <w:lvl w:ilvl="0" w:tentative="0">
      <w:start w:val="1"/>
      <w:numFmt w:val="decimal"/>
      <w:pStyle w:val="32"/>
      <w:lvlText w:val="%1、"/>
      <w:lvlJc w:val="left"/>
      <w:pPr>
        <w:ind w:left="900" w:hanging="420"/>
      </w:pPr>
      <w:rPr>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13"/>
    <w:multiLevelType w:val="multilevel"/>
    <w:tmpl w:val="00000013"/>
    <w:lvl w:ilvl="0" w:tentative="0">
      <w:start w:val="1"/>
      <w:numFmt w:val="decimal"/>
      <w:lvlText w:val="（%1）"/>
      <w:lvlJc w:val="left"/>
      <w:pPr>
        <w:tabs>
          <w:tab w:val="left" w:pos="1080"/>
        </w:tabs>
        <w:ind w:left="1080" w:hanging="1080"/>
      </w:pPr>
    </w:lvl>
    <w:lvl w:ilvl="1" w:tentative="0">
      <w:start w:val="1"/>
      <w:numFmt w:val="bullet"/>
      <w:lvlText w:val=""/>
      <w:lvlJc w:val="left"/>
      <w:pPr>
        <w:tabs>
          <w:tab w:val="left" w:pos="600"/>
        </w:tabs>
        <w:ind w:left="60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E51399A"/>
    <w:multiLevelType w:val="singleLevel"/>
    <w:tmpl w:val="0E51399A"/>
    <w:lvl w:ilvl="0" w:tentative="0">
      <w:start w:val="3"/>
      <w:numFmt w:val="chineseCounting"/>
      <w:suff w:val="space"/>
      <w:lvlText w:val="第%1章"/>
      <w:lvlJc w:val="left"/>
      <w:rPr>
        <w:rFonts w:hint="eastAsia"/>
      </w:rPr>
    </w:lvl>
  </w:abstractNum>
  <w:abstractNum w:abstractNumId="5">
    <w:nsid w:val="673700A6"/>
    <w:multiLevelType w:val="multilevel"/>
    <w:tmpl w:val="673700A6"/>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3"/>
  </w:num>
  <w:num w:numId="4">
    <w:abstractNumId w:val="4"/>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4C6CDE"/>
    <w:rsid w:val="02831677"/>
    <w:rsid w:val="059B24B4"/>
    <w:rsid w:val="10523244"/>
    <w:rsid w:val="10F20633"/>
    <w:rsid w:val="171E28E6"/>
    <w:rsid w:val="1A4C5A32"/>
    <w:rsid w:val="1FC25CAB"/>
    <w:rsid w:val="2EC325D0"/>
    <w:rsid w:val="32841682"/>
    <w:rsid w:val="3308045F"/>
    <w:rsid w:val="39791650"/>
    <w:rsid w:val="3A4E590C"/>
    <w:rsid w:val="3E12625E"/>
    <w:rsid w:val="3E2B1229"/>
    <w:rsid w:val="41F85B43"/>
    <w:rsid w:val="42F9206C"/>
    <w:rsid w:val="430D5439"/>
    <w:rsid w:val="439D454D"/>
    <w:rsid w:val="448026D5"/>
    <w:rsid w:val="44F17D8D"/>
    <w:rsid w:val="45B32975"/>
    <w:rsid w:val="46661926"/>
    <w:rsid w:val="46FE6435"/>
    <w:rsid w:val="49F70BF1"/>
    <w:rsid w:val="4E876B86"/>
    <w:rsid w:val="4F4C6CDE"/>
    <w:rsid w:val="4F86002C"/>
    <w:rsid w:val="52D90981"/>
    <w:rsid w:val="53A615FD"/>
    <w:rsid w:val="558772CD"/>
    <w:rsid w:val="56197AD3"/>
    <w:rsid w:val="573B2E37"/>
    <w:rsid w:val="5D130712"/>
    <w:rsid w:val="5DBC3D9A"/>
    <w:rsid w:val="5E053485"/>
    <w:rsid w:val="60564992"/>
    <w:rsid w:val="60737FD6"/>
    <w:rsid w:val="60912F1C"/>
    <w:rsid w:val="622013AB"/>
    <w:rsid w:val="63EF5D46"/>
    <w:rsid w:val="65EC43A9"/>
    <w:rsid w:val="682D626B"/>
    <w:rsid w:val="69C97333"/>
    <w:rsid w:val="6FAB6439"/>
    <w:rsid w:val="71213793"/>
    <w:rsid w:val="73137F9A"/>
    <w:rsid w:val="733939A1"/>
    <w:rsid w:val="765C57B4"/>
    <w:rsid w:val="7C076A1C"/>
    <w:rsid w:val="7FBE2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7"/>
    <w:qFormat/>
    <w:uiPriority w:val="0"/>
    <w:pPr>
      <w:keepNext/>
      <w:jc w:val="center"/>
      <w:outlineLvl w:val="0"/>
    </w:pPr>
    <w:rPr>
      <w:rFonts w:ascii="仿宋_GB2312" w:hAnsi="仿宋_GB2312" w:eastAsia="宋体"/>
      <w:b/>
      <w:kern w:val="0"/>
      <w:sz w:val="28"/>
    </w:rPr>
  </w:style>
  <w:style w:type="paragraph" w:styleId="4">
    <w:name w:val="heading 2"/>
    <w:basedOn w:val="1"/>
    <w:next w:val="1"/>
    <w:qFormat/>
    <w:uiPriority w:val="99"/>
    <w:pPr>
      <w:keepNext/>
      <w:numPr>
        <w:ilvl w:val="0"/>
        <w:numId w:val="1"/>
      </w:numPr>
      <w:tabs>
        <w:tab w:val="left" w:pos="420"/>
        <w:tab w:val="clear" w:pos="330"/>
      </w:tabs>
      <w:spacing w:line="360" w:lineRule="auto"/>
      <w:outlineLvl w:val="1"/>
    </w:pPr>
    <w:rPr>
      <w:b/>
      <w:sz w:val="24"/>
      <w:szCs w:val="24"/>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rPr>
      <w:rFonts w:ascii="Calibri" w:hAnsi="Calibri"/>
    </w:rPr>
  </w:style>
  <w:style w:type="paragraph" w:styleId="5">
    <w:name w:val="Body Text"/>
    <w:basedOn w:val="1"/>
    <w:next w:val="6"/>
    <w:qFormat/>
    <w:uiPriority w:val="0"/>
    <w:pPr>
      <w:spacing w:after="120" w:afterLines="0"/>
    </w:pPr>
  </w:style>
  <w:style w:type="paragraph" w:styleId="6">
    <w:name w:val="Body Text First Indent"/>
    <w:basedOn w:val="5"/>
    <w:unhideWhenUsed/>
    <w:qFormat/>
    <w:uiPriority w:val="0"/>
    <w:pPr>
      <w:ind w:firstLine="420" w:firstLineChars="100"/>
    </w:pPr>
  </w:style>
  <w:style w:type="paragraph" w:styleId="7">
    <w:name w:val="Body Text Indent"/>
    <w:basedOn w:val="1"/>
    <w:qFormat/>
    <w:uiPriority w:val="0"/>
    <w:pPr>
      <w:spacing w:line="800" w:lineRule="exact"/>
      <w:ind w:left="315" w:leftChars="150" w:firstLine="664" w:firstLineChars="237"/>
    </w:pPr>
    <w:rPr>
      <w:rFonts w:ascii="仿宋_GB2312" w:eastAsia="仿宋_GB2312"/>
      <w:sz w:val="28"/>
    </w:rPr>
  </w:style>
  <w:style w:type="paragraph" w:styleId="8">
    <w:name w:val="Body Text Indent 2"/>
    <w:basedOn w:val="1"/>
    <w:qFormat/>
    <w:uiPriority w:val="0"/>
    <w:pPr>
      <w:spacing w:line="360" w:lineRule="auto"/>
      <w:ind w:firstLine="555"/>
    </w:pPr>
    <w:rPr>
      <w:rFonts w:ascii="仿宋_GB2312" w:eastAsia="仿宋_GB2312"/>
      <w:sz w:val="2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style>
  <w:style w:type="paragraph" w:styleId="12">
    <w:name w:val="Subtitle"/>
    <w:next w:val="1"/>
    <w:qFormat/>
    <w:uiPriority w:val="0"/>
    <w:pPr>
      <w:wordWrap w:val="0"/>
      <w:spacing w:after="60"/>
      <w:ind w:left="1024" w:firstLine="18"/>
      <w:jc w:val="center"/>
    </w:pPr>
    <w:rPr>
      <w:rFonts w:ascii="Calibri" w:hAnsi="Calibri" w:eastAsia="宋体" w:cs="Times New Roman"/>
      <w:sz w:val="21"/>
      <w:szCs w:val="22"/>
      <w:lang w:val="en-US" w:eastAsia="zh-CN" w:bidi="ar-SA"/>
    </w:rPr>
  </w:style>
  <w:style w:type="paragraph" w:styleId="13">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14">
    <w:name w:val="footnote text"/>
    <w:basedOn w:val="1"/>
    <w:qFormat/>
    <w:uiPriority w:val="0"/>
    <w:pPr>
      <w:snapToGrid w:val="0"/>
      <w:jc w:val="left"/>
    </w:pPr>
    <w:rPr>
      <w:rFonts w:eastAsia="楷体_GB2312"/>
      <w:sz w:val="18"/>
      <w:szCs w:val="18"/>
    </w:rPr>
  </w:style>
  <w:style w:type="paragraph" w:styleId="15">
    <w:name w:val="toc 2"/>
    <w:basedOn w:val="1"/>
    <w:next w:val="1"/>
    <w:qFormat/>
    <w:uiPriority w:val="0"/>
    <w:pPr>
      <w:ind w:left="420" w:leftChars="200"/>
    </w:pPr>
  </w:style>
  <w:style w:type="paragraph" w:styleId="16">
    <w:name w:val="Body Text 2"/>
    <w:basedOn w:val="1"/>
    <w:unhideWhenUsed/>
    <w:qFormat/>
    <w:uiPriority w:val="0"/>
    <w:pPr>
      <w:spacing w:after="120" w:line="480" w:lineRule="auto"/>
    </w:pPr>
  </w:style>
  <w:style w:type="paragraph" w:styleId="17">
    <w:name w:val="Normal (Web)"/>
    <w:basedOn w:val="1"/>
    <w:qFormat/>
    <w:uiPriority w:val="0"/>
    <w:pPr>
      <w:widowControl/>
      <w:jc w:val="left"/>
    </w:pPr>
    <w:rPr>
      <w:rFonts w:ascii="宋体" w:hAnsi="宋体" w:cs="宋体"/>
      <w:kern w:val="0"/>
      <w:sz w:val="24"/>
      <w:szCs w:val="24"/>
    </w:rPr>
  </w:style>
  <w:style w:type="paragraph" w:styleId="18">
    <w:name w:val="Body Text First Indent 2"/>
    <w:basedOn w:val="7"/>
    <w:qFormat/>
    <w:uiPriority w:val="0"/>
    <w:pPr>
      <w:spacing w:after="0" w:line="360" w:lineRule="auto"/>
      <w:ind w:firstLine="200" w:firstLineChars="200"/>
    </w:pPr>
  </w:style>
  <w:style w:type="character" w:styleId="21">
    <w:name w:val="Strong"/>
    <w:basedOn w:val="20"/>
    <w:qFormat/>
    <w:uiPriority w:val="0"/>
    <w:rPr>
      <w:b/>
    </w:rPr>
  </w:style>
  <w:style w:type="paragraph" w:customStyle="1" w:styleId="22">
    <w:name w:val="Style1"/>
    <w:basedOn w:val="1"/>
    <w:qFormat/>
    <w:uiPriority w:val="0"/>
    <w:pPr>
      <w:widowControl/>
      <w:tabs>
        <w:tab w:val="left" w:pos="-720"/>
      </w:tabs>
      <w:spacing w:after="120"/>
    </w:pPr>
    <w:rPr>
      <w:spacing w:val="-3"/>
      <w:kern w:val="0"/>
      <w:sz w:val="24"/>
      <w:lang w:val="en-AU" w:eastAsia="en-US"/>
    </w:rPr>
  </w:style>
  <w:style w:type="paragraph" w:customStyle="1" w:styleId="23">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4">
    <w:name w:val="_Style 3"/>
    <w:basedOn w:val="1"/>
    <w:qFormat/>
    <w:uiPriority w:val="99"/>
    <w:pPr>
      <w:autoSpaceDE w:val="0"/>
      <w:autoSpaceDN w:val="0"/>
      <w:spacing w:line="360" w:lineRule="auto"/>
      <w:ind w:firstLine="420" w:firstLineChars="200"/>
      <w:jc w:val="left"/>
    </w:pPr>
    <w:rPr>
      <w:rFonts w:cs="Times New Roman"/>
      <w:color w:val="auto"/>
      <w:kern w:val="0"/>
      <w:sz w:val="24"/>
      <w:szCs w:val="21"/>
      <w:lang w:val="zh-CN"/>
    </w:rPr>
  </w:style>
  <w:style w:type="character" w:customStyle="1" w:styleId="25">
    <w:name w:val="标题 2 字符"/>
    <w:qFormat/>
    <w:uiPriority w:val="99"/>
    <w:rPr>
      <w:b/>
      <w:kern w:val="2"/>
      <w:sz w:val="24"/>
      <w:szCs w:val="24"/>
    </w:rPr>
  </w:style>
  <w:style w:type="paragraph" w:styleId="26">
    <w:name w:val="List Paragraph"/>
    <w:basedOn w:val="1"/>
    <w:qFormat/>
    <w:uiPriority w:val="0"/>
    <w:pPr>
      <w:ind w:firstLine="420" w:firstLineChars="200"/>
    </w:pPr>
    <w:rPr>
      <w:szCs w:val="24"/>
    </w:rPr>
  </w:style>
  <w:style w:type="character" w:customStyle="1" w:styleId="27">
    <w:name w:val="标题 1 Char"/>
    <w:link w:val="3"/>
    <w:qFormat/>
    <w:uiPriority w:val="0"/>
    <w:rPr>
      <w:rFonts w:ascii="仿宋_GB2312" w:hAnsi="仿宋_GB2312" w:eastAsia="宋体"/>
      <w:b/>
      <w:kern w:val="0"/>
      <w:sz w:val="28"/>
    </w:rPr>
  </w:style>
  <w:style w:type="character" w:customStyle="1" w:styleId="28">
    <w:name w:val="font112"/>
    <w:basedOn w:val="20"/>
    <w:qFormat/>
    <w:uiPriority w:val="0"/>
    <w:rPr>
      <w:rFonts w:ascii="Wingdings 2" w:hAnsi="Wingdings 2" w:eastAsia="Wingdings 2" w:cs="Wingdings 2"/>
      <w:color w:val="000000"/>
      <w:sz w:val="18"/>
      <w:szCs w:val="18"/>
      <w:u w:val="none"/>
    </w:rPr>
  </w:style>
  <w:style w:type="paragraph" w:customStyle="1" w:styleId="29">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character" w:customStyle="1" w:styleId="30">
    <w:name w:val="font141"/>
    <w:basedOn w:val="20"/>
    <w:qFormat/>
    <w:uiPriority w:val="0"/>
    <w:rPr>
      <w:rFonts w:ascii="Wingdings" w:hAnsi="Wingdings" w:cs="Wingdings"/>
      <w:color w:val="000000"/>
      <w:sz w:val="18"/>
      <w:szCs w:val="18"/>
      <w:u w:val="none"/>
    </w:rPr>
  </w:style>
  <w:style w:type="character" w:customStyle="1" w:styleId="31">
    <w:name w:val="font151"/>
    <w:basedOn w:val="20"/>
    <w:qFormat/>
    <w:uiPriority w:val="0"/>
    <w:rPr>
      <w:rFonts w:ascii="Calibri" w:hAnsi="Calibri" w:cs="Calibri"/>
      <w:color w:val="000000"/>
      <w:sz w:val="18"/>
      <w:szCs w:val="18"/>
      <w:u w:val="none"/>
    </w:rPr>
  </w:style>
  <w:style w:type="paragraph" w:customStyle="1" w:styleId="32">
    <w:name w:val="Char"/>
    <w:basedOn w:val="1"/>
    <w:qFormat/>
    <w:uiPriority w:val="0"/>
    <w:pPr>
      <w:numPr>
        <w:ilvl w:val="0"/>
        <w:numId w:val="2"/>
      </w:numPr>
      <w:spacing w:line="360" w:lineRule="auto"/>
      <w:ind w:left="0" w:firstLine="0"/>
    </w:pPr>
    <w:rPr>
      <w:rFonts w:ascii="新宋体" w:hAnsi="新宋体" w:eastAsia="新宋体"/>
      <w:b/>
      <w:sz w:val="24"/>
      <w:szCs w:val="24"/>
    </w:rPr>
  </w:style>
  <w:style w:type="paragraph" w:customStyle="1" w:styleId="33">
    <w:name w:val="中文正文、"/>
    <w:basedOn w:val="1"/>
    <w:qFormat/>
    <w:uiPriority w:val="0"/>
    <w:pPr>
      <w:spacing w:line="360" w:lineRule="auto"/>
      <w:ind w:firstLine="420" w:firstLineChars="200"/>
      <w:jc w:val="left"/>
    </w:pPr>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2021-12-02T07:07:00Z</dcterms:created>
  <dc:creator>Administrator</dc:creator>
  <cp:lastModifiedBy>Administrator</cp:lastModifiedBy>
  <dcterms:modified xsi:type="dcterms:W3CDTF">2021-12-07T07:34:26Z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464B8E4B444C4F7387823EA7E23449BE</vt:lpwstr>
  </property>
</Properties>
</file>