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numPr>
          <w:ilvl w:val="0"/>
          <w:numId w:val="0"/>
        </w:numPr>
        <w:tabs>
          <w:tab w:val="left" w:pos="2820"/>
          <w:tab w:val="left" w:pos="3165"/>
          <w:tab w:val="center" w:pos="4153"/>
        </w:tabs>
        <w:kinsoku/>
        <w:wordWrap/>
        <w:overflowPunct/>
        <w:topLinePunct w:val="0"/>
        <w:autoSpaceDE w:val="0"/>
        <w:autoSpaceDN w:val="0"/>
        <w:bidi w:val="0"/>
        <w:adjustRightInd w:val="0"/>
        <w:snapToGrid w:val="0"/>
        <w:spacing w:before="0" w:after="0" w:line="240" w:lineRule="auto"/>
        <w:ind w:leftChars="0"/>
        <w:jc w:val="right"/>
        <w:textAlignment w:val="auto"/>
        <w:rPr>
          <w:rFonts w:ascii="仿宋" w:hAnsi="仿宋" w:eastAsia="仿宋" w:cs="宋体"/>
          <w:b/>
          <w:color w:val="000000"/>
          <w:sz w:val="32"/>
          <w:szCs w:val="44"/>
          <w:highlight w:val="none"/>
        </w:rPr>
      </w:pPr>
      <w:r>
        <w:rPr>
          <w:rFonts w:hint="eastAsia" w:ascii="仿宋" w:hAnsi="仿宋" w:eastAsia="仿宋" w:cs="宋体"/>
          <w:sz w:val="16"/>
          <w:szCs w:val="20"/>
          <w:highlight w:val="none"/>
          <w:lang w:val="en-US" w:eastAsia="zh-CN"/>
        </w:rPr>
        <w:t xml:space="preserve">   </w:t>
      </w:r>
      <w:r>
        <w:rPr>
          <w:rFonts w:hint="eastAsia" w:ascii="宋体" w:hAnsi="宋体" w:eastAsia="宋体" w:cs="宋体"/>
          <w:b/>
          <w:bCs/>
          <w:sz w:val="22"/>
          <w:szCs w:val="22"/>
          <w:highlight w:val="none"/>
          <w:lang w:val="en-US" w:eastAsia="zh-CN"/>
        </w:rPr>
        <w:t>采购办备案处</w:t>
      </w:r>
    </w:p>
    <w:p>
      <w:pPr>
        <w:pStyle w:val="3"/>
        <w:keepNext/>
        <w:keepLines w:val="0"/>
        <w:pageBreakBefore w:val="0"/>
        <w:widowControl w:val="0"/>
        <w:numPr>
          <w:ilvl w:val="0"/>
          <w:numId w:val="0"/>
        </w:numPr>
        <w:kinsoku/>
        <w:wordWrap/>
        <w:overflowPunct/>
        <w:topLinePunct w:val="0"/>
        <w:autoSpaceDE w:val="0"/>
        <w:autoSpaceDN w:val="0"/>
        <w:bidi w:val="0"/>
        <w:adjustRightInd w:val="0"/>
        <w:snapToGrid/>
        <w:spacing w:before="0" w:after="0" w:line="500" w:lineRule="exact"/>
        <w:ind w:leftChars="0"/>
        <w:jc w:val="center"/>
        <w:textAlignment w:val="auto"/>
        <w:rPr>
          <w:highlight w:val="none"/>
        </w:rPr>
      </w:pPr>
      <w:bookmarkStart w:id="0" w:name="_Toc28359011"/>
      <w:bookmarkStart w:id="1" w:name="_Toc35393797"/>
      <w:r>
        <w:rPr>
          <w:rFonts w:hint="eastAsia" w:ascii="华文中宋" w:hAnsi="华文中宋" w:eastAsia="华文中宋"/>
          <w:highlight w:val="none"/>
          <w:lang w:eastAsia="zh-CN"/>
        </w:rPr>
        <w:t>于田县库尔班吐鲁木纪念馆红色旅游基础设施配套项目（旅游扶贫）</w:t>
      </w:r>
      <w:r>
        <w:rPr>
          <w:rFonts w:hint="eastAsia" w:ascii="华文中宋" w:hAnsi="华文中宋" w:eastAsia="华文中宋"/>
          <w:highlight w:val="none"/>
        </w:rPr>
        <w:t>竞争性谈判公告</w:t>
      </w:r>
      <w:bookmarkEnd w:id="0"/>
      <w:bookmarkEnd w:id="1"/>
    </w:p>
    <w:p>
      <w:pPr>
        <w:pBdr>
          <w:top w:val="single" w:color="auto" w:sz="4" w:space="1"/>
          <w:left w:val="single" w:color="auto" w:sz="4" w:space="4"/>
          <w:bottom w:val="single" w:color="auto" w:sz="4" w:space="1"/>
          <w:right w:val="single" w:color="auto" w:sz="4" w:space="4"/>
        </w:pBdr>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u w:val="single"/>
          <w:lang w:eastAsia="zh-CN"/>
        </w:rPr>
        <w:t>于田县库尔班吐鲁木纪念馆红色旅游基础设施配套项目（旅游扶贫）</w:t>
      </w:r>
      <w:r>
        <w:rPr>
          <w:rFonts w:hint="eastAsia" w:ascii="宋体" w:hAnsi="宋体" w:eastAsia="宋体" w:cs="宋体"/>
          <w:sz w:val="24"/>
          <w:szCs w:val="24"/>
          <w:highlight w:val="none"/>
        </w:rPr>
        <w:t>的潜在供应商应在</w:t>
      </w:r>
      <w:r>
        <w:rPr>
          <w:rFonts w:hint="eastAsia" w:ascii="宋体" w:hAnsi="宋体" w:eastAsia="宋体" w:cs="宋体"/>
          <w:sz w:val="24"/>
          <w:szCs w:val="24"/>
          <w:highlight w:val="none"/>
          <w:lang w:val="en-US" w:eastAsia="zh-CN"/>
        </w:rPr>
        <w:t>新疆惠文建设工程项目管理</w:t>
      </w:r>
      <w:bookmarkStart w:id="40" w:name="_GoBack"/>
      <w:bookmarkEnd w:id="40"/>
      <w:r>
        <w:rPr>
          <w:rFonts w:hint="eastAsia" w:ascii="宋体" w:hAnsi="宋体" w:eastAsia="宋体" w:cs="宋体"/>
          <w:sz w:val="24"/>
          <w:szCs w:val="24"/>
          <w:highlight w:val="none"/>
          <w:lang w:val="en-US" w:eastAsia="zh-CN"/>
        </w:rPr>
        <w:t>咨询有限公司（和田市阿恰勒东路11号第十地质大队四楼）获取</w:t>
      </w:r>
      <w:r>
        <w:rPr>
          <w:rFonts w:hint="eastAsia" w:ascii="宋体" w:hAnsi="宋体" w:eastAsia="宋体" w:cs="宋体"/>
          <w:sz w:val="24"/>
          <w:szCs w:val="24"/>
          <w:highlight w:val="none"/>
        </w:rPr>
        <w:t>采购文件，标书售后不退。并于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202</w:t>
      </w:r>
      <w:r>
        <w:rPr>
          <w:rFonts w:hint="eastAsia" w:ascii="宋体" w:hAnsi="宋体" w:cs="宋体"/>
          <w:sz w:val="24"/>
          <w:szCs w:val="24"/>
          <w:highlight w:val="none"/>
          <w:u w:val="single"/>
          <w:lang w:val="en-US" w:eastAsia="zh-CN"/>
        </w:rPr>
        <w:t>1</w:t>
      </w:r>
      <w:r>
        <w:rPr>
          <w:rFonts w:hint="eastAsia" w:ascii="宋体" w:hAnsi="宋体" w:eastAsia="宋体" w:cs="宋体"/>
          <w:sz w:val="24"/>
          <w:szCs w:val="24"/>
          <w:highlight w:val="none"/>
          <w:u w:val="single"/>
        </w:rPr>
        <w:t xml:space="preserve"> </w:t>
      </w:r>
      <w:r>
        <w:rPr>
          <w:rFonts w:hint="eastAsia" w:ascii="宋体" w:hAnsi="宋体" w:eastAsia="宋体" w:cs="宋体"/>
          <w:bCs/>
          <w:sz w:val="24"/>
          <w:szCs w:val="24"/>
          <w:highlight w:val="none"/>
          <w:u w:val="single"/>
        </w:rPr>
        <w:t>年</w:t>
      </w:r>
      <w:r>
        <w:rPr>
          <w:rFonts w:hint="eastAsia" w:ascii="宋体" w:hAnsi="宋体" w:cs="宋体"/>
          <w:bCs/>
          <w:sz w:val="24"/>
          <w:szCs w:val="24"/>
          <w:highlight w:val="none"/>
          <w:u w:val="single"/>
          <w:lang w:val="en-US" w:eastAsia="zh-CN"/>
        </w:rPr>
        <w:t>12</w:t>
      </w:r>
      <w:r>
        <w:rPr>
          <w:rFonts w:hint="eastAsia" w:ascii="宋体" w:hAnsi="宋体" w:eastAsia="宋体" w:cs="宋体"/>
          <w:bCs/>
          <w:sz w:val="24"/>
          <w:szCs w:val="24"/>
          <w:highlight w:val="none"/>
          <w:u w:val="single"/>
        </w:rPr>
        <w:t xml:space="preserve"> 月</w:t>
      </w:r>
      <w:r>
        <w:rPr>
          <w:rFonts w:hint="eastAsia" w:ascii="宋体" w:hAnsi="宋体" w:cs="宋体"/>
          <w:bCs/>
          <w:sz w:val="24"/>
          <w:szCs w:val="24"/>
          <w:highlight w:val="none"/>
          <w:u w:val="single"/>
          <w:lang w:val="en-US" w:eastAsia="zh-CN"/>
        </w:rPr>
        <w:t>29</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日</w:t>
      </w:r>
      <w:r>
        <w:rPr>
          <w:rFonts w:hint="eastAsia" w:ascii="宋体" w:hAnsi="宋体" w:cs="宋体"/>
          <w:bCs/>
          <w:sz w:val="24"/>
          <w:szCs w:val="24"/>
          <w:highlight w:val="none"/>
          <w:u w:val="single"/>
          <w:lang w:val="en-US" w:eastAsia="zh-CN"/>
        </w:rPr>
        <w:t>12</w:t>
      </w:r>
      <w:r>
        <w:rPr>
          <w:rFonts w:hint="eastAsia" w:ascii="宋体" w:hAnsi="宋体" w:eastAsia="宋体" w:cs="宋体"/>
          <w:bCs/>
          <w:sz w:val="24"/>
          <w:szCs w:val="24"/>
          <w:highlight w:val="none"/>
          <w:u w:val="single"/>
          <w:lang w:val="en-US" w:eastAsia="zh-CN"/>
        </w:rPr>
        <w:t>时</w:t>
      </w:r>
      <w:r>
        <w:rPr>
          <w:rFonts w:hint="eastAsia" w:ascii="宋体" w:hAnsi="宋体" w:cs="宋体"/>
          <w:bCs/>
          <w:sz w:val="24"/>
          <w:szCs w:val="24"/>
          <w:highlight w:val="none"/>
          <w:u w:val="single"/>
          <w:lang w:val="en-US" w:eastAsia="zh-CN"/>
        </w:rPr>
        <w:t>00</w:t>
      </w:r>
      <w:r>
        <w:rPr>
          <w:rFonts w:hint="eastAsia" w:ascii="宋体" w:hAnsi="宋体" w:eastAsia="宋体" w:cs="宋体"/>
          <w:bCs/>
          <w:sz w:val="24"/>
          <w:szCs w:val="24"/>
          <w:highlight w:val="none"/>
          <w:u w:val="single"/>
        </w:rPr>
        <w:t>分</w:t>
      </w:r>
      <w:r>
        <w:rPr>
          <w:rFonts w:hint="eastAsia" w:ascii="宋体" w:hAnsi="宋体" w:eastAsia="宋体" w:cs="宋体"/>
          <w:bCs/>
          <w:sz w:val="24"/>
          <w:szCs w:val="24"/>
          <w:highlight w:val="none"/>
        </w:rPr>
        <w:t>（北京时间）前提交响应文件</w:t>
      </w:r>
      <w:r>
        <w:rPr>
          <w:rFonts w:hint="eastAsia" w:ascii="宋体" w:hAnsi="宋体" w:eastAsia="宋体" w:cs="宋体"/>
          <w:sz w:val="24"/>
          <w:szCs w:val="24"/>
          <w:highlight w:val="none"/>
        </w:rPr>
        <w:t>。</w:t>
      </w:r>
    </w:p>
    <w:p>
      <w:pPr>
        <w:pStyle w:val="4"/>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b/>
          <w:bCs w:val="0"/>
          <w:sz w:val="24"/>
          <w:szCs w:val="24"/>
          <w:highlight w:val="none"/>
        </w:rPr>
      </w:pPr>
      <w:bookmarkStart w:id="2" w:name="_Toc28359012"/>
      <w:bookmarkStart w:id="3" w:name="_Toc35393798"/>
      <w:bookmarkStart w:id="4" w:name="_Toc35393629"/>
      <w:bookmarkStart w:id="5" w:name="_Toc28359089"/>
      <w:r>
        <w:rPr>
          <w:rFonts w:hint="eastAsia" w:ascii="宋体" w:hAnsi="宋体" w:eastAsia="宋体" w:cs="宋体"/>
          <w:b/>
          <w:bCs w:val="0"/>
          <w:sz w:val="24"/>
          <w:szCs w:val="24"/>
          <w:highlight w:val="none"/>
        </w:rPr>
        <w:t>一、项目基本情况</w:t>
      </w:r>
      <w:bookmarkEnd w:id="2"/>
      <w:bookmarkEnd w:id="3"/>
      <w:bookmarkEnd w:id="4"/>
      <w:bookmarkEnd w:id="5"/>
    </w:p>
    <w:p>
      <w:pPr>
        <w:pageBreakBefore w:val="0"/>
        <w:kinsoku/>
        <w:wordWrap/>
        <w:topLinePunct w:val="0"/>
        <w:autoSpaceDE/>
        <w:autoSpaceDN/>
        <w:bidi w:val="0"/>
        <w:adjustRightInd/>
        <w:snapToGrid/>
        <w:spacing w:line="24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r>
        <w:rPr>
          <w:rFonts w:hint="eastAsia" w:ascii="宋体" w:hAnsi="宋体" w:cs="宋体"/>
          <w:sz w:val="24"/>
          <w:szCs w:val="24"/>
          <w:highlight w:val="none"/>
          <w:lang w:eastAsia="zh-CN"/>
        </w:rPr>
        <w:t>于田县库尔班吐鲁木纪念馆红色旅游基础设施配套项目（旅游扶贫）</w:t>
      </w:r>
    </w:p>
    <w:p>
      <w:pPr>
        <w:pageBreakBefore w:val="0"/>
        <w:kinsoku/>
        <w:wordWrap/>
        <w:topLinePunct w:val="0"/>
        <w:autoSpaceDE/>
        <w:autoSpaceDN/>
        <w:bidi w:val="0"/>
        <w:adjustRightInd/>
        <w:snapToGrid/>
        <w:spacing w:line="24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项目编号：YTXZFGKDL-JZ-2021-</w:t>
      </w:r>
      <w:r>
        <w:rPr>
          <w:rFonts w:hint="eastAsia" w:ascii="宋体" w:hAnsi="宋体" w:cs="宋体"/>
          <w:sz w:val="24"/>
          <w:szCs w:val="24"/>
          <w:highlight w:val="none"/>
          <w:lang w:val="en-US" w:eastAsia="zh-CN"/>
        </w:rPr>
        <w:t>133</w:t>
      </w:r>
      <w:r>
        <w:rPr>
          <w:rFonts w:hint="eastAsia" w:ascii="宋体" w:hAnsi="宋体" w:eastAsia="宋体" w:cs="宋体"/>
          <w:sz w:val="24"/>
          <w:szCs w:val="24"/>
          <w:highlight w:val="none"/>
          <w:lang w:val="en-US" w:eastAsia="zh-CN"/>
        </w:rPr>
        <w:t xml:space="preserve">号 </w:t>
      </w:r>
    </w:p>
    <w:p>
      <w:pPr>
        <w:pageBreakBefore w:val="0"/>
        <w:kinsoku/>
        <w:wordWrap/>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采购方式：</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竞争性谈判 □竞争性磋商 □询价</w:t>
      </w:r>
    </w:p>
    <w:p>
      <w:pPr>
        <w:pageBreakBefore w:val="0"/>
        <w:kinsoku/>
        <w:wordWrap/>
        <w:topLinePunct w:val="0"/>
        <w:autoSpaceDE/>
        <w:autoSpaceDN/>
        <w:bidi w:val="0"/>
        <w:adjustRightInd/>
        <w:snapToGrid/>
        <w:spacing w:line="240" w:lineRule="auto"/>
        <w:textAlignment w:val="auto"/>
        <w:rPr>
          <w:rFonts w:hint="eastAsia" w:ascii="宋体" w:hAnsi="宋体" w:cs="宋体"/>
          <w:spacing w:val="0"/>
          <w:sz w:val="24"/>
          <w:szCs w:val="24"/>
          <w:highlight w:val="none"/>
          <w:lang w:val="en-US" w:eastAsia="zh-CN"/>
        </w:rPr>
      </w:pPr>
      <w:r>
        <w:rPr>
          <w:rFonts w:hint="eastAsia" w:ascii="宋体" w:hAnsi="宋体" w:eastAsia="宋体" w:cs="宋体"/>
          <w:sz w:val="24"/>
          <w:szCs w:val="24"/>
          <w:highlight w:val="none"/>
          <w:lang w:val="en-US" w:eastAsia="zh-CN"/>
        </w:rPr>
        <w:t>预算</w:t>
      </w:r>
      <w:r>
        <w:rPr>
          <w:rFonts w:hint="eastAsia" w:ascii="宋体" w:hAnsi="宋体" w:cs="宋体"/>
          <w:sz w:val="24"/>
          <w:szCs w:val="24"/>
          <w:highlight w:val="none"/>
          <w:lang w:val="en-US" w:eastAsia="zh-CN"/>
        </w:rPr>
        <w:t>总价</w:t>
      </w:r>
      <w:r>
        <w:rPr>
          <w:rFonts w:hint="eastAsia" w:ascii="宋体" w:hAnsi="宋体" w:eastAsia="宋体" w:cs="宋体"/>
          <w:spacing w:val="0"/>
          <w:sz w:val="24"/>
          <w:szCs w:val="24"/>
          <w:highlight w:val="none"/>
        </w:rPr>
        <w:t>：</w:t>
      </w:r>
      <w:r>
        <w:rPr>
          <w:rFonts w:hint="eastAsia" w:ascii="宋体" w:hAnsi="宋体" w:cs="宋体"/>
          <w:spacing w:val="0"/>
          <w:sz w:val="24"/>
          <w:szCs w:val="24"/>
          <w:highlight w:val="none"/>
          <w:lang w:val="en-US" w:eastAsia="zh-CN"/>
        </w:rPr>
        <w:t xml:space="preserve">1774621.88 元；         </w:t>
      </w:r>
    </w:p>
    <w:p>
      <w:pPr>
        <w:pageBreakBefore w:val="0"/>
        <w:kinsoku/>
        <w:wordWrap/>
        <w:topLinePunct w:val="0"/>
        <w:autoSpaceDE/>
        <w:autoSpaceDN/>
        <w:bidi w:val="0"/>
        <w:adjustRightInd/>
        <w:snapToGrid/>
        <w:spacing w:line="240" w:lineRule="auto"/>
        <w:textAlignment w:val="auto"/>
        <w:rPr>
          <w:rFonts w:hint="eastAsia" w:ascii="宋体" w:hAnsi="宋体" w:eastAsia="宋体" w:cs="宋体"/>
          <w:spacing w:val="-20"/>
          <w:sz w:val="24"/>
          <w:szCs w:val="24"/>
          <w:highlight w:val="none"/>
          <w:lang w:val="en-US" w:eastAsia="zh-CN"/>
        </w:rPr>
      </w:pPr>
      <w:r>
        <w:rPr>
          <w:rFonts w:hint="eastAsia" w:ascii="宋体" w:hAnsi="宋体" w:eastAsia="宋体" w:cs="宋体"/>
          <w:spacing w:val="0"/>
          <w:sz w:val="24"/>
          <w:szCs w:val="24"/>
          <w:highlight w:val="none"/>
        </w:rPr>
        <w:t>最高限价（如有）：</w:t>
      </w:r>
      <w:r>
        <w:rPr>
          <w:rFonts w:hint="eastAsia" w:ascii="宋体" w:hAnsi="宋体" w:cs="宋体"/>
          <w:spacing w:val="0"/>
          <w:sz w:val="24"/>
          <w:szCs w:val="24"/>
          <w:highlight w:val="none"/>
          <w:lang w:val="en-US" w:eastAsia="zh-CN"/>
        </w:rPr>
        <w:t xml:space="preserve">1774621.88 元；    </w:t>
      </w:r>
      <w:r>
        <w:rPr>
          <w:rFonts w:hint="eastAsia" w:ascii="宋体" w:hAnsi="宋体" w:cs="宋体"/>
          <w:spacing w:val="-20"/>
          <w:sz w:val="24"/>
          <w:szCs w:val="24"/>
          <w:highlight w:val="none"/>
          <w:lang w:val="en-US" w:eastAsia="zh-CN"/>
        </w:rPr>
        <w:t xml:space="preserve">     </w:t>
      </w:r>
    </w:p>
    <w:p>
      <w:pPr>
        <w:pageBreakBefore w:val="0"/>
        <w:kinsoku/>
        <w:wordWrap/>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采购需求：</w:t>
      </w:r>
    </w:p>
    <w:tbl>
      <w:tblPr>
        <w:tblStyle w:val="7"/>
        <w:tblW w:w="9202" w:type="dxa"/>
        <w:tblInd w:w="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358"/>
        <w:gridCol w:w="1810"/>
        <w:gridCol w:w="3427"/>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noWrap w:val="0"/>
            <w:tcMar>
              <w:top w:w="75" w:type="dxa"/>
              <w:left w:w="150" w:type="dxa"/>
              <w:bottom w:w="75" w:type="dxa"/>
              <w:right w:w="150" w:type="dxa"/>
            </w:tcMar>
            <w:vAlign w:val="center"/>
          </w:tcPr>
          <w:p>
            <w:pPr>
              <w:pageBreakBefore w:val="0"/>
              <w:widowControl/>
              <w:kinsoku/>
              <w:wordWrap/>
              <w:topLinePunct w:val="0"/>
              <w:autoSpaceDE/>
              <w:autoSpaceDN/>
              <w:bidi w:val="0"/>
              <w:adjustRightInd/>
              <w:snapToGrid/>
              <w:spacing w:line="240" w:lineRule="auto"/>
              <w:jc w:val="center"/>
              <w:textAlignment w:val="auto"/>
              <w:rPr>
                <w:rFonts w:hint="eastAsia" w:ascii="宋体" w:hAnsi="宋体" w:cs="宋体"/>
                <w:color w:val="auto"/>
                <w:highlight w:val="none"/>
              </w:rPr>
            </w:pPr>
            <w:r>
              <w:rPr>
                <w:rFonts w:hint="eastAsia" w:ascii="宋体" w:hAnsi="宋体" w:cs="宋体"/>
                <w:color w:val="auto"/>
                <w:sz w:val="24"/>
                <w:highlight w:val="none"/>
              </w:rPr>
              <w:t>标项序号</w:t>
            </w:r>
          </w:p>
        </w:tc>
        <w:tc>
          <w:tcPr>
            <w:tcW w:w="2358" w:type="dxa"/>
            <w:noWrap w:val="0"/>
            <w:tcMar>
              <w:top w:w="75" w:type="dxa"/>
              <w:left w:w="150" w:type="dxa"/>
              <w:bottom w:w="75" w:type="dxa"/>
              <w:right w:w="150" w:type="dxa"/>
            </w:tcMar>
            <w:vAlign w:val="center"/>
          </w:tcPr>
          <w:p>
            <w:pPr>
              <w:pageBreakBefore w:val="0"/>
              <w:widowControl/>
              <w:kinsoku/>
              <w:wordWrap/>
              <w:topLinePunct w:val="0"/>
              <w:autoSpaceDE/>
              <w:autoSpaceDN/>
              <w:bidi w:val="0"/>
              <w:adjustRightInd/>
              <w:snapToGrid/>
              <w:spacing w:line="240" w:lineRule="auto"/>
              <w:jc w:val="center"/>
              <w:textAlignment w:val="auto"/>
              <w:rPr>
                <w:rFonts w:hint="eastAsia" w:ascii="宋体" w:hAnsi="宋体" w:cs="宋体"/>
                <w:color w:val="auto"/>
                <w:sz w:val="22"/>
                <w:szCs w:val="28"/>
                <w:highlight w:val="none"/>
              </w:rPr>
            </w:pPr>
            <w:r>
              <w:rPr>
                <w:rFonts w:hint="eastAsia" w:ascii="宋体" w:hAnsi="宋体" w:cs="宋体"/>
                <w:color w:val="auto"/>
                <w:sz w:val="24"/>
                <w:highlight w:val="none"/>
              </w:rPr>
              <w:t>标项名称</w:t>
            </w:r>
          </w:p>
        </w:tc>
        <w:tc>
          <w:tcPr>
            <w:tcW w:w="1810" w:type="dxa"/>
            <w:noWrap w:val="0"/>
            <w:tcMar>
              <w:top w:w="75" w:type="dxa"/>
              <w:left w:w="150" w:type="dxa"/>
              <w:bottom w:w="75" w:type="dxa"/>
              <w:right w:w="150" w:type="dxa"/>
            </w:tcMar>
            <w:vAlign w:val="center"/>
          </w:tcPr>
          <w:p>
            <w:pPr>
              <w:pageBreakBefore w:val="0"/>
              <w:widowControl/>
              <w:kinsoku/>
              <w:wordWrap/>
              <w:topLinePunct w:val="0"/>
              <w:autoSpaceDE/>
              <w:autoSpaceDN/>
              <w:bidi w:val="0"/>
              <w:adjustRightInd/>
              <w:snapToGrid/>
              <w:spacing w:line="240" w:lineRule="auto"/>
              <w:jc w:val="center"/>
              <w:textAlignment w:val="auto"/>
              <w:rPr>
                <w:rFonts w:hint="eastAsia" w:ascii="宋体" w:hAnsi="宋体" w:cs="宋体"/>
                <w:color w:val="auto"/>
                <w:highlight w:val="none"/>
              </w:rPr>
            </w:pPr>
            <w:r>
              <w:rPr>
                <w:rFonts w:hint="eastAsia" w:ascii="宋体" w:hAnsi="宋体" w:cs="宋体"/>
                <w:color w:val="auto"/>
                <w:sz w:val="24"/>
                <w:highlight w:val="none"/>
              </w:rPr>
              <w:t>预算</w:t>
            </w:r>
            <w:r>
              <w:rPr>
                <w:rFonts w:hint="eastAsia" w:ascii="宋体" w:hAnsi="宋体" w:cs="宋体"/>
                <w:color w:val="auto"/>
                <w:sz w:val="24"/>
                <w:highlight w:val="none"/>
                <w:lang w:val="en-US" w:eastAsia="zh-CN"/>
              </w:rPr>
              <w:t>价</w:t>
            </w:r>
            <w:r>
              <w:rPr>
                <w:rFonts w:hint="eastAsia" w:ascii="宋体" w:hAnsi="宋体" w:cs="宋体"/>
                <w:color w:val="auto"/>
                <w:sz w:val="24"/>
                <w:highlight w:val="none"/>
              </w:rPr>
              <w:t>(元)</w:t>
            </w:r>
          </w:p>
        </w:tc>
        <w:tc>
          <w:tcPr>
            <w:tcW w:w="3427" w:type="dxa"/>
            <w:noWrap w:val="0"/>
            <w:tcMar>
              <w:top w:w="75" w:type="dxa"/>
              <w:left w:w="150" w:type="dxa"/>
              <w:bottom w:w="75" w:type="dxa"/>
              <w:right w:w="150" w:type="dxa"/>
            </w:tcMar>
            <w:vAlign w:val="center"/>
          </w:tcPr>
          <w:p>
            <w:pPr>
              <w:pageBreakBefore w:val="0"/>
              <w:widowControl/>
              <w:kinsoku/>
              <w:wordWrap/>
              <w:topLinePunct w:val="0"/>
              <w:autoSpaceDE/>
              <w:autoSpaceDN/>
              <w:bidi w:val="0"/>
              <w:adjustRightInd/>
              <w:snapToGrid/>
              <w:spacing w:line="240" w:lineRule="auto"/>
              <w:jc w:val="center"/>
              <w:textAlignment w:val="auto"/>
              <w:rPr>
                <w:rFonts w:hint="eastAsia" w:ascii="宋体" w:hAnsi="宋体" w:cs="宋体"/>
                <w:color w:val="auto"/>
                <w:highlight w:val="none"/>
              </w:rPr>
            </w:pPr>
            <w:r>
              <w:rPr>
                <w:rFonts w:hint="eastAsia" w:ascii="宋体" w:hAnsi="宋体" w:cs="宋体"/>
                <w:color w:val="auto"/>
                <w:sz w:val="24"/>
                <w:highlight w:val="none"/>
              </w:rPr>
              <w:t>简要规格描述</w:t>
            </w:r>
          </w:p>
        </w:tc>
        <w:tc>
          <w:tcPr>
            <w:tcW w:w="806" w:type="dxa"/>
            <w:noWrap w:val="0"/>
            <w:tcMar>
              <w:top w:w="75" w:type="dxa"/>
              <w:left w:w="150" w:type="dxa"/>
              <w:bottom w:w="75" w:type="dxa"/>
              <w:right w:w="150" w:type="dxa"/>
            </w:tcMar>
            <w:vAlign w:val="center"/>
          </w:tcPr>
          <w:p>
            <w:pPr>
              <w:pageBreakBefore w:val="0"/>
              <w:widowControl/>
              <w:kinsoku/>
              <w:wordWrap/>
              <w:topLinePunct w:val="0"/>
              <w:autoSpaceDE/>
              <w:autoSpaceDN/>
              <w:bidi w:val="0"/>
              <w:adjustRightInd/>
              <w:snapToGrid/>
              <w:spacing w:line="240" w:lineRule="auto"/>
              <w:jc w:val="center"/>
              <w:textAlignment w:val="auto"/>
              <w:rPr>
                <w:rFonts w:hint="eastAsia" w:ascii="宋体" w:hAnsi="宋体" w:cs="宋体"/>
                <w:color w:val="auto"/>
                <w:highlight w:val="none"/>
              </w:rPr>
            </w:pPr>
            <w:r>
              <w:rPr>
                <w:rFonts w:hint="eastAsia" w:ascii="宋体" w:hAns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801" w:type="dxa"/>
            <w:noWrap w:val="0"/>
            <w:tcMar>
              <w:top w:w="75" w:type="dxa"/>
              <w:left w:w="150" w:type="dxa"/>
              <w:bottom w:w="75" w:type="dxa"/>
              <w:right w:w="150" w:type="dxa"/>
            </w:tcMar>
            <w:vAlign w:val="center"/>
          </w:tcPr>
          <w:p>
            <w:pPr>
              <w:keepNext w:val="0"/>
              <w:keepLines w:val="0"/>
              <w:pageBreakBefore w:val="0"/>
              <w:widowControl/>
              <w:kinsoku/>
              <w:wordWrap/>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p>
        </w:tc>
        <w:tc>
          <w:tcPr>
            <w:tcW w:w="2358" w:type="dxa"/>
            <w:noWrap w:val="0"/>
            <w:tcMar>
              <w:top w:w="75" w:type="dxa"/>
              <w:left w:w="150" w:type="dxa"/>
              <w:bottom w:w="75" w:type="dxa"/>
              <w:right w:w="150" w:type="dxa"/>
            </w:tcMar>
            <w:vAlign w:val="center"/>
          </w:tcPr>
          <w:p>
            <w:pPr>
              <w:pStyle w:val="9"/>
              <w:keepNext w:val="0"/>
              <w:keepLines w:val="0"/>
              <w:pageBreakBefore w:val="0"/>
              <w:kinsoku/>
              <w:wordWrap/>
              <w:topLinePunct w:val="0"/>
              <w:autoSpaceDE/>
              <w:autoSpaceDN/>
              <w:bidi w:val="0"/>
              <w:adjustRightInd/>
              <w:snapToGrid w:val="0"/>
              <w:spacing w:before="0" w:beforeAutospacing="0" w:after="0" w:afterAutospacing="0" w:line="240" w:lineRule="auto"/>
              <w:jc w:val="center"/>
              <w:textAlignment w:val="auto"/>
              <w:rPr>
                <w:rFonts w:hint="default" w:ascii="宋体" w:hAnsi="宋体" w:eastAsia="宋体" w:cs="宋体"/>
                <w:spacing w:val="-20"/>
                <w:kern w:val="2"/>
                <w:sz w:val="24"/>
                <w:szCs w:val="24"/>
                <w:highlight w:val="none"/>
                <w:lang w:val="en-US" w:eastAsia="zh-CN" w:bidi="ar-SA"/>
              </w:rPr>
            </w:pPr>
            <w:r>
              <w:rPr>
                <w:rFonts w:hint="eastAsia" w:hAnsi="宋体" w:cs="宋体"/>
                <w:spacing w:val="0"/>
                <w:kern w:val="2"/>
                <w:sz w:val="24"/>
                <w:szCs w:val="24"/>
                <w:highlight w:val="none"/>
                <w:lang w:val="en-US" w:eastAsia="zh-CN" w:bidi="ar-SA"/>
              </w:rPr>
              <w:t>于田县库尔班吐鲁木纪念馆红色旅游基础设施配套项目（旅游扶贫）</w:t>
            </w:r>
          </w:p>
        </w:tc>
        <w:tc>
          <w:tcPr>
            <w:tcW w:w="1810" w:type="dxa"/>
            <w:noWrap w:val="0"/>
            <w:tcMar>
              <w:top w:w="75" w:type="dxa"/>
              <w:left w:w="150" w:type="dxa"/>
              <w:bottom w:w="75" w:type="dxa"/>
              <w:right w:w="150" w:type="dxa"/>
            </w:tcMar>
            <w:vAlign w:val="center"/>
          </w:tcPr>
          <w:p>
            <w:pPr>
              <w:keepNext w:val="0"/>
              <w:keepLines w:val="0"/>
              <w:pageBreakBefore w:val="0"/>
              <w:widowControl/>
              <w:kinsoku/>
              <w:wordWrap/>
              <w:topLinePunct w:val="0"/>
              <w:autoSpaceDE/>
              <w:autoSpaceDN/>
              <w:bidi w:val="0"/>
              <w:adjustRightInd/>
              <w:snapToGrid w:val="0"/>
              <w:spacing w:line="240" w:lineRule="auto"/>
              <w:ind w:firstLine="240" w:firstLineChars="10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spacing w:val="0"/>
                <w:sz w:val="24"/>
                <w:szCs w:val="24"/>
                <w:highlight w:val="none"/>
                <w:lang w:val="en-US" w:eastAsia="zh-CN"/>
              </w:rPr>
              <w:t xml:space="preserve">1774621.88 </w:t>
            </w:r>
          </w:p>
        </w:tc>
        <w:tc>
          <w:tcPr>
            <w:tcW w:w="3427" w:type="dxa"/>
            <w:noWrap w:val="0"/>
            <w:tcMar>
              <w:top w:w="75" w:type="dxa"/>
              <w:left w:w="150" w:type="dxa"/>
              <w:bottom w:w="75" w:type="dxa"/>
              <w:right w:w="150" w:type="dxa"/>
            </w:tcMar>
            <w:vAlign w:val="center"/>
          </w:tcPr>
          <w:p>
            <w:pPr>
              <w:keepNext w:val="0"/>
              <w:keepLines w:val="0"/>
              <w:pageBreakBefore w:val="0"/>
              <w:kinsoku/>
              <w:wordWrap/>
              <w:overflowPunct w:val="0"/>
              <w:topLinePunct w:val="0"/>
              <w:autoSpaceDE/>
              <w:autoSpaceDN/>
              <w:bidi w:val="0"/>
              <w:adjustRightInd/>
              <w:snapToGrid w:val="0"/>
              <w:spacing w:line="240"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spacing w:val="0"/>
                <w:kern w:val="2"/>
                <w:sz w:val="24"/>
                <w:szCs w:val="24"/>
                <w:highlight w:val="none"/>
                <w:lang w:val="en-US" w:eastAsia="zh-CN" w:bidi="ar-SA"/>
              </w:rPr>
              <w:t xml:space="preserve">对库尔班吐鲁木纪念馆红色旅游基础设施配套项目进行配套建设施工；（具体规格参数详见招标文件）   </w:t>
            </w:r>
          </w:p>
        </w:tc>
        <w:tc>
          <w:tcPr>
            <w:tcW w:w="806" w:type="dxa"/>
            <w:noWrap w:val="0"/>
            <w:tcMar>
              <w:top w:w="75" w:type="dxa"/>
              <w:left w:w="150" w:type="dxa"/>
              <w:bottom w:w="75" w:type="dxa"/>
              <w:right w:w="150" w:type="dxa"/>
            </w:tcMar>
            <w:vAlign w:val="center"/>
          </w:tcPr>
          <w:p>
            <w:pPr>
              <w:pageBreakBefore w:val="0"/>
              <w:widowControl/>
              <w:kinsoku/>
              <w:wordWrap/>
              <w:topLinePunct w:val="0"/>
              <w:autoSpaceDE/>
              <w:autoSpaceDN/>
              <w:bidi w:val="0"/>
              <w:adjustRightInd/>
              <w:snapToGrid/>
              <w:spacing w:line="240" w:lineRule="auto"/>
              <w:jc w:val="center"/>
              <w:textAlignment w:val="auto"/>
              <w:rPr>
                <w:rFonts w:hint="eastAsia" w:ascii="宋体" w:hAnsi="宋体" w:cs="宋体"/>
                <w:color w:val="auto"/>
                <w:highlight w:val="none"/>
              </w:rPr>
            </w:pPr>
            <w:r>
              <w:rPr>
                <w:rFonts w:hint="eastAsia" w:ascii="宋体" w:hAnsi="宋体" w:cs="宋体"/>
                <w:color w:val="auto"/>
                <w:sz w:val="24"/>
                <w:highlight w:val="none"/>
              </w:rPr>
              <w:t>/</w:t>
            </w:r>
          </w:p>
        </w:tc>
      </w:tr>
    </w:tbl>
    <w:p>
      <w:pPr>
        <w:pageBreakBefore w:val="0"/>
        <w:kinsoku/>
        <w:wordWrap/>
        <w:topLinePunct w:val="0"/>
        <w:autoSpaceDE/>
        <w:autoSpaceDN/>
        <w:bidi w:val="0"/>
        <w:adjustRightInd/>
        <w:snapToGrid/>
        <w:spacing w:line="240" w:lineRule="auto"/>
        <w:ind w:firstLine="480" w:firstLineChars="200"/>
        <w:textAlignment w:val="auto"/>
        <w:rPr>
          <w:rFonts w:hint="eastAsia" w:ascii="宋体" w:hAnsi="宋体" w:cs="宋体"/>
          <w:sz w:val="24"/>
          <w:szCs w:val="24"/>
          <w:highlight w:val="yellow"/>
          <w:lang w:val="en-US" w:eastAsia="zh-CN"/>
        </w:rPr>
      </w:pPr>
      <w:r>
        <w:rPr>
          <w:rFonts w:hint="eastAsia" w:ascii="宋体" w:hAnsi="宋体" w:eastAsia="宋体" w:cs="宋体"/>
          <w:sz w:val="24"/>
          <w:szCs w:val="24"/>
          <w:highlight w:val="none"/>
        </w:rPr>
        <w:t>合同履行期限：</w:t>
      </w:r>
      <w:r>
        <w:rPr>
          <w:rFonts w:hint="eastAsia" w:ascii="宋体" w:hAnsi="宋体" w:cs="宋体"/>
          <w:sz w:val="24"/>
          <w:szCs w:val="24"/>
          <w:highlight w:val="none"/>
          <w:lang w:val="en-US" w:eastAsia="zh-CN"/>
        </w:rPr>
        <w:t>20天（日历天）；</w:t>
      </w:r>
    </w:p>
    <w:p>
      <w:pPr>
        <w:pageBreakBefore w:val="0"/>
        <w:kinsoku/>
        <w:wordWrap/>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w:t>
      </w:r>
      <w:r>
        <w:rPr>
          <w:rFonts w:hint="eastAsia" w:ascii="宋体" w:hAnsi="宋体" w:eastAsia="宋体" w:cs="宋体"/>
          <w:i/>
          <w:sz w:val="24"/>
          <w:szCs w:val="24"/>
          <w:highlight w:val="none"/>
        </w:rPr>
        <w:t>否</w:t>
      </w:r>
      <w:r>
        <w:rPr>
          <w:rFonts w:hint="eastAsia" w:ascii="宋体" w:hAnsi="宋体" w:eastAsia="宋体" w:cs="宋体"/>
          <w:sz w:val="24"/>
          <w:szCs w:val="24"/>
          <w:highlight w:val="none"/>
        </w:rPr>
        <w:t>）接受联合体。</w:t>
      </w:r>
      <w:bookmarkStart w:id="6" w:name="_Toc28359013"/>
      <w:bookmarkStart w:id="7" w:name="_Toc28359090"/>
      <w:bookmarkStart w:id="8" w:name="_Toc35393799"/>
      <w:bookmarkStart w:id="9" w:name="_Toc35393630"/>
    </w:p>
    <w:p>
      <w:pPr>
        <w:pageBreakBefore w:val="0"/>
        <w:kinsoku/>
        <w:wordWrap/>
        <w:topLinePunct w:val="0"/>
        <w:autoSpaceDE/>
        <w:autoSpaceDN/>
        <w:bidi w:val="0"/>
        <w:adjustRightInd/>
        <w:snapToGrid/>
        <w:spacing w:line="240" w:lineRule="auto"/>
        <w:textAlignment w:val="auto"/>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二</w:t>
      </w:r>
      <w:r>
        <w:rPr>
          <w:rFonts w:hint="eastAsia" w:ascii="宋体" w:hAnsi="宋体" w:eastAsia="宋体" w:cs="宋体"/>
          <w:b/>
          <w:bCs/>
          <w:sz w:val="24"/>
          <w:szCs w:val="24"/>
          <w:highlight w:val="none"/>
        </w:rPr>
        <w:t>、申请人的资格要求：</w:t>
      </w:r>
      <w:bookmarkEnd w:id="6"/>
      <w:bookmarkEnd w:id="7"/>
      <w:bookmarkEnd w:id="8"/>
      <w:bookmarkEnd w:id="9"/>
      <w:bookmarkStart w:id="10" w:name="_Toc28359091"/>
      <w:bookmarkStart w:id="11" w:name="_Toc35393800"/>
      <w:bookmarkStart w:id="12" w:name="_Toc28359014"/>
      <w:bookmarkStart w:id="13" w:name="_Toc35393631"/>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val="0"/>
          <w:sz w:val="24"/>
          <w:szCs w:val="24"/>
          <w:highlight w:val="none"/>
        </w:rPr>
        <w:t>满足《中华人民共和国政府采购法》第二十二条规定；</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513" w:firstLineChars="214"/>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2、落实政府采购政策需满足的资格要求：</w:t>
      </w:r>
      <w:r>
        <w:rPr>
          <w:rFonts w:hint="eastAsia" w:ascii="宋体" w:hAnsi="宋体" w:cs="宋体"/>
          <w:color w:val="auto"/>
          <w:kern w:val="2"/>
          <w:sz w:val="24"/>
          <w:szCs w:val="24"/>
          <w:highlight w:val="none"/>
          <w:lang w:val="en-US" w:eastAsia="zh-CN" w:bidi="ar-SA"/>
        </w:rPr>
        <w:t>无</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480" w:firstLineChars="200"/>
        <w:jc w:val="left"/>
        <w:textAlignment w:val="auto"/>
        <w:rPr>
          <w:rFonts w:hint="eastAsia" w:ascii="宋体" w:hAnsi="宋体" w:eastAsia="宋体" w:cs="宋体"/>
          <w:b/>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3、本项目的特定资格要求：（1）具备有效的三证合一营业执照、企业安全生产许可证； （2）企业具有[建筑装饰工程专业承包贰级](含)以上资质；拟派项目负责人具有二级（含）以上建造师资格（建筑工程专业）和安全生产考核合格证书B证（均合格有效）。 （3）法定代表人身份证明原件（需附法人身份证正反面）及身份证原件或法定代表人授权委托书和委托代理人的身份证原件（授权书需附法人及委托人身份证正反面复印件）及参加开标的人（近6个月）社保部门出具近六个月的缴纳社保证明（公司社保缴费凭证及个人明细表）； （4）提供2020年度第三方财务审计机构出具的财务审计报告原件（2021年新成立的公司可不提供但需提供银行出具的近三个月的资信证明原件）和健全的财务会计制度； （5）提供税务机关出具近6个月的完税证明原件（2021年11月份后成立的公司不提供）；（6)凡拟参加本次招标项目的投标人，如在①“信用中国网（www.creditchina.gov.cn）”被列入失信被执行人、重大税收违法案件当事人名单、政府采购严重违法失信名单（尚在处罚期内的）；②“中国政府采购网（www.ccgp.gov.cn）”被列入政府采购严重违法失信行为记录名单的（尚在处罚期内的）；③“国家企业信用信息公示系统（http://www.gsxt.gov.cn）”列入经营异常名录信息、列入严重违法失信企业名单（黑名单的（尚在处罚期内的）；④中国裁判文书网（http://wenshu.court.gov.cn/）有行贿受贿犯罪记录(尚在处罚期内)，将拒绝其参本次政府采购活动； （7）企业负责人为同一人或者存在直接控股、管理关系的不同投标人，不得参加同一合同项下的政府采购活动。否则，皆取消投标资格。</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三、获取采购文件</w:t>
      </w:r>
      <w:bookmarkEnd w:id="10"/>
      <w:bookmarkEnd w:id="11"/>
      <w:bookmarkEnd w:id="12"/>
      <w:bookmarkEnd w:id="13"/>
    </w:p>
    <w:p>
      <w:pPr>
        <w:keepNext w:val="0"/>
        <w:keepLines w:val="0"/>
        <w:pageBreakBefore w:val="0"/>
        <w:widowControl w:val="0"/>
        <w:tabs>
          <w:tab w:val="left" w:pos="687"/>
        </w:tabs>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sz w:val="24"/>
          <w:szCs w:val="24"/>
          <w:highlight w:val="none"/>
        </w:rPr>
      </w:pPr>
      <w:r>
        <w:rPr>
          <w:rFonts w:hint="eastAsia"/>
          <w:lang w:val="en-US" w:eastAsia="zh-CN"/>
        </w:rPr>
        <w:tab/>
      </w:r>
      <w:bookmarkStart w:id="14" w:name="_Toc35393801"/>
      <w:bookmarkStart w:id="15" w:name="_Toc35393632"/>
      <w:bookmarkStart w:id="16" w:name="_Toc28359015"/>
      <w:bookmarkStart w:id="17" w:name="_Toc28359092"/>
      <w:r>
        <w:rPr>
          <w:rFonts w:hint="eastAsia" w:ascii="宋体" w:hAnsi="宋体" w:eastAsia="宋体" w:cs="宋体"/>
          <w:b w:val="0"/>
          <w:bCs/>
          <w:sz w:val="24"/>
          <w:szCs w:val="24"/>
          <w:highlight w:val="none"/>
        </w:rPr>
        <w:t>时间：2021年</w:t>
      </w:r>
      <w:r>
        <w:rPr>
          <w:rFonts w:hint="eastAsia" w:ascii="宋体" w:hAnsi="宋体" w:eastAsia="宋体" w:cs="宋体"/>
          <w:b w:val="0"/>
          <w:bCs/>
          <w:sz w:val="24"/>
          <w:szCs w:val="24"/>
          <w:highlight w:val="none"/>
          <w:lang w:val="en-US" w:eastAsia="zh-CN"/>
        </w:rPr>
        <w:t>1</w:t>
      </w:r>
      <w:r>
        <w:rPr>
          <w:rFonts w:hint="eastAsia" w:ascii="宋体" w:hAnsi="宋体" w:cs="宋体"/>
          <w:b w:val="0"/>
          <w:bCs/>
          <w:sz w:val="24"/>
          <w:szCs w:val="24"/>
          <w:highlight w:val="none"/>
          <w:lang w:val="en-US" w:eastAsia="zh-CN"/>
        </w:rPr>
        <w:t>2</w:t>
      </w:r>
      <w:r>
        <w:rPr>
          <w:rFonts w:hint="eastAsia" w:ascii="宋体" w:hAnsi="宋体" w:eastAsia="宋体" w:cs="宋体"/>
          <w:b w:val="0"/>
          <w:bCs/>
          <w:sz w:val="24"/>
          <w:szCs w:val="24"/>
          <w:highlight w:val="none"/>
        </w:rPr>
        <w:t>月</w:t>
      </w:r>
      <w:r>
        <w:rPr>
          <w:rFonts w:hint="eastAsia" w:ascii="宋体" w:hAnsi="宋体" w:cs="宋体"/>
          <w:b w:val="0"/>
          <w:bCs/>
          <w:sz w:val="24"/>
          <w:szCs w:val="24"/>
          <w:highlight w:val="none"/>
          <w:lang w:val="en-US" w:eastAsia="zh-CN"/>
        </w:rPr>
        <w:t>21</w:t>
      </w:r>
      <w:r>
        <w:rPr>
          <w:rFonts w:hint="eastAsia" w:ascii="宋体" w:hAnsi="宋体" w:eastAsia="宋体" w:cs="宋体"/>
          <w:b w:val="0"/>
          <w:bCs/>
          <w:sz w:val="24"/>
          <w:szCs w:val="24"/>
          <w:highlight w:val="none"/>
        </w:rPr>
        <w:t>日至2021年</w:t>
      </w:r>
      <w:r>
        <w:rPr>
          <w:rFonts w:hint="eastAsia" w:ascii="宋体" w:hAnsi="宋体" w:eastAsia="宋体" w:cs="宋体"/>
          <w:b w:val="0"/>
          <w:bCs/>
          <w:sz w:val="24"/>
          <w:szCs w:val="24"/>
          <w:highlight w:val="none"/>
          <w:lang w:val="en-US" w:eastAsia="zh-CN"/>
        </w:rPr>
        <w:t>12</w:t>
      </w:r>
      <w:r>
        <w:rPr>
          <w:rFonts w:hint="eastAsia" w:ascii="宋体" w:hAnsi="宋体" w:eastAsia="宋体" w:cs="宋体"/>
          <w:b w:val="0"/>
          <w:bCs/>
          <w:sz w:val="24"/>
          <w:szCs w:val="24"/>
          <w:highlight w:val="none"/>
        </w:rPr>
        <w:t>月</w:t>
      </w:r>
      <w:r>
        <w:rPr>
          <w:rFonts w:hint="eastAsia" w:ascii="宋体" w:hAnsi="宋体" w:cs="宋体"/>
          <w:b w:val="0"/>
          <w:bCs/>
          <w:sz w:val="24"/>
          <w:szCs w:val="24"/>
          <w:highlight w:val="none"/>
          <w:lang w:val="en-US" w:eastAsia="zh-CN"/>
        </w:rPr>
        <w:t>23</w:t>
      </w:r>
      <w:r>
        <w:rPr>
          <w:rFonts w:hint="eastAsia" w:ascii="宋体" w:hAnsi="宋体" w:eastAsia="宋体" w:cs="宋体"/>
          <w:b w:val="0"/>
          <w:bCs/>
          <w:sz w:val="24"/>
          <w:szCs w:val="24"/>
          <w:highlight w:val="none"/>
        </w:rPr>
        <w:t>日，</w:t>
      </w:r>
      <w:r>
        <w:rPr>
          <w:rFonts w:hint="eastAsia" w:ascii="宋体" w:hAnsi="宋体" w:eastAsia="宋体" w:cs="宋体"/>
          <w:b w:val="0"/>
          <w:sz w:val="24"/>
          <w:szCs w:val="24"/>
          <w:highlight w:val="none"/>
          <w:lang w:val="en-US" w:eastAsia="zh-CN"/>
        </w:rPr>
        <w:t>每天上午10：00至14:00，下午15:30至19:30</w:t>
      </w:r>
      <w:r>
        <w:rPr>
          <w:rFonts w:hint="eastAsia" w:ascii="宋体" w:hAnsi="宋体" w:eastAsia="宋体" w:cs="宋体"/>
          <w:b w:val="0"/>
          <w:bCs/>
          <w:sz w:val="24"/>
          <w:szCs w:val="24"/>
          <w:highlight w:val="none"/>
        </w:rPr>
        <w:t>（北京时间，法定节假日除外）</w:t>
      </w:r>
    </w:p>
    <w:p>
      <w:pPr>
        <w:keepNext w:val="0"/>
        <w:keepLines w:val="0"/>
        <w:pageBreakBefore w:val="0"/>
        <w:widowControl w:val="0"/>
        <w:tabs>
          <w:tab w:val="left" w:pos="1287"/>
        </w:tabs>
        <w:kinsoku/>
        <w:wordWrap/>
        <w:overflowPunct/>
        <w:topLinePunct w:val="0"/>
        <w:autoSpaceDE/>
        <w:autoSpaceDN/>
        <w:bidi w:val="0"/>
        <w:adjustRightInd/>
        <w:snapToGrid/>
        <w:spacing w:line="320" w:lineRule="exact"/>
        <w:ind w:firstLine="720" w:firstLineChars="300"/>
        <w:jc w:val="lef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地点：新疆惠文建设工程项目管理咨询有限公司（和田市阿恰勒东路11号第十地质大队四楼）</w:t>
      </w:r>
    </w:p>
    <w:p>
      <w:pPr>
        <w:pageBreakBefore w:val="0"/>
        <w:widowControl w:val="0"/>
        <w:tabs>
          <w:tab w:val="left" w:pos="1437"/>
        </w:tabs>
        <w:kinsoku/>
        <w:wordWrap/>
        <w:overflowPunct/>
        <w:topLinePunct w:val="0"/>
        <w:autoSpaceDE/>
        <w:autoSpaceDN/>
        <w:bidi w:val="0"/>
        <w:adjustRightInd/>
        <w:spacing w:line="300" w:lineRule="exact"/>
        <w:ind w:firstLine="720" w:firstLineChars="300"/>
        <w:jc w:val="lef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 xml:space="preserve">方式：满足上述投标资质的投标人，携带第二条申请人的资格要求的相关证件（原件及加盖单位鲜公章的复印件各一套核对），审查合格后现场获取招标文件   </w:t>
      </w:r>
    </w:p>
    <w:p>
      <w:pPr>
        <w:pStyle w:val="4"/>
        <w:pageBreakBefore w:val="0"/>
        <w:widowControl w:val="0"/>
        <w:kinsoku/>
        <w:wordWrap/>
        <w:overflowPunct/>
        <w:topLinePunct w:val="0"/>
        <w:autoSpaceDE/>
        <w:autoSpaceDN/>
        <w:bidi w:val="0"/>
        <w:adjustRightInd/>
        <w:snapToGrid w:val="0"/>
        <w:spacing w:before="0" w:after="0" w:line="300" w:lineRule="exact"/>
        <w:ind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售价（元）：200</w:t>
      </w:r>
    </w:p>
    <w:p>
      <w:pPr>
        <w:pStyle w:val="4"/>
        <w:pageBreakBefore w:val="0"/>
        <w:widowControl w:val="0"/>
        <w:kinsoku/>
        <w:wordWrap/>
        <w:overflowPunct/>
        <w:topLinePunct w:val="0"/>
        <w:autoSpaceDE/>
        <w:autoSpaceDN/>
        <w:bidi w:val="0"/>
        <w:adjustRightInd/>
        <w:snapToGrid w:val="0"/>
        <w:spacing w:before="0" w:after="0" w:line="360" w:lineRule="exact"/>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四、响应文件提交</w:t>
      </w:r>
      <w:bookmarkEnd w:id="14"/>
      <w:bookmarkEnd w:id="15"/>
      <w:bookmarkEnd w:id="16"/>
      <w:bookmarkEnd w:id="17"/>
    </w:p>
    <w:p>
      <w:pPr>
        <w:pageBreakBefore w:val="0"/>
        <w:widowControl w:val="0"/>
        <w:kinsoku/>
        <w:wordWrap/>
        <w:overflowPunct/>
        <w:topLinePunct w:val="0"/>
        <w:autoSpaceDE/>
        <w:autoSpaceDN/>
        <w:bidi w:val="0"/>
        <w:adjustRightInd/>
        <w:spacing w:line="360" w:lineRule="exact"/>
        <w:ind w:firstLine="480" w:firstLineChars="200"/>
        <w:textAlignment w:val="auto"/>
        <w:rPr>
          <w:rFonts w:hint="eastAsia" w:ascii="宋体" w:hAnsi="宋体" w:cs="宋体"/>
          <w:bCs/>
          <w:color w:val="auto"/>
          <w:sz w:val="24"/>
          <w:highlight w:val="none"/>
          <w:u w:val="single"/>
        </w:rPr>
      </w:pPr>
      <w:r>
        <w:rPr>
          <w:rFonts w:hint="eastAsia" w:ascii="宋体" w:hAnsi="宋体" w:cs="宋体"/>
          <w:color w:val="auto"/>
          <w:sz w:val="24"/>
          <w:highlight w:val="none"/>
        </w:rPr>
        <w:t>截止时间：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1</w:t>
      </w:r>
      <w:r>
        <w:rPr>
          <w:rFonts w:hint="eastAsia" w:ascii="宋体" w:hAnsi="宋体" w:cs="宋体"/>
          <w:bCs/>
          <w:color w:val="auto"/>
          <w:sz w:val="24"/>
          <w:highlight w:val="none"/>
          <w:u w:val="single"/>
        </w:rPr>
        <w:t>年</w:t>
      </w:r>
      <w:r>
        <w:rPr>
          <w:rFonts w:hint="eastAsia" w:ascii="宋体" w:hAnsi="宋体" w:cs="宋体"/>
          <w:bCs/>
          <w:color w:val="auto"/>
          <w:sz w:val="24"/>
          <w:highlight w:val="none"/>
          <w:u w:val="single"/>
          <w:lang w:val="en-US" w:eastAsia="zh-CN"/>
        </w:rPr>
        <w:t>12</w:t>
      </w:r>
      <w:r>
        <w:rPr>
          <w:rFonts w:hint="eastAsia" w:ascii="宋体" w:hAnsi="宋体" w:cs="宋体"/>
          <w:bCs/>
          <w:color w:val="auto"/>
          <w:sz w:val="24"/>
          <w:highlight w:val="none"/>
          <w:u w:val="single"/>
        </w:rPr>
        <w:t>月</w:t>
      </w:r>
      <w:r>
        <w:rPr>
          <w:rFonts w:hint="eastAsia" w:ascii="宋体" w:hAnsi="宋体" w:cs="宋体"/>
          <w:bCs/>
          <w:color w:val="auto"/>
          <w:sz w:val="24"/>
          <w:highlight w:val="none"/>
          <w:u w:val="single"/>
          <w:lang w:val="en-US" w:eastAsia="zh-CN"/>
        </w:rPr>
        <w:t>29</w:t>
      </w:r>
      <w:r>
        <w:rPr>
          <w:rFonts w:hint="eastAsia" w:ascii="宋体" w:hAnsi="宋体" w:cs="宋体"/>
          <w:bCs/>
          <w:color w:val="auto"/>
          <w:sz w:val="24"/>
          <w:highlight w:val="none"/>
          <w:u w:val="single"/>
        </w:rPr>
        <w:t>日</w:t>
      </w:r>
      <w:r>
        <w:rPr>
          <w:rFonts w:hint="eastAsia" w:ascii="宋体" w:hAnsi="宋体" w:cs="宋体"/>
          <w:bCs/>
          <w:color w:val="auto"/>
          <w:sz w:val="24"/>
          <w:highlight w:val="none"/>
          <w:u w:val="single"/>
          <w:lang w:val="en-US" w:eastAsia="zh-CN"/>
        </w:rPr>
        <w:t>12：00</w:t>
      </w:r>
      <w:r>
        <w:rPr>
          <w:rFonts w:hint="eastAsia" w:ascii="宋体" w:hAnsi="宋体" w:cs="宋体"/>
          <w:bCs/>
          <w:color w:val="auto"/>
          <w:sz w:val="24"/>
          <w:highlight w:val="none"/>
          <w:u w:val="single"/>
        </w:rPr>
        <w:t>分（北京时间）</w:t>
      </w:r>
    </w:p>
    <w:p>
      <w:pPr>
        <w:pageBreakBefore w:val="0"/>
        <w:widowControl w:val="0"/>
        <w:kinsoku/>
        <w:wordWrap/>
        <w:overflowPunct/>
        <w:topLinePunct w:val="0"/>
        <w:autoSpaceDE/>
        <w:autoSpaceDN/>
        <w:bidi w:val="0"/>
        <w:adjustRightInd/>
        <w:spacing w:line="360" w:lineRule="exact"/>
        <w:ind w:firstLine="480" w:firstLineChars="200"/>
        <w:textAlignment w:val="auto"/>
        <w:rPr>
          <w:rFonts w:hint="eastAsia" w:ascii="宋体" w:hAnsi="宋体" w:cs="宋体"/>
          <w:bCs/>
          <w:color w:val="auto"/>
          <w:sz w:val="24"/>
          <w:highlight w:val="none"/>
          <w:u w:val="single"/>
        </w:rPr>
      </w:pPr>
      <w:r>
        <w:rPr>
          <w:rFonts w:hint="eastAsia" w:ascii="宋体" w:hAnsi="宋体" w:cs="宋体"/>
          <w:color w:val="auto"/>
          <w:sz w:val="24"/>
          <w:highlight w:val="none"/>
        </w:rPr>
        <w:t>地点：腾讯会议不见面开标</w:t>
      </w:r>
    </w:p>
    <w:p>
      <w:pPr>
        <w:pageBreakBefore w:val="0"/>
        <w:widowControl w:val="0"/>
        <w:kinsoku/>
        <w:wordWrap/>
        <w:overflowPunct/>
        <w:topLinePunct w:val="0"/>
        <w:autoSpaceDE/>
        <w:autoSpaceDN/>
        <w:bidi w:val="0"/>
        <w:adjustRightInd/>
        <w:spacing w:line="360" w:lineRule="exact"/>
        <w:textAlignment w:val="auto"/>
        <w:rPr>
          <w:rFonts w:hint="eastAsia" w:ascii="宋体" w:hAnsi="宋体" w:cs="宋体"/>
          <w:b/>
          <w:bCs/>
          <w:color w:val="auto"/>
          <w:sz w:val="24"/>
          <w:highlight w:val="none"/>
        </w:rPr>
      </w:pPr>
      <w:bookmarkStart w:id="18" w:name="_Toc28359016"/>
      <w:bookmarkStart w:id="19" w:name="_Toc35393633"/>
      <w:bookmarkStart w:id="20" w:name="_Toc35393802"/>
      <w:bookmarkStart w:id="21" w:name="_Toc28359093"/>
      <w:r>
        <w:rPr>
          <w:rFonts w:hint="eastAsia" w:ascii="宋体" w:hAnsi="宋体" w:cs="宋体"/>
          <w:b/>
          <w:bCs/>
          <w:color w:val="auto"/>
          <w:sz w:val="24"/>
          <w:highlight w:val="none"/>
        </w:rPr>
        <w:t>五、开启</w:t>
      </w:r>
      <w:bookmarkEnd w:id="18"/>
      <w:bookmarkEnd w:id="19"/>
      <w:bookmarkEnd w:id="20"/>
      <w:bookmarkEnd w:id="21"/>
    </w:p>
    <w:p>
      <w:pPr>
        <w:pageBreakBefore w:val="0"/>
        <w:widowControl w:val="0"/>
        <w:kinsoku/>
        <w:wordWrap/>
        <w:overflowPunct/>
        <w:topLinePunct w:val="0"/>
        <w:autoSpaceDE/>
        <w:autoSpaceDN/>
        <w:bidi w:val="0"/>
        <w:adjustRightInd/>
        <w:spacing w:line="360" w:lineRule="exact"/>
        <w:ind w:firstLine="480" w:firstLineChars="200"/>
        <w:textAlignment w:val="auto"/>
        <w:rPr>
          <w:rFonts w:hint="eastAsia" w:ascii="宋体" w:hAnsi="宋体" w:cs="宋体"/>
          <w:bCs/>
          <w:color w:val="auto"/>
          <w:sz w:val="24"/>
          <w:highlight w:val="none"/>
          <w:u w:val="single"/>
        </w:rPr>
      </w:pPr>
      <w:r>
        <w:rPr>
          <w:rFonts w:hint="eastAsia" w:ascii="宋体" w:hAnsi="宋体" w:cs="宋体"/>
          <w:color w:val="auto"/>
          <w:sz w:val="24"/>
          <w:highlight w:val="none"/>
        </w:rPr>
        <w:t>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1</w:t>
      </w:r>
      <w:r>
        <w:rPr>
          <w:rFonts w:hint="eastAsia" w:ascii="宋体" w:hAnsi="宋体" w:cs="宋体"/>
          <w:bCs/>
          <w:color w:val="auto"/>
          <w:sz w:val="24"/>
          <w:highlight w:val="none"/>
          <w:u w:val="single"/>
        </w:rPr>
        <w:t>年</w:t>
      </w:r>
      <w:r>
        <w:rPr>
          <w:rFonts w:hint="eastAsia" w:ascii="宋体" w:hAnsi="宋体" w:cs="宋体"/>
          <w:bCs/>
          <w:color w:val="auto"/>
          <w:sz w:val="24"/>
          <w:highlight w:val="none"/>
          <w:u w:val="single"/>
          <w:lang w:val="en-US" w:eastAsia="zh-CN"/>
        </w:rPr>
        <w:t>12</w:t>
      </w:r>
      <w:r>
        <w:rPr>
          <w:rFonts w:hint="eastAsia" w:ascii="宋体" w:hAnsi="宋体" w:cs="宋体"/>
          <w:bCs/>
          <w:color w:val="auto"/>
          <w:sz w:val="24"/>
          <w:highlight w:val="none"/>
          <w:u w:val="single"/>
        </w:rPr>
        <w:t>月</w:t>
      </w:r>
      <w:r>
        <w:rPr>
          <w:rFonts w:hint="eastAsia" w:ascii="宋体" w:hAnsi="宋体" w:cs="宋体"/>
          <w:bCs/>
          <w:color w:val="auto"/>
          <w:sz w:val="24"/>
          <w:highlight w:val="none"/>
          <w:u w:val="single"/>
          <w:lang w:val="en-US" w:eastAsia="zh-CN"/>
        </w:rPr>
        <w:t>29</w:t>
      </w:r>
      <w:r>
        <w:rPr>
          <w:rFonts w:hint="eastAsia" w:ascii="宋体" w:hAnsi="宋体" w:cs="宋体"/>
          <w:bCs/>
          <w:color w:val="auto"/>
          <w:sz w:val="24"/>
          <w:highlight w:val="none"/>
          <w:u w:val="single"/>
        </w:rPr>
        <w:t>日</w:t>
      </w:r>
      <w:r>
        <w:rPr>
          <w:rFonts w:hint="eastAsia" w:ascii="宋体" w:hAnsi="宋体" w:cs="宋体"/>
          <w:bCs/>
          <w:color w:val="auto"/>
          <w:sz w:val="24"/>
          <w:highlight w:val="none"/>
          <w:u w:val="single"/>
          <w:lang w:val="en-US" w:eastAsia="zh-CN"/>
        </w:rPr>
        <w:t>12：00</w:t>
      </w:r>
      <w:r>
        <w:rPr>
          <w:rFonts w:hint="eastAsia" w:ascii="宋体" w:hAnsi="宋体" w:cs="宋体"/>
          <w:bCs/>
          <w:color w:val="auto"/>
          <w:sz w:val="24"/>
          <w:highlight w:val="none"/>
          <w:u w:val="single"/>
        </w:rPr>
        <w:t>分（北京时间）</w:t>
      </w:r>
    </w:p>
    <w:p>
      <w:pPr>
        <w:pageBreakBefore w:val="0"/>
        <w:widowControl w:val="0"/>
        <w:kinsoku/>
        <w:wordWrap/>
        <w:overflowPunct/>
        <w:topLinePunct w:val="0"/>
        <w:autoSpaceDE/>
        <w:autoSpaceDN/>
        <w:bidi w:val="0"/>
        <w:adjustRightInd/>
        <w:spacing w:line="360" w:lineRule="exact"/>
        <w:ind w:firstLine="480" w:firstLineChars="200"/>
        <w:textAlignment w:val="auto"/>
        <w:rPr>
          <w:rFonts w:hint="eastAsia" w:ascii="宋体" w:hAnsi="宋体" w:cs="宋体"/>
          <w:bCs/>
          <w:color w:val="auto"/>
          <w:sz w:val="24"/>
          <w:highlight w:val="none"/>
          <w:u w:val="single"/>
        </w:rPr>
      </w:pPr>
      <w:r>
        <w:rPr>
          <w:rFonts w:hint="eastAsia" w:ascii="宋体" w:hAnsi="宋体" w:cs="宋体"/>
          <w:color w:val="auto"/>
          <w:sz w:val="24"/>
          <w:highlight w:val="none"/>
        </w:rPr>
        <w:t>地点：腾讯会议不见面开标</w:t>
      </w:r>
    </w:p>
    <w:p>
      <w:pPr>
        <w:pageBreakBefore w:val="0"/>
        <w:widowControl w:val="0"/>
        <w:kinsoku/>
        <w:wordWrap/>
        <w:overflowPunct/>
        <w:topLinePunct w:val="0"/>
        <w:autoSpaceDE/>
        <w:autoSpaceDN/>
        <w:bidi w:val="0"/>
        <w:adjustRightInd/>
        <w:spacing w:line="360" w:lineRule="exact"/>
        <w:textAlignment w:val="auto"/>
        <w:rPr>
          <w:rFonts w:hint="eastAsia" w:ascii="宋体" w:hAnsi="宋体" w:cs="宋体"/>
          <w:b/>
          <w:bCs/>
          <w:color w:val="auto"/>
          <w:sz w:val="24"/>
          <w:highlight w:val="none"/>
        </w:rPr>
      </w:pPr>
      <w:bookmarkStart w:id="22" w:name="_Toc35393634"/>
      <w:bookmarkStart w:id="23" w:name="_Toc28359094"/>
      <w:bookmarkStart w:id="24" w:name="_Toc35393803"/>
      <w:bookmarkStart w:id="25" w:name="_Toc28359017"/>
      <w:r>
        <w:rPr>
          <w:rFonts w:hint="eastAsia" w:ascii="宋体" w:hAnsi="宋体" w:cs="宋体"/>
          <w:b/>
          <w:bCs/>
          <w:color w:val="auto"/>
          <w:sz w:val="24"/>
          <w:highlight w:val="none"/>
        </w:rPr>
        <w:t>六、公告期限</w:t>
      </w:r>
      <w:bookmarkEnd w:id="22"/>
      <w:bookmarkEnd w:id="23"/>
      <w:bookmarkEnd w:id="24"/>
      <w:bookmarkEnd w:id="25"/>
    </w:p>
    <w:p>
      <w:pPr>
        <w:pageBreakBefore w:val="0"/>
        <w:widowControl w:val="0"/>
        <w:kinsoku/>
        <w:wordWrap/>
        <w:overflowPunct/>
        <w:topLinePunct w:val="0"/>
        <w:autoSpaceDE/>
        <w:autoSpaceDN/>
        <w:bidi w:val="0"/>
        <w:adjustRightInd/>
        <w:spacing w:line="360" w:lineRule="exact"/>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自本公告发布之日起</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个工作日。</w:t>
      </w:r>
    </w:p>
    <w:p>
      <w:pPr>
        <w:pageBreakBefore w:val="0"/>
        <w:widowControl w:val="0"/>
        <w:kinsoku/>
        <w:wordWrap/>
        <w:overflowPunct/>
        <w:topLinePunct w:val="0"/>
        <w:autoSpaceDE/>
        <w:autoSpaceDN/>
        <w:bidi w:val="0"/>
        <w:adjustRightInd/>
        <w:spacing w:line="360" w:lineRule="exact"/>
        <w:textAlignment w:val="auto"/>
        <w:rPr>
          <w:rFonts w:hint="eastAsia" w:ascii="宋体" w:hAnsi="宋体" w:cs="宋体"/>
          <w:b/>
          <w:bCs/>
          <w:color w:val="auto"/>
          <w:sz w:val="24"/>
          <w:highlight w:val="none"/>
        </w:rPr>
      </w:pPr>
      <w:bookmarkStart w:id="26" w:name="_Toc35393804"/>
      <w:bookmarkStart w:id="27" w:name="_Toc35393635"/>
      <w:r>
        <w:rPr>
          <w:rFonts w:hint="eastAsia" w:ascii="宋体" w:hAnsi="宋体" w:cs="宋体"/>
          <w:b/>
          <w:bCs/>
          <w:color w:val="auto"/>
          <w:sz w:val="24"/>
          <w:highlight w:val="none"/>
        </w:rPr>
        <w:t>七、其他补充事宜</w:t>
      </w:r>
      <w:bookmarkEnd w:id="26"/>
      <w:bookmarkEnd w:id="27"/>
    </w:p>
    <w:p>
      <w:pPr>
        <w:pageBreakBefore w:val="0"/>
        <w:widowControl w:val="0"/>
        <w:kinsoku/>
        <w:wordWrap/>
        <w:overflowPunct/>
        <w:topLinePunct w:val="0"/>
        <w:autoSpaceDE/>
        <w:autoSpaceDN/>
        <w:bidi w:val="0"/>
        <w:adjustRightInd/>
        <w:snapToGrid w:val="0"/>
        <w:spacing w:line="360" w:lineRule="exact"/>
        <w:ind w:firstLine="480"/>
        <w:textAlignment w:val="auto"/>
        <w:rPr>
          <w:rFonts w:hint="eastAsia" w:ascii="宋体" w:hAnsi="宋体" w:cs="宋体"/>
          <w:b/>
          <w:bCs/>
          <w:color w:val="auto"/>
          <w:sz w:val="24"/>
          <w:lang w:val="en-US" w:eastAsia="zh-CN"/>
        </w:rPr>
      </w:pPr>
      <w:r>
        <w:rPr>
          <w:rFonts w:hint="eastAsia" w:ascii="宋体" w:hAnsi="宋体" w:cs="宋体"/>
          <w:color w:val="auto"/>
          <w:sz w:val="24"/>
          <w:highlight w:val="none"/>
          <w:lang w:val="en-US" w:eastAsia="zh-CN"/>
        </w:rPr>
        <w:t>1、投标保证金：20000.00元（贰万元整）；开户名称：于田县公共资源交易中心，开户银行：于田县农村信用合作联社丝路信用社，账号：882010212010106202100。【投标保证金缴纳的截止时间为2021年12月29日12：00（北京时间）前，缴纳</w:t>
      </w:r>
      <w:r>
        <w:rPr>
          <w:rFonts w:hint="eastAsia" w:ascii="宋体" w:hAnsi="宋体" w:cs="宋体"/>
          <w:color w:val="auto"/>
          <w:sz w:val="24"/>
          <w:lang w:val="en-US" w:eastAsia="zh-CN"/>
        </w:rPr>
        <w:t>投标保证金时应在付款用途里标明项目名称、用途。</w:t>
      </w:r>
      <w:r>
        <w:rPr>
          <w:rFonts w:hint="eastAsia" w:ascii="宋体" w:hAnsi="宋体" w:cs="宋体"/>
          <w:b/>
          <w:bCs/>
          <w:color w:val="auto"/>
          <w:sz w:val="24"/>
          <w:lang w:val="en-US" w:eastAsia="zh-CN"/>
        </w:rPr>
        <w:t>投标保证金以进账时间为准，投标人在缴纳投标保证金时，应充分考虑资金在途时间。</w:t>
      </w:r>
      <w:r>
        <w:rPr>
          <w:rFonts w:hint="eastAsia" w:ascii="宋体" w:hAnsi="宋体" w:cs="宋体"/>
          <w:color w:val="auto"/>
          <w:sz w:val="24"/>
          <w:lang w:val="en-US" w:eastAsia="zh-CN"/>
        </w:rPr>
        <w:t>投标保证金以其进账时间确定其有效性，在规定时间内未进入到指定账户，按废标处理。开标前投标单位不需至于田县公共资源交易中心换取保证金收据原件,开标时需携带投标保证金银行回单】;</w:t>
      </w:r>
      <w:r>
        <w:rPr>
          <w:rFonts w:hint="eastAsia" w:ascii="宋体" w:hAnsi="宋体" w:cs="宋体"/>
          <w:b/>
          <w:bCs/>
          <w:color w:val="auto"/>
          <w:sz w:val="24"/>
          <w:lang w:val="en-US" w:eastAsia="zh-CN"/>
        </w:rPr>
        <w:t>开标结束后未中标企业现场将开户许可证复印件、收据（必须加盖公司公章/财务章）递交至于田县公共资源交易中心财务室。</w:t>
      </w:r>
    </w:p>
    <w:p>
      <w:pPr>
        <w:pageBreakBefore w:val="0"/>
        <w:widowControl w:val="0"/>
        <w:numPr>
          <w:ilvl w:val="0"/>
          <w:numId w:val="0"/>
        </w:numPr>
        <w:kinsoku/>
        <w:wordWrap/>
        <w:overflowPunct/>
        <w:topLinePunct w:val="0"/>
        <w:autoSpaceDE/>
        <w:autoSpaceDN/>
        <w:bidi w:val="0"/>
        <w:adjustRightInd/>
        <w:spacing w:line="400" w:lineRule="exact"/>
        <w:textAlignment w:val="auto"/>
        <w:rPr>
          <w:rFonts w:hint="eastAsia" w:ascii="宋体" w:hAnsi="宋体" w:cs="宋体"/>
          <w:b/>
          <w:bCs/>
          <w:color w:val="auto"/>
          <w:sz w:val="24"/>
        </w:rPr>
      </w:pPr>
      <w:bookmarkStart w:id="28" w:name="_Toc35393805"/>
      <w:bookmarkStart w:id="29" w:name="_Toc28359095"/>
      <w:bookmarkStart w:id="30" w:name="_Toc35393636"/>
      <w:bookmarkStart w:id="31" w:name="_Toc28359018"/>
      <w:r>
        <w:rPr>
          <w:rFonts w:hint="eastAsia" w:ascii="宋体" w:hAnsi="宋体" w:cs="宋体"/>
          <w:b/>
          <w:bCs/>
          <w:color w:val="auto"/>
          <w:sz w:val="24"/>
        </w:rPr>
        <w:t>八、凡对本次采购提出询问，请按以下方式联系。</w:t>
      </w:r>
      <w:bookmarkEnd w:id="28"/>
      <w:bookmarkEnd w:id="29"/>
      <w:bookmarkEnd w:id="30"/>
      <w:bookmarkEnd w:id="31"/>
    </w:p>
    <w:p>
      <w:pPr>
        <w:pageBreakBefore w:val="0"/>
        <w:widowControl w:val="0"/>
        <w:kinsoku/>
        <w:wordWrap/>
        <w:overflowPunct/>
        <w:topLinePunct w:val="0"/>
        <w:autoSpaceDE/>
        <w:autoSpaceDN/>
        <w:bidi w:val="0"/>
        <w:adjustRightInd/>
        <w:spacing w:line="400" w:lineRule="exact"/>
        <w:ind w:firstLine="720" w:firstLineChars="300"/>
        <w:textAlignment w:val="auto"/>
        <w:rPr>
          <w:rFonts w:hint="eastAsia" w:ascii="宋体" w:hAnsi="宋体" w:cs="宋体"/>
          <w:color w:val="auto"/>
          <w:sz w:val="24"/>
        </w:rPr>
      </w:pPr>
      <w:bookmarkStart w:id="32" w:name="_Toc35393637"/>
      <w:bookmarkStart w:id="33" w:name="_Toc28359019"/>
      <w:bookmarkStart w:id="34" w:name="_Toc35393806"/>
      <w:bookmarkStart w:id="35" w:name="_Toc28359096"/>
      <w:r>
        <w:rPr>
          <w:rFonts w:hint="eastAsia" w:ascii="宋体" w:hAnsi="宋体" w:cs="宋体"/>
          <w:color w:val="auto"/>
          <w:sz w:val="24"/>
        </w:rPr>
        <w:t>1.采购人信息</w:t>
      </w:r>
      <w:bookmarkEnd w:id="32"/>
      <w:bookmarkEnd w:id="33"/>
      <w:bookmarkEnd w:id="34"/>
      <w:bookmarkEnd w:id="35"/>
    </w:p>
    <w:p>
      <w:pPr>
        <w:pageBreakBefore w:val="0"/>
        <w:widowControl w:val="0"/>
        <w:kinsoku/>
        <w:wordWrap/>
        <w:overflowPunct/>
        <w:topLinePunct w:val="0"/>
        <w:autoSpaceDE/>
        <w:autoSpaceDN/>
        <w:bidi w:val="0"/>
        <w:adjustRightInd/>
        <w:spacing w:line="400" w:lineRule="exact"/>
        <w:ind w:left="300" w:hanging="300" w:hangingChars="125"/>
        <w:jc w:val="left"/>
        <w:textAlignment w:val="auto"/>
        <w:rPr>
          <w:rFonts w:hint="default" w:ascii="宋体" w:hAnsi="宋体" w:eastAsia="宋体" w:cs="宋体"/>
          <w:color w:val="auto"/>
          <w:sz w:val="24"/>
          <w:u w:val="single"/>
          <w:lang w:val="en-US" w:eastAsia="zh-CN"/>
        </w:rPr>
      </w:pPr>
      <w:r>
        <w:rPr>
          <w:rFonts w:hint="eastAsia" w:ascii="宋体" w:hAnsi="宋体" w:cs="宋体"/>
          <w:color w:val="auto"/>
          <w:sz w:val="24"/>
        </w:rPr>
        <w:t xml:space="preserve">      名    称：</w:t>
      </w:r>
      <w:r>
        <w:rPr>
          <w:rFonts w:hint="eastAsia" w:ascii="宋体" w:hAnsi="宋体" w:cs="宋体"/>
          <w:color w:val="auto"/>
          <w:sz w:val="24"/>
          <w:u w:val="single"/>
          <w:lang w:val="en-US" w:eastAsia="zh-CN"/>
        </w:rPr>
        <w:t>于田县文化体育广播电视和旅游局</w:t>
      </w:r>
    </w:p>
    <w:p>
      <w:pPr>
        <w:pageBreakBefore w:val="0"/>
        <w:widowControl w:val="0"/>
        <w:kinsoku/>
        <w:wordWrap/>
        <w:overflowPunct/>
        <w:topLinePunct w:val="0"/>
        <w:autoSpaceDE/>
        <w:autoSpaceDN/>
        <w:bidi w:val="0"/>
        <w:adjustRightInd/>
        <w:spacing w:line="400" w:lineRule="exact"/>
        <w:ind w:left="300" w:hanging="300" w:hangingChars="125"/>
        <w:jc w:val="left"/>
        <w:textAlignment w:val="auto"/>
        <w:rPr>
          <w:rFonts w:hint="default" w:ascii="宋体" w:hAnsi="宋体" w:eastAsia="宋体" w:cs="宋体"/>
          <w:color w:val="auto"/>
          <w:sz w:val="24"/>
          <w:u w:val="single"/>
          <w:lang w:val="en-US" w:eastAsia="zh-CN"/>
        </w:rPr>
      </w:pPr>
      <w:r>
        <w:rPr>
          <w:rFonts w:hint="eastAsia" w:ascii="宋体" w:hAnsi="宋体" w:cs="宋体"/>
          <w:color w:val="auto"/>
          <w:sz w:val="24"/>
        </w:rPr>
        <w:t xml:space="preserve">      地    址：</w:t>
      </w:r>
      <w:r>
        <w:rPr>
          <w:rFonts w:hint="eastAsia" w:ascii="宋体" w:hAnsi="宋体" w:cs="宋体"/>
          <w:color w:val="auto"/>
          <w:sz w:val="24"/>
          <w:u w:val="single"/>
          <w:lang w:val="en-US" w:eastAsia="zh-CN"/>
        </w:rPr>
        <w:t xml:space="preserve">新疆维吾尔自治区和田地区于田县喀日曼路       </w:t>
      </w:r>
    </w:p>
    <w:p>
      <w:pPr>
        <w:pageBreakBefore w:val="0"/>
        <w:widowControl w:val="0"/>
        <w:kinsoku/>
        <w:wordWrap/>
        <w:overflowPunct/>
        <w:topLinePunct w:val="0"/>
        <w:autoSpaceDE/>
        <w:autoSpaceDN/>
        <w:bidi w:val="0"/>
        <w:adjustRightInd/>
        <w:spacing w:line="400" w:lineRule="exact"/>
        <w:ind w:left="300" w:hanging="300" w:hangingChars="125"/>
        <w:jc w:val="left"/>
        <w:textAlignment w:val="auto"/>
        <w:rPr>
          <w:rFonts w:hint="eastAsia" w:ascii="宋体" w:hAnsi="宋体" w:cs="宋体"/>
          <w:color w:val="auto"/>
          <w:sz w:val="24"/>
        </w:rPr>
      </w:pPr>
      <w:r>
        <w:rPr>
          <w:rFonts w:hint="eastAsia" w:ascii="宋体" w:hAnsi="宋体" w:cs="宋体"/>
          <w:color w:val="auto"/>
          <w:sz w:val="24"/>
        </w:rPr>
        <w:t xml:space="preserve">      联 系 人：</w:t>
      </w:r>
      <w:r>
        <w:rPr>
          <w:rFonts w:hint="eastAsia" w:ascii="宋体" w:hAnsi="宋体" w:cs="宋体"/>
          <w:color w:val="auto"/>
          <w:sz w:val="24"/>
          <w:u w:val="single"/>
        </w:rPr>
        <w:t>康宽堂</w:t>
      </w:r>
      <w:r>
        <w:rPr>
          <w:rFonts w:hint="eastAsia" w:ascii="宋体" w:hAnsi="宋体" w:cs="宋体"/>
          <w:color w:val="auto"/>
          <w:sz w:val="24"/>
          <w:u w:val="single"/>
          <w:lang w:val="en-US" w:eastAsia="zh-CN"/>
        </w:rPr>
        <w:t xml:space="preserve">    </w:t>
      </w:r>
      <w:r>
        <w:rPr>
          <w:rFonts w:hint="eastAsia" w:ascii="宋体" w:hAnsi="宋体" w:cs="宋体"/>
          <w:color w:val="auto"/>
          <w:sz w:val="24"/>
        </w:rPr>
        <w:t xml:space="preserve">    </w:t>
      </w:r>
    </w:p>
    <w:p>
      <w:pPr>
        <w:pageBreakBefore w:val="0"/>
        <w:widowControl w:val="0"/>
        <w:kinsoku/>
        <w:wordWrap/>
        <w:overflowPunct/>
        <w:topLinePunct w:val="0"/>
        <w:autoSpaceDE/>
        <w:autoSpaceDN/>
        <w:bidi w:val="0"/>
        <w:adjustRightInd/>
        <w:spacing w:line="400" w:lineRule="exact"/>
        <w:ind w:firstLine="720" w:firstLineChars="300"/>
        <w:jc w:val="left"/>
        <w:textAlignment w:val="auto"/>
        <w:rPr>
          <w:rFonts w:hint="default" w:ascii="宋体" w:hAnsi="宋体" w:cs="宋体"/>
          <w:color w:val="auto"/>
          <w:sz w:val="24"/>
          <w:lang w:val="en-US"/>
        </w:rPr>
      </w:pPr>
      <w:r>
        <w:rPr>
          <w:rFonts w:hint="eastAsia" w:ascii="宋体" w:hAnsi="宋体" w:cs="宋体"/>
          <w:color w:val="auto"/>
          <w:sz w:val="24"/>
        </w:rPr>
        <w:t>联系方式：</w:t>
      </w:r>
      <w:r>
        <w:rPr>
          <w:rFonts w:hint="eastAsia" w:ascii="宋体" w:hAnsi="宋体"/>
          <w:color w:val="auto"/>
          <w:szCs w:val="30"/>
          <w:u w:val="single"/>
          <w:lang w:val="en-US" w:eastAsia="zh-CN"/>
        </w:rPr>
        <w:t xml:space="preserve">18096869228    </w:t>
      </w:r>
    </w:p>
    <w:p>
      <w:pPr>
        <w:pageBreakBefore w:val="0"/>
        <w:widowControl w:val="0"/>
        <w:kinsoku/>
        <w:wordWrap/>
        <w:overflowPunct/>
        <w:topLinePunct w:val="0"/>
        <w:autoSpaceDE/>
        <w:autoSpaceDN/>
        <w:bidi w:val="0"/>
        <w:adjustRightInd/>
        <w:spacing w:line="400" w:lineRule="exact"/>
        <w:ind w:firstLine="720" w:firstLineChars="300"/>
        <w:textAlignment w:val="auto"/>
        <w:rPr>
          <w:rFonts w:hint="eastAsia" w:ascii="宋体" w:hAnsi="宋体" w:eastAsia="宋体" w:cs="宋体"/>
          <w:color w:val="auto"/>
          <w:sz w:val="24"/>
          <w:lang w:eastAsia="zh-CN"/>
        </w:rPr>
      </w:pPr>
      <w:bookmarkStart w:id="36" w:name="_Toc28359097"/>
      <w:bookmarkStart w:id="37" w:name="_Toc28359020"/>
      <w:bookmarkStart w:id="38" w:name="_Toc35393638"/>
      <w:bookmarkStart w:id="39" w:name="_Toc35393807"/>
      <w:r>
        <w:rPr>
          <w:rFonts w:hint="eastAsia" w:ascii="宋体" w:hAnsi="宋体" w:cs="宋体"/>
          <w:color w:val="auto"/>
          <w:sz w:val="24"/>
        </w:rPr>
        <w:t>2.采购代理机构信息</w:t>
      </w:r>
      <w:bookmarkEnd w:id="36"/>
      <w:bookmarkEnd w:id="37"/>
      <w:bookmarkEnd w:id="38"/>
      <w:bookmarkEnd w:id="39"/>
      <w:r>
        <w:rPr>
          <w:rFonts w:hint="eastAsia" w:ascii="宋体" w:hAnsi="宋体" w:cs="宋体"/>
          <w:color w:val="auto"/>
          <w:sz w:val="24"/>
          <w:lang w:val="en-US" w:eastAsia="zh-CN"/>
        </w:rPr>
        <w:t xml:space="preserve"> </w:t>
      </w:r>
    </w:p>
    <w:p>
      <w:pPr>
        <w:pageBreakBefore w:val="0"/>
        <w:widowControl w:val="0"/>
        <w:kinsoku/>
        <w:wordWrap/>
        <w:overflowPunct/>
        <w:topLinePunct w:val="0"/>
        <w:autoSpaceDE/>
        <w:autoSpaceDN/>
        <w:bidi w:val="0"/>
        <w:adjustRightInd/>
        <w:spacing w:line="400" w:lineRule="exact"/>
        <w:ind w:firstLine="720" w:firstLineChars="300"/>
        <w:textAlignment w:val="auto"/>
        <w:rPr>
          <w:rFonts w:hint="eastAsia" w:ascii="宋体" w:hAnsi="宋体" w:cs="宋体"/>
          <w:color w:val="auto"/>
          <w:sz w:val="24"/>
        </w:rPr>
      </w:pPr>
      <w:r>
        <w:rPr>
          <w:rFonts w:hint="eastAsia" w:ascii="宋体" w:hAnsi="宋体" w:cs="宋体"/>
          <w:color w:val="auto"/>
          <w:sz w:val="24"/>
        </w:rPr>
        <w:t>名    称：</w:t>
      </w:r>
      <w:r>
        <w:rPr>
          <w:rFonts w:hint="eastAsia" w:ascii="宋体" w:hAnsi="宋体" w:cs="宋体"/>
          <w:color w:val="auto"/>
          <w:sz w:val="24"/>
          <w:u w:val="single"/>
        </w:rPr>
        <w:t>新疆惠文建设工程项目管理咨询有限公司</w:t>
      </w:r>
    </w:p>
    <w:p>
      <w:pPr>
        <w:pageBreakBefore w:val="0"/>
        <w:widowControl w:val="0"/>
        <w:kinsoku/>
        <w:wordWrap/>
        <w:overflowPunct/>
        <w:topLinePunct w:val="0"/>
        <w:autoSpaceDE/>
        <w:autoSpaceDN/>
        <w:bidi w:val="0"/>
        <w:adjustRightInd/>
        <w:spacing w:line="400" w:lineRule="exact"/>
        <w:ind w:firstLine="720" w:firstLineChars="300"/>
        <w:textAlignment w:val="auto"/>
        <w:rPr>
          <w:rFonts w:hint="eastAsia" w:ascii="宋体" w:hAnsi="宋体" w:cs="宋体"/>
          <w:color w:val="auto"/>
          <w:sz w:val="24"/>
          <w:u w:val="single"/>
        </w:rPr>
      </w:pPr>
      <w:r>
        <w:rPr>
          <w:rFonts w:hint="eastAsia" w:ascii="宋体" w:hAnsi="宋体" w:cs="宋体"/>
          <w:color w:val="auto"/>
          <w:sz w:val="24"/>
        </w:rPr>
        <w:t>地　　址：</w:t>
      </w:r>
      <w:r>
        <w:rPr>
          <w:rFonts w:hint="eastAsia" w:ascii="宋体" w:hAnsi="宋体" w:cs="宋体"/>
          <w:color w:val="auto"/>
          <w:sz w:val="24"/>
          <w:u w:val="single"/>
        </w:rPr>
        <w:t>和田市阿恰勒东路11号</w:t>
      </w:r>
    </w:p>
    <w:p>
      <w:pPr>
        <w:pStyle w:val="5"/>
        <w:pageBreakBefore w:val="0"/>
        <w:widowControl w:val="0"/>
        <w:kinsoku/>
        <w:wordWrap/>
        <w:overflowPunct/>
        <w:topLinePunct w:val="0"/>
        <w:autoSpaceDE/>
        <w:autoSpaceDN/>
        <w:bidi w:val="0"/>
        <w:adjustRightInd/>
        <w:spacing w:line="400" w:lineRule="exact"/>
        <w:ind w:firstLine="720" w:firstLineChars="300"/>
        <w:textAlignment w:val="auto"/>
        <w:rPr>
          <w:rFonts w:hint="eastAsia" w:hAnsi="宋体" w:cs="宋体"/>
          <w:color w:val="auto"/>
          <w:sz w:val="24"/>
          <w:szCs w:val="24"/>
        </w:rPr>
      </w:pPr>
      <w:r>
        <w:rPr>
          <w:rFonts w:hint="eastAsia" w:hAnsi="宋体" w:cs="宋体"/>
          <w:color w:val="auto"/>
          <w:sz w:val="24"/>
          <w:szCs w:val="24"/>
        </w:rPr>
        <w:t>项目联系人：</w:t>
      </w:r>
      <w:r>
        <w:rPr>
          <w:rFonts w:hint="eastAsia" w:hAnsi="宋体" w:cs="宋体"/>
          <w:color w:val="auto"/>
          <w:sz w:val="24"/>
          <w:szCs w:val="24"/>
          <w:u w:val="single"/>
        </w:rPr>
        <w:t>马玉燕</w:t>
      </w:r>
    </w:p>
    <w:p>
      <w:pPr>
        <w:pageBreakBefore w:val="0"/>
        <w:widowControl w:val="0"/>
        <w:kinsoku/>
        <w:wordWrap/>
        <w:overflowPunct/>
        <w:topLinePunct w:val="0"/>
        <w:autoSpaceDE/>
        <w:autoSpaceDN/>
        <w:bidi w:val="0"/>
        <w:adjustRightInd/>
        <w:spacing w:line="400" w:lineRule="exact"/>
        <w:ind w:firstLine="720" w:firstLineChars="300"/>
        <w:textAlignment w:val="auto"/>
      </w:pPr>
      <w:r>
        <w:rPr>
          <w:rFonts w:hint="eastAsia" w:ascii="宋体" w:hAnsi="宋体" w:cs="宋体"/>
          <w:color w:val="auto"/>
          <w:sz w:val="24"/>
        </w:rPr>
        <w:t>联系方式：</w:t>
      </w:r>
      <w:r>
        <w:rPr>
          <w:rFonts w:hint="eastAsia" w:ascii="宋体" w:hAnsi="宋体" w:cs="宋体"/>
          <w:color w:val="auto"/>
          <w:sz w:val="24"/>
          <w:u w:val="single"/>
        </w:rPr>
        <w:t>13999656168/0903-2520049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95D1D1"/>
    <w:multiLevelType w:val="singleLevel"/>
    <w:tmpl w:val="A695D1D1"/>
    <w:lvl w:ilvl="0" w:tentative="0">
      <w:start w:val="1"/>
      <w:numFmt w:val="decimal"/>
      <w:suff w:val="nothing"/>
      <w:lvlText w:val="%1、"/>
      <w:lvlJc w:val="left"/>
    </w:lvl>
  </w:abstractNum>
  <w:abstractNum w:abstractNumId="1">
    <w:nsid w:val="00000000"/>
    <w:multiLevelType w:val="multilevel"/>
    <w:tmpl w:val="00000000"/>
    <w:lvl w:ilvl="0" w:tentative="0">
      <w:start w:val="1"/>
      <w:numFmt w:val="decimal"/>
      <w:lvlText w:val="%1．"/>
      <w:lvlJc w:val="left"/>
      <w:pPr>
        <w:tabs>
          <w:tab w:val="left" w:pos="780"/>
        </w:tabs>
        <w:ind w:left="780" w:hanging="360"/>
      </w:pPr>
      <w:rPr>
        <w:rFonts w:hint="default"/>
      </w:rPr>
    </w:lvl>
    <w:lvl w:ilvl="1" w:tentative="0">
      <w:start w:val="1"/>
      <w:numFmt w:val="japaneseCounting"/>
      <w:lvlText w:val="%2、"/>
      <w:lvlJc w:val="left"/>
      <w:pPr>
        <w:tabs>
          <w:tab w:val="left" w:pos="1560"/>
        </w:tabs>
        <w:ind w:left="1560" w:hanging="720"/>
      </w:pPr>
      <w:rPr>
        <w:rFonts w:hint="default"/>
      </w:rPr>
    </w:lvl>
    <w:lvl w:ilvl="2" w:tentative="0">
      <w:start w:val="1"/>
      <w:numFmt w:val="decimalEnclosedCircle"/>
      <w:lvlText w:val="%3"/>
      <w:lvlJc w:val="left"/>
      <w:pPr>
        <w:tabs>
          <w:tab w:val="left" w:pos="1620"/>
        </w:tabs>
        <w:ind w:left="1620" w:hanging="360"/>
      </w:pPr>
      <w:rPr>
        <w:rFonts w:hint="eastAsia"/>
      </w:rPr>
    </w:lvl>
    <w:lvl w:ilvl="3" w:tentative="0">
      <w:start w:val="1"/>
      <w:numFmt w:val="decimal"/>
      <w:lvlText w:val="%4、"/>
      <w:lvlJc w:val="left"/>
      <w:pPr>
        <w:tabs>
          <w:tab w:val="left" w:pos="2400"/>
        </w:tabs>
        <w:ind w:left="2400" w:hanging="720"/>
      </w:pPr>
      <w:rPr>
        <w:rFonts w:hint="eastAsia"/>
      </w:rPr>
    </w:lvl>
    <w:lvl w:ilvl="4" w:tentative="0">
      <w:start w:val="1"/>
      <w:numFmt w:val="upperLetter"/>
      <w:pStyle w:val="3"/>
      <w:lvlText w:val="%5、"/>
      <w:lvlJc w:val="left"/>
      <w:pPr>
        <w:tabs>
          <w:tab w:val="left" w:pos="2820"/>
        </w:tabs>
        <w:ind w:left="2820" w:hanging="720"/>
      </w:pPr>
      <w:rPr>
        <w:rFonts w:hint="eastAsia"/>
      </w:r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4B6B7E"/>
    <w:rsid w:val="0D2546FA"/>
    <w:rsid w:val="0E91380E"/>
    <w:rsid w:val="111769F3"/>
    <w:rsid w:val="132D213C"/>
    <w:rsid w:val="13E50F0A"/>
    <w:rsid w:val="152177DF"/>
    <w:rsid w:val="1F10294F"/>
    <w:rsid w:val="211F550F"/>
    <w:rsid w:val="2CC0142F"/>
    <w:rsid w:val="3EAE5F7D"/>
    <w:rsid w:val="426E0B53"/>
    <w:rsid w:val="42981072"/>
    <w:rsid w:val="42F174FD"/>
    <w:rsid w:val="57C3678D"/>
    <w:rsid w:val="62E35759"/>
    <w:rsid w:val="6DDA7B7B"/>
    <w:rsid w:val="6FF13479"/>
    <w:rsid w:val="7A4B6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numPr>
        <w:ilvl w:val="4"/>
        <w:numId w:val="1"/>
      </w:numPr>
      <w:tabs>
        <w:tab w:val="left" w:pos="0"/>
        <w:tab w:val="clear" w:pos="2820"/>
      </w:tabs>
      <w:ind w:hanging="2820"/>
      <w:outlineLvl w:val="0"/>
    </w:pPr>
    <w:rPr>
      <w:rFonts w:ascii="仿宋_GB2312" w:eastAsia="仿宋_GB2312"/>
      <w:sz w:val="32"/>
      <w:szCs w:val="32"/>
    </w:rPr>
  </w:style>
  <w:style w:type="paragraph" w:styleId="4">
    <w:name w:val="heading 2"/>
    <w:basedOn w:val="1"/>
    <w:next w:val="1"/>
    <w:qFormat/>
    <w:uiPriority w:val="0"/>
    <w:pPr>
      <w:keepNext/>
      <w:keepLines/>
      <w:spacing w:before="260" w:after="260" w:line="416" w:lineRule="auto"/>
      <w:outlineLvl w:val="1"/>
    </w:pPr>
    <w:rPr>
      <w:rFonts w:ascii="Arial Black" w:hAnsi="Arial Black" w:eastAsia="黑体"/>
      <w:b/>
      <w:bCs/>
      <w:sz w:val="32"/>
      <w:szCs w:val="32"/>
    </w:rPr>
  </w:style>
  <w:style w:type="paragraph" w:styleId="2">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Plain Text"/>
    <w:basedOn w:val="1"/>
    <w:qFormat/>
    <w:uiPriority w:val="0"/>
    <w:rPr>
      <w:rFonts w:ascii="宋体" w:hAnsi="Courier New"/>
      <w:sz w:val="11"/>
      <w:szCs w:val="20"/>
    </w:rPr>
  </w:style>
  <w:style w:type="paragraph" w:styleId="6">
    <w:name w:val="Normal (Web)"/>
    <w:basedOn w:val="1"/>
    <w:qFormat/>
    <w:uiPriority w:val="0"/>
    <w:pPr>
      <w:spacing w:line="300" w:lineRule="auto"/>
    </w:pPr>
    <w:rPr>
      <w:sz w:val="24"/>
      <w:szCs w:val="24"/>
    </w:rPr>
  </w:style>
  <w:style w:type="paragraph" w:customStyle="1" w:styleId="9">
    <w:name w:val="Normal (Web)"/>
    <w:basedOn w:val="1"/>
    <w:qFormat/>
    <w:uiPriority w:val="0"/>
    <w:pPr>
      <w:widowControl/>
      <w:spacing w:before="100" w:beforeLines="0" w:beforeAutospacing="1" w:after="100" w:afterLines="0" w:afterAutospacing="1"/>
      <w:jc w:val="left"/>
    </w:pPr>
    <w:rPr>
      <w:rFonts w:asci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2021-11-25T03:22:00Z</dcterms:created>
  <dc:creator>张亮</dc:creator>
  <cp:lastModifiedBy>张亮</cp:lastModifiedBy>
  <cp:lastPrinted>2021-11-26T10:42:00Z</cp:lastPrinted>
  <dcterms:modified xsi:type="dcterms:W3CDTF">2021-12-20T04:12:56Z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19B283558E70417E92A5227B0F89F86F</vt:lpwstr>
  </property>
</Properties>
</file>