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ind w:firstLine="880" w:firstLineChars="200"/>
        <w:jc w:val="center"/>
        <w:rPr>
          <w:rFonts w:hint="eastAsia" w:asciiTheme="minorEastAsia" w:hAnsiTheme="minorEastAsia" w:eastAsiaTheme="minorEastAsia" w:cstheme="minorEastAsia"/>
          <w:sz w:val="44"/>
          <w:szCs w:val="44"/>
        </w:rPr>
      </w:pPr>
    </w:p>
    <w:p>
      <w:pPr>
        <w:pStyle w:val="12"/>
        <w:spacing w:line="360" w:lineRule="auto"/>
        <w:ind w:firstLine="1004"/>
        <w:jc w:val="center"/>
        <w:rPr>
          <w:rFonts w:hint="eastAsia" w:asciiTheme="minorEastAsia" w:hAnsiTheme="minorEastAsia" w:eastAsiaTheme="minorEastAsia" w:cstheme="minorEastAsia"/>
          <w:b/>
          <w:bCs/>
          <w:sz w:val="50"/>
          <w:szCs w:val="50"/>
        </w:rPr>
      </w:pPr>
    </w:p>
    <w:p>
      <w:pPr>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val="0"/>
          <w:sz w:val="36"/>
          <w:szCs w:val="36"/>
          <w:lang w:eastAsia="zh-CN"/>
        </w:rPr>
        <w:t>头屯河区交警大队食堂配送供应商招标项目</w:t>
      </w:r>
    </w:p>
    <w:p>
      <w:pPr>
        <w:spacing w:line="360" w:lineRule="auto"/>
        <w:ind w:firstLine="880"/>
        <w:jc w:val="center"/>
        <w:rPr>
          <w:rFonts w:hint="eastAsia" w:asciiTheme="minorEastAsia" w:hAnsiTheme="minorEastAsia" w:eastAsiaTheme="minorEastAsia" w:cstheme="minorEastAsia"/>
          <w:sz w:val="44"/>
          <w:szCs w:val="44"/>
        </w:rPr>
      </w:pPr>
    </w:p>
    <w:p>
      <w:pPr>
        <w:spacing w:line="360" w:lineRule="auto"/>
        <w:ind w:firstLine="880"/>
        <w:jc w:val="center"/>
        <w:rPr>
          <w:rFonts w:hint="eastAsia" w:asciiTheme="minorEastAsia" w:hAnsiTheme="minorEastAsia" w:eastAsiaTheme="minorEastAsia" w:cstheme="minorEastAsia"/>
          <w:b/>
          <w:bCs/>
          <w:sz w:val="40"/>
          <w:szCs w:val="40"/>
          <w:lang w:val="en-US" w:eastAsia="zh-CN"/>
        </w:rPr>
      </w:pPr>
    </w:p>
    <w:p>
      <w:pPr>
        <w:spacing w:line="360" w:lineRule="auto"/>
        <w:ind w:firstLine="880"/>
        <w:jc w:val="center"/>
        <w:rPr>
          <w:rFonts w:hint="eastAsia" w:asciiTheme="minorEastAsia" w:hAnsiTheme="minorEastAsia" w:eastAsiaTheme="minorEastAsia" w:cstheme="minorEastAsia"/>
          <w:sz w:val="44"/>
          <w:szCs w:val="44"/>
        </w:rPr>
      </w:pPr>
    </w:p>
    <w:p>
      <w:pPr>
        <w:spacing w:line="360" w:lineRule="auto"/>
        <w:jc w:val="center"/>
        <w:rPr>
          <w:rFonts w:hint="eastAsia" w:asciiTheme="minorEastAsia" w:hAnsiTheme="minorEastAsia" w:eastAsiaTheme="minorEastAsia" w:cstheme="minorEastAsia"/>
          <w:sz w:val="100"/>
          <w:szCs w:val="100"/>
          <w:highlight w:val="none"/>
        </w:rPr>
      </w:pPr>
      <w:r>
        <w:rPr>
          <w:rFonts w:hint="eastAsia" w:asciiTheme="minorEastAsia" w:hAnsiTheme="minorEastAsia" w:eastAsiaTheme="minorEastAsia" w:cstheme="minorEastAsia"/>
          <w:sz w:val="100"/>
          <w:szCs w:val="100"/>
          <w:highlight w:val="none"/>
        </w:rPr>
        <w:t>招标文件</w:t>
      </w:r>
    </w:p>
    <w:p>
      <w:pPr>
        <w:spacing w:line="360" w:lineRule="auto"/>
        <w:jc w:val="center"/>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招标编号：</w:t>
      </w:r>
      <w:r>
        <w:rPr>
          <w:rFonts w:hint="eastAsia" w:asciiTheme="minorEastAsia" w:hAnsiTheme="minorEastAsia" w:eastAsiaTheme="minorEastAsia" w:cstheme="minorEastAsia"/>
          <w:b/>
          <w:bCs/>
          <w:sz w:val="32"/>
          <w:szCs w:val="32"/>
          <w:highlight w:val="none"/>
          <w:lang w:eastAsia="zh-CN"/>
        </w:rPr>
        <w:t>ZBB-2021-XGCG-093（20212155）</w:t>
      </w:r>
    </w:p>
    <w:p>
      <w:pPr>
        <w:spacing w:line="360" w:lineRule="auto"/>
        <w:ind w:firstLine="602"/>
        <w:rPr>
          <w:rFonts w:hint="eastAsia" w:asciiTheme="minorEastAsia" w:hAnsiTheme="minorEastAsia" w:eastAsiaTheme="minorEastAsia" w:cstheme="minorEastAsia"/>
          <w:b/>
          <w:bCs/>
          <w:sz w:val="30"/>
          <w:szCs w:val="30"/>
        </w:rPr>
      </w:pPr>
    </w:p>
    <w:p>
      <w:pPr>
        <w:spacing w:line="360" w:lineRule="auto"/>
        <w:rPr>
          <w:rFonts w:hint="eastAsia" w:asciiTheme="minorEastAsia" w:hAnsiTheme="minorEastAsia" w:eastAsiaTheme="minorEastAsia" w:cstheme="minorEastAsia"/>
          <w:sz w:val="32"/>
          <w:szCs w:val="32"/>
        </w:rPr>
      </w:pPr>
    </w:p>
    <w:p>
      <w:pPr>
        <w:spacing w:line="360" w:lineRule="auto"/>
        <w:rPr>
          <w:rFonts w:hint="eastAsia" w:asciiTheme="minorEastAsia" w:hAnsiTheme="minorEastAsia" w:eastAsiaTheme="minorEastAsia" w:cstheme="minorEastAsia"/>
          <w:sz w:val="32"/>
          <w:szCs w:val="32"/>
        </w:rPr>
      </w:pPr>
    </w:p>
    <w:p>
      <w:pPr>
        <w:spacing w:line="360" w:lineRule="auto"/>
        <w:rPr>
          <w:rFonts w:hint="eastAsia" w:asciiTheme="minorEastAsia" w:hAnsiTheme="minorEastAsia" w:eastAsiaTheme="minorEastAsia" w:cstheme="minorEastAsia"/>
          <w:sz w:val="32"/>
          <w:szCs w:val="32"/>
        </w:rPr>
      </w:pPr>
    </w:p>
    <w:p>
      <w:pPr>
        <w:spacing w:line="360" w:lineRule="auto"/>
        <w:ind w:left="1063" w:hanging="1063" w:hangingChars="378"/>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28"/>
          <w:szCs w:val="28"/>
        </w:rPr>
        <w:t>招标人：</w:t>
      </w:r>
      <w:r>
        <w:rPr>
          <w:rFonts w:hint="eastAsia" w:asciiTheme="minorEastAsia" w:hAnsiTheme="minorEastAsia" w:eastAsiaTheme="minorEastAsia" w:cstheme="minorEastAsia"/>
          <w:b/>
          <w:bCs/>
          <w:sz w:val="28"/>
          <w:szCs w:val="28"/>
          <w:lang w:eastAsia="zh-CN"/>
        </w:rPr>
        <w:t>中共乌鲁木齐经济技术开发区（乌鲁木齐市头屯河区）委员会政法委员会</w:t>
      </w:r>
    </w:p>
    <w:p>
      <w:pPr>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8"/>
          <w:szCs w:val="28"/>
        </w:rPr>
        <w:t>招标代理：新疆建投项目管理咨询有限公司</w:t>
      </w:r>
    </w:p>
    <w:p>
      <w:pPr>
        <w:spacing w:line="360" w:lineRule="auto"/>
        <w:rPr>
          <w:rFonts w:hint="eastAsia" w:asciiTheme="minorEastAsia" w:hAnsiTheme="minorEastAsia" w:eastAsiaTheme="minorEastAsia" w:cstheme="minorEastAsia"/>
          <w:sz w:val="32"/>
          <w:szCs w:val="32"/>
        </w:rPr>
      </w:pPr>
    </w:p>
    <w:p>
      <w:pPr>
        <w:spacing w:line="360" w:lineRule="auto"/>
        <w:ind w:firstLine="562"/>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二〇二一年</w:t>
      </w:r>
      <w:r>
        <w:rPr>
          <w:rFonts w:hint="eastAsia" w:asciiTheme="minorEastAsia" w:hAnsiTheme="minorEastAsia" w:eastAsiaTheme="minorEastAsia" w:cstheme="minorEastAsia"/>
          <w:b/>
          <w:bCs/>
          <w:sz w:val="28"/>
          <w:szCs w:val="28"/>
          <w:lang w:val="en-US" w:eastAsia="zh-CN"/>
        </w:rPr>
        <w:t>十二</w:t>
      </w:r>
      <w:r>
        <w:rPr>
          <w:rFonts w:hint="eastAsia" w:asciiTheme="minorEastAsia" w:hAnsiTheme="minorEastAsia" w:eastAsiaTheme="minorEastAsia" w:cstheme="minorEastAsia"/>
          <w:b/>
          <w:bCs/>
          <w:sz w:val="28"/>
          <w:szCs w:val="28"/>
        </w:rPr>
        <w:t>月</w:t>
      </w:r>
    </w:p>
    <w:p>
      <w:pPr>
        <w:widowControl/>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jc w:val="center"/>
        <w:rPr>
          <w:rFonts w:hint="eastAsia" w:asciiTheme="minorEastAsia" w:hAnsiTheme="minorEastAsia" w:eastAsiaTheme="minorEastAsia" w:cstheme="minorEastAsia"/>
          <w:sz w:val="28"/>
          <w:szCs w:val="24"/>
        </w:rPr>
      </w:pPr>
      <w:bookmarkStart w:id="0" w:name="_Toc10266_WPSOffice_Type1"/>
      <w:r>
        <w:rPr>
          <w:rFonts w:hint="eastAsia" w:asciiTheme="minorEastAsia" w:hAnsiTheme="minorEastAsia" w:eastAsiaTheme="minorEastAsia" w:cstheme="minorEastAsia"/>
          <w:sz w:val="28"/>
          <w:szCs w:val="24"/>
        </w:rPr>
        <w:t>目录</w:t>
      </w:r>
    </w:p>
    <w:p>
      <w:pPr>
        <w:pStyle w:val="115"/>
        <w:tabs>
          <w:tab w:val="right" w:leader="dot" w:pos="924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"_Toc9503_WPSOffice_Level1"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第一部分    投标须知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p>
      <w:pPr>
        <w:pStyle w:val="115"/>
        <w:tabs>
          <w:tab w:val="right" w:leader="dot" w:pos="924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"_Toc28651_WPSOffice_Level1"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第二部分    投标人须知前附表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p>
      <w:pPr>
        <w:pStyle w:val="115"/>
        <w:tabs>
          <w:tab w:val="right" w:leader="dot" w:pos="924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"_Toc18763_WPSOffice_Level1"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第三部分    采购合同</w:t>
      </w:r>
      <w:r>
        <w:rPr>
          <w:rFonts w:hint="eastAsia" w:asciiTheme="minorEastAsia" w:hAnsiTheme="minorEastAsia" w:eastAsiaTheme="minorEastAsia" w:cstheme="minorEastAsia"/>
          <w:sz w:val="24"/>
          <w:szCs w:val="24"/>
        </w:rPr>
        <w:tab/>
      </w:r>
      <w:bookmarkStart w:id="1" w:name="_Toc18763_WPSOffice_Level1Page"/>
      <w:r>
        <w:rPr>
          <w:rFonts w:hint="eastAsia" w:asciiTheme="minorEastAsia" w:hAnsiTheme="minorEastAsia" w:eastAsiaTheme="minorEastAsia" w:cstheme="minorEastAsia"/>
          <w:sz w:val="24"/>
          <w:szCs w:val="24"/>
        </w:rPr>
        <w:t>27</w:t>
      </w:r>
      <w:bookmarkEnd w:id="1"/>
      <w:r>
        <w:rPr>
          <w:rFonts w:hint="eastAsia" w:asciiTheme="minorEastAsia" w:hAnsiTheme="minorEastAsia" w:eastAsiaTheme="minorEastAsia" w:cstheme="minorEastAsia"/>
          <w:sz w:val="24"/>
          <w:szCs w:val="24"/>
        </w:rPr>
        <w:fldChar w:fldCharType="end"/>
      </w:r>
    </w:p>
    <w:p>
      <w:pPr>
        <w:pStyle w:val="115"/>
        <w:tabs>
          <w:tab w:val="right" w:leader="dot" w:pos="924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"_Toc6804_WPSOffice_Level1"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第四部分    项目要求</w:t>
      </w:r>
      <w:r>
        <w:rPr>
          <w:rFonts w:hint="eastAsia" w:asciiTheme="minorEastAsia" w:hAnsiTheme="minorEastAsia" w:eastAsiaTheme="minorEastAsia" w:cstheme="minorEastAsia"/>
          <w:sz w:val="24"/>
          <w:szCs w:val="24"/>
        </w:rPr>
        <w:tab/>
      </w:r>
      <w:bookmarkStart w:id="2" w:name="_Toc6804_WPSOffice_Level1Page"/>
      <w:r>
        <w:rPr>
          <w:rFonts w:hint="eastAsia" w:asciiTheme="minorEastAsia" w:hAnsiTheme="minorEastAsia" w:eastAsiaTheme="minorEastAsia" w:cstheme="minorEastAsia"/>
          <w:sz w:val="24"/>
          <w:szCs w:val="24"/>
        </w:rPr>
        <w:t>40</w:t>
      </w:r>
      <w:bookmarkEnd w:id="2"/>
      <w:r>
        <w:rPr>
          <w:rFonts w:hint="eastAsia" w:asciiTheme="minorEastAsia" w:hAnsiTheme="minorEastAsia" w:eastAsiaTheme="minorEastAsia" w:cstheme="minorEastAsia"/>
          <w:sz w:val="24"/>
          <w:szCs w:val="24"/>
        </w:rPr>
        <w:fldChar w:fldCharType="end"/>
      </w:r>
    </w:p>
    <w:p>
      <w:pPr>
        <w:pStyle w:val="115"/>
        <w:tabs>
          <w:tab w:val="right" w:leader="dot" w:pos="9240"/>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"_Toc11890_WPSOffice_Level1"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第五部分    附　件</w:t>
      </w:r>
      <w:r>
        <w:rPr>
          <w:rFonts w:hint="eastAsia" w:asciiTheme="minorEastAsia" w:hAnsiTheme="minorEastAsia" w:eastAsiaTheme="minorEastAsia" w:cstheme="minorEastAsia"/>
          <w:sz w:val="24"/>
          <w:szCs w:val="24"/>
        </w:rPr>
        <w:tab/>
      </w:r>
      <w:bookmarkStart w:id="3" w:name="_Toc11890_WPSOffice_Level1Page"/>
      <w:r>
        <w:rPr>
          <w:rFonts w:hint="eastAsia" w:asciiTheme="minorEastAsia" w:hAnsiTheme="minorEastAsia" w:eastAsiaTheme="minorEastAsia" w:cstheme="minorEastAsia"/>
          <w:sz w:val="24"/>
          <w:szCs w:val="24"/>
        </w:rPr>
        <w:t>86</w:t>
      </w:r>
      <w:bookmarkEnd w:id="3"/>
      <w:r>
        <w:rPr>
          <w:rFonts w:hint="eastAsia" w:asciiTheme="minorEastAsia" w:hAnsiTheme="minorEastAsia" w:eastAsiaTheme="minorEastAsia" w:cstheme="minorEastAsia"/>
          <w:sz w:val="24"/>
          <w:szCs w:val="24"/>
        </w:rPr>
        <w:fldChar w:fldCharType="end"/>
      </w:r>
    </w:p>
    <w:bookmarkEnd w:id="0"/>
    <w:p>
      <w:pPr>
        <w:spacing w:line="360" w:lineRule="auto"/>
        <w:ind w:firstLine="562"/>
        <w:jc w:val="center"/>
        <w:rPr>
          <w:rFonts w:hint="eastAsia" w:asciiTheme="minorEastAsia" w:hAnsiTheme="minorEastAsia" w:eastAsiaTheme="minorEastAsia" w:cstheme="minorEastAsia"/>
          <w:sz w:val="32"/>
          <w:szCs w:val="32"/>
        </w:rPr>
      </w:pP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30"/>
          <w:szCs w:val="30"/>
        </w:rPr>
        <w:br w:type="page"/>
      </w:r>
      <w:r>
        <w:rPr>
          <w:rFonts w:hint="eastAsia" w:asciiTheme="minorEastAsia" w:hAnsiTheme="minorEastAsia" w:eastAsiaTheme="minorEastAsia" w:cstheme="minorEastAsia"/>
          <w:b/>
          <w:bCs/>
          <w:sz w:val="36"/>
          <w:szCs w:val="36"/>
        </w:rPr>
        <w:t>第一部分 投标须知</w:t>
      </w:r>
    </w:p>
    <w:p>
      <w:pPr>
        <w:spacing w:line="360" w:lineRule="auto"/>
        <w:jc w:val="center"/>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一、招标公告</w:t>
      </w:r>
    </w:p>
    <w:p>
      <w:pPr>
        <w:spacing w:line="360" w:lineRule="auto"/>
        <w:ind w:right="-36" w:rightChars="-1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新疆建投项目管理咨询有限公司</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u w:val="single"/>
          <w:lang w:eastAsia="zh-CN"/>
        </w:rPr>
        <w:t>中共乌鲁木齐经济技术开发区（乌鲁木齐市头屯河区）委员会政法委员会</w:t>
      </w:r>
      <w:r>
        <w:rPr>
          <w:rFonts w:hint="eastAsia" w:asciiTheme="minorEastAsia" w:hAnsiTheme="minorEastAsia" w:eastAsiaTheme="minorEastAsia" w:cstheme="minorEastAsia"/>
          <w:sz w:val="24"/>
          <w:szCs w:val="24"/>
        </w:rPr>
        <w:t>的委托，对</w:t>
      </w:r>
      <w:r>
        <w:rPr>
          <w:rFonts w:hint="eastAsia" w:asciiTheme="minorEastAsia" w:hAnsiTheme="minorEastAsia" w:eastAsiaTheme="minorEastAsia" w:cstheme="minorEastAsia"/>
          <w:sz w:val="24"/>
          <w:szCs w:val="24"/>
          <w:u w:val="single"/>
          <w:lang w:eastAsia="zh-CN"/>
        </w:rPr>
        <w:t>头屯河区交警大队食堂配送供应商招标项目</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公开招标</w:t>
      </w:r>
      <w:r>
        <w:rPr>
          <w:rFonts w:hint="eastAsia" w:asciiTheme="minorEastAsia" w:hAnsiTheme="minorEastAsia" w:eastAsiaTheme="minorEastAsia" w:cstheme="minorEastAsia"/>
          <w:sz w:val="24"/>
          <w:szCs w:val="24"/>
        </w:rPr>
        <w:t>，请有意参加本次招标的投标人前来</w:t>
      </w:r>
      <w:r>
        <w:rPr>
          <w:rFonts w:hint="eastAsia" w:asciiTheme="minorEastAsia" w:hAnsiTheme="minorEastAsia" w:eastAsiaTheme="minorEastAsia" w:cstheme="minorEastAsia"/>
          <w:sz w:val="24"/>
          <w:szCs w:val="24"/>
          <w:u w:val="single"/>
        </w:rPr>
        <w:t>新疆建投项目管理咨询有限公司</w:t>
      </w:r>
      <w:r>
        <w:rPr>
          <w:rFonts w:hint="eastAsia" w:asciiTheme="minorEastAsia" w:hAnsiTheme="minorEastAsia" w:eastAsiaTheme="minorEastAsia" w:cstheme="minorEastAsia"/>
          <w:sz w:val="24"/>
        </w:rPr>
        <w:t>获取招标文件</w:t>
      </w:r>
      <w:r>
        <w:rPr>
          <w:rFonts w:hint="eastAsia" w:asciiTheme="minorEastAsia" w:hAnsiTheme="minorEastAsia" w:eastAsiaTheme="minorEastAsia" w:cstheme="minorEastAsia"/>
          <w:sz w:val="24"/>
          <w:szCs w:val="24"/>
        </w:rPr>
        <w:t>，参与投标。</w:t>
      </w:r>
    </w:p>
    <w:p>
      <w:pPr>
        <w:numPr>
          <w:ilvl w:val="0"/>
          <w:numId w:val="3"/>
        </w:numPr>
        <w:spacing w:line="360" w:lineRule="auto"/>
        <w:ind w:right="-36" w:rightChars="-1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招标人：</w:t>
      </w:r>
      <w:r>
        <w:rPr>
          <w:rFonts w:hint="eastAsia" w:asciiTheme="minorEastAsia" w:hAnsiTheme="minorEastAsia" w:eastAsiaTheme="minorEastAsia" w:cstheme="minorEastAsia"/>
          <w:sz w:val="24"/>
          <w:szCs w:val="24"/>
          <w:lang w:eastAsia="zh-CN"/>
        </w:rPr>
        <w:t>中共乌鲁木齐经济技术开发区（乌鲁木齐市头屯河区）委员会政法委员会</w:t>
      </w:r>
    </w:p>
    <w:p>
      <w:pPr>
        <w:numPr>
          <w:ilvl w:val="0"/>
          <w:numId w:val="3"/>
        </w:numPr>
        <w:spacing w:line="360" w:lineRule="auto"/>
        <w:ind w:right="-153" w:rightChars="-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招标代理机构：</w:t>
      </w:r>
      <w:r>
        <w:rPr>
          <w:rFonts w:hint="eastAsia" w:asciiTheme="minorEastAsia" w:hAnsiTheme="minorEastAsia" w:eastAsiaTheme="minorEastAsia" w:cstheme="minorEastAsia"/>
          <w:sz w:val="24"/>
          <w:szCs w:val="24"/>
        </w:rPr>
        <w:t>新疆建投项目管理咨询有限公司</w:t>
      </w:r>
    </w:p>
    <w:p>
      <w:pPr>
        <w:spacing w:line="360" w:lineRule="auto"/>
        <w:ind w:left="1771" w:right="399" w:rightChars="190" w:hanging="1771" w:hangingChars="735"/>
        <w:outlineLvl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rPr>
        <w:t>三、项</w:t>
      </w:r>
      <w:r>
        <w:rPr>
          <w:rFonts w:hint="eastAsia" w:asciiTheme="minorEastAsia" w:hAnsiTheme="minorEastAsia" w:eastAsiaTheme="minorEastAsia" w:cstheme="minorEastAsia"/>
          <w:b/>
          <w:bCs/>
          <w:sz w:val="24"/>
          <w:szCs w:val="24"/>
          <w:highlight w:val="none"/>
        </w:rPr>
        <w:t>目名称：</w:t>
      </w:r>
      <w:r>
        <w:rPr>
          <w:rFonts w:hint="eastAsia" w:asciiTheme="minorEastAsia" w:hAnsiTheme="minorEastAsia" w:eastAsiaTheme="minorEastAsia" w:cstheme="minorEastAsia"/>
          <w:sz w:val="24"/>
          <w:szCs w:val="24"/>
          <w:highlight w:val="none"/>
          <w:lang w:eastAsia="zh-CN"/>
        </w:rPr>
        <w:t>头屯河区交警大队食堂配送供应商招标项目</w:t>
      </w:r>
    </w:p>
    <w:p>
      <w:pPr>
        <w:spacing w:line="360" w:lineRule="auto"/>
        <w:ind w:right="399" w:rightChars="190"/>
        <w:outlineLvl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四、招标编号：</w:t>
      </w:r>
      <w:r>
        <w:rPr>
          <w:rFonts w:hint="eastAsia" w:asciiTheme="minorEastAsia" w:hAnsiTheme="minorEastAsia" w:eastAsiaTheme="minorEastAsia" w:cstheme="minorEastAsia"/>
          <w:sz w:val="24"/>
          <w:szCs w:val="24"/>
          <w:highlight w:val="none"/>
          <w:lang w:eastAsia="zh-CN"/>
        </w:rPr>
        <w:t>ZBB-2021-XGCG-093（20212155）</w:t>
      </w:r>
    </w:p>
    <w:p>
      <w:pPr>
        <w:spacing w:line="360" w:lineRule="auto"/>
        <w:ind w:right="-36" w:rightChars="-17"/>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五、服务期限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本项目服务期限为</w:t>
      </w:r>
      <w:r>
        <w:rPr>
          <w:rFonts w:hint="eastAsia" w:asciiTheme="minorEastAsia" w:hAnsiTheme="minorEastAsia" w:eastAsiaTheme="minorEastAsia" w:cstheme="minorEastAsia"/>
          <w:sz w:val="24"/>
        </w:rPr>
        <w:t>2021年至202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年，具体以合同签订日期为准。</w:t>
      </w:r>
    </w:p>
    <w:p>
      <w:pPr>
        <w:spacing w:line="360" w:lineRule="auto"/>
        <w:ind w:right="399" w:rightChars="19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六、采购预算及招标内容：</w:t>
      </w:r>
    </w:p>
    <w:p>
      <w:pPr>
        <w:spacing w:line="360" w:lineRule="auto"/>
        <w:ind w:right="399" w:rightChars="190"/>
        <w:outlineLvl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采购预算：308万元；</w:t>
      </w:r>
    </w:p>
    <w:p>
      <w:pPr>
        <w:spacing w:line="360" w:lineRule="auto"/>
        <w:ind w:right="399" w:rightChars="19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rPr>
        <w:t>（2）</w:t>
      </w:r>
      <w:r>
        <w:rPr>
          <w:rFonts w:hint="eastAsia" w:asciiTheme="minorEastAsia" w:hAnsiTheme="minorEastAsia" w:eastAsiaTheme="minorEastAsia" w:cstheme="minorEastAsia"/>
          <w:b w:val="0"/>
          <w:bCs w:val="0"/>
          <w:kern w:val="2"/>
          <w:sz w:val="24"/>
          <w:szCs w:val="24"/>
        </w:rPr>
        <w:t>招标内容：</w:t>
      </w:r>
      <w:r>
        <w:rPr>
          <w:rFonts w:hint="eastAsia" w:asciiTheme="minorEastAsia" w:hAnsiTheme="minorEastAsia" w:eastAsiaTheme="minorEastAsia" w:cstheme="minorEastAsia"/>
          <w:kern w:val="2"/>
          <w:sz w:val="24"/>
          <w:szCs w:val="24"/>
          <w:u w:val="none"/>
          <w:lang w:eastAsia="zh-CN"/>
        </w:rPr>
        <w:t>头屯河区交警大队食堂配送供应商招标，</w:t>
      </w:r>
      <w:r>
        <w:rPr>
          <w:rFonts w:hint="eastAsia" w:asciiTheme="minorEastAsia" w:hAnsiTheme="minorEastAsia" w:eastAsiaTheme="minorEastAsia" w:cstheme="minorEastAsia"/>
          <w:kern w:val="2"/>
          <w:sz w:val="24"/>
          <w:szCs w:val="24"/>
          <w:u w:val="none"/>
          <w:lang w:val="en-US" w:eastAsia="zh-CN"/>
        </w:rPr>
        <w:t>供货范围包括米面油、牛羊肉、禽肉、鸡蛋、蔬菜、水果、副食品等食堂食材的供应及配送服务。</w:t>
      </w:r>
    </w:p>
    <w:p>
      <w:pPr>
        <w:spacing w:line="360" w:lineRule="auto"/>
        <w:ind w:right="399" w:rightChars="19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七、投标人资格要求：</w:t>
      </w:r>
    </w:p>
    <w:p>
      <w:pPr>
        <w:spacing w:line="360" w:lineRule="auto"/>
        <w:ind w:right="399" w:rightChars="19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rPr>
        <w:t>符合《中华人民共和国政府采购法》第22条的相关规定，在中华人民共和国境内注册，投标</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必须具有独立的法人资格，具有有效的工商营业执照（经营范围须包含</w:t>
      </w:r>
      <w:r>
        <w:rPr>
          <w:rFonts w:hint="eastAsia" w:asciiTheme="minorEastAsia" w:hAnsiTheme="minorEastAsia" w:eastAsiaTheme="minorEastAsia" w:cstheme="minorEastAsia"/>
          <w:sz w:val="24"/>
          <w:lang w:val="en-US" w:eastAsia="zh-CN"/>
        </w:rPr>
        <w:t>粮油副食品供应配送等相关</w:t>
      </w:r>
      <w:r>
        <w:rPr>
          <w:rFonts w:hint="eastAsia" w:asciiTheme="minorEastAsia" w:hAnsiTheme="minorEastAsia" w:eastAsiaTheme="minorEastAsia" w:cstheme="minorEastAsia"/>
          <w:sz w:val="24"/>
        </w:rPr>
        <w:t>内容）；</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（2）具有有效的食品经营许可证或生产许可证或食品流通许可证；</w:t>
      </w:r>
    </w:p>
    <w:p>
      <w:pPr>
        <w:spacing w:line="360" w:lineRule="auto"/>
        <w:ind w:right="399" w:rightChars="19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（3）须提供肉制品养殖场的《动物防疫条件合格证》或近期的检疫检验合格证明；</w:t>
      </w:r>
    </w:p>
    <w:p>
      <w:pPr>
        <w:spacing w:line="360" w:lineRule="auto"/>
        <w:ind w:right="399" w:rightChars="19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kern w:val="2"/>
          <w:sz w:val="24"/>
          <w:szCs w:val="24"/>
          <w:highlight w:val="none"/>
          <w:lang w:val="en-US" w:eastAsia="zh-CN"/>
        </w:rPr>
        <w:t>4</w:t>
      </w:r>
      <w:r>
        <w:rPr>
          <w:rFonts w:hint="eastAsia" w:asciiTheme="minorEastAsia" w:hAnsiTheme="minorEastAsia" w:eastAsiaTheme="minorEastAsia" w:cstheme="minorEastAsia"/>
          <w:kern w:val="2"/>
          <w:sz w:val="24"/>
          <w:szCs w:val="24"/>
          <w:highlight w:val="none"/>
          <w:lang w:eastAsia="zh-CN"/>
        </w:rPr>
        <w:t>）投标人近三年（2018年1月1日至今）须具备至少1项副食品供货业绩（须提供供货合同或中标通知书）</w:t>
      </w:r>
      <w:r>
        <w:rPr>
          <w:rFonts w:hint="eastAsia" w:asciiTheme="minorEastAsia" w:hAnsiTheme="minorEastAsia" w:eastAsiaTheme="minorEastAsia" w:cstheme="minorEastAsia"/>
          <w:kern w:val="2"/>
          <w:sz w:val="24"/>
          <w:szCs w:val="24"/>
          <w:highlight w:val="none"/>
        </w:rPr>
        <w:t>；</w:t>
      </w:r>
    </w:p>
    <w:p>
      <w:pPr>
        <w:spacing w:line="360" w:lineRule="auto"/>
        <w:ind w:right="399" w:rightChars="19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rPr>
        <w:t>在“信用中国”</w:t>
      </w:r>
      <w:r>
        <w:rPr>
          <w:rFonts w:hint="eastAsia" w:asciiTheme="minorEastAsia" w:hAnsiTheme="minorEastAsia" w:eastAsiaTheme="minorEastAsia" w:cstheme="minorEastAsia"/>
          <w:sz w:val="24"/>
          <w:lang w:val="en-US" w:eastAsia="zh-CN"/>
        </w:rPr>
        <w:t>和</w:t>
      </w:r>
      <w:r>
        <w:rPr>
          <w:rFonts w:hint="eastAsia" w:asciiTheme="minorEastAsia" w:hAnsiTheme="minorEastAsia" w:eastAsiaTheme="minorEastAsia" w:cstheme="minorEastAsia"/>
          <w:sz w:val="24"/>
        </w:rPr>
        <w:t>“中国政府采购网”上未被列入失信被执行人、重大税收违法案件当事人名单以及政府采购严重违法失信行为记录名单的投标人；</w:t>
      </w:r>
    </w:p>
    <w:p>
      <w:pPr>
        <w:spacing w:line="360" w:lineRule="auto"/>
        <w:ind w:right="399" w:rightChars="19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val="en-US" w:eastAsia="zh-CN"/>
        </w:rPr>
        <w:t>本项目</w:t>
      </w:r>
      <w:r>
        <w:rPr>
          <w:rFonts w:hint="eastAsia" w:asciiTheme="minorEastAsia" w:hAnsiTheme="minorEastAsia" w:eastAsiaTheme="minorEastAsia" w:cstheme="minorEastAsia"/>
          <w:sz w:val="24"/>
        </w:rPr>
        <w:t>不接受联合体投标。</w:t>
      </w:r>
    </w:p>
    <w:p>
      <w:pPr>
        <w:spacing w:line="360" w:lineRule="auto"/>
        <w:ind w:right="25" w:rightChars="1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八、招标文件的获取：</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（1）符合上述资格要求的企业请于</w:t>
      </w:r>
      <w:r>
        <w:rPr>
          <w:rFonts w:hint="eastAsia" w:asciiTheme="minorEastAsia" w:hAnsiTheme="minorEastAsia" w:eastAsiaTheme="minorEastAsia" w:cstheme="minorEastAsia"/>
          <w:sz w:val="24"/>
          <w:highlight w:val="none"/>
        </w:rPr>
        <w:t>2021年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日至2021年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rPr>
        <w:t>（北京时间，上午10:30-13:</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0，下午15:30-19:00，法定节假日除外）获取招标文件。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（2）招标文件售价：200.00 元/份，招标文件逾期不售，售后不退。</w:t>
      </w:r>
    </w:p>
    <w:p>
      <w:pPr>
        <w:spacing w:line="360" w:lineRule="auto"/>
        <w:ind w:right="399" w:rightChars="190"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投标保证金：</w:t>
      </w:r>
      <w:r>
        <w:rPr>
          <w:rFonts w:hint="eastAsia" w:asciiTheme="minorEastAsia" w:hAnsiTheme="minorEastAsia" w:eastAsiaTheme="minorEastAsia" w:cstheme="minorEastAsia"/>
          <w:b/>
          <w:bCs/>
          <w:sz w:val="24"/>
          <w:lang w:val="en-US" w:eastAsia="zh-CN"/>
        </w:rPr>
        <w:t>3</w:t>
      </w:r>
      <w:r>
        <w:rPr>
          <w:rFonts w:hint="eastAsia" w:asciiTheme="minorEastAsia" w:hAnsiTheme="minorEastAsia" w:eastAsiaTheme="minorEastAsia" w:cstheme="minorEastAsia"/>
          <w:b/>
          <w:sz w:val="24"/>
        </w:rPr>
        <w:t>0000.00（</w:t>
      </w:r>
      <w:r>
        <w:rPr>
          <w:rFonts w:hint="eastAsia" w:asciiTheme="minorEastAsia" w:hAnsiTheme="minorEastAsia" w:eastAsiaTheme="minorEastAsia" w:cstheme="minorEastAsia"/>
          <w:b/>
          <w:sz w:val="24"/>
          <w:szCs w:val="18"/>
          <w:lang w:val="en-US" w:eastAsia="zh-CN"/>
        </w:rPr>
        <w:t>叁</w:t>
      </w:r>
      <w:r>
        <w:rPr>
          <w:rFonts w:hint="eastAsia" w:asciiTheme="minorEastAsia" w:hAnsiTheme="minorEastAsia" w:eastAsiaTheme="minorEastAsia" w:cstheme="minorEastAsia"/>
          <w:b/>
          <w:sz w:val="24"/>
          <w:szCs w:val="18"/>
        </w:rPr>
        <w:t>万元整</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szCs w:val="24"/>
        </w:rPr>
        <w:t>（以公对公电汇方式缴纳）</w:t>
      </w:r>
    </w:p>
    <w:p>
      <w:pPr>
        <w:spacing w:line="300" w:lineRule="auto"/>
        <w:ind w:right="399" w:rightChars="190"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rPr>
        <w:t>备注：</w:t>
      </w:r>
      <w:r>
        <w:rPr>
          <w:rFonts w:hint="eastAsia" w:asciiTheme="minorEastAsia" w:hAnsiTheme="minorEastAsia" w:eastAsiaTheme="minorEastAsia" w:cstheme="minorEastAsia"/>
          <w:b/>
          <w:kern w:val="0"/>
          <w:sz w:val="24"/>
        </w:rPr>
        <w:t>获取招标文件所须提交的资料：</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lang w:val="en-US" w:eastAsia="zh-CN"/>
        </w:rPr>
        <w:t>1</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投标单位出具的法定代表人身份证明加盖公章及法人授权委托书原件；</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lang w:val="en-US" w:eastAsia="zh-CN"/>
        </w:rPr>
        <w:t>2</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营业执照</w:t>
      </w:r>
      <w:r>
        <w:rPr>
          <w:rFonts w:hint="eastAsia" w:asciiTheme="minorEastAsia" w:hAnsiTheme="minorEastAsia" w:eastAsiaTheme="minorEastAsia" w:cstheme="minorEastAsia"/>
          <w:b/>
          <w:kern w:val="0"/>
          <w:sz w:val="24"/>
          <w:lang w:val="en-US" w:eastAsia="zh-CN"/>
        </w:rPr>
        <w:t>原件及</w:t>
      </w:r>
      <w:r>
        <w:rPr>
          <w:rFonts w:hint="eastAsia" w:asciiTheme="minorEastAsia" w:hAnsiTheme="minorEastAsia" w:eastAsiaTheme="minorEastAsia" w:cstheme="minorEastAsia"/>
          <w:b/>
          <w:kern w:val="0"/>
          <w:sz w:val="24"/>
        </w:rPr>
        <w:t>复印件（加盖公章）；</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lang w:val="en-US" w:eastAsia="zh-CN"/>
        </w:rPr>
        <w:t>3</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食</w:t>
      </w:r>
      <w:r>
        <w:rPr>
          <w:rFonts w:hint="eastAsia" w:asciiTheme="minorEastAsia" w:hAnsiTheme="minorEastAsia" w:eastAsiaTheme="minorEastAsia" w:cstheme="minorEastAsia"/>
          <w:b/>
          <w:kern w:val="0"/>
          <w:sz w:val="24"/>
          <w:highlight w:val="none"/>
        </w:rPr>
        <w:t>品经营许可证或生产许可证（或食品流通许可证）</w:t>
      </w:r>
      <w:r>
        <w:rPr>
          <w:rFonts w:hint="eastAsia" w:asciiTheme="minorEastAsia" w:hAnsiTheme="minorEastAsia" w:eastAsiaTheme="minorEastAsia" w:cstheme="minorEastAsia"/>
          <w:b/>
          <w:kern w:val="0"/>
          <w:sz w:val="24"/>
          <w:highlight w:val="none"/>
          <w:lang w:val="en-US" w:eastAsia="zh-CN"/>
        </w:rPr>
        <w:t>原件</w:t>
      </w:r>
      <w:bookmarkStart w:id="4" w:name="OLE_LINK1"/>
      <w:r>
        <w:rPr>
          <w:rFonts w:hint="eastAsia" w:asciiTheme="minorEastAsia" w:hAnsiTheme="minorEastAsia" w:eastAsiaTheme="minorEastAsia" w:cstheme="minorEastAsia"/>
          <w:b/>
          <w:kern w:val="0"/>
          <w:sz w:val="24"/>
          <w:highlight w:val="none"/>
          <w:lang w:val="en-US" w:eastAsia="zh-CN"/>
        </w:rPr>
        <w:t>及</w:t>
      </w:r>
      <w:r>
        <w:rPr>
          <w:rFonts w:hint="eastAsia" w:asciiTheme="minorEastAsia" w:hAnsiTheme="minorEastAsia" w:eastAsiaTheme="minorEastAsia" w:cstheme="minorEastAsia"/>
          <w:b/>
          <w:kern w:val="0"/>
          <w:sz w:val="24"/>
          <w:highlight w:val="none"/>
        </w:rPr>
        <w:t>复印件（加盖公章）</w:t>
      </w:r>
      <w:bookmarkEnd w:id="4"/>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b/>
          <w:kern w:val="0"/>
          <w:sz w:val="24"/>
          <w:highlight w:val="none"/>
          <w:lang w:eastAsia="zh-CN"/>
        </w:rPr>
        <w:t>（</w:t>
      </w:r>
      <w:r>
        <w:rPr>
          <w:rFonts w:hint="eastAsia" w:asciiTheme="minorEastAsia" w:hAnsiTheme="minorEastAsia" w:eastAsiaTheme="minorEastAsia" w:cstheme="minorEastAsia"/>
          <w:b/>
          <w:kern w:val="0"/>
          <w:sz w:val="24"/>
          <w:highlight w:val="none"/>
          <w:lang w:val="en-US" w:eastAsia="zh-CN"/>
        </w:rPr>
        <w:t>4</w:t>
      </w:r>
      <w:r>
        <w:rPr>
          <w:rFonts w:hint="eastAsia" w:asciiTheme="minorEastAsia" w:hAnsiTheme="minorEastAsia" w:eastAsiaTheme="minorEastAsia" w:cstheme="minorEastAsia"/>
          <w:b/>
          <w:kern w:val="0"/>
          <w:sz w:val="24"/>
          <w:highlight w:val="none"/>
          <w:lang w:eastAsia="zh-CN"/>
        </w:rPr>
        <w:t>）</w:t>
      </w:r>
      <w:r>
        <w:rPr>
          <w:rFonts w:hint="eastAsia" w:asciiTheme="minorEastAsia" w:hAnsiTheme="minorEastAsia" w:eastAsiaTheme="minorEastAsia" w:cstheme="minorEastAsia"/>
          <w:b/>
          <w:kern w:val="0"/>
          <w:sz w:val="24"/>
          <w:highlight w:val="none"/>
        </w:rPr>
        <w:t>《动物防疫条件合格证》或近期的检疫检验合格证明复印件（加盖公章）</w:t>
      </w:r>
      <w:r>
        <w:rPr>
          <w:rFonts w:hint="eastAsia" w:asciiTheme="minorEastAsia" w:hAnsiTheme="minorEastAsia" w:eastAsiaTheme="minorEastAsia" w:cstheme="minorEastAsia"/>
          <w:b/>
          <w:kern w:val="0"/>
          <w:sz w:val="24"/>
          <w:highlight w:val="none"/>
          <w:lang w:eastAsia="zh-CN"/>
        </w:rPr>
        <w:t>；（</w:t>
      </w:r>
      <w:r>
        <w:rPr>
          <w:rFonts w:hint="eastAsia" w:asciiTheme="minorEastAsia" w:hAnsiTheme="minorEastAsia" w:eastAsiaTheme="minorEastAsia" w:cstheme="minorEastAsia"/>
          <w:b/>
          <w:kern w:val="0"/>
          <w:sz w:val="24"/>
          <w:highlight w:val="none"/>
          <w:lang w:val="en-US" w:eastAsia="zh-CN"/>
        </w:rPr>
        <w:t>5</w:t>
      </w:r>
      <w:r>
        <w:rPr>
          <w:rFonts w:hint="eastAsia" w:asciiTheme="minorEastAsia" w:hAnsiTheme="minorEastAsia" w:eastAsiaTheme="minorEastAsia" w:cstheme="minorEastAsia"/>
          <w:b/>
          <w:kern w:val="0"/>
          <w:sz w:val="24"/>
          <w:highlight w:val="none"/>
          <w:lang w:eastAsia="zh-CN"/>
        </w:rPr>
        <w:t>）近三年（2018年1月1日至今）副食品供货业绩</w:t>
      </w:r>
      <w:r>
        <w:rPr>
          <w:rFonts w:hint="eastAsia" w:asciiTheme="minorEastAsia" w:hAnsiTheme="minorEastAsia" w:eastAsiaTheme="minorEastAsia" w:cstheme="minorEastAsia"/>
          <w:b/>
          <w:kern w:val="0"/>
          <w:sz w:val="24"/>
          <w:highlight w:val="none"/>
          <w:lang w:val="en-US" w:eastAsia="zh-CN"/>
        </w:rPr>
        <w:t>原件及</w:t>
      </w:r>
      <w:r>
        <w:rPr>
          <w:rFonts w:hint="eastAsia" w:asciiTheme="minorEastAsia" w:hAnsiTheme="minorEastAsia" w:eastAsiaTheme="minorEastAsia" w:cstheme="minorEastAsia"/>
          <w:b/>
          <w:kern w:val="0"/>
          <w:sz w:val="24"/>
          <w:highlight w:val="none"/>
        </w:rPr>
        <w:t>复印件（加盖公章）</w:t>
      </w:r>
      <w:r>
        <w:rPr>
          <w:rFonts w:hint="eastAsia" w:asciiTheme="minorEastAsia" w:hAnsiTheme="minorEastAsia" w:eastAsiaTheme="minorEastAsia" w:cstheme="minorEastAsia"/>
          <w:b/>
          <w:sz w:val="24"/>
          <w:highlight w:val="none"/>
        </w:rPr>
        <w:t>。</w:t>
      </w:r>
    </w:p>
    <w:p>
      <w:pPr>
        <w:pStyle w:val="16"/>
        <w:rPr>
          <w:rFonts w:hint="eastAsia"/>
        </w:rPr>
      </w:pPr>
    </w:p>
    <w:p>
      <w:pPr>
        <w:spacing w:line="360" w:lineRule="auto"/>
        <w:ind w:right="399" w:rightChars="19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九、采购项目需要落实的落实政策</w:t>
      </w:r>
    </w:p>
    <w:p>
      <w:pPr>
        <w:spacing w:line="360" w:lineRule="auto"/>
        <w:ind w:right="399" w:rightChars="19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p>
    <w:p>
      <w:pPr>
        <w:spacing w:line="360" w:lineRule="auto"/>
        <w:ind w:right="399" w:rightChars="19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w:t>
      </w:r>
    </w:p>
    <w:p>
      <w:pPr>
        <w:spacing w:line="360" w:lineRule="auto"/>
        <w:ind w:right="399" w:rightChars="19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3、《财政部 民政部 中国残疾人联合会关于促进残疾人就业政府采购政策的通知》财库〔2017〕141号。</w:t>
      </w:r>
    </w:p>
    <w:p>
      <w:pPr>
        <w:spacing w:line="360" w:lineRule="auto"/>
        <w:ind w:right="399" w:rightChars="19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十、响应文件递交及开标时间地点：</w:t>
      </w:r>
    </w:p>
    <w:p>
      <w:pPr>
        <w:spacing w:line="360" w:lineRule="auto"/>
        <w:ind w:right="399" w:rightChars="19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rPr>
        <w:t>时间：</w:t>
      </w:r>
      <w:r>
        <w:rPr>
          <w:rFonts w:hint="eastAsia" w:asciiTheme="minorEastAsia" w:hAnsiTheme="minorEastAsia" w:eastAsiaTheme="minorEastAsia" w:cstheme="minorEastAsia"/>
          <w:bCs/>
          <w:sz w:val="24"/>
          <w:highlight w:val="none"/>
        </w:rPr>
        <w:t>2021年</w:t>
      </w:r>
      <w:r>
        <w:rPr>
          <w:rFonts w:hint="eastAsia" w:asciiTheme="minorEastAsia" w:hAnsiTheme="minorEastAsia" w:eastAsiaTheme="minorEastAsia" w:cstheme="minorEastAsia"/>
          <w:bCs/>
          <w:sz w:val="24"/>
          <w:highlight w:val="none"/>
          <w:lang w:val="en-US" w:eastAsia="zh-CN"/>
        </w:rPr>
        <w:t>12</w:t>
      </w:r>
      <w:r>
        <w:rPr>
          <w:rFonts w:hint="eastAsia" w:asciiTheme="minorEastAsia" w:hAnsiTheme="minorEastAsia" w:eastAsiaTheme="minorEastAsia" w:cstheme="minorEastAsia"/>
          <w:bCs/>
          <w:sz w:val="24"/>
          <w:highlight w:val="none"/>
        </w:rPr>
        <w:t>月</w:t>
      </w:r>
      <w:r>
        <w:rPr>
          <w:rFonts w:hint="eastAsia" w:asciiTheme="minorEastAsia" w:hAnsiTheme="minorEastAsia" w:eastAsiaTheme="minorEastAsia" w:cstheme="minorEastAsia"/>
          <w:bCs/>
          <w:sz w:val="24"/>
          <w:highlight w:val="none"/>
          <w:lang w:val="en-US" w:eastAsia="zh-CN"/>
        </w:rPr>
        <w:t>22</w:t>
      </w:r>
      <w:r>
        <w:rPr>
          <w:rFonts w:hint="eastAsia" w:asciiTheme="minorEastAsia" w:hAnsiTheme="minorEastAsia" w:eastAsiaTheme="minorEastAsia" w:cstheme="minorEastAsia"/>
          <w:bCs/>
          <w:sz w:val="24"/>
          <w:highlight w:val="none"/>
        </w:rPr>
        <w:t>日</w:t>
      </w:r>
      <w:r>
        <w:rPr>
          <w:rFonts w:hint="eastAsia" w:asciiTheme="minorEastAsia" w:hAnsiTheme="minorEastAsia" w:eastAsiaTheme="minorEastAsia" w:cstheme="minorEastAsia"/>
          <w:bCs/>
          <w:sz w:val="24"/>
          <w:highlight w:val="none"/>
          <w:lang w:val="en-US" w:eastAsia="zh-CN"/>
        </w:rPr>
        <w:t>下</w:t>
      </w:r>
      <w:r>
        <w:rPr>
          <w:rFonts w:hint="eastAsia" w:asciiTheme="minorEastAsia" w:hAnsiTheme="minorEastAsia" w:eastAsiaTheme="minorEastAsia" w:cstheme="minorEastAsia"/>
          <w:bCs/>
          <w:sz w:val="24"/>
          <w:highlight w:val="none"/>
        </w:rPr>
        <w:t>午1</w:t>
      </w: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rPr>
        <w:t>：00分（北京时间）</w:t>
      </w:r>
    </w:p>
    <w:p>
      <w:pPr>
        <w:spacing w:line="360" w:lineRule="auto"/>
        <w:ind w:right="399" w:rightChars="19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地点：</w:t>
      </w:r>
      <w:r>
        <w:rPr>
          <w:rFonts w:hint="eastAsia" w:asciiTheme="minorEastAsia" w:hAnsiTheme="minorEastAsia" w:eastAsiaTheme="minorEastAsia" w:cstheme="minorEastAsia"/>
          <w:b w:val="0"/>
          <w:bCs/>
          <w:sz w:val="24"/>
        </w:rPr>
        <w:t>乌鲁木齐经济技术开发区（头屯河区）维泰</w:t>
      </w:r>
      <w:r>
        <w:rPr>
          <w:rFonts w:hint="eastAsia" w:asciiTheme="minorEastAsia" w:hAnsiTheme="minorEastAsia" w:eastAsiaTheme="minorEastAsia" w:cstheme="minorEastAsia"/>
          <w:b w:val="0"/>
          <w:bCs/>
          <w:sz w:val="24"/>
          <w:highlight w:val="none"/>
        </w:rPr>
        <w:t>大厦1楼公共资源2厅</w:t>
      </w:r>
    </w:p>
    <w:p>
      <w:pPr>
        <w:spacing w:line="360" w:lineRule="auto"/>
        <w:ind w:right="399" w:rightChars="19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      招标代理机构联系人：</w:t>
      </w:r>
      <w:r>
        <w:rPr>
          <w:rFonts w:hint="eastAsia" w:asciiTheme="minorEastAsia" w:hAnsiTheme="minorEastAsia" w:eastAsiaTheme="minorEastAsia" w:cstheme="minorEastAsia"/>
          <w:sz w:val="24"/>
          <w:lang w:val="en-US" w:eastAsia="zh-CN"/>
        </w:rPr>
        <w:t>张杰</w:t>
      </w:r>
      <w:r>
        <w:rPr>
          <w:rFonts w:hint="eastAsia" w:asciiTheme="minorEastAsia" w:hAnsiTheme="minorEastAsia" w:eastAsiaTheme="minorEastAsia" w:cstheme="minorEastAsia"/>
          <w:sz w:val="24"/>
        </w:rPr>
        <w:t xml:space="preserve">      联系电话：0991-30750</w:t>
      </w:r>
      <w:r>
        <w:rPr>
          <w:rFonts w:hint="eastAsia" w:asciiTheme="minorEastAsia" w:hAnsiTheme="minorEastAsia" w:eastAsiaTheme="minorEastAsia" w:cstheme="minorEastAsia"/>
          <w:sz w:val="24"/>
          <w:lang w:val="en-US" w:eastAsia="zh-CN"/>
        </w:rPr>
        <w:t>59</w:t>
      </w:r>
    </w:p>
    <w:p>
      <w:pPr>
        <w:widowControl/>
        <w:spacing w:line="400" w:lineRule="exact"/>
        <w:jc w:val="left"/>
        <w:rPr>
          <w:rFonts w:hint="eastAsia" w:asciiTheme="minorEastAsia" w:hAnsiTheme="minorEastAsia" w:eastAsiaTheme="minorEastAsia" w:cstheme="minorEastAsia"/>
          <w:kern w:val="0"/>
          <w:sz w:val="24"/>
          <w:szCs w:val="21"/>
        </w:rPr>
      </w:pPr>
      <w:r>
        <w:rPr>
          <w:rFonts w:hint="eastAsia" w:asciiTheme="minorEastAsia" w:hAnsiTheme="minorEastAsia" w:eastAsiaTheme="minorEastAsia" w:cstheme="minorEastAsia"/>
          <w:b/>
          <w:sz w:val="24"/>
        </w:rPr>
        <w:t>十一、</w:t>
      </w:r>
      <w:r>
        <w:rPr>
          <w:rFonts w:hint="eastAsia" w:asciiTheme="minorEastAsia" w:hAnsiTheme="minorEastAsia" w:eastAsiaTheme="minorEastAsia" w:cstheme="minorEastAsia"/>
          <w:b/>
          <w:sz w:val="24"/>
          <w:szCs w:val="21"/>
        </w:rPr>
        <w:t>监督电话：</w:t>
      </w:r>
      <w:r>
        <w:rPr>
          <w:rFonts w:hint="eastAsia" w:asciiTheme="minorEastAsia" w:hAnsiTheme="minorEastAsia" w:eastAsiaTheme="minorEastAsia" w:cstheme="minorEastAsia"/>
          <w:sz w:val="24"/>
          <w:szCs w:val="21"/>
        </w:rPr>
        <w:t>乌鲁木齐经济技术开发区（头屯河区）政府采购中心、</w:t>
      </w:r>
      <w:r>
        <w:rPr>
          <w:rFonts w:hint="eastAsia" w:asciiTheme="minorEastAsia" w:hAnsiTheme="minorEastAsia" w:eastAsiaTheme="minorEastAsia" w:cstheme="minorEastAsia"/>
          <w:kern w:val="0"/>
          <w:sz w:val="24"/>
          <w:szCs w:val="21"/>
        </w:rPr>
        <w:t>采购办监督电话0991-3763363   0991-3775868</w:t>
      </w:r>
    </w:p>
    <w:p>
      <w:pPr>
        <w:spacing w:line="360" w:lineRule="auto"/>
        <w:ind w:left="1680" w:right="399" w:rightChars="190" w:hanging="1680" w:hangingChars="7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1"/>
        </w:rPr>
        <w:t>财政监督电话：0991-2822689</w:t>
      </w:r>
    </w:p>
    <w:p>
      <w:pPr>
        <w:spacing w:line="360" w:lineRule="auto"/>
        <w:ind w:left="1680" w:right="399" w:rightChars="190" w:hanging="1680" w:hangingChars="700"/>
        <w:rPr>
          <w:rFonts w:hint="eastAsia" w:asciiTheme="minorEastAsia" w:hAnsiTheme="minorEastAsia" w:eastAsiaTheme="minorEastAsia" w:cstheme="minorEastAsia"/>
          <w:sz w:val="24"/>
          <w:szCs w:val="24"/>
        </w:rPr>
      </w:pPr>
    </w:p>
    <w:p>
      <w:pPr>
        <w:spacing w:line="360" w:lineRule="auto"/>
        <w:ind w:right="-57" w:rightChars="-27" w:firstLine="4320" w:firstLineChars="18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新疆建投项目管理咨询有限公司</w:t>
      </w:r>
    </w:p>
    <w:p>
      <w:pPr>
        <w:spacing w:line="360" w:lineRule="auto"/>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2021年 </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日</w:t>
      </w: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bookmarkStart w:id="5" w:name="_Toc28651_WPSOffice_Level1"/>
      <w:r>
        <w:rPr>
          <w:rFonts w:hint="eastAsia" w:asciiTheme="minorEastAsia" w:hAnsiTheme="minorEastAsia" w:eastAsiaTheme="minorEastAsia" w:cstheme="minorEastAsia"/>
          <w:b/>
          <w:sz w:val="32"/>
          <w:szCs w:val="36"/>
        </w:rPr>
        <w:t>第二部分 投标人须知前附表</w:t>
      </w:r>
      <w:bookmarkEnd w:id="5"/>
    </w:p>
    <w:tbl>
      <w:tblPr>
        <w:tblStyle w:val="20"/>
        <w:tblW w:w="963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21"/>
        <w:gridCol w:w="8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blHeader/>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8118"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具体信息或数据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spacing w:line="420" w:lineRule="exact"/>
              <w:ind w:left="1200" w:hanging="1200" w:hangingChars="5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头屯河区交警大队食堂配送供应商招标项目</w:t>
            </w:r>
          </w:p>
          <w:p>
            <w:pPr>
              <w:spacing w:line="420" w:lineRule="exact"/>
              <w:ind w:left="1200" w:hanging="1200" w:hanging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r>
              <w:rPr>
                <w:rFonts w:hint="eastAsia" w:asciiTheme="minorEastAsia" w:hAnsiTheme="minorEastAsia" w:eastAsiaTheme="minorEastAsia" w:cstheme="minorEastAsia"/>
                <w:sz w:val="24"/>
                <w:szCs w:val="24"/>
                <w:lang w:val="en-US" w:eastAsia="zh-CN"/>
              </w:rPr>
              <w:t>本项目服务期限为</w:t>
            </w:r>
            <w:r>
              <w:rPr>
                <w:rFonts w:hint="eastAsia" w:asciiTheme="minorEastAsia" w:hAnsiTheme="minorEastAsia" w:eastAsiaTheme="minorEastAsia" w:cstheme="minorEastAsia"/>
                <w:sz w:val="24"/>
                <w:szCs w:val="24"/>
              </w:rPr>
              <w:t>2021年至202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年，具体以合同签订日期为准。</w:t>
            </w:r>
          </w:p>
          <w:p>
            <w:pPr>
              <w:spacing w:line="420" w:lineRule="exact"/>
              <w:ind w:left="1205" w:hanging="1205" w:hangingChars="5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招标内容：</w:t>
            </w:r>
            <w:r>
              <w:rPr>
                <w:rFonts w:hint="eastAsia" w:asciiTheme="minorEastAsia" w:hAnsiTheme="minorEastAsia" w:eastAsiaTheme="minorEastAsia" w:cstheme="minorEastAsia"/>
                <w:sz w:val="24"/>
                <w:szCs w:val="24"/>
                <w:u w:val="none"/>
                <w:lang w:eastAsia="zh-CN"/>
              </w:rPr>
              <w:t>头屯河区交警大队食堂配送供应商招标，</w:t>
            </w:r>
            <w:r>
              <w:rPr>
                <w:rFonts w:hint="eastAsia" w:asciiTheme="minorEastAsia" w:hAnsiTheme="minorEastAsia" w:eastAsiaTheme="minorEastAsia" w:cstheme="minorEastAsia"/>
                <w:sz w:val="24"/>
                <w:szCs w:val="24"/>
                <w:u w:val="none"/>
                <w:lang w:val="en-US" w:eastAsia="zh-CN"/>
              </w:rPr>
              <w:t>主要包括米面油、牛羊肉、禽肉、鸡蛋、蔬菜、水果、副食品等食堂食材的供应及配送服务。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spacing w:line="360" w:lineRule="exact"/>
              <w:ind w:left="0" w:firstLine="0" w:firstLineChars="0"/>
              <w:jc w:val="left"/>
              <w:rPr>
                <w:rFonts w:hint="eastAsia"/>
                <w:sz w:val="24"/>
                <w:szCs w:val="24"/>
                <w:highlight w:val="none"/>
              </w:rPr>
            </w:pPr>
            <w:r>
              <w:rPr>
                <w:rFonts w:hint="eastAsia"/>
                <w:sz w:val="24"/>
                <w:szCs w:val="24"/>
              </w:rPr>
              <w:t>采</w:t>
            </w:r>
            <w:r>
              <w:rPr>
                <w:rFonts w:hint="eastAsia"/>
                <w:sz w:val="24"/>
                <w:szCs w:val="24"/>
                <w:highlight w:val="none"/>
              </w:rPr>
              <w:t>购方式：公开招标</w:t>
            </w:r>
          </w:p>
          <w:p>
            <w:pPr>
              <w:spacing w:line="360" w:lineRule="exact"/>
              <w:jc w:val="left"/>
              <w:rPr>
                <w:rFonts w:hint="eastAsia"/>
                <w:sz w:val="24"/>
                <w:szCs w:val="24"/>
                <w:highlight w:val="none"/>
              </w:rPr>
            </w:pPr>
            <w:r>
              <w:rPr>
                <w:rFonts w:hint="eastAsia"/>
                <w:sz w:val="24"/>
                <w:szCs w:val="24"/>
                <w:highlight w:val="none"/>
              </w:rPr>
              <w:t>投标报价：各标项的报价参照</w:t>
            </w:r>
            <w:r>
              <w:rPr>
                <w:rFonts w:hint="eastAsia"/>
                <w:sz w:val="24"/>
                <w:szCs w:val="24"/>
                <w:highlight w:val="none"/>
                <w:lang w:eastAsia="zh-CN"/>
              </w:rPr>
              <w:t>乌鲁木齐</w:t>
            </w:r>
            <w:r>
              <w:rPr>
                <w:rFonts w:hint="eastAsia"/>
                <w:sz w:val="24"/>
                <w:szCs w:val="24"/>
                <w:highlight w:val="none"/>
                <w:lang w:val="en-US" w:eastAsia="zh-CN"/>
              </w:rPr>
              <w:t>社区蔬菜副食品直营点（微信公众号）价格或北园春网站（http://www.beiyuanchun.com/jiage.php?action=list&amp;sc=&amp;pz=&amp;rqstart=&amp;rqend=&amp;fl=）中间</w:t>
            </w:r>
            <w:r>
              <w:rPr>
                <w:rFonts w:hint="eastAsia"/>
                <w:sz w:val="24"/>
                <w:szCs w:val="24"/>
                <w:highlight w:val="none"/>
              </w:rPr>
              <w:t>价格为基准报折扣。最终报价均为到货价（此价格包括物品储藏、运输、搬运装卸、税费等一切相关费用）。</w:t>
            </w:r>
          </w:p>
          <w:p>
            <w:pPr>
              <w:pStyle w:val="28"/>
              <w:ind w:firstLine="0"/>
              <w:rPr>
                <w:rFonts w:hint="eastAsia" w:eastAsiaTheme="minorEastAsia"/>
                <w:sz w:val="24"/>
                <w:szCs w:val="24"/>
                <w:lang w:val="en-US" w:eastAsia="zh-CN"/>
              </w:rPr>
            </w:pPr>
            <w:r>
              <w:rPr>
                <w:rFonts w:hint="eastAsia" w:ascii="Times New Roman" w:hAnsi="Times New Roman" w:eastAsia="宋体" w:cs="Times New Roman"/>
                <w:b/>
                <w:bCs/>
                <w:sz w:val="24"/>
                <w:szCs w:val="24"/>
                <w:lang w:val="en-US" w:eastAsia="zh-CN"/>
              </w:rPr>
              <w:t>备注：</w:t>
            </w:r>
            <w:r>
              <w:rPr>
                <w:rFonts w:hint="eastAsia" w:cs="Times New Roman"/>
                <w:b/>
                <w:bCs/>
                <w:sz w:val="24"/>
                <w:szCs w:val="24"/>
                <w:lang w:val="en-US" w:eastAsia="zh-CN"/>
              </w:rPr>
              <w:t>结算时，首先按照供货前一日</w:t>
            </w:r>
            <w:r>
              <w:rPr>
                <w:rFonts w:hint="eastAsia"/>
                <w:b/>
                <w:bCs/>
                <w:sz w:val="24"/>
                <w:szCs w:val="24"/>
                <w:lang w:val="en-US" w:eastAsia="zh-CN"/>
              </w:rPr>
              <w:t>蔬菜副食品直营点（微信公众号）价格为基准</w:t>
            </w:r>
            <w:r>
              <w:rPr>
                <w:rFonts w:hint="eastAsia" w:cs="Times New Roman"/>
                <w:b/>
                <w:bCs/>
                <w:sz w:val="24"/>
                <w:szCs w:val="24"/>
                <w:lang w:val="en-US" w:eastAsia="zh-CN"/>
              </w:rPr>
              <w:t>；若直营点中没有，则</w:t>
            </w:r>
            <w:r>
              <w:rPr>
                <w:rFonts w:hint="eastAsia" w:ascii="Times New Roman" w:hAnsi="Times New Roman" w:eastAsia="宋体" w:cs="Times New Roman"/>
                <w:b/>
                <w:bCs/>
                <w:sz w:val="24"/>
                <w:szCs w:val="24"/>
                <w:lang w:val="en-US" w:eastAsia="zh-CN"/>
              </w:rPr>
              <w:t>以北园春</w:t>
            </w:r>
            <w:r>
              <w:rPr>
                <w:rFonts w:hint="eastAsia" w:cs="Times New Roman"/>
                <w:b/>
                <w:bCs/>
                <w:sz w:val="24"/>
                <w:szCs w:val="24"/>
                <w:lang w:val="en-US" w:eastAsia="zh-CN"/>
              </w:rPr>
              <w:t>网站</w:t>
            </w:r>
            <w:r>
              <w:rPr>
                <w:rFonts w:hint="eastAsia" w:ascii="Times New Roman" w:hAnsi="Times New Roman" w:eastAsia="宋体" w:cs="Times New Roman"/>
                <w:b/>
                <w:bCs/>
                <w:sz w:val="24"/>
                <w:szCs w:val="24"/>
                <w:lang w:val="en-US" w:eastAsia="zh-CN"/>
              </w:rPr>
              <w:t>价格</w:t>
            </w:r>
            <w:r>
              <w:rPr>
                <w:rFonts w:hint="eastAsia" w:cs="Times New Roman"/>
                <w:b/>
                <w:bCs/>
                <w:sz w:val="24"/>
                <w:szCs w:val="24"/>
                <w:lang w:val="en-US" w:eastAsia="zh-CN"/>
              </w:rPr>
              <w:t>该菜品的</w:t>
            </w:r>
            <w:r>
              <w:rPr>
                <w:rFonts w:hint="eastAsia" w:ascii="Times New Roman" w:hAnsi="Times New Roman" w:eastAsia="宋体" w:cs="Times New Roman"/>
                <w:b/>
                <w:bCs/>
                <w:sz w:val="24"/>
                <w:szCs w:val="24"/>
                <w:lang w:val="en-US" w:eastAsia="zh-CN"/>
              </w:rPr>
              <w:t>中间价为</w:t>
            </w:r>
            <w:r>
              <w:rPr>
                <w:rFonts w:hint="eastAsia" w:cs="Times New Roman"/>
                <w:b/>
                <w:bCs/>
                <w:sz w:val="24"/>
                <w:szCs w:val="24"/>
                <w:lang w:val="en-US" w:eastAsia="zh-CN"/>
              </w:rPr>
              <w:t>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pStyle w:val="12"/>
              <w:spacing w:line="3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招标单位：</w:t>
            </w:r>
            <w:r>
              <w:rPr>
                <w:rFonts w:hint="eastAsia" w:asciiTheme="minorEastAsia" w:hAnsiTheme="minorEastAsia" w:eastAsiaTheme="minorEastAsia" w:cstheme="minorEastAsia"/>
                <w:sz w:val="24"/>
                <w:szCs w:val="24"/>
                <w:lang w:eastAsia="zh-CN"/>
              </w:rPr>
              <w:t>中共乌鲁木齐经济技术开发区（乌鲁木齐市头屯河区）委员会政法委员会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pStyle w:val="12"/>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招标代理机构：新疆建投项目管理咨询有限公司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w:t>
            </w:r>
          </w:p>
        </w:tc>
        <w:tc>
          <w:tcPr>
            <w:tcW w:w="8118" w:type="dxa"/>
            <w:vAlign w:val="center"/>
          </w:tcPr>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投标有效期：投标截止时间起90个日历日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spacing w:line="3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最高投标限价（采购预</w:t>
            </w:r>
            <w:r>
              <w:rPr>
                <w:rFonts w:hint="eastAsia" w:asciiTheme="minorEastAsia" w:hAnsiTheme="minorEastAsia" w:eastAsiaTheme="minorEastAsia" w:cstheme="minorEastAsia"/>
                <w:sz w:val="24"/>
                <w:szCs w:val="24"/>
                <w:lang w:val="en-US" w:eastAsia="zh-CN"/>
              </w:rPr>
              <w:t>算）：</w:t>
            </w:r>
          </w:p>
          <w:p>
            <w:pPr>
              <w:spacing w:line="36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本项目第（1）部分最高折扣为9.99折,若超过此折扣，按无效投标处理</w:t>
            </w:r>
            <w:r>
              <w:rPr>
                <w:rFonts w:hint="eastAsia" w:asciiTheme="minorEastAsia" w:hAnsiTheme="minorEastAsia" w:eastAsiaTheme="minorEastAsia" w:cstheme="minorEastAsia"/>
                <w:sz w:val="24"/>
                <w:szCs w:val="24"/>
                <w:highlight w:val="none"/>
                <w:lang w:val="en-US" w:eastAsia="zh-CN"/>
              </w:rPr>
              <w:t>；</w:t>
            </w:r>
          </w:p>
          <w:p>
            <w:pPr>
              <w:spacing w:line="3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highlight w:val="none"/>
                <w:lang w:val="en-US" w:eastAsia="zh-CN"/>
              </w:rPr>
              <w:t>第（2）部分大米最高限价：150元/袋，面粉最高限价：100元/袋，食用油最高限价：70元/桶，酸奶最高限价：2.1元/杯，若超过上述最高限价均按无效投标处理。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7</w:t>
            </w:r>
          </w:p>
        </w:tc>
        <w:tc>
          <w:tcPr>
            <w:tcW w:w="921" w:type="dxa"/>
            <w:vAlign w:val="center"/>
          </w:tcPr>
          <w:p>
            <w:pPr>
              <w:spacing w:line="360" w:lineRule="exact"/>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9.4</w:t>
            </w:r>
          </w:p>
        </w:tc>
        <w:tc>
          <w:tcPr>
            <w:tcW w:w="8118" w:type="dxa"/>
            <w:vAlign w:val="center"/>
          </w:tcPr>
          <w:p>
            <w:pPr>
              <w:spacing w:line="360" w:lineRule="exact"/>
              <w:rPr>
                <w:rFonts w:hint="eastAsia"/>
                <w:sz w:val="24"/>
                <w:szCs w:val="24"/>
              </w:rPr>
            </w:pPr>
            <w:r>
              <w:rPr>
                <w:rFonts w:hint="eastAsia"/>
                <w:sz w:val="24"/>
                <w:szCs w:val="24"/>
              </w:rPr>
              <w:t>正本：一份，副本：四份（电子版盖章投标文件PDF光盘或U盘1份）</w:t>
            </w:r>
          </w:p>
          <w:p>
            <w:pPr>
              <w:spacing w:line="360" w:lineRule="exact"/>
              <w:rPr>
                <w:rFonts w:hint="eastAsia"/>
                <w:sz w:val="24"/>
                <w:szCs w:val="24"/>
              </w:rPr>
            </w:pPr>
            <w:r>
              <w:rPr>
                <w:rFonts w:hint="eastAsia"/>
                <w:sz w:val="24"/>
                <w:szCs w:val="24"/>
              </w:rPr>
              <w:t>特别提示：</w:t>
            </w:r>
          </w:p>
          <w:p>
            <w:pPr>
              <w:spacing w:line="360" w:lineRule="exact"/>
              <w:rPr>
                <w:rFonts w:hint="eastAsia"/>
                <w:sz w:val="24"/>
                <w:szCs w:val="24"/>
              </w:rPr>
            </w:pPr>
            <w:r>
              <w:rPr>
                <w:rFonts w:hint="eastAsia"/>
                <w:sz w:val="24"/>
                <w:szCs w:val="24"/>
              </w:rPr>
              <w:t>1.本项目各投标人在开标现场递交纸质响应文件的同时，须以密封的形式递交一份响应文件电子版（必须是响应文件加盖公章的扫描件）。</w:t>
            </w:r>
          </w:p>
          <w:p>
            <w:pPr>
              <w:spacing w:line="360" w:lineRule="exact"/>
              <w:rPr>
                <w:rFonts w:hint="eastAsia"/>
                <w:sz w:val="24"/>
                <w:szCs w:val="24"/>
              </w:rPr>
            </w:pPr>
            <w:r>
              <w:rPr>
                <w:rFonts w:hint="eastAsia"/>
                <w:sz w:val="24"/>
                <w:szCs w:val="24"/>
              </w:rPr>
              <w:t>2. 投标文件电子版与纸质版不一致时以纸质文件为准。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921" w:type="dxa"/>
            <w:vAlign w:val="center"/>
          </w:tcPr>
          <w:p>
            <w:pPr>
              <w:spacing w:line="360" w:lineRule="exact"/>
              <w:jc w:val="center"/>
              <w:rPr>
                <w:rFonts w:hint="eastAsia" w:ascii="Times New Roman" w:hAnsi="Times New Roman" w:eastAsia="宋体" w:cs="Times New Roman"/>
                <w:sz w:val="24"/>
                <w:szCs w:val="24"/>
                <w:lang w:val="en-US" w:eastAsia="zh-CN"/>
              </w:rPr>
            </w:pPr>
          </w:p>
        </w:tc>
        <w:tc>
          <w:tcPr>
            <w:tcW w:w="8118" w:type="dxa"/>
            <w:vAlign w:val="center"/>
          </w:tcPr>
          <w:p>
            <w:pPr>
              <w:spacing w:line="360" w:lineRule="exact"/>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文件编制及装订要求：</w:t>
            </w:r>
          </w:p>
          <w:p>
            <w:pPr>
              <w:spacing w:line="36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投标文件正本须打印，副本可为正本的复印件。</w:t>
            </w:r>
          </w:p>
          <w:p>
            <w:pPr>
              <w:spacing w:line="36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投标文件应清楚工整，如有修改，修改处应由投标单位法定代表人或授权代理人签章。</w:t>
            </w:r>
          </w:p>
          <w:p>
            <w:pPr>
              <w:spacing w:line="36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投标文件应由法定代表人或授权代理人在凡规定签章处逐一签署并加盖单位公章。</w:t>
            </w:r>
          </w:p>
          <w:p>
            <w:pPr>
              <w:spacing w:line="36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所有投标文件必须提交正本一份和副本四份，并在封面上标记“正本”和“副本”。正本和副本应分别装订（胶装）成册，不得采用活页夹，投标文件应编制目录，并且逐页连续标注页码。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118" w:type="dxa"/>
            <w:vAlign w:val="center"/>
          </w:tcPr>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投标保证金：</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0000.00（</w:t>
            </w:r>
            <w:r>
              <w:rPr>
                <w:rFonts w:hint="eastAsia" w:asciiTheme="minorEastAsia" w:hAnsiTheme="minorEastAsia" w:eastAsiaTheme="minorEastAsia" w:cstheme="minorEastAsia"/>
                <w:b/>
                <w:sz w:val="24"/>
                <w:szCs w:val="24"/>
                <w:lang w:val="en-US" w:eastAsia="zh-CN"/>
              </w:rPr>
              <w:t>叁</w:t>
            </w:r>
            <w:r>
              <w:rPr>
                <w:rFonts w:hint="eastAsia" w:asciiTheme="minorEastAsia" w:hAnsiTheme="minorEastAsia" w:eastAsiaTheme="minorEastAsia" w:cstheme="minorEastAsia"/>
                <w:b/>
                <w:sz w:val="24"/>
                <w:szCs w:val="24"/>
              </w:rPr>
              <w:t>万元整）</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账号：3113730011140000080</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行号：302881000123（中信银行乌鲁木齐经开区科技支行）</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投标保证金必须在投标截止时间前到帐；</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1027" o:spid="_x0000_s1027" o:spt="75" type="#_x0000_t75" style="position:absolute;left:0pt;margin-left:34.25pt;margin-top:56.8pt;height:141.55pt;width:267.75pt;mso-wrap-distance-bottom:0pt;mso-wrap-distance-left:9pt;mso-wrap-distance-right:9pt;mso-wrap-distance-top:0pt;z-index:251658240;mso-width-relative:page;mso-height-relative:page;" filled="f" o:preferrelative="t" stroked="f" coordsize="21600,21600">
                  <v:path/>
                  <v:fill on="f" focussize="0,0"/>
                  <v:stroke on="f" joinstyle="miter"/>
                  <v:imagedata r:id="rId6" o:title=""/>
                  <o:lock v:ext="edit" aspectratio="t"/>
                  <w10:wrap type="square"/>
                </v:shape>
              </w:pict>
            </w:r>
            <w:r>
              <w:rPr>
                <w:rFonts w:hint="eastAsia" w:asciiTheme="minorEastAsia" w:hAnsiTheme="minorEastAsia" w:eastAsiaTheme="minorEastAsia" w:cstheme="minorEastAsia"/>
                <w:b/>
                <w:bCs/>
                <w:sz w:val="24"/>
                <w:szCs w:val="24"/>
              </w:rPr>
              <w:t>注：1、投标保证金应当从投标人公账电汇至上述收款账户，投标人以外的其他企业或个人名义的汇款无效。</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2、开标当日需携带退保证金收据（反开收据格式如下）。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599" w:type="dxa"/>
            <w:vAlign w:val="center"/>
          </w:tcPr>
          <w:p>
            <w:pPr>
              <w:spacing w:line="360" w:lineRule="exact"/>
              <w:jc w:val="center"/>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p>
        </w:tc>
        <w:tc>
          <w:tcPr>
            <w:tcW w:w="921" w:type="dxa"/>
            <w:vAlign w:val="center"/>
          </w:tcPr>
          <w:p>
            <w:pPr>
              <w:spacing w:line="36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12</w:t>
            </w:r>
          </w:p>
        </w:tc>
        <w:tc>
          <w:tcPr>
            <w:tcW w:w="8118" w:type="dxa"/>
            <w:vAlign w:val="center"/>
          </w:tcPr>
          <w:p>
            <w:pPr>
              <w:spacing w:line="360" w:lineRule="exact"/>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投标</w:t>
            </w:r>
            <w:r>
              <w:rPr>
                <w:rFonts w:hint="eastAsia" w:asciiTheme="minorEastAsia" w:hAnsiTheme="minorEastAsia" w:eastAsiaTheme="minorEastAsia" w:cstheme="minorEastAsia"/>
                <w:spacing w:val="-6"/>
                <w:sz w:val="24"/>
                <w:szCs w:val="24"/>
                <w:highlight w:val="none"/>
              </w:rPr>
              <w:t>文件递交至开标地点：</w:t>
            </w:r>
          </w:p>
          <w:p>
            <w:pPr>
              <w:spacing w:line="360" w:lineRule="exact"/>
              <w:rPr>
                <w:rFonts w:hint="eastAsia" w:asciiTheme="minorEastAsia" w:hAnsiTheme="minorEastAsia" w:eastAsiaTheme="minorEastAsia" w:cstheme="minorEastAsia"/>
                <w:b/>
                <w:spacing w:val="-6"/>
                <w:kern w:val="0"/>
                <w:sz w:val="24"/>
                <w:szCs w:val="24"/>
                <w:highlight w:val="none"/>
              </w:rPr>
            </w:pPr>
            <w:r>
              <w:rPr>
                <w:rFonts w:hint="eastAsia" w:asciiTheme="minorEastAsia" w:hAnsiTheme="minorEastAsia" w:eastAsiaTheme="minorEastAsia" w:cstheme="minorEastAsia"/>
                <w:b/>
                <w:spacing w:val="-6"/>
                <w:kern w:val="0"/>
                <w:sz w:val="24"/>
                <w:szCs w:val="24"/>
                <w:highlight w:val="none"/>
              </w:rPr>
              <w:t>乌鲁木齐经济技术开发区（头屯河区）维泰大厦1楼公共资源2厅</w:t>
            </w:r>
          </w:p>
          <w:p>
            <w:pPr>
              <w:spacing w:line="3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文件递交截止时间及招标开始时间：</w:t>
            </w:r>
          </w:p>
          <w:p>
            <w:pPr>
              <w:spacing w:line="3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2021年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下</w:t>
            </w:r>
            <w:r>
              <w:rPr>
                <w:rFonts w:hint="eastAsia" w:asciiTheme="minorEastAsia" w:hAnsiTheme="minorEastAsia" w:eastAsiaTheme="minorEastAsia" w:cstheme="minorEastAsia"/>
                <w:sz w:val="24"/>
                <w:szCs w:val="24"/>
                <w:highlight w:val="none"/>
              </w:rPr>
              <w:t>午1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时00 分(北京时间)</w:t>
            </w:r>
            <w:r>
              <w:rPr>
                <w:rFonts w:hint="eastAsia" w:asciiTheme="minorEastAsia" w:hAnsiTheme="minorEastAsia" w:eastAsiaTheme="minorEastAsia" w:cstheme="minorEastAsia"/>
                <w:b/>
                <w:sz w:val="24"/>
                <w:szCs w:val="24"/>
                <w:highlight w:val="none"/>
              </w:rPr>
              <w:t>（逾期送达不予接收）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599" w:type="dxa"/>
            <w:vAlign w:val="center"/>
          </w:tcPr>
          <w:p>
            <w:pPr>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921" w:type="dxa"/>
            <w:vAlign w:val="center"/>
          </w:tcPr>
          <w:p>
            <w:pPr>
              <w:spacing w:line="36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19.1</w:t>
            </w:r>
          </w:p>
        </w:tc>
        <w:tc>
          <w:tcPr>
            <w:tcW w:w="8118" w:type="dxa"/>
            <w:vAlign w:val="center"/>
          </w:tcPr>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99" w:type="dxa"/>
            <w:vAlign w:val="center"/>
          </w:tcPr>
          <w:p>
            <w:pPr>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921" w:type="dxa"/>
            <w:vAlign w:val="center"/>
          </w:tcPr>
          <w:p>
            <w:pPr>
              <w:spacing w:line="360" w:lineRule="exact"/>
              <w:jc w:val="center"/>
              <w:rPr>
                <w:rFonts w:hint="eastAsia" w:asciiTheme="minorEastAsia" w:hAnsiTheme="minorEastAsia" w:eastAsiaTheme="minorEastAsia" w:cstheme="minorEastAsia"/>
                <w:sz w:val="24"/>
                <w:szCs w:val="24"/>
              </w:rPr>
            </w:pPr>
          </w:p>
        </w:tc>
        <w:tc>
          <w:tcPr>
            <w:tcW w:w="8118" w:type="dxa"/>
            <w:vAlign w:val="center"/>
          </w:tcPr>
          <w:p>
            <w:pPr>
              <w:spacing w:line="3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t>招标文件费 200元/家</w:t>
            </w:r>
            <w:r>
              <w:rPr>
                <w:rFonts w:hint="eastAsia" w:asciiTheme="minorEastAsia" w:hAnsiTheme="minorEastAsia" w:eastAsiaTheme="minorEastAsia" w:cstheme="minorEastAsia"/>
                <w:color w:val="auto"/>
                <w:sz w:val="24"/>
                <w:szCs w:val="24"/>
                <w:highlight w:val="none"/>
              </w:rPr>
              <w:t>，招标代理费按照30000元整固定计取，中标单位须在领取中标通知书前一次性缴纳招标代理服务费。</w:t>
            </w:r>
            <w:r>
              <w:rPr>
                <w:rFonts w:hint="eastAsia" w:asciiTheme="minorEastAsia" w:hAnsiTheme="minorEastAsia" w:eastAsiaTheme="minorEastAsia" w:cstheme="minorEastAsia"/>
                <w:color w:val="auto"/>
                <w:sz w:val="24"/>
                <w:szCs w:val="24"/>
                <w:highlight w:val="none"/>
                <w:lang w:val="en-US" w:eastAsia="zh-CN"/>
              </w:rPr>
              <w:t>无论招标结果如何，招标代理工作完成后，招标代理费概不退还。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599" w:type="dxa"/>
            <w:vAlign w:val="center"/>
          </w:tcPr>
          <w:p>
            <w:pPr>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9039" w:type="dxa"/>
            <w:gridSpan w:val="2"/>
            <w:vAlign w:val="center"/>
          </w:tcPr>
          <w:p>
            <w:pPr>
              <w:spacing w:line="360" w:lineRule="exact"/>
              <w:rPr>
                <w:rFonts w:hint="eastAsia" w:asciiTheme="minorEastAsia" w:hAnsiTheme="minorEastAsia" w:eastAsiaTheme="minorEastAsia" w:cstheme="minorEastAsia"/>
                <w:color w:val="auto"/>
                <w:sz w:val="24"/>
                <w:szCs w:val="24"/>
              </w:rPr>
            </w:pPr>
            <w:r>
              <w:rPr>
                <w:rFonts w:hint="eastAsia" w:hAnsi="宋体"/>
                <w:b/>
                <w:color w:val="FF000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或服务。</w:t>
            </w:r>
          </w:p>
        </w:tc>
      </w:tr>
    </w:tbl>
    <w:p>
      <w:pPr>
        <w:spacing w:line="360" w:lineRule="auto"/>
        <w:jc w:val="center"/>
        <w:rPr>
          <w:rFonts w:hint="eastAsia" w:asciiTheme="minorEastAsia" w:hAnsiTheme="minorEastAsia" w:eastAsiaTheme="minorEastAsia" w:cstheme="minorEastAsia"/>
          <w:b/>
          <w:bCs/>
          <w:sz w:val="36"/>
          <w:szCs w:val="36"/>
        </w:rPr>
      </w:pPr>
    </w:p>
    <w:p>
      <w:pPr>
        <w:widowControl/>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pPr>
        <w:pStyle w:val="64"/>
        <w:spacing w:line="440" w:lineRule="exact"/>
        <w:jc w:val="center"/>
        <w:rPr>
          <w:rFonts w:hint="eastAsia" w:asciiTheme="minorEastAsia" w:hAnsiTheme="minorEastAsia" w:eastAsiaTheme="minorEastAsia" w:cstheme="minorEastAsia"/>
          <w:b/>
          <w:color w:val="auto"/>
          <w:kern w:val="2"/>
          <w:sz w:val="30"/>
          <w:szCs w:val="30"/>
        </w:rPr>
      </w:pPr>
      <w:r>
        <w:rPr>
          <w:rFonts w:hint="eastAsia" w:asciiTheme="minorEastAsia" w:hAnsiTheme="minorEastAsia" w:eastAsiaTheme="minorEastAsia" w:cstheme="minorEastAsia"/>
          <w:b/>
          <w:color w:val="auto"/>
          <w:kern w:val="2"/>
          <w:sz w:val="32"/>
          <w:szCs w:val="30"/>
        </w:rPr>
        <w:t>投标人须知</w:t>
      </w:r>
    </w:p>
    <w:p>
      <w:pPr>
        <w:spacing w:line="440" w:lineRule="exact"/>
        <w:ind w:firstLine="480" w:firstLineChars="200"/>
        <w:rPr>
          <w:rFonts w:hint="eastAsia" w:asciiTheme="minorEastAsia" w:hAnsiTheme="minorEastAsia" w:eastAsiaTheme="minorEastAsia" w:cstheme="minorEastAsia"/>
          <w:sz w:val="24"/>
        </w:rPr>
      </w:pPr>
      <w:bookmarkStart w:id="6" w:name="_Toc438354295"/>
      <w:bookmarkStart w:id="7" w:name="_Toc438371377"/>
      <w:bookmarkStart w:id="8" w:name="_Toc438371559"/>
      <w:bookmarkStart w:id="9" w:name="_Toc438370524"/>
      <w:bookmarkStart w:id="10" w:name="_Toc438371194"/>
      <w:bookmarkStart w:id="11" w:name="_Toc438371746"/>
      <w:r>
        <w:rPr>
          <w:rFonts w:hint="eastAsia" w:asciiTheme="minorEastAsia" w:hAnsiTheme="minorEastAsia" w:eastAsiaTheme="minorEastAsia" w:cstheme="minorEastAsia"/>
          <w:sz w:val="24"/>
        </w:rPr>
        <w:t>1. 项目概况</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1.1项目名称：详见投标人须知前附表；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 招标方式：详见投标人须知前附表；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 采购内容：详见投标人须知前附表；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1.4资金来源：财政资金；</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 供货地点：甲方指定地点；</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1.6服务期：详见投标人须知前附表。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定义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下述术语和缩写的定义为：</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2.1“招标人”“采购人”系指依法进行政府采购的国家机关、事业单位、团体组织。本次政府采购的采购人名称、地址、联系人、电话详见投标人须知前附表。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2.2“采购代理机构”“招标代理机构”系指接受采购人委托，代理采购项目的采购代理机构。本次政府采购的采购代理机构名称、地址、联系人、电话详见投标人须知前附表。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2.3“投标人”、“供应商”系指向采购人提供货物、工程或者服务的法人、其他组织或者自然人。</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2.4“货物”系指各种形态和种类的物品，包括原材料、设备、产品等。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 “工程”系指建设工程，包括建筑物和构筑物的新建、改建、扩建，装修、拆除，修缮等。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 “服务”系指除货物和工程以外的其他政府采购对象。</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 “节能产品”或者“环保产品”系指对财政部发布的《节能产品政府采购清单》或者《环境标志产品政府采购清单》的产品。</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2.8“进口产品”系指通过中国海关报关验收进入中国境内且产自境外的产品。详见《关于政府采购进口产品管理有关问题的通知》（财库［2007］119号）。</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 偏离</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2.9.1 本条所称偏离为响应文件对招标文件的偏离，即不满足、或不响应招标文件的要求。偏离分为对招标文件的实质性要求条款偏离和对招标文件的一般商务和技术条款偏离。</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2.10 特别说明</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2.10.1供应商所使用的资格、信誉、荣誉、业绩与企业认证等必须为供应商所拥有。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2.10.2 供应商应仔细阅读招标文件中的所有内容，按照招标文件的要求编制、提交响应文件，并对其所提供的全部资料的真实性承担法律责任。</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2.10.3 招标文件所提供的资料，是采购人现有的能被供应商利用的资料，采购人对供应商做出的任何推论、理解和结论均不负任何责任。</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供应商资格</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3.1供应商资格：详见投标人须知前附表。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 投标人应遵守中华人民共和国法律、法规和行政规章。</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3.3供应商不得存在下列情形之一：</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（1）与采购人、代理机构存在利害关系。</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（2）单位负责人为同一人或者存在控股、管理关系的不同供应商，不得参加同一合同项下的政府采购活动。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投标费用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4.1无论投标过程中的做法和结果如何，投标人将自行承担所有与参加投标有关的费用。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5.联合体形式</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 除投标人须知前附表中另有规定，本次招标不接受为联合体形式的供应商。</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5.2供应商为联合体形式的，除应符合本章第3条规定外，还应遵守以下规定：</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（1）联合体各方必须签订联合体协议书，明确联合体牵头人和各方的义务、工作、合同工作量比例；</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（2）联合体各方均应当符合本章第3.1款规定的供应商基本资格条件；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（3）除投标人须知前附表中另有规定，联合体各方中至少有一方应当符合本章第3.1款规定的供应商特定资格条件；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（4）联合体各方不得再单独或与其他供应商组成新的联合体参加同一项目的采购活动。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6．现场勘察</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6.1 供应商应按投标人须知前附表中规定对采购项目现场和周围环境进行考察。</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6.2勘察现场的费用由供应商自己承担，勘察期间所发生的人身伤害及财产损失由供应商自己负责。</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采购人不对供应商据此而做出的推论、理解和结论负责。一旦成交，供应商不得以任何借口，而提出额外补偿，或延长合同期限的要求。</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7.采购进口产品</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7.1除投标人须知前附表另有规定外，本项目不接受进口产品参加采购活动。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8.政府采购政策的支持</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8.1政府采购有关的货物采购执行环境标志产品政府优先采购政策。在采购过程中执行最新一期的环境标志产品政府采购清单。优先采购政策规定可在：中国政府采购网（http://www.ccgp.gov.cn/）查询。</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8.2政府采购有关的货物采购应当执行节能产品政府强制采购和优先采购政策。在采购过程中执行最新一期的节能产品政府采购清单。优先采购政策规定可在：中国政府采购网（http://www.ccgp.gov.cn/）查询。</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8.3产品符合促进中小企业（监狱企业、残疾人福利性单位）发展政策的，其价格给予6%的扣除。</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8.4供应商在签署相关承诺、提供相关信息前，应当认真阅读财政部门的相关政策规定。符合本章第8.1-8.3款规定的，应当提供相关的证明材料。</w:t>
      </w:r>
    </w:p>
    <w:p>
      <w:pPr>
        <w:pStyle w:val="64"/>
        <w:spacing w:line="440" w:lineRule="exact"/>
        <w:ind w:firstLine="602" w:firstLineChars="200"/>
        <w:jc w:val="center"/>
        <w:rPr>
          <w:rFonts w:hint="eastAsia" w:asciiTheme="minorEastAsia" w:hAnsiTheme="minorEastAsia" w:eastAsiaTheme="minorEastAsia" w:cstheme="minorEastAsia"/>
          <w:b/>
          <w:color w:val="auto"/>
          <w:kern w:val="2"/>
          <w:sz w:val="30"/>
          <w:szCs w:val="30"/>
        </w:rPr>
      </w:pPr>
    </w:p>
    <w:p>
      <w:pPr>
        <w:pStyle w:val="64"/>
        <w:spacing w:line="440" w:lineRule="exact"/>
        <w:ind w:firstLine="602" w:firstLineChars="200"/>
        <w:jc w:val="center"/>
        <w:rPr>
          <w:rFonts w:hint="eastAsia" w:asciiTheme="minorEastAsia" w:hAnsiTheme="minorEastAsia" w:eastAsiaTheme="minorEastAsia" w:cstheme="minorEastAsia"/>
          <w:b/>
          <w:color w:val="auto"/>
          <w:kern w:val="2"/>
          <w:sz w:val="30"/>
          <w:szCs w:val="30"/>
        </w:rPr>
      </w:pPr>
      <w:r>
        <w:rPr>
          <w:rFonts w:hint="eastAsia" w:asciiTheme="minorEastAsia" w:hAnsiTheme="minorEastAsia" w:eastAsiaTheme="minorEastAsia" w:cstheme="minorEastAsia"/>
          <w:b/>
          <w:color w:val="auto"/>
          <w:kern w:val="2"/>
          <w:sz w:val="30"/>
          <w:szCs w:val="30"/>
        </w:rPr>
        <w:t>第一章  招标文件</w:t>
      </w:r>
      <w:bookmarkEnd w:id="6"/>
      <w:bookmarkEnd w:id="7"/>
      <w:bookmarkEnd w:id="8"/>
      <w:bookmarkEnd w:id="9"/>
      <w:bookmarkEnd w:id="10"/>
      <w:bookmarkEnd w:id="11"/>
      <w:r>
        <w:rPr>
          <w:rFonts w:hint="eastAsia" w:asciiTheme="minorEastAsia" w:hAnsiTheme="minorEastAsia" w:eastAsiaTheme="minorEastAsia" w:cstheme="minorEastAsia"/>
          <w:b/>
          <w:color w:val="auto"/>
          <w:kern w:val="2"/>
          <w:sz w:val="30"/>
          <w:szCs w:val="30"/>
        </w:rPr>
        <w:t>的编写</w:t>
      </w:r>
    </w:p>
    <w:p>
      <w:pPr>
        <w:pStyle w:val="64"/>
        <w:spacing w:line="440" w:lineRule="exact"/>
        <w:ind w:firstLine="562" w:firstLineChars="200"/>
        <w:jc w:val="center"/>
        <w:rPr>
          <w:rFonts w:hint="eastAsia" w:asciiTheme="minorEastAsia" w:hAnsiTheme="minorEastAsia" w:eastAsiaTheme="minorEastAsia" w:cstheme="minorEastAsia"/>
          <w:b/>
          <w:color w:val="auto"/>
          <w:kern w:val="2"/>
          <w:sz w:val="28"/>
          <w:szCs w:val="28"/>
        </w:rPr>
      </w:pPr>
    </w:p>
    <w:p>
      <w:pPr>
        <w:tabs>
          <w:tab w:val="left" w:pos="1185"/>
        </w:tabs>
        <w:spacing w:line="440" w:lineRule="exact"/>
        <w:ind w:firstLine="482"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5. 招标文件的构成</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 招标文件由下述部分组成：</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第一部分 招标公告</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第二部分 投标人须知</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第三部分 招标内容及技术要求</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第四部分 合同条款</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第五部分 附  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 招标文件以中文书写。</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 投标人被视为熟悉本招标项目的各种情况以及与履行合同有关的一切其他情况。</w:t>
      </w:r>
    </w:p>
    <w:p>
      <w:pPr>
        <w:spacing w:line="440" w:lineRule="exact"/>
        <w:ind w:firstLine="482"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6. 招标文件的澄清、标前会议</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6.1投标人对招标文件如有疑点，可在投标截止期15日前按招标文件中载明的地址以书面形式（包括信函、电报或传真，下同）通知招标人要求澄清。招标人将视情况确定采用适当方式予以澄清或以书面形式予以答复。招标人认为有必要时，可将答复内容（包括原提出问题，但不包括问题的来源）分发给所有投标人。</w:t>
      </w:r>
    </w:p>
    <w:p>
      <w:pPr>
        <w:spacing w:line="440" w:lineRule="exact"/>
        <w:ind w:firstLine="482" w:firstLineChars="200"/>
        <w:jc w:val="left"/>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7. 招标文件的修改或补充</w:t>
      </w:r>
    </w:p>
    <w:p>
      <w:pPr>
        <w:spacing w:line="4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 在投标截止期15日前的任何时间，招标人可主动或依据投标人要求澄清的问题而修改或补充招标文件，并以书面形式通知所有投标人，投标人在收到该通知后应立即以电报或传真的形式予以确认。</w:t>
      </w:r>
    </w:p>
    <w:p>
      <w:pPr>
        <w:spacing w:line="4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 为使投标人在准备投标时有适当的时间考虑投标文件的修改，招标人有权决定推迟投标截止日期和开标日期，并将此变更通知所有的投标人。</w:t>
      </w:r>
    </w:p>
    <w:p>
      <w:pPr>
        <w:adjustRightInd w:val="0"/>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7.3 招标文件的修改书和补充文件将构成招标文件的一部分，并且比招标文件对投标人具有优先的约束力。</w:t>
      </w:r>
    </w:p>
    <w:p>
      <w:pPr>
        <w:adjustRightInd w:val="0"/>
        <w:snapToGrid w:val="0"/>
        <w:spacing w:line="440" w:lineRule="exact"/>
        <w:ind w:firstLine="562" w:firstLineChars="200"/>
        <w:jc w:val="center"/>
        <w:rPr>
          <w:rFonts w:hint="eastAsia" w:asciiTheme="minorEastAsia" w:hAnsiTheme="minorEastAsia" w:eastAsiaTheme="minorEastAsia" w:cstheme="minorEastAsia"/>
          <w:b/>
          <w:sz w:val="28"/>
          <w:szCs w:val="28"/>
        </w:rPr>
      </w:pPr>
      <w:bookmarkStart w:id="12" w:name="_Toc438354299"/>
      <w:bookmarkStart w:id="13" w:name="_Toc438371381"/>
      <w:bookmarkStart w:id="14" w:name="_Toc438371198"/>
      <w:bookmarkStart w:id="15" w:name="_Toc438371750"/>
      <w:bookmarkStart w:id="16" w:name="_Toc438370528"/>
      <w:bookmarkStart w:id="17" w:name="_Toc438371563"/>
    </w:p>
    <w:p>
      <w:pPr>
        <w:adjustRightInd w:val="0"/>
        <w:snapToGrid w:val="0"/>
        <w:spacing w:line="440" w:lineRule="exact"/>
        <w:ind w:firstLine="643" w:firstLineChars="20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投标</w:t>
      </w:r>
      <w:bookmarkEnd w:id="12"/>
      <w:bookmarkEnd w:id="13"/>
      <w:bookmarkEnd w:id="14"/>
      <w:bookmarkEnd w:id="15"/>
      <w:bookmarkEnd w:id="16"/>
      <w:bookmarkEnd w:id="17"/>
      <w:r>
        <w:rPr>
          <w:rFonts w:hint="eastAsia" w:asciiTheme="minorEastAsia" w:hAnsiTheme="minorEastAsia" w:eastAsiaTheme="minorEastAsia" w:cstheme="minorEastAsia"/>
          <w:b/>
          <w:sz w:val="32"/>
          <w:szCs w:val="32"/>
        </w:rPr>
        <w:t>文件的编写</w:t>
      </w:r>
    </w:p>
    <w:p>
      <w:pPr>
        <w:adjustRightInd w:val="0"/>
        <w:snapToGrid w:val="0"/>
        <w:spacing w:line="440" w:lineRule="exact"/>
        <w:ind w:firstLine="562" w:firstLineChars="200"/>
        <w:jc w:val="center"/>
        <w:rPr>
          <w:rFonts w:hint="eastAsia" w:asciiTheme="minorEastAsia" w:hAnsiTheme="minorEastAsia" w:eastAsiaTheme="minorEastAsia" w:cstheme="minorEastAsia"/>
          <w:b/>
          <w:sz w:val="28"/>
          <w:szCs w:val="28"/>
        </w:rPr>
      </w:pPr>
    </w:p>
    <w:p>
      <w:pPr>
        <w:spacing w:line="440" w:lineRule="exact"/>
        <w:ind w:firstLine="482" w:firstLineChars="200"/>
        <w:rPr>
          <w:rFonts w:hint="eastAsia" w:asciiTheme="minorEastAsia" w:hAnsiTheme="minorEastAsia" w:eastAsiaTheme="minorEastAsia" w:cstheme="minorEastAsia"/>
          <w:b/>
          <w:sz w:val="24"/>
        </w:rPr>
      </w:pPr>
      <w:bookmarkStart w:id="18" w:name="_Toc438370538"/>
      <w:bookmarkStart w:id="19" w:name="_Toc438371391"/>
      <w:bookmarkStart w:id="20" w:name="_Toc438371760"/>
      <w:bookmarkStart w:id="21" w:name="_Toc438354309"/>
      <w:bookmarkStart w:id="22" w:name="_Toc438371573"/>
      <w:bookmarkStart w:id="23" w:name="_Toc438371208"/>
      <w:r>
        <w:rPr>
          <w:rFonts w:hint="eastAsia" w:asciiTheme="minorEastAsia" w:hAnsiTheme="minorEastAsia" w:eastAsiaTheme="minorEastAsia" w:cstheme="minorEastAsia"/>
          <w:b/>
          <w:sz w:val="24"/>
        </w:rPr>
        <w:t>8.要求</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投标人应详细阅读招标文件中的条款、格式、表示、条件和规范等所有内容，按招标文件的要求提供投标文件，并保证所提供的全部材料的真实性，以使其投标对招标文件作出实质性响应。否则，其投标可能被拒绝。</w:t>
      </w:r>
    </w:p>
    <w:p>
      <w:pPr>
        <w:spacing w:line="440" w:lineRule="exact"/>
        <w:ind w:firstLine="482"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9.投标文件语言和度量单位</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9.1投标文件及投标人和招标人就招标、投标交换的文件和往来信件，须以中文书写。</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9.2除在招标文件的技术规格中另有规定外，计量单位应使用中华人民共和国法定计量单位（国际单位制和国家选定的其它计量单位）。</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10.投标文件的组成</w:t>
      </w:r>
    </w:p>
    <w:p>
      <w:pPr>
        <w:pStyle w:val="64"/>
        <w:spacing w:line="440" w:lineRule="exact"/>
        <w:ind w:firstLine="480" w:firstLineChars="200"/>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10.1 投标人准备的投标文件包括（但不仅限于）下列部分：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（2）法定代表人证明或法定代表人授权委托书；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（3）联合体协议书（如有）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（4）投标保证金；</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（5）投标人资格证明文件（营业执照等）；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① 关于资格的声明函；</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② 投标人基本情况表（附资格审查资料）；</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③ 近三年完成的类似项目情况表；</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④ 拟委任的主要人员汇总表；</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⑤ 主要人员资历表；</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（6）投标报价一览表；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（7）投标人简介；</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）服务承诺书；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履约措施、方案（合理化建议等）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）合同条件及合同协议条款偏离表；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）投标单位反商业贿赂承诺书；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）在“信用中国”</w:t>
      </w:r>
      <w:r>
        <w:rPr>
          <w:rFonts w:hint="eastAsia" w:asciiTheme="minorEastAsia" w:hAnsiTheme="minorEastAsia" w:eastAsiaTheme="minorEastAsia" w:cstheme="minorEastAsia"/>
          <w:sz w:val="24"/>
          <w:lang w:val="en-US" w:eastAsia="zh-CN"/>
        </w:rPr>
        <w:t>和</w:t>
      </w:r>
      <w:r>
        <w:rPr>
          <w:rFonts w:hint="eastAsia" w:asciiTheme="minorEastAsia" w:hAnsiTheme="minorEastAsia" w:eastAsiaTheme="minorEastAsia" w:cstheme="minorEastAsia"/>
          <w:sz w:val="24"/>
        </w:rPr>
        <w:t xml:space="preserve">“中国政府采购网”上未被列入失信被执行人、重大税收违法案件当事人名单以及政府采购严重违法失信行为记录名单的投标供应商；  </w:t>
      </w:r>
    </w:p>
    <w:p>
      <w:pPr>
        <w:spacing w:line="44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其他有利资料。</w:t>
      </w:r>
    </w:p>
    <w:p>
      <w:pPr>
        <w:spacing w:line="44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投标文件包括但不仅限于上述内容，如有不足，请自行补充提供。</w:t>
      </w:r>
    </w:p>
    <w:p>
      <w:pPr>
        <w:spacing w:line="440" w:lineRule="exact"/>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10.2所有产品资格证明文件，正本中均须为原件（有特别说明的除外），副本中可为复印件；开标结束后，可根据投标人的需要退回原件。</w:t>
      </w:r>
    </w:p>
    <w:p>
      <w:pPr>
        <w:spacing w:line="44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10.3所有资格证明文件必须满足招标文件的要求，否则将导致投标被否决。</w:t>
      </w:r>
    </w:p>
    <w:p>
      <w:pPr>
        <w:spacing w:line="440" w:lineRule="exact"/>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11.符合招标文件规定的技术响应文件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 投标人须提交证明拟供服务符合招标文件规定的技术响应文件，作为投标文件的一部分。</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11.2对照招标人的技术规格要求，逐条确定，指出所提供服务是否实质性响应招标文件的要求，如有偏离，须填报规格、技术参数偏离表（见附件）。</w:t>
      </w:r>
    </w:p>
    <w:p>
      <w:pPr>
        <w:spacing w:line="44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没有按要求提供资料或提供资料不完全，将是对招标没有做出实质性响应，其风险由投标人自行承担。</w:t>
      </w:r>
    </w:p>
    <w:p>
      <w:pPr>
        <w:spacing w:line="440" w:lineRule="exact"/>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12．投标文件格式</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12.1投标人应按招标文件的范本格式中提供的投标文件格式填写投标文件、投标报价一览表，注明提供的服务名称、数量和价格等。</w:t>
      </w:r>
    </w:p>
    <w:p>
      <w:pPr>
        <w:spacing w:line="440" w:lineRule="exact"/>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13.投标报价</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13.1、本项目为服务类招标，投标报价应根据项目的实际需要整体报价，报价应包含合同期限内服务及其他相关工作的所有费用，总价包干方式报价。</w:t>
      </w:r>
    </w:p>
    <w:p>
      <w:pPr>
        <w:pStyle w:val="12"/>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rPr>
        <w:t>13.2、本项目采用一次报价方式，投标人提交的投标文件中的报价，在开标现场以公开的方式当场公布。该报价只允许有一个报价，任何有选择性的报价将不予接受，该报价为最终报价。</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13.3投标人的价格必须保证在投标有效期及供货期内固定不变。</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13.4不接受任何变通或有任何选择性的报价。报价必须唯一、确定、严格。当在单价和总价之间出现任何差异时，以单价为准，除非单价有明显的小数点错误，则以合计价格修正单价。</w:t>
      </w:r>
    </w:p>
    <w:p>
      <w:pPr>
        <w:spacing w:line="44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13.5</w:t>
      </w:r>
      <w:r>
        <w:rPr>
          <w:rFonts w:hint="eastAsia" w:asciiTheme="minorEastAsia" w:hAnsiTheme="minorEastAsia" w:eastAsiaTheme="minorEastAsia" w:cstheme="minorEastAsia"/>
          <w:b/>
          <w:sz w:val="24"/>
        </w:rPr>
        <w:t>招标代</w:t>
      </w:r>
      <w:r>
        <w:rPr>
          <w:rFonts w:hint="eastAsia" w:asciiTheme="minorEastAsia" w:hAnsiTheme="minorEastAsia" w:eastAsiaTheme="minorEastAsia" w:cstheme="minorEastAsia"/>
          <w:b/>
          <w:sz w:val="24"/>
          <w:highlight w:val="none"/>
        </w:rPr>
        <w:t>理费：招标人委托新疆建投项目管理咨询有限公司作为本项目的招标代理机构。</w:t>
      </w:r>
      <w:r>
        <w:rPr>
          <w:rFonts w:hint="eastAsia" w:asciiTheme="minorEastAsia" w:hAnsiTheme="minorEastAsia" w:eastAsiaTheme="minorEastAsia" w:cstheme="minorEastAsia"/>
          <w:b/>
          <w:color w:val="auto"/>
          <w:sz w:val="24"/>
          <w:szCs w:val="21"/>
          <w:highlight w:val="none"/>
        </w:rPr>
        <w:t>招标代理费按照30000元整固定计取，中标单位须在领取中标通知书前一次性缴纳招标代理服务费。无论招标结果如何，招标代理工作完成后，招标代理费概不退还。</w:t>
      </w:r>
    </w:p>
    <w:bookmarkEnd w:id="18"/>
    <w:bookmarkEnd w:id="19"/>
    <w:bookmarkEnd w:id="20"/>
    <w:bookmarkEnd w:id="21"/>
    <w:bookmarkEnd w:id="22"/>
    <w:bookmarkEnd w:id="23"/>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14．投标的有效期</w:t>
      </w:r>
    </w:p>
    <w:p>
      <w:pPr>
        <w:spacing w:line="440" w:lineRule="exact"/>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14.1投标文件从开标之日起，投标有效期为90日历日。（如不满足投标将被否决）</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14.2特殊情况下，招标人可于投标有效期期满之前，要求投标人同意延长投标有效期。投标人可以拒绝或同意上述要求，但要求与答复均须是书面文件。对于同意该要求的投标人，招标人既不要求也不允许其修改投标文件。</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15．投标文件的签署及规定</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15.1 投标文件正本须打印，副本可为正本的复印件。</w:t>
      </w:r>
    </w:p>
    <w:p>
      <w:pPr>
        <w:spacing w:line="440" w:lineRule="exact"/>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15.2 投标文件应清楚工整，如有修改，修改处应由投标单位法定代表人或授权代理人签章。</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15.3投标文件应由法定代表人或授权代理人在凡规定签章处逐一签署并加盖单位公章。</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15.4所有投标文件必须提交正本一份和副本四份，并在封面上标记“正本”和“副本”。正本和副本应分别装订（</w:t>
      </w:r>
      <w:r>
        <w:rPr>
          <w:rFonts w:hint="eastAsia" w:asciiTheme="minorEastAsia" w:hAnsiTheme="minorEastAsia" w:eastAsiaTheme="minorEastAsia" w:cstheme="minorEastAsia"/>
          <w:b/>
          <w:sz w:val="28"/>
          <w:szCs w:val="28"/>
        </w:rPr>
        <w:t>胶装</w:t>
      </w:r>
      <w:r>
        <w:rPr>
          <w:rFonts w:hint="eastAsia" w:asciiTheme="minorEastAsia" w:hAnsiTheme="minorEastAsia" w:eastAsiaTheme="minorEastAsia" w:cstheme="minorEastAsia"/>
          <w:sz w:val="24"/>
        </w:rPr>
        <w:t>）成册，不得采用活页夹，投标文件应编制目录，并且逐页连续标注页码。</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15.5 当正本和副本之间出现差异时，以正本为准。</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15.6 电报、电话、传真形式的投标概不接受。</w:t>
      </w:r>
    </w:p>
    <w:p>
      <w:pPr>
        <w:spacing w:line="440" w:lineRule="exact"/>
        <w:ind w:firstLine="472" w:firstLineChars="196"/>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16．投标保证金</w:t>
      </w:r>
    </w:p>
    <w:p>
      <w:pPr>
        <w:spacing w:line="440" w:lineRule="exact"/>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rPr>
        <w:t>16.1</w:t>
      </w:r>
      <w:r>
        <w:rPr>
          <w:rFonts w:hint="eastAsia" w:asciiTheme="minorEastAsia" w:hAnsiTheme="minorEastAsia" w:eastAsiaTheme="minorEastAsia" w:cstheme="minorEastAsia"/>
          <w:spacing w:val="-2"/>
          <w:sz w:val="24"/>
        </w:rPr>
        <w:t>投标人应以人民币提交一笔不少于“投标人须知前附表”中规定数额的投标</w:t>
      </w:r>
      <w:r>
        <w:rPr>
          <w:rFonts w:hint="eastAsia" w:asciiTheme="minorEastAsia" w:hAnsiTheme="minorEastAsia" w:eastAsiaTheme="minorEastAsia" w:cstheme="minorEastAsia"/>
          <w:sz w:val="24"/>
        </w:rPr>
        <w:t>保证金，并作为其投标的一部分。</w:t>
      </w:r>
    </w:p>
    <w:p>
      <w:pPr>
        <w:spacing w:line="4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w:t>
      </w:r>
      <w:r>
        <w:rPr>
          <w:rFonts w:hint="eastAsia" w:asciiTheme="minorEastAsia" w:hAnsiTheme="minorEastAsia" w:eastAsiaTheme="minorEastAsia" w:cstheme="minorEastAsia"/>
          <w:b/>
          <w:sz w:val="24"/>
        </w:rPr>
        <w:t>投标供应商务必在投标截止日前一个工作日交至新疆建投项目管理咨询有限公司财务部，并在投标文件中提供投标保证金电汇截图证明。（交款形式：以公对公电汇方式缴纳）。</w:t>
      </w:r>
    </w:p>
    <w:p>
      <w:pPr>
        <w:spacing w:line="4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投标保证金账户信息：</w:t>
      </w:r>
      <w:r>
        <w:rPr>
          <w:rFonts w:hint="eastAsia" w:asciiTheme="minorEastAsia" w:hAnsiTheme="minorEastAsia" w:eastAsiaTheme="minorEastAsia" w:cstheme="minorEastAsia"/>
          <w:b/>
          <w:sz w:val="24"/>
        </w:rPr>
        <w:t>详见招标文件第二部分 投标人须知前附表</w:t>
      </w:r>
    </w:p>
    <w:p>
      <w:pPr>
        <w:spacing w:line="42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sz w:val="24"/>
        </w:rPr>
        <w:t>附注:XXX项目投标保证金，财务咨询电话：0991-3776687</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16.3所有未中标的投标人的投标保证金，将在中标通知书发出后5个工作日内予以退还，不计利息。中标人的投标保证金在与招标人正式签订合同之日起5个工作日内予以退还，不计利息。</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16.4 未按规定提交投标保证金的投标，将被视为投标无效。</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16.5 下列任何情况发生时，投标保证金将不予退还，转为违约金：</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（1）投标人在招标文件规定的投标有效期内撤回其投标；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（2）中标人在规定期限内未与招标人签订合同。</w:t>
      </w:r>
    </w:p>
    <w:p>
      <w:pPr>
        <w:spacing w:line="480" w:lineRule="exact"/>
        <w:rPr>
          <w:rFonts w:hint="eastAsia" w:asciiTheme="minorEastAsia" w:hAnsiTheme="minorEastAsia" w:eastAsiaTheme="minorEastAsia" w:cstheme="minorEastAsia"/>
          <w:b/>
          <w:sz w:val="32"/>
          <w:szCs w:val="32"/>
        </w:rPr>
      </w:pPr>
    </w:p>
    <w:p>
      <w:pPr>
        <w:spacing w:line="480" w:lineRule="exact"/>
        <w:ind w:firstLine="48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第三章  投标文件的递交</w:t>
      </w:r>
    </w:p>
    <w:p>
      <w:pPr>
        <w:spacing w:line="480" w:lineRule="exact"/>
        <w:ind w:firstLine="480"/>
        <w:jc w:val="center"/>
        <w:rPr>
          <w:rFonts w:hint="eastAsia" w:asciiTheme="minorEastAsia" w:hAnsiTheme="minorEastAsia" w:eastAsiaTheme="minorEastAsia" w:cstheme="minorEastAsia"/>
          <w:b/>
          <w:sz w:val="32"/>
          <w:szCs w:val="32"/>
        </w:rPr>
      </w:pP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17. 投标文件的密封与标记</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 投标人可将投标文件正、副本密封在一起，在密封件的封面上标明项目编号、投标人名称、法定代表人、单位公章、招标人的名称、地址、联系电话。</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格式参考如下：</w:t>
      </w:r>
    </w:p>
    <w:p>
      <w:pPr>
        <w:pStyle w:val="12"/>
        <w:spacing w:line="440" w:lineRule="exact"/>
        <w:ind w:firstLine="439" w:firstLineChars="183"/>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szCs w:val="24"/>
        </w:rPr>
        <w:t>(1)收件人（招标人）的全称和详细地址：</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项目投标文件；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时（即开标时间）前不得开封；</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投标单位名称和详细地址：</w:t>
      </w:r>
    </w:p>
    <w:p>
      <w:pPr>
        <w:spacing w:line="44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（5）联系人及联系电话： </w:t>
      </w:r>
    </w:p>
    <w:p>
      <w:pPr>
        <w:pStyle w:val="12"/>
        <w:tabs>
          <w:tab w:val="left" w:pos="720"/>
        </w:tabs>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17.2如果投标人未按上述要求对投标文件密封及加写标记，招标代理机构对文件的误投或过早启封概不负责。对由此造成提前开封的投标文件，招标代理机构有权予以拒绝，并退回投标人。</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17.3 由于不可抗拒的原因或无法控制的事件而导致丢失或损坏投标包装体内的投标文件，招标人将不负责任。</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18. 投标截止时间</w:t>
      </w:r>
    </w:p>
    <w:p>
      <w:pPr>
        <w:spacing w:line="440" w:lineRule="exact"/>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 投标文件的递交截止日期为招标公告所规定的时间。投标文件以密封形式递交至投标人须知前附表规定的开标地点，在此之后送达的任何投标文件一律不予接收。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 出现第7.2款因招标文件的修改推迟投标截止时间时，则按招标人修改通知规定的时间递交。</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19．投标文件的修改和撤销</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19.1 投标人在递交投标文件后可对其投标文件进行修改或撤消，但须在投标截止时间之前向招标人发出修改或撤消的书面通知，该通知有投标人代理人的签字，但必须确保招标人在投标截止时间之前收到该修改或撤销的书面通知。</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19.2对投标文件修改的书面材料应于投标截止日前送达招标人，投标截止时间以后不得修改投标文件。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19.3 投标人不得在开标时间起至投标有效期期满前撤销投标文件。</w:t>
      </w:r>
    </w:p>
    <w:p>
      <w:pPr>
        <w:spacing w:line="440" w:lineRule="exact"/>
        <w:ind w:firstLine="480" w:firstLineChars="200"/>
        <w:rPr>
          <w:rFonts w:hint="eastAsia" w:asciiTheme="minorEastAsia" w:hAnsiTheme="minorEastAsia" w:eastAsiaTheme="minorEastAsia" w:cstheme="minorEastAsia"/>
          <w:sz w:val="24"/>
        </w:rPr>
      </w:pPr>
    </w:p>
    <w:p>
      <w:pPr>
        <w:spacing w:line="48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 xml:space="preserve">第四章  开标 </w:t>
      </w:r>
    </w:p>
    <w:p>
      <w:pPr>
        <w:spacing w:line="480" w:lineRule="exact"/>
        <w:jc w:val="center"/>
        <w:rPr>
          <w:rFonts w:hint="eastAsia" w:asciiTheme="minorEastAsia" w:hAnsiTheme="minorEastAsia" w:eastAsiaTheme="minorEastAsia" w:cstheme="minorEastAsia"/>
          <w:b/>
          <w:sz w:val="32"/>
          <w:szCs w:val="32"/>
        </w:rPr>
      </w:pP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20．开标</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 本次招标按招标文件的招标公告中规定的时间地点进行开标，将邀请所有投标人的法定代表人或其授权代理人参加开标会。</w:t>
      </w:r>
    </w:p>
    <w:p>
      <w:pPr>
        <w:spacing w:line="440" w:lineRule="exact"/>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20.2 开标前，招标投标监督人员将查验投标人以下证件：</w:t>
      </w:r>
    </w:p>
    <w:p>
      <w:pPr>
        <w:spacing w:line="44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kern w:val="0"/>
          <w:sz w:val="24"/>
        </w:rPr>
        <w:t>（A）</w:t>
      </w:r>
      <w:r>
        <w:rPr>
          <w:rFonts w:hint="eastAsia" w:asciiTheme="minorEastAsia" w:hAnsiTheme="minorEastAsia" w:eastAsiaTheme="minorEastAsia" w:cstheme="minorEastAsia"/>
          <w:b/>
          <w:bCs/>
          <w:color w:val="FF0000"/>
          <w:sz w:val="24"/>
        </w:rPr>
        <w:t>（1）-（</w:t>
      </w:r>
      <w:r>
        <w:rPr>
          <w:rFonts w:hint="eastAsia" w:asciiTheme="minorEastAsia" w:hAnsiTheme="minorEastAsia" w:eastAsiaTheme="minorEastAsia" w:cstheme="minorEastAsia"/>
          <w:b/>
          <w:bCs/>
          <w:color w:val="FF0000"/>
          <w:sz w:val="24"/>
          <w:lang w:val="en-US" w:eastAsia="zh-CN"/>
        </w:rPr>
        <w:t>6</w:t>
      </w:r>
      <w:r>
        <w:rPr>
          <w:rFonts w:hint="eastAsia" w:asciiTheme="minorEastAsia" w:hAnsiTheme="minorEastAsia" w:eastAsiaTheme="minorEastAsia" w:cstheme="minorEastAsia"/>
          <w:b/>
          <w:bCs/>
          <w:color w:val="FF0000"/>
          <w:sz w:val="24"/>
        </w:rPr>
        <w:t>）项为投标时资格审查的必备条件，投标人必须按要求现场单独提交，如果提供不全或密封在投标文件里，则视为对招标文件资格审查内容的不响应，投标将被拒绝（不接受二次提供）。</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（1）符合《中华人民共和国政府采购法》第22条的相关规定，在中华人民共和国境内注册，参与投标的单位必须具有独立的法人资格，具有有效的工商营业执照复印件加盖公章（经营范围须包含本次招标内容）；</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（2）在“信用中国”</w:t>
      </w:r>
      <w:r>
        <w:rPr>
          <w:rFonts w:hint="eastAsia" w:asciiTheme="minorEastAsia" w:hAnsiTheme="minorEastAsia" w:eastAsiaTheme="minorEastAsia" w:cstheme="minorEastAsia"/>
          <w:b/>
          <w:bCs/>
          <w:sz w:val="24"/>
          <w:lang w:val="en-US" w:eastAsia="zh-CN"/>
        </w:rPr>
        <w:t>和</w:t>
      </w:r>
      <w:r>
        <w:rPr>
          <w:rFonts w:hint="eastAsia" w:asciiTheme="minorEastAsia" w:hAnsiTheme="minorEastAsia" w:eastAsiaTheme="minorEastAsia" w:cstheme="minorEastAsia"/>
          <w:b/>
          <w:bCs/>
          <w:sz w:val="24"/>
        </w:rPr>
        <w:t>“中国政府采购网”上未被列入失信被执行人、重大税收违法案件当事人名单以及政府采购严重违法失信行为记录名单的投标供应商，提供加盖公章的查询截图；</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（3）法人代表或其委托代理人应携带本人身份证原件，法人代表、委托代理人还应携带《法定代表人身份证明》和《法人代表授权委托书》</w:t>
      </w:r>
      <w:r>
        <w:rPr>
          <w:rFonts w:hint="eastAsia" w:asciiTheme="minorEastAsia" w:hAnsiTheme="minorEastAsia" w:eastAsiaTheme="minorEastAsia" w:cstheme="minorEastAsia"/>
          <w:b/>
          <w:bCs/>
          <w:kern w:val="0"/>
          <w:sz w:val="24"/>
        </w:rPr>
        <w:t>原件</w:t>
      </w:r>
      <w:r>
        <w:rPr>
          <w:rFonts w:hint="eastAsia" w:asciiTheme="minorEastAsia" w:hAnsiTheme="minorEastAsia" w:eastAsiaTheme="minorEastAsia" w:cstheme="minorEastAsia"/>
          <w:b/>
          <w:bCs/>
          <w:sz w:val="24"/>
        </w:rPr>
        <w:t>；</w:t>
      </w:r>
    </w:p>
    <w:p>
      <w:pPr>
        <w:pStyle w:val="16"/>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4</w:t>
      </w:r>
      <w:r>
        <w:rPr>
          <w:rFonts w:hint="eastAsia" w:asciiTheme="minorEastAsia" w:hAnsiTheme="minorEastAsia" w:eastAsiaTheme="minorEastAsia" w:cstheme="minorEastAsia"/>
          <w:b/>
          <w:bCs/>
          <w:sz w:val="24"/>
          <w:lang w:eastAsia="zh-CN"/>
        </w:rPr>
        <w:t>）具有有效的食品经营许可证或生产许可证（或食品流通许可证）</w:t>
      </w:r>
      <w:r>
        <w:rPr>
          <w:rFonts w:hint="eastAsia" w:asciiTheme="minorEastAsia" w:hAnsiTheme="minorEastAsia" w:eastAsiaTheme="minorEastAsia" w:cstheme="minorEastAsia"/>
          <w:b/>
          <w:bCs/>
          <w:sz w:val="24"/>
          <w:lang w:val="en-US" w:eastAsia="zh-CN"/>
        </w:rPr>
        <w:t>原件复印件加盖公章</w:t>
      </w:r>
      <w:r>
        <w:rPr>
          <w:rFonts w:hint="eastAsia" w:asciiTheme="minorEastAsia" w:hAnsiTheme="minorEastAsia" w:eastAsiaTheme="minorEastAsia" w:cstheme="minorEastAsia"/>
          <w:b/>
          <w:bCs/>
          <w:sz w:val="24"/>
          <w:lang w:eastAsia="zh-CN"/>
        </w:rPr>
        <w:t>；</w:t>
      </w:r>
    </w:p>
    <w:p>
      <w:pPr>
        <w:pStyle w:val="16"/>
        <w:ind w:firstLine="482" w:firstLineChars="200"/>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highlight w:val="none"/>
          <w:lang w:val="en-US" w:eastAsia="zh-CN"/>
        </w:rPr>
        <w:t>5</w:t>
      </w:r>
      <w:r>
        <w:rPr>
          <w:rFonts w:hint="eastAsia" w:asciiTheme="minorEastAsia" w:hAnsiTheme="minorEastAsia" w:eastAsiaTheme="minorEastAsia" w:cstheme="minorEastAsia"/>
          <w:b/>
          <w:bCs/>
          <w:sz w:val="24"/>
          <w:highlight w:val="none"/>
          <w:lang w:eastAsia="zh-CN"/>
        </w:rPr>
        <w:t>）须提供肉制品养殖场的《动物防疫条件合格证》或近期的检疫检验合格证明等复印件加盖公章；</w:t>
      </w:r>
    </w:p>
    <w:p>
      <w:pPr>
        <w:pStyle w:val="16"/>
        <w:ind w:firstLine="48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6</w:t>
      </w:r>
      <w:r>
        <w:rPr>
          <w:rFonts w:hint="eastAsia" w:asciiTheme="minorEastAsia" w:hAnsiTheme="minorEastAsia" w:eastAsiaTheme="minorEastAsia" w:cstheme="minorEastAsia"/>
          <w:b/>
          <w:bCs/>
          <w:sz w:val="24"/>
          <w:highlight w:val="none"/>
          <w:lang w:eastAsia="zh-CN"/>
        </w:rPr>
        <w:t>）须提供至少1项近三年（2018年1月1日至今）副食品供货业绩（须提供采购合同或中标通知书）</w:t>
      </w:r>
      <w:r>
        <w:rPr>
          <w:rFonts w:hint="eastAsia" w:asciiTheme="minorEastAsia" w:hAnsiTheme="minorEastAsia" w:eastAsiaTheme="minorEastAsia" w:cstheme="minorEastAsia"/>
          <w:b/>
          <w:bCs/>
          <w:sz w:val="24"/>
          <w:highlight w:val="none"/>
          <w:lang w:val="en-US" w:eastAsia="zh-CN"/>
        </w:rPr>
        <w:t>原件复印件加盖</w:t>
      </w:r>
      <w:r>
        <w:rPr>
          <w:rFonts w:hint="eastAsia" w:asciiTheme="minorEastAsia" w:hAnsiTheme="minorEastAsia" w:eastAsiaTheme="minorEastAsia" w:cstheme="minorEastAsia"/>
          <w:b/>
          <w:bCs/>
          <w:sz w:val="24"/>
          <w:lang w:val="en-US" w:eastAsia="zh-CN"/>
        </w:rPr>
        <w:t>公章</w:t>
      </w:r>
      <w:r>
        <w:rPr>
          <w:rFonts w:hint="eastAsia" w:asciiTheme="minorEastAsia" w:hAnsiTheme="minorEastAsia" w:eastAsiaTheme="minorEastAsia" w:cstheme="minorEastAsia"/>
          <w:b/>
          <w:bCs/>
          <w:kern w:val="2"/>
          <w:sz w:val="24"/>
          <w:szCs w:val="21"/>
          <w:lang w:val="en-US" w:eastAsia="zh-CN" w:bidi="ar-SA"/>
        </w:rPr>
        <w:t>。</w:t>
      </w:r>
    </w:p>
    <w:p>
      <w:pPr>
        <w:spacing w:line="440" w:lineRule="atLeast"/>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20.3.无效的投标文件</w:t>
      </w:r>
    </w:p>
    <w:p>
      <w:pPr>
        <w:spacing w:line="440" w:lineRule="atLeas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20.3.1开标时，投标文件出现下列情形之一的，应当作为无效投标文件，不得进入评标：</w:t>
      </w:r>
    </w:p>
    <w:p>
      <w:pPr>
        <w:spacing w:line="440" w:lineRule="atLeas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(1)投标文件未按照招标文件的要求予以密封的；</w:t>
      </w:r>
    </w:p>
    <w:p>
      <w:pPr>
        <w:spacing w:line="440" w:lineRule="atLeas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(2)投标文件未按规定时间送达的；</w:t>
      </w:r>
    </w:p>
    <w:p>
      <w:pPr>
        <w:spacing w:line="440" w:lineRule="atLeast"/>
        <w:ind w:firstLine="600" w:firstLineChars="25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(3)投标人的法定代表人或委托代理人未参加开标会议的</w:t>
      </w:r>
      <w:r>
        <w:rPr>
          <w:rFonts w:hint="eastAsia" w:asciiTheme="minorEastAsia" w:hAnsiTheme="minorEastAsia" w:eastAsiaTheme="minorEastAsia" w:cstheme="minorEastAsia"/>
          <w:sz w:val="24"/>
          <w:lang w:eastAsia="zh-CN"/>
        </w:rPr>
        <w:t>；</w:t>
      </w:r>
    </w:p>
    <w:p>
      <w:pPr>
        <w:spacing w:line="440" w:lineRule="atLeast"/>
        <w:ind w:firstLine="600" w:firstLineChars="2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(4)投标人未按照招标文件要求提供投标保证金的；</w:t>
      </w:r>
    </w:p>
    <w:p>
      <w:pPr>
        <w:spacing w:line="440" w:lineRule="atLeast"/>
        <w:ind w:firstLine="600" w:firstLineChars="2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(5)按照本文件第</w:t>
      </w:r>
      <w:r>
        <w:rPr>
          <w:rFonts w:hint="eastAsia" w:asciiTheme="minorEastAsia" w:hAnsiTheme="minorEastAsia" w:eastAsiaTheme="minorEastAsia" w:cstheme="minorEastAsia"/>
          <w:sz w:val="24"/>
          <w:u w:val="single"/>
        </w:rPr>
        <w:t>20.2</w:t>
      </w:r>
      <w:r>
        <w:rPr>
          <w:rFonts w:hint="eastAsia" w:asciiTheme="minorEastAsia" w:hAnsiTheme="minorEastAsia" w:eastAsiaTheme="minorEastAsia" w:cstheme="minorEastAsia"/>
          <w:sz w:val="24"/>
        </w:rPr>
        <w:t>款规定有效证件不齐全的投标人的投标文件。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20.4 开标时检查投标文件密封情况，确认无误后拆封唱标，唱招标人认为合适的内容并记录。</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若招标人宣读的内容与投标文件不符时，投标人有权在开标现场提出异议，经监督人员当场核查确认之后，可重新宣读其投标文件。若投标人现场未提出异议，则认为投标人已确认招标人宣读的结果。</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开标由招标人主持，邀请监督部门人员现场全过程监督。</w:t>
      </w:r>
    </w:p>
    <w:p>
      <w:pPr>
        <w:spacing w:line="440" w:lineRule="atLeast"/>
        <w:ind w:firstLine="456" w:firstLineChars="200"/>
        <w:jc w:val="left"/>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20.5 招标人应做好开标记录，与会的投标人或其代表应在登记册上签字证明出席。</w:t>
      </w:r>
    </w:p>
    <w:p>
      <w:pPr>
        <w:spacing w:line="440" w:lineRule="exact"/>
        <w:rPr>
          <w:rFonts w:hint="eastAsia" w:asciiTheme="minorEastAsia" w:hAnsiTheme="minorEastAsia" w:eastAsiaTheme="minorEastAsia" w:cstheme="minorEastAsia"/>
          <w:b/>
          <w:sz w:val="30"/>
          <w:szCs w:val="30"/>
        </w:rPr>
      </w:pPr>
    </w:p>
    <w:p>
      <w:pPr>
        <w:spacing w:line="440" w:lineRule="exact"/>
        <w:ind w:left="480" w:hanging="48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第五章  评标</w:t>
      </w:r>
    </w:p>
    <w:p>
      <w:pPr>
        <w:spacing w:line="440" w:lineRule="exact"/>
        <w:ind w:left="480" w:hanging="480"/>
        <w:jc w:val="center"/>
        <w:rPr>
          <w:rFonts w:hint="eastAsia" w:asciiTheme="minorEastAsia" w:hAnsiTheme="minorEastAsia" w:eastAsiaTheme="minorEastAsia" w:cstheme="minorEastAsia"/>
          <w:b/>
          <w:sz w:val="32"/>
          <w:szCs w:val="32"/>
        </w:rPr>
      </w:pP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21.评标过程的保密性</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21.1开标后，直到授予投标人合同为止，凡是属于审查、澄清、评价和比较的有关资料以及授标建议等内容，评标委员会成员或参与评标的有关工作人员均不得向投标人或其他无关的人员透露，违者给予警告、取消担任评标委员会成员的资格。</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21.2 投标人在评标过程中，所进行的力图影响评标结果的以及不符合《招投标法》、《政府采购法》以及本次招标的有关规定的活动，将被取消其中标资格。</w:t>
      </w:r>
    </w:p>
    <w:p>
      <w:pPr>
        <w:spacing w:line="440" w:lineRule="exact"/>
        <w:ind w:left="481" w:leftChars="229"/>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22.评标委员会</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22.1 招标人将根据《中华人民共和国政府采购法》的规定，依法组建本次招标的评标委员会，负责本次招标的评审、评标等活动。评标委员会负责向招标人推荐中标候选人或者根据招标人的授权直接确定中标人。</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22.2 评标委员会成员名单于开标前确定。评标委员会成员名单在中标结果确定前保密。</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22.3 评标委员会由招标人或熟悉相关业务的代表以及有关技术、经济等方面的人员组成，成员为五人及以上的单数，其中技术、经济等方面的成员不少于成员总数的三分之二。</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22.4 按前款规定，评标委员会的成员，由招标人采取随机抽取的方式确定或者直接确定的方式。</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22.5.评标专家应符合下列条件：</w:t>
      </w:r>
    </w:p>
    <w:p>
      <w:pPr>
        <w:spacing w:line="440" w:lineRule="exact"/>
        <w:ind w:firstLine="472" w:firstLineChars="200"/>
        <w:outlineLvl w:val="0"/>
        <w:rPr>
          <w:rFonts w:hint="eastAsia" w:asciiTheme="minorEastAsia" w:hAnsiTheme="minorEastAsia" w:eastAsiaTheme="minorEastAsia" w:cstheme="minorEastAsia"/>
          <w:spacing w:val="-2"/>
          <w:sz w:val="24"/>
          <w:lang w:eastAsia="zh-CN"/>
        </w:rPr>
      </w:pPr>
      <w:r>
        <w:rPr>
          <w:rFonts w:hint="eastAsia" w:asciiTheme="minorEastAsia" w:hAnsiTheme="minorEastAsia" w:eastAsiaTheme="minorEastAsia" w:cstheme="minorEastAsia"/>
          <w:spacing w:val="-2"/>
          <w:sz w:val="24"/>
        </w:rPr>
        <w:t>22.5.1熟悉有关政府采购和招标投标的法律法规</w:t>
      </w:r>
      <w:r>
        <w:rPr>
          <w:rFonts w:hint="eastAsia" w:asciiTheme="minorEastAsia" w:hAnsiTheme="minorEastAsia" w:eastAsiaTheme="minorEastAsia" w:cstheme="minorEastAsia"/>
          <w:spacing w:val="-2"/>
          <w:sz w:val="24"/>
          <w:lang w:eastAsia="zh-CN"/>
        </w:rPr>
        <w:t>；</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22.5.2从事相关专业领域工作满八年并具有高级职称或者同等专业水平；</w:t>
      </w:r>
    </w:p>
    <w:p>
      <w:pPr>
        <w:spacing w:line="440" w:lineRule="exact"/>
        <w:ind w:firstLine="472" w:firstLineChars="200"/>
        <w:outlineLvl w:val="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22.5.3 熟悉有关招标投标的法律法规，并具有招标项目相关的实践经验；</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22.5.4能够认真、公正、诚实、廉洁的履行职责。</w:t>
      </w:r>
    </w:p>
    <w:p>
      <w:pPr>
        <w:spacing w:line="440" w:lineRule="exact"/>
        <w:ind w:left="474" w:leftChars="224" w:hanging="4" w:hangingChars="2"/>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有下列情形之一的，不得担任评标委员会成员：</w:t>
      </w:r>
    </w:p>
    <w:p>
      <w:pPr>
        <w:spacing w:line="440" w:lineRule="exact"/>
        <w:ind w:left="474" w:leftChars="224" w:hanging="4" w:hangingChars="2"/>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(1)投标人或者投标人主要负责人的近亲属；</w:t>
      </w:r>
    </w:p>
    <w:p>
      <w:pPr>
        <w:spacing w:line="440" w:lineRule="exact"/>
        <w:ind w:left="474" w:leftChars="224" w:hanging="4" w:hangingChars="2"/>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(2)项目主管部门或者行政监督部门的人员；</w:t>
      </w:r>
    </w:p>
    <w:p>
      <w:pPr>
        <w:spacing w:line="440" w:lineRule="exact"/>
        <w:ind w:left="474" w:leftChars="224" w:hanging="4" w:hangingChars="2"/>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(3)与投标人有经济利益关系，可能影响对投标公正评审的；</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(4)曾因在招标、评标以及其他与招标投标有关活动中从事违法行为而受过行政处罚或刑事处罚的。评标委员会成员有前款规定情形之一的，应当主动提出回避。</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22.6 评标委员会成员应当客观、公正地履行职责，遵守职业道德，并对所提出的评审意见承担个人责任。评标委员会成员不得与任何投标人或者与招标结果有利害关系的人员进行私下接触，不得收受投标人、中介人、其他有利害关系人的财物或者其他好处。</w:t>
      </w:r>
    </w:p>
    <w:p>
      <w:pPr>
        <w:spacing w:line="440" w:lineRule="exact"/>
        <w:ind w:firstLine="47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22.7 评标委员会成员和与本次评标活动有关的工作人员，不得透露对投标文件的评审和比较、中标候选人的推荐情况以及与评标有关的其他情况。与评标活动有关的工作人员，是指评标委员会成员以外的、因参与评标监督工作或者事务性工作而知悉有关评标情况的所有人员。</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23．评标的准备</w:t>
      </w:r>
    </w:p>
    <w:p>
      <w:pPr>
        <w:spacing w:line="440" w:lineRule="exact"/>
        <w:ind w:firstLine="472" w:firstLineChars="200"/>
        <w:outlineLvl w:val="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23.1  评标委员会成员应当熟悉并认真研究招标文件，至少应了解和熟悉以下内容：</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23.1.1 招标目的。</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23.1.2 招标项目的范围、性质。</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23.1.3 招标文件中规定的主要技术要求、标准和商务条款。</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23.1.4 招标文件规定的评标标准、评标方法和在评标过程中应考虑的相关因素。</w:t>
      </w:r>
    </w:p>
    <w:p>
      <w:pPr>
        <w:spacing w:line="440" w:lineRule="exact"/>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23.2  招标人应当向评标委员会提供评标所需的重要信息和数据。</w:t>
      </w:r>
    </w:p>
    <w:p>
      <w:pPr>
        <w:spacing w:line="440" w:lineRule="exact"/>
        <w:ind w:firstLine="472"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23.3  评标委员会应当根据招标文件规定的评标标准和方法，对投标文件进行系统地评审和比较。招标文件中没有规定的标准和方法不得作为评标的依据。</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24．评标办法及程序</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24.1</w:t>
      </w:r>
      <w:r>
        <w:rPr>
          <w:rFonts w:hint="eastAsia" w:asciiTheme="minorEastAsia" w:hAnsiTheme="minorEastAsia" w:eastAsiaTheme="minorEastAsia" w:cstheme="minorEastAsia"/>
          <w:spacing w:val="-2"/>
          <w:sz w:val="24"/>
        </w:rPr>
        <w:t>评标办法：</w:t>
      </w:r>
      <w:r>
        <w:rPr>
          <w:rFonts w:hint="eastAsia" w:asciiTheme="minorEastAsia" w:hAnsiTheme="minorEastAsia" w:eastAsiaTheme="minorEastAsia" w:cstheme="minorEastAsia"/>
          <w:sz w:val="24"/>
        </w:rPr>
        <w:t>本次招标采用综合评分法。</w:t>
      </w:r>
    </w:p>
    <w:p>
      <w:pPr>
        <w:spacing w:line="44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评审程序：</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成立评标委员会→初步评审（符合性审查）→错误修正→详细评审（商务、技术部分评审）→推荐中标候选人→完成评标报告。</w:t>
      </w:r>
    </w:p>
    <w:p>
      <w:pPr>
        <w:spacing w:line="44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sz w:val="24"/>
        </w:rPr>
        <w:t>通过初步评审的投标文件，方能进入下一环节的评审。</w:t>
      </w:r>
    </w:p>
    <w:p>
      <w:pPr>
        <w:spacing w:line="44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25.初步评审</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  评标委员会对投标文件的有效性、完整性和响应程度进行审查时，可以书面方式要求投标人对投标文件中含义不明确、对同类问题表述不一致或者有明显文字和计算错误的内容作必要的澄清、说明或补正。投标人的澄清、说明或补正应以书面方式进行,并不得超出投标文件的范围或者改变投标文件的实质性内容。</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25.2  在评审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投标，其投标将被否决。</w:t>
      </w:r>
    </w:p>
    <w:p>
      <w:pPr>
        <w:spacing w:line="440" w:lineRule="exact"/>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 xml:space="preserve">    25.3　投标最低报价，不作为是否中标的保证。</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25.4　招标方不接受不符合国家有关部门相关规定的投标报价或优惠方案。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25.5　在评审过程中，评标委员会发现投标人以他人名义投标、串通投标、以行贿手段谋取中标或者以其他弄虚作假方式投标的，该投标人的投标将被否决。</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25.6 　投标人的资格条件不符合国家有关规定和招标文件要求的，或者拒不按照要求对投标文件进行澄清、说明或补正的，评标委员会可以否决其投标。</w:t>
      </w:r>
    </w:p>
    <w:p>
      <w:pPr>
        <w:spacing w:line="440" w:lineRule="exact"/>
        <w:ind w:firstLine="472" w:firstLineChars="200"/>
        <w:outlineLvl w:val="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25.7  评标委员会应当审查每一投标文件是否对招标文件提出的所有实质性要求和条件做出响应。未能在实质上响应的投标，其投标将被否决。</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25.8　投标人不得误导、干扰招标方的评审活动，否则将废除其投标。</w:t>
      </w:r>
    </w:p>
    <w:p>
      <w:pPr>
        <w:spacing w:line="440" w:lineRule="exact"/>
        <w:ind w:firstLine="472" w:firstLineChars="200"/>
        <w:outlineLvl w:val="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25.9　评标委员会应当根据招标文件，审查并逐项列出投标文件的全部投标偏差。投标偏差分为重大偏差和细微偏差。</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25.10  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评标委员会应当要求存在细小偏差的投标人在评审结束前以书面形式予以补正。拒绝补正的，在详细评审时可以对细微偏差作不利于该投标人的量化。</w:t>
      </w:r>
    </w:p>
    <w:p>
      <w:pPr>
        <w:spacing w:line="440" w:lineRule="exact"/>
        <w:ind w:firstLine="472" w:firstLineChars="200"/>
        <w:outlineLvl w:val="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25.11  评标委员会根据上述规定否决不合格投标，因有效投标不足三家而使得投标明显缺乏竞争性时，根据《中华人民共和国政府采购法》的相关，将作流标处理。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25.12  投标文件的澄清</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25.12.1　为有助于对投标文件进行审查、评估和比较，招标方组建的评标委员会将对认为需要（不是每一个）的投标人进行询标，请投标方澄清其投标内容，投标方有责任按照招标方通知的时间、地点指派专人进行答疑和澄清。询标时投标方代表应作书面记录，所有澄清的答复必须是书面形式。</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25.12.2　重要澄清的答复应是书面的，但不得对投标的价格、技术指标和参数等内容进行实质性修改。澄清文件须由投标方法定代表人或法人授权代表签字和（或）加盖投标方公章并作为投标文件的组成部分。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25.12.3  投标人的澄清不得对投标内容进行实质性修改。</w:t>
      </w:r>
    </w:p>
    <w:p>
      <w:pPr>
        <w:spacing w:line="440" w:lineRule="exact"/>
        <w:ind w:firstLine="474"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b/>
          <w:color w:val="000000"/>
          <w:spacing w:val="-2"/>
          <w:sz w:val="24"/>
        </w:rPr>
        <w:t>初步评审的标准详见附表1。</w:t>
      </w:r>
    </w:p>
    <w:p>
      <w:pPr>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26. 详细评审</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26.1  经初步评审合格的投标文件，评标委员会应当根据招标文件确定的评审标准和方法，对其技术和商务部分作进一步的评审和比较。</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26.2  根据综合评分法完成评标工作后，评标委员会应当向招标人递交书面评标报告。</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26.3  评审和定标一般应当在开标后7个工作日内完成，项目金额较大、技术较为复杂等特殊项目的评审工作应当在30个工作日内完成。不能在开标后30个工作日内完成评审和定标的，招标人应当提前3天通知所有投标人延长投标有效期。同意延长投标有效期的投标人应当相应延长投标保证金的有效期，但不得修改投标文件的实质性内容。</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27.评审因素及标准(详见评分细则) 详细评审的标准详见附表2。</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27.1  评标委员会对投标文件的有效性、完整性和响应程度进行审查时，应当以书面方式要求投标人对投标文件中含义不明确、对同类问题表述不一致或者有明显文字和计算错误的内容作必要的澄清、说明或补正。</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 xml:space="preserve">投标人的澄清、说明或补正应以书面方式进行，并加盖公章，或者由法定代表人或其授权的代表签字。投标人的澄清、说明或者补正不得超出投标文件的范围或者改变招标文件的实质性内容。 </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按上述规定，经投标人确认后，对投标人起约束作用。如果投标人不确认的，则其投标无效。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27.2  采购方不接受不符合国家有关部门相关规定的投标报价或优惠方案。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27.3  在评审过程中，评标委员会发现投标人以他人名义投标、串通投标、以行贿手段谋取中标或者以其他弄虚作假方式投标的，该投标人的投标将被否决。</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27.4  有下列情形之一的，视为投标人串通投标，其投标无效：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(1)不同投标人的投标文件由同一单位或者个人编制；</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(2)不同投标人委托同一单位或者个人办理投标事宜；</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(3)不同投标人的投标文件载明的项目管理成员或者联系人员为同一人；</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(4)不同投标人的投标文件异常一致或者投标报价呈规律性差异；</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(5)不同投标人的投标文件相互混装；</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(6)不同投标人的投标保证金从同一单位或者个人的账户转出。</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27.5  投标人存在下列情况之一的，投标无效：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(1)未按照招标文件的规定提交投标保证金的；</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(2)投标文件未按招标文件要求签署、盖章的；</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(3)不具备招标文件中规定的资格要求的；</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(4)报价超过招标文件中规定的预算金额或者最高限价的；</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(5)投标文件含有采购人不能接受的附加条件的；</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(6)法律、法规和招标文件规定的其他无效情形。</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27.6  评标委员会应当审查每一投标文件是否对招标文件提出的所有实质性要求和条件做出响应。未能在实质上响应的投标，其投标将被否决。</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27.7　投标人不得误导、干扰采购方的评审活动，否则将废除其投标。</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27.8 评标委员会根据上述规定否决不合格投标，因有效投标不足本次评审办法规定数量而使得投标明显缺乏竞争性时，根据《中华人民共和国政府采购法》的相关规定，将作流标处理。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28. 投标文件计算错误的修正</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28.1 投标文件中报价出现前后不一致的，评标委员会按以下原则对投标报价进行修正：</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a. 投标文件中开标一览表（报价表）内容与投标文件中相应内容不一致的，以开标一览表（报价表）为准；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b. 大写金额和小写金额不一致的，以大写金额为准；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c. 单价金额小数点或者百分比有明显错位的，以开标一览表的总价为准，并修改单价；</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d. 总价金额与按单价汇总金额不一致的，以单价金额计算结果为准。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同时出现两种以上不一致的，按照前款规定的顺序修正。</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28.2 修正后的最终投标报价若超过最高投标限价（如有），评标委员会应当否决其投标。</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28.3按上述修正错误的原则及方法调整或修正投标文件的投标报价，经投标人确认后，对投标人起约束作用。如果投标人不确认的，则其投标无效。</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 详细评审</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29.1  经符合性审查合格的投标文件，评标委员会应当根据招标文件确定的评审标准和方法，对其技术和商务部分进行综合比较与评价。</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29.2 评标时，评标委员会各成员应当独立对每个投标人的投标文件进行评价，并汇总每个投标人的得分。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29.3  评审和定标一般应当在开标后7个工作日内完成，项目金额较大、技术较为复杂等特殊项目的评审工作应当在30个工作日内完成。不能在开标后30个工作日内完成评审和定标的，招标人应当提前3天通知所有投标人延长投标有效期。同意延长投标有效期的投标人应当相应延长投标保证金的有效期，但不得修改投标文件的实质性内容。</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29.4评审因素及标准(详见评分细则)</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评审因素：与投标人所提供货物服务的质量相关，包括投标报价、技术或者服务水平、履约能力、售后服务等。</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（1） 商务技术部分90分 ；</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 投标报价部分10分。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计算各项分值时，按四舍五入的原则，保留小数点后二位。</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29.5报价</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29.5.1本项目为公开招标，只有一次报价，通过符合性审查的竞标人的有效报价将进入商务报价评审。</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商务标报价得分计算说明：</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本次评标采用综合评分法；价格分采用低价优先法计算，即满足招标文件要求且投标价格最低的投标报价为评标基准价，其价格分为满分。其他供应商的价格分计算公式详见附表2（2）报价部分评审。</w:t>
      </w:r>
    </w:p>
    <w:p>
      <w:pPr>
        <w:spacing w:line="440" w:lineRule="exact"/>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color w:val="000000"/>
          <w:spacing w:val="-2"/>
          <w:sz w:val="24"/>
        </w:rPr>
        <w:t>评标过程中，不得去</w:t>
      </w:r>
      <w:r>
        <w:rPr>
          <w:rFonts w:hint="eastAsia" w:asciiTheme="minorEastAsia" w:hAnsiTheme="minorEastAsia" w:eastAsiaTheme="minorEastAsia" w:cstheme="minorEastAsia"/>
          <w:color w:val="auto"/>
          <w:spacing w:val="-2"/>
          <w:sz w:val="24"/>
        </w:rPr>
        <w:t>掉报价中的最高报价和最低报价。</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auto"/>
          <w:spacing w:val="-2"/>
          <w:sz w:val="24"/>
        </w:rPr>
        <w:t>符合促进中小企业（监狱企业、残疾人福利性单位）发展政策的，其价格给予6%的扣除，用扣除后的价格参与评审打分。若投标人和小微企业的产品/服务制造商有一个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w:t>
      </w:r>
      <w:r>
        <w:rPr>
          <w:rFonts w:hint="eastAsia" w:asciiTheme="minorEastAsia" w:hAnsiTheme="minorEastAsia" w:eastAsiaTheme="minorEastAsia" w:cstheme="minorEastAsia"/>
          <w:color w:val="000000"/>
          <w:spacing w:val="-2"/>
          <w:sz w:val="24"/>
        </w:rPr>
        <w:t>格部分；否则，其评标价=投标人报价。</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29.6 综合得分</w:t>
      </w:r>
    </w:p>
    <w:p>
      <w:pPr>
        <w:spacing w:line="440" w:lineRule="exact"/>
        <w:ind w:firstLine="472" w:firstLineChars="200"/>
        <w:rPr>
          <w:rFonts w:hint="eastAsia" w:asciiTheme="minorEastAsia" w:hAnsiTheme="minorEastAsia" w:eastAsiaTheme="minorEastAsia" w:cstheme="minorEastAsia"/>
          <w:color w:val="000000"/>
          <w:spacing w:val="-2"/>
          <w:sz w:val="24"/>
        </w:rPr>
      </w:pPr>
      <w:r>
        <w:rPr>
          <w:rFonts w:hint="eastAsia" w:asciiTheme="minorEastAsia" w:hAnsiTheme="minorEastAsia" w:eastAsiaTheme="minorEastAsia" w:cstheme="minorEastAsia"/>
          <w:color w:val="000000"/>
          <w:spacing w:val="-2"/>
          <w:sz w:val="24"/>
        </w:rPr>
        <w:t>综合得分=商务技术部分得分+投标报价部分得分</w:t>
      </w:r>
    </w:p>
    <w:p>
      <w:pPr>
        <w:spacing w:line="420" w:lineRule="auto"/>
        <w:ind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2"/>
          <w:sz w:val="24"/>
        </w:rPr>
        <w:t>详细评审的标准详见附表2。</w:t>
      </w:r>
    </w:p>
    <w:p>
      <w:pPr>
        <w:spacing w:line="240" w:lineRule="auto"/>
        <w:ind w:firstLine="0" w:firstLineChars="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pPr>
        <w:spacing w:line="420" w:lineRule="auto"/>
        <w:ind w:firstLine="56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8"/>
          <w:szCs w:val="28"/>
        </w:rPr>
        <w:t>附表1：</w:t>
      </w:r>
    </w:p>
    <w:p>
      <w:pPr>
        <w:spacing w:line="440" w:lineRule="exact"/>
        <w:ind w:firstLine="643"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32"/>
          <w:szCs w:val="32"/>
        </w:rPr>
        <w:t>初步评审－资格审查表</w:t>
      </w:r>
    </w:p>
    <w:tbl>
      <w:tblPr>
        <w:tblStyle w:val="20"/>
        <w:tblW w:w="9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240"/>
        <w:gridCol w:w="373"/>
        <w:gridCol w:w="373"/>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590" w:type="dxa"/>
            <w:vMerge w:val="restart"/>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7240" w:type="dxa"/>
            <w:vMerge w:val="restart"/>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评审项目</w:t>
            </w:r>
          </w:p>
        </w:tc>
        <w:tc>
          <w:tcPr>
            <w:tcW w:w="1286" w:type="dxa"/>
            <w:gridSpan w:val="3"/>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590" w:type="dxa"/>
            <w:vMerge w:val="continue"/>
            <w:vAlign w:val="center"/>
          </w:tcPr>
          <w:p>
            <w:pPr>
              <w:jc w:val="left"/>
              <w:rPr>
                <w:rFonts w:hint="eastAsia" w:asciiTheme="minorEastAsia" w:hAnsiTheme="minorEastAsia" w:eastAsiaTheme="minorEastAsia" w:cstheme="minorEastAsia"/>
                <w:sz w:val="22"/>
                <w:szCs w:val="22"/>
              </w:rPr>
            </w:pPr>
          </w:p>
        </w:tc>
        <w:tc>
          <w:tcPr>
            <w:tcW w:w="7240" w:type="dxa"/>
            <w:vMerge w:val="continue"/>
            <w:vAlign w:val="center"/>
          </w:tcPr>
          <w:p>
            <w:pPr>
              <w:jc w:val="left"/>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54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9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中华人民共和国政府采购法》第22条的相关规定，在中华人民共和国境内注册，参与投标的单位必须具有独立的法人资格，具有有效的工商营业执照（经营范围须包含粮油副食品供应配送等内容）复印件（并加盖公章）；</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54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9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是否具备</w:t>
            </w:r>
            <w:r>
              <w:rPr>
                <w:rFonts w:hint="eastAsia" w:asciiTheme="minorEastAsia" w:hAnsiTheme="minorEastAsia" w:eastAsiaTheme="minorEastAsia" w:cstheme="minorEastAsia"/>
                <w:sz w:val="22"/>
                <w:szCs w:val="22"/>
              </w:rPr>
              <w:t>《食品流通许可证》或《食品经营许可证》或《食品生产许可证》证件的复印件（并加盖公章）；</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54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9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是否具备</w:t>
            </w:r>
            <w:r>
              <w:rPr>
                <w:rFonts w:hint="eastAsia" w:asciiTheme="minorEastAsia" w:hAnsiTheme="minorEastAsia" w:eastAsiaTheme="minorEastAsia" w:cstheme="minorEastAsia"/>
                <w:sz w:val="22"/>
                <w:szCs w:val="22"/>
              </w:rPr>
              <w:t>肉制品的《动物防疫条件合格证》或近期的检疫检验合格证明的复印件（并加盖公章）。</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373"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c>
          <w:tcPr>
            <w:tcW w:w="54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90"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是否具备</w:t>
            </w:r>
            <w:r>
              <w:rPr>
                <w:rFonts w:hint="eastAsia" w:asciiTheme="minorEastAsia" w:hAnsiTheme="minorEastAsia" w:eastAsiaTheme="minorEastAsia" w:cstheme="minorEastAsia"/>
                <w:sz w:val="22"/>
                <w:szCs w:val="22"/>
              </w:rPr>
              <w:t>近三年（2018年1月1日至今）至少1项副食品供货业绩（须提供采购合同或中标通知书）</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90"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w:t>
            </w:r>
            <w:r>
              <w:rPr>
                <w:rFonts w:hint="eastAsia" w:asciiTheme="minorEastAsia" w:hAnsiTheme="minorEastAsia" w:eastAsiaTheme="minorEastAsia" w:cstheme="minorEastAsia"/>
                <w:sz w:val="22"/>
                <w:szCs w:val="22"/>
              </w:rPr>
              <w:t>提供了履行合同所必需的设备和专业技术能力的书面声明。</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90"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7240" w:type="dxa"/>
            <w:vAlign w:val="center"/>
          </w:tcPr>
          <w:p>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是否</w:t>
            </w:r>
            <w:r>
              <w:rPr>
                <w:rFonts w:hint="eastAsia" w:asciiTheme="minorEastAsia" w:hAnsiTheme="minorEastAsia" w:eastAsiaTheme="minorEastAsia" w:cstheme="minorEastAsia"/>
                <w:sz w:val="22"/>
                <w:szCs w:val="22"/>
              </w:rPr>
              <w:t>提供了参加政府采购活动前 3 年内在经营活动中没有重大违法记录的书面声明</w:t>
            </w:r>
            <w:r>
              <w:rPr>
                <w:rFonts w:hint="eastAsia" w:asciiTheme="minorEastAsia" w:hAnsiTheme="minorEastAsia" w:eastAsiaTheme="minorEastAsia" w:cstheme="minorEastAsia"/>
                <w:sz w:val="22"/>
                <w:szCs w:val="22"/>
                <w:lang w:eastAsia="zh-CN"/>
              </w:rPr>
              <w:t>。</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90" w:type="dxa"/>
            <w:vAlign w:val="center"/>
          </w:tcPr>
          <w:p>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7</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是否具备</w:t>
            </w:r>
            <w:r>
              <w:rPr>
                <w:rFonts w:hint="eastAsia" w:asciiTheme="minorEastAsia" w:hAnsiTheme="minorEastAsia" w:eastAsiaTheme="minorEastAsia" w:cstheme="minorEastAsia"/>
                <w:sz w:val="22"/>
                <w:szCs w:val="22"/>
              </w:rPr>
              <w:t>投标保证金电汇凭证复印件；</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590" w:type="dxa"/>
            <w:vAlign w:val="center"/>
          </w:tcPr>
          <w:p>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8</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是否具备</w:t>
            </w:r>
            <w:r>
              <w:rPr>
                <w:rFonts w:hint="eastAsia" w:asciiTheme="minorEastAsia" w:hAnsiTheme="minorEastAsia" w:eastAsiaTheme="minorEastAsia" w:cstheme="minorEastAsia"/>
                <w:sz w:val="22"/>
                <w:szCs w:val="22"/>
              </w:rPr>
              <w:t>在“信用中国”</w:t>
            </w:r>
            <w:r>
              <w:rPr>
                <w:rFonts w:hint="eastAsia" w:asciiTheme="minorEastAsia" w:hAnsiTheme="minorEastAsia" w:eastAsiaTheme="minorEastAsia" w:cstheme="minorEastAsia"/>
                <w:sz w:val="22"/>
                <w:szCs w:val="22"/>
                <w:lang w:val="en-US" w:eastAsia="zh-CN"/>
              </w:rPr>
              <w:t>和</w:t>
            </w:r>
            <w:r>
              <w:rPr>
                <w:rFonts w:hint="eastAsia" w:asciiTheme="minorEastAsia" w:hAnsiTheme="minorEastAsia" w:eastAsiaTheme="minorEastAsia" w:cstheme="minorEastAsia"/>
                <w:sz w:val="22"/>
                <w:szCs w:val="22"/>
              </w:rPr>
              <w:t>“中国政府采购网”上未被列入失信被执行人、重大税收违法案件当事人名单以及政府采购严重违法失信行为记录名单的投标人网上查询截图；</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590"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7240" w:type="dxa"/>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无法律、法规和招标文件规定的其他无效情形。</w:t>
            </w:r>
          </w:p>
        </w:tc>
        <w:tc>
          <w:tcPr>
            <w:tcW w:w="373" w:type="dxa"/>
            <w:vAlign w:val="center"/>
          </w:tcPr>
          <w:p>
            <w:pPr>
              <w:jc w:val="center"/>
              <w:rPr>
                <w:rFonts w:hint="eastAsia" w:asciiTheme="minorEastAsia" w:hAnsiTheme="minorEastAsia" w:eastAsiaTheme="minorEastAsia" w:cstheme="minorEastAsia"/>
                <w:sz w:val="22"/>
                <w:szCs w:val="22"/>
              </w:rPr>
            </w:pPr>
          </w:p>
        </w:tc>
        <w:tc>
          <w:tcPr>
            <w:tcW w:w="373" w:type="dxa"/>
            <w:vAlign w:val="center"/>
          </w:tcPr>
          <w:p>
            <w:pPr>
              <w:jc w:val="center"/>
              <w:rPr>
                <w:rFonts w:hint="eastAsia" w:asciiTheme="minorEastAsia" w:hAnsiTheme="minorEastAsia" w:eastAsiaTheme="minorEastAsia" w:cstheme="minorEastAsia"/>
                <w:sz w:val="22"/>
                <w:szCs w:val="22"/>
              </w:rPr>
            </w:pPr>
          </w:p>
        </w:tc>
        <w:tc>
          <w:tcPr>
            <w:tcW w:w="540" w:type="dxa"/>
            <w:vAlign w:val="center"/>
          </w:tcPr>
          <w:p>
            <w:pPr>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9116" w:type="dxa"/>
            <w:gridSpan w:val="5"/>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1、评审小组在认真理解招标文件的有关情况后，按上述内容对投标文件做出须自己负责的评审。2、表中所述分项评审结果分两种：（1）合格用“√”表示；（2）不合格用“ X ”表示，评委对某一分项评审认为不合格时，必须要写明原因。有一项不合格的，则结论为不通过。</w:t>
            </w:r>
          </w:p>
        </w:tc>
      </w:tr>
    </w:tbl>
    <w:p>
      <w:pPr>
        <w:widowControl/>
        <w:spacing w:line="460" w:lineRule="exact"/>
        <w:jc w:val="center"/>
        <w:rPr>
          <w:rFonts w:hint="eastAsia" w:asciiTheme="minorEastAsia" w:hAnsiTheme="minorEastAsia" w:eastAsiaTheme="minorEastAsia" w:cstheme="minorEastAsia"/>
          <w:b/>
          <w:bCs/>
          <w:sz w:val="28"/>
          <w:szCs w:val="28"/>
        </w:rPr>
      </w:pPr>
    </w:p>
    <w:p>
      <w:pPr>
        <w:widowControl/>
        <w:spacing w:line="4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初步评审—符合性审查表</w:t>
      </w:r>
    </w:p>
    <w:tbl>
      <w:tblPr>
        <w:tblStyle w:val="20"/>
        <w:tblW w:w="9198" w:type="dxa"/>
        <w:jc w:val="center"/>
        <w:tblInd w:w="-6" w:type="dxa"/>
        <w:tblLayout w:type="fixed"/>
        <w:tblCellMar>
          <w:top w:w="0" w:type="dxa"/>
          <w:left w:w="57" w:type="dxa"/>
          <w:bottom w:w="0" w:type="dxa"/>
          <w:right w:w="0" w:type="dxa"/>
        </w:tblCellMar>
      </w:tblPr>
      <w:tblGrid>
        <w:gridCol w:w="588"/>
        <w:gridCol w:w="7571"/>
        <w:gridCol w:w="403"/>
        <w:gridCol w:w="321"/>
        <w:gridCol w:w="315"/>
      </w:tblGrid>
      <w:tr>
        <w:tblPrEx>
          <w:tblLayout w:type="fixed"/>
          <w:tblCellMar>
            <w:top w:w="0" w:type="dxa"/>
            <w:left w:w="57" w:type="dxa"/>
            <w:bottom w:w="0" w:type="dxa"/>
            <w:right w:w="0" w:type="dxa"/>
          </w:tblCellMar>
        </w:tblPrEx>
        <w:trPr>
          <w:trHeight w:val="326" w:hRule="atLeast"/>
          <w:jc w:val="center"/>
        </w:trPr>
        <w:tc>
          <w:tcPr>
            <w:tcW w:w="588" w:type="dxa"/>
            <w:vMerge w:val="restart"/>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75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投标文件符合性审查内容</w:t>
            </w:r>
          </w:p>
        </w:tc>
        <w:tc>
          <w:tcPr>
            <w:tcW w:w="1039"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投标人</w:t>
            </w:r>
          </w:p>
        </w:tc>
      </w:tr>
      <w:tr>
        <w:tblPrEx>
          <w:tblLayout w:type="fixed"/>
          <w:tblCellMar>
            <w:top w:w="0" w:type="dxa"/>
            <w:left w:w="57" w:type="dxa"/>
            <w:bottom w:w="0" w:type="dxa"/>
            <w:right w:w="0" w:type="dxa"/>
          </w:tblCellMar>
        </w:tblPrEx>
        <w:trPr>
          <w:trHeight w:val="233"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p>
        </w:tc>
        <w:tc>
          <w:tcPr>
            <w:tcW w:w="75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p>
        </w:tc>
        <w:tc>
          <w:tcPr>
            <w:tcW w:w="4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p>
        </w:tc>
        <w:tc>
          <w:tcPr>
            <w:tcW w:w="321"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3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w:t>
            </w:r>
          </w:p>
        </w:tc>
      </w:tr>
      <w:tr>
        <w:tblPrEx>
          <w:tblLayout w:type="fixed"/>
          <w:tblCellMar>
            <w:top w:w="0" w:type="dxa"/>
            <w:left w:w="57" w:type="dxa"/>
            <w:bottom w:w="0" w:type="dxa"/>
            <w:right w:w="0" w:type="dxa"/>
          </w:tblCellMar>
        </w:tblPrEx>
        <w:trPr>
          <w:trHeight w:val="233" w:hRule="atLeast"/>
          <w:jc w:val="center"/>
        </w:trPr>
        <w:tc>
          <w:tcPr>
            <w:tcW w:w="588" w:type="dxa"/>
            <w:tcBorders>
              <w:top w:val="nil"/>
              <w:left w:val="single" w:color="auto" w:sz="4" w:space="0"/>
              <w:bottom w:val="single" w:color="000000"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提供了法定代表人授权委托书、加盖公章的被授权人身份证复印件；（或法定代表人到场参与投标的，提供了法定代表人身份证明原件、加盖公章的法定代表人身份证复印件）。</w:t>
            </w:r>
          </w:p>
        </w:tc>
        <w:tc>
          <w:tcPr>
            <w:tcW w:w="4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inorEastAsia" w:hAnsiTheme="minorEastAsia" w:eastAsiaTheme="minorEastAsia" w:cstheme="minorEastAsia"/>
                <w:sz w:val="22"/>
                <w:szCs w:val="22"/>
              </w:rPr>
            </w:pPr>
          </w:p>
        </w:tc>
        <w:tc>
          <w:tcPr>
            <w:tcW w:w="321"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Theme="minorEastAsia" w:hAnsiTheme="minorEastAsia" w:eastAsiaTheme="minorEastAsia" w:cstheme="minorEastAsia"/>
                <w:sz w:val="22"/>
                <w:szCs w:val="22"/>
              </w:rPr>
            </w:pPr>
          </w:p>
        </w:tc>
        <w:tc>
          <w:tcPr>
            <w:tcW w:w="3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inorEastAsia" w:hAnsiTheme="minorEastAsia" w:eastAsiaTheme="minorEastAsia" w:cstheme="minorEastAsia"/>
                <w:sz w:val="22"/>
                <w:szCs w:val="22"/>
              </w:rPr>
            </w:pPr>
          </w:p>
        </w:tc>
      </w:tr>
      <w:tr>
        <w:tblPrEx>
          <w:tblLayout w:type="fixed"/>
          <w:tblCellMar>
            <w:top w:w="0" w:type="dxa"/>
            <w:left w:w="57" w:type="dxa"/>
            <w:bottom w:w="0" w:type="dxa"/>
            <w:right w:w="0" w:type="dxa"/>
          </w:tblCellMar>
        </w:tblPrEx>
        <w:trPr>
          <w:trHeight w:val="90" w:hRule="atLeast"/>
          <w:jc w:val="center"/>
        </w:trPr>
        <w:tc>
          <w:tcPr>
            <w:tcW w:w="588" w:type="dxa"/>
            <w:tcBorders>
              <w:top w:val="nil"/>
              <w:left w:val="single" w:color="auto" w:sz="4" w:space="0"/>
              <w:bottom w:val="single" w:color="000000"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2</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凡招标文件中要求盖章或</w:t>
            </w:r>
            <w:r>
              <w:rPr>
                <w:rFonts w:hint="eastAsia" w:asciiTheme="minorEastAsia" w:hAnsiTheme="minorEastAsia" w:eastAsiaTheme="minorEastAsia" w:cstheme="minorEastAsia"/>
                <w:sz w:val="22"/>
                <w:szCs w:val="22"/>
                <w:lang w:val="zh-CN"/>
              </w:rPr>
              <w:t>签字</w:t>
            </w:r>
            <w:r>
              <w:rPr>
                <w:rFonts w:hint="eastAsia" w:asciiTheme="minorEastAsia" w:hAnsiTheme="minorEastAsia" w:eastAsiaTheme="minorEastAsia" w:cstheme="minorEastAsia"/>
                <w:kern w:val="0"/>
                <w:sz w:val="22"/>
                <w:szCs w:val="22"/>
              </w:rPr>
              <w:t>处，按要求加盖单位公章、法定代表人或被授权委托人签字或盖章的。　</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417" w:hRule="atLeast"/>
          <w:jc w:val="center"/>
        </w:trPr>
        <w:tc>
          <w:tcPr>
            <w:tcW w:w="588" w:type="dxa"/>
            <w:tcBorders>
              <w:top w:val="nil"/>
              <w:left w:val="single" w:color="auto" w:sz="4" w:space="0"/>
              <w:bottom w:val="single" w:color="000000"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3</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投标文件组成齐全完整，内容均按规定填写；投标文件的关键内容无字迹模糊，无法辨认</w:t>
            </w:r>
            <w:r>
              <w:rPr>
                <w:rFonts w:hint="eastAsia" w:asciiTheme="minorEastAsia" w:hAnsiTheme="minorEastAsia" w:eastAsiaTheme="minorEastAsia" w:cstheme="minorEastAsia"/>
                <w:kern w:val="0"/>
                <w:sz w:val="22"/>
                <w:szCs w:val="22"/>
                <w:lang w:val="en-US" w:eastAsia="zh-CN"/>
              </w:rPr>
              <w:t>的情况</w:t>
            </w:r>
            <w:r>
              <w:rPr>
                <w:rFonts w:hint="eastAsia" w:asciiTheme="minorEastAsia" w:hAnsiTheme="minorEastAsia" w:eastAsiaTheme="minorEastAsia" w:cstheme="minorEastAsia"/>
                <w:kern w:val="0"/>
                <w:sz w:val="22"/>
                <w:szCs w:val="22"/>
              </w:rPr>
              <w:t>。　</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630"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4</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投标报价没有出现与市场价偏离较大，低于成本，形成不正当竞争。</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972"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5</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同一投标人没有提交两个或两个以上不同的投标文件或者投标报价，但招标文件要求提交备选投标的除外。</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563"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6</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投标人的投标报价未超出单价限价及最高投标限价。</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589"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7</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bCs/>
                <w:kern w:val="0"/>
                <w:sz w:val="22"/>
                <w:szCs w:val="22"/>
              </w:rPr>
              <w:t>投标文件载明的</w:t>
            </w:r>
            <w:r>
              <w:rPr>
                <w:rFonts w:hint="eastAsia" w:asciiTheme="minorEastAsia" w:hAnsiTheme="minorEastAsia" w:eastAsiaTheme="minorEastAsia" w:cstheme="minorEastAsia"/>
                <w:bCs/>
                <w:kern w:val="0"/>
                <w:sz w:val="22"/>
                <w:szCs w:val="22"/>
                <w:lang w:val="en-US" w:eastAsia="zh-CN"/>
              </w:rPr>
              <w:t>服务</w:t>
            </w:r>
            <w:r>
              <w:rPr>
                <w:rFonts w:hint="eastAsia" w:asciiTheme="minorEastAsia" w:hAnsiTheme="minorEastAsia" w:eastAsiaTheme="minorEastAsia" w:cstheme="minorEastAsia"/>
                <w:bCs/>
                <w:kern w:val="0"/>
                <w:sz w:val="22"/>
                <w:szCs w:val="22"/>
              </w:rPr>
              <w:t>期限</w:t>
            </w:r>
            <w:r>
              <w:rPr>
                <w:rFonts w:hint="eastAsia" w:asciiTheme="minorEastAsia" w:hAnsiTheme="minorEastAsia" w:eastAsiaTheme="minorEastAsia" w:cstheme="minorEastAsia"/>
                <w:bCs/>
                <w:kern w:val="0"/>
                <w:sz w:val="22"/>
                <w:szCs w:val="22"/>
                <w:lang w:val="en-US" w:eastAsia="zh-CN"/>
              </w:rPr>
              <w:t>符合</w:t>
            </w:r>
            <w:r>
              <w:rPr>
                <w:rFonts w:hint="eastAsia" w:asciiTheme="minorEastAsia" w:hAnsiTheme="minorEastAsia" w:eastAsiaTheme="minorEastAsia" w:cstheme="minorEastAsia"/>
                <w:bCs/>
                <w:kern w:val="0"/>
                <w:sz w:val="22"/>
                <w:szCs w:val="22"/>
              </w:rPr>
              <w:t>招标文件</w:t>
            </w:r>
            <w:r>
              <w:rPr>
                <w:rFonts w:hint="eastAsia" w:asciiTheme="minorEastAsia" w:hAnsiTheme="minorEastAsia" w:eastAsiaTheme="minorEastAsia" w:cstheme="minorEastAsia"/>
                <w:bCs/>
                <w:kern w:val="0"/>
                <w:sz w:val="22"/>
                <w:szCs w:val="22"/>
                <w:lang w:val="en-US" w:eastAsia="zh-CN"/>
              </w:rPr>
              <w:t>要求的服务</w:t>
            </w:r>
            <w:r>
              <w:rPr>
                <w:rFonts w:hint="eastAsia" w:asciiTheme="minorEastAsia" w:hAnsiTheme="minorEastAsia" w:eastAsiaTheme="minorEastAsia" w:cstheme="minorEastAsia"/>
                <w:bCs/>
                <w:kern w:val="0"/>
                <w:sz w:val="22"/>
                <w:szCs w:val="22"/>
              </w:rPr>
              <w:t>期限。</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589"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8</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投标文件符合招标文件实质性要求的。</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548"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9</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投标人不存在串通投标、弄虚作假等违法行为的。</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589"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10</w:t>
            </w: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无法律、法规和招标文件规定的其他无效情形。</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182" w:hRule="atLeast"/>
          <w:jc w:val="center"/>
        </w:trPr>
        <w:tc>
          <w:tcPr>
            <w:tcW w:w="588"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p>
        </w:tc>
        <w:tc>
          <w:tcPr>
            <w:tcW w:w="75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结论（“√”表示通过，“×”表示不通过）</w:t>
            </w:r>
          </w:p>
        </w:tc>
        <w:tc>
          <w:tcPr>
            <w:tcW w:w="40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2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c>
          <w:tcPr>
            <w:tcW w:w="315"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hint="eastAsia" w:asciiTheme="minorEastAsia" w:hAnsiTheme="minorEastAsia" w:eastAsiaTheme="minorEastAsia" w:cstheme="minorEastAsia"/>
                <w:kern w:val="0"/>
                <w:sz w:val="22"/>
                <w:szCs w:val="22"/>
              </w:rPr>
            </w:pPr>
          </w:p>
        </w:tc>
      </w:tr>
      <w:tr>
        <w:tblPrEx>
          <w:tblLayout w:type="fixed"/>
          <w:tblCellMar>
            <w:top w:w="0" w:type="dxa"/>
            <w:left w:w="57" w:type="dxa"/>
            <w:bottom w:w="0" w:type="dxa"/>
            <w:right w:w="0" w:type="dxa"/>
          </w:tblCellMar>
        </w:tblPrEx>
        <w:trPr>
          <w:trHeight w:val="330" w:hRule="atLeast"/>
          <w:jc w:val="center"/>
        </w:trPr>
        <w:tc>
          <w:tcPr>
            <w:tcW w:w="9198" w:type="dxa"/>
            <w:gridSpan w:val="5"/>
            <w:tcBorders>
              <w:top w:val="single" w:color="auto" w:sz="4" w:space="0"/>
              <w:left w:val="nil"/>
              <w:bottom w:val="nil"/>
              <w:right w:val="nil"/>
            </w:tcBorders>
            <w:vAlign w:val="center"/>
          </w:tcPr>
          <w:p>
            <w:pPr>
              <w:widowControl/>
              <w:spacing w:line="480" w:lineRule="exact"/>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说明：（1）上述各项中用“√”表示通过，“×”表示不通过；（2）上述各项中如有一项为“×”，则结论为“×”，表示该投标文件中存在重大偏差，不能通过初步评审；评委对某一分项评审认为不合格时，必须要写明原因。</w:t>
            </w:r>
            <w:r>
              <w:rPr>
                <w:rFonts w:hint="eastAsia" w:asciiTheme="minorEastAsia" w:hAnsiTheme="minorEastAsia" w:eastAsiaTheme="minorEastAsia" w:cstheme="minorEastAsia"/>
                <w:sz w:val="22"/>
                <w:szCs w:val="22"/>
              </w:rPr>
              <w:t>（3）投标文件最终合格与否，以所有评委的评审意见中少数服从多数为原则定论。</w:t>
            </w:r>
          </w:p>
        </w:tc>
      </w:tr>
    </w:tbl>
    <w:p>
      <w:pPr>
        <w:spacing w:line="360" w:lineRule="exact"/>
        <w:jc w:val="center"/>
        <w:rPr>
          <w:rFonts w:hint="eastAsia" w:asciiTheme="minorEastAsia" w:hAnsiTheme="minorEastAsia" w:eastAsiaTheme="minorEastAsia" w:cstheme="minorEastAsia"/>
          <w:b/>
          <w:bCs/>
          <w:sz w:val="28"/>
          <w:szCs w:val="28"/>
        </w:rPr>
      </w:pPr>
    </w:p>
    <w:p>
      <w:pPr>
        <w:spacing w:line="360" w:lineRule="exact"/>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附表2：</w:t>
      </w:r>
    </w:p>
    <w:p>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（1）商务、技术评分办法（90分）</w:t>
      </w:r>
    </w:p>
    <w:p>
      <w:pPr>
        <w:spacing w:line="360" w:lineRule="exact"/>
        <w:jc w:val="center"/>
        <w:rPr>
          <w:rFonts w:hint="eastAsia" w:asciiTheme="minorEastAsia" w:hAnsiTheme="minorEastAsia" w:eastAsiaTheme="minorEastAsia" w:cstheme="minorEastAsia"/>
          <w:b/>
          <w:bCs/>
          <w:sz w:val="28"/>
          <w:szCs w:val="28"/>
        </w:rPr>
      </w:pPr>
    </w:p>
    <w:tbl>
      <w:tblPr>
        <w:tblStyle w:val="20"/>
        <w:tblW w:w="9039"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14"/>
        <w:gridCol w:w="5956"/>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1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考核项目</w:t>
            </w:r>
          </w:p>
        </w:tc>
        <w:tc>
          <w:tcPr>
            <w:tcW w:w="5956"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分数评分标准</w:t>
            </w:r>
          </w:p>
        </w:tc>
        <w:tc>
          <w:tcPr>
            <w:tcW w:w="895"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67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1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投标人的基本情况</w:t>
            </w:r>
          </w:p>
        </w:tc>
        <w:tc>
          <w:tcPr>
            <w:tcW w:w="5956" w:type="dxa"/>
            <w:vAlign w:val="center"/>
          </w:tcPr>
          <w:p>
            <w:pPr>
              <w:spacing w:line="22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根据投标人提供的仓储、经营等场地面积的大小进行综合评审，第一名得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 xml:space="preserve"> 分，其他依次递减 1 分。此项得分、排名可并列；</w:t>
            </w:r>
          </w:p>
          <w:p>
            <w:pPr>
              <w:spacing w:line="22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（需提供场地的产权、租赁合同或是厂商证明文件等相关的证明文件，未提供的，本项不得分）。</w:t>
            </w:r>
          </w:p>
        </w:tc>
        <w:tc>
          <w:tcPr>
            <w:tcW w:w="895" w:type="dxa"/>
            <w:vAlign w:val="center"/>
          </w:tcPr>
          <w:p>
            <w:pPr>
              <w:spacing w:line="22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67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51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类似项目业绩</w:t>
            </w:r>
          </w:p>
        </w:tc>
        <w:tc>
          <w:tcPr>
            <w:tcW w:w="5956" w:type="dxa"/>
            <w:vAlign w:val="center"/>
          </w:tcPr>
          <w:p>
            <w:pP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近三年（2018 年 1 月至今）每提供一项给企、事业单位、学校等类似食材配送服务项目业绩，得 2 分，满分为 10 分。</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须附证明材料，未提供证明材料或采购内容模糊不清的，本项不得分。业绩内容需与本次投标项目的内容有关，否则为无效业绩。业绩证明材料为：中标通知书或合同协议书等相关证明材料</w:t>
            </w:r>
          </w:p>
        </w:tc>
        <w:tc>
          <w:tcPr>
            <w:tcW w:w="895" w:type="dxa"/>
            <w:vAlign w:val="center"/>
          </w:tcPr>
          <w:p>
            <w:pPr>
              <w:spacing w:line="220" w:lineRule="atLeas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Align w:val="center"/>
          </w:tcPr>
          <w:p>
            <w:pPr>
              <w:spacing w:line="22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51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投入本项目人员配置</w:t>
            </w:r>
          </w:p>
        </w:tc>
        <w:tc>
          <w:tcPr>
            <w:tcW w:w="5956" w:type="dxa"/>
            <w:vAlign w:val="center"/>
          </w:tcPr>
          <w:p>
            <w:pPr>
              <w:numPr>
                <w:ilvl w:val="-1"/>
                <w:numId w:val="0"/>
              </w:numPr>
              <w:spacing w:line="220" w:lineRule="atLeas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提供采购、配送、管理人员信息（反映人员能力、素质），同时提供健康证等，优得 6-10 分，一般得 2-6 （不含）分，差得 1-2（不含） 分,未提供的，不得分</w:t>
            </w:r>
          </w:p>
        </w:tc>
        <w:tc>
          <w:tcPr>
            <w:tcW w:w="895" w:type="dxa"/>
            <w:vAlign w:val="center"/>
          </w:tcPr>
          <w:p>
            <w:pPr>
              <w:spacing w:line="22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1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投入的设备</w:t>
            </w:r>
          </w:p>
        </w:tc>
        <w:tc>
          <w:tcPr>
            <w:tcW w:w="5956" w:type="dxa"/>
            <w:vAlign w:val="center"/>
          </w:tcPr>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根据投标人具备运输车辆的数量及完好率等情况进行评审：</w:t>
            </w:r>
          </w:p>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自有的：每提供一台，得 4 分；</w:t>
            </w:r>
          </w:p>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租赁的：每提供一台，得 2 分；</w:t>
            </w:r>
          </w:p>
          <w:p>
            <w:pPr>
              <w:numPr>
                <w:ilvl w:val="0"/>
                <w:numId w:val="0"/>
              </w:numPr>
              <w:spacing w:line="220" w:lineRule="atLeas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此项最高可得 12 分。</w:t>
            </w:r>
          </w:p>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提供以下证明文件：</w:t>
            </w:r>
          </w:p>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1.有效的《机动车行驶证》复印件或是车辆租赁协议复印件；</w:t>
            </w:r>
          </w:p>
          <w:p>
            <w:pPr>
              <w:numPr>
                <w:ilvl w:val="0"/>
                <w:numId w:val="0"/>
              </w:num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2.车辆图片。</w:t>
            </w:r>
          </w:p>
        </w:tc>
        <w:tc>
          <w:tcPr>
            <w:tcW w:w="895" w:type="dxa"/>
            <w:vAlign w:val="center"/>
          </w:tcPr>
          <w:p>
            <w:pPr>
              <w:spacing w:line="22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Align w:val="center"/>
          </w:tcPr>
          <w:p>
            <w:pPr>
              <w:spacing w:line="2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514" w:type="dxa"/>
            <w:vAlign w:val="center"/>
          </w:tcPr>
          <w:p>
            <w:p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食品安全保障</w:t>
            </w:r>
          </w:p>
        </w:tc>
        <w:tc>
          <w:tcPr>
            <w:tcW w:w="5956" w:type="dxa"/>
            <w:vAlign w:val="center"/>
          </w:tcPr>
          <w:p>
            <w:pPr>
              <w:spacing w:line="22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投标产品的品质、品牌、产地、进货渠道证明、提供的食品检测证书、符合国家食品安全等综合实力评审，优得 </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 xml:space="preserve">分，一般得 </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color w:val="auto"/>
                <w:sz w:val="24"/>
                <w:szCs w:val="24"/>
              </w:rPr>
              <w:t xml:space="preserve"> 分，差得 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color w:val="auto"/>
                <w:sz w:val="24"/>
                <w:szCs w:val="24"/>
              </w:rPr>
              <w:t xml:space="preserve"> 分,不提供的，不得分；</w:t>
            </w:r>
          </w:p>
          <w:p>
            <w:pPr>
              <w:spacing w:line="220" w:lineRule="atLeas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注：需要提供相关证明材料。</w:t>
            </w:r>
          </w:p>
        </w:tc>
        <w:tc>
          <w:tcPr>
            <w:tcW w:w="895" w:type="dxa"/>
            <w:vAlign w:val="center"/>
          </w:tcPr>
          <w:p>
            <w:pPr>
              <w:spacing w:line="22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14" w:type="dxa"/>
            <w:vAlign w:val="center"/>
          </w:tcPr>
          <w:p>
            <w:pPr>
              <w:spacing w:line="22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包含人员、产品防疫检疫方案</w:t>
            </w:r>
            <w:r>
              <w:rPr>
                <w:rFonts w:hint="eastAsia" w:asciiTheme="minorEastAsia" w:hAnsiTheme="minorEastAsia" w:eastAsiaTheme="minorEastAsia" w:cstheme="minorEastAsia"/>
                <w:sz w:val="24"/>
                <w:szCs w:val="24"/>
                <w:lang w:eastAsia="zh-CN"/>
              </w:rPr>
              <w:t>）</w:t>
            </w:r>
          </w:p>
        </w:tc>
        <w:tc>
          <w:tcPr>
            <w:tcW w:w="5956" w:type="dxa"/>
            <w:vAlign w:val="center"/>
          </w:tcPr>
          <w:p>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投标人按项目理解制定详细的服务方案，如每个环节安排专职人员推进各项工作的有序开展，保证项目按计划交付的基本承诺、</w:t>
            </w:r>
            <w:bookmarkStart w:id="28" w:name="_GoBack"/>
            <w:bookmarkEnd w:id="28"/>
            <w:r>
              <w:rPr>
                <w:rFonts w:hint="eastAsia" w:asciiTheme="minorEastAsia" w:hAnsiTheme="minorEastAsia" w:eastAsiaTheme="minorEastAsia" w:cstheme="minorEastAsia"/>
                <w:sz w:val="24"/>
                <w:szCs w:val="24"/>
                <w:highlight w:val="none"/>
              </w:rPr>
              <w:t>商品供货储存和保鲜能力；送货及时的保证、配送车辆保障、车辆通行保障、装卸能力等。评审小组根据服务方案的优劣情况，横向比较进行评分。优得 15-20 分，良得 10-15</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highlight w:val="none"/>
              </w:rPr>
              <w:t>分，一般得 5-10</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highlight w:val="none"/>
              </w:rPr>
              <w:t xml:space="preserve"> 分，较差不得分。</w:t>
            </w:r>
          </w:p>
        </w:tc>
        <w:tc>
          <w:tcPr>
            <w:tcW w:w="895" w:type="dxa"/>
            <w:vAlign w:val="center"/>
          </w:tcPr>
          <w:p>
            <w:pPr>
              <w:spacing w:line="220" w:lineRule="atLeas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14" w:type="dxa"/>
            <w:vAlign w:val="center"/>
          </w:tcPr>
          <w:p>
            <w:pPr>
              <w:widowControl/>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应急方案</w:t>
            </w:r>
          </w:p>
        </w:tc>
        <w:tc>
          <w:tcPr>
            <w:tcW w:w="5956" w:type="dxa"/>
            <w:vAlign w:val="center"/>
          </w:tcPr>
          <w:p>
            <w:pPr>
              <w:pStyle w:val="58"/>
              <w:spacing w:line="24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color w:val="auto"/>
                <w:sz w:val="24"/>
                <w:szCs w:val="24"/>
              </w:rPr>
              <w:t>对投标人所提供的应急方案和事故处理预案包含以下内容但不限于（</w:t>
            </w:r>
            <w:r>
              <w:rPr>
                <w:rFonts w:hint="eastAsia" w:asciiTheme="minorEastAsia" w:hAnsiTheme="minorEastAsia" w:eastAsiaTheme="minorEastAsia" w:cstheme="minorEastAsia"/>
                <w:color w:val="auto"/>
                <w:sz w:val="24"/>
                <w:szCs w:val="24"/>
                <w:lang w:val="en-US" w:eastAsia="zh-CN"/>
              </w:rPr>
              <w:t>对不合格产品退换货机制，</w:t>
            </w:r>
            <w:r>
              <w:rPr>
                <w:rFonts w:hint="eastAsia" w:asciiTheme="minorEastAsia" w:hAnsiTheme="minorEastAsia" w:eastAsiaTheme="minorEastAsia" w:cstheme="minorEastAsia"/>
                <w:color w:val="auto"/>
                <w:sz w:val="24"/>
                <w:szCs w:val="24"/>
              </w:rPr>
              <w:t>解决问题到场时间，应对措施和事故处理预案等）进行比较。</w:t>
            </w:r>
            <w:r>
              <w:rPr>
                <w:rFonts w:hint="eastAsia" w:asciiTheme="minorEastAsia" w:hAnsiTheme="minorEastAsia" w:eastAsiaTheme="minorEastAsia" w:cstheme="minorEastAsia"/>
                <w:sz w:val="24"/>
                <w:szCs w:val="24"/>
                <w:highlight w:val="none"/>
              </w:rPr>
              <w:t xml:space="preserve">优得 </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 xml:space="preserve"> 分，良得 </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highlight w:val="none"/>
              </w:rPr>
              <w:t xml:space="preserve">分，一般得 </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highlight w:val="none"/>
              </w:rPr>
              <w:t>分，较差不得分。</w:t>
            </w:r>
          </w:p>
        </w:tc>
        <w:tc>
          <w:tcPr>
            <w:tcW w:w="895"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1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服务承诺</w:t>
            </w:r>
          </w:p>
        </w:tc>
        <w:tc>
          <w:tcPr>
            <w:tcW w:w="5956"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项目基本服务要求以外的，对本项目开展有利的资源、技术支</w:t>
            </w:r>
          </w:p>
          <w:p>
            <w:pP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撑手段或服务等</w:t>
            </w:r>
            <w:r>
              <w:rPr>
                <w:rFonts w:hint="eastAsia" w:asciiTheme="minorEastAsia" w:hAnsiTheme="minorEastAsia" w:eastAsiaTheme="minorEastAsia" w:cstheme="minorEastAsia"/>
                <w:sz w:val="24"/>
                <w:szCs w:val="24"/>
                <w:lang w:eastAsia="zh-CN"/>
              </w:rPr>
              <w:t xml:space="preserve">。好得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 xml:space="preserve"> 分，一般得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lang w:eastAsia="zh-CN"/>
              </w:rPr>
              <w:t>分，较差得 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highlight w:val="none"/>
                <w:lang w:val="en-US" w:eastAsia="zh-CN"/>
              </w:rPr>
              <w:t>（不含）</w:t>
            </w:r>
            <w:r>
              <w:rPr>
                <w:rFonts w:hint="eastAsia" w:asciiTheme="minorEastAsia" w:hAnsiTheme="minorEastAsia" w:eastAsiaTheme="minorEastAsia" w:cstheme="minorEastAsia"/>
                <w:sz w:val="24"/>
                <w:szCs w:val="24"/>
                <w:lang w:eastAsia="zh-CN"/>
              </w:rPr>
              <w:t xml:space="preserve"> 分</w:t>
            </w:r>
          </w:p>
        </w:tc>
        <w:tc>
          <w:tcPr>
            <w:tcW w:w="895"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514" w:type="dxa"/>
            <w:vAlign w:val="center"/>
          </w:tcPr>
          <w:p>
            <w:pPr>
              <w:spacing w:line="0" w:lineRule="atLeas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标函质量</w:t>
            </w:r>
          </w:p>
        </w:tc>
        <w:tc>
          <w:tcPr>
            <w:tcW w:w="5956"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根据标函目录、页码指向准确，内容无涂改、错页、漏页现象，装订规范，编制内容完整、齐全、叙述严谨，统一侧面胶装等情况进行综合评审。 </w:t>
            </w:r>
          </w:p>
        </w:tc>
        <w:tc>
          <w:tcPr>
            <w:tcW w:w="895" w:type="dxa"/>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4" w:type="dxa"/>
            <w:vAlign w:val="center"/>
          </w:tcPr>
          <w:p>
            <w:pPr>
              <w:spacing w:line="220" w:lineRule="atLeast"/>
              <w:jc w:val="center"/>
              <w:rPr>
                <w:rFonts w:hint="eastAsia" w:asciiTheme="minorEastAsia" w:hAnsiTheme="minorEastAsia" w:eastAsiaTheme="minorEastAsia" w:cstheme="minorEastAsia"/>
                <w:sz w:val="24"/>
                <w:szCs w:val="24"/>
              </w:rPr>
            </w:pPr>
          </w:p>
        </w:tc>
        <w:tc>
          <w:tcPr>
            <w:tcW w:w="1514" w:type="dxa"/>
            <w:vAlign w:val="center"/>
          </w:tcPr>
          <w:p>
            <w:pPr>
              <w:spacing w:line="220" w:lineRule="atLeast"/>
              <w:jc w:val="center"/>
              <w:rPr>
                <w:rFonts w:hint="eastAsia" w:asciiTheme="minorEastAsia" w:hAnsiTheme="minorEastAsia" w:eastAsiaTheme="minorEastAsia" w:cstheme="minorEastAsia"/>
                <w:sz w:val="24"/>
                <w:szCs w:val="24"/>
              </w:rPr>
            </w:pPr>
          </w:p>
        </w:tc>
        <w:tc>
          <w:tcPr>
            <w:tcW w:w="5956"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商务、技术分合计</w:t>
            </w:r>
          </w:p>
        </w:tc>
        <w:tc>
          <w:tcPr>
            <w:tcW w:w="895" w:type="dxa"/>
            <w:vAlign w:val="center"/>
          </w:tcPr>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r>
    </w:tbl>
    <w:p>
      <w:pPr>
        <w:spacing w:line="360" w:lineRule="auto"/>
        <w:ind w:firstLine="56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8"/>
          <w:szCs w:val="24"/>
        </w:rPr>
        <w:t>（2）报价部分</w:t>
      </w:r>
      <w:r>
        <w:rPr>
          <w:rFonts w:hint="eastAsia" w:asciiTheme="minorEastAsia" w:hAnsiTheme="minorEastAsia" w:eastAsiaTheme="minorEastAsia" w:cstheme="minorEastAsia"/>
          <w:b/>
          <w:sz w:val="28"/>
          <w:szCs w:val="24"/>
          <w:lang w:eastAsia="zh-CN"/>
        </w:rPr>
        <w:t>（</w:t>
      </w:r>
      <w:r>
        <w:rPr>
          <w:rFonts w:hint="eastAsia" w:asciiTheme="minorEastAsia" w:hAnsiTheme="minorEastAsia" w:eastAsiaTheme="minorEastAsia" w:cstheme="minorEastAsia"/>
          <w:b/>
          <w:sz w:val="28"/>
          <w:szCs w:val="24"/>
        </w:rPr>
        <w:t>10分</w:t>
      </w:r>
      <w:r>
        <w:rPr>
          <w:rFonts w:hint="eastAsia" w:asciiTheme="minorEastAsia" w:hAnsiTheme="minorEastAsia" w:eastAsiaTheme="minorEastAsia" w:cstheme="minorEastAsia"/>
          <w:b/>
          <w:sz w:val="28"/>
          <w:szCs w:val="24"/>
          <w:lang w:eastAsia="zh-CN"/>
        </w:rPr>
        <w:t>）</w:t>
      </w:r>
    </w:p>
    <w:tbl>
      <w:tblPr>
        <w:tblStyle w:val="20"/>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13"/>
        <w:gridCol w:w="63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723" w:type="dxa"/>
            <w:vAlign w:val="center"/>
          </w:tcPr>
          <w:p>
            <w:pPr>
              <w:pStyle w:val="113"/>
              <w:spacing w:after="60" w:line="32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13" w:type="dxa"/>
            <w:vAlign w:val="center"/>
          </w:tcPr>
          <w:p>
            <w:pPr>
              <w:pStyle w:val="113"/>
              <w:spacing w:before="0" w:after="0" w:line="32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评审项目</w:t>
            </w:r>
          </w:p>
        </w:tc>
        <w:tc>
          <w:tcPr>
            <w:tcW w:w="6334" w:type="dxa"/>
            <w:vAlign w:val="center"/>
          </w:tcPr>
          <w:p>
            <w:pPr>
              <w:pStyle w:val="113"/>
              <w:spacing w:before="0" w:after="0" w:line="32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c>
          <w:tcPr>
            <w:tcW w:w="934" w:type="dxa"/>
            <w:vAlign w:val="center"/>
          </w:tcPr>
          <w:p>
            <w:pPr>
              <w:pStyle w:val="113"/>
              <w:spacing w:before="0" w:after="0" w:line="32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7" w:hRule="atLeast"/>
          <w:jc w:val="center"/>
        </w:trPr>
        <w:tc>
          <w:tcPr>
            <w:tcW w:w="723" w:type="dxa"/>
            <w:vAlign w:val="center"/>
          </w:tcPr>
          <w:p>
            <w:pPr>
              <w:widowControl/>
              <w:snapToGrid w:val="0"/>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13" w:type="dxa"/>
            <w:vAlign w:val="center"/>
          </w:tcPr>
          <w:p>
            <w:pPr>
              <w:snapToGrid w:val="0"/>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价格部分</w:t>
            </w:r>
          </w:p>
        </w:tc>
        <w:tc>
          <w:tcPr>
            <w:tcW w:w="6334" w:type="dxa"/>
            <w:vAlign w:val="center"/>
          </w:tcPr>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价格分采用低价优先法计算，即满足招标文件要求且投标价格最低（或最优折扣）的投标报价为评标基准价，其价格分为满分。</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本项目报价共分两部分计算：</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第（1）部分蔬菜、水果、副食品、牛羊肉、禽肉、鸡蛋等报价得分计算如下：</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取各投标人有效报价的最优折扣</w:t>
            </w:r>
            <w:r>
              <w:rPr>
                <w:rFonts w:hint="eastAsia" w:asciiTheme="minorEastAsia" w:hAnsiTheme="minorEastAsia" w:eastAsiaTheme="minorEastAsia" w:cstheme="minorEastAsia"/>
                <w:kern w:val="0"/>
                <w:sz w:val="24"/>
                <w:szCs w:val="24"/>
                <w:highlight w:val="none"/>
                <w:lang w:val="en-US" w:eastAsia="zh-CN"/>
              </w:rPr>
              <w:t>合计值</w:t>
            </w:r>
            <w:r>
              <w:rPr>
                <w:rFonts w:hint="eastAsia" w:asciiTheme="minorEastAsia" w:hAnsiTheme="minorEastAsia" w:eastAsiaTheme="minorEastAsia" w:cstheme="minorEastAsia"/>
                <w:kern w:val="0"/>
                <w:sz w:val="24"/>
                <w:szCs w:val="24"/>
                <w:highlight w:val="none"/>
              </w:rPr>
              <w:t>作为评标基准价，满分为 5分；</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第（1）部分价格的得分=（评标基准价/投标报价）×5</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第（2）部分米、面、食用油、酸奶等的报价得分计算如下：</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取各投标人有效报价的最</w:t>
            </w:r>
            <w:r>
              <w:rPr>
                <w:rFonts w:hint="eastAsia" w:asciiTheme="minorEastAsia" w:hAnsiTheme="minorEastAsia" w:eastAsiaTheme="minorEastAsia" w:cstheme="minorEastAsia"/>
                <w:kern w:val="0"/>
                <w:sz w:val="24"/>
                <w:szCs w:val="24"/>
                <w:highlight w:val="none"/>
                <w:lang w:val="en-US" w:eastAsia="zh-CN"/>
              </w:rPr>
              <w:t>低</w:t>
            </w:r>
            <w:r>
              <w:rPr>
                <w:rFonts w:hint="eastAsia" w:asciiTheme="minorEastAsia" w:hAnsiTheme="minorEastAsia" w:eastAsiaTheme="minorEastAsia" w:cstheme="minorEastAsia"/>
                <w:kern w:val="0"/>
                <w:sz w:val="24"/>
                <w:szCs w:val="24"/>
                <w:highlight w:val="none"/>
              </w:rPr>
              <w:t>报价作为评标基准价，满分为 5分；</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第（2）部分价格的得分=（评标基准价/投标报价）×5</w:t>
            </w: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本项目价格部分最终得分=（1）+（2）</w:t>
            </w:r>
          </w:p>
          <w:p>
            <w:pPr>
              <w:pStyle w:val="28"/>
              <w:rPr>
                <w:rFonts w:hint="eastAsia"/>
                <w:sz w:val="24"/>
                <w:szCs w:val="24"/>
              </w:rPr>
            </w:pPr>
          </w:p>
          <w:p>
            <w:pPr>
              <w:widowControl/>
              <w:snapToGrid w:val="0"/>
              <w:spacing w:line="36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注：1.在经济标评审阶段，经评审委员会认为无效的投标报价，经济部分得分按“0”计。</w:t>
            </w:r>
          </w:p>
          <w:p>
            <w:pPr>
              <w:widowControl/>
              <w:snapToGrid w:val="0"/>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2. 若投标人和小微企业的产品/服务制造商有一个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tc>
        <w:tc>
          <w:tcPr>
            <w:tcW w:w="934" w:type="dxa"/>
            <w:vAlign w:val="center"/>
          </w:tcPr>
          <w:p>
            <w:pPr>
              <w:snapToGrid w:val="0"/>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0-10分</w:t>
            </w:r>
          </w:p>
        </w:tc>
      </w:tr>
    </w:tbl>
    <w:p>
      <w:pPr>
        <w:spacing w:line="360" w:lineRule="auto"/>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备注1：本次招标方式为公开招标，投标人只有一次报价的机会，资质审查合格的投标人报价位有效报价。招标人在开标现场计算出评标的基准报价。</w:t>
      </w:r>
    </w:p>
    <w:p>
      <w:pPr>
        <w:spacing w:line="400" w:lineRule="exact"/>
        <w:ind w:firstLine="48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auto"/>
          <w:sz w:val="24"/>
        </w:rPr>
        <w:t>*注：</w:t>
      </w:r>
      <w:r>
        <w:rPr>
          <w:rFonts w:hint="eastAsia" w:asciiTheme="minorEastAsia" w:hAnsiTheme="minorEastAsia" w:eastAsiaTheme="minorEastAsia" w:cstheme="minorEastAsia"/>
          <w:b/>
          <w:bCs/>
          <w:color w:val="FF0000"/>
          <w:sz w:val="24"/>
        </w:rPr>
        <w:t>采购参数允许正偏离，不允许负偏离；负偏离视为对招标文件不响应</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b/>
          <w:bCs/>
          <w:color w:val="FF0000"/>
          <w:sz w:val="24"/>
        </w:rPr>
        <w:t>将以废标处理。</w:t>
      </w:r>
    </w:p>
    <w:p>
      <w:pPr>
        <w:spacing w:line="360" w:lineRule="auto"/>
        <w:ind w:firstLine="56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第六章 定　标</w:t>
      </w:r>
    </w:p>
    <w:p>
      <w:pPr>
        <w:spacing w:line="42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30．定标原则</w:t>
      </w:r>
    </w:p>
    <w:p>
      <w:pPr>
        <w:spacing w:line="420" w:lineRule="exact"/>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color w:val="000000"/>
          <w:spacing w:val="-2"/>
          <w:sz w:val="24"/>
        </w:rPr>
        <w:t>30.1综合评分法，是指投标文件满足招标文件全部实质性要求，按照招标文件中规定的各项因素进行综合评审后，以综合得分最高投标人作为中标候选人或中标人的</w:t>
      </w:r>
      <w:r>
        <w:rPr>
          <w:rFonts w:hint="eastAsia" w:asciiTheme="minorEastAsia" w:hAnsiTheme="minorEastAsia" w:eastAsiaTheme="minorEastAsia" w:cstheme="minorEastAsia"/>
          <w:color w:val="auto"/>
          <w:spacing w:val="-2"/>
          <w:sz w:val="24"/>
        </w:rPr>
        <w:t>评标办法。</w:t>
      </w:r>
    </w:p>
    <w:p>
      <w:pPr>
        <w:spacing w:line="420" w:lineRule="exact"/>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color w:val="auto"/>
          <w:spacing w:val="-2"/>
          <w:sz w:val="24"/>
        </w:rPr>
        <w:t>30.2评标委员会应当根据综合评分情况，按照投标人得分由高到低顺序，依次推荐3名以上中标候选人，并编写评标报告。投标人得分相同的，按照最后报价由低到高的顺序推荐。投标人得分且最后报价相同的，按照技术指标优劣顺序推荐。</w:t>
      </w:r>
    </w:p>
    <w:p>
      <w:pPr>
        <w:spacing w:line="360" w:lineRule="auto"/>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color w:val="auto"/>
          <w:spacing w:val="-2"/>
          <w:sz w:val="24"/>
        </w:rPr>
        <w:t>30.3招标人根据评标委员会的评标报告，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31、定标标准</w:t>
      </w:r>
    </w:p>
    <w:p>
      <w:pPr>
        <w:spacing w:line="360" w:lineRule="auto"/>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spacing w:val="-2"/>
          <w:sz w:val="24"/>
        </w:rPr>
        <w:t>31.1　合同将授予被确定为实质上响应招标文件、经过招标后确定的最终方案等要求，经</w:t>
      </w:r>
      <w:r>
        <w:rPr>
          <w:rFonts w:hint="eastAsia" w:asciiTheme="minorEastAsia" w:hAnsiTheme="minorEastAsia" w:eastAsiaTheme="minorEastAsia" w:cstheme="minorEastAsia"/>
          <w:color w:val="auto"/>
          <w:spacing w:val="-2"/>
          <w:sz w:val="24"/>
        </w:rPr>
        <w:t>评定认为具备履行合同义务能力、技术和商务条件都符合要求且对甲方最为有利方案的投标人</w:t>
      </w:r>
      <w:r>
        <w:rPr>
          <w:rFonts w:hint="eastAsia" w:asciiTheme="minorEastAsia" w:hAnsiTheme="minorEastAsia" w:eastAsiaTheme="minorEastAsia" w:cstheme="minorEastAsia"/>
          <w:color w:val="auto"/>
          <w:sz w:val="24"/>
        </w:rPr>
        <w:t>最终确定本次招标项目的预成交单位</w:t>
      </w:r>
      <w:r>
        <w:rPr>
          <w:rFonts w:hint="eastAsia" w:asciiTheme="minorEastAsia" w:hAnsiTheme="minorEastAsia" w:eastAsiaTheme="minorEastAsia" w:cstheme="minorEastAsia"/>
          <w:color w:val="auto"/>
          <w:spacing w:val="-2"/>
          <w:sz w:val="24"/>
        </w:rPr>
        <w:t>。</w:t>
      </w:r>
    </w:p>
    <w:p>
      <w:pPr>
        <w:spacing w:line="360" w:lineRule="auto"/>
        <w:ind w:firstLine="472" w:firstLineChars="200"/>
        <w:rPr>
          <w:rFonts w:hint="eastAsia" w:asciiTheme="minorEastAsia" w:hAnsiTheme="minorEastAsia" w:eastAsiaTheme="minorEastAsia" w:cstheme="minorEastAsia"/>
          <w:color w:val="auto"/>
          <w:spacing w:val="-2"/>
          <w:sz w:val="24"/>
        </w:rPr>
      </w:pPr>
      <w:r>
        <w:rPr>
          <w:rFonts w:hint="eastAsia" w:asciiTheme="minorEastAsia" w:hAnsiTheme="minorEastAsia" w:eastAsiaTheme="minorEastAsia" w:cstheme="minorEastAsia"/>
          <w:color w:val="auto"/>
          <w:spacing w:val="-2"/>
          <w:sz w:val="24"/>
        </w:rPr>
        <w:t>31.2　如果确定该投标人无条件圆满履行合同，评审小组将对下一个可能中标的投标人资格做出类似的审查。</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32、接受和拒绝任何或所有投标的权力</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32.1　为维护国家利益，评标小组在授予合同前仍有选择或拒绝任何投标的权力。</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33、成交通知书</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33.1　评标结束后7个工作日内，新疆建投项目管理咨询有限公司将以书面形式发出《中标通知书》。《中标通知书》一经发出即发生法律效力。</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33.2　《中标通知书》将作为签订合同的依据。</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33.3  中标方在领取《中标通知书》时，必须按招标文件规定向招标代理机构缴纳招标代理服务费。</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34、</w:t>
      </w:r>
      <w:r>
        <w:rPr>
          <w:rFonts w:hint="eastAsia" w:asciiTheme="minorEastAsia" w:hAnsiTheme="minorEastAsia" w:eastAsiaTheme="minorEastAsia" w:cstheme="minorEastAsia"/>
          <w:b/>
          <w:sz w:val="24"/>
        </w:rPr>
        <w:t>询问及质疑</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.1供应商对政府采购活动事项有疑问的，可以向采购人或代理机构提出询问。</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.2供应商若认为</w:t>
      </w:r>
      <w:r>
        <w:rPr>
          <w:rFonts w:hint="eastAsia" w:asciiTheme="minorEastAsia" w:hAnsiTheme="minorEastAsia" w:eastAsiaTheme="minorEastAsia" w:cstheme="minorEastAsia"/>
          <w:spacing w:val="-2"/>
          <w:sz w:val="24"/>
          <w:lang w:val="en-US" w:eastAsia="zh-CN"/>
        </w:rPr>
        <w:t>招标</w:t>
      </w:r>
      <w:r>
        <w:rPr>
          <w:rFonts w:hint="eastAsia" w:asciiTheme="minorEastAsia" w:hAnsiTheme="minorEastAsia" w:eastAsiaTheme="minorEastAsia" w:cstheme="minorEastAsia"/>
          <w:spacing w:val="-2"/>
          <w:sz w:val="24"/>
        </w:rPr>
        <w:t>文件、采购过程和成交结果使自己的权益受到损害，应在知其权益受到损害之日起7个工作日内向采购人或代理机构提出质疑。</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.3根据《政府采购质疑和投诉办法》（财政部令第94 号）第十条，投标人对采购文件、采购过程、中标或者成交结果的质疑必须在有效的质疑期内一次性提出针对同一采购程序环节的质疑，不接受二次质疑。</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.4 提出质疑的供应商（以下简称质疑供应商）应当是参与所质疑项目采购活动的供应商。</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.5 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以联合体形式参加政府采购活动的，其投诉应当由组成联合体的所有供应商共同提出。</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.6 投标人提出的质疑必须符合《政府采购质疑和投诉办法》（财政部令第94号）第十二条的规定，应当提交质疑函和必要的证明材料。质疑函应当包括下列内容（质疑函范本请登录中国政府采购网自行下载）：</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（1）供应商的姓名或者名称、地址、邮编、联系人及联系电话；</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（2）质疑项目的名称、编号；</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（3）具体、明确的质疑事项和与质疑事项相关的请求；</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（4）事实依据；</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（5）必要的法律依据；</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（6）提出质疑的日期。</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供应商为自然人的，应当由本人签字；供应商为法人或者其他组织的，应当由法定代表人、主要负责人，或者其授权代表签字或者盖章，并加盖公章。</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34</w:t>
      </w:r>
      <w:r>
        <w:rPr>
          <w:rFonts w:hint="eastAsia" w:asciiTheme="minorEastAsia" w:hAnsiTheme="minorEastAsia" w:eastAsiaTheme="minorEastAsia" w:cstheme="minorEastAsia"/>
          <w:spacing w:val="-2"/>
          <w:sz w:val="24"/>
        </w:rPr>
        <w:t>.7 无论是质疑或被质疑，投标人应主动配合代理机构或采购人寻找相关证据，并承诺同意延长投标保证金的退还时间。对于代理机构要求补充的证据材料，投标人不能无故推脱或者不予配合。否则，代理机构有权暂不退还其投标保证金。</w:t>
      </w:r>
    </w:p>
    <w:p>
      <w:pPr>
        <w:pStyle w:val="16"/>
        <w:rPr>
          <w:rFonts w:hint="eastAsia" w:asciiTheme="minorEastAsia" w:hAnsiTheme="minorEastAsia" w:eastAsiaTheme="minorEastAsia" w:cstheme="minorEastAsia"/>
        </w:rPr>
      </w:pPr>
    </w:p>
    <w:p>
      <w:pPr>
        <w:tabs>
          <w:tab w:val="center" w:pos="4422"/>
          <w:tab w:val="left" w:pos="6466"/>
        </w:tabs>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第七章 授予合同</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、签订合同</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w:t>
      </w:r>
      <w:r>
        <w:rPr>
          <w:rFonts w:hint="eastAsia" w:asciiTheme="minorEastAsia" w:hAnsiTheme="minorEastAsia" w:eastAsiaTheme="minorEastAsia" w:cstheme="minorEastAsia"/>
          <w:spacing w:val="-2"/>
          <w:sz w:val="24"/>
          <w:lang w:val="en-US" w:eastAsia="zh-CN"/>
        </w:rPr>
        <w:t>5</w:t>
      </w:r>
      <w:r>
        <w:rPr>
          <w:rFonts w:hint="eastAsia" w:asciiTheme="minorEastAsia" w:hAnsiTheme="minorEastAsia" w:eastAsiaTheme="minorEastAsia" w:cstheme="minorEastAsia"/>
          <w:spacing w:val="-2"/>
          <w:sz w:val="24"/>
        </w:rPr>
        <w:t>.1　中标方收到招标方的《中标通知书》后30日内，按照招标文件的约定和中标方响应文件中的承诺与采购单位签订书面合同，所签订的合同不得对招标文件和中标方的响应文件作实质性修改。</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w:t>
      </w:r>
      <w:r>
        <w:rPr>
          <w:rFonts w:hint="eastAsia" w:asciiTheme="minorEastAsia" w:hAnsiTheme="minorEastAsia" w:eastAsiaTheme="minorEastAsia" w:cstheme="minorEastAsia"/>
          <w:spacing w:val="-2"/>
          <w:sz w:val="24"/>
          <w:lang w:val="en-US" w:eastAsia="zh-CN"/>
        </w:rPr>
        <w:t>5</w:t>
      </w:r>
      <w:r>
        <w:rPr>
          <w:rFonts w:hint="eastAsia" w:asciiTheme="minorEastAsia" w:hAnsiTheme="minorEastAsia" w:eastAsiaTheme="minorEastAsia" w:cstheme="minorEastAsia"/>
          <w:spacing w:val="-2"/>
          <w:sz w:val="24"/>
        </w:rPr>
        <w:t>.2  招标方在授予合同时，有权对招标文件中规定的服务的数量在</w:t>
      </w:r>
      <w:r>
        <w:rPr>
          <w:rFonts w:hint="eastAsia" w:asciiTheme="minorEastAsia" w:hAnsiTheme="minorEastAsia" w:eastAsiaTheme="minorEastAsia" w:cstheme="minorEastAsia"/>
          <w:spacing w:val="-2"/>
          <w:sz w:val="24"/>
          <w:u w:val="single"/>
        </w:rPr>
        <w:t>10%</w:t>
      </w:r>
      <w:r>
        <w:rPr>
          <w:rFonts w:hint="eastAsia" w:asciiTheme="minorEastAsia" w:hAnsiTheme="minorEastAsia" w:eastAsiaTheme="minorEastAsia" w:cstheme="minorEastAsia"/>
          <w:spacing w:val="-2"/>
          <w:sz w:val="24"/>
        </w:rPr>
        <w:t>的幅度内予以增加或减少。</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w:t>
      </w:r>
      <w:r>
        <w:rPr>
          <w:rFonts w:hint="eastAsia" w:asciiTheme="minorEastAsia" w:hAnsiTheme="minorEastAsia" w:eastAsiaTheme="minorEastAsia" w:cstheme="minorEastAsia"/>
          <w:spacing w:val="-2"/>
          <w:sz w:val="24"/>
          <w:lang w:val="en-US" w:eastAsia="zh-CN"/>
        </w:rPr>
        <w:t>5</w:t>
      </w:r>
      <w:r>
        <w:rPr>
          <w:rFonts w:hint="eastAsia" w:asciiTheme="minorEastAsia" w:hAnsiTheme="minorEastAsia" w:eastAsiaTheme="minorEastAsia" w:cstheme="minorEastAsia"/>
          <w:spacing w:val="-2"/>
          <w:sz w:val="24"/>
        </w:rPr>
        <w:t>.3  如中标方拒签合同，则按违约处理。采购人没收其投标保证金。</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3</w:t>
      </w:r>
      <w:r>
        <w:rPr>
          <w:rFonts w:hint="eastAsia" w:asciiTheme="minorEastAsia" w:hAnsiTheme="minorEastAsia" w:eastAsiaTheme="minorEastAsia" w:cstheme="minorEastAsia"/>
          <w:spacing w:val="-2"/>
          <w:sz w:val="24"/>
          <w:lang w:val="en-US" w:eastAsia="zh-CN"/>
        </w:rPr>
        <w:t>5</w:t>
      </w:r>
      <w:r>
        <w:rPr>
          <w:rFonts w:hint="eastAsia" w:asciiTheme="minorEastAsia" w:hAnsiTheme="minorEastAsia" w:eastAsiaTheme="minorEastAsia" w:cstheme="minorEastAsia"/>
          <w:spacing w:val="-2"/>
          <w:sz w:val="24"/>
        </w:rPr>
        <w:t>.4  招标文件、中标方的</w:t>
      </w:r>
      <w:r>
        <w:rPr>
          <w:rFonts w:hint="eastAsia" w:asciiTheme="minorEastAsia" w:hAnsiTheme="minorEastAsia" w:eastAsiaTheme="minorEastAsia" w:cstheme="minorEastAsia"/>
          <w:spacing w:val="-2"/>
          <w:sz w:val="24"/>
          <w:lang w:val="en-US" w:eastAsia="zh-CN"/>
        </w:rPr>
        <w:t>投标</w:t>
      </w:r>
      <w:r>
        <w:rPr>
          <w:rFonts w:hint="eastAsia" w:asciiTheme="minorEastAsia" w:hAnsiTheme="minorEastAsia" w:eastAsiaTheme="minorEastAsia" w:cstheme="minorEastAsia"/>
          <w:spacing w:val="-2"/>
          <w:sz w:val="24"/>
        </w:rPr>
        <w:t>文件及其澄清文件等，均为签订经济合同的依据。</w:t>
      </w:r>
    </w:p>
    <w:p>
      <w:pPr>
        <w:spacing w:line="360" w:lineRule="auto"/>
        <w:ind w:firstLine="472" w:firstLineChars="200"/>
        <w:rPr>
          <w:rFonts w:hint="eastAsia"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lang w:val="en-US" w:eastAsia="zh-CN"/>
        </w:rPr>
        <w:t>35</w:t>
      </w:r>
      <w:r>
        <w:rPr>
          <w:rFonts w:hint="eastAsia" w:asciiTheme="minorEastAsia" w:hAnsiTheme="minorEastAsia" w:eastAsiaTheme="minorEastAsia" w:cstheme="minorEastAsia"/>
          <w:spacing w:val="-2"/>
          <w:sz w:val="24"/>
        </w:rPr>
        <w:t>.5  不允许中标人将中标项目分包或转交他人承担。特殊情况下，中标人必须与采购方协商后共同决定将合同标的中的部分由第三方承担供货和服务责任，但中标方必须对合同标的的全部内容向采购方负责，并保证第三方提供的供货和服务符合招标文件的约定和</w:t>
      </w:r>
      <w:r>
        <w:rPr>
          <w:rFonts w:hint="eastAsia" w:asciiTheme="minorEastAsia" w:hAnsiTheme="minorEastAsia" w:eastAsiaTheme="minorEastAsia" w:cstheme="minorEastAsia"/>
          <w:spacing w:val="-2"/>
          <w:sz w:val="24"/>
          <w:lang w:val="en-US" w:eastAsia="zh-CN"/>
        </w:rPr>
        <w:t>投标</w:t>
      </w:r>
      <w:r>
        <w:rPr>
          <w:rFonts w:hint="eastAsia" w:asciiTheme="minorEastAsia" w:hAnsiTheme="minorEastAsia" w:eastAsiaTheme="minorEastAsia" w:cstheme="minorEastAsia"/>
          <w:spacing w:val="-2"/>
          <w:sz w:val="24"/>
        </w:rPr>
        <w:t>文件的承诺及相关约定。</w:t>
      </w:r>
    </w:p>
    <w:p>
      <w:pPr>
        <w:spacing w:line="360" w:lineRule="auto"/>
        <w:ind w:firstLine="472" w:firstLineChars="200"/>
        <w:rPr>
          <w:rFonts w:hint="eastAsia" w:asciiTheme="minorEastAsia" w:hAnsiTheme="minorEastAsia" w:eastAsiaTheme="minorEastAsia" w:cstheme="minorEastAsia"/>
          <w:spacing w:val="-2"/>
          <w:sz w:val="24"/>
          <w:lang w:val="en-US" w:eastAsia="zh-CN"/>
        </w:rPr>
      </w:pPr>
      <w:r>
        <w:rPr>
          <w:rFonts w:hint="eastAsia" w:asciiTheme="minorEastAsia" w:hAnsiTheme="minorEastAsia" w:eastAsiaTheme="minorEastAsia" w:cstheme="minorEastAsia"/>
          <w:spacing w:val="-2"/>
          <w:sz w:val="24"/>
          <w:lang w:val="en-US" w:eastAsia="zh-CN"/>
        </w:rPr>
        <w:t>35.6 提供虚假材料谋取中标的、成交的，政府采购监督管理部门将对其进行行政处罚，并且中标、成交结果无效。在此情况下投标人可将中标资格授予下一个有利于招标人的中标候选人。</w:t>
      </w:r>
    </w:p>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4"/>
          <w:szCs w:val="24"/>
        </w:rPr>
        <w:br w:type="page"/>
      </w:r>
      <w:r>
        <w:rPr>
          <w:rFonts w:hint="eastAsia" w:asciiTheme="minorEastAsia" w:hAnsiTheme="minorEastAsia" w:eastAsiaTheme="minorEastAsia" w:cstheme="minorEastAsia"/>
          <w:b/>
          <w:bCs/>
          <w:sz w:val="32"/>
          <w:szCs w:val="32"/>
        </w:rPr>
        <w:t>第三部分 采购合同</w:t>
      </w:r>
    </w:p>
    <w:p>
      <w:pPr>
        <w:pStyle w:val="16"/>
        <w:rPr>
          <w:rFonts w:hint="eastAsia" w:asciiTheme="minorEastAsia" w:hAnsiTheme="minorEastAsia" w:eastAsiaTheme="minorEastAsia" w:cstheme="minorEastAsia"/>
        </w:rPr>
      </w:pPr>
    </w:p>
    <w:p>
      <w:pPr>
        <w:jc w:val="center"/>
        <w:rPr>
          <w:rFonts w:hint="eastAsia"/>
          <w:lang w:val="en-US" w:eastAsia="zh-CN"/>
        </w:rPr>
      </w:pPr>
      <w:r>
        <w:rPr>
          <w:rFonts w:hint="eastAsia" w:asciiTheme="minorEastAsia" w:hAnsiTheme="minorEastAsia" w:eastAsiaTheme="minorEastAsia" w:cstheme="minorEastAsia"/>
          <w:b/>
          <w:bCs/>
          <w:sz w:val="28"/>
          <w:szCs w:val="28"/>
        </w:rPr>
        <w:br w:type="page"/>
      </w:r>
      <w:r>
        <w:rPr>
          <w:rFonts w:hint="eastAsia"/>
          <w:b/>
          <w:bCs/>
          <w:sz w:val="44"/>
          <w:szCs w:val="44"/>
          <w:lang w:val="en-US" w:eastAsia="zh-CN"/>
        </w:rPr>
        <w:t>食材配送合同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甲方（采购方）：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乙方（供应方）：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进一步加强单位食堂食品卫生安全管理，保证食品安全，确保民警的身体健康。根据《中华人民共和国民法典》，《中华人民共和国食品安全法》等文件，甲乙双方本着平等自愿和诚实信用的原则，经相互协商，签订本协议并遵守以下条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采购货物内容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为了保障甲方单位食堂的正常运行，乙方按照协议规定向甲方提供食材、水果类货物。（货物详单以甲方每月向乙方递交的实际采购需求单据内容为准。）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订货及供货方式</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供货方式为乙方送货上门，由此产生的所有运杂费、装卸费等均由乙方承担。</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次订货：甲方按期以书面方式向乙方发出订货单，乙方收到订货单后及时和甲方采购人电话确认订货单信息，并及时安排送货车辆和人员将符合甲方要求的货物送至指定的交货地点处。乙方工作人员须按甲方工作要求，配合甲方工作人员对货物进行清单验货，货物的验货与签收单需由甲方指派的两名工作人员及乙方一名工作人员两方联合进行验收确认并签证后，方可做货物的入库操作。</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临时订货：鉴于甲方单位食堂在实际运营中对于个别货物有小批量，临时性需求的情况，甲方有权因临时需要要求乙方在正常批次订货时间以外临时向甲方进行货物的配送。订货方式可以是书面方式也可以是口头方式，如果是临时性口头订货方式，乙方在送货时有权要求甲方以书面方式予以确认。</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货物采购价格的确定及支付方式</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每批次单价的确定方式：</w:t>
      </w:r>
      <w:r>
        <w:rPr>
          <w:rFonts w:hint="eastAsia" w:cs="Times New Roman"/>
          <w:b/>
          <w:bCs/>
          <w:sz w:val="24"/>
          <w:szCs w:val="24"/>
          <w:highlight w:val="none"/>
          <w:lang w:val="en-US" w:eastAsia="zh-CN"/>
        </w:rPr>
        <w:t>首先按照供货前一日</w:t>
      </w:r>
      <w:r>
        <w:rPr>
          <w:rFonts w:hint="eastAsia"/>
          <w:b/>
          <w:bCs/>
          <w:sz w:val="24"/>
          <w:szCs w:val="24"/>
          <w:highlight w:val="none"/>
          <w:lang w:val="en-US" w:eastAsia="zh-CN"/>
        </w:rPr>
        <w:t>蔬菜副食品直营点（微信公众号）价格为基准乘以折扣进行计算</w:t>
      </w:r>
      <w:r>
        <w:rPr>
          <w:rFonts w:hint="eastAsia" w:cs="Times New Roman"/>
          <w:b/>
          <w:bCs/>
          <w:sz w:val="24"/>
          <w:szCs w:val="24"/>
          <w:highlight w:val="none"/>
          <w:lang w:val="en-US" w:eastAsia="zh-CN"/>
        </w:rPr>
        <w:t>；若直营点中没有的品类，则</w:t>
      </w:r>
      <w:r>
        <w:rPr>
          <w:rFonts w:hint="eastAsia" w:ascii="Times New Roman" w:hAnsi="Times New Roman" w:eastAsia="宋体" w:cs="Times New Roman"/>
          <w:b/>
          <w:bCs/>
          <w:sz w:val="24"/>
          <w:szCs w:val="24"/>
          <w:highlight w:val="none"/>
          <w:lang w:val="en-US" w:eastAsia="zh-CN"/>
        </w:rPr>
        <w:t>以北园春市场价格中间价为</w:t>
      </w:r>
      <w:r>
        <w:rPr>
          <w:rFonts w:hint="eastAsia" w:cs="Times New Roman"/>
          <w:b/>
          <w:bCs/>
          <w:sz w:val="24"/>
          <w:szCs w:val="24"/>
          <w:highlight w:val="none"/>
          <w:lang w:val="en-US" w:eastAsia="zh-CN"/>
        </w:rPr>
        <w:t>基准</w:t>
      </w:r>
      <w:r>
        <w:rPr>
          <w:rFonts w:hint="eastAsia"/>
          <w:b/>
          <w:bCs/>
          <w:sz w:val="24"/>
          <w:szCs w:val="24"/>
          <w:highlight w:val="none"/>
          <w:lang w:val="en-US" w:eastAsia="zh-CN"/>
        </w:rPr>
        <w:t>乘以折扣进行计算。</w:t>
      </w:r>
      <w:r>
        <w:rPr>
          <w:rFonts w:hint="eastAsia" w:asciiTheme="minorEastAsia" w:hAnsiTheme="minorEastAsia" w:eastAsiaTheme="minorEastAsia" w:cstheme="minorEastAsia"/>
          <w:b/>
          <w:bCs/>
          <w:sz w:val="24"/>
          <w:szCs w:val="24"/>
          <w:highlight w:val="none"/>
          <w:lang w:val="en-US" w:eastAsia="zh-CN"/>
        </w:rPr>
        <w:t>每批次供货数量以甲方验收人员和乙方配送人员签字</w:t>
      </w:r>
      <w:r>
        <w:rPr>
          <w:rFonts w:hint="eastAsia" w:asciiTheme="minorEastAsia" w:hAnsiTheme="minorEastAsia" w:eastAsiaTheme="minorEastAsia" w:cstheme="minorEastAsia"/>
          <w:b/>
          <w:bCs/>
          <w:color w:val="auto"/>
          <w:sz w:val="24"/>
          <w:szCs w:val="24"/>
          <w:highlight w:val="none"/>
          <w:lang w:val="en-US" w:eastAsia="zh-CN"/>
        </w:rPr>
        <w:t>确认数量为准。</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乙方提供的食材经双方协议在当月30号结算确认后，乙方货款在次月额5日前（除公休假外）提供相对应的供货发票，由甲方按照季度或半年度或年度以转账方式付清（备注：最终结算时间以财政审批为准）。</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乙方货物的配送价格应包含所有税费、成本、利润、运输、装卸、各类劳保、保险等一切费用，甲方不对货物采购范围以外如何形式所产生的费用进行承担。</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货物质量及包装要求</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乙方须保证所提供的食材必须是满足甲方要求，保证食材的质量、卫生、安全、新鲜、检验合格、五毒、无辐射，并且达到符合《中华人民共和国食品安全法》第26条内容的食品安全标准要求。</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货物有包装的，货物的包装必须完整清洁（无损、无污、无皱）甲方有权拒收包装不整齐，已拆封的货物。</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乙方保证所提供的食材种类的多样性和季节性，以保证新鲜感。</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乙方应能够配合甲方及时更新所提供的符合卫监部门的有效证明材料，如有效的营业执照、产品合格证、食品卫生许可证或食品流通许可证等。</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乙方提供假冒伪劣、过期、变质的食材，一经发现，除按甲方要求无条件退货或换货外，还将承担如下违约责任：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乙方提供假冒伪劣、过期、变质、不符合卫生标准的食材，甲方要求无条件退货或换货外，被处以当次供应食品货款2倍的罚款，罚款在供货结算款内扣除。</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提供的食材，造成食品安全事故的，经有关单位鉴定原因后，如确实为乙方提供食材的问题，乙方除需负担全数医药费外，甲方有权解除乙方供货合同，乙方同事承担相应的民事及形式法律责任及放弃先诉抗辩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本协议自2021年  月  日起至2023年  月  日止有效。</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甲乙双方承担的权利和义务</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应当根据甲方实际情况，按与甲方的约定，在规定的时间内将规定的货物数量送到指定地点，除客观不可抗力外，乙方不得推迟送货。如确需延迟送货的，乙方应在得知情况的同时告知甲方并征得甲方同意，由于乙方拖沓造成甲方利益受损的，甲方有权要求乙方赔偿，出现3次上述情况的，并处以乙方1000元罚款，罚款由供货结算款内扣除。</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乙方应根据甲方实际要求运送货物甚至进行免费简单加工。</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乙方免费将货物送达个指定地点。</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乙方应至少安排一辆专车、2个专人负责送货。送货车应做好消毒措施。</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在甲方签收之前，货物的所有权和风险属于乙方，货物发生损失，损坏由乙方负责。</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乙方须严格按照甲方的指令配送货物的数量，不得随意增减数量，否则，甲方有权拒收。如因市场流通问题确实需要变更的，应事先书面申请，并经甲方同意后方可改变。</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客观不可抗力外，乙方不得更改送货内容。如确需变更供货内容的，乙方应在得知情况的同时告知甲方并征得甲方同意，经发现乙方有私自更改货单中货物时以违约论处，由此产生的一切损失和费用由乙方承担。出现3次上述情况的，并处以1000元罚款，罚款由供货结算款内扣除。</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发现新货物不能正常使用的，乙方应无条件退换。乙方未能履行招标文件和合同所定事项，或供应不合格的，假冒伪劣，以次充好的货物，甲方退货后将记录在案，并对乙方处以1000元罚款，除要承担因此产生的一切损失和费用外，情节严重的可取消其供应资格。</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乙方不能按双方协议定价周期明确的价格交付货物，不能提供与其承诺相符的服务或乙方存在违反合同内容约定的行为，并且不予纠正的，将取消其供货资格。此项下违约责任包括但不限于下列各项：</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乙方在收到甲方订货要求后，在承诺的供货时间内不能供货的；</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乙方未能提供承诺的服务。</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乙方提供的货物在保质期出现损坏的，乙方应承诺提供替换服务，因替换货物产生的费用由乙方负责。</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乙方的送货单必须详细注明货物的单价，数量，送货单不得涂改。标记不清的，甲方将拒绝签收，结算期末乙方还应提供送货清单供甲方结算。</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乙方指定的送货专员必须穿着便于辨认的工衣和佩戴胸卡，送货专员在内活动必须严格遵守各项规章制度，不得做出有损甲方形象和利益的事情。</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乙方不得泄露采购人及甲方的商业秘密。泄密造成采购人及甲方损失的，乙方将承担由此产生的一切损失和法律责任。</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其它</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甲乙双方应严格遵守本合同的有关条款，此合同未尽事项，应由甲乙双方友好协商解决或另立补充协议。</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因不可抗力导致合同无法履行的情况，双方应友好协商延期履行，协商不成或者确实无法继续履行的，任何一方均有权解除合同且不承担违约责任。</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除甲方事先书面同意外，乙方不得部分或全部转让其应履行的合同义务。</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本合同一式两份，甲方执一份，乙方执一份，且具有同等法律效力，自甲乙双方签订之日起生效。</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争议处理：如发生争议，双方应积极协商解决，以真诚的态度寻求更好的合作办法。更好的提高服务质量。如协商补充，双方均可向所在地有管辖权的人民法院起诉。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甲方签字：                       乙方签字：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（盖章）                         （盖章）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Theme="minorEastAsia" w:hAnsiTheme="minorEastAsia" w:eastAsiaTheme="minorEastAsia" w:cstheme="minorEastAsia"/>
          <w:sz w:val="24"/>
          <w:szCs w:val="24"/>
          <w:lang w:val="en-US" w:eastAsia="zh-CN"/>
        </w:rPr>
        <w:t xml:space="preserve"> 年    月    日                  年    月    日    </w:t>
      </w:r>
      <w:r>
        <w:rPr>
          <w:rFonts w:hint="eastAsia" w:ascii="方正仿宋简体" w:hAnsi="方正仿宋简体" w:eastAsia="方正仿宋简体" w:cs="方正仿宋简体"/>
          <w:sz w:val="32"/>
          <w:szCs w:val="32"/>
          <w:lang w:val="en-US" w:eastAsia="zh-CN"/>
        </w:rPr>
        <w:t xml:space="preserve">               </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pStyle w:val="14"/>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8"/>
          <w:szCs w:val="28"/>
        </w:rPr>
        <w:t>第四部分</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采购内容及要求</w:t>
      </w:r>
    </w:p>
    <w:p>
      <w:pPr>
        <w:pStyle w:val="14"/>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一、采购内容：</w:t>
      </w:r>
    </w:p>
    <w:p>
      <w:pPr>
        <w:spacing w:line="360" w:lineRule="auto"/>
        <w:ind w:firstLine="472" w:firstLineChars="200"/>
        <w:rPr>
          <w:rFonts w:hint="eastAsia" w:asciiTheme="minorEastAsia" w:hAnsiTheme="minorEastAsia" w:eastAsiaTheme="minorEastAsia" w:cstheme="minorEastAsia"/>
          <w:spacing w:val="-2"/>
          <w:sz w:val="24"/>
          <w:szCs w:val="24"/>
          <w:lang w:eastAsia="zh-CN"/>
        </w:rPr>
      </w:pPr>
      <w:bookmarkStart w:id="24" w:name="第六部分"/>
      <w:bookmarkStart w:id="25" w:name="_Toc268271058"/>
      <w:r>
        <w:rPr>
          <w:rFonts w:hint="eastAsia" w:asciiTheme="minorEastAsia" w:hAnsiTheme="minorEastAsia" w:eastAsiaTheme="minorEastAsia" w:cstheme="minorEastAsia"/>
          <w:spacing w:val="-2"/>
          <w:sz w:val="24"/>
          <w:szCs w:val="24"/>
          <w:lang w:eastAsia="zh-CN"/>
        </w:rPr>
        <w:t>本次</w:t>
      </w:r>
      <w:r>
        <w:rPr>
          <w:rFonts w:hint="eastAsia" w:asciiTheme="minorEastAsia" w:hAnsiTheme="minorEastAsia" w:eastAsiaTheme="minorEastAsia" w:cstheme="minorEastAsia"/>
          <w:spacing w:val="-2"/>
          <w:sz w:val="24"/>
          <w:szCs w:val="24"/>
        </w:rPr>
        <w:t>食堂配送供应商招标，主要包括</w:t>
      </w:r>
      <w:r>
        <w:rPr>
          <w:rFonts w:hint="eastAsia" w:asciiTheme="minorEastAsia" w:hAnsiTheme="minorEastAsia" w:eastAsiaTheme="minorEastAsia" w:cstheme="minorEastAsia"/>
          <w:spacing w:val="-2"/>
          <w:sz w:val="24"/>
          <w:szCs w:val="24"/>
          <w:lang w:val="en-US" w:eastAsia="zh-CN"/>
        </w:rPr>
        <w:t>米面油、</w:t>
      </w:r>
      <w:r>
        <w:rPr>
          <w:rFonts w:hint="eastAsia" w:asciiTheme="minorEastAsia" w:hAnsiTheme="minorEastAsia" w:eastAsiaTheme="minorEastAsia" w:cstheme="minorEastAsia"/>
          <w:spacing w:val="-2"/>
          <w:sz w:val="24"/>
          <w:szCs w:val="24"/>
        </w:rPr>
        <w:t>牛羊肉、禽肉、鸡蛋、蔬菜、水果、副食品等食堂食材的供应及配送等相关服务</w:t>
      </w:r>
      <w:r>
        <w:rPr>
          <w:rFonts w:hint="eastAsia" w:asciiTheme="minorEastAsia" w:hAnsiTheme="minorEastAsia" w:eastAsiaTheme="minorEastAsia" w:cstheme="minorEastAsia"/>
          <w:spacing w:val="-2"/>
          <w:sz w:val="24"/>
          <w:szCs w:val="24"/>
          <w:lang w:eastAsia="zh-CN"/>
        </w:rPr>
        <w:t>。</w:t>
      </w:r>
    </w:p>
    <w:p>
      <w:pPr>
        <w:spacing w:line="360" w:lineRule="auto"/>
        <w:ind w:firstLine="474" w:firstLineChars="200"/>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rPr>
        <w:t>二、要求：</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1、所有参数中的牛羊肉品必须是新鲜货品，白条鸡要求为新鲜三黄鸡，产地为新疆本地生产，草鱼为新鲜草鱼。</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2、大米：25kg/袋，质量标准依照国家 GB1345-2009，一级粳米（须提供第三方的检验报告），卫生标准 GB2715-2005 执行，必须有对无机砷、铅、汞、镉、黄曲霉素 BI、马拉硫磷进行检验的证明，产地要求为东北生产；</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3、面粉：特制一等，25kg/袋，质量标准国家 GB1355（须提供第三方的检验报告及相关证明），产地要求为</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新疆本地</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4、食用油：</w:t>
      </w:r>
      <w:r>
        <w:rPr>
          <w:rFonts w:hint="eastAsia" w:asciiTheme="minorEastAsia" w:hAnsiTheme="minorEastAsia" w:eastAsiaTheme="minorEastAsia" w:cstheme="minorEastAsia"/>
          <w:spacing w:val="-2"/>
          <w:sz w:val="24"/>
          <w:szCs w:val="24"/>
          <w:lang w:eastAsia="zh-CN"/>
        </w:rPr>
        <w:t>5L/桶</w:t>
      </w:r>
      <w:r>
        <w:rPr>
          <w:rFonts w:hint="eastAsia" w:asciiTheme="minorEastAsia" w:hAnsiTheme="minorEastAsia" w:eastAsiaTheme="minorEastAsia" w:cstheme="minorEastAsia"/>
          <w:spacing w:val="-2"/>
          <w:sz w:val="24"/>
          <w:szCs w:val="24"/>
        </w:rPr>
        <w:t>，非转基因一级压榨葵花籽油，行业标准 GB/T10464-2017。</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5、酸奶：180g/杯</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牛羊肉验收标准及要求： </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1．产品的品种：牛羊肉（均为鲜肉），羊肉为绵羊肉。</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2．数量：按甲方指定定购数量为准。</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3．计量单位：按公斤计</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4．计量方法：由乙方称重，送到甲方所指定地点，再由甲方核准称重。</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5.牛羊肉肉的质量、验收及要求：</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（1）牛肉（牛腿肉为剔骨肉）：执行国家标准 GB/T17238-2008，均匀深红色、表面光泽、纹路紧密、脂肪乳白色或是微黄无异味、触摸时不粘手、弹性好、严禁使用注水肉。</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（2）牛排：执行国家标准 GB/T17238-2008，深红色、脂肪乳白色、无异味、排骨肉厚度不低于 1 厘米。</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（3）全羊肉的执行标准：GB/T9961-2008，整羊要求重量在 20 公斤以下，当天宰杀，羊肉呈粉红色、表面光泽、纹路紧密、质地坚实有弹性，肌肉细嫩，整羊需现场分割剔好。</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供货方所提供的产品质量必须符合国家法定的质量标准及行业标准要求，不得有掺假、变质、变味、过期等现象出现，须有生产日期、有效期及产品合格证明、动物检验检疫证明，两证必须随肉同行。严禁伪劣、假冒、无证不合格产品进入。</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提供所需证件及产品检验报告单。在供货过程中，我方将核实供货方投标书中的产品的质量标准、检验报告、QS《质量安全》标志与实际供货的产品的质量标准、检验报告、QS《质量安全》是否一致，如发现偏离，我方将取消供货资格。</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8.根据甲方采购计划单的品种数量，乙方不得缺斤少两，缺货少货由乙方及时补齐，运输费用乙方自理。</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9．牛羊肉供货时每批次货物必须提供动物检疫合格证明；包装必须标识齐全，有生产厂家信息，有生产日期、保质期。无干缩、无变色、无异味，无干缩、无变色、无异味、水分损失不得超过 3%。理化指标及药残必须符合国家对于新鲜牛羊肉要求的相关质量标准，并符合《中华人民共和国食品安全法》。</w:t>
      </w:r>
    </w:p>
    <w:p>
      <w:p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10．甲方对不符合验收要求的新鲜牛羊肉等有权予以退回，乙方确认后于 24小时内必须及时换货，费用乙方自理。</w:t>
      </w:r>
    </w:p>
    <w:p>
      <w:pPr>
        <w:numPr>
          <w:ilvl w:val="0"/>
          <w:numId w:val="18"/>
        </w:numPr>
        <w:spacing w:line="360" w:lineRule="auto"/>
        <w:ind w:firstLine="472" w:firstLineChars="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每批货物都必须提供检测合格证（必须提供）。</w:t>
      </w:r>
    </w:p>
    <w:p>
      <w:pPr>
        <w:pStyle w:val="28"/>
        <w:spacing w:line="360" w:lineRule="auto"/>
        <w:ind w:firstLine="472" w:firstLineChars="200"/>
        <w:rPr>
          <w:rFonts w:hint="default" w:eastAsiaTheme="minorEastAsia"/>
          <w:color w:val="auto"/>
          <w:lang w:val="en-US" w:eastAsia="zh-CN"/>
        </w:rPr>
      </w:pPr>
      <w:r>
        <w:rPr>
          <w:rFonts w:hint="eastAsia" w:asciiTheme="minorEastAsia" w:hAnsiTheme="minorEastAsia" w:eastAsiaTheme="minorEastAsia" w:cstheme="minorEastAsia"/>
          <w:color w:val="auto"/>
          <w:spacing w:val="-2"/>
          <w:sz w:val="24"/>
          <w:szCs w:val="24"/>
          <w:lang w:val="en-US" w:eastAsia="zh-CN"/>
        </w:rPr>
        <w:t>12.每批冷冻食品供货时须提供核酸检测报告，冷冻食品缩水比例不高于10%（例如：10kg冷冻食品，解冻后重量不低于9kg）。</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蔬菜和水果类： </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（一）、蔬菜验收标准及要求：</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1．叶菜类、根茎类：执行国家卫生标准 GB 5009 系列，色泽鲜嫩、无黑斑、无烂叶、无烂心、无虫眼、无机械损伤等。农残不超标，并可溯源。</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2．瓜类与茄果类：执行国家卫生标准 GB 5009 系列，表皮无损伤、手感坚实、无断裂、无病斑、无腐烂。农残不超标，并可溯源。</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3.菌类：执行国家卫生标准 GB 5009 系列，状完整、无腐烂、无发霉、无虫蛀、无失水枯萎。农残不超标，并可溯源。</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蔬菜、加工面的数量：按甲方每日指定定购数量为准。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5．计量单位：按公斤计。</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6．计量方法：由乙方称重，送到甲方所指定地点，再由甲方进行去除外包装净重核准称重。</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7.供应</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（1）按甲方指定的品种、数量统一打包，运送到甲方指定地点后，由甲方除去包装验收称重。</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（2）供货地点：甲方指定地点</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（3）供货时间：</w:t>
      </w:r>
      <w:r>
        <w:rPr>
          <w:rFonts w:hint="eastAsia" w:asciiTheme="minorEastAsia" w:hAnsiTheme="minorEastAsia" w:eastAsiaTheme="minorEastAsia" w:cstheme="minorEastAsia"/>
          <w:spacing w:val="-2"/>
          <w:sz w:val="24"/>
          <w:szCs w:val="24"/>
          <w:lang w:val="en-US" w:eastAsia="zh-CN"/>
        </w:rPr>
        <w:t xml:space="preserve">详见合同要求 </w:t>
      </w:r>
      <w:r>
        <w:rPr>
          <w:rFonts w:hint="eastAsia" w:asciiTheme="minorEastAsia" w:hAnsiTheme="minorEastAsia" w:eastAsiaTheme="minorEastAsia" w:cstheme="minorEastAsia"/>
          <w:spacing w:val="-2"/>
          <w:sz w:val="24"/>
          <w:szCs w:val="24"/>
        </w:rPr>
        <w:t>。</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8.根据甲方采购计划单的品种数量，乙方不得缺斤少两，缺货少货由乙方及时补齐，运输费用乙方自理。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9．甲方对不符合验收要求的蔬菜、加工面有权予以退回，乙方必须及时换货，费用乙方自理。</w:t>
      </w:r>
    </w:p>
    <w:p>
      <w:pPr>
        <w:numPr>
          <w:ilvl w:val="0"/>
          <w:numId w:val="19"/>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蔬菜要求品种丰富，质量均匀。</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外观要求：形状完整、色泽鲜亮、气味正常、长度均匀。</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品质要求：有新鲜度、无虫害病害、无畸形、无腐烂、少损伤和杂质。</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净菜率要求：辣椒类：95%以上；叶菜类：80%以上；</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葱蒜类：90%以上；果菜类：95%以上；</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花菜类：95%以上；茎菜类：90%以上；</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根菜类：90%以上；食用菌类：95%以上。</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如甲方临时需购菜品、加工面，乙方必须按指定的品种、数量及时送货，运输费用自理。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如发现质次价高的菜品或同等质量菜品价格虚高的现象，甲方根据所验货物数量金额对乙方双倍处罚或减半付款，并提出一次警告；二次出现同样情况者，甲方有权单方终止合同。</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13. 提供所需证件及产品检验报告单。在实施中，我方将核实供货方投标书中的产品的质量标准、检验报告、QS《质量安全》标志与实际供货的产品的质量标准、检验报告、QS《质量安全》是否一致，如发现偏离，我方将取消供货资格。（必须提供）</w:t>
      </w:r>
    </w:p>
    <w:p>
      <w:pPr>
        <w:numPr>
          <w:ilvl w:val="0"/>
          <w:numId w:val="2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每批货物都必须提供农产品检测合格证（必须提供）。</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（二）、水果验收标准及要求： </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水果类：执行国家相关的标准，果形完整、未软化、新鲜、完好，无腐烂变质，基本不含可见异物，无坏死斑块、无明显机械损伤，基本无虫害，无异常气味和味道，发育充分，达到适当的成熟度，带柄时，其长度不能超过 1cm。农残不超标，并可溯源。</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2.数量：按甲方每日指定定购数量为准。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3.计量单位：按公斤计</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4.计量方法：由乙方称重，送到甲方所指定地点，再由甲方核准称重。</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5.水果的供应</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（1）水果由乙方按甲方指定的品种、数量统一打包，运送到甲方指定地点后，由甲方除去包装验收称重。</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（2）供货地点：甲方指定地点</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（3）供货时间：由甲方指定供货时间，如乙方不能及时送货造成甲方餐厅无法正常营业者，处以 200-500 元不等罚金；二次出现同样情况者，甲方有权单方终止合同。</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6.根据甲方采购计划单的品种数量，乙方不得缺斤少两，缺货少货由乙方及时补齐，运输费用乙方自理。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7．甲方对不符合验收要求的水果有权予以退回，乙方必须及时换货，费用乙方自理。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 要求品种丰富，质量合格。</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 提供所需证件及产品检验报告单。在实施中，我方将核实供货方投标书中的产品的质量标准、检验报告、QS《质量安全》标志与实际供货的产品的质量标准、检验报告、QS《质量安全》是否一致，如发现偏离，我方将取消供货资格。（必须提供）。</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10. 如甲方临时需购水果，乙方必须按指定的品种、数量及时送货，运输费用自理。</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11.每批货物都必须提供农产品检测合格证。</w:t>
      </w:r>
    </w:p>
    <w:p>
      <w:pPr>
        <w:numPr>
          <w:ilvl w:val="-1"/>
          <w:numId w:val="0"/>
        </w:numPr>
        <w:spacing w:line="360" w:lineRule="auto"/>
        <w:ind w:firstLine="474" w:firstLineChars="200"/>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rPr>
        <w:t xml:space="preserve">（三）其他食材验收标准： </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米、面、油必须符合行业标准要求，不得有变质、变味、过期等现象出现，须有生产日期及有效期。大米执行标准：25kg/袋，稻花香米，质量标准依照国家GB1345-2009，一级粳米（须提供第三方的检验报告），卫生标准 GB2715-2005 执行，必须有对无机砷、铅、汞、镉、黄曲霉素 BI、马拉硫磷进行检验的证明，产地要求为东北生产；面粉执行标准：特制一等，25kg/袋，质量标准国家 GB1355（须提供第三方的检验报告及相关证明），产地要求为新疆本地生产；食用油：</w:t>
      </w:r>
      <w:r>
        <w:rPr>
          <w:rFonts w:hint="eastAsia" w:asciiTheme="minorEastAsia" w:hAnsiTheme="minorEastAsia" w:eastAsiaTheme="minorEastAsia" w:cstheme="minorEastAsia"/>
          <w:spacing w:val="-2"/>
          <w:sz w:val="24"/>
          <w:szCs w:val="24"/>
          <w:lang w:eastAsia="zh-CN"/>
        </w:rPr>
        <w:t>5L/桶</w:t>
      </w:r>
      <w:r>
        <w:rPr>
          <w:rFonts w:hint="eastAsia" w:asciiTheme="minorEastAsia" w:hAnsiTheme="minorEastAsia" w:eastAsiaTheme="minorEastAsia" w:cstheme="minorEastAsia"/>
          <w:spacing w:val="-2"/>
          <w:sz w:val="24"/>
          <w:szCs w:val="24"/>
        </w:rPr>
        <w:t>，非转基因一级压榨葵花籽油，行业标准 GB/T10464-2017；</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2.提供的其他各类食材必须符合行业标准要求，不得有变质、变味、过期等现象出现，须有生产日期及有效期。严禁伪劣、假冒、无证不合格产品进入。</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三、对参与投标的商家的要求： </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1.所有参与投标供应商必须讲诚信、讲信誉，恪守职业道德和行业规则。以质量求生存，认真做到同质同价、货真价实、保质保量。</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所有参与招标的供应商需做到质量合格、价格稳定，坚决杜绝以次充好，所报价格应低于同类产品的一级市场批发价，所报价格均为到货价（此价格包括物品储藏、运输、搬运装卸、税费等一切相关费用）。</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供应商对所提供的物资需送货并搬运入库。并装卸码放整齐；在验收品种、数量、质量之后，由甲方指定人员和乙方人员在送货单上确认签字后则完成交货。</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中标供应商保证在供货时遵从甲方关于本项目的采购程序，保证不会将会同及（或）其中的权利、义务转让，不得转包、分包。</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 乙方按照甲方要求按时按点送货，如乙方不能及时送货造成甲方食堂无法正常工作、实施保障，处以 200-500 元不等的罚金；二次出现同样情况者，甲方有权单方终止合同。</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 遇到突发性的工作，各业主须临时增加调配食材（包括水果蔬菜等），要求中标供应商在半个小时之内配送到指定位置。</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7.参加本项目食材采购投标的单位，需在开标前向招标方缴纳投标保证金，投标人在递交投标文件后不得撤销投标文件，中标后不得以不正当的理由不与招标人订立合同，在签订合同时不得向招标人提出附</w:t>
      </w:r>
      <w:r>
        <w:rPr>
          <w:rFonts w:hint="eastAsia" w:asciiTheme="minorEastAsia" w:hAnsiTheme="minorEastAsia" w:eastAsiaTheme="minorEastAsia" w:cstheme="minorEastAsia"/>
          <w:spacing w:val="-2"/>
          <w:sz w:val="24"/>
          <w:szCs w:val="24"/>
          <w:highlight w:val="none"/>
        </w:rPr>
        <w:t>加条件、或者不按照招标文件要求提交履约保证金，否则，招标人有权不予退还其缴纳的</w:t>
      </w:r>
      <w:r>
        <w:rPr>
          <w:rFonts w:hint="eastAsia" w:asciiTheme="minorEastAsia" w:hAnsiTheme="minorEastAsia" w:eastAsiaTheme="minorEastAsia" w:cstheme="minorEastAsia"/>
          <w:spacing w:val="-2"/>
          <w:sz w:val="24"/>
          <w:szCs w:val="24"/>
        </w:rPr>
        <w:t>投标保证金。</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中标单位在签订合同前，需向招标方缴纳履约保证金，以约束中标单位履行合同，合同到期后，招标方全额退还中标单位的履约保证金。如在履行合同期内出现质量问题，无故延迟送货、不送货，影响餐厅正常开餐的，招标方有权不退还中标单位的履约保证金。</w:t>
      </w:r>
    </w:p>
    <w:p>
      <w:pPr>
        <w:numPr>
          <w:ilvl w:val="-1"/>
          <w:numId w:val="0"/>
        </w:numPr>
        <w:spacing w:line="360" w:lineRule="auto"/>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9.中标单位在签订合同的同时，需签订质量保证书及廉政协议。</w:t>
      </w:r>
    </w:p>
    <w:p>
      <w:pPr>
        <w:numPr>
          <w:ilvl w:val="-1"/>
          <w:numId w:val="0"/>
        </w:numPr>
        <w:spacing w:line="360" w:lineRule="auto"/>
        <w:ind w:firstLine="474" w:firstLineChars="200"/>
        <w:rPr>
          <w:rFonts w:hint="eastAsia" w:asciiTheme="minorEastAsia" w:hAnsiTheme="minorEastAsia" w:eastAsiaTheme="minorEastAsia" w:cstheme="minorEastAsia"/>
          <w:b/>
          <w:bCs/>
          <w:color w:val="auto"/>
          <w:spacing w:val="-2"/>
          <w:sz w:val="24"/>
          <w:szCs w:val="24"/>
        </w:rPr>
      </w:pPr>
      <w:r>
        <w:rPr>
          <w:rFonts w:hint="eastAsia" w:asciiTheme="minorEastAsia" w:hAnsiTheme="minorEastAsia" w:eastAsiaTheme="minorEastAsia" w:cstheme="minorEastAsia"/>
          <w:b/>
          <w:bCs/>
          <w:color w:val="auto"/>
          <w:spacing w:val="-2"/>
          <w:sz w:val="24"/>
          <w:szCs w:val="24"/>
        </w:rPr>
        <w:t>四、结算方式</w:t>
      </w:r>
    </w:p>
    <w:p>
      <w:pPr>
        <w:numPr>
          <w:ilvl w:val="-1"/>
          <w:numId w:val="0"/>
        </w:numPr>
        <w:spacing w:line="360" w:lineRule="auto"/>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每</w:t>
      </w:r>
      <w:r>
        <w:rPr>
          <w:rFonts w:hint="eastAsia" w:asciiTheme="minorEastAsia" w:hAnsiTheme="minorEastAsia" w:eastAsiaTheme="minorEastAsia" w:cstheme="minorEastAsia"/>
          <w:color w:val="auto"/>
          <w:spacing w:val="-2"/>
          <w:sz w:val="24"/>
          <w:szCs w:val="24"/>
          <w:highlight w:val="none"/>
          <w:lang w:val="en-US" w:eastAsia="zh-CN"/>
        </w:rPr>
        <w:t>次</w:t>
      </w:r>
      <w:r>
        <w:rPr>
          <w:rFonts w:hint="eastAsia" w:asciiTheme="minorEastAsia" w:hAnsiTheme="minorEastAsia" w:eastAsiaTheme="minorEastAsia" w:cstheme="minorEastAsia"/>
          <w:color w:val="auto"/>
          <w:spacing w:val="-2"/>
          <w:sz w:val="24"/>
          <w:szCs w:val="24"/>
          <w:highlight w:val="none"/>
        </w:rPr>
        <w:t>核对数据清单经甲方人员签字确认后，根据财政拨付情况按季度</w:t>
      </w:r>
      <w:r>
        <w:rPr>
          <w:rFonts w:hint="eastAsia" w:asciiTheme="minorEastAsia" w:hAnsiTheme="minorEastAsia" w:eastAsiaTheme="minorEastAsia" w:cstheme="minorEastAsia"/>
          <w:color w:val="auto"/>
          <w:spacing w:val="-2"/>
          <w:sz w:val="24"/>
          <w:szCs w:val="24"/>
          <w:highlight w:val="none"/>
          <w:lang w:val="en-US" w:eastAsia="zh-CN"/>
        </w:rPr>
        <w:t>或半年度</w:t>
      </w:r>
      <w:r>
        <w:rPr>
          <w:rFonts w:hint="eastAsia" w:asciiTheme="minorEastAsia" w:hAnsiTheme="minorEastAsia" w:eastAsiaTheme="minorEastAsia" w:cstheme="minorEastAsia"/>
          <w:color w:val="auto"/>
          <w:spacing w:val="-2"/>
          <w:sz w:val="24"/>
          <w:szCs w:val="24"/>
          <w:highlight w:val="none"/>
        </w:rPr>
        <w:t>结算货款</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实际已签订合同为准</w:t>
      </w:r>
      <w:r>
        <w:rPr>
          <w:rFonts w:hint="eastAsia" w:asciiTheme="minorEastAsia" w:hAnsiTheme="minorEastAsia" w:eastAsiaTheme="minorEastAsia" w:cstheme="minorEastAsia"/>
          <w:color w:val="auto"/>
          <w:spacing w:val="-2"/>
          <w:sz w:val="24"/>
          <w:szCs w:val="24"/>
          <w:highlight w:val="none"/>
        </w:rPr>
        <w:t>。乙方在结款时须提供符合甲方财务要求的票据，乙方须在每月规定日期之前同甲方财务人员对账完毕</w:t>
      </w:r>
      <w:r>
        <w:rPr>
          <w:rFonts w:hint="eastAsia" w:asciiTheme="minorEastAsia" w:hAnsiTheme="minorEastAsia" w:eastAsiaTheme="minorEastAsia" w:cstheme="minorEastAsia"/>
          <w:color w:val="auto"/>
          <w:spacing w:val="-2"/>
          <w:sz w:val="24"/>
          <w:szCs w:val="24"/>
          <w:highlight w:val="none"/>
          <w:lang w:eastAsia="zh-CN"/>
        </w:rPr>
        <w:t>。</w:t>
      </w:r>
    </w:p>
    <w:p>
      <w:pPr>
        <w:rPr>
          <w:rFonts w:hint="eastAsia" w:asciiTheme="minorEastAsia" w:hAnsiTheme="minorEastAsia" w:eastAsiaTheme="minorEastAsia" w:cstheme="minorEastAsia"/>
          <w:b/>
          <w:bCs/>
          <w:sz w:val="28"/>
          <w:szCs w:val="24"/>
          <w:highlight w:val="none"/>
          <w:lang w:val="en-US" w:eastAsia="zh-CN"/>
        </w:rPr>
      </w:pPr>
      <w:r>
        <w:rPr>
          <w:rFonts w:hint="eastAsia" w:asciiTheme="minorEastAsia" w:hAnsiTheme="minorEastAsia" w:eastAsiaTheme="minorEastAsia" w:cstheme="minorEastAsia"/>
          <w:b/>
          <w:bCs/>
          <w:sz w:val="28"/>
          <w:szCs w:val="24"/>
          <w:highlight w:val="none"/>
          <w:lang w:val="en-US" w:eastAsia="zh-CN"/>
        </w:rPr>
        <w:br w:type="page"/>
      </w: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第五部分    附　件</w:t>
      </w: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 xml:space="preserve">（投标文件制作格式） </w:t>
      </w:r>
    </w:p>
    <w:p>
      <w:pPr>
        <w:spacing w:line="360" w:lineRule="auto"/>
        <w:jc w:val="center"/>
        <w:rPr>
          <w:rFonts w:hint="eastAsia" w:asciiTheme="minorEastAsia" w:hAnsiTheme="minorEastAsia" w:eastAsiaTheme="minorEastAsia" w:cstheme="minorEastAsia"/>
          <w:b/>
          <w:bCs/>
          <w:sz w:val="36"/>
          <w:szCs w:val="36"/>
        </w:rPr>
      </w:pPr>
    </w:p>
    <w:p>
      <w:pPr>
        <w:widowControl/>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pPr>
        <w:autoSpaceDE w:val="0"/>
        <w:autoSpaceDN w:val="0"/>
        <w:adjustRightInd w:val="0"/>
        <w:jc w:val="right"/>
        <w:rPr>
          <w:rFonts w:hint="eastAsia" w:asciiTheme="minorEastAsia" w:hAnsiTheme="minorEastAsia" w:eastAsiaTheme="minorEastAsia" w:cstheme="minorEastAsia"/>
          <w:b/>
          <w:spacing w:val="-6"/>
          <w:kern w:val="0"/>
          <w:sz w:val="32"/>
          <w:szCs w:val="32"/>
          <w:bdr w:val="single" w:color="auto" w:sz="4" w:space="0"/>
        </w:rPr>
      </w:pPr>
    </w:p>
    <w:p>
      <w:pPr>
        <w:autoSpaceDE w:val="0"/>
        <w:autoSpaceDN w:val="0"/>
        <w:adjustRightInd w:val="0"/>
        <w:jc w:val="right"/>
        <w:rPr>
          <w:rFonts w:hint="eastAsia" w:asciiTheme="minorEastAsia" w:hAnsiTheme="minorEastAsia" w:eastAsiaTheme="minorEastAsia" w:cstheme="minorEastAsia"/>
          <w:b/>
          <w:spacing w:val="-6"/>
          <w:kern w:val="0"/>
          <w:sz w:val="32"/>
          <w:szCs w:val="32"/>
          <w:bdr w:val="single" w:color="auto" w:sz="4" w:space="0"/>
        </w:rPr>
      </w:pPr>
      <w:r>
        <w:rPr>
          <w:rFonts w:hint="eastAsia" w:asciiTheme="minorEastAsia" w:hAnsiTheme="minorEastAsia" w:eastAsiaTheme="minorEastAsia" w:cstheme="minorEastAsia"/>
          <w:b/>
          <w:spacing w:val="-6"/>
          <w:kern w:val="0"/>
          <w:sz w:val="32"/>
          <w:szCs w:val="32"/>
          <w:bdr w:val="single" w:color="auto" w:sz="4" w:space="0"/>
        </w:rPr>
        <w:t>正本(或副本)</w:t>
      </w:r>
    </w:p>
    <w:p>
      <w:pPr>
        <w:autoSpaceDE w:val="0"/>
        <w:autoSpaceDN w:val="0"/>
        <w:adjustRightInd w:val="0"/>
        <w:jc w:val="center"/>
        <w:rPr>
          <w:rFonts w:hint="eastAsia" w:asciiTheme="minorEastAsia" w:hAnsiTheme="minorEastAsia" w:eastAsiaTheme="minorEastAsia" w:cstheme="minorEastAsia"/>
          <w:b/>
          <w:spacing w:val="-6"/>
          <w:kern w:val="0"/>
          <w:sz w:val="36"/>
          <w:szCs w:val="36"/>
        </w:rPr>
      </w:pPr>
    </w:p>
    <w:p>
      <w:pPr>
        <w:pStyle w:val="16"/>
        <w:rPr>
          <w:rFonts w:hint="eastAsia" w:asciiTheme="minorEastAsia" w:hAnsiTheme="minorEastAsia" w:eastAsiaTheme="minorEastAsia" w:cstheme="minorEastAsia"/>
        </w:rPr>
      </w:pPr>
    </w:p>
    <w:p>
      <w:pPr>
        <w:adjustRightInd w:val="0"/>
        <w:snapToGrid w:val="0"/>
        <w:spacing w:line="580" w:lineRule="exact"/>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Cs/>
          <w:sz w:val="40"/>
          <w:szCs w:val="36"/>
          <w:lang w:eastAsia="zh-CN"/>
        </w:rPr>
        <w:t>头屯河区交警大队食堂配送供应商招标项目</w:t>
      </w:r>
    </w:p>
    <w:p>
      <w:pPr>
        <w:spacing w:line="360" w:lineRule="auto"/>
        <w:jc w:val="center"/>
        <w:rPr>
          <w:rFonts w:hint="eastAsia" w:asciiTheme="minorEastAsia" w:hAnsiTheme="minorEastAsia" w:eastAsiaTheme="minorEastAsia" w:cstheme="minorEastAsia"/>
          <w:b/>
          <w:sz w:val="28"/>
          <w:szCs w:val="48"/>
        </w:rPr>
      </w:pPr>
    </w:p>
    <w:p>
      <w:pPr>
        <w:spacing w:line="360" w:lineRule="auto"/>
        <w:jc w:val="center"/>
        <w:rPr>
          <w:rFonts w:hint="eastAsia" w:asciiTheme="minorEastAsia" w:hAnsiTheme="minorEastAsia" w:eastAsiaTheme="minorEastAsia" w:cstheme="minorEastAsia"/>
          <w:b/>
          <w:sz w:val="44"/>
          <w:szCs w:val="48"/>
        </w:rPr>
      </w:pPr>
    </w:p>
    <w:p>
      <w:pPr>
        <w:spacing w:line="360" w:lineRule="auto"/>
        <w:jc w:val="center"/>
        <w:rPr>
          <w:rFonts w:hint="eastAsia" w:asciiTheme="minorEastAsia" w:hAnsiTheme="minorEastAsia" w:eastAsiaTheme="minorEastAsia" w:cstheme="minorEastAsia"/>
          <w:b/>
          <w:sz w:val="44"/>
          <w:szCs w:val="48"/>
        </w:rPr>
      </w:pPr>
    </w:p>
    <w:p>
      <w:pPr>
        <w:spacing w:line="360" w:lineRule="auto"/>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投 标 文 件</w:t>
      </w:r>
    </w:p>
    <w:p>
      <w:pPr>
        <w:spacing w:line="360" w:lineRule="auto"/>
        <w:jc w:val="center"/>
        <w:rPr>
          <w:rFonts w:hint="eastAsia" w:asciiTheme="minorEastAsia" w:hAnsiTheme="minorEastAsia" w:eastAsiaTheme="minorEastAsia" w:cstheme="minorEastAsia"/>
          <w:b/>
          <w:sz w:val="40"/>
          <w:szCs w:val="48"/>
        </w:rPr>
      </w:pPr>
      <w:r>
        <w:rPr>
          <w:rFonts w:hint="eastAsia" w:asciiTheme="minorEastAsia" w:hAnsiTheme="minorEastAsia" w:eastAsiaTheme="minorEastAsia" w:cstheme="minorEastAsia"/>
          <w:b/>
          <w:sz w:val="40"/>
          <w:szCs w:val="48"/>
        </w:rPr>
        <w:t xml:space="preserve"> </w:t>
      </w:r>
    </w:p>
    <w:p>
      <w:pPr>
        <w:spacing w:line="360" w:lineRule="auto"/>
        <w:jc w:val="center"/>
        <w:rPr>
          <w:rFonts w:hint="eastAsia" w:asciiTheme="minorEastAsia" w:hAnsiTheme="minorEastAsia" w:eastAsiaTheme="minorEastAsia" w:cstheme="minorEastAsia"/>
          <w:b/>
          <w:sz w:val="30"/>
          <w:szCs w:val="30"/>
        </w:rPr>
      </w:pPr>
    </w:p>
    <w:p>
      <w:pPr>
        <w:spacing w:line="360" w:lineRule="auto"/>
        <w:jc w:val="center"/>
        <w:rPr>
          <w:rFonts w:hint="eastAsia" w:asciiTheme="minorEastAsia" w:hAnsiTheme="minorEastAsia" w:eastAsiaTheme="minorEastAsia" w:cstheme="minorEastAsia"/>
          <w:b/>
          <w:sz w:val="30"/>
          <w:szCs w:val="30"/>
        </w:rPr>
      </w:pPr>
    </w:p>
    <w:p>
      <w:pPr>
        <w:spacing w:line="360" w:lineRule="auto"/>
        <w:jc w:val="center"/>
        <w:rPr>
          <w:rFonts w:hint="eastAsia" w:asciiTheme="minorEastAsia" w:hAnsiTheme="minorEastAsia" w:eastAsiaTheme="minorEastAsia" w:cstheme="minorEastAsia"/>
          <w:b/>
          <w:sz w:val="30"/>
          <w:szCs w:val="30"/>
        </w:rPr>
      </w:pPr>
    </w:p>
    <w:p>
      <w:pPr>
        <w:spacing w:line="360" w:lineRule="auto"/>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项目编号：</w:t>
      </w:r>
    </w:p>
    <w:p>
      <w:pPr>
        <w:spacing w:line="360" w:lineRule="auto"/>
        <w:rPr>
          <w:rFonts w:hint="eastAsia" w:asciiTheme="minorEastAsia" w:hAnsiTheme="minorEastAsia" w:eastAsiaTheme="minorEastAsia" w:cstheme="minorEastAsia"/>
          <w:sz w:val="30"/>
          <w:u w:val="single"/>
        </w:rPr>
      </w:pPr>
      <w:r>
        <w:rPr>
          <w:rFonts w:hint="eastAsia" w:asciiTheme="minorEastAsia" w:hAnsiTheme="minorEastAsia" w:eastAsiaTheme="minorEastAsia" w:cstheme="minorEastAsia"/>
          <w:sz w:val="30"/>
        </w:rPr>
        <w:t>投标单位：</w:t>
      </w:r>
      <w:r>
        <w:rPr>
          <w:rFonts w:hint="eastAsia" w:asciiTheme="minorEastAsia" w:hAnsiTheme="minorEastAsia" w:eastAsiaTheme="minorEastAsia" w:cstheme="minorEastAsia"/>
          <w:sz w:val="30"/>
          <w:u w:val="single"/>
        </w:rPr>
        <w:t xml:space="preserve">   （全称）（盖章）</w:t>
      </w:r>
    </w:p>
    <w:p>
      <w:pPr>
        <w:spacing w:line="360" w:lineRule="auto"/>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投标单位法人代表或授权代表签字：</w:t>
      </w:r>
    </w:p>
    <w:p>
      <w:pPr>
        <w:spacing w:line="360" w:lineRule="auto"/>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单位地址：</w:t>
      </w:r>
    </w:p>
    <w:p>
      <w:pPr>
        <w:spacing w:line="360" w:lineRule="auto"/>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联系人及联系电话：</w:t>
      </w:r>
    </w:p>
    <w:p>
      <w:pPr>
        <w:widowControl/>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30"/>
        </w:rPr>
        <w:t xml:space="preserve"> 年  月   日</w:t>
      </w:r>
    </w:p>
    <w:p>
      <w:pPr>
        <w:widowControl/>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pPr>
        <w:jc w:val="center"/>
        <w:rPr>
          <w:rFonts w:hint="eastAsia" w:asciiTheme="minorEastAsia" w:hAnsiTheme="minorEastAsia" w:eastAsiaTheme="minorEastAsia" w:cstheme="minorEastAsia"/>
          <w:b/>
          <w:sz w:val="32"/>
        </w:rPr>
      </w:pP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投标文件编制顺序</w:t>
      </w:r>
    </w:p>
    <w:p>
      <w:pPr>
        <w:spacing w:line="400" w:lineRule="exact"/>
        <w:jc w:val="center"/>
        <w:rPr>
          <w:rFonts w:hint="eastAsia" w:asciiTheme="minorEastAsia" w:hAnsiTheme="minorEastAsia" w:eastAsiaTheme="minorEastAsia" w:cstheme="minorEastAsia"/>
          <w:b/>
          <w:sz w:val="32"/>
        </w:rPr>
      </w:pP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投标人可按下列顺序排列和装订投标文件：</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（2）法定代表人证明或法定代表人授权委托书；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（3）联合体协议书（如有）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（4）投标保证金；</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（5）投标人资格证明文件（营业执照等）；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① 关于资格的声明函</w:t>
      </w:r>
      <w:r>
        <w:rPr>
          <w:rFonts w:hint="eastAsia" w:asciiTheme="minorEastAsia" w:hAnsiTheme="minorEastAsia" w:eastAsiaTheme="minorEastAsia" w:cstheme="minorEastAsia"/>
          <w:sz w:val="24"/>
          <w:lang w:eastAsia="zh-CN"/>
        </w:rPr>
        <w:t>、具备履行合同所必需的设备和专业技术能力的书面声明、</w:t>
      </w:r>
      <w:r>
        <w:rPr>
          <w:rFonts w:ascii="宋体" w:hAnsi="宋体" w:eastAsia="宋体" w:cs="宋体"/>
          <w:sz w:val="24"/>
          <w:szCs w:val="24"/>
        </w:rPr>
        <w:t>参加政府采购活动前 3 年内在经营活动中没有重大违法记录的书 面声明</w:t>
      </w:r>
      <w:r>
        <w:rPr>
          <w:rFonts w:hint="eastAsia" w:asciiTheme="minorEastAsia" w:hAnsiTheme="minorEastAsia" w:eastAsiaTheme="minorEastAsia" w:cstheme="minorEastAsia"/>
          <w:sz w:val="24"/>
        </w:rPr>
        <w:t>；</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highlight w:val="none"/>
        </w:rPr>
        <w:t xml:space="preserve"> ② 投标人基本情况表（附资格审查资料）；</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③ 近三年完成的类似项目情况表；</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④ 拟委任的主要人员汇总表；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⑤ 主要人员资历表；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（6）投标报价一览表；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（7）投标人简介；</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）服务承诺书；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履约措施、方案（合理化建议等）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）合同条件及合同协议条款偏离表；</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）投标单位反商业贿赂承诺书；</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）在“信用中国”</w:t>
      </w:r>
      <w:r>
        <w:rPr>
          <w:rFonts w:hint="eastAsia" w:asciiTheme="minorEastAsia" w:hAnsiTheme="minorEastAsia" w:eastAsiaTheme="minorEastAsia" w:cstheme="minorEastAsia"/>
          <w:sz w:val="24"/>
          <w:lang w:val="en-US" w:eastAsia="zh-CN"/>
        </w:rPr>
        <w:t>和</w:t>
      </w:r>
      <w:r>
        <w:rPr>
          <w:rFonts w:hint="eastAsia" w:asciiTheme="minorEastAsia" w:hAnsiTheme="minorEastAsia" w:eastAsiaTheme="minorEastAsia" w:cstheme="minorEastAsia"/>
          <w:sz w:val="24"/>
        </w:rPr>
        <w:t xml:space="preserve">“中国政府采购网”上未被列入失信被执行人、重大税收违法案件当事人名单以及政府采购严重违法失信行为记录名单的投标供应商；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）其他有利资料。</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注：投标文件的内容包括但不仅限于上述内容，如有不足请自行补充。</w:t>
      </w: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bookmarkEnd w:id="24"/>
    <w:bookmarkEnd w:id="25"/>
    <w:p>
      <w:pPr>
        <w:spacing w:line="360" w:lineRule="auto"/>
        <w:jc w:val="left"/>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（附件一）</w:t>
      </w: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致：新疆建投项目管理咨询有限公司:</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eastAsia="zh-CN"/>
        </w:rPr>
        <w:t>项目名称</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项目招标的投标邀请</w:t>
      </w:r>
      <w:r>
        <w:rPr>
          <w:rFonts w:hint="eastAsia" w:asciiTheme="minorEastAsia" w:hAnsiTheme="minorEastAsia" w:eastAsiaTheme="minorEastAsia" w:cstheme="minorEastAsia"/>
          <w:sz w:val="24"/>
          <w:szCs w:val="24"/>
          <w:u w:val="single"/>
        </w:rPr>
        <w:t>（招标编号/</w:t>
      </w:r>
      <w:r>
        <w:rPr>
          <w:rFonts w:hint="eastAsia" w:asciiTheme="minorEastAsia" w:hAnsiTheme="minorEastAsia" w:eastAsiaTheme="minorEastAsia" w:cstheme="minorEastAsia"/>
          <w:sz w:val="24"/>
          <w:szCs w:val="24"/>
          <w:u w:val="single"/>
          <w:lang w:eastAsia="zh-CN"/>
        </w:rPr>
        <w:t>项目编号</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，签字代表</w:t>
      </w:r>
      <w:r>
        <w:rPr>
          <w:rFonts w:hint="eastAsia" w:asciiTheme="minorEastAsia" w:hAnsiTheme="minorEastAsia" w:eastAsiaTheme="minorEastAsia" w:cstheme="minorEastAsia"/>
          <w:sz w:val="24"/>
          <w:szCs w:val="24"/>
          <w:u w:val="single"/>
        </w:rPr>
        <w:t>（姓名、职务）</w:t>
      </w:r>
      <w:r>
        <w:rPr>
          <w:rFonts w:hint="eastAsia" w:asciiTheme="minorEastAsia" w:hAnsiTheme="minorEastAsia" w:eastAsiaTheme="minorEastAsia" w:cstheme="minorEastAsia"/>
          <w:sz w:val="24"/>
          <w:szCs w:val="24"/>
        </w:rPr>
        <w:t>经正式授权并代表投标人</w:t>
      </w:r>
      <w:r>
        <w:rPr>
          <w:rFonts w:hint="eastAsia" w:asciiTheme="minorEastAsia" w:hAnsiTheme="minorEastAsia" w:eastAsiaTheme="minorEastAsia" w:cstheme="minorEastAsia"/>
          <w:sz w:val="24"/>
          <w:szCs w:val="24"/>
          <w:u w:val="single"/>
        </w:rPr>
        <w:t>（投标人名称、地址）</w:t>
      </w:r>
      <w:r>
        <w:rPr>
          <w:rFonts w:hint="eastAsia" w:asciiTheme="minorEastAsia" w:hAnsiTheme="minorEastAsia" w:eastAsiaTheme="minorEastAsia" w:cstheme="minorEastAsia"/>
          <w:sz w:val="24"/>
          <w:szCs w:val="24"/>
        </w:rPr>
        <w:t>提交投标文件正本</w:t>
      </w:r>
      <w:r>
        <w:rPr>
          <w:rFonts w:hint="eastAsia" w:asciiTheme="minorEastAsia" w:hAnsiTheme="minorEastAsia" w:eastAsiaTheme="minorEastAsia" w:cstheme="minorEastAsia"/>
          <w:sz w:val="24"/>
          <w:szCs w:val="24"/>
          <w:u w:val="single"/>
        </w:rPr>
        <w:t>壹</w:t>
      </w:r>
      <w:r>
        <w:rPr>
          <w:rFonts w:hint="eastAsia" w:asciiTheme="minorEastAsia" w:hAnsiTheme="minorEastAsia" w:eastAsiaTheme="minorEastAsia" w:cstheme="minorEastAsia"/>
          <w:sz w:val="24"/>
          <w:szCs w:val="24"/>
        </w:rPr>
        <w:t>份和副本</w:t>
      </w:r>
      <w:r>
        <w:rPr>
          <w:rFonts w:hint="eastAsia" w:asciiTheme="minorEastAsia" w:hAnsiTheme="minorEastAsia" w:eastAsiaTheme="minorEastAsia" w:cstheme="minorEastAsia"/>
          <w:sz w:val="24"/>
          <w:szCs w:val="24"/>
          <w:u w:val="single"/>
        </w:rPr>
        <w:t>肆</w:t>
      </w:r>
      <w:r>
        <w:rPr>
          <w:rFonts w:hint="eastAsia" w:asciiTheme="minorEastAsia" w:hAnsiTheme="minorEastAsia" w:eastAsiaTheme="minorEastAsia" w:cstheme="minorEastAsia"/>
          <w:sz w:val="24"/>
          <w:szCs w:val="24"/>
        </w:rPr>
        <w:t>份。</w:t>
      </w:r>
    </w:p>
    <w:p>
      <w:pPr>
        <w:numPr>
          <w:ilvl w:val="0"/>
          <w:numId w:val="21"/>
        </w:numPr>
        <w:spacing w:line="360" w:lineRule="auto"/>
        <w:ind w:left="12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w:t>
      </w:r>
    </w:p>
    <w:p>
      <w:pPr>
        <w:numPr>
          <w:ilvl w:val="0"/>
          <w:numId w:val="21"/>
        </w:numPr>
        <w:spacing w:line="360" w:lineRule="auto"/>
        <w:ind w:left="12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按招标文件投标人须知、服务要求及其他要求提供有关文件</w:t>
      </w:r>
    </w:p>
    <w:p>
      <w:pPr>
        <w:numPr>
          <w:ilvl w:val="0"/>
          <w:numId w:val="21"/>
        </w:numPr>
        <w:spacing w:line="360" w:lineRule="auto"/>
        <w:ind w:left="12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资格证明文件</w:t>
      </w:r>
    </w:p>
    <w:p>
      <w:pPr>
        <w:numPr>
          <w:ilvl w:val="0"/>
          <w:numId w:val="21"/>
        </w:numPr>
        <w:spacing w:line="360" w:lineRule="auto"/>
        <w:ind w:left="12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投标保证金，形式（支票、汇票或现金），金额为</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据此函，签字代表宣布并同意如下：</w:t>
      </w:r>
    </w:p>
    <w:p>
      <w:pPr>
        <w:spacing w:line="360" w:lineRule="auto"/>
        <w:ind w:firstLine="555"/>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1、投标人将按招标文件的规定履行合同责任和义务；</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2、投标人已详细阅读并理解了招标文件的全部，包括修改文件（如有的话）。我们完全理解并同意放弃对这方面有不明及误解的权利。</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3、本投标有效期自开标之日起</w:t>
      </w:r>
      <w:r>
        <w:rPr>
          <w:rFonts w:hint="eastAsia" w:asciiTheme="minorEastAsia" w:hAnsiTheme="minorEastAsia" w:eastAsiaTheme="minorEastAsia" w:cstheme="minorEastAsia"/>
          <w:sz w:val="24"/>
          <w:szCs w:val="24"/>
          <w:u w:val="single"/>
        </w:rPr>
        <w:t xml:space="preserve">  90  </w:t>
      </w:r>
      <w:r>
        <w:rPr>
          <w:rFonts w:hint="eastAsia" w:asciiTheme="minorEastAsia" w:hAnsiTheme="minorEastAsia" w:eastAsiaTheme="minorEastAsia" w:cstheme="minorEastAsia"/>
          <w:sz w:val="24"/>
          <w:szCs w:val="24"/>
        </w:rPr>
        <w:t>个日历日。</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4、在规定的开标日期后，如果在投标有效期内撤回投标，同意投标保证金将被贵方不予退还。</w:t>
      </w:r>
    </w:p>
    <w:p>
      <w:pPr>
        <w:spacing w:line="360" w:lineRule="auto"/>
        <w:ind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5、投标人同意提供按照贵方可能要求的与其投标有关的一切数据或资料，完全理解贵方不一定接受最低价的投标或收到的任何投标的约定。</w:t>
      </w:r>
    </w:p>
    <w:p>
      <w:pPr>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6、与本投标有关的一切正式往来信函请寄：</w:t>
      </w:r>
    </w:p>
    <w:p>
      <w:pPr>
        <w:spacing w:line="360" w:lineRule="auto"/>
        <w:ind w:firstLine="240" w:firstLineChars="1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single"/>
        </w:rPr>
        <w:t>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电　　　　　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投标人代表签字：</w:t>
      </w:r>
      <w:r>
        <w:rPr>
          <w:rFonts w:hint="eastAsia" w:asciiTheme="minorEastAsia" w:hAnsiTheme="minorEastAsia" w:eastAsiaTheme="minorEastAsia" w:cstheme="minorEastAsia"/>
          <w:sz w:val="24"/>
          <w:szCs w:val="24"/>
          <w:u w:val="single"/>
        </w:rPr>
        <w:t>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投标人名称：</w:t>
      </w:r>
      <w:r>
        <w:rPr>
          <w:rFonts w:hint="eastAsia" w:asciiTheme="minorEastAsia" w:hAnsiTheme="minorEastAsia" w:eastAsiaTheme="minorEastAsia" w:cstheme="minorEastAsia"/>
          <w:sz w:val="24"/>
          <w:szCs w:val="24"/>
          <w:u w:val="single"/>
        </w:rPr>
        <w:t>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公章：</w:t>
      </w:r>
      <w:r>
        <w:rPr>
          <w:rFonts w:hint="eastAsia" w:asciiTheme="minorEastAsia" w:hAnsiTheme="minorEastAsia" w:eastAsiaTheme="minorEastAsia" w:cstheme="minorEastAsia"/>
          <w:sz w:val="24"/>
          <w:szCs w:val="24"/>
          <w:u w:val="single"/>
        </w:rPr>
        <w:t>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pPr>
        <w:widowControl/>
        <w:jc w:val="left"/>
        <w:rPr>
          <w:rFonts w:hint="eastAsia" w:asciiTheme="minorEastAsia" w:hAnsiTheme="minorEastAsia" w:eastAsiaTheme="minorEastAsia" w:cstheme="minorEastAsia"/>
          <w:sz w:val="24"/>
          <w:szCs w:val="24"/>
        </w:rPr>
      </w:pPr>
    </w:p>
    <w:p>
      <w:pPr>
        <w:widowControl/>
        <w:jc w:val="left"/>
        <w:rPr>
          <w:rFonts w:hint="eastAsia" w:asciiTheme="minorEastAsia" w:hAnsiTheme="minorEastAsia" w:eastAsiaTheme="minorEastAsia" w:cstheme="minorEastAsia"/>
          <w:sz w:val="24"/>
          <w:szCs w:val="24"/>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（附件二）</w:t>
      </w:r>
    </w:p>
    <w:p>
      <w:pPr>
        <w:spacing w:before="100" w:beforeAutospacing="1" w:after="100" w:afterAutospacing="1" w:line="240" w:lineRule="atLeas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1、法定代表人身份证明</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兹证明同志在我单位任（职务），是我单位的法定代表人。</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附法定代表人基本情况：</w:t>
      </w:r>
    </w:p>
    <w:p>
      <w:pPr>
        <w:autoSpaceDE w:val="0"/>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
          <w:szCs w:val="2"/>
        </w:rPr>
        <w:t>U</w:t>
      </w:r>
      <w:r>
        <w:rPr>
          <w:rFonts w:hint="eastAsia" w:asciiTheme="minorEastAsia" w:hAnsiTheme="minorEastAsia" w:eastAsiaTheme="minorEastAsia" w:cstheme="minorEastAsia"/>
          <w:sz w:val="24"/>
          <w:szCs w:val="24"/>
          <w:u w:val="single"/>
        </w:rPr>
        <w:t>（亲笔签字或盖章）</w:t>
      </w:r>
      <w:r>
        <w:rPr>
          <w:rFonts w:hint="eastAsia" w:asciiTheme="minorEastAsia" w:hAnsiTheme="minorEastAsia" w:eastAsiaTheme="minorEastAsia" w:cstheme="minorEastAsia"/>
          <w:sz w:val="24"/>
          <w:szCs w:val="24"/>
        </w:rPr>
        <w:t>性别年龄</w:t>
      </w:r>
    </w:p>
    <w:p>
      <w:pPr>
        <w:spacing w:line="46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p>
    <w:p>
      <w:pPr>
        <w:spacing w:line="46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通讯地址：</w:t>
      </w:r>
    </w:p>
    <w:p>
      <w:pPr>
        <w:spacing w:line="46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电话号码：邮编：</w:t>
      </w:r>
    </w:p>
    <w:p>
      <w:pPr>
        <w:spacing w:line="460" w:lineRule="exact"/>
        <w:ind w:firstLine="480" w:firstLineChars="200"/>
        <w:rPr>
          <w:rFonts w:hint="eastAsia" w:asciiTheme="minorEastAsia" w:hAnsiTheme="minorEastAsia" w:eastAsiaTheme="minorEastAsia" w:cstheme="minorEastAsia"/>
          <w:sz w:val="24"/>
          <w:szCs w:val="24"/>
        </w:rPr>
      </w:pP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w:t>
      </w:r>
    </w:p>
    <w:p>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p>
      <w:pPr>
        <w:spacing w:before="100" w:beforeAutospacing="1" w:after="100" w:afterAutospacing="1" w:line="240" w:lineRule="atLeas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附：法定代表人《居民身份证》正反面复印件（加盖单位公章）：</w:t>
      </w:r>
    </w:p>
    <w:p>
      <w:pPr>
        <w:adjustRightInd w:val="0"/>
        <w:snapToGrid w:val="0"/>
        <w:spacing w:line="240" w:lineRule="atLeast"/>
        <w:ind w:left="1852" w:leftChars="882"/>
        <w:rPr>
          <w:rFonts w:hint="eastAsia" w:asciiTheme="minorEastAsia" w:hAnsiTheme="minorEastAsia" w:eastAsiaTheme="minorEastAsia" w:cstheme="minorEastAsia"/>
          <w:sz w:val="24"/>
          <w:szCs w:val="24"/>
          <w:u w:val="single"/>
          <w:bdr w:val="single" w:color="auto" w:sz="4" w:space="0"/>
        </w:rPr>
      </w:pPr>
    </w:p>
    <w:p>
      <w:pPr>
        <w:spacing w:line="360" w:lineRule="exac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注：1.法定代表人签字或盖章必须是亲笔签名或相关主管行政部门备案的法定代表人印章。不得使用其他印章或是电子版签名。</w:t>
      </w: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rPr>
        <w:t xml:space="preserve">    2.投标人的法人代表本人作为公司代理人前来参加投标的，须提供此项证明文件，并携带法人的身份证原件（本授权书原件一式两份，一份密封封装在响应文件正本中，一份现场查验）。</w:t>
      </w: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p>
    <w:p>
      <w:pPr>
        <w:jc w:val="center"/>
        <w:rPr>
          <w:rFonts w:hint="eastAsia" w:asciiTheme="minorEastAsia" w:hAnsiTheme="minorEastAsia" w:eastAsiaTheme="minorEastAsia" w:cstheme="minorEastAsia"/>
          <w:b/>
          <w:bCs/>
          <w:sz w:val="30"/>
          <w:szCs w:val="30"/>
        </w:rPr>
      </w:pP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2、法定代表人授权委托书</w:t>
      </w:r>
    </w:p>
    <w:p>
      <w:pPr>
        <w:jc w:val="center"/>
        <w:rPr>
          <w:rFonts w:hint="eastAsia" w:asciiTheme="minorEastAsia" w:hAnsiTheme="minorEastAsia" w:eastAsiaTheme="minorEastAsia" w:cstheme="minorEastAsia"/>
          <w:b/>
          <w:bCs/>
          <w:sz w:val="24"/>
          <w:szCs w:val="24"/>
        </w:rPr>
      </w:pPr>
    </w:p>
    <w:p>
      <w:pPr>
        <w:pStyle w:val="11"/>
        <w:autoSpaceDE w:val="0"/>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本授权书声明：注册于</w:t>
      </w:r>
      <w:r>
        <w:rPr>
          <w:rFonts w:hint="eastAsia" w:asciiTheme="minorEastAsia" w:hAnsiTheme="minorEastAsia" w:eastAsiaTheme="minorEastAsia" w:cstheme="minorEastAsia"/>
          <w:u w:val="single"/>
        </w:rPr>
        <w:t>（地区的名称）</w:t>
      </w:r>
      <w:r>
        <w:rPr>
          <w:rFonts w:hint="eastAsia" w:asciiTheme="minorEastAsia" w:hAnsiTheme="minorEastAsia" w:eastAsiaTheme="minorEastAsia" w:cstheme="minorEastAsia"/>
          <w:sz w:val="2"/>
          <w:szCs w:val="2"/>
        </w:rPr>
        <w:t>U</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sz w:val="2"/>
          <w:szCs w:val="2"/>
        </w:rPr>
        <w:t>U</w:t>
      </w:r>
      <w:r>
        <w:rPr>
          <w:rFonts w:hint="eastAsia" w:asciiTheme="minorEastAsia" w:hAnsiTheme="minorEastAsia" w:eastAsiaTheme="minorEastAsia" w:cstheme="minorEastAsia"/>
          <w:u w:val="single"/>
        </w:rPr>
        <w:t>（公司名称）</w:t>
      </w:r>
      <w:r>
        <w:rPr>
          <w:rFonts w:hint="eastAsia" w:asciiTheme="minorEastAsia" w:hAnsiTheme="minorEastAsia" w:eastAsiaTheme="minorEastAsia" w:cstheme="minorEastAsia"/>
        </w:rPr>
        <w:t>，在下面签字的法定代表人</w:t>
      </w:r>
      <w:r>
        <w:rPr>
          <w:rFonts w:hint="eastAsia" w:asciiTheme="minorEastAsia" w:hAnsiTheme="minorEastAsia" w:eastAsiaTheme="minorEastAsia" w:cstheme="minorEastAsia"/>
          <w:u w:val="single"/>
        </w:rPr>
        <w:t>（姓名、职务）</w:t>
      </w:r>
      <w:r>
        <w:rPr>
          <w:rFonts w:hint="eastAsia" w:asciiTheme="minorEastAsia" w:hAnsiTheme="minorEastAsia" w:eastAsiaTheme="minorEastAsia" w:cstheme="minorEastAsia"/>
        </w:rPr>
        <w:t>，代表本公司委托在下面签字的</w:t>
      </w:r>
      <w:r>
        <w:rPr>
          <w:rFonts w:hint="eastAsia" w:asciiTheme="minorEastAsia" w:hAnsiTheme="minorEastAsia" w:eastAsiaTheme="minorEastAsia" w:cstheme="minorEastAsia"/>
          <w:u w:val="single"/>
        </w:rPr>
        <w:t>（被授权人的姓名、职务）</w:t>
      </w:r>
      <w:r>
        <w:rPr>
          <w:rFonts w:hint="eastAsia" w:asciiTheme="minorEastAsia" w:hAnsiTheme="minorEastAsia" w:eastAsiaTheme="minorEastAsia" w:cstheme="minorEastAsia"/>
        </w:rPr>
        <w:t>为本公司的合法代理人，就</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u w:val="single"/>
          <w:lang w:eastAsia="zh-CN"/>
        </w:rPr>
        <w:t>项目名称</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sz w:val="2"/>
          <w:szCs w:val="2"/>
        </w:rPr>
        <w:t>U</w:t>
      </w:r>
      <w:r>
        <w:rPr>
          <w:rFonts w:hint="eastAsia" w:asciiTheme="minorEastAsia" w:hAnsiTheme="minorEastAsia" w:eastAsiaTheme="minorEastAsia" w:cstheme="minorEastAsia"/>
        </w:rPr>
        <w:t>的投标，以本公司的名义处理一切与之有关的事务。</w:t>
      </w:r>
    </w:p>
    <w:p>
      <w:pPr>
        <w:spacing w:line="420" w:lineRule="exact"/>
        <w:ind w:firstLine="480" w:firstLineChars="200"/>
        <w:rPr>
          <w:rFonts w:hint="eastAsia" w:asciiTheme="minorEastAsia" w:hAnsiTheme="minorEastAsia" w:eastAsiaTheme="minorEastAsia" w:cstheme="minorEastAsia"/>
          <w:sz w:val="24"/>
          <w:szCs w:val="24"/>
        </w:rPr>
      </w:pPr>
    </w:p>
    <w:p>
      <w:pPr>
        <w:spacing w:line="420" w:lineRule="exact"/>
        <w:ind w:firstLine="482"/>
        <w:rPr>
          <w:rFonts w:hint="eastAsia" w:asciiTheme="minorEastAsia" w:hAnsiTheme="minorEastAsia" w:eastAsiaTheme="minorEastAsia" w:cstheme="minorEastAsia"/>
          <w:sz w:val="24"/>
          <w:szCs w:val="24"/>
        </w:rPr>
      </w:pPr>
    </w:p>
    <w:p>
      <w:pPr>
        <w:topLinePunct/>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投标人：(盖单位章)</w:t>
      </w:r>
    </w:p>
    <w:p>
      <w:pPr>
        <w:autoSpaceDE w:val="0"/>
        <w:spacing w:line="420" w:lineRule="exact"/>
        <w:ind w:firstLine="482"/>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u w:val="single"/>
        </w:rPr>
        <w:t>　　　　　　　　　</w:t>
      </w:r>
    </w:p>
    <w:p>
      <w:pPr>
        <w:topLinePunct/>
        <w:spacing w:line="42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p>
    <w:p>
      <w:pPr>
        <w:autoSpaceDE w:val="0"/>
        <w:spacing w:line="420" w:lineRule="exact"/>
        <w:ind w:firstLine="482"/>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委托代理人签字或盖章：</w:t>
      </w:r>
      <w:r>
        <w:rPr>
          <w:rFonts w:hint="eastAsia" w:asciiTheme="minorEastAsia" w:hAnsiTheme="minorEastAsia" w:eastAsiaTheme="minorEastAsia" w:cstheme="minorEastAsia"/>
          <w:sz w:val="24"/>
          <w:szCs w:val="24"/>
          <w:u w:val="single"/>
        </w:rPr>
        <w:t>　　　　　　　　</w:t>
      </w:r>
    </w:p>
    <w:p>
      <w:pPr>
        <w:topLinePunct/>
        <w:spacing w:line="42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p>
    <w:p>
      <w:pPr>
        <w:spacing w:line="420" w:lineRule="exact"/>
        <w:ind w:firstLine="482"/>
        <w:rPr>
          <w:rFonts w:hint="eastAsia" w:asciiTheme="minorEastAsia" w:hAnsiTheme="minorEastAsia" w:eastAsiaTheme="minorEastAsia" w:cstheme="minorEastAsia"/>
          <w:sz w:val="24"/>
          <w:szCs w:val="24"/>
          <w:u w:val="single"/>
        </w:rPr>
      </w:pPr>
    </w:p>
    <w:p>
      <w:pPr>
        <w:spacing w:before="100" w:beforeAutospacing="1" w:after="100" w:afterAutospacing="1" w:line="240" w:lineRule="atLeas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附：法定代表人《居民身份证》正反面复印件（加盖单位公章）和被授权人《居民身份证》正反面复印件（加盖单位公章）：</w:t>
      </w:r>
    </w:p>
    <w:p>
      <w:pPr>
        <w:spacing w:line="420" w:lineRule="exact"/>
        <w:ind w:firstLine="482"/>
        <w:rPr>
          <w:rFonts w:hint="eastAsia" w:asciiTheme="minorEastAsia" w:hAnsiTheme="minorEastAsia" w:eastAsiaTheme="minorEastAsia" w:cstheme="minorEastAsia"/>
          <w:sz w:val="24"/>
          <w:szCs w:val="24"/>
        </w:rPr>
      </w:pPr>
    </w:p>
    <w:p>
      <w:pPr>
        <w:autoSpaceDE w:val="0"/>
        <w:spacing w:line="420" w:lineRule="exact"/>
        <w:ind w:firstLine="48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授权日期：20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sz w:val="24"/>
          <w:szCs w:val="24"/>
        </w:rPr>
      </w:pPr>
    </w:p>
    <w:p>
      <w:pPr>
        <w:spacing w:line="440" w:lineRule="exact"/>
        <w:rPr>
          <w:rFonts w:hint="eastAsia" w:asciiTheme="minorEastAsia" w:hAnsiTheme="minorEastAsia" w:eastAsiaTheme="minorEastAsia" w:cstheme="minorEastAsia"/>
          <w:b/>
          <w:bCs/>
          <w:sz w:val="24"/>
          <w:szCs w:val="24"/>
        </w:rPr>
      </w:pPr>
    </w:p>
    <w:p>
      <w:pPr>
        <w:spacing w:line="360" w:lineRule="exac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注：1.法定代表人签字或盖章必须是亲笔签名或相关主管行政部门备案的法定代表人印章。不得使用其他印章或是电子版签名。</w:t>
      </w:r>
    </w:p>
    <w:p>
      <w:pPr>
        <w:tabs>
          <w:tab w:val="left" w:pos="9135"/>
        </w:tabs>
        <w:spacing w:line="320" w:lineRule="exact"/>
        <w:ind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2、本授权书原件一式两份，一份密封封装在响应文件正本中，一份现场查验；</w:t>
      </w:r>
    </w:p>
    <w:p>
      <w:pPr>
        <w:topLinePunct/>
        <w:spacing w:line="320" w:lineRule="exact"/>
        <w:ind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3、投标人的委托代理人作为公司的代表前来参加投标的投标人，须提供此项证明文件。</w:t>
      </w:r>
    </w:p>
    <w:p>
      <w:pPr>
        <w:tabs>
          <w:tab w:val="left" w:pos="9135"/>
        </w:tabs>
        <w:spacing w:line="360" w:lineRule="auto"/>
        <w:rPr>
          <w:rFonts w:hint="eastAsia" w:asciiTheme="minorEastAsia" w:hAnsiTheme="minorEastAsia" w:eastAsiaTheme="minorEastAsia" w:cstheme="minorEastAsia"/>
          <w:b/>
          <w:bCs/>
          <w:sz w:val="32"/>
          <w:szCs w:val="32"/>
        </w:rPr>
        <w:sectPr>
          <w:headerReference r:id="rId3" w:type="default"/>
          <w:footerReference r:id="rId4" w:type="default"/>
          <w:pgSz w:w="11906" w:h="16838"/>
          <w:pgMar w:top="1418" w:right="1588" w:bottom="1418" w:left="1474" w:header="851" w:footer="992" w:gutter="0"/>
          <w:cols w:space="720" w:num="1"/>
          <w:docGrid w:linePitch="312" w:charSpace="0"/>
        </w:sectPr>
      </w:pPr>
    </w:p>
    <w:p>
      <w:pPr>
        <w:tabs>
          <w:tab w:val="left" w:pos="9135"/>
        </w:tabs>
        <w:spacing w:line="360" w:lineRule="auto"/>
        <w:rPr>
          <w:rFonts w:hint="eastAsia" w:asciiTheme="minorEastAsia" w:hAnsiTheme="minorEastAsia" w:eastAsiaTheme="minorEastAsia" w:cstheme="minorEastAsia"/>
          <w:b/>
          <w:sz w:val="32"/>
          <w:szCs w:val="32"/>
        </w:rPr>
      </w:pPr>
      <w:bookmarkStart w:id="26" w:name="_Toc13926_WPSOffice_Level1"/>
      <w:r>
        <w:rPr>
          <w:rFonts w:hint="eastAsia" w:asciiTheme="minorEastAsia" w:hAnsiTheme="minorEastAsia" w:eastAsiaTheme="minorEastAsia" w:cstheme="minorEastAsia"/>
          <w:b/>
          <w:sz w:val="32"/>
          <w:szCs w:val="32"/>
        </w:rPr>
        <w:t>（附件三）</w:t>
      </w:r>
      <w:bookmarkEnd w:id="26"/>
    </w:p>
    <w:p>
      <w:pPr>
        <w:pStyle w:val="64"/>
        <w:ind w:left="310" w:leftChars="-86" w:hanging="491" w:hangingChars="163"/>
        <w:jc w:val="center"/>
        <w:rPr>
          <w:rFonts w:hint="eastAsia" w:asciiTheme="minorEastAsia" w:hAnsiTheme="minorEastAsia" w:eastAsiaTheme="minorEastAsia" w:cstheme="minorEastAsia"/>
          <w:b/>
          <w:color w:val="auto"/>
          <w:kern w:val="2"/>
          <w:sz w:val="30"/>
          <w:szCs w:val="20"/>
        </w:rPr>
      </w:pPr>
      <w:r>
        <w:rPr>
          <w:rFonts w:hint="eastAsia" w:asciiTheme="minorEastAsia" w:hAnsiTheme="minorEastAsia" w:eastAsiaTheme="minorEastAsia" w:cstheme="minorEastAsia"/>
          <w:b/>
          <w:color w:val="auto"/>
          <w:kern w:val="2"/>
          <w:sz w:val="30"/>
          <w:szCs w:val="20"/>
        </w:rPr>
        <w:t>投标报价一览表（单独提交）</w:t>
      </w:r>
    </w:p>
    <w:p>
      <w:pPr>
        <w:pStyle w:val="64"/>
        <w:ind w:left="212" w:leftChars="-86" w:hanging="393" w:hangingChars="163"/>
        <w:jc w:val="both"/>
        <w:rPr>
          <w:rFonts w:hint="eastAsia" w:asciiTheme="minorEastAsia" w:hAnsiTheme="minorEastAsia" w:eastAsiaTheme="minorEastAsia" w:cstheme="minorEastAsia"/>
          <w:b/>
          <w:color w:val="auto"/>
          <w:kern w:val="2"/>
          <w:szCs w:val="20"/>
        </w:rPr>
      </w:pPr>
      <w:r>
        <w:rPr>
          <w:rFonts w:hint="eastAsia" w:asciiTheme="minorEastAsia" w:hAnsiTheme="minorEastAsia" w:eastAsiaTheme="minorEastAsia" w:cstheme="minorEastAsia"/>
          <w:b/>
          <w:color w:val="auto"/>
          <w:kern w:val="2"/>
          <w:szCs w:val="20"/>
          <w:lang w:eastAsia="zh-CN"/>
        </w:rPr>
        <w:t>项目名称</w:t>
      </w:r>
      <w:r>
        <w:rPr>
          <w:rFonts w:hint="eastAsia" w:asciiTheme="minorEastAsia" w:hAnsiTheme="minorEastAsia" w:eastAsiaTheme="minorEastAsia" w:cstheme="minorEastAsia"/>
          <w:b/>
          <w:color w:val="auto"/>
          <w:kern w:val="2"/>
          <w:szCs w:val="20"/>
        </w:rPr>
        <w:t>：</w:t>
      </w:r>
    </w:p>
    <w:tbl>
      <w:tblPr>
        <w:tblStyle w:val="20"/>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7"/>
        <w:gridCol w:w="720"/>
        <w:gridCol w:w="1560"/>
        <w:gridCol w:w="3090"/>
        <w:gridCol w:w="2090"/>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317"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5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报价</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1317"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15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参照乌鲁木齐社区蔬菜副食品直营点（微信公众号）价格</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参照北园春网站中间价格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第（1）部分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蔬菜类</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折扣（小写）：   折</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折扣（小写）：   折</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水果</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副食品</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鸡蛋</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牛羊肉、禽肉类</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trPr>
        <w:tc>
          <w:tcPr>
            <w:tcW w:w="2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第（1）部分小计=两部分折扣之和</w:t>
            </w:r>
          </w:p>
        </w:tc>
        <w:tc>
          <w:tcPr>
            <w:tcW w:w="65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折扣（小写）：   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第（2）部分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大米（25kg/袋）</w:t>
            </w: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    元；</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最高限价：150元/袋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    元；</w:t>
            </w:r>
          </w:p>
        </w:tc>
        <w:tc>
          <w:tcPr>
            <w:tcW w:w="133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面粉（25kg/袋）</w:t>
            </w: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    元；</w:t>
            </w:r>
          </w:p>
        </w:tc>
        <w:tc>
          <w:tcPr>
            <w:tcW w:w="13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最高限价：100</w:t>
            </w:r>
            <w:r>
              <w:rPr>
                <w:rFonts w:hint="eastAsia" w:ascii="宋体" w:hAnsi="宋体" w:cs="宋体"/>
                <w:i w:val="0"/>
                <w:color w:val="000000"/>
                <w:kern w:val="0"/>
                <w:sz w:val="21"/>
                <w:szCs w:val="21"/>
                <w:u w:val="none"/>
                <w:lang w:val="en-US" w:eastAsia="zh-CN" w:bidi="ar"/>
              </w:rPr>
              <w:t>元/袋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    元；</w:t>
            </w:r>
          </w:p>
        </w:tc>
        <w:tc>
          <w:tcPr>
            <w:tcW w:w="133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食用油（</w:t>
            </w:r>
            <w:r>
              <w:rPr>
                <w:rFonts w:hint="eastAsia" w:ascii="宋体" w:hAnsi="宋体" w:cs="宋体"/>
                <w:i w:val="0"/>
                <w:color w:val="000000"/>
                <w:kern w:val="0"/>
                <w:sz w:val="21"/>
                <w:szCs w:val="21"/>
                <w:highlight w:val="none"/>
                <w:u w:val="none"/>
                <w:lang w:val="en-US" w:eastAsia="zh-CN" w:bidi="ar"/>
              </w:rPr>
              <w:t>5L/桶</w:t>
            </w:r>
            <w:r>
              <w:rPr>
                <w:rFonts w:hint="eastAsia" w:ascii="宋体" w:hAnsi="宋体" w:eastAsia="宋体" w:cs="宋体"/>
                <w:i w:val="0"/>
                <w:color w:val="000000"/>
                <w:kern w:val="0"/>
                <w:sz w:val="21"/>
                <w:szCs w:val="21"/>
                <w:highlight w:val="none"/>
                <w:u w:val="none"/>
                <w:lang w:val="en-US" w:eastAsia="zh-CN" w:bidi="ar"/>
              </w:rPr>
              <w:t>）</w:t>
            </w: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小写：    元；</w:t>
            </w:r>
          </w:p>
        </w:tc>
        <w:tc>
          <w:tcPr>
            <w:tcW w:w="13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最高限价：70</w:t>
            </w:r>
            <w:r>
              <w:rPr>
                <w:rFonts w:hint="eastAsia" w:ascii="宋体" w:hAnsi="宋体" w:cs="宋体"/>
                <w:i w:val="0"/>
                <w:color w:val="000000"/>
                <w:kern w:val="0"/>
                <w:sz w:val="21"/>
                <w:szCs w:val="21"/>
                <w:u w:val="none"/>
                <w:lang w:val="en-US" w:eastAsia="zh-CN" w:bidi="ar"/>
              </w:rPr>
              <w:t>元/桶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18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    元；</w:t>
            </w:r>
          </w:p>
        </w:tc>
        <w:tc>
          <w:tcPr>
            <w:tcW w:w="133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酸奶（180g/杯）</w:t>
            </w:r>
          </w:p>
        </w:tc>
        <w:tc>
          <w:tcPr>
            <w:tcW w:w="518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    元；</w:t>
            </w:r>
          </w:p>
        </w:tc>
        <w:tc>
          <w:tcPr>
            <w:tcW w:w="13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最高限价：2.1</w:t>
            </w:r>
            <w:r>
              <w:rPr>
                <w:rFonts w:hint="eastAsia" w:ascii="宋体" w:hAnsi="宋体" w:cs="宋体"/>
                <w:i w:val="0"/>
                <w:color w:val="000000"/>
                <w:kern w:val="0"/>
                <w:sz w:val="21"/>
                <w:szCs w:val="21"/>
                <w:u w:val="none"/>
                <w:lang w:val="en-US" w:eastAsia="zh-CN" w:bidi="ar"/>
              </w:rPr>
              <w:t>元/杯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    元；</w:t>
            </w:r>
          </w:p>
        </w:tc>
        <w:tc>
          <w:tcPr>
            <w:tcW w:w="133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0" w:hRule="atLeast"/>
        </w:trPr>
        <w:tc>
          <w:tcPr>
            <w:tcW w:w="28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第（2）部分小计</w:t>
            </w:r>
            <w:r>
              <w:rPr>
                <w:rFonts w:hint="eastAsia" w:ascii="宋体" w:hAnsi="宋体" w:cs="宋体"/>
                <w:i w:val="0"/>
                <w:color w:val="000000"/>
                <w:kern w:val="0"/>
                <w:sz w:val="21"/>
                <w:szCs w:val="21"/>
                <w:u w:val="none"/>
                <w:lang w:val="en-US" w:eastAsia="zh-CN" w:bidi="ar"/>
              </w:rPr>
              <w:t>=6+7+8+9</w:t>
            </w:r>
          </w:p>
        </w:tc>
        <w:tc>
          <w:tcPr>
            <w:tcW w:w="65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2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5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93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供货地点：招标人指定地点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3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服务期限：本项目服务期限为2021年至2023年，具体以合同签订日期为准。</w:t>
            </w:r>
          </w:p>
        </w:tc>
      </w:tr>
    </w:tbl>
    <w:p>
      <w:pPr>
        <w:pStyle w:val="64"/>
        <w:ind w:left="212" w:leftChars="-86" w:hanging="393" w:hangingChars="163"/>
        <w:jc w:val="both"/>
        <w:rPr>
          <w:rFonts w:hint="eastAsia" w:asciiTheme="minorEastAsia" w:hAnsiTheme="minorEastAsia" w:eastAsiaTheme="minorEastAsia" w:cstheme="minorEastAsia"/>
          <w:b/>
          <w:color w:val="auto"/>
          <w:kern w:val="2"/>
          <w:szCs w:val="20"/>
        </w:rPr>
      </w:pPr>
    </w:p>
    <w:p>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注：</w:t>
      </w:r>
    </w:p>
    <w:p>
      <w:pPr>
        <w:widowControl/>
        <w:jc w:val="left"/>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
          <w:bCs/>
          <w:sz w:val="24"/>
          <w:szCs w:val="24"/>
          <w:highlight w:val="none"/>
          <w:lang w:val="en-US" w:eastAsia="zh-CN"/>
        </w:rPr>
        <w:t>本项目第（1）部分最高折扣为9.99折,若超过此折扣，按无效投标处理</w:t>
      </w:r>
      <w:r>
        <w:rPr>
          <w:rFonts w:hint="eastAsia" w:asciiTheme="minorEastAsia" w:hAnsiTheme="minorEastAsia" w:eastAsiaTheme="minorEastAsia" w:cstheme="minorEastAsia"/>
          <w:sz w:val="24"/>
          <w:szCs w:val="24"/>
          <w:highlight w:val="none"/>
          <w:lang w:val="en-US" w:eastAsia="zh-CN"/>
        </w:rPr>
        <w:t>；折扣保留2位小数。第（2）部分最高限价见备注。</w:t>
      </w:r>
    </w:p>
    <w:p>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2.此表一式两份，一份用信封单独密封</w:t>
      </w:r>
      <w:r>
        <w:rPr>
          <w:rFonts w:hint="eastAsia" w:asciiTheme="minorEastAsia" w:hAnsiTheme="minorEastAsia" w:eastAsiaTheme="minorEastAsia" w:cstheme="minorEastAsia"/>
          <w:sz w:val="24"/>
          <w:szCs w:val="24"/>
          <w:highlight w:val="none"/>
          <w:lang w:val="en-US" w:eastAsia="zh-CN"/>
        </w:rPr>
        <w:t>提交</w:t>
      </w:r>
      <w:r>
        <w:rPr>
          <w:rFonts w:hint="eastAsia" w:asciiTheme="minorEastAsia" w:hAnsiTheme="minorEastAsia" w:eastAsiaTheme="minorEastAsia" w:cstheme="minorEastAsia"/>
          <w:sz w:val="24"/>
          <w:szCs w:val="24"/>
          <w:highlight w:val="none"/>
        </w:rPr>
        <w:t>，另一份装订在投标文件正本中，两个表须内容必须一致。</w:t>
      </w:r>
    </w:p>
    <w:p>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最终按折扣计算报价得分。本表中的报价均为到货价（此价格包括物品储藏、运输、搬运装卸、税费等一切相关费用）。</w:t>
      </w:r>
    </w:p>
    <w:p>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4.本项目要求投标人为一般纳税人。中标人须根据招标人的要求开具增值税专用发票或是普通发票。</w:t>
      </w:r>
    </w:p>
    <w:p>
      <w:pPr>
        <w:widowControl/>
        <w:numPr>
          <w:ilvl w:val="-1"/>
          <w:numId w:val="0"/>
        </w:numPr>
        <w:ind w:lef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本项目的报价均以《开标一览表》为准</w:t>
      </w:r>
      <w:r>
        <w:rPr>
          <w:rFonts w:hint="eastAsia" w:asciiTheme="minorEastAsia" w:hAnsiTheme="minorEastAsia" w:eastAsiaTheme="minorEastAsia" w:cstheme="minorEastAsia"/>
          <w:sz w:val="24"/>
          <w:szCs w:val="24"/>
          <w:highlight w:val="none"/>
          <w:lang w:eastAsia="zh-CN"/>
        </w:rPr>
        <w:t>；表中大</w:t>
      </w:r>
      <w:r>
        <w:rPr>
          <w:rFonts w:hint="eastAsia" w:asciiTheme="minorEastAsia" w:hAnsiTheme="minorEastAsia" w:eastAsiaTheme="minorEastAsia" w:cstheme="minorEastAsia"/>
          <w:sz w:val="24"/>
          <w:szCs w:val="24"/>
          <w:lang w:eastAsia="zh-CN"/>
        </w:rPr>
        <w:t>小写不一致时，以大写为准。</w:t>
      </w:r>
    </w:p>
    <w:p>
      <w:pPr>
        <w:autoSpaceDE w:val="0"/>
        <w:autoSpaceDN w:val="0"/>
        <w:adjustRightInd w:val="0"/>
        <w:ind w:firstLine="4080" w:firstLineChars="1700"/>
        <w:jc w:val="left"/>
        <w:rPr>
          <w:rFonts w:hint="eastAsia" w:asciiTheme="minorEastAsia" w:hAnsiTheme="minorEastAsia" w:eastAsiaTheme="minorEastAsia" w:cstheme="minorEastAsia"/>
          <w:sz w:val="24"/>
        </w:rPr>
      </w:pPr>
    </w:p>
    <w:p>
      <w:pPr>
        <w:autoSpaceDE w:val="0"/>
        <w:autoSpaceDN w:val="0"/>
        <w:adjustRightInd w:val="0"/>
        <w:ind w:firstLine="4080" w:firstLineChars="170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 xml:space="preserve">     （全称）（盖章）</w:t>
      </w:r>
    </w:p>
    <w:p>
      <w:pPr>
        <w:autoSpaceDE w:val="0"/>
        <w:autoSpaceDN w:val="0"/>
        <w:adjustRightInd w:val="0"/>
        <w:jc w:val="left"/>
        <w:rPr>
          <w:rFonts w:hint="eastAsia" w:asciiTheme="minorEastAsia" w:hAnsiTheme="minorEastAsia" w:eastAsiaTheme="minorEastAsia" w:cstheme="minorEastAsia"/>
          <w:sz w:val="24"/>
        </w:rPr>
      </w:pPr>
    </w:p>
    <w:p>
      <w:pPr>
        <w:autoSpaceDE w:val="0"/>
        <w:autoSpaceDN w:val="0"/>
        <w:adjustRightInd w:val="0"/>
        <w:ind w:firstLine="4080" w:firstLineChars="17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法定代表人或授权代理人：（签字并盖章）</w:t>
      </w:r>
    </w:p>
    <w:p>
      <w:pPr>
        <w:autoSpaceDE w:val="0"/>
        <w:autoSpaceDN w:val="0"/>
        <w:adjustRightInd w:val="0"/>
        <w:jc w:val="left"/>
        <w:rPr>
          <w:rFonts w:hint="eastAsia" w:asciiTheme="minorEastAsia" w:hAnsiTheme="minorEastAsia" w:eastAsiaTheme="minorEastAsia" w:cstheme="minorEastAsia"/>
          <w:sz w:val="24"/>
        </w:rPr>
      </w:pPr>
    </w:p>
    <w:p>
      <w:pPr>
        <w:pStyle w:val="64"/>
        <w:ind w:left="210" w:leftChars="-86" w:hanging="391" w:hangingChars="163"/>
        <w:jc w:val="both"/>
        <w:rPr>
          <w:rFonts w:hint="eastAsia" w:asciiTheme="minorEastAsia" w:hAnsiTheme="minorEastAsia" w:eastAsiaTheme="minorEastAsia" w:cstheme="minorEastAsia"/>
          <w:b/>
          <w:color w:val="auto"/>
          <w:kern w:val="2"/>
          <w:szCs w:val="20"/>
        </w:rPr>
      </w:pPr>
      <w:r>
        <w:rPr>
          <w:rFonts w:hint="eastAsia" w:asciiTheme="minorEastAsia" w:hAnsiTheme="minorEastAsia" w:eastAsiaTheme="minorEastAsia" w:cstheme="minorEastAsia"/>
        </w:rPr>
        <w:t xml:space="preserve">                                   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widowControl/>
        <w:numPr>
          <w:ilvl w:val="0"/>
          <w:numId w:val="22"/>
        </w:numPr>
        <w:ind w:left="1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widowControl/>
        <w:jc w:val="left"/>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（附件四）</w:t>
      </w: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关于资格的声明函</w:t>
      </w:r>
    </w:p>
    <w:p>
      <w:pPr>
        <w:spacing w:line="360" w:lineRule="auto"/>
        <w:rPr>
          <w:rFonts w:hint="eastAsia" w:asciiTheme="minorEastAsia" w:hAnsiTheme="minorEastAsia" w:eastAsiaTheme="minorEastAsia" w:cstheme="minorEastAsia"/>
          <w:b/>
          <w:bCs/>
          <w:sz w:val="30"/>
          <w:szCs w:val="30"/>
        </w:rPr>
      </w:pPr>
    </w:p>
    <w:p>
      <w:pPr>
        <w:pStyle w:val="11"/>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致：新疆建投项目管理咨询有限公司：</w:t>
      </w:r>
    </w:p>
    <w:p>
      <w:pPr>
        <w:pStyle w:val="11"/>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关于贵方20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日第</w:t>
      </w:r>
      <w:r>
        <w:rPr>
          <w:rFonts w:hint="eastAsia" w:asciiTheme="minorEastAsia" w:hAnsiTheme="minorEastAsia" w:eastAsiaTheme="minorEastAsia" w:cstheme="minorEastAsia"/>
          <w:sz w:val="24"/>
          <w:szCs w:val="24"/>
          <w:u w:val="single"/>
        </w:rPr>
        <w:t>（招标编号）</w:t>
      </w:r>
      <w:r>
        <w:rPr>
          <w:rFonts w:hint="eastAsia" w:asciiTheme="minorEastAsia" w:hAnsiTheme="minorEastAsia" w:eastAsiaTheme="minorEastAsia" w:cstheme="minorEastAsia"/>
          <w:sz w:val="24"/>
          <w:szCs w:val="24"/>
        </w:rPr>
        <w:t>招标公告关于</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的招标项目，本签字人愿意参加投标，并有能力提供</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eastAsia="zh-CN"/>
        </w:rPr>
        <w:t>项目名称</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项目中的（</w:t>
      </w:r>
      <w:r>
        <w:rPr>
          <w:rFonts w:hint="eastAsia" w:asciiTheme="minorEastAsia" w:hAnsiTheme="minorEastAsia" w:eastAsiaTheme="minorEastAsia" w:cstheme="minorEastAsia"/>
          <w:sz w:val="24"/>
          <w:szCs w:val="24"/>
          <w:u w:val="single"/>
          <w:lang w:val="en-US" w:eastAsia="zh-CN"/>
        </w:rPr>
        <w:t>项目编号</w:t>
      </w:r>
      <w:r>
        <w:rPr>
          <w:rFonts w:hint="eastAsia" w:asciiTheme="minorEastAsia" w:hAnsiTheme="minorEastAsia" w:eastAsiaTheme="minorEastAsia" w:cstheme="minorEastAsia"/>
          <w:sz w:val="24"/>
          <w:szCs w:val="24"/>
          <w:u w:val="single"/>
        </w:rPr>
        <w:t>及内容）</w:t>
      </w:r>
      <w:r>
        <w:rPr>
          <w:rFonts w:hint="eastAsia" w:asciiTheme="minorEastAsia" w:hAnsiTheme="minorEastAsia" w:eastAsiaTheme="minorEastAsia" w:cstheme="minorEastAsia"/>
          <w:sz w:val="24"/>
          <w:szCs w:val="24"/>
        </w:rPr>
        <w:t>招标服务及相关服务，并保证所提交的所有文件和说明是真实和准确的。</w:t>
      </w:r>
    </w:p>
    <w:p>
      <w:pPr>
        <w:pStyle w:val="11"/>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　投标人名称　</w:t>
      </w:r>
      <w:r>
        <w:rPr>
          <w:rFonts w:hint="eastAsia" w:asciiTheme="minorEastAsia" w:hAnsiTheme="minorEastAsia" w:eastAsiaTheme="minorEastAsia" w:cstheme="minorEastAsia"/>
          <w:sz w:val="24"/>
          <w:szCs w:val="24"/>
        </w:rPr>
        <w:t>　签字人姓名、职务：</w:t>
      </w:r>
    </w:p>
    <w:p>
      <w:pPr>
        <w:pStyle w:val="11"/>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受权签署本资格文件人：</w:t>
      </w:r>
      <w:r>
        <w:rPr>
          <w:rFonts w:hint="eastAsia" w:asciiTheme="minorEastAsia" w:hAnsiTheme="minorEastAsia" w:eastAsiaTheme="minorEastAsia" w:cstheme="minorEastAsia"/>
          <w:sz w:val="24"/>
          <w:szCs w:val="24"/>
          <w:u w:val="single"/>
        </w:rPr>
        <w:t>授权人姓名</w:t>
      </w:r>
    </w:p>
    <w:p>
      <w:pPr>
        <w:pStyle w:val="11"/>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w:t>
      </w:r>
    </w:p>
    <w:p>
      <w:pPr>
        <w:pStyle w:val="11"/>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电话：</w:t>
      </w:r>
      <w:r>
        <w:rPr>
          <w:rFonts w:hint="eastAsia" w:asciiTheme="minorEastAsia" w:hAnsiTheme="minorEastAsia" w:eastAsiaTheme="minorEastAsia" w:cstheme="minorEastAsia"/>
          <w:sz w:val="24"/>
          <w:szCs w:val="24"/>
          <w:u w:val="single"/>
        </w:rPr>
        <w:t>　　　　　　　　</w:t>
      </w:r>
    </w:p>
    <w:p>
      <w:pPr>
        <w:pStyle w:val="11"/>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盖章：</w:t>
      </w:r>
    </w:p>
    <w:p>
      <w:pPr>
        <w:pStyle w:val="12"/>
        <w:spacing w:line="360" w:lineRule="auto"/>
        <w:rPr>
          <w:rFonts w:hint="eastAsia" w:asciiTheme="minorEastAsia" w:hAnsiTheme="minorEastAsia" w:eastAsiaTheme="minorEastAsia" w:cstheme="minorEastAsia"/>
          <w:sz w:val="24"/>
          <w:szCs w:val="24"/>
        </w:rPr>
      </w:pPr>
    </w:p>
    <w:p>
      <w:pPr>
        <w:pStyle w:val="12"/>
        <w:spacing w:line="360" w:lineRule="auto"/>
        <w:jc w:val="center"/>
        <w:rPr>
          <w:rFonts w:hint="eastAsia" w:asciiTheme="minorEastAsia" w:hAnsiTheme="minorEastAsia" w:eastAsiaTheme="minorEastAsia" w:cstheme="minorEastAsia"/>
          <w:sz w:val="24"/>
          <w:szCs w:val="24"/>
        </w:rPr>
      </w:pPr>
    </w:p>
    <w:p>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pPr>
        <w:pStyle w:val="12"/>
        <w:spacing w:line="360" w:lineRule="auto"/>
        <w:jc w:val="cente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12"/>
        <w:spacing w:line="360" w:lineRule="auto"/>
        <w:jc w:val="center"/>
        <w:rPr>
          <w:rFonts w:hint="eastAsia" w:asciiTheme="minorEastAsia" w:hAnsiTheme="minorEastAsia" w:eastAsiaTheme="minorEastAsia" w:cstheme="minorEastAsia"/>
          <w:sz w:val="24"/>
          <w:szCs w:val="24"/>
        </w:rPr>
      </w:pPr>
    </w:p>
    <w:p>
      <w:pPr>
        <w:pStyle w:val="12"/>
        <w:spacing w:line="360" w:lineRule="auto"/>
        <w:jc w:val="center"/>
        <w:rPr>
          <w:rFonts w:hint="eastAsia" w:asciiTheme="minorEastAsia" w:hAnsiTheme="minorEastAsia" w:eastAsiaTheme="minorEastAsia" w:cstheme="minorEastAsia"/>
          <w:b/>
          <w:bCs/>
          <w:kern w:val="2"/>
          <w:sz w:val="30"/>
          <w:szCs w:val="30"/>
        </w:rPr>
      </w:pPr>
      <w:r>
        <w:rPr>
          <w:rFonts w:hint="eastAsia" w:asciiTheme="minorEastAsia" w:hAnsiTheme="minorEastAsia" w:eastAsiaTheme="minorEastAsia" w:cstheme="minorEastAsia"/>
          <w:b/>
          <w:bCs/>
          <w:kern w:val="2"/>
          <w:sz w:val="30"/>
          <w:szCs w:val="30"/>
        </w:rPr>
        <w:t>具备履行合同所必需的设备和专业技术能力的书面声明</w:t>
      </w:r>
    </w:p>
    <w:p>
      <w:pPr>
        <w:pStyle w:val="12"/>
        <w:spacing w:line="360" w:lineRule="auto"/>
        <w:ind w:firstLine="480" w:firstLineChars="200"/>
        <w:jc w:val="left"/>
        <w:rPr>
          <w:rFonts w:ascii="宋体" w:hAnsi="宋体" w:eastAsia="宋体" w:cs="宋体"/>
          <w:sz w:val="24"/>
          <w:szCs w:val="24"/>
        </w:rPr>
      </w:pPr>
    </w:p>
    <w:p>
      <w:pPr>
        <w:pStyle w:val="12"/>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我单位郑重声明：我单位具备履行本项采购合同所必需的设备和专业技术能力， 为履行本项采购合同我公司具备如下主要设备和主要专业技术能力：</w:t>
      </w:r>
    </w:p>
    <w:p>
      <w:pPr>
        <w:pStyle w:val="12"/>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主要设备有：</w:t>
      </w:r>
      <w:r>
        <w:rPr>
          <w:rFonts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ascii="宋体" w:hAnsi="宋体" w:eastAsia="宋体" w:cs="宋体"/>
          <w:sz w:val="24"/>
          <w:szCs w:val="24"/>
        </w:rPr>
        <w:t>。</w:t>
      </w:r>
    </w:p>
    <w:p>
      <w:pPr>
        <w:pStyle w:val="12"/>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主要专业技术能力有：</w:t>
      </w:r>
      <w:r>
        <w:rPr>
          <w:rFonts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ascii="宋体" w:hAnsi="宋体" w:eastAsia="宋体" w:cs="宋体"/>
          <w:sz w:val="24"/>
          <w:szCs w:val="24"/>
        </w:rPr>
        <w:t>。</w:t>
      </w:r>
    </w:p>
    <w:p>
      <w:pPr>
        <w:pStyle w:val="12"/>
        <w:spacing w:line="360" w:lineRule="auto"/>
        <w:ind w:firstLine="4080" w:firstLineChars="1700"/>
        <w:jc w:val="left"/>
        <w:rPr>
          <w:rFonts w:ascii="宋体" w:hAnsi="宋体" w:eastAsia="宋体" w:cs="宋体"/>
          <w:sz w:val="24"/>
          <w:szCs w:val="24"/>
        </w:rPr>
      </w:pPr>
      <w:r>
        <w:rPr>
          <w:rFonts w:ascii="宋体" w:hAnsi="宋体" w:eastAsia="宋体" w:cs="宋体"/>
          <w:sz w:val="24"/>
          <w:szCs w:val="24"/>
        </w:rPr>
        <w:t xml:space="preserve">投标单位： （全称）（盖章） </w:t>
      </w:r>
    </w:p>
    <w:p>
      <w:pPr>
        <w:pStyle w:val="12"/>
        <w:spacing w:line="360" w:lineRule="auto"/>
        <w:ind w:firstLine="4080" w:firstLineChars="1700"/>
        <w:jc w:val="left"/>
        <w:rPr>
          <w:rFonts w:ascii="宋体" w:hAnsi="宋体" w:eastAsia="宋体" w:cs="宋体"/>
          <w:sz w:val="24"/>
          <w:szCs w:val="24"/>
        </w:rPr>
      </w:pPr>
      <w:r>
        <w:rPr>
          <w:rFonts w:ascii="宋体" w:hAnsi="宋体" w:eastAsia="宋体" w:cs="宋体"/>
          <w:sz w:val="24"/>
          <w:szCs w:val="24"/>
        </w:rPr>
        <w:t xml:space="preserve">法定代表人或委托代理人：（签字或盖章） </w:t>
      </w:r>
    </w:p>
    <w:p>
      <w:pPr>
        <w:pStyle w:val="12"/>
        <w:spacing w:line="360" w:lineRule="auto"/>
        <w:ind w:firstLine="4560" w:firstLineChars="1900"/>
        <w:jc w:val="left"/>
        <w:rPr>
          <w:rFonts w:hint="default" w:ascii="宋体" w:hAnsi="宋体" w:eastAsia="宋体" w:cs="宋体"/>
          <w:sz w:val="24"/>
          <w:szCs w:val="24"/>
        </w:rPr>
      </w:pPr>
      <w:r>
        <w:rPr>
          <w:rFonts w:ascii="宋体" w:hAnsi="宋体" w:eastAsia="宋体" w:cs="宋体"/>
          <w:sz w:val="24"/>
          <w:szCs w:val="24"/>
        </w:rPr>
        <w:t>日 期：20 年 月 日</w:t>
      </w:r>
    </w:p>
    <w:p>
      <w:pPr>
        <w:pStyle w:val="12"/>
        <w:spacing w:line="360" w:lineRule="auto"/>
        <w:jc w:val="center"/>
        <w:rPr>
          <w:rFonts w:hint="eastAsia" w:asciiTheme="minorEastAsia" w:hAnsiTheme="minorEastAsia" w:eastAsiaTheme="minorEastAsia" w:cstheme="minorEastAsia"/>
          <w:sz w:val="24"/>
          <w:szCs w:val="24"/>
        </w:rPr>
      </w:pPr>
    </w:p>
    <w:p>
      <w:pPr>
        <w:pStyle w:val="12"/>
        <w:spacing w:line="360" w:lineRule="auto"/>
        <w:jc w:val="center"/>
        <w:rPr>
          <w:rFonts w:hint="eastAsia" w:asciiTheme="minorEastAsia" w:hAnsiTheme="minorEastAsia" w:eastAsiaTheme="minorEastAsia" w:cstheme="minorEastAsia"/>
          <w:sz w:val="24"/>
          <w:szCs w:val="24"/>
        </w:rPr>
      </w:pPr>
    </w:p>
    <w:p>
      <w:pPr>
        <w:pStyle w:val="12"/>
        <w:spacing w:line="360" w:lineRule="auto"/>
        <w:jc w:val="center"/>
        <w:rPr>
          <w:rFonts w:hint="eastAsia" w:asciiTheme="minorEastAsia" w:hAnsiTheme="minorEastAsia" w:eastAsiaTheme="minorEastAsia" w:cstheme="minorEastAsia"/>
          <w:sz w:val="24"/>
          <w:szCs w:val="24"/>
        </w:rPr>
      </w:pPr>
    </w:p>
    <w:p>
      <w:pPr>
        <w:widowControl/>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参加政府采购活动前 3 年内在经营活动中没有重大违法记录的书面声明</w:t>
      </w:r>
    </w:p>
    <w:p>
      <w:pPr>
        <w:widowControl/>
        <w:ind w:firstLine="480" w:firstLineChars="200"/>
        <w:jc w:val="left"/>
        <w:rPr>
          <w:rFonts w:hint="eastAsia" w:ascii="宋体" w:hAnsi="宋体" w:eastAsia="宋体" w:cs="宋体"/>
          <w:sz w:val="24"/>
          <w:szCs w:val="24"/>
        </w:rPr>
      </w:pPr>
    </w:p>
    <w:p>
      <w:pPr>
        <w:widowControl/>
        <w:ind w:firstLine="480" w:firstLineChars="200"/>
        <w:jc w:val="left"/>
        <w:rPr>
          <w:rFonts w:hint="eastAsia" w:ascii="宋体" w:hAnsi="宋体" w:eastAsia="宋体" w:cs="宋体"/>
          <w:sz w:val="24"/>
          <w:szCs w:val="24"/>
        </w:rPr>
      </w:pP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我单位郑重声明：参加本次政府采购活动前 3 年内，我单位在经营活动中没有因违法经营受到刑事处罚或者责令停产停业、吊销许可证或者执照、较大数额罚款等行政处罚。</w:t>
      </w: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pStyle w:val="12"/>
        <w:spacing w:line="360" w:lineRule="auto"/>
        <w:ind w:firstLine="4080" w:firstLineChars="1700"/>
        <w:jc w:val="left"/>
        <w:rPr>
          <w:rFonts w:ascii="宋体" w:hAnsi="宋体" w:eastAsia="宋体" w:cs="宋体"/>
          <w:sz w:val="24"/>
          <w:szCs w:val="24"/>
        </w:rPr>
      </w:pPr>
      <w:r>
        <w:rPr>
          <w:rFonts w:ascii="宋体" w:hAnsi="宋体" w:eastAsia="宋体" w:cs="宋体"/>
          <w:sz w:val="24"/>
          <w:szCs w:val="24"/>
        </w:rPr>
        <w:t xml:space="preserve">投标单位： （全称）（盖章） </w:t>
      </w:r>
    </w:p>
    <w:p>
      <w:pPr>
        <w:pStyle w:val="12"/>
        <w:spacing w:line="360" w:lineRule="auto"/>
        <w:ind w:firstLine="4080" w:firstLineChars="1700"/>
        <w:jc w:val="left"/>
        <w:rPr>
          <w:rFonts w:ascii="宋体" w:hAnsi="宋体" w:eastAsia="宋体" w:cs="宋体"/>
          <w:sz w:val="24"/>
          <w:szCs w:val="24"/>
        </w:rPr>
      </w:pPr>
      <w:r>
        <w:rPr>
          <w:rFonts w:ascii="宋体" w:hAnsi="宋体" w:eastAsia="宋体" w:cs="宋体"/>
          <w:sz w:val="24"/>
          <w:szCs w:val="24"/>
        </w:rPr>
        <w:t xml:space="preserve">法定代表人或委托代理人：（签字或盖章） </w:t>
      </w:r>
    </w:p>
    <w:p>
      <w:pPr>
        <w:widowControl/>
        <w:spacing w:line="360" w:lineRule="auto"/>
        <w:jc w:val="center"/>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日 期：20 年 月 日</w:t>
      </w:r>
    </w:p>
    <w:p>
      <w:pPr>
        <w:widowControl/>
        <w:jc w:val="left"/>
        <w:rPr>
          <w:rFonts w:hint="eastAsia" w:ascii="宋体" w:hAnsi="宋体" w:eastAsia="宋体" w:cs="宋体"/>
          <w:sz w:val="24"/>
          <w:szCs w:val="24"/>
        </w:rPr>
      </w:pPr>
    </w:p>
    <w:p>
      <w:pPr>
        <w:spacing w:line="24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pPr>
        <w:spacing w:line="36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（附件五）</w:t>
      </w: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商务条款偏离表</w:t>
      </w:r>
    </w:p>
    <w:p>
      <w:pPr>
        <w:spacing w:line="360" w:lineRule="auto"/>
        <w:jc w:val="center"/>
        <w:rPr>
          <w:rFonts w:hint="eastAsia" w:asciiTheme="minorEastAsia" w:hAnsiTheme="minorEastAsia" w:eastAsiaTheme="minorEastAsia" w:cstheme="minorEastAsia"/>
          <w:b/>
          <w:bCs/>
          <w:sz w:val="24"/>
          <w:szCs w:val="24"/>
        </w:rPr>
      </w:pPr>
    </w:p>
    <w:p>
      <w:pPr>
        <w:spacing w:line="360" w:lineRule="auto"/>
        <w:ind w:firstLine="120" w:firstLineChars="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招标编号/</w:t>
      </w: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w:t>
      </w:r>
    </w:p>
    <w:tbl>
      <w:tblPr>
        <w:tblStyle w:val="20"/>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blHeader/>
        </w:trPr>
        <w:tc>
          <w:tcPr>
            <w:tcW w:w="876" w:type="dxa"/>
            <w:shd w:val="clear" w:color="auto" w:fill="E6E6E6"/>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75"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条目号</w:t>
            </w:r>
          </w:p>
        </w:tc>
        <w:tc>
          <w:tcPr>
            <w:tcW w:w="2415" w:type="dxa"/>
            <w:shd w:val="clear" w:color="auto" w:fill="E6E6E6"/>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招标文件的商务条款</w:t>
            </w:r>
          </w:p>
        </w:tc>
        <w:tc>
          <w:tcPr>
            <w:tcW w:w="2835" w:type="dxa"/>
            <w:shd w:val="clear" w:color="auto" w:fill="E6E6E6"/>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投标文件的商务条款</w:t>
            </w:r>
          </w:p>
        </w:tc>
        <w:tc>
          <w:tcPr>
            <w:tcW w:w="1984" w:type="dxa"/>
            <w:shd w:val="clear" w:color="auto" w:fill="E6E6E6"/>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1" w:hRule="atLeast"/>
        </w:trPr>
        <w:tc>
          <w:tcPr>
            <w:tcW w:w="876"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75" w:type="dxa"/>
          </w:tcPr>
          <w:p>
            <w:pPr>
              <w:spacing w:line="360" w:lineRule="auto"/>
              <w:rPr>
                <w:rFonts w:hint="eastAsia" w:asciiTheme="minorEastAsia" w:hAnsiTheme="minorEastAsia" w:eastAsiaTheme="minorEastAsia" w:cstheme="minorEastAsia"/>
                <w:sz w:val="24"/>
                <w:szCs w:val="24"/>
              </w:rPr>
            </w:pPr>
          </w:p>
        </w:tc>
        <w:tc>
          <w:tcPr>
            <w:tcW w:w="2415" w:type="dxa"/>
          </w:tcPr>
          <w:p>
            <w:pPr>
              <w:spacing w:line="360" w:lineRule="auto"/>
              <w:rPr>
                <w:rFonts w:hint="eastAsia" w:asciiTheme="minorEastAsia" w:hAnsiTheme="minorEastAsia" w:eastAsiaTheme="minorEastAsia" w:cstheme="minorEastAsia"/>
                <w:sz w:val="24"/>
                <w:szCs w:val="24"/>
              </w:rPr>
            </w:pPr>
          </w:p>
        </w:tc>
        <w:tc>
          <w:tcPr>
            <w:tcW w:w="2835" w:type="dxa"/>
          </w:tcPr>
          <w:p>
            <w:pPr>
              <w:spacing w:line="360" w:lineRule="auto"/>
              <w:rPr>
                <w:rFonts w:hint="eastAsia" w:asciiTheme="minorEastAsia" w:hAnsiTheme="minorEastAsia" w:eastAsiaTheme="minorEastAsia" w:cstheme="minorEastAsia"/>
                <w:sz w:val="24"/>
                <w:szCs w:val="24"/>
              </w:rPr>
            </w:pPr>
          </w:p>
        </w:tc>
        <w:tc>
          <w:tcPr>
            <w:tcW w:w="1984"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876"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75" w:type="dxa"/>
          </w:tcPr>
          <w:p>
            <w:pPr>
              <w:spacing w:line="360" w:lineRule="auto"/>
              <w:rPr>
                <w:rFonts w:hint="eastAsia" w:asciiTheme="minorEastAsia" w:hAnsiTheme="minorEastAsia" w:eastAsiaTheme="minorEastAsia" w:cstheme="minorEastAsia"/>
                <w:sz w:val="24"/>
                <w:szCs w:val="24"/>
              </w:rPr>
            </w:pPr>
          </w:p>
        </w:tc>
        <w:tc>
          <w:tcPr>
            <w:tcW w:w="2415" w:type="dxa"/>
          </w:tcPr>
          <w:p>
            <w:pPr>
              <w:spacing w:line="360" w:lineRule="auto"/>
              <w:rPr>
                <w:rFonts w:hint="eastAsia" w:asciiTheme="minorEastAsia" w:hAnsiTheme="minorEastAsia" w:eastAsiaTheme="minorEastAsia" w:cstheme="minorEastAsia"/>
                <w:sz w:val="24"/>
                <w:szCs w:val="24"/>
              </w:rPr>
            </w:pPr>
          </w:p>
        </w:tc>
        <w:tc>
          <w:tcPr>
            <w:tcW w:w="2835" w:type="dxa"/>
          </w:tcPr>
          <w:p>
            <w:pPr>
              <w:spacing w:line="360" w:lineRule="auto"/>
              <w:rPr>
                <w:rFonts w:hint="eastAsia" w:asciiTheme="minorEastAsia" w:hAnsiTheme="minorEastAsia" w:eastAsiaTheme="minorEastAsia" w:cstheme="minorEastAsia"/>
                <w:sz w:val="24"/>
                <w:szCs w:val="24"/>
              </w:rPr>
            </w:pPr>
          </w:p>
        </w:tc>
        <w:tc>
          <w:tcPr>
            <w:tcW w:w="1984"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76"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75" w:type="dxa"/>
          </w:tcPr>
          <w:p>
            <w:pPr>
              <w:spacing w:line="360" w:lineRule="auto"/>
              <w:rPr>
                <w:rFonts w:hint="eastAsia" w:asciiTheme="minorEastAsia" w:hAnsiTheme="minorEastAsia" w:eastAsiaTheme="minorEastAsia" w:cstheme="minorEastAsia"/>
                <w:sz w:val="24"/>
                <w:szCs w:val="24"/>
              </w:rPr>
            </w:pPr>
          </w:p>
        </w:tc>
        <w:tc>
          <w:tcPr>
            <w:tcW w:w="2415" w:type="dxa"/>
          </w:tcPr>
          <w:p>
            <w:pPr>
              <w:spacing w:line="360" w:lineRule="auto"/>
              <w:rPr>
                <w:rFonts w:hint="eastAsia" w:asciiTheme="minorEastAsia" w:hAnsiTheme="minorEastAsia" w:eastAsiaTheme="minorEastAsia" w:cstheme="minorEastAsia"/>
                <w:sz w:val="24"/>
                <w:szCs w:val="24"/>
              </w:rPr>
            </w:pPr>
          </w:p>
        </w:tc>
        <w:tc>
          <w:tcPr>
            <w:tcW w:w="2835" w:type="dxa"/>
          </w:tcPr>
          <w:p>
            <w:pPr>
              <w:spacing w:line="360" w:lineRule="auto"/>
              <w:rPr>
                <w:rFonts w:hint="eastAsia" w:asciiTheme="minorEastAsia" w:hAnsiTheme="minorEastAsia" w:eastAsiaTheme="minorEastAsia" w:cstheme="minorEastAsia"/>
                <w:sz w:val="24"/>
                <w:szCs w:val="24"/>
              </w:rPr>
            </w:pPr>
          </w:p>
        </w:tc>
        <w:tc>
          <w:tcPr>
            <w:tcW w:w="1984"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876"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75" w:type="dxa"/>
          </w:tcPr>
          <w:p>
            <w:pPr>
              <w:spacing w:line="360" w:lineRule="auto"/>
              <w:rPr>
                <w:rFonts w:hint="eastAsia" w:asciiTheme="minorEastAsia" w:hAnsiTheme="minorEastAsia" w:eastAsiaTheme="minorEastAsia" w:cstheme="minorEastAsia"/>
                <w:sz w:val="24"/>
                <w:szCs w:val="24"/>
              </w:rPr>
            </w:pPr>
          </w:p>
        </w:tc>
        <w:tc>
          <w:tcPr>
            <w:tcW w:w="2415" w:type="dxa"/>
          </w:tcPr>
          <w:p>
            <w:pPr>
              <w:spacing w:line="360" w:lineRule="auto"/>
              <w:rPr>
                <w:rFonts w:hint="eastAsia" w:asciiTheme="minorEastAsia" w:hAnsiTheme="minorEastAsia" w:eastAsiaTheme="minorEastAsia" w:cstheme="minorEastAsia"/>
                <w:sz w:val="24"/>
                <w:szCs w:val="24"/>
              </w:rPr>
            </w:pPr>
          </w:p>
        </w:tc>
        <w:tc>
          <w:tcPr>
            <w:tcW w:w="2835" w:type="dxa"/>
          </w:tcPr>
          <w:p>
            <w:pPr>
              <w:spacing w:line="360" w:lineRule="auto"/>
              <w:rPr>
                <w:rFonts w:hint="eastAsia" w:asciiTheme="minorEastAsia" w:hAnsiTheme="minorEastAsia" w:eastAsiaTheme="minorEastAsia" w:cstheme="minorEastAsia"/>
                <w:sz w:val="24"/>
                <w:szCs w:val="24"/>
              </w:rPr>
            </w:pPr>
          </w:p>
        </w:tc>
        <w:tc>
          <w:tcPr>
            <w:tcW w:w="1984" w:type="dxa"/>
          </w:tcPr>
          <w:p>
            <w:pPr>
              <w:spacing w:line="360" w:lineRule="auto"/>
              <w:rPr>
                <w:rFonts w:hint="eastAsia" w:asciiTheme="minorEastAsia" w:hAnsiTheme="minorEastAsia" w:eastAsiaTheme="minorEastAsia" w:cstheme="minorEastAsia"/>
                <w:sz w:val="24"/>
                <w:szCs w:val="24"/>
              </w:rPr>
            </w:pPr>
          </w:p>
        </w:tc>
      </w:tr>
    </w:tbl>
    <w:p>
      <w:pPr>
        <w:pStyle w:val="64"/>
        <w:spacing w:line="360" w:lineRule="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投标人名称（公章）：</w:t>
      </w:r>
    </w:p>
    <w:p>
      <w:pPr>
        <w:pStyle w:val="64"/>
        <w:spacing w:line="360" w:lineRule="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投标单位法人授权代表签字（盖章）：</w:t>
      </w:r>
    </w:p>
    <w:p>
      <w:pPr>
        <w:pStyle w:val="1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日期：20</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pPr>
        <w:pStyle w:val="12"/>
        <w:spacing w:line="360" w:lineRule="auto"/>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技术条款偏离表</w:t>
      </w:r>
    </w:p>
    <w:p>
      <w:pPr>
        <w:pStyle w:val="16"/>
        <w:rPr>
          <w:rFonts w:hint="eastAsia" w:asciiTheme="minorEastAsia" w:hAnsiTheme="minorEastAsia" w:eastAsiaTheme="minorEastAsia" w:cstheme="minorEastAsia"/>
        </w:rPr>
      </w:pPr>
    </w:p>
    <w:p>
      <w:pPr>
        <w:spacing w:line="360" w:lineRule="auto"/>
        <w:ind w:firstLine="120" w:firstLineChars="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招标编号/</w:t>
      </w: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w:t>
      </w:r>
    </w:p>
    <w:tbl>
      <w:tblPr>
        <w:tblStyle w:val="20"/>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73"/>
        <w:gridCol w:w="2412"/>
        <w:gridCol w:w="2831"/>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blHeader/>
        </w:trPr>
        <w:tc>
          <w:tcPr>
            <w:tcW w:w="875"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73"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条目号</w:t>
            </w:r>
          </w:p>
        </w:tc>
        <w:tc>
          <w:tcPr>
            <w:tcW w:w="2412"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招标文件的技术条款</w:t>
            </w:r>
          </w:p>
        </w:tc>
        <w:tc>
          <w:tcPr>
            <w:tcW w:w="2831"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投标文件的技术条款</w:t>
            </w:r>
          </w:p>
        </w:tc>
        <w:tc>
          <w:tcPr>
            <w:tcW w:w="1981" w:type="dxa"/>
            <w:shd w:val="clear" w:color="auto" w:fill="E6E6E6"/>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875"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73" w:type="dxa"/>
          </w:tcPr>
          <w:p>
            <w:pPr>
              <w:spacing w:line="360" w:lineRule="auto"/>
              <w:rPr>
                <w:rFonts w:hint="eastAsia" w:asciiTheme="minorEastAsia" w:hAnsiTheme="minorEastAsia" w:eastAsiaTheme="minorEastAsia" w:cstheme="minorEastAsia"/>
                <w:sz w:val="24"/>
                <w:szCs w:val="24"/>
              </w:rPr>
            </w:pPr>
          </w:p>
        </w:tc>
        <w:tc>
          <w:tcPr>
            <w:tcW w:w="2412" w:type="dxa"/>
          </w:tcPr>
          <w:p>
            <w:pPr>
              <w:spacing w:line="360" w:lineRule="auto"/>
              <w:rPr>
                <w:rFonts w:hint="eastAsia" w:asciiTheme="minorEastAsia" w:hAnsiTheme="minorEastAsia" w:eastAsiaTheme="minorEastAsia" w:cstheme="minorEastAsia"/>
                <w:sz w:val="24"/>
                <w:szCs w:val="24"/>
              </w:rPr>
            </w:pPr>
          </w:p>
        </w:tc>
        <w:tc>
          <w:tcPr>
            <w:tcW w:w="2831" w:type="dxa"/>
          </w:tcPr>
          <w:p>
            <w:pPr>
              <w:spacing w:line="360" w:lineRule="auto"/>
              <w:rPr>
                <w:rFonts w:hint="eastAsia" w:asciiTheme="minorEastAsia" w:hAnsiTheme="minorEastAsia" w:eastAsiaTheme="minorEastAsia" w:cstheme="minorEastAsia"/>
                <w:sz w:val="24"/>
                <w:szCs w:val="24"/>
              </w:rPr>
            </w:pPr>
          </w:p>
        </w:tc>
        <w:tc>
          <w:tcPr>
            <w:tcW w:w="1981"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875"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73" w:type="dxa"/>
          </w:tcPr>
          <w:p>
            <w:pPr>
              <w:spacing w:line="360" w:lineRule="auto"/>
              <w:rPr>
                <w:rFonts w:hint="eastAsia" w:asciiTheme="minorEastAsia" w:hAnsiTheme="minorEastAsia" w:eastAsiaTheme="minorEastAsia" w:cstheme="minorEastAsia"/>
                <w:sz w:val="24"/>
                <w:szCs w:val="24"/>
              </w:rPr>
            </w:pPr>
          </w:p>
        </w:tc>
        <w:tc>
          <w:tcPr>
            <w:tcW w:w="2412" w:type="dxa"/>
          </w:tcPr>
          <w:p>
            <w:pPr>
              <w:spacing w:line="360" w:lineRule="auto"/>
              <w:rPr>
                <w:rFonts w:hint="eastAsia" w:asciiTheme="minorEastAsia" w:hAnsiTheme="minorEastAsia" w:eastAsiaTheme="minorEastAsia" w:cstheme="minorEastAsia"/>
                <w:sz w:val="24"/>
                <w:szCs w:val="24"/>
              </w:rPr>
            </w:pPr>
          </w:p>
        </w:tc>
        <w:tc>
          <w:tcPr>
            <w:tcW w:w="2831" w:type="dxa"/>
          </w:tcPr>
          <w:p>
            <w:pPr>
              <w:spacing w:line="360" w:lineRule="auto"/>
              <w:rPr>
                <w:rFonts w:hint="eastAsia" w:asciiTheme="minorEastAsia" w:hAnsiTheme="minorEastAsia" w:eastAsiaTheme="minorEastAsia" w:cstheme="minorEastAsia"/>
                <w:sz w:val="24"/>
                <w:szCs w:val="24"/>
              </w:rPr>
            </w:pPr>
          </w:p>
        </w:tc>
        <w:tc>
          <w:tcPr>
            <w:tcW w:w="1981"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875" w:type="dxa"/>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73" w:type="dxa"/>
          </w:tcPr>
          <w:p>
            <w:pPr>
              <w:spacing w:line="360" w:lineRule="auto"/>
              <w:rPr>
                <w:rFonts w:hint="eastAsia" w:asciiTheme="minorEastAsia" w:hAnsiTheme="minorEastAsia" w:eastAsiaTheme="minorEastAsia" w:cstheme="minorEastAsia"/>
                <w:sz w:val="24"/>
                <w:szCs w:val="24"/>
              </w:rPr>
            </w:pPr>
          </w:p>
        </w:tc>
        <w:tc>
          <w:tcPr>
            <w:tcW w:w="2412" w:type="dxa"/>
          </w:tcPr>
          <w:p>
            <w:pPr>
              <w:spacing w:line="360" w:lineRule="auto"/>
              <w:rPr>
                <w:rFonts w:hint="eastAsia" w:asciiTheme="minorEastAsia" w:hAnsiTheme="minorEastAsia" w:eastAsiaTheme="minorEastAsia" w:cstheme="minorEastAsia"/>
                <w:sz w:val="24"/>
                <w:szCs w:val="24"/>
              </w:rPr>
            </w:pPr>
          </w:p>
        </w:tc>
        <w:tc>
          <w:tcPr>
            <w:tcW w:w="2831" w:type="dxa"/>
          </w:tcPr>
          <w:p>
            <w:pPr>
              <w:spacing w:line="360" w:lineRule="auto"/>
              <w:rPr>
                <w:rFonts w:hint="eastAsia" w:asciiTheme="minorEastAsia" w:hAnsiTheme="minorEastAsia" w:eastAsiaTheme="minorEastAsia" w:cstheme="minorEastAsia"/>
                <w:sz w:val="24"/>
                <w:szCs w:val="24"/>
              </w:rPr>
            </w:pPr>
          </w:p>
        </w:tc>
        <w:tc>
          <w:tcPr>
            <w:tcW w:w="1981"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75"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73" w:type="dxa"/>
          </w:tcPr>
          <w:p>
            <w:pPr>
              <w:spacing w:line="360" w:lineRule="auto"/>
              <w:rPr>
                <w:rFonts w:hint="eastAsia" w:asciiTheme="minorEastAsia" w:hAnsiTheme="minorEastAsia" w:eastAsiaTheme="minorEastAsia" w:cstheme="minorEastAsia"/>
                <w:sz w:val="24"/>
                <w:szCs w:val="24"/>
              </w:rPr>
            </w:pPr>
          </w:p>
        </w:tc>
        <w:tc>
          <w:tcPr>
            <w:tcW w:w="2412" w:type="dxa"/>
          </w:tcPr>
          <w:p>
            <w:pPr>
              <w:spacing w:line="360" w:lineRule="auto"/>
              <w:rPr>
                <w:rFonts w:hint="eastAsia" w:asciiTheme="minorEastAsia" w:hAnsiTheme="minorEastAsia" w:eastAsiaTheme="minorEastAsia" w:cstheme="minorEastAsia"/>
                <w:sz w:val="24"/>
                <w:szCs w:val="24"/>
              </w:rPr>
            </w:pPr>
          </w:p>
        </w:tc>
        <w:tc>
          <w:tcPr>
            <w:tcW w:w="2831" w:type="dxa"/>
          </w:tcPr>
          <w:p>
            <w:pPr>
              <w:spacing w:line="360" w:lineRule="auto"/>
              <w:rPr>
                <w:rFonts w:hint="eastAsia" w:asciiTheme="minorEastAsia" w:hAnsiTheme="minorEastAsia" w:eastAsiaTheme="minorEastAsia" w:cstheme="minorEastAsia"/>
                <w:sz w:val="24"/>
                <w:szCs w:val="24"/>
              </w:rPr>
            </w:pPr>
          </w:p>
        </w:tc>
        <w:tc>
          <w:tcPr>
            <w:tcW w:w="1981" w:type="dxa"/>
          </w:tcPr>
          <w:p>
            <w:pPr>
              <w:spacing w:line="360" w:lineRule="auto"/>
              <w:rPr>
                <w:rFonts w:hint="eastAsia" w:asciiTheme="minorEastAsia" w:hAnsiTheme="minorEastAsia" w:eastAsiaTheme="minorEastAsia" w:cstheme="minorEastAsia"/>
                <w:sz w:val="24"/>
                <w:szCs w:val="24"/>
              </w:rPr>
            </w:pPr>
          </w:p>
        </w:tc>
      </w:tr>
    </w:tbl>
    <w:p>
      <w:pPr>
        <w:pStyle w:val="64"/>
        <w:spacing w:line="360" w:lineRule="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投标人名称（公章）：</w:t>
      </w:r>
    </w:p>
    <w:p>
      <w:pPr>
        <w:pStyle w:val="64"/>
        <w:spacing w:line="360" w:lineRule="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投标单位法人授权代表签字（盖章）：</w:t>
      </w:r>
    </w:p>
    <w:p>
      <w:pPr>
        <w:pStyle w:val="12"/>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rPr>
        <w:t>日期：20</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pPr>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（附件六）</w:t>
      </w:r>
    </w:p>
    <w:p>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拟投入项目人员情况表</w:t>
      </w:r>
    </w:p>
    <w:p>
      <w:pPr>
        <w:spacing w:line="440" w:lineRule="exact"/>
        <w:jc w:val="center"/>
        <w:rPr>
          <w:rFonts w:hint="eastAsia" w:asciiTheme="minorEastAsia" w:hAnsiTheme="minorEastAsia" w:eastAsiaTheme="minorEastAsia" w:cstheme="minorEastAsia"/>
          <w:b/>
          <w:sz w:val="32"/>
          <w:szCs w:val="32"/>
        </w:rPr>
      </w:pPr>
    </w:p>
    <w:p>
      <w:pPr>
        <w:autoSpaceDE w:val="0"/>
        <w:autoSpaceDN w:val="0"/>
        <w:adjustRightInd w:val="0"/>
        <w:spacing w:line="440" w:lineRule="exact"/>
        <w:rPr>
          <w:rFonts w:hint="eastAsia" w:asciiTheme="minorEastAsia" w:hAnsiTheme="minorEastAsia" w:eastAsiaTheme="minorEastAsia" w:cstheme="minorEastAsia"/>
          <w:b/>
          <w:bCs/>
          <w:sz w:val="24"/>
          <w:szCs w:val="24"/>
        </w:rPr>
      </w:pPr>
      <w:bookmarkStart w:id="27" w:name="_Toc14976_WPSOffice_Level1"/>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、拟投入本项目的主要成员表</w:t>
      </w:r>
      <w:bookmarkEnd w:id="27"/>
      <w:r>
        <w:rPr>
          <w:rFonts w:hint="eastAsia" w:asciiTheme="minorEastAsia" w:hAnsiTheme="minorEastAsia" w:eastAsiaTheme="minorEastAsia" w:cstheme="minorEastAsia"/>
          <w:b/>
          <w:bCs/>
          <w:sz w:val="24"/>
          <w:szCs w:val="24"/>
        </w:rPr>
        <w:t>（根据实际情况填报）</w:t>
      </w:r>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807"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708"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066"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752"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1629"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w:t>
            </w:r>
          </w:p>
        </w:tc>
        <w:tc>
          <w:tcPr>
            <w:tcW w:w="2098" w:type="dxa"/>
            <w:vAlign w:val="center"/>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708" w:type="dxa"/>
          </w:tcPr>
          <w:p>
            <w:pPr>
              <w:spacing w:line="440" w:lineRule="exact"/>
              <w:jc w:val="center"/>
              <w:rPr>
                <w:rFonts w:hint="eastAsia" w:asciiTheme="minorEastAsia" w:hAnsiTheme="minorEastAsia" w:eastAsiaTheme="minorEastAsia" w:cstheme="minorEastAsia"/>
                <w:sz w:val="24"/>
              </w:rPr>
            </w:pPr>
          </w:p>
        </w:tc>
        <w:tc>
          <w:tcPr>
            <w:tcW w:w="1066" w:type="dxa"/>
          </w:tcPr>
          <w:p>
            <w:pPr>
              <w:spacing w:line="440" w:lineRule="exact"/>
              <w:jc w:val="center"/>
              <w:rPr>
                <w:rFonts w:hint="eastAsia" w:asciiTheme="minorEastAsia" w:hAnsiTheme="minorEastAsia" w:eastAsiaTheme="minorEastAsia" w:cstheme="minorEastAsia"/>
                <w:sz w:val="24"/>
              </w:rPr>
            </w:pPr>
          </w:p>
        </w:tc>
        <w:tc>
          <w:tcPr>
            <w:tcW w:w="1752" w:type="dxa"/>
          </w:tcPr>
          <w:p>
            <w:pPr>
              <w:spacing w:line="440" w:lineRule="exact"/>
              <w:jc w:val="center"/>
              <w:rPr>
                <w:rFonts w:hint="eastAsia" w:asciiTheme="minorEastAsia" w:hAnsiTheme="minorEastAsia" w:eastAsiaTheme="minorEastAsia" w:cstheme="minorEastAsia"/>
                <w:sz w:val="24"/>
              </w:rPr>
            </w:pPr>
          </w:p>
        </w:tc>
        <w:tc>
          <w:tcPr>
            <w:tcW w:w="1629" w:type="dxa"/>
          </w:tcPr>
          <w:p>
            <w:pPr>
              <w:spacing w:line="440" w:lineRule="exact"/>
              <w:jc w:val="center"/>
              <w:rPr>
                <w:rFonts w:hint="eastAsia" w:asciiTheme="minorEastAsia" w:hAnsiTheme="minorEastAsia" w:eastAsiaTheme="minorEastAsia" w:cstheme="minorEastAsia"/>
                <w:sz w:val="24"/>
              </w:rPr>
            </w:pPr>
          </w:p>
        </w:tc>
        <w:tc>
          <w:tcPr>
            <w:tcW w:w="2098" w:type="dxa"/>
          </w:tcPr>
          <w:p>
            <w:pPr>
              <w:spacing w:line="44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08" w:type="dxa"/>
          </w:tcPr>
          <w:p>
            <w:pPr>
              <w:spacing w:line="440" w:lineRule="exact"/>
              <w:jc w:val="center"/>
              <w:rPr>
                <w:rFonts w:hint="eastAsia" w:asciiTheme="minorEastAsia" w:hAnsiTheme="minorEastAsia" w:eastAsiaTheme="minorEastAsia" w:cstheme="minorEastAsia"/>
                <w:sz w:val="24"/>
              </w:rPr>
            </w:pPr>
          </w:p>
        </w:tc>
        <w:tc>
          <w:tcPr>
            <w:tcW w:w="1066" w:type="dxa"/>
          </w:tcPr>
          <w:p>
            <w:pPr>
              <w:spacing w:line="440" w:lineRule="exact"/>
              <w:jc w:val="center"/>
              <w:rPr>
                <w:rFonts w:hint="eastAsia" w:asciiTheme="minorEastAsia" w:hAnsiTheme="minorEastAsia" w:eastAsiaTheme="minorEastAsia" w:cstheme="minorEastAsia"/>
                <w:sz w:val="24"/>
              </w:rPr>
            </w:pPr>
          </w:p>
        </w:tc>
        <w:tc>
          <w:tcPr>
            <w:tcW w:w="1752" w:type="dxa"/>
          </w:tcPr>
          <w:p>
            <w:pPr>
              <w:spacing w:line="440" w:lineRule="exact"/>
              <w:jc w:val="center"/>
              <w:rPr>
                <w:rFonts w:hint="eastAsia" w:asciiTheme="minorEastAsia" w:hAnsiTheme="minorEastAsia" w:eastAsiaTheme="minorEastAsia" w:cstheme="minorEastAsia"/>
                <w:sz w:val="24"/>
              </w:rPr>
            </w:pPr>
          </w:p>
        </w:tc>
        <w:tc>
          <w:tcPr>
            <w:tcW w:w="1629" w:type="dxa"/>
          </w:tcPr>
          <w:p>
            <w:pPr>
              <w:spacing w:line="440" w:lineRule="exact"/>
              <w:jc w:val="center"/>
              <w:rPr>
                <w:rFonts w:hint="eastAsia" w:asciiTheme="minorEastAsia" w:hAnsiTheme="minorEastAsia" w:eastAsiaTheme="minorEastAsia" w:cstheme="minorEastAsia"/>
                <w:sz w:val="24"/>
              </w:rPr>
            </w:pPr>
          </w:p>
        </w:tc>
        <w:tc>
          <w:tcPr>
            <w:tcW w:w="2098" w:type="dxa"/>
          </w:tcPr>
          <w:p>
            <w:pPr>
              <w:spacing w:line="44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708" w:type="dxa"/>
          </w:tcPr>
          <w:p>
            <w:pPr>
              <w:spacing w:line="440" w:lineRule="exact"/>
              <w:jc w:val="center"/>
              <w:rPr>
                <w:rFonts w:hint="eastAsia" w:asciiTheme="minorEastAsia" w:hAnsiTheme="minorEastAsia" w:eastAsiaTheme="minorEastAsia" w:cstheme="minorEastAsia"/>
                <w:sz w:val="24"/>
              </w:rPr>
            </w:pPr>
          </w:p>
        </w:tc>
        <w:tc>
          <w:tcPr>
            <w:tcW w:w="1066" w:type="dxa"/>
          </w:tcPr>
          <w:p>
            <w:pPr>
              <w:spacing w:line="440" w:lineRule="exact"/>
              <w:jc w:val="center"/>
              <w:rPr>
                <w:rFonts w:hint="eastAsia" w:asciiTheme="minorEastAsia" w:hAnsiTheme="minorEastAsia" w:eastAsiaTheme="minorEastAsia" w:cstheme="minorEastAsia"/>
                <w:sz w:val="24"/>
              </w:rPr>
            </w:pPr>
          </w:p>
        </w:tc>
        <w:tc>
          <w:tcPr>
            <w:tcW w:w="1752" w:type="dxa"/>
          </w:tcPr>
          <w:p>
            <w:pPr>
              <w:spacing w:line="440" w:lineRule="exact"/>
              <w:jc w:val="center"/>
              <w:rPr>
                <w:rFonts w:hint="eastAsia" w:asciiTheme="minorEastAsia" w:hAnsiTheme="minorEastAsia" w:eastAsiaTheme="minorEastAsia" w:cstheme="minorEastAsia"/>
                <w:sz w:val="24"/>
              </w:rPr>
            </w:pPr>
          </w:p>
        </w:tc>
        <w:tc>
          <w:tcPr>
            <w:tcW w:w="1629" w:type="dxa"/>
          </w:tcPr>
          <w:p>
            <w:pPr>
              <w:spacing w:line="440" w:lineRule="exact"/>
              <w:jc w:val="center"/>
              <w:rPr>
                <w:rFonts w:hint="eastAsia" w:asciiTheme="minorEastAsia" w:hAnsiTheme="minorEastAsia" w:eastAsiaTheme="minorEastAsia" w:cstheme="minorEastAsia"/>
                <w:sz w:val="24"/>
              </w:rPr>
            </w:pPr>
          </w:p>
        </w:tc>
        <w:tc>
          <w:tcPr>
            <w:tcW w:w="2098" w:type="dxa"/>
          </w:tcPr>
          <w:p>
            <w:pPr>
              <w:spacing w:line="44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708" w:type="dxa"/>
          </w:tcPr>
          <w:p>
            <w:pPr>
              <w:spacing w:line="440" w:lineRule="exact"/>
              <w:jc w:val="center"/>
              <w:rPr>
                <w:rFonts w:hint="eastAsia" w:asciiTheme="minorEastAsia" w:hAnsiTheme="minorEastAsia" w:eastAsiaTheme="minorEastAsia" w:cstheme="minorEastAsia"/>
                <w:sz w:val="24"/>
              </w:rPr>
            </w:pPr>
          </w:p>
        </w:tc>
        <w:tc>
          <w:tcPr>
            <w:tcW w:w="1066" w:type="dxa"/>
          </w:tcPr>
          <w:p>
            <w:pPr>
              <w:spacing w:line="440" w:lineRule="exact"/>
              <w:jc w:val="center"/>
              <w:rPr>
                <w:rFonts w:hint="eastAsia" w:asciiTheme="minorEastAsia" w:hAnsiTheme="minorEastAsia" w:eastAsiaTheme="minorEastAsia" w:cstheme="minorEastAsia"/>
                <w:sz w:val="24"/>
              </w:rPr>
            </w:pPr>
          </w:p>
        </w:tc>
        <w:tc>
          <w:tcPr>
            <w:tcW w:w="1752" w:type="dxa"/>
          </w:tcPr>
          <w:p>
            <w:pPr>
              <w:spacing w:line="440" w:lineRule="exact"/>
              <w:jc w:val="center"/>
              <w:rPr>
                <w:rFonts w:hint="eastAsia" w:asciiTheme="minorEastAsia" w:hAnsiTheme="minorEastAsia" w:eastAsiaTheme="minorEastAsia" w:cstheme="minorEastAsia"/>
                <w:sz w:val="24"/>
              </w:rPr>
            </w:pPr>
          </w:p>
        </w:tc>
        <w:tc>
          <w:tcPr>
            <w:tcW w:w="1629" w:type="dxa"/>
          </w:tcPr>
          <w:p>
            <w:pPr>
              <w:spacing w:line="440" w:lineRule="exact"/>
              <w:jc w:val="center"/>
              <w:rPr>
                <w:rFonts w:hint="eastAsia" w:asciiTheme="minorEastAsia" w:hAnsiTheme="minorEastAsia" w:eastAsiaTheme="minorEastAsia" w:cstheme="minorEastAsia"/>
                <w:sz w:val="24"/>
              </w:rPr>
            </w:pPr>
          </w:p>
        </w:tc>
        <w:tc>
          <w:tcPr>
            <w:tcW w:w="2098" w:type="dxa"/>
          </w:tcPr>
          <w:p>
            <w:pPr>
              <w:spacing w:line="44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708" w:type="dxa"/>
          </w:tcPr>
          <w:p>
            <w:pPr>
              <w:spacing w:line="440" w:lineRule="exact"/>
              <w:jc w:val="center"/>
              <w:rPr>
                <w:rFonts w:hint="eastAsia" w:asciiTheme="minorEastAsia" w:hAnsiTheme="minorEastAsia" w:eastAsiaTheme="minorEastAsia" w:cstheme="minorEastAsia"/>
                <w:sz w:val="24"/>
              </w:rPr>
            </w:pPr>
          </w:p>
        </w:tc>
        <w:tc>
          <w:tcPr>
            <w:tcW w:w="1066" w:type="dxa"/>
          </w:tcPr>
          <w:p>
            <w:pPr>
              <w:spacing w:line="440" w:lineRule="exact"/>
              <w:jc w:val="center"/>
              <w:rPr>
                <w:rFonts w:hint="eastAsia" w:asciiTheme="minorEastAsia" w:hAnsiTheme="minorEastAsia" w:eastAsiaTheme="minorEastAsia" w:cstheme="minorEastAsia"/>
                <w:sz w:val="24"/>
              </w:rPr>
            </w:pPr>
          </w:p>
        </w:tc>
        <w:tc>
          <w:tcPr>
            <w:tcW w:w="1752" w:type="dxa"/>
          </w:tcPr>
          <w:p>
            <w:pPr>
              <w:spacing w:line="440" w:lineRule="exact"/>
              <w:jc w:val="center"/>
              <w:rPr>
                <w:rFonts w:hint="eastAsia" w:asciiTheme="minorEastAsia" w:hAnsiTheme="minorEastAsia" w:eastAsiaTheme="minorEastAsia" w:cstheme="minorEastAsia"/>
                <w:sz w:val="24"/>
              </w:rPr>
            </w:pPr>
          </w:p>
        </w:tc>
        <w:tc>
          <w:tcPr>
            <w:tcW w:w="1629" w:type="dxa"/>
          </w:tcPr>
          <w:p>
            <w:pPr>
              <w:spacing w:line="440" w:lineRule="exact"/>
              <w:jc w:val="center"/>
              <w:rPr>
                <w:rFonts w:hint="eastAsia" w:asciiTheme="minorEastAsia" w:hAnsiTheme="minorEastAsia" w:eastAsiaTheme="minorEastAsia" w:cstheme="minorEastAsia"/>
                <w:sz w:val="24"/>
              </w:rPr>
            </w:pPr>
          </w:p>
        </w:tc>
        <w:tc>
          <w:tcPr>
            <w:tcW w:w="2098" w:type="dxa"/>
          </w:tcPr>
          <w:p>
            <w:pPr>
              <w:spacing w:line="440" w:lineRule="exact"/>
              <w:jc w:val="center"/>
              <w:rPr>
                <w:rFonts w:hint="eastAsia" w:asciiTheme="minorEastAsia" w:hAnsiTheme="minorEastAsia" w:eastAsiaTheme="minorEastAsia" w:cstheme="minorEastAsia"/>
                <w:sz w:val="24"/>
              </w:rPr>
            </w:pPr>
          </w:p>
        </w:tc>
      </w:tr>
    </w:tbl>
    <w:p>
      <w:pPr>
        <w:rPr>
          <w:rFonts w:hint="eastAsia" w:asciiTheme="minorEastAsia" w:hAnsiTheme="minorEastAsia" w:eastAsiaTheme="minorEastAsia" w:cstheme="minorEastAsia"/>
          <w:b/>
          <w:szCs w:val="32"/>
        </w:rPr>
      </w:pPr>
      <w:r>
        <w:rPr>
          <w:rFonts w:hint="eastAsia" w:asciiTheme="minorEastAsia" w:hAnsiTheme="minorEastAsia" w:eastAsiaTheme="minorEastAsia" w:cstheme="minorEastAsia"/>
          <w:b/>
          <w:szCs w:val="32"/>
        </w:rPr>
        <w:t>注：上述两表后应附如下材料（复印件并加盖公章）</w:t>
      </w:r>
    </w:p>
    <w:p>
      <w:pPr>
        <w:rPr>
          <w:rFonts w:hint="eastAsia" w:asciiTheme="minorEastAsia" w:hAnsiTheme="minorEastAsia" w:eastAsiaTheme="minorEastAsia" w:cstheme="minorEastAsia"/>
          <w:b/>
          <w:szCs w:val="32"/>
        </w:rPr>
      </w:pPr>
      <w:r>
        <w:rPr>
          <w:rFonts w:hint="eastAsia" w:asciiTheme="minorEastAsia" w:hAnsiTheme="minorEastAsia" w:eastAsiaTheme="minorEastAsia" w:cstheme="minorEastAsia"/>
          <w:b/>
          <w:szCs w:val="32"/>
        </w:rPr>
        <w:t>1、职称证书复印件；2、身份证复印件；3、具有国家规定相关执业资格证书复印件（如有）；</w:t>
      </w:r>
    </w:p>
    <w:p>
      <w:pPr>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
          <w:szCs w:val="32"/>
        </w:rPr>
        <w:t>4、相关业绩证明材料复印件。</w:t>
      </w:r>
    </w:p>
    <w:p>
      <w:pPr>
        <w:spacing w:line="360" w:lineRule="auto"/>
        <w:jc w:val="lef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szCs w:val="32"/>
        </w:rPr>
        <w:t>特别要求：拟投入本项目的工作人员须满足本项目的工作要求，在合同履行过程中，中标人须根据本项目的实际需求或采购人的进度要求，对人员进行合理的增加，费用均包含在投标报价中。</w:t>
      </w:r>
      <w:r>
        <w:rPr>
          <w:rFonts w:hint="eastAsia" w:asciiTheme="minorEastAsia" w:hAnsiTheme="minorEastAsia" w:eastAsiaTheme="minorEastAsia" w:cstheme="minorEastAsia"/>
          <w:b/>
          <w:szCs w:val="32"/>
          <w:lang w:val="en-US" w:eastAsia="zh-CN"/>
        </w:rPr>
        <w:t xml:space="preserve">  </w:t>
      </w:r>
    </w:p>
    <w:p>
      <w:pPr>
        <w:spacing w:line="360" w:lineRule="auto"/>
        <w:jc w:val="left"/>
        <w:rPr>
          <w:rFonts w:hint="eastAsia" w:asciiTheme="minorEastAsia" w:hAnsiTheme="minorEastAsia" w:eastAsiaTheme="minorEastAsia" w:cstheme="minorEastAsia"/>
          <w:b/>
          <w:bCs/>
          <w:sz w:val="32"/>
          <w:szCs w:val="32"/>
        </w:rPr>
      </w:pPr>
    </w:p>
    <w:p>
      <w:pPr>
        <w:pStyle w:val="16"/>
        <w:rPr>
          <w:rFonts w:hint="eastAsia" w:asciiTheme="minorEastAsia" w:hAnsiTheme="minorEastAsia" w:eastAsiaTheme="minorEastAsia" w:cstheme="minorEastAsia"/>
        </w:rPr>
      </w:pPr>
    </w:p>
    <w:p>
      <w:pPr>
        <w:pStyle w:val="16"/>
        <w:rPr>
          <w:rFonts w:hint="eastAsia" w:asciiTheme="minorEastAsia" w:hAnsiTheme="minorEastAsia" w:eastAsiaTheme="minorEastAsia" w:cstheme="minorEastAsia"/>
        </w:rPr>
      </w:pPr>
    </w:p>
    <w:p>
      <w:pPr>
        <w:spacing w:line="24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pPr>
        <w:spacing w:line="36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（附件七）</w:t>
      </w: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近三年业绩表</w:t>
      </w:r>
    </w:p>
    <w:p>
      <w:pPr>
        <w:spacing w:line="360" w:lineRule="auto"/>
        <w:jc w:val="center"/>
        <w:rPr>
          <w:rFonts w:hint="eastAsia" w:asciiTheme="minorEastAsia" w:hAnsiTheme="minorEastAsia" w:eastAsiaTheme="minorEastAsia" w:cstheme="minorEastAsia"/>
          <w:b/>
          <w:bCs/>
          <w:sz w:val="32"/>
          <w:szCs w:val="32"/>
        </w:rPr>
      </w:pP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招标编号/</w:t>
      </w: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w:t>
      </w:r>
    </w:p>
    <w:p>
      <w:pPr>
        <w:spacing w:line="360" w:lineRule="auto"/>
        <w:ind w:firstLine="1325" w:firstLineChars="550"/>
        <w:rPr>
          <w:rFonts w:hint="eastAsia" w:asciiTheme="minorEastAsia" w:hAnsiTheme="minorEastAsia" w:eastAsiaTheme="minorEastAsia" w:cstheme="minorEastAsia"/>
          <w:b/>
          <w:bCs/>
          <w:sz w:val="24"/>
          <w:szCs w:val="24"/>
        </w:rPr>
      </w:pPr>
    </w:p>
    <w:tbl>
      <w:tblPr>
        <w:tblStyle w:val="20"/>
        <w:tblW w:w="928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090" w:type="dxa"/>
            <w:shd w:val="clear" w:color="auto" w:fill="E6E6E6"/>
          </w:tcPr>
          <w:p>
            <w:pPr>
              <w:pStyle w:val="59"/>
              <w:spacing w:line="36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　区</w:t>
            </w:r>
          </w:p>
        </w:tc>
        <w:tc>
          <w:tcPr>
            <w:tcW w:w="3547" w:type="dxa"/>
            <w:shd w:val="clear" w:color="auto" w:fill="E6E6E6"/>
          </w:tcPr>
          <w:p>
            <w:pPr>
              <w:pStyle w:val="59"/>
              <w:spacing w:line="360" w:lineRule="auto"/>
              <w:ind w:right="-107" w:rightChars="-51"/>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项目名称</w:t>
            </w:r>
          </w:p>
        </w:tc>
        <w:tc>
          <w:tcPr>
            <w:tcW w:w="2031" w:type="dxa"/>
            <w:shd w:val="clear" w:color="auto" w:fill="E6E6E6"/>
          </w:tcPr>
          <w:p>
            <w:pPr>
              <w:pStyle w:val="59"/>
              <w:spacing w:line="360" w:lineRule="auto"/>
              <w:ind w:firstLine="360" w:firstLineChars="15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金　额</w:t>
            </w:r>
          </w:p>
        </w:tc>
        <w:tc>
          <w:tcPr>
            <w:tcW w:w="1620" w:type="dxa"/>
            <w:shd w:val="clear" w:color="auto" w:fill="E6E6E6"/>
          </w:tcPr>
          <w:p>
            <w:pPr>
              <w:pStyle w:val="59"/>
              <w:spacing w:line="36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090" w:type="dxa"/>
          </w:tcPr>
          <w:p>
            <w:pPr>
              <w:spacing w:line="360" w:lineRule="auto"/>
              <w:rPr>
                <w:rFonts w:hint="eastAsia" w:asciiTheme="minorEastAsia" w:hAnsiTheme="minorEastAsia" w:eastAsiaTheme="minorEastAsia" w:cstheme="minorEastAsia"/>
                <w:sz w:val="24"/>
                <w:szCs w:val="24"/>
              </w:rPr>
            </w:pPr>
          </w:p>
        </w:tc>
        <w:tc>
          <w:tcPr>
            <w:tcW w:w="3547" w:type="dxa"/>
          </w:tcPr>
          <w:p>
            <w:pPr>
              <w:spacing w:line="360" w:lineRule="auto"/>
              <w:rPr>
                <w:rFonts w:hint="eastAsia" w:asciiTheme="minorEastAsia" w:hAnsiTheme="minorEastAsia" w:eastAsiaTheme="minorEastAsia" w:cstheme="minorEastAsia"/>
                <w:sz w:val="24"/>
                <w:szCs w:val="24"/>
              </w:rPr>
            </w:pPr>
          </w:p>
        </w:tc>
        <w:tc>
          <w:tcPr>
            <w:tcW w:w="2031" w:type="dxa"/>
          </w:tcPr>
          <w:p>
            <w:pPr>
              <w:spacing w:line="360" w:lineRule="auto"/>
              <w:rPr>
                <w:rFonts w:hint="eastAsia" w:asciiTheme="minorEastAsia" w:hAnsiTheme="minorEastAsia" w:eastAsiaTheme="minorEastAsia" w:cstheme="minorEastAsia"/>
                <w:sz w:val="24"/>
                <w:szCs w:val="24"/>
              </w:rPr>
            </w:pPr>
          </w:p>
        </w:tc>
        <w:tc>
          <w:tcPr>
            <w:tcW w:w="1620"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090" w:type="dxa"/>
          </w:tcPr>
          <w:p>
            <w:pPr>
              <w:spacing w:line="360" w:lineRule="auto"/>
              <w:rPr>
                <w:rFonts w:hint="eastAsia" w:asciiTheme="minorEastAsia" w:hAnsiTheme="minorEastAsia" w:eastAsiaTheme="minorEastAsia" w:cstheme="minorEastAsia"/>
                <w:sz w:val="24"/>
                <w:szCs w:val="24"/>
              </w:rPr>
            </w:pPr>
          </w:p>
        </w:tc>
        <w:tc>
          <w:tcPr>
            <w:tcW w:w="3547" w:type="dxa"/>
          </w:tcPr>
          <w:p>
            <w:pPr>
              <w:spacing w:line="360" w:lineRule="auto"/>
              <w:rPr>
                <w:rFonts w:hint="eastAsia" w:asciiTheme="minorEastAsia" w:hAnsiTheme="minorEastAsia" w:eastAsiaTheme="minorEastAsia" w:cstheme="minorEastAsia"/>
                <w:sz w:val="24"/>
                <w:szCs w:val="24"/>
              </w:rPr>
            </w:pPr>
          </w:p>
        </w:tc>
        <w:tc>
          <w:tcPr>
            <w:tcW w:w="2031" w:type="dxa"/>
          </w:tcPr>
          <w:p>
            <w:pPr>
              <w:spacing w:line="360" w:lineRule="auto"/>
              <w:rPr>
                <w:rFonts w:hint="eastAsia" w:asciiTheme="minorEastAsia" w:hAnsiTheme="minorEastAsia" w:eastAsiaTheme="minorEastAsia" w:cstheme="minorEastAsia"/>
                <w:sz w:val="24"/>
                <w:szCs w:val="24"/>
              </w:rPr>
            </w:pPr>
          </w:p>
        </w:tc>
        <w:tc>
          <w:tcPr>
            <w:tcW w:w="1620"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090" w:type="dxa"/>
          </w:tcPr>
          <w:p>
            <w:pPr>
              <w:spacing w:line="360" w:lineRule="auto"/>
              <w:rPr>
                <w:rFonts w:hint="eastAsia" w:asciiTheme="minorEastAsia" w:hAnsiTheme="minorEastAsia" w:eastAsiaTheme="minorEastAsia" w:cstheme="minorEastAsia"/>
                <w:sz w:val="24"/>
                <w:szCs w:val="24"/>
              </w:rPr>
            </w:pPr>
          </w:p>
        </w:tc>
        <w:tc>
          <w:tcPr>
            <w:tcW w:w="3547" w:type="dxa"/>
          </w:tcPr>
          <w:p>
            <w:pPr>
              <w:spacing w:line="360" w:lineRule="auto"/>
              <w:rPr>
                <w:rFonts w:hint="eastAsia" w:asciiTheme="minorEastAsia" w:hAnsiTheme="minorEastAsia" w:eastAsiaTheme="minorEastAsia" w:cstheme="minorEastAsia"/>
                <w:sz w:val="24"/>
                <w:szCs w:val="24"/>
              </w:rPr>
            </w:pPr>
          </w:p>
        </w:tc>
        <w:tc>
          <w:tcPr>
            <w:tcW w:w="2031" w:type="dxa"/>
          </w:tcPr>
          <w:p>
            <w:pPr>
              <w:spacing w:line="360" w:lineRule="auto"/>
              <w:rPr>
                <w:rFonts w:hint="eastAsia" w:asciiTheme="minorEastAsia" w:hAnsiTheme="minorEastAsia" w:eastAsiaTheme="minorEastAsia" w:cstheme="minorEastAsia"/>
                <w:sz w:val="24"/>
                <w:szCs w:val="24"/>
              </w:rPr>
            </w:pPr>
          </w:p>
        </w:tc>
        <w:tc>
          <w:tcPr>
            <w:tcW w:w="1620" w:type="dxa"/>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09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547"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31"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2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附中标通知书和合同或中标通知书和结算报告复印件。</w:t>
      </w:r>
    </w:p>
    <w:p>
      <w:pPr>
        <w:spacing w:line="360" w:lineRule="auto"/>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widowControl/>
        <w:jc w:val="left"/>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（附件八）</w:t>
      </w: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投标单位（服务商）《反商业贿赂承诺书》</w:t>
      </w:r>
    </w:p>
    <w:p>
      <w:pPr>
        <w:pStyle w:val="11"/>
        <w:spacing w:line="360" w:lineRule="auto"/>
        <w:ind w:firstLine="482"/>
        <w:rPr>
          <w:rFonts w:hint="eastAsia" w:asciiTheme="minorEastAsia" w:hAnsiTheme="minorEastAsia" w:eastAsiaTheme="minorEastAsia" w:cstheme="minorEastAsia"/>
          <w:sz w:val="24"/>
          <w:szCs w:val="24"/>
        </w:rPr>
      </w:pPr>
    </w:p>
    <w:p>
      <w:pPr>
        <w:pStyle w:val="11"/>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我公司承诺在</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项目名称</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项目编号</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360" w:lineRule="auto"/>
        <w:ind w:firstLine="482"/>
        <w:rPr>
          <w:rFonts w:hint="eastAsia" w:asciiTheme="minorEastAsia" w:hAnsiTheme="minorEastAsia" w:eastAsiaTheme="minorEastAsia" w:cstheme="minorEastAsia"/>
          <w:sz w:val="24"/>
          <w:szCs w:val="24"/>
        </w:rPr>
      </w:pPr>
    </w:p>
    <w:p>
      <w:pPr>
        <w:pStyle w:val="11"/>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公司法人代表：</w:t>
      </w:r>
    </w:p>
    <w:p>
      <w:pPr>
        <w:pStyle w:val="11"/>
        <w:spacing w:line="360" w:lineRule="auto"/>
        <w:ind w:firstLine="482"/>
        <w:rPr>
          <w:rFonts w:hint="eastAsia" w:asciiTheme="minorEastAsia" w:hAnsiTheme="minorEastAsia" w:eastAsiaTheme="minorEastAsia" w:cstheme="minorEastAsia"/>
          <w:sz w:val="24"/>
          <w:szCs w:val="24"/>
        </w:rPr>
      </w:pPr>
    </w:p>
    <w:p>
      <w:pPr>
        <w:pStyle w:val="11"/>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法人授权代表：</w:t>
      </w:r>
    </w:p>
    <w:p>
      <w:pPr>
        <w:pStyle w:val="11"/>
        <w:spacing w:line="360" w:lineRule="auto"/>
        <w:ind w:firstLine="482"/>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ind w:firstLine="6000" w:firstLineChars="2500"/>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32"/>
          <w:szCs w:val="32"/>
        </w:rPr>
      </w:pPr>
    </w:p>
    <w:p>
      <w:pPr>
        <w:spacing w:line="360" w:lineRule="auto"/>
        <w:ind w:firstLine="432"/>
        <w:jc w:val="left"/>
        <w:rPr>
          <w:rFonts w:hint="eastAsia" w:asciiTheme="minorEastAsia" w:hAnsiTheme="minorEastAsia" w:eastAsiaTheme="minorEastAsia" w:cstheme="minorEastAsia"/>
          <w:b/>
          <w:bCs/>
          <w:sz w:val="32"/>
          <w:szCs w:val="32"/>
        </w:rPr>
      </w:pPr>
    </w:p>
    <w:p>
      <w:pPr>
        <w:spacing w:line="360" w:lineRule="auto"/>
        <w:ind w:firstLine="432"/>
        <w:jc w:val="left"/>
        <w:rPr>
          <w:rFonts w:hint="eastAsia" w:asciiTheme="minorEastAsia" w:hAnsiTheme="minorEastAsia" w:eastAsiaTheme="minorEastAsia" w:cstheme="minorEastAsia"/>
          <w:b/>
          <w:bCs/>
          <w:sz w:val="32"/>
          <w:szCs w:val="32"/>
        </w:rPr>
      </w:pPr>
    </w:p>
    <w:p>
      <w:pPr>
        <w:spacing w:line="360" w:lineRule="auto"/>
        <w:ind w:firstLine="432"/>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（附件九）</w:t>
      </w:r>
    </w:p>
    <w:p>
      <w:pPr>
        <w:spacing w:line="360" w:lineRule="auto"/>
        <w:ind w:firstLine="432"/>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投标单位简介</w:t>
      </w:r>
    </w:p>
    <w:p>
      <w:pPr>
        <w:spacing w:line="360" w:lineRule="auto"/>
        <w:ind w:firstLine="432"/>
        <w:jc w:val="center"/>
        <w:rPr>
          <w:rFonts w:hint="eastAsia" w:asciiTheme="minorEastAsia" w:hAnsiTheme="minorEastAsia" w:eastAsiaTheme="minorEastAsia" w:cstheme="minorEastAsia"/>
          <w:b/>
          <w:bCs/>
          <w:sz w:val="32"/>
          <w:szCs w:val="32"/>
        </w:rPr>
      </w:pP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rPr>
      </w:pPr>
    </w:p>
    <w:p>
      <w:pPr>
        <w:spacing w:line="360" w:lineRule="auto"/>
        <w:ind w:firstLine="482" w:firstLineChars="200"/>
        <w:rPr>
          <w:rFonts w:hint="eastAsia" w:asciiTheme="minorEastAsia" w:hAnsiTheme="minorEastAsia" w:eastAsiaTheme="minorEastAsia" w:cstheme="minorEastAsia"/>
          <w:b/>
          <w:bCs/>
          <w:sz w:val="24"/>
          <w:szCs w:val="24"/>
        </w:rPr>
      </w:pP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格式自拟</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法定代表人或投标授权代理人：（签字或盖章）年月日</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b/>
          <w:bCs/>
          <w:sz w:val="32"/>
          <w:szCs w:val="32"/>
        </w:rPr>
      </w:pPr>
    </w:p>
    <w:p>
      <w:pPr>
        <w:pStyle w:val="16"/>
        <w:rPr>
          <w:rFonts w:hint="eastAsia" w:asciiTheme="minorEastAsia" w:hAnsiTheme="minorEastAsia" w:eastAsiaTheme="minorEastAsia" w:cstheme="minorEastAsia"/>
        </w:rPr>
      </w:pPr>
    </w:p>
    <w:p>
      <w:pPr>
        <w:spacing w:line="360" w:lineRule="auto"/>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（附件十）</w:t>
      </w:r>
    </w:p>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服务承诺书</w:t>
      </w:r>
    </w:p>
    <w:p>
      <w:pPr>
        <w:autoSpaceDE w:val="0"/>
        <w:autoSpaceDN w:val="0"/>
        <w:adjustRightInd w:val="0"/>
        <w:spacing w:line="360" w:lineRule="auto"/>
        <w:ind w:left="424"/>
        <w:jc w:val="center"/>
        <w:rPr>
          <w:rFonts w:hint="eastAsia" w:asciiTheme="minorEastAsia" w:hAnsiTheme="minorEastAsia" w:eastAsiaTheme="minorEastAsia" w:cstheme="minorEastAsia"/>
          <w:b/>
          <w:bCs/>
        </w:rPr>
      </w:pPr>
    </w:p>
    <w:p>
      <w:pPr>
        <w:autoSpaceDE w:val="0"/>
        <w:autoSpaceDN w:val="0"/>
        <w:adjustRightInd w:val="0"/>
        <w:spacing w:line="360" w:lineRule="auto"/>
        <w:ind w:left="424" w:hanging="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1、根据已收到的项目的招标文件，我单位经考察现场和研究贵方的招标文件后，将接受该招标文件中各条款内容。</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2、如果我方中标，非业主原因，我方保证在指定时间按时完成所承接的服务项目。</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3、如果我方中标，非业主原因，我方保证将按下列质量等级完成招标项目。</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质量等级：</w:t>
      </w:r>
      <w:r>
        <w:rPr>
          <w:rFonts w:hint="eastAsia" w:asciiTheme="minorEastAsia" w:hAnsiTheme="minorEastAsia" w:eastAsiaTheme="minorEastAsia" w:cstheme="minorEastAsia"/>
          <w:sz w:val="24"/>
          <w:szCs w:val="24"/>
          <w:u w:val="single"/>
        </w:rPr>
        <w:t>合格</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4、如果我方中标，我方将按招标文件规定的时间内签订合同。如果我方违约，除投标保证金外，我方还将以中标价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作为赔偿金，同时贵方有权终止我方中标并选择其它中标人。</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5、贵方的招标文件、中标通知书、我方的投标文件将构成约束双方的合同一部分。</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6、如果我方未中标，贵方没有必要对我方做出任何解释和说明，我方将充分尊重和理解贵方的选择。</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7、如果我方中标，我方同意招标代理费按照（计价格[2002]1980号）和（发改价格[2011]534号）文件规定收取</w:t>
      </w:r>
      <w:r>
        <w:rPr>
          <w:rFonts w:hint="eastAsia" w:asciiTheme="minorEastAsia" w:hAnsiTheme="minorEastAsia" w:eastAsiaTheme="minorEastAsia" w:cstheme="minorEastAsia"/>
          <w:b/>
          <w:bCs/>
          <w:sz w:val="24"/>
          <w:szCs w:val="24"/>
          <w:lang w:eastAsia="zh-CN"/>
        </w:rPr>
        <w:t>，且招标代理机构有权从投标保证金中直接扣除招标代理费后将余额退还</w:t>
      </w:r>
      <w:r>
        <w:rPr>
          <w:rFonts w:hint="eastAsia" w:asciiTheme="minorEastAsia" w:hAnsiTheme="minorEastAsia" w:eastAsiaTheme="minorEastAsia" w:cstheme="minorEastAsia"/>
          <w:b/>
          <w:bCs/>
          <w:sz w:val="24"/>
          <w:szCs w:val="24"/>
        </w:rPr>
        <w:t>。</w:t>
      </w:r>
    </w:p>
    <w:p>
      <w:pPr>
        <w:autoSpaceDE w:val="0"/>
        <w:autoSpaceDN w:val="0"/>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其它承诺：我方承诺在投标文件中提供的人员、设备、业绩等证明材料的真实性，经证实确有弄虚作假行为的，贵方有权终止我方中标并选择其它中标人，已签订合同的，有权解除合同。</w:t>
      </w:r>
    </w:p>
    <w:p>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或委托代理人：（盖章）</w:t>
      </w:r>
    </w:p>
    <w:p>
      <w:pPr>
        <w:autoSpaceDE w:val="0"/>
        <w:autoSpaceDN w:val="0"/>
        <w:adjustRightInd w:val="0"/>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pPr>
        <w:spacing w:line="360" w:lineRule="auto"/>
        <w:jc w:val="left"/>
        <w:rPr>
          <w:rFonts w:hint="eastAsia" w:asciiTheme="minorEastAsia" w:hAnsiTheme="minorEastAsia" w:eastAsiaTheme="minorEastAsia" w:cstheme="minorEastAsia"/>
          <w:b/>
          <w:bCs/>
          <w:sz w:val="28"/>
          <w:szCs w:val="28"/>
        </w:rPr>
      </w:pPr>
    </w:p>
    <w:p>
      <w:pPr>
        <w:spacing w:line="360" w:lineRule="auto"/>
        <w:jc w:val="left"/>
        <w:rPr>
          <w:rFonts w:hint="eastAsia" w:asciiTheme="minorEastAsia" w:hAnsiTheme="minorEastAsia" w:eastAsiaTheme="minorEastAsia" w:cstheme="minorEastAsia"/>
          <w:b/>
          <w:bCs/>
          <w:sz w:val="28"/>
          <w:szCs w:val="28"/>
        </w:rPr>
      </w:pPr>
    </w:p>
    <w:p>
      <w:pPr>
        <w:spacing w:line="360" w:lineRule="auto"/>
        <w:jc w:val="left"/>
        <w:rPr>
          <w:rFonts w:hint="eastAsia" w:asciiTheme="minorEastAsia" w:hAnsiTheme="minorEastAsia" w:eastAsiaTheme="minorEastAsia" w:cstheme="minorEastAsia"/>
          <w:b/>
          <w:bCs/>
          <w:sz w:val="28"/>
          <w:szCs w:val="28"/>
        </w:rPr>
      </w:pPr>
    </w:p>
    <w:p>
      <w:pPr>
        <w:spacing w:line="360" w:lineRule="auto"/>
        <w:jc w:val="left"/>
        <w:rPr>
          <w:rFonts w:hint="eastAsia" w:asciiTheme="minorEastAsia" w:hAnsiTheme="minorEastAsia" w:eastAsiaTheme="minorEastAsia" w:cstheme="minorEastAsia"/>
          <w:b/>
          <w:bCs/>
          <w:sz w:val="28"/>
          <w:szCs w:val="28"/>
        </w:rPr>
      </w:pPr>
    </w:p>
    <w:p>
      <w:pPr>
        <w:spacing w:line="360" w:lineRule="auto"/>
        <w:jc w:val="left"/>
        <w:rPr>
          <w:rFonts w:hint="eastAsia" w:asciiTheme="minorEastAsia" w:hAnsiTheme="minorEastAsia" w:eastAsiaTheme="minorEastAsia" w:cstheme="minorEastAsia"/>
          <w:b/>
          <w:bCs/>
          <w:sz w:val="28"/>
          <w:szCs w:val="28"/>
        </w:rPr>
      </w:pPr>
    </w:p>
    <w:p>
      <w:pPr>
        <w:widowControl/>
        <w:spacing w:line="640" w:lineRule="exact"/>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附件十</w:t>
      </w:r>
      <w:r>
        <w:rPr>
          <w:rFonts w:hint="eastAsia" w:asciiTheme="minorEastAsia" w:hAnsiTheme="minorEastAsia" w:eastAsiaTheme="minorEastAsia" w:cstheme="minorEastAsia"/>
          <w:b/>
          <w:sz w:val="30"/>
          <w:szCs w:val="30"/>
          <w:lang w:val="en-US" w:eastAsia="zh-CN"/>
        </w:rPr>
        <w:t>一</w:t>
      </w:r>
      <w:r>
        <w:rPr>
          <w:rFonts w:hint="eastAsia" w:asciiTheme="minorEastAsia" w:hAnsiTheme="minorEastAsia" w:eastAsiaTheme="minorEastAsia" w:cstheme="minorEastAsia"/>
          <w:b/>
          <w:sz w:val="30"/>
          <w:szCs w:val="30"/>
        </w:rPr>
        <w:t xml:space="preserve"> </w:t>
      </w:r>
      <w:r>
        <w:rPr>
          <w:rFonts w:hint="eastAsia" w:asciiTheme="minorEastAsia" w:hAnsiTheme="minorEastAsia" w:eastAsiaTheme="minorEastAsia" w:cstheme="minorEastAsia"/>
          <w:b/>
          <w:sz w:val="32"/>
        </w:rPr>
        <w:t>采购项目需要落实的政府采购政策（各企业提供相关证明文件）</w:t>
      </w:r>
    </w:p>
    <w:p>
      <w:pPr>
        <w:spacing w:line="440" w:lineRule="exact"/>
        <w:ind w:firstLine="4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扶持中小企业政策：评审时小型和微型企业将享受优惠加分。监狱企业或残疾人企业视同小型、微型企业（财库〔2011〕181号、财库〔2014〕68号及财库〔2017〕141号）。</w:t>
      </w:r>
    </w:p>
    <w:p>
      <w:pPr>
        <w:jc w:val="center"/>
        <w:rPr>
          <w:rFonts w:hint="eastAsia" w:asciiTheme="minorEastAsia" w:hAnsiTheme="minorEastAsia" w:eastAsiaTheme="minorEastAsia" w:cstheme="minorEastAsia"/>
          <w:b/>
          <w:sz w:val="32"/>
        </w:rPr>
      </w:pPr>
    </w:p>
    <w:p>
      <w:pPr>
        <w:pStyle w:val="12"/>
        <w:jc w:val="center"/>
        <w:rPr>
          <w:rFonts w:hint="eastAsia" w:asciiTheme="minorEastAsia" w:hAnsiTheme="minorEastAsia" w:eastAsiaTheme="minorEastAsia" w:cstheme="minorEastAsia"/>
          <w:b/>
          <w:sz w:val="28"/>
          <w:szCs w:val="28"/>
        </w:rPr>
      </w:pPr>
    </w:p>
    <w:p>
      <w:pPr>
        <w:pStyle w:val="12"/>
        <w:jc w:val="center"/>
        <w:rPr>
          <w:rFonts w:hint="eastAsia" w:asciiTheme="minorEastAsia" w:hAnsiTheme="minorEastAsia" w:eastAsiaTheme="minorEastAsia" w:cstheme="minorEastAsia"/>
          <w:b/>
          <w:sz w:val="28"/>
          <w:szCs w:val="28"/>
        </w:rPr>
      </w:pPr>
    </w:p>
    <w:p>
      <w:pPr>
        <w:pStyle w:val="12"/>
        <w:jc w:val="center"/>
        <w:rPr>
          <w:rFonts w:hint="eastAsia" w:asciiTheme="minorEastAsia" w:hAnsiTheme="minorEastAsia" w:eastAsiaTheme="minorEastAsia" w:cstheme="minorEastAsia"/>
          <w:b/>
          <w:sz w:val="28"/>
          <w:szCs w:val="28"/>
        </w:rPr>
      </w:pPr>
    </w:p>
    <w:p>
      <w:pPr>
        <w:pStyle w:val="12"/>
        <w:jc w:val="center"/>
        <w:rPr>
          <w:rFonts w:hint="eastAsia" w:asciiTheme="minorEastAsia" w:hAnsiTheme="minorEastAsia" w:eastAsiaTheme="minorEastAsia" w:cstheme="minorEastAsia"/>
          <w:b/>
          <w:sz w:val="28"/>
          <w:szCs w:val="28"/>
        </w:rPr>
      </w:pPr>
    </w:p>
    <w:p>
      <w:pPr>
        <w:pStyle w:val="12"/>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32"/>
          <w:szCs w:val="32"/>
        </w:rPr>
        <w:t>附件十</w:t>
      </w:r>
      <w:r>
        <w:rPr>
          <w:rFonts w:hint="eastAsia" w:asciiTheme="minorEastAsia" w:hAnsiTheme="minorEastAsia" w:eastAsiaTheme="minorEastAsia" w:cstheme="minorEastAsia"/>
          <w:b/>
          <w:sz w:val="32"/>
          <w:szCs w:val="32"/>
          <w:lang w:val="en-US" w:eastAsia="zh-CN"/>
        </w:rPr>
        <w:t>二</w:t>
      </w:r>
      <w:r>
        <w:rPr>
          <w:rFonts w:hint="eastAsia" w:asciiTheme="minorEastAsia" w:hAnsiTheme="minorEastAsia" w:eastAsiaTheme="minorEastAsia" w:cstheme="minorEastAsia"/>
          <w:b/>
          <w:sz w:val="32"/>
          <w:szCs w:val="32"/>
        </w:rPr>
        <w:t>、</w:t>
      </w:r>
      <w:r>
        <w:rPr>
          <w:rFonts w:hint="eastAsia" w:asciiTheme="minorEastAsia" w:hAnsiTheme="minorEastAsia" w:eastAsiaTheme="minorEastAsia" w:cstheme="minorEastAsia"/>
          <w:b/>
          <w:sz w:val="32"/>
          <w:szCs w:val="32"/>
          <w:lang w:val="en-US" w:eastAsia="zh-CN"/>
        </w:rPr>
        <w:t>信</w:t>
      </w:r>
      <w:r>
        <w:rPr>
          <w:rFonts w:hint="eastAsia" w:asciiTheme="minorEastAsia" w:hAnsiTheme="minorEastAsia" w:eastAsiaTheme="minorEastAsia" w:cstheme="minorEastAsia"/>
          <w:b/>
          <w:sz w:val="32"/>
          <w:szCs w:val="32"/>
        </w:rPr>
        <w:t>用查询记录</w:t>
      </w:r>
    </w:p>
    <w:p>
      <w:pPr>
        <w:pStyle w:val="12"/>
        <w:jc w:val="center"/>
        <w:rPr>
          <w:rFonts w:hint="eastAsia" w:asciiTheme="minorEastAsia" w:hAnsiTheme="minorEastAsia" w:eastAsiaTheme="minorEastAsia" w:cstheme="minorEastAsia"/>
          <w:b/>
          <w:sz w:val="32"/>
        </w:rPr>
      </w:pPr>
    </w:p>
    <w:p>
      <w:pPr>
        <w:spacing w:line="4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查询</w:t>
      </w:r>
      <w:r>
        <w:rPr>
          <w:rFonts w:hint="eastAsia" w:asciiTheme="minorEastAsia" w:hAnsiTheme="minorEastAsia" w:eastAsiaTheme="minorEastAsia" w:cstheme="minorEastAsia"/>
          <w:b/>
          <w:bCs/>
          <w:kern w:val="0"/>
          <w:sz w:val="24"/>
          <w:lang w:eastAsia="en-US"/>
        </w:rPr>
        <w:t>渠道</w:t>
      </w:r>
      <w:r>
        <w:rPr>
          <w:rFonts w:hint="eastAsia" w:asciiTheme="minorEastAsia" w:hAnsiTheme="minorEastAsia" w:eastAsiaTheme="minorEastAsia" w:cstheme="minorEastAsia"/>
          <w:b/>
          <w:bCs/>
          <w:sz w:val="24"/>
        </w:rPr>
        <w:t>为：</w:t>
      </w:r>
      <w:r>
        <w:rPr>
          <w:rFonts w:hint="eastAsia" w:asciiTheme="minorEastAsia" w:hAnsiTheme="minorEastAsia" w:eastAsiaTheme="minorEastAsia" w:cstheme="minorEastAsia"/>
          <w:kern w:val="0"/>
          <w:sz w:val="24"/>
          <w:lang w:eastAsia="en-US"/>
        </w:rPr>
        <w:t>“信用中国”网站（</w:t>
      </w:r>
      <w:r>
        <w:rPr>
          <w:rFonts w:hint="eastAsia" w:asciiTheme="minorEastAsia" w:hAnsiTheme="minorEastAsia" w:eastAsiaTheme="minorEastAsia" w:cstheme="minorEastAsia"/>
          <w:sz w:val="24"/>
        </w:rPr>
        <w:t>www.creditchina.gov.cn</w:t>
      </w:r>
      <w:r>
        <w:rPr>
          <w:rFonts w:hint="eastAsia" w:asciiTheme="minorEastAsia" w:hAnsiTheme="minorEastAsia" w:eastAsiaTheme="minorEastAsia" w:cstheme="minorEastAsia"/>
          <w:kern w:val="0"/>
          <w:sz w:val="24"/>
          <w:lang w:eastAsia="en-US"/>
        </w:rPr>
        <w:t>）</w:t>
      </w:r>
      <w:r>
        <w:rPr>
          <w:rFonts w:hint="eastAsia" w:asciiTheme="minorEastAsia" w:hAnsiTheme="minorEastAsia" w:eastAsiaTheme="minorEastAsia" w:cstheme="minorEastAsia"/>
          <w:kern w:val="0"/>
          <w:sz w:val="24"/>
          <w:lang w:val="en-US" w:eastAsia="zh-CN"/>
        </w:rPr>
        <w:t>和</w:t>
      </w:r>
      <w:r>
        <w:rPr>
          <w:rFonts w:hint="eastAsia" w:asciiTheme="minorEastAsia" w:hAnsiTheme="minorEastAsia" w:eastAsiaTheme="minorEastAsia" w:cstheme="minorEastAsia"/>
          <w:kern w:val="0"/>
          <w:sz w:val="24"/>
          <w:lang w:eastAsia="en-US"/>
        </w:rPr>
        <w:t>中国政府采购网（</w:t>
      </w:r>
      <w:r>
        <w:rPr>
          <w:rFonts w:hint="eastAsia" w:asciiTheme="minorEastAsia" w:hAnsiTheme="minorEastAsia" w:eastAsiaTheme="minorEastAsia" w:cstheme="minorEastAsia"/>
          <w:sz w:val="24"/>
        </w:rPr>
        <w:t>www.ccgp.gov.cn</w:t>
      </w:r>
      <w:r>
        <w:rPr>
          <w:rFonts w:hint="eastAsia" w:asciiTheme="minorEastAsia" w:hAnsiTheme="minorEastAsia" w:eastAsiaTheme="minorEastAsia" w:cstheme="minorEastAsia"/>
          <w:kern w:val="0"/>
          <w:sz w:val="24"/>
          <w:lang w:eastAsia="en-US"/>
        </w:rPr>
        <w:t>）</w:t>
      </w:r>
      <w:r>
        <w:rPr>
          <w:rFonts w:hint="eastAsia" w:asciiTheme="minorEastAsia" w:hAnsiTheme="minorEastAsia" w:eastAsiaTheme="minorEastAsia" w:cstheme="minorEastAsia"/>
          <w:sz w:val="24"/>
        </w:rPr>
        <w:t>。查询时间为自公告发布之日起至投标文件递交截止时间止（该时间段内任一时间）。</w:t>
      </w:r>
    </w:p>
    <w:p>
      <w:pPr>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8"/>
        </w:rPr>
        <w:t>附网页查询后的截图证明。</w:t>
      </w:r>
    </w:p>
    <w:p>
      <w:pPr>
        <w:spacing w:line="360" w:lineRule="auto"/>
        <w:rPr>
          <w:rFonts w:hint="eastAsia" w:asciiTheme="minorEastAsia" w:hAnsiTheme="minorEastAsia" w:eastAsiaTheme="minorEastAsia" w:cstheme="minorEastAsia"/>
          <w:b/>
          <w:bCs/>
          <w:sz w:val="32"/>
          <w:szCs w:val="32"/>
        </w:rPr>
      </w:pPr>
    </w:p>
    <w:p>
      <w:pPr>
        <w:spacing w:line="360" w:lineRule="auto"/>
        <w:ind w:firstLine="240" w:firstLineChars="100"/>
        <w:rPr>
          <w:rFonts w:hint="eastAsia" w:asciiTheme="minorEastAsia" w:hAnsiTheme="minorEastAsia" w:eastAsiaTheme="minorEastAsia" w:cstheme="minorEastAsia"/>
          <w:sz w:val="24"/>
          <w:szCs w:val="24"/>
        </w:rPr>
      </w:pPr>
    </w:p>
    <w:sectPr>
      <w:pgSz w:w="11906" w:h="16838"/>
      <w:pgMar w:top="1418" w:right="1588" w:bottom="141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pPr>
      <w:pStyle w:val="16"/>
      <w:ind w:right="108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pPr>
    <w:r>
      <w:rPr>
        <w:rFonts w:hint="eastAsia"/>
      </w:rPr>
      <w:t>新疆建投项目管理咨询有限公司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FEEF14"/>
    <w:multiLevelType w:val="singleLevel"/>
    <w:tmpl w:val="BAFEEF14"/>
    <w:lvl w:ilvl="0" w:tentative="0">
      <w:start w:val="10"/>
      <w:numFmt w:val="decimal"/>
      <w:lvlText w:val="%1."/>
      <w:lvlJc w:val="left"/>
      <w:pPr>
        <w:tabs>
          <w:tab w:val="left" w:pos="312"/>
        </w:tabs>
      </w:pPr>
    </w:lvl>
  </w:abstractNum>
  <w:abstractNum w:abstractNumId="1">
    <w:nsid w:val="BDE089ED"/>
    <w:multiLevelType w:val="singleLevel"/>
    <w:tmpl w:val="BDE089ED"/>
    <w:lvl w:ilvl="0" w:tentative="0">
      <w:start w:val="14"/>
      <w:numFmt w:val="decimal"/>
      <w:lvlText w:val="%1."/>
      <w:lvlJc w:val="left"/>
      <w:pPr>
        <w:tabs>
          <w:tab w:val="left" w:pos="312"/>
        </w:tabs>
      </w:pPr>
    </w:lvl>
  </w:abstractNum>
  <w:abstractNum w:abstractNumId="2">
    <w:nsid w:val="C2C732E6"/>
    <w:multiLevelType w:val="singleLevel"/>
    <w:tmpl w:val="C2C732E6"/>
    <w:lvl w:ilvl="0" w:tentative="0">
      <w:start w:val="11"/>
      <w:numFmt w:val="decimal"/>
      <w:suff w:val="space"/>
      <w:lvlText w:val="%1."/>
      <w:lvlJc w:val="left"/>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D2E8035"/>
    <w:multiLevelType w:val="singleLevel"/>
    <w:tmpl w:val="1D2E8035"/>
    <w:lvl w:ilvl="0" w:tentative="0">
      <w:start w:val="5"/>
      <w:numFmt w:val="decimal"/>
      <w:lvlText w:val="%1."/>
      <w:lvlJc w:val="left"/>
      <w:pPr>
        <w:tabs>
          <w:tab w:val="left" w:pos="312"/>
        </w:tabs>
        <w:ind w:left="120" w:leftChars="0" w:firstLine="0" w:firstLineChars="0"/>
      </w:pPr>
    </w:lvl>
  </w:abstractNum>
  <w:abstractNum w:abstractNumId="5">
    <w:nsid w:val="47F95D3C"/>
    <w:multiLevelType w:val="multilevel"/>
    <w:tmpl w:val="47F95D3C"/>
    <w:lvl w:ilvl="0" w:tentative="0">
      <w:start w:val="1"/>
      <w:numFmt w:val="decimal"/>
      <w:lvlText w:val="%1"/>
      <w:lvlJc w:val="left"/>
      <w:rPr>
        <w:rFonts w:hint="eastAsia"/>
      </w:rPr>
    </w:lvl>
    <w:lvl w:ilvl="1" w:tentative="0">
      <w:start w:val="1"/>
      <w:numFmt w:val="decimal"/>
      <w:lvlText w:val="%1.%2"/>
      <w:lvlJc w:val="left"/>
      <w:rPr>
        <w:rFonts w:hint="eastAsia"/>
      </w:rPr>
    </w:lvl>
    <w:lvl w:ilvl="2" w:tentative="0">
      <w:start w:val="1"/>
      <w:numFmt w:val="decimal"/>
      <w:lvlText w:val="%1.%2.%3"/>
      <w:lvlJc w:val="left"/>
      <w:rPr>
        <w:rFonts w:hint="eastAsia"/>
      </w:rPr>
    </w:lvl>
    <w:lvl w:ilvl="3" w:tentative="0">
      <w:start w:val="1"/>
      <w:numFmt w:val="decimal"/>
      <w:pStyle w:val="71"/>
      <w:lvlText w:val="%1.%2.%3.%4"/>
      <w:lvlJc w:val="left"/>
      <w:rPr>
        <w:rFonts w:hint="eastAsia"/>
      </w:rPr>
    </w:lvl>
    <w:lvl w:ilvl="4" w:tentative="0">
      <w:start w:val="1"/>
      <w:numFmt w:val="decimal"/>
      <w:pStyle w:val="70"/>
      <w:lvlText w:val="%1.%2.%3.%4.%5"/>
      <w:lvlJc w:val="left"/>
      <w:rPr>
        <w:rFonts w:hint="eastAsia"/>
      </w:rPr>
    </w:lvl>
    <w:lvl w:ilvl="5" w:tentative="0">
      <w:start w:val="1"/>
      <w:numFmt w:val="decimal"/>
      <w:pStyle w:val="69"/>
      <w:lvlText w:val="%1.%2.%3.%4.%5.%6"/>
      <w:lvlJc w:val="left"/>
      <w:rPr>
        <w:rFonts w:hint="eastAsia"/>
      </w:rPr>
    </w:lvl>
    <w:lvl w:ilvl="6" w:tentative="0">
      <w:start w:val="1"/>
      <w:numFmt w:val="decimal"/>
      <w:pStyle w:val="68"/>
      <w:lvlText w:val="%1.%2.%3.%4.%5.%6.%7"/>
      <w:lvlJc w:val="left"/>
      <w:rPr>
        <w:rFonts w:hint="eastAsia"/>
      </w:rPr>
    </w:lvl>
    <w:lvl w:ilvl="7" w:tentative="0">
      <w:start w:val="1"/>
      <w:numFmt w:val="decimal"/>
      <w:lvlText w:val="%1.%2.%3.%4.%5.%6.%7.%8"/>
      <w:lvlJc w:val="left"/>
      <w:rPr>
        <w:rFonts w:hint="eastAsia"/>
      </w:rPr>
    </w:lvl>
    <w:lvl w:ilvl="8" w:tentative="0">
      <w:start w:val="1"/>
      <w:numFmt w:val="decimal"/>
      <w:lvlText w:val="%1.%2.%3.%4.%5.%6.%7.%8.%9"/>
      <w:lvlJc w:val="left"/>
      <w:rPr>
        <w:rFonts w:hint="eastAsia"/>
      </w:rPr>
    </w:lvl>
  </w:abstractNum>
  <w:abstractNum w:abstractNumId="6">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7">
    <w:nsid w:val="543D0460"/>
    <w:multiLevelType w:val="singleLevel"/>
    <w:tmpl w:val="543D0460"/>
    <w:lvl w:ilvl="0" w:tentative="0">
      <w:start w:val="1"/>
      <w:numFmt w:val="chineseCounting"/>
      <w:suff w:val="nothing"/>
      <w:lvlText w:val="%1、"/>
      <w:lvlJc w:val="left"/>
    </w:lvl>
  </w:abstractNum>
  <w:abstractNum w:abstractNumId="8">
    <w:nsid w:val="5CD114E5"/>
    <w:multiLevelType w:val="singleLevel"/>
    <w:tmpl w:val="5CD114E5"/>
    <w:lvl w:ilvl="0" w:tentative="0">
      <w:start w:val="1"/>
      <w:numFmt w:val="chineseCounting"/>
      <w:suff w:val="nothing"/>
      <w:lvlText w:val="%1、"/>
      <w:lvlJc w:val="left"/>
    </w:lvl>
  </w:abstractNum>
  <w:abstractNum w:abstractNumId="9">
    <w:nsid w:val="5CD120F9"/>
    <w:multiLevelType w:val="singleLevel"/>
    <w:tmpl w:val="5CD120F9"/>
    <w:lvl w:ilvl="0" w:tentative="0">
      <w:start w:val="9"/>
      <w:numFmt w:val="decimal"/>
      <w:suff w:val="nothing"/>
      <w:lvlText w:val="%1、"/>
      <w:lvlJc w:val="left"/>
    </w:lvl>
  </w:abstractNum>
  <w:abstractNum w:abstractNumId="10">
    <w:nsid w:val="5CD1212C"/>
    <w:multiLevelType w:val="singleLevel"/>
    <w:tmpl w:val="5CD1212C"/>
    <w:lvl w:ilvl="0" w:tentative="0">
      <w:start w:val="1"/>
      <w:numFmt w:val="decimal"/>
      <w:suff w:val="nothing"/>
      <w:lvlText w:val="（%1）"/>
      <w:lvlJc w:val="left"/>
    </w:lvl>
  </w:abstractNum>
  <w:abstractNum w:abstractNumId="11">
    <w:nsid w:val="5CD121B0"/>
    <w:multiLevelType w:val="singleLevel"/>
    <w:tmpl w:val="5CD121B0"/>
    <w:lvl w:ilvl="0" w:tentative="0">
      <w:start w:val="10"/>
      <w:numFmt w:val="decimal"/>
      <w:suff w:val="nothing"/>
      <w:lvlText w:val="%1、"/>
      <w:lvlJc w:val="left"/>
    </w:lvl>
  </w:abstractNum>
  <w:abstractNum w:abstractNumId="12">
    <w:nsid w:val="5CD12438"/>
    <w:multiLevelType w:val="singleLevel"/>
    <w:tmpl w:val="5CD12438"/>
    <w:lvl w:ilvl="0" w:tentative="0">
      <w:start w:val="6"/>
      <w:numFmt w:val="chineseCounting"/>
      <w:suff w:val="nothing"/>
      <w:lvlText w:val="%1、"/>
      <w:lvlJc w:val="left"/>
    </w:lvl>
  </w:abstractNum>
  <w:abstractNum w:abstractNumId="13">
    <w:nsid w:val="5CD124AB"/>
    <w:multiLevelType w:val="singleLevel"/>
    <w:tmpl w:val="5CD124AB"/>
    <w:lvl w:ilvl="0" w:tentative="0">
      <w:start w:val="1"/>
      <w:numFmt w:val="decimal"/>
      <w:suff w:val="nothing"/>
      <w:lvlText w:val="%1、"/>
      <w:lvlJc w:val="left"/>
    </w:lvl>
  </w:abstractNum>
  <w:abstractNum w:abstractNumId="14">
    <w:nsid w:val="5CD13539"/>
    <w:multiLevelType w:val="singleLevel"/>
    <w:tmpl w:val="5CD13539"/>
    <w:lvl w:ilvl="0" w:tentative="0">
      <w:start w:val="1"/>
      <w:numFmt w:val="decimal"/>
      <w:suff w:val="nothing"/>
      <w:lvlText w:val="%1、"/>
      <w:lvlJc w:val="left"/>
    </w:lvl>
  </w:abstractNum>
  <w:abstractNum w:abstractNumId="15">
    <w:nsid w:val="5CD13727"/>
    <w:multiLevelType w:val="singleLevel"/>
    <w:tmpl w:val="5CD13727"/>
    <w:lvl w:ilvl="0" w:tentative="0">
      <w:start w:val="3"/>
      <w:numFmt w:val="chineseCounting"/>
      <w:suff w:val="nothing"/>
      <w:lvlText w:val="%1、"/>
      <w:lvlJc w:val="left"/>
    </w:lvl>
  </w:abstractNum>
  <w:abstractNum w:abstractNumId="16">
    <w:nsid w:val="5CD1379B"/>
    <w:multiLevelType w:val="singleLevel"/>
    <w:tmpl w:val="5CD1379B"/>
    <w:lvl w:ilvl="0" w:tentative="0">
      <w:start w:val="1"/>
      <w:numFmt w:val="decimal"/>
      <w:suff w:val="nothing"/>
      <w:lvlText w:val="%1、"/>
      <w:lvlJc w:val="left"/>
    </w:lvl>
  </w:abstractNum>
  <w:abstractNum w:abstractNumId="17">
    <w:nsid w:val="5CD138F0"/>
    <w:multiLevelType w:val="singleLevel"/>
    <w:tmpl w:val="5CD138F0"/>
    <w:lvl w:ilvl="0" w:tentative="0">
      <w:start w:val="4"/>
      <w:numFmt w:val="chineseCounting"/>
      <w:suff w:val="nothing"/>
      <w:lvlText w:val="%1、"/>
      <w:lvlJc w:val="left"/>
    </w:lvl>
  </w:abstractNum>
  <w:abstractNum w:abstractNumId="18">
    <w:nsid w:val="5CD13A75"/>
    <w:multiLevelType w:val="singleLevel"/>
    <w:tmpl w:val="5CD13A75"/>
    <w:lvl w:ilvl="0" w:tentative="0">
      <w:start w:val="1"/>
      <w:numFmt w:val="decimal"/>
      <w:suff w:val="nothing"/>
      <w:lvlText w:val="%1、"/>
      <w:lvlJc w:val="left"/>
    </w:lvl>
  </w:abstractNum>
  <w:abstractNum w:abstractNumId="19">
    <w:nsid w:val="5CD13CFC"/>
    <w:multiLevelType w:val="singleLevel"/>
    <w:tmpl w:val="5CD13CFC"/>
    <w:lvl w:ilvl="0" w:tentative="0">
      <w:start w:val="1"/>
      <w:numFmt w:val="decimal"/>
      <w:suff w:val="nothing"/>
      <w:lvlText w:val="（%1）"/>
      <w:lvlJc w:val="left"/>
    </w:lvl>
  </w:abstractNum>
  <w:abstractNum w:abstractNumId="20">
    <w:nsid w:val="5CD13DD3"/>
    <w:multiLevelType w:val="singleLevel"/>
    <w:tmpl w:val="5CD13DD3"/>
    <w:lvl w:ilvl="0" w:tentative="0">
      <w:start w:val="5"/>
      <w:numFmt w:val="chineseCounting"/>
      <w:suff w:val="nothing"/>
      <w:lvlText w:val="%1、"/>
      <w:lvlJc w:val="left"/>
    </w:lvl>
  </w:abstractNum>
  <w:abstractNum w:abstractNumId="21">
    <w:nsid w:val="5CD13E99"/>
    <w:multiLevelType w:val="singleLevel"/>
    <w:tmpl w:val="5CD13E99"/>
    <w:lvl w:ilvl="0" w:tentative="0">
      <w:start w:val="1"/>
      <w:numFmt w:val="decimal"/>
      <w:suff w:val="nothing"/>
      <w:lvlText w:val="%1、"/>
      <w:lvlJc w:val="left"/>
    </w:lvl>
  </w:abstractNum>
  <w:num w:numId="1">
    <w:abstractNumId w:val="3"/>
  </w:num>
  <w:num w:numId="2">
    <w:abstractNumId w:val="5"/>
  </w:num>
  <w:num w:numId="3">
    <w:abstractNumId w:val="7"/>
  </w:num>
  <w:num w:numId="4">
    <w:abstractNumId w:val="8"/>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9"/>
  </w:num>
  <w:num w:numId="14">
    <w:abstractNumId w:val="10"/>
  </w:num>
  <w:num w:numId="15">
    <w:abstractNumId w:val="11"/>
  </w:num>
  <w:num w:numId="16">
    <w:abstractNumId w:val="12"/>
  </w:num>
  <w:num w:numId="17">
    <w:abstractNumId w:val="13"/>
  </w:num>
  <w:num w:numId="18">
    <w:abstractNumId w:val="2"/>
  </w:num>
  <w:num w:numId="19">
    <w:abstractNumId w:val="0"/>
  </w:num>
  <w:num w:numId="20">
    <w:abstractNumId w:val="1"/>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trackRevisions w:val="1"/>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6C"/>
    <w:rsid w:val="000010E2"/>
    <w:rsid w:val="000018A6"/>
    <w:rsid w:val="00002608"/>
    <w:rsid w:val="00002870"/>
    <w:rsid w:val="00003E9B"/>
    <w:rsid w:val="000047F9"/>
    <w:rsid w:val="00004CAD"/>
    <w:rsid w:val="000052D0"/>
    <w:rsid w:val="00006097"/>
    <w:rsid w:val="000072F3"/>
    <w:rsid w:val="00007402"/>
    <w:rsid w:val="0000747D"/>
    <w:rsid w:val="00007A7C"/>
    <w:rsid w:val="000107BD"/>
    <w:rsid w:val="00010C2D"/>
    <w:rsid w:val="00011658"/>
    <w:rsid w:val="00012B55"/>
    <w:rsid w:val="00013444"/>
    <w:rsid w:val="000135AB"/>
    <w:rsid w:val="00013685"/>
    <w:rsid w:val="00013F60"/>
    <w:rsid w:val="00014CD6"/>
    <w:rsid w:val="00015255"/>
    <w:rsid w:val="000154B0"/>
    <w:rsid w:val="0001732D"/>
    <w:rsid w:val="000177B1"/>
    <w:rsid w:val="00017C9E"/>
    <w:rsid w:val="00017E78"/>
    <w:rsid w:val="00020659"/>
    <w:rsid w:val="00021743"/>
    <w:rsid w:val="0002181E"/>
    <w:rsid w:val="00022966"/>
    <w:rsid w:val="000233CA"/>
    <w:rsid w:val="00025376"/>
    <w:rsid w:val="000263DA"/>
    <w:rsid w:val="00026ABA"/>
    <w:rsid w:val="00026C4E"/>
    <w:rsid w:val="00027750"/>
    <w:rsid w:val="000302F9"/>
    <w:rsid w:val="0003036C"/>
    <w:rsid w:val="000306A7"/>
    <w:rsid w:val="000315BE"/>
    <w:rsid w:val="00033197"/>
    <w:rsid w:val="00033284"/>
    <w:rsid w:val="000333DD"/>
    <w:rsid w:val="0003460A"/>
    <w:rsid w:val="00035087"/>
    <w:rsid w:val="00037D82"/>
    <w:rsid w:val="00040740"/>
    <w:rsid w:val="00040CBD"/>
    <w:rsid w:val="000418B8"/>
    <w:rsid w:val="00042233"/>
    <w:rsid w:val="00043256"/>
    <w:rsid w:val="000448BF"/>
    <w:rsid w:val="00044B1E"/>
    <w:rsid w:val="0004568F"/>
    <w:rsid w:val="00046131"/>
    <w:rsid w:val="00047539"/>
    <w:rsid w:val="0005025E"/>
    <w:rsid w:val="0005328F"/>
    <w:rsid w:val="000536E3"/>
    <w:rsid w:val="00054C75"/>
    <w:rsid w:val="00055316"/>
    <w:rsid w:val="0005580A"/>
    <w:rsid w:val="00055A5D"/>
    <w:rsid w:val="00056451"/>
    <w:rsid w:val="000564C0"/>
    <w:rsid w:val="00056620"/>
    <w:rsid w:val="000570F9"/>
    <w:rsid w:val="00057378"/>
    <w:rsid w:val="000573A8"/>
    <w:rsid w:val="00060822"/>
    <w:rsid w:val="00060A5B"/>
    <w:rsid w:val="00061981"/>
    <w:rsid w:val="000626A3"/>
    <w:rsid w:val="000633D0"/>
    <w:rsid w:val="00064036"/>
    <w:rsid w:val="0006435B"/>
    <w:rsid w:val="000660FB"/>
    <w:rsid w:val="000663C0"/>
    <w:rsid w:val="0006644D"/>
    <w:rsid w:val="00066A78"/>
    <w:rsid w:val="0007076E"/>
    <w:rsid w:val="00070922"/>
    <w:rsid w:val="0007233F"/>
    <w:rsid w:val="00072559"/>
    <w:rsid w:val="0007293F"/>
    <w:rsid w:val="000750AA"/>
    <w:rsid w:val="000754E2"/>
    <w:rsid w:val="0007638E"/>
    <w:rsid w:val="000765DB"/>
    <w:rsid w:val="00077107"/>
    <w:rsid w:val="0007732A"/>
    <w:rsid w:val="000775E0"/>
    <w:rsid w:val="00077E2A"/>
    <w:rsid w:val="00077E8E"/>
    <w:rsid w:val="00077FCD"/>
    <w:rsid w:val="00080AC1"/>
    <w:rsid w:val="000817BC"/>
    <w:rsid w:val="00081B00"/>
    <w:rsid w:val="000822F2"/>
    <w:rsid w:val="00083430"/>
    <w:rsid w:val="00083538"/>
    <w:rsid w:val="0008379D"/>
    <w:rsid w:val="000837A6"/>
    <w:rsid w:val="00085098"/>
    <w:rsid w:val="00085568"/>
    <w:rsid w:val="000859F7"/>
    <w:rsid w:val="000862B5"/>
    <w:rsid w:val="00086342"/>
    <w:rsid w:val="00086519"/>
    <w:rsid w:val="0008732F"/>
    <w:rsid w:val="00090F87"/>
    <w:rsid w:val="0009164C"/>
    <w:rsid w:val="000920D6"/>
    <w:rsid w:val="00092116"/>
    <w:rsid w:val="00092588"/>
    <w:rsid w:val="000926D5"/>
    <w:rsid w:val="000933A5"/>
    <w:rsid w:val="000944D6"/>
    <w:rsid w:val="00095E1B"/>
    <w:rsid w:val="000972CA"/>
    <w:rsid w:val="000973AC"/>
    <w:rsid w:val="000975F8"/>
    <w:rsid w:val="000977A5"/>
    <w:rsid w:val="00097AFC"/>
    <w:rsid w:val="000A09BC"/>
    <w:rsid w:val="000A0A92"/>
    <w:rsid w:val="000A1EE5"/>
    <w:rsid w:val="000A1F46"/>
    <w:rsid w:val="000A2B5B"/>
    <w:rsid w:val="000A3C66"/>
    <w:rsid w:val="000A57AE"/>
    <w:rsid w:val="000A5DA7"/>
    <w:rsid w:val="000A65A4"/>
    <w:rsid w:val="000A7386"/>
    <w:rsid w:val="000A769E"/>
    <w:rsid w:val="000A7ABD"/>
    <w:rsid w:val="000B0518"/>
    <w:rsid w:val="000B1776"/>
    <w:rsid w:val="000B418C"/>
    <w:rsid w:val="000B49A7"/>
    <w:rsid w:val="000B5477"/>
    <w:rsid w:val="000B7206"/>
    <w:rsid w:val="000B7276"/>
    <w:rsid w:val="000B76BD"/>
    <w:rsid w:val="000B779E"/>
    <w:rsid w:val="000B7B9D"/>
    <w:rsid w:val="000C0E3A"/>
    <w:rsid w:val="000C22D6"/>
    <w:rsid w:val="000C29D1"/>
    <w:rsid w:val="000C3BAE"/>
    <w:rsid w:val="000C4703"/>
    <w:rsid w:val="000C4E72"/>
    <w:rsid w:val="000C51D1"/>
    <w:rsid w:val="000C5D7B"/>
    <w:rsid w:val="000C5F48"/>
    <w:rsid w:val="000C61EB"/>
    <w:rsid w:val="000C6812"/>
    <w:rsid w:val="000C7056"/>
    <w:rsid w:val="000C7EC2"/>
    <w:rsid w:val="000D00A5"/>
    <w:rsid w:val="000D0630"/>
    <w:rsid w:val="000D1D5D"/>
    <w:rsid w:val="000D1DB7"/>
    <w:rsid w:val="000D3023"/>
    <w:rsid w:val="000D33E9"/>
    <w:rsid w:val="000D35B8"/>
    <w:rsid w:val="000D3D42"/>
    <w:rsid w:val="000D5D9A"/>
    <w:rsid w:val="000D720C"/>
    <w:rsid w:val="000E0129"/>
    <w:rsid w:val="000E0616"/>
    <w:rsid w:val="000E0660"/>
    <w:rsid w:val="000E07FD"/>
    <w:rsid w:val="000E0AB3"/>
    <w:rsid w:val="000E0BFD"/>
    <w:rsid w:val="000E1261"/>
    <w:rsid w:val="000E1965"/>
    <w:rsid w:val="000E232D"/>
    <w:rsid w:val="000E2995"/>
    <w:rsid w:val="000E31B6"/>
    <w:rsid w:val="000E338A"/>
    <w:rsid w:val="000E3A54"/>
    <w:rsid w:val="000E413C"/>
    <w:rsid w:val="000E44C4"/>
    <w:rsid w:val="000E4F78"/>
    <w:rsid w:val="000E53F4"/>
    <w:rsid w:val="000E5744"/>
    <w:rsid w:val="000E5B99"/>
    <w:rsid w:val="000E5DFF"/>
    <w:rsid w:val="000E6A74"/>
    <w:rsid w:val="000E77F2"/>
    <w:rsid w:val="000E7921"/>
    <w:rsid w:val="000E7DFD"/>
    <w:rsid w:val="000E7EBC"/>
    <w:rsid w:val="000F06DC"/>
    <w:rsid w:val="000F177F"/>
    <w:rsid w:val="000F3BBF"/>
    <w:rsid w:val="000F3F7C"/>
    <w:rsid w:val="000F4571"/>
    <w:rsid w:val="000F45F8"/>
    <w:rsid w:val="000F4EB3"/>
    <w:rsid w:val="000F5091"/>
    <w:rsid w:val="000F5097"/>
    <w:rsid w:val="000F5709"/>
    <w:rsid w:val="000F5F6B"/>
    <w:rsid w:val="0010033B"/>
    <w:rsid w:val="00100410"/>
    <w:rsid w:val="00100E52"/>
    <w:rsid w:val="001043B0"/>
    <w:rsid w:val="00104792"/>
    <w:rsid w:val="00104D48"/>
    <w:rsid w:val="00104ECC"/>
    <w:rsid w:val="001053E5"/>
    <w:rsid w:val="00105BE4"/>
    <w:rsid w:val="00106733"/>
    <w:rsid w:val="00107A33"/>
    <w:rsid w:val="00107F10"/>
    <w:rsid w:val="00107F8B"/>
    <w:rsid w:val="001115D1"/>
    <w:rsid w:val="00111D16"/>
    <w:rsid w:val="00111EE7"/>
    <w:rsid w:val="00112297"/>
    <w:rsid w:val="00112E5A"/>
    <w:rsid w:val="001135A5"/>
    <w:rsid w:val="00113CE9"/>
    <w:rsid w:val="00114DFA"/>
    <w:rsid w:val="00116023"/>
    <w:rsid w:val="00116FB0"/>
    <w:rsid w:val="00117289"/>
    <w:rsid w:val="00117AC4"/>
    <w:rsid w:val="00120B34"/>
    <w:rsid w:val="00120B4C"/>
    <w:rsid w:val="00121527"/>
    <w:rsid w:val="00121791"/>
    <w:rsid w:val="001222E1"/>
    <w:rsid w:val="0012235A"/>
    <w:rsid w:val="0012262E"/>
    <w:rsid w:val="00122701"/>
    <w:rsid w:val="0012301F"/>
    <w:rsid w:val="0012303F"/>
    <w:rsid w:val="001261AB"/>
    <w:rsid w:val="00126B52"/>
    <w:rsid w:val="00126FED"/>
    <w:rsid w:val="001274A0"/>
    <w:rsid w:val="00127514"/>
    <w:rsid w:val="001305DE"/>
    <w:rsid w:val="00130C60"/>
    <w:rsid w:val="00130D84"/>
    <w:rsid w:val="0013133C"/>
    <w:rsid w:val="00136B38"/>
    <w:rsid w:val="00140B8E"/>
    <w:rsid w:val="00140B96"/>
    <w:rsid w:val="001419FB"/>
    <w:rsid w:val="00144109"/>
    <w:rsid w:val="00144E1A"/>
    <w:rsid w:val="00145E09"/>
    <w:rsid w:val="00146418"/>
    <w:rsid w:val="001475D6"/>
    <w:rsid w:val="0015077D"/>
    <w:rsid w:val="00150DD5"/>
    <w:rsid w:val="00150E48"/>
    <w:rsid w:val="00151091"/>
    <w:rsid w:val="00153404"/>
    <w:rsid w:val="00153530"/>
    <w:rsid w:val="0015357D"/>
    <w:rsid w:val="00154BA3"/>
    <w:rsid w:val="00154EC6"/>
    <w:rsid w:val="00154FC3"/>
    <w:rsid w:val="001551AD"/>
    <w:rsid w:val="00155231"/>
    <w:rsid w:val="00155E50"/>
    <w:rsid w:val="001560FC"/>
    <w:rsid w:val="00156857"/>
    <w:rsid w:val="001572BC"/>
    <w:rsid w:val="00157F2A"/>
    <w:rsid w:val="001603A8"/>
    <w:rsid w:val="001603A9"/>
    <w:rsid w:val="00160F6F"/>
    <w:rsid w:val="001636A1"/>
    <w:rsid w:val="001645D4"/>
    <w:rsid w:val="00165A6D"/>
    <w:rsid w:val="00165D8B"/>
    <w:rsid w:val="00165F07"/>
    <w:rsid w:val="001669F2"/>
    <w:rsid w:val="00172BF7"/>
    <w:rsid w:val="00173923"/>
    <w:rsid w:val="00175FEC"/>
    <w:rsid w:val="00176B07"/>
    <w:rsid w:val="00176F7E"/>
    <w:rsid w:val="0017721E"/>
    <w:rsid w:val="00177860"/>
    <w:rsid w:val="00180208"/>
    <w:rsid w:val="001822EE"/>
    <w:rsid w:val="0018316C"/>
    <w:rsid w:val="00183464"/>
    <w:rsid w:val="001837BE"/>
    <w:rsid w:val="00184ABD"/>
    <w:rsid w:val="00185AF2"/>
    <w:rsid w:val="00186047"/>
    <w:rsid w:val="00187067"/>
    <w:rsid w:val="001878BC"/>
    <w:rsid w:val="00187DB4"/>
    <w:rsid w:val="0019079D"/>
    <w:rsid w:val="001918C6"/>
    <w:rsid w:val="00192972"/>
    <w:rsid w:val="00192A6C"/>
    <w:rsid w:val="00192EF9"/>
    <w:rsid w:val="00194248"/>
    <w:rsid w:val="00194DCC"/>
    <w:rsid w:val="0019562B"/>
    <w:rsid w:val="00195945"/>
    <w:rsid w:val="0019788E"/>
    <w:rsid w:val="00197D88"/>
    <w:rsid w:val="001A0E1B"/>
    <w:rsid w:val="001A0E6A"/>
    <w:rsid w:val="001A2161"/>
    <w:rsid w:val="001A21BC"/>
    <w:rsid w:val="001A3458"/>
    <w:rsid w:val="001A3760"/>
    <w:rsid w:val="001A4CB7"/>
    <w:rsid w:val="001A5107"/>
    <w:rsid w:val="001A5258"/>
    <w:rsid w:val="001A5844"/>
    <w:rsid w:val="001A65A0"/>
    <w:rsid w:val="001A66DA"/>
    <w:rsid w:val="001A6710"/>
    <w:rsid w:val="001A6D9E"/>
    <w:rsid w:val="001A6EA2"/>
    <w:rsid w:val="001A7891"/>
    <w:rsid w:val="001B0C71"/>
    <w:rsid w:val="001B1AE6"/>
    <w:rsid w:val="001B1B6A"/>
    <w:rsid w:val="001B3067"/>
    <w:rsid w:val="001B315F"/>
    <w:rsid w:val="001B36F8"/>
    <w:rsid w:val="001B38DB"/>
    <w:rsid w:val="001B4854"/>
    <w:rsid w:val="001B5507"/>
    <w:rsid w:val="001B5966"/>
    <w:rsid w:val="001B5D3E"/>
    <w:rsid w:val="001C09C4"/>
    <w:rsid w:val="001C12FE"/>
    <w:rsid w:val="001C1BD0"/>
    <w:rsid w:val="001C3873"/>
    <w:rsid w:val="001C515B"/>
    <w:rsid w:val="001C518E"/>
    <w:rsid w:val="001C53A6"/>
    <w:rsid w:val="001C5E4F"/>
    <w:rsid w:val="001C7016"/>
    <w:rsid w:val="001D0400"/>
    <w:rsid w:val="001D0C11"/>
    <w:rsid w:val="001D0FDC"/>
    <w:rsid w:val="001D107D"/>
    <w:rsid w:val="001D113E"/>
    <w:rsid w:val="001D1215"/>
    <w:rsid w:val="001D16DE"/>
    <w:rsid w:val="001D2265"/>
    <w:rsid w:val="001D22E4"/>
    <w:rsid w:val="001D2FE4"/>
    <w:rsid w:val="001D3B3F"/>
    <w:rsid w:val="001D3C2D"/>
    <w:rsid w:val="001D413B"/>
    <w:rsid w:val="001D4346"/>
    <w:rsid w:val="001D4A42"/>
    <w:rsid w:val="001D5734"/>
    <w:rsid w:val="001D578D"/>
    <w:rsid w:val="001D595D"/>
    <w:rsid w:val="001D6B4B"/>
    <w:rsid w:val="001D73C3"/>
    <w:rsid w:val="001D752D"/>
    <w:rsid w:val="001D7A7B"/>
    <w:rsid w:val="001D7EEB"/>
    <w:rsid w:val="001E0642"/>
    <w:rsid w:val="001E1107"/>
    <w:rsid w:val="001E1118"/>
    <w:rsid w:val="001E2620"/>
    <w:rsid w:val="001E2956"/>
    <w:rsid w:val="001E3721"/>
    <w:rsid w:val="001E4282"/>
    <w:rsid w:val="001E4A32"/>
    <w:rsid w:val="001E54A2"/>
    <w:rsid w:val="001E5788"/>
    <w:rsid w:val="001E5AE3"/>
    <w:rsid w:val="001E6357"/>
    <w:rsid w:val="001E745B"/>
    <w:rsid w:val="001F0248"/>
    <w:rsid w:val="001F02CB"/>
    <w:rsid w:val="001F0504"/>
    <w:rsid w:val="001F1138"/>
    <w:rsid w:val="001F145D"/>
    <w:rsid w:val="001F307B"/>
    <w:rsid w:val="001F4100"/>
    <w:rsid w:val="001F4ABB"/>
    <w:rsid w:val="001F5050"/>
    <w:rsid w:val="001F5231"/>
    <w:rsid w:val="001F6AA0"/>
    <w:rsid w:val="002001EB"/>
    <w:rsid w:val="00200A4C"/>
    <w:rsid w:val="00200AAC"/>
    <w:rsid w:val="002014E7"/>
    <w:rsid w:val="00201778"/>
    <w:rsid w:val="00201B1C"/>
    <w:rsid w:val="00203ADF"/>
    <w:rsid w:val="00203CB1"/>
    <w:rsid w:val="00204631"/>
    <w:rsid w:val="00204B0A"/>
    <w:rsid w:val="00204BF3"/>
    <w:rsid w:val="00205977"/>
    <w:rsid w:val="002067B0"/>
    <w:rsid w:val="00206E8C"/>
    <w:rsid w:val="00210848"/>
    <w:rsid w:val="00210A75"/>
    <w:rsid w:val="002115EE"/>
    <w:rsid w:val="002117F9"/>
    <w:rsid w:val="0021397D"/>
    <w:rsid w:val="002142A7"/>
    <w:rsid w:val="00215319"/>
    <w:rsid w:val="00215488"/>
    <w:rsid w:val="00216C7D"/>
    <w:rsid w:val="00216EE1"/>
    <w:rsid w:val="00217A7A"/>
    <w:rsid w:val="0022070B"/>
    <w:rsid w:val="00222B72"/>
    <w:rsid w:val="00223B8A"/>
    <w:rsid w:val="00223F1C"/>
    <w:rsid w:val="00224B7D"/>
    <w:rsid w:val="002251B8"/>
    <w:rsid w:val="00225E52"/>
    <w:rsid w:val="002261A2"/>
    <w:rsid w:val="00232331"/>
    <w:rsid w:val="0023334E"/>
    <w:rsid w:val="00233F3D"/>
    <w:rsid w:val="00234517"/>
    <w:rsid w:val="00234EC4"/>
    <w:rsid w:val="00235027"/>
    <w:rsid w:val="00235A72"/>
    <w:rsid w:val="00237B4C"/>
    <w:rsid w:val="00237D5A"/>
    <w:rsid w:val="002407C7"/>
    <w:rsid w:val="002412D0"/>
    <w:rsid w:val="00241330"/>
    <w:rsid w:val="002413DE"/>
    <w:rsid w:val="00242D6A"/>
    <w:rsid w:val="002438A8"/>
    <w:rsid w:val="00243F87"/>
    <w:rsid w:val="00244037"/>
    <w:rsid w:val="002442F4"/>
    <w:rsid w:val="00244363"/>
    <w:rsid w:val="00245173"/>
    <w:rsid w:val="00245456"/>
    <w:rsid w:val="00246832"/>
    <w:rsid w:val="00246923"/>
    <w:rsid w:val="00246CD4"/>
    <w:rsid w:val="00247831"/>
    <w:rsid w:val="00247B3E"/>
    <w:rsid w:val="00250F98"/>
    <w:rsid w:val="002517E5"/>
    <w:rsid w:val="0025180B"/>
    <w:rsid w:val="00253C55"/>
    <w:rsid w:val="00254137"/>
    <w:rsid w:val="002541AF"/>
    <w:rsid w:val="002545FF"/>
    <w:rsid w:val="00254A4B"/>
    <w:rsid w:val="00254DC7"/>
    <w:rsid w:val="00255452"/>
    <w:rsid w:val="00255579"/>
    <w:rsid w:val="0025563F"/>
    <w:rsid w:val="0025635F"/>
    <w:rsid w:val="00257270"/>
    <w:rsid w:val="0026006F"/>
    <w:rsid w:val="00260177"/>
    <w:rsid w:val="002604D4"/>
    <w:rsid w:val="0026140D"/>
    <w:rsid w:val="00261DFF"/>
    <w:rsid w:val="002622DA"/>
    <w:rsid w:val="00262536"/>
    <w:rsid w:val="0026271E"/>
    <w:rsid w:val="00263306"/>
    <w:rsid w:val="00263866"/>
    <w:rsid w:val="002638E4"/>
    <w:rsid w:val="00263924"/>
    <w:rsid w:val="00264B57"/>
    <w:rsid w:val="00264C50"/>
    <w:rsid w:val="00264F52"/>
    <w:rsid w:val="00265096"/>
    <w:rsid w:val="002653A2"/>
    <w:rsid w:val="00266132"/>
    <w:rsid w:val="00267454"/>
    <w:rsid w:val="00267CA0"/>
    <w:rsid w:val="00267CF3"/>
    <w:rsid w:val="002705BD"/>
    <w:rsid w:val="00270AE0"/>
    <w:rsid w:val="00270B5F"/>
    <w:rsid w:val="00270E2B"/>
    <w:rsid w:val="00270E68"/>
    <w:rsid w:val="002719F3"/>
    <w:rsid w:val="002720C3"/>
    <w:rsid w:val="00272E18"/>
    <w:rsid w:val="002740DF"/>
    <w:rsid w:val="00274337"/>
    <w:rsid w:val="002757CC"/>
    <w:rsid w:val="00275D45"/>
    <w:rsid w:val="00277063"/>
    <w:rsid w:val="0027727F"/>
    <w:rsid w:val="002775CA"/>
    <w:rsid w:val="00280182"/>
    <w:rsid w:val="00280E1C"/>
    <w:rsid w:val="0028206A"/>
    <w:rsid w:val="002828A7"/>
    <w:rsid w:val="00282A66"/>
    <w:rsid w:val="00283E59"/>
    <w:rsid w:val="00284490"/>
    <w:rsid w:val="00284544"/>
    <w:rsid w:val="00284651"/>
    <w:rsid w:val="002847DB"/>
    <w:rsid w:val="00284A39"/>
    <w:rsid w:val="002852D2"/>
    <w:rsid w:val="0028559B"/>
    <w:rsid w:val="0028620C"/>
    <w:rsid w:val="0028693B"/>
    <w:rsid w:val="00286FC4"/>
    <w:rsid w:val="002871C1"/>
    <w:rsid w:val="0028798B"/>
    <w:rsid w:val="00287FE8"/>
    <w:rsid w:val="002906CF"/>
    <w:rsid w:val="002909FF"/>
    <w:rsid w:val="00292018"/>
    <w:rsid w:val="002925F7"/>
    <w:rsid w:val="00292F04"/>
    <w:rsid w:val="00293063"/>
    <w:rsid w:val="0029324A"/>
    <w:rsid w:val="002939DB"/>
    <w:rsid w:val="00293B56"/>
    <w:rsid w:val="00293F94"/>
    <w:rsid w:val="0029485A"/>
    <w:rsid w:val="00295637"/>
    <w:rsid w:val="00296839"/>
    <w:rsid w:val="002972F5"/>
    <w:rsid w:val="002A009C"/>
    <w:rsid w:val="002A0928"/>
    <w:rsid w:val="002A0B68"/>
    <w:rsid w:val="002A13A6"/>
    <w:rsid w:val="002A218F"/>
    <w:rsid w:val="002A2216"/>
    <w:rsid w:val="002A41C8"/>
    <w:rsid w:val="002A5A24"/>
    <w:rsid w:val="002A6454"/>
    <w:rsid w:val="002A6D7C"/>
    <w:rsid w:val="002A72FE"/>
    <w:rsid w:val="002A7744"/>
    <w:rsid w:val="002A775D"/>
    <w:rsid w:val="002A7CC0"/>
    <w:rsid w:val="002A7D45"/>
    <w:rsid w:val="002A7F84"/>
    <w:rsid w:val="002B0487"/>
    <w:rsid w:val="002B1D61"/>
    <w:rsid w:val="002B2D13"/>
    <w:rsid w:val="002B2ED7"/>
    <w:rsid w:val="002B3159"/>
    <w:rsid w:val="002B509F"/>
    <w:rsid w:val="002B73DF"/>
    <w:rsid w:val="002C03BC"/>
    <w:rsid w:val="002C20DF"/>
    <w:rsid w:val="002C2BFB"/>
    <w:rsid w:val="002C2E81"/>
    <w:rsid w:val="002C3054"/>
    <w:rsid w:val="002C338D"/>
    <w:rsid w:val="002C3B22"/>
    <w:rsid w:val="002C4797"/>
    <w:rsid w:val="002C483C"/>
    <w:rsid w:val="002C5D6A"/>
    <w:rsid w:val="002C602D"/>
    <w:rsid w:val="002C6897"/>
    <w:rsid w:val="002C6AE8"/>
    <w:rsid w:val="002C6FB2"/>
    <w:rsid w:val="002C77E9"/>
    <w:rsid w:val="002D00BD"/>
    <w:rsid w:val="002D179C"/>
    <w:rsid w:val="002D1AB4"/>
    <w:rsid w:val="002D2934"/>
    <w:rsid w:val="002D32AD"/>
    <w:rsid w:val="002D48C7"/>
    <w:rsid w:val="002D4B42"/>
    <w:rsid w:val="002D5184"/>
    <w:rsid w:val="002D5865"/>
    <w:rsid w:val="002D62AD"/>
    <w:rsid w:val="002E0E16"/>
    <w:rsid w:val="002E12B5"/>
    <w:rsid w:val="002E1D70"/>
    <w:rsid w:val="002E2173"/>
    <w:rsid w:val="002E2638"/>
    <w:rsid w:val="002E29ED"/>
    <w:rsid w:val="002E36F5"/>
    <w:rsid w:val="002E44A1"/>
    <w:rsid w:val="002E5C51"/>
    <w:rsid w:val="002E62BE"/>
    <w:rsid w:val="002E65E5"/>
    <w:rsid w:val="002E69AF"/>
    <w:rsid w:val="002E79E4"/>
    <w:rsid w:val="002F1139"/>
    <w:rsid w:val="002F1218"/>
    <w:rsid w:val="002F1D1F"/>
    <w:rsid w:val="002F1EDB"/>
    <w:rsid w:val="002F20EB"/>
    <w:rsid w:val="002F2592"/>
    <w:rsid w:val="002F27E1"/>
    <w:rsid w:val="002F2ACE"/>
    <w:rsid w:val="002F4C62"/>
    <w:rsid w:val="002F6559"/>
    <w:rsid w:val="002F68C4"/>
    <w:rsid w:val="002F7430"/>
    <w:rsid w:val="002F794F"/>
    <w:rsid w:val="002F7D85"/>
    <w:rsid w:val="003007F6"/>
    <w:rsid w:val="00300B59"/>
    <w:rsid w:val="00300DA9"/>
    <w:rsid w:val="00300E20"/>
    <w:rsid w:val="0030116E"/>
    <w:rsid w:val="003011A5"/>
    <w:rsid w:val="00301592"/>
    <w:rsid w:val="0030202B"/>
    <w:rsid w:val="0030239E"/>
    <w:rsid w:val="003031F3"/>
    <w:rsid w:val="00303609"/>
    <w:rsid w:val="003039A0"/>
    <w:rsid w:val="00304302"/>
    <w:rsid w:val="00304C87"/>
    <w:rsid w:val="003050C3"/>
    <w:rsid w:val="00306CFC"/>
    <w:rsid w:val="003076AD"/>
    <w:rsid w:val="00307753"/>
    <w:rsid w:val="00310062"/>
    <w:rsid w:val="0031092E"/>
    <w:rsid w:val="00311259"/>
    <w:rsid w:val="00311F02"/>
    <w:rsid w:val="00312C49"/>
    <w:rsid w:val="0031363D"/>
    <w:rsid w:val="00313C75"/>
    <w:rsid w:val="003157B8"/>
    <w:rsid w:val="00315DF4"/>
    <w:rsid w:val="00316A25"/>
    <w:rsid w:val="003177B0"/>
    <w:rsid w:val="0032060D"/>
    <w:rsid w:val="00320D7C"/>
    <w:rsid w:val="00322A90"/>
    <w:rsid w:val="00322D73"/>
    <w:rsid w:val="003254BF"/>
    <w:rsid w:val="00325E2A"/>
    <w:rsid w:val="003262BF"/>
    <w:rsid w:val="003263C6"/>
    <w:rsid w:val="00327162"/>
    <w:rsid w:val="003272D2"/>
    <w:rsid w:val="0033074A"/>
    <w:rsid w:val="00330BAD"/>
    <w:rsid w:val="00330E78"/>
    <w:rsid w:val="0033244F"/>
    <w:rsid w:val="0033253D"/>
    <w:rsid w:val="003325D4"/>
    <w:rsid w:val="0033275F"/>
    <w:rsid w:val="00332D0D"/>
    <w:rsid w:val="00332F50"/>
    <w:rsid w:val="0033443A"/>
    <w:rsid w:val="003348C3"/>
    <w:rsid w:val="00335BDC"/>
    <w:rsid w:val="00335D54"/>
    <w:rsid w:val="00336505"/>
    <w:rsid w:val="00337751"/>
    <w:rsid w:val="00340F3E"/>
    <w:rsid w:val="003410A5"/>
    <w:rsid w:val="00341B3F"/>
    <w:rsid w:val="00341D3A"/>
    <w:rsid w:val="00341F52"/>
    <w:rsid w:val="003422A5"/>
    <w:rsid w:val="003429CF"/>
    <w:rsid w:val="00342BE1"/>
    <w:rsid w:val="0034317A"/>
    <w:rsid w:val="0034330F"/>
    <w:rsid w:val="0034358C"/>
    <w:rsid w:val="00343D22"/>
    <w:rsid w:val="0034438B"/>
    <w:rsid w:val="00344571"/>
    <w:rsid w:val="00344A43"/>
    <w:rsid w:val="00344D00"/>
    <w:rsid w:val="00344DB1"/>
    <w:rsid w:val="00345955"/>
    <w:rsid w:val="003459CD"/>
    <w:rsid w:val="00346C1D"/>
    <w:rsid w:val="00347136"/>
    <w:rsid w:val="00350388"/>
    <w:rsid w:val="00350693"/>
    <w:rsid w:val="00350FCB"/>
    <w:rsid w:val="00351808"/>
    <w:rsid w:val="003519BC"/>
    <w:rsid w:val="00351C84"/>
    <w:rsid w:val="00353120"/>
    <w:rsid w:val="00353785"/>
    <w:rsid w:val="00354515"/>
    <w:rsid w:val="00354A93"/>
    <w:rsid w:val="00354B9D"/>
    <w:rsid w:val="00357642"/>
    <w:rsid w:val="00357FA2"/>
    <w:rsid w:val="00357FDB"/>
    <w:rsid w:val="00360733"/>
    <w:rsid w:val="003608CE"/>
    <w:rsid w:val="0036154E"/>
    <w:rsid w:val="0036223F"/>
    <w:rsid w:val="00362A64"/>
    <w:rsid w:val="00362DF8"/>
    <w:rsid w:val="00363D75"/>
    <w:rsid w:val="00365382"/>
    <w:rsid w:val="00366115"/>
    <w:rsid w:val="00367854"/>
    <w:rsid w:val="00370C38"/>
    <w:rsid w:val="00371041"/>
    <w:rsid w:val="00371452"/>
    <w:rsid w:val="00372D4B"/>
    <w:rsid w:val="00373091"/>
    <w:rsid w:val="003735AA"/>
    <w:rsid w:val="00373BD9"/>
    <w:rsid w:val="003741E8"/>
    <w:rsid w:val="00374B3A"/>
    <w:rsid w:val="00374C2D"/>
    <w:rsid w:val="00374CD0"/>
    <w:rsid w:val="00374E7C"/>
    <w:rsid w:val="00374F6C"/>
    <w:rsid w:val="003757FE"/>
    <w:rsid w:val="00375C62"/>
    <w:rsid w:val="003763B6"/>
    <w:rsid w:val="00377282"/>
    <w:rsid w:val="00382BA2"/>
    <w:rsid w:val="00382C7D"/>
    <w:rsid w:val="00383014"/>
    <w:rsid w:val="003843EE"/>
    <w:rsid w:val="00384C45"/>
    <w:rsid w:val="0038553D"/>
    <w:rsid w:val="0038589E"/>
    <w:rsid w:val="00385E17"/>
    <w:rsid w:val="00386939"/>
    <w:rsid w:val="00387C57"/>
    <w:rsid w:val="00390574"/>
    <w:rsid w:val="0039093C"/>
    <w:rsid w:val="003912D5"/>
    <w:rsid w:val="0039183F"/>
    <w:rsid w:val="0039272A"/>
    <w:rsid w:val="00393107"/>
    <w:rsid w:val="00393572"/>
    <w:rsid w:val="0039386C"/>
    <w:rsid w:val="00393B42"/>
    <w:rsid w:val="00393D5E"/>
    <w:rsid w:val="00394AC4"/>
    <w:rsid w:val="00394DED"/>
    <w:rsid w:val="00395FA5"/>
    <w:rsid w:val="00396C74"/>
    <w:rsid w:val="00397034"/>
    <w:rsid w:val="003A02D0"/>
    <w:rsid w:val="003A04AF"/>
    <w:rsid w:val="003A057F"/>
    <w:rsid w:val="003A12F0"/>
    <w:rsid w:val="003A22B6"/>
    <w:rsid w:val="003A22C8"/>
    <w:rsid w:val="003A262E"/>
    <w:rsid w:val="003A2990"/>
    <w:rsid w:val="003A3F38"/>
    <w:rsid w:val="003A3FE0"/>
    <w:rsid w:val="003A4614"/>
    <w:rsid w:val="003A4786"/>
    <w:rsid w:val="003A51BB"/>
    <w:rsid w:val="003A55C3"/>
    <w:rsid w:val="003A6EB2"/>
    <w:rsid w:val="003A7613"/>
    <w:rsid w:val="003A79DB"/>
    <w:rsid w:val="003B02A6"/>
    <w:rsid w:val="003B1D6C"/>
    <w:rsid w:val="003B246E"/>
    <w:rsid w:val="003B2813"/>
    <w:rsid w:val="003B35A9"/>
    <w:rsid w:val="003B3BE5"/>
    <w:rsid w:val="003B4866"/>
    <w:rsid w:val="003B6C84"/>
    <w:rsid w:val="003B6E5A"/>
    <w:rsid w:val="003C0E2B"/>
    <w:rsid w:val="003C1E2A"/>
    <w:rsid w:val="003C29A5"/>
    <w:rsid w:val="003C2E0B"/>
    <w:rsid w:val="003C2F77"/>
    <w:rsid w:val="003C4AC2"/>
    <w:rsid w:val="003C55BE"/>
    <w:rsid w:val="003C57F0"/>
    <w:rsid w:val="003C5E79"/>
    <w:rsid w:val="003C6716"/>
    <w:rsid w:val="003C69A1"/>
    <w:rsid w:val="003C7058"/>
    <w:rsid w:val="003C7300"/>
    <w:rsid w:val="003C788D"/>
    <w:rsid w:val="003C7A19"/>
    <w:rsid w:val="003C7BF7"/>
    <w:rsid w:val="003C7D86"/>
    <w:rsid w:val="003D02B3"/>
    <w:rsid w:val="003D0D92"/>
    <w:rsid w:val="003D16BC"/>
    <w:rsid w:val="003D45E7"/>
    <w:rsid w:val="003D4C23"/>
    <w:rsid w:val="003D5E6B"/>
    <w:rsid w:val="003D6066"/>
    <w:rsid w:val="003D6BCA"/>
    <w:rsid w:val="003D6BFE"/>
    <w:rsid w:val="003D7429"/>
    <w:rsid w:val="003D7557"/>
    <w:rsid w:val="003D7A5C"/>
    <w:rsid w:val="003E0F10"/>
    <w:rsid w:val="003E0F16"/>
    <w:rsid w:val="003E0F79"/>
    <w:rsid w:val="003E1B24"/>
    <w:rsid w:val="003E255A"/>
    <w:rsid w:val="003E2C31"/>
    <w:rsid w:val="003E324D"/>
    <w:rsid w:val="003E42CE"/>
    <w:rsid w:val="003E443D"/>
    <w:rsid w:val="003E49F5"/>
    <w:rsid w:val="003E4F7E"/>
    <w:rsid w:val="003E519C"/>
    <w:rsid w:val="003E55ED"/>
    <w:rsid w:val="003E6103"/>
    <w:rsid w:val="003E6BB8"/>
    <w:rsid w:val="003E6BC0"/>
    <w:rsid w:val="003E7758"/>
    <w:rsid w:val="003F0346"/>
    <w:rsid w:val="003F0AAF"/>
    <w:rsid w:val="003F1A15"/>
    <w:rsid w:val="003F250C"/>
    <w:rsid w:val="003F2EB9"/>
    <w:rsid w:val="003F3D7B"/>
    <w:rsid w:val="003F455E"/>
    <w:rsid w:val="003F5130"/>
    <w:rsid w:val="003F5736"/>
    <w:rsid w:val="003F6EBE"/>
    <w:rsid w:val="003F7237"/>
    <w:rsid w:val="003F7528"/>
    <w:rsid w:val="0040011E"/>
    <w:rsid w:val="00400A28"/>
    <w:rsid w:val="004011C5"/>
    <w:rsid w:val="00401445"/>
    <w:rsid w:val="0040146E"/>
    <w:rsid w:val="00401478"/>
    <w:rsid w:val="00402DD2"/>
    <w:rsid w:val="0040336A"/>
    <w:rsid w:val="00403791"/>
    <w:rsid w:val="00404600"/>
    <w:rsid w:val="00407165"/>
    <w:rsid w:val="004106F9"/>
    <w:rsid w:val="0041080B"/>
    <w:rsid w:val="00411395"/>
    <w:rsid w:val="0041206A"/>
    <w:rsid w:val="00413D20"/>
    <w:rsid w:val="00413DAF"/>
    <w:rsid w:val="00414BA1"/>
    <w:rsid w:val="00415BCA"/>
    <w:rsid w:val="0041606F"/>
    <w:rsid w:val="00416326"/>
    <w:rsid w:val="00416965"/>
    <w:rsid w:val="00417328"/>
    <w:rsid w:val="00417B24"/>
    <w:rsid w:val="00420A73"/>
    <w:rsid w:val="00420C54"/>
    <w:rsid w:val="00420C5D"/>
    <w:rsid w:val="0042111D"/>
    <w:rsid w:val="004212F2"/>
    <w:rsid w:val="0042131F"/>
    <w:rsid w:val="004220AC"/>
    <w:rsid w:val="004229A9"/>
    <w:rsid w:val="00422DC4"/>
    <w:rsid w:val="00423803"/>
    <w:rsid w:val="00423B94"/>
    <w:rsid w:val="00423DC6"/>
    <w:rsid w:val="00423EA6"/>
    <w:rsid w:val="004250B4"/>
    <w:rsid w:val="0042595B"/>
    <w:rsid w:val="00427BC8"/>
    <w:rsid w:val="00430110"/>
    <w:rsid w:val="0043023A"/>
    <w:rsid w:val="004309C3"/>
    <w:rsid w:val="00431CA0"/>
    <w:rsid w:val="0043230D"/>
    <w:rsid w:val="0043266F"/>
    <w:rsid w:val="0043274E"/>
    <w:rsid w:val="00434D0F"/>
    <w:rsid w:val="004352FF"/>
    <w:rsid w:val="004355B0"/>
    <w:rsid w:val="004357BE"/>
    <w:rsid w:val="00435E4E"/>
    <w:rsid w:val="00435FAA"/>
    <w:rsid w:val="0043695B"/>
    <w:rsid w:val="004434C2"/>
    <w:rsid w:val="00443A01"/>
    <w:rsid w:val="004444DD"/>
    <w:rsid w:val="004451CA"/>
    <w:rsid w:val="004452C0"/>
    <w:rsid w:val="0044544B"/>
    <w:rsid w:val="00445D0F"/>
    <w:rsid w:val="004469F4"/>
    <w:rsid w:val="00447C4A"/>
    <w:rsid w:val="004502CD"/>
    <w:rsid w:val="004506E6"/>
    <w:rsid w:val="00450852"/>
    <w:rsid w:val="00450B79"/>
    <w:rsid w:val="004516AD"/>
    <w:rsid w:val="00451987"/>
    <w:rsid w:val="00451D45"/>
    <w:rsid w:val="00454D1E"/>
    <w:rsid w:val="0045522D"/>
    <w:rsid w:val="00455E0E"/>
    <w:rsid w:val="00456977"/>
    <w:rsid w:val="00456E9F"/>
    <w:rsid w:val="0045758D"/>
    <w:rsid w:val="0046009E"/>
    <w:rsid w:val="00460414"/>
    <w:rsid w:val="00460D5D"/>
    <w:rsid w:val="00460D8E"/>
    <w:rsid w:val="00462A68"/>
    <w:rsid w:val="00463303"/>
    <w:rsid w:val="00464CE7"/>
    <w:rsid w:val="004666B3"/>
    <w:rsid w:val="00466DBA"/>
    <w:rsid w:val="00470473"/>
    <w:rsid w:val="00471FBC"/>
    <w:rsid w:val="00472D83"/>
    <w:rsid w:val="00473109"/>
    <w:rsid w:val="00473909"/>
    <w:rsid w:val="00475E66"/>
    <w:rsid w:val="004763E1"/>
    <w:rsid w:val="00476CFC"/>
    <w:rsid w:val="0047780E"/>
    <w:rsid w:val="0047798D"/>
    <w:rsid w:val="0048066D"/>
    <w:rsid w:val="004810D4"/>
    <w:rsid w:val="0048334D"/>
    <w:rsid w:val="0048363F"/>
    <w:rsid w:val="00483847"/>
    <w:rsid w:val="0048541C"/>
    <w:rsid w:val="00485F17"/>
    <w:rsid w:val="004864FB"/>
    <w:rsid w:val="00487243"/>
    <w:rsid w:val="0048751B"/>
    <w:rsid w:val="00487723"/>
    <w:rsid w:val="004907B6"/>
    <w:rsid w:val="00491037"/>
    <w:rsid w:val="004933C7"/>
    <w:rsid w:val="00493459"/>
    <w:rsid w:val="004935B5"/>
    <w:rsid w:val="00494E75"/>
    <w:rsid w:val="00495C48"/>
    <w:rsid w:val="00496A30"/>
    <w:rsid w:val="004973C1"/>
    <w:rsid w:val="00497B61"/>
    <w:rsid w:val="004A02C0"/>
    <w:rsid w:val="004A0B4B"/>
    <w:rsid w:val="004A150F"/>
    <w:rsid w:val="004A1701"/>
    <w:rsid w:val="004A2667"/>
    <w:rsid w:val="004A29F9"/>
    <w:rsid w:val="004A3D1B"/>
    <w:rsid w:val="004A40EF"/>
    <w:rsid w:val="004A57B6"/>
    <w:rsid w:val="004A5CEC"/>
    <w:rsid w:val="004A67D4"/>
    <w:rsid w:val="004A6B84"/>
    <w:rsid w:val="004A700D"/>
    <w:rsid w:val="004A7B0F"/>
    <w:rsid w:val="004A7BBB"/>
    <w:rsid w:val="004B0585"/>
    <w:rsid w:val="004B2250"/>
    <w:rsid w:val="004B39C4"/>
    <w:rsid w:val="004B3AA9"/>
    <w:rsid w:val="004B5EBB"/>
    <w:rsid w:val="004B60EC"/>
    <w:rsid w:val="004B65E8"/>
    <w:rsid w:val="004B7E3F"/>
    <w:rsid w:val="004C0EDD"/>
    <w:rsid w:val="004C1A50"/>
    <w:rsid w:val="004C1C72"/>
    <w:rsid w:val="004C1E15"/>
    <w:rsid w:val="004C235D"/>
    <w:rsid w:val="004C2556"/>
    <w:rsid w:val="004C2F88"/>
    <w:rsid w:val="004C46D5"/>
    <w:rsid w:val="004C494A"/>
    <w:rsid w:val="004C4FBE"/>
    <w:rsid w:val="004C52D9"/>
    <w:rsid w:val="004C53D9"/>
    <w:rsid w:val="004C557B"/>
    <w:rsid w:val="004C610F"/>
    <w:rsid w:val="004C62D6"/>
    <w:rsid w:val="004C7F3A"/>
    <w:rsid w:val="004D04D9"/>
    <w:rsid w:val="004D052F"/>
    <w:rsid w:val="004D1951"/>
    <w:rsid w:val="004D19C6"/>
    <w:rsid w:val="004D2593"/>
    <w:rsid w:val="004D26F8"/>
    <w:rsid w:val="004D2FB2"/>
    <w:rsid w:val="004D32DA"/>
    <w:rsid w:val="004D44CA"/>
    <w:rsid w:val="004D5486"/>
    <w:rsid w:val="004D607A"/>
    <w:rsid w:val="004D6C7F"/>
    <w:rsid w:val="004D6E27"/>
    <w:rsid w:val="004D74E7"/>
    <w:rsid w:val="004D7AA1"/>
    <w:rsid w:val="004E00F6"/>
    <w:rsid w:val="004E399B"/>
    <w:rsid w:val="004E3F37"/>
    <w:rsid w:val="004E41DB"/>
    <w:rsid w:val="004E4E38"/>
    <w:rsid w:val="004E5668"/>
    <w:rsid w:val="004E60E7"/>
    <w:rsid w:val="004E6D3E"/>
    <w:rsid w:val="004E7BFD"/>
    <w:rsid w:val="004F0010"/>
    <w:rsid w:val="004F023A"/>
    <w:rsid w:val="004F1764"/>
    <w:rsid w:val="004F1AF9"/>
    <w:rsid w:val="004F1C80"/>
    <w:rsid w:val="004F2414"/>
    <w:rsid w:val="004F257E"/>
    <w:rsid w:val="004F2A0B"/>
    <w:rsid w:val="004F2B6A"/>
    <w:rsid w:val="004F40F1"/>
    <w:rsid w:val="004F48C4"/>
    <w:rsid w:val="004F4A99"/>
    <w:rsid w:val="004F5686"/>
    <w:rsid w:val="004F5F17"/>
    <w:rsid w:val="004F6428"/>
    <w:rsid w:val="004F685C"/>
    <w:rsid w:val="004F6906"/>
    <w:rsid w:val="004F6DA0"/>
    <w:rsid w:val="004F7479"/>
    <w:rsid w:val="004F77DC"/>
    <w:rsid w:val="00500510"/>
    <w:rsid w:val="0050059F"/>
    <w:rsid w:val="00500F10"/>
    <w:rsid w:val="005018DB"/>
    <w:rsid w:val="00501FA8"/>
    <w:rsid w:val="0050242C"/>
    <w:rsid w:val="005036A4"/>
    <w:rsid w:val="00503AA7"/>
    <w:rsid w:val="00506001"/>
    <w:rsid w:val="00506470"/>
    <w:rsid w:val="0050778D"/>
    <w:rsid w:val="00507F18"/>
    <w:rsid w:val="0051047B"/>
    <w:rsid w:val="00511040"/>
    <w:rsid w:val="005122D2"/>
    <w:rsid w:val="00512BF4"/>
    <w:rsid w:val="00513335"/>
    <w:rsid w:val="005139A2"/>
    <w:rsid w:val="00514EA2"/>
    <w:rsid w:val="00514F30"/>
    <w:rsid w:val="00515222"/>
    <w:rsid w:val="005156E2"/>
    <w:rsid w:val="00515703"/>
    <w:rsid w:val="005159D6"/>
    <w:rsid w:val="00516ED6"/>
    <w:rsid w:val="005173CD"/>
    <w:rsid w:val="005200F0"/>
    <w:rsid w:val="00520414"/>
    <w:rsid w:val="00520748"/>
    <w:rsid w:val="00520FF5"/>
    <w:rsid w:val="0052121D"/>
    <w:rsid w:val="00521825"/>
    <w:rsid w:val="005220AF"/>
    <w:rsid w:val="00522264"/>
    <w:rsid w:val="00522CBF"/>
    <w:rsid w:val="00523274"/>
    <w:rsid w:val="00523399"/>
    <w:rsid w:val="005239B5"/>
    <w:rsid w:val="00523CC5"/>
    <w:rsid w:val="005244BC"/>
    <w:rsid w:val="00524B63"/>
    <w:rsid w:val="00525A77"/>
    <w:rsid w:val="00526774"/>
    <w:rsid w:val="0052748F"/>
    <w:rsid w:val="00527BE5"/>
    <w:rsid w:val="00530C9B"/>
    <w:rsid w:val="00530E16"/>
    <w:rsid w:val="005314E5"/>
    <w:rsid w:val="00531F28"/>
    <w:rsid w:val="00534337"/>
    <w:rsid w:val="00534A96"/>
    <w:rsid w:val="005353C6"/>
    <w:rsid w:val="0053613B"/>
    <w:rsid w:val="0053789D"/>
    <w:rsid w:val="00537A17"/>
    <w:rsid w:val="00537C09"/>
    <w:rsid w:val="00540898"/>
    <w:rsid w:val="00541A8C"/>
    <w:rsid w:val="00541C27"/>
    <w:rsid w:val="005421AD"/>
    <w:rsid w:val="00542F88"/>
    <w:rsid w:val="00543C43"/>
    <w:rsid w:val="00544F36"/>
    <w:rsid w:val="00545595"/>
    <w:rsid w:val="00545684"/>
    <w:rsid w:val="00546C98"/>
    <w:rsid w:val="00547D83"/>
    <w:rsid w:val="0055045C"/>
    <w:rsid w:val="00550C07"/>
    <w:rsid w:val="00552019"/>
    <w:rsid w:val="0055271D"/>
    <w:rsid w:val="005534D6"/>
    <w:rsid w:val="005538AA"/>
    <w:rsid w:val="005538B9"/>
    <w:rsid w:val="00553C41"/>
    <w:rsid w:val="00553FB7"/>
    <w:rsid w:val="00554F7B"/>
    <w:rsid w:val="005553AD"/>
    <w:rsid w:val="00555874"/>
    <w:rsid w:val="00557153"/>
    <w:rsid w:val="00557F3C"/>
    <w:rsid w:val="00560070"/>
    <w:rsid w:val="0056084B"/>
    <w:rsid w:val="0056122F"/>
    <w:rsid w:val="005613AC"/>
    <w:rsid w:val="00561465"/>
    <w:rsid w:val="0056222D"/>
    <w:rsid w:val="00562385"/>
    <w:rsid w:val="0056254F"/>
    <w:rsid w:val="00562710"/>
    <w:rsid w:val="0056359E"/>
    <w:rsid w:val="00563752"/>
    <w:rsid w:val="00563E1D"/>
    <w:rsid w:val="00564343"/>
    <w:rsid w:val="00565172"/>
    <w:rsid w:val="005658F8"/>
    <w:rsid w:val="00566922"/>
    <w:rsid w:val="00567E09"/>
    <w:rsid w:val="00567F11"/>
    <w:rsid w:val="0057038B"/>
    <w:rsid w:val="00571365"/>
    <w:rsid w:val="005723E8"/>
    <w:rsid w:val="00572EE9"/>
    <w:rsid w:val="00573A39"/>
    <w:rsid w:val="005740A4"/>
    <w:rsid w:val="005749A3"/>
    <w:rsid w:val="00574B52"/>
    <w:rsid w:val="0057559B"/>
    <w:rsid w:val="005758EC"/>
    <w:rsid w:val="0057592F"/>
    <w:rsid w:val="00577008"/>
    <w:rsid w:val="00577C3C"/>
    <w:rsid w:val="0058219C"/>
    <w:rsid w:val="00582584"/>
    <w:rsid w:val="00582680"/>
    <w:rsid w:val="00582702"/>
    <w:rsid w:val="00583271"/>
    <w:rsid w:val="00583BCC"/>
    <w:rsid w:val="00583DE3"/>
    <w:rsid w:val="005845AC"/>
    <w:rsid w:val="00587B1B"/>
    <w:rsid w:val="00587DED"/>
    <w:rsid w:val="005907A9"/>
    <w:rsid w:val="00590CC5"/>
    <w:rsid w:val="00591C66"/>
    <w:rsid w:val="00593395"/>
    <w:rsid w:val="00593E44"/>
    <w:rsid w:val="0059455E"/>
    <w:rsid w:val="00595AFF"/>
    <w:rsid w:val="0059615B"/>
    <w:rsid w:val="005A07A9"/>
    <w:rsid w:val="005A0CE2"/>
    <w:rsid w:val="005A1C31"/>
    <w:rsid w:val="005A1C94"/>
    <w:rsid w:val="005A1E78"/>
    <w:rsid w:val="005A2562"/>
    <w:rsid w:val="005A26B7"/>
    <w:rsid w:val="005A2BA0"/>
    <w:rsid w:val="005A32BF"/>
    <w:rsid w:val="005A3FB2"/>
    <w:rsid w:val="005A6339"/>
    <w:rsid w:val="005A6A95"/>
    <w:rsid w:val="005A6C3F"/>
    <w:rsid w:val="005A6F60"/>
    <w:rsid w:val="005A7B3F"/>
    <w:rsid w:val="005A7BB7"/>
    <w:rsid w:val="005B00D6"/>
    <w:rsid w:val="005B01B0"/>
    <w:rsid w:val="005B1642"/>
    <w:rsid w:val="005B3FCC"/>
    <w:rsid w:val="005B4D78"/>
    <w:rsid w:val="005B5078"/>
    <w:rsid w:val="005B61D4"/>
    <w:rsid w:val="005B6530"/>
    <w:rsid w:val="005B6B87"/>
    <w:rsid w:val="005B7D19"/>
    <w:rsid w:val="005B7ED4"/>
    <w:rsid w:val="005C00D1"/>
    <w:rsid w:val="005C0699"/>
    <w:rsid w:val="005C0F5B"/>
    <w:rsid w:val="005C271C"/>
    <w:rsid w:val="005C364D"/>
    <w:rsid w:val="005C3BAE"/>
    <w:rsid w:val="005C4ABA"/>
    <w:rsid w:val="005C4E50"/>
    <w:rsid w:val="005C65FA"/>
    <w:rsid w:val="005C73F2"/>
    <w:rsid w:val="005D09BE"/>
    <w:rsid w:val="005D0A87"/>
    <w:rsid w:val="005D0C57"/>
    <w:rsid w:val="005D1DA3"/>
    <w:rsid w:val="005D3A34"/>
    <w:rsid w:val="005D436A"/>
    <w:rsid w:val="005D48F1"/>
    <w:rsid w:val="005D5187"/>
    <w:rsid w:val="005D58A6"/>
    <w:rsid w:val="005D6516"/>
    <w:rsid w:val="005D6890"/>
    <w:rsid w:val="005D6BFB"/>
    <w:rsid w:val="005E0A6D"/>
    <w:rsid w:val="005E1DE2"/>
    <w:rsid w:val="005E2452"/>
    <w:rsid w:val="005E33BD"/>
    <w:rsid w:val="005E3E42"/>
    <w:rsid w:val="005E4A77"/>
    <w:rsid w:val="005E4E3E"/>
    <w:rsid w:val="005E536B"/>
    <w:rsid w:val="005E5645"/>
    <w:rsid w:val="005E6A97"/>
    <w:rsid w:val="005F02A2"/>
    <w:rsid w:val="005F0986"/>
    <w:rsid w:val="005F1CDE"/>
    <w:rsid w:val="005F3250"/>
    <w:rsid w:val="005F40C9"/>
    <w:rsid w:val="005F422D"/>
    <w:rsid w:val="005F44A6"/>
    <w:rsid w:val="005F52BC"/>
    <w:rsid w:val="005F5C7E"/>
    <w:rsid w:val="005F5F68"/>
    <w:rsid w:val="005F6C7F"/>
    <w:rsid w:val="005F73BB"/>
    <w:rsid w:val="005F74B6"/>
    <w:rsid w:val="006002D0"/>
    <w:rsid w:val="00600369"/>
    <w:rsid w:val="00600A10"/>
    <w:rsid w:val="00601644"/>
    <w:rsid w:val="00601CE0"/>
    <w:rsid w:val="00603458"/>
    <w:rsid w:val="00603721"/>
    <w:rsid w:val="00603EDE"/>
    <w:rsid w:val="00603FE5"/>
    <w:rsid w:val="006042A3"/>
    <w:rsid w:val="006056C3"/>
    <w:rsid w:val="00605885"/>
    <w:rsid w:val="00605D73"/>
    <w:rsid w:val="00606351"/>
    <w:rsid w:val="00610361"/>
    <w:rsid w:val="006104E6"/>
    <w:rsid w:val="00611E3E"/>
    <w:rsid w:val="00612593"/>
    <w:rsid w:val="00612623"/>
    <w:rsid w:val="00612ECD"/>
    <w:rsid w:val="00613550"/>
    <w:rsid w:val="006147D1"/>
    <w:rsid w:val="00614888"/>
    <w:rsid w:val="0061617C"/>
    <w:rsid w:val="006162C1"/>
    <w:rsid w:val="00616BA0"/>
    <w:rsid w:val="006175FA"/>
    <w:rsid w:val="00620B47"/>
    <w:rsid w:val="00620B7C"/>
    <w:rsid w:val="00620DE4"/>
    <w:rsid w:val="00621EF3"/>
    <w:rsid w:val="00622BCC"/>
    <w:rsid w:val="00623269"/>
    <w:rsid w:val="00623412"/>
    <w:rsid w:val="00623967"/>
    <w:rsid w:val="006245E4"/>
    <w:rsid w:val="00625901"/>
    <w:rsid w:val="00626307"/>
    <w:rsid w:val="0062663C"/>
    <w:rsid w:val="00626BC6"/>
    <w:rsid w:val="0063092D"/>
    <w:rsid w:val="00630C1D"/>
    <w:rsid w:val="00630CCE"/>
    <w:rsid w:val="00630E85"/>
    <w:rsid w:val="00631983"/>
    <w:rsid w:val="00631C5A"/>
    <w:rsid w:val="00632171"/>
    <w:rsid w:val="0063342B"/>
    <w:rsid w:val="00633512"/>
    <w:rsid w:val="006336CB"/>
    <w:rsid w:val="00633811"/>
    <w:rsid w:val="00633E47"/>
    <w:rsid w:val="00633E5A"/>
    <w:rsid w:val="006342BE"/>
    <w:rsid w:val="00634406"/>
    <w:rsid w:val="00636A8E"/>
    <w:rsid w:val="00637294"/>
    <w:rsid w:val="00637623"/>
    <w:rsid w:val="00640A7E"/>
    <w:rsid w:val="00641193"/>
    <w:rsid w:val="00641AF4"/>
    <w:rsid w:val="00641C7B"/>
    <w:rsid w:val="0064257F"/>
    <w:rsid w:val="00642CCC"/>
    <w:rsid w:val="00642CF0"/>
    <w:rsid w:val="00643F33"/>
    <w:rsid w:val="006449E1"/>
    <w:rsid w:val="00644C59"/>
    <w:rsid w:val="00647F2F"/>
    <w:rsid w:val="0065000F"/>
    <w:rsid w:val="006507B9"/>
    <w:rsid w:val="00650B46"/>
    <w:rsid w:val="006511FC"/>
    <w:rsid w:val="00651B75"/>
    <w:rsid w:val="00651CF5"/>
    <w:rsid w:val="00652937"/>
    <w:rsid w:val="00652B35"/>
    <w:rsid w:val="006535F4"/>
    <w:rsid w:val="00653ACC"/>
    <w:rsid w:val="0065496C"/>
    <w:rsid w:val="00654B45"/>
    <w:rsid w:val="0065611F"/>
    <w:rsid w:val="006574A8"/>
    <w:rsid w:val="00662652"/>
    <w:rsid w:val="006659EB"/>
    <w:rsid w:val="00666592"/>
    <w:rsid w:val="0066660F"/>
    <w:rsid w:val="0067152E"/>
    <w:rsid w:val="0067183E"/>
    <w:rsid w:val="00672337"/>
    <w:rsid w:val="006723EA"/>
    <w:rsid w:val="00674293"/>
    <w:rsid w:val="00674A4F"/>
    <w:rsid w:val="00675993"/>
    <w:rsid w:val="0067623D"/>
    <w:rsid w:val="00676FD0"/>
    <w:rsid w:val="00677427"/>
    <w:rsid w:val="00680A4A"/>
    <w:rsid w:val="00680B40"/>
    <w:rsid w:val="0068171E"/>
    <w:rsid w:val="006831B6"/>
    <w:rsid w:val="00683F10"/>
    <w:rsid w:val="00684331"/>
    <w:rsid w:val="00685CBA"/>
    <w:rsid w:val="006866B1"/>
    <w:rsid w:val="006878CC"/>
    <w:rsid w:val="00687D6F"/>
    <w:rsid w:val="00690308"/>
    <w:rsid w:val="0069048C"/>
    <w:rsid w:val="00690619"/>
    <w:rsid w:val="006911E7"/>
    <w:rsid w:val="00691319"/>
    <w:rsid w:val="00693347"/>
    <w:rsid w:val="006935B2"/>
    <w:rsid w:val="00693EA6"/>
    <w:rsid w:val="00694501"/>
    <w:rsid w:val="006945C4"/>
    <w:rsid w:val="0069462B"/>
    <w:rsid w:val="00694CE3"/>
    <w:rsid w:val="00697F25"/>
    <w:rsid w:val="006A03F4"/>
    <w:rsid w:val="006A057B"/>
    <w:rsid w:val="006A0A7B"/>
    <w:rsid w:val="006A2306"/>
    <w:rsid w:val="006A28F0"/>
    <w:rsid w:val="006A2AA2"/>
    <w:rsid w:val="006A3C7C"/>
    <w:rsid w:val="006A45E7"/>
    <w:rsid w:val="006A47B8"/>
    <w:rsid w:val="006A49B5"/>
    <w:rsid w:val="006A5254"/>
    <w:rsid w:val="006A58DE"/>
    <w:rsid w:val="006A5A32"/>
    <w:rsid w:val="006A67BE"/>
    <w:rsid w:val="006A71D9"/>
    <w:rsid w:val="006A7FE4"/>
    <w:rsid w:val="006B04AB"/>
    <w:rsid w:val="006B0801"/>
    <w:rsid w:val="006B0A8C"/>
    <w:rsid w:val="006B0B4D"/>
    <w:rsid w:val="006B1989"/>
    <w:rsid w:val="006B2078"/>
    <w:rsid w:val="006B2A1F"/>
    <w:rsid w:val="006B357D"/>
    <w:rsid w:val="006B3929"/>
    <w:rsid w:val="006B4E8D"/>
    <w:rsid w:val="006B57F7"/>
    <w:rsid w:val="006B5A62"/>
    <w:rsid w:val="006B6CB7"/>
    <w:rsid w:val="006B72EB"/>
    <w:rsid w:val="006B76FA"/>
    <w:rsid w:val="006C0137"/>
    <w:rsid w:val="006C066C"/>
    <w:rsid w:val="006C0F65"/>
    <w:rsid w:val="006C1480"/>
    <w:rsid w:val="006C17AE"/>
    <w:rsid w:val="006C1B56"/>
    <w:rsid w:val="006C1FA0"/>
    <w:rsid w:val="006C2C7D"/>
    <w:rsid w:val="006C42B2"/>
    <w:rsid w:val="006C45D5"/>
    <w:rsid w:val="006C5C19"/>
    <w:rsid w:val="006C628B"/>
    <w:rsid w:val="006C63E6"/>
    <w:rsid w:val="006C7914"/>
    <w:rsid w:val="006D0021"/>
    <w:rsid w:val="006D094E"/>
    <w:rsid w:val="006D0EE6"/>
    <w:rsid w:val="006D2156"/>
    <w:rsid w:val="006D2F9F"/>
    <w:rsid w:val="006D3DE0"/>
    <w:rsid w:val="006D4F05"/>
    <w:rsid w:val="006D5901"/>
    <w:rsid w:val="006D5908"/>
    <w:rsid w:val="006D5A22"/>
    <w:rsid w:val="006D5B5F"/>
    <w:rsid w:val="006D613A"/>
    <w:rsid w:val="006D6204"/>
    <w:rsid w:val="006D6808"/>
    <w:rsid w:val="006D6B86"/>
    <w:rsid w:val="006D72E5"/>
    <w:rsid w:val="006D73F0"/>
    <w:rsid w:val="006D7A90"/>
    <w:rsid w:val="006E0796"/>
    <w:rsid w:val="006E0DAD"/>
    <w:rsid w:val="006E142C"/>
    <w:rsid w:val="006E1BC1"/>
    <w:rsid w:val="006E2F04"/>
    <w:rsid w:val="006E3F70"/>
    <w:rsid w:val="006E47FA"/>
    <w:rsid w:val="006E52F0"/>
    <w:rsid w:val="006E57BF"/>
    <w:rsid w:val="006E622A"/>
    <w:rsid w:val="006E67C3"/>
    <w:rsid w:val="006E7A59"/>
    <w:rsid w:val="006F03C7"/>
    <w:rsid w:val="006F0F76"/>
    <w:rsid w:val="006F108B"/>
    <w:rsid w:val="006F16D8"/>
    <w:rsid w:val="006F2341"/>
    <w:rsid w:val="006F2FA5"/>
    <w:rsid w:val="006F3C41"/>
    <w:rsid w:val="006F4DEA"/>
    <w:rsid w:val="006F5A69"/>
    <w:rsid w:val="006F5D94"/>
    <w:rsid w:val="006F649F"/>
    <w:rsid w:val="006F6EEB"/>
    <w:rsid w:val="006F76B6"/>
    <w:rsid w:val="007002C3"/>
    <w:rsid w:val="007007C6"/>
    <w:rsid w:val="00700F8A"/>
    <w:rsid w:val="0070170D"/>
    <w:rsid w:val="00702BB9"/>
    <w:rsid w:val="00704269"/>
    <w:rsid w:val="00704783"/>
    <w:rsid w:val="00705C49"/>
    <w:rsid w:val="007067C1"/>
    <w:rsid w:val="00706CB3"/>
    <w:rsid w:val="00707111"/>
    <w:rsid w:val="00707B14"/>
    <w:rsid w:val="007101FB"/>
    <w:rsid w:val="007103B0"/>
    <w:rsid w:val="007105B5"/>
    <w:rsid w:val="00710A71"/>
    <w:rsid w:val="0071180E"/>
    <w:rsid w:val="00713BA7"/>
    <w:rsid w:val="00714668"/>
    <w:rsid w:val="00715C73"/>
    <w:rsid w:val="007168B5"/>
    <w:rsid w:val="00717981"/>
    <w:rsid w:val="00717C68"/>
    <w:rsid w:val="00721547"/>
    <w:rsid w:val="0072156F"/>
    <w:rsid w:val="00722A5C"/>
    <w:rsid w:val="00722CD5"/>
    <w:rsid w:val="00722E70"/>
    <w:rsid w:val="00723349"/>
    <w:rsid w:val="00723D85"/>
    <w:rsid w:val="00724751"/>
    <w:rsid w:val="00724FA8"/>
    <w:rsid w:val="0072564F"/>
    <w:rsid w:val="007256EF"/>
    <w:rsid w:val="007256FD"/>
    <w:rsid w:val="00725711"/>
    <w:rsid w:val="00726126"/>
    <w:rsid w:val="00727329"/>
    <w:rsid w:val="007306FA"/>
    <w:rsid w:val="00730F94"/>
    <w:rsid w:val="00732AAA"/>
    <w:rsid w:val="00732D03"/>
    <w:rsid w:val="00733154"/>
    <w:rsid w:val="0073349B"/>
    <w:rsid w:val="007337C4"/>
    <w:rsid w:val="00734528"/>
    <w:rsid w:val="00734A81"/>
    <w:rsid w:val="00734C05"/>
    <w:rsid w:val="00734DD8"/>
    <w:rsid w:val="00735EAF"/>
    <w:rsid w:val="00736DD9"/>
    <w:rsid w:val="0073747E"/>
    <w:rsid w:val="00737C1D"/>
    <w:rsid w:val="00740D06"/>
    <w:rsid w:val="00741876"/>
    <w:rsid w:val="00742F65"/>
    <w:rsid w:val="007431D1"/>
    <w:rsid w:val="0074457E"/>
    <w:rsid w:val="00745252"/>
    <w:rsid w:val="00745CE5"/>
    <w:rsid w:val="007505FD"/>
    <w:rsid w:val="00750F7F"/>
    <w:rsid w:val="00751A48"/>
    <w:rsid w:val="00751AB5"/>
    <w:rsid w:val="0075285B"/>
    <w:rsid w:val="007541D7"/>
    <w:rsid w:val="00754416"/>
    <w:rsid w:val="007547AD"/>
    <w:rsid w:val="007548FE"/>
    <w:rsid w:val="00756E8D"/>
    <w:rsid w:val="0076013C"/>
    <w:rsid w:val="0076091F"/>
    <w:rsid w:val="007613AF"/>
    <w:rsid w:val="0076177F"/>
    <w:rsid w:val="0076279A"/>
    <w:rsid w:val="007627FE"/>
    <w:rsid w:val="0076324B"/>
    <w:rsid w:val="007635F1"/>
    <w:rsid w:val="00764C12"/>
    <w:rsid w:val="0076556F"/>
    <w:rsid w:val="007704BB"/>
    <w:rsid w:val="007705BE"/>
    <w:rsid w:val="00770CD7"/>
    <w:rsid w:val="00770E97"/>
    <w:rsid w:val="00772818"/>
    <w:rsid w:val="00772AD5"/>
    <w:rsid w:val="00772D0D"/>
    <w:rsid w:val="00773571"/>
    <w:rsid w:val="00774036"/>
    <w:rsid w:val="0077427A"/>
    <w:rsid w:val="0077538C"/>
    <w:rsid w:val="00775FD7"/>
    <w:rsid w:val="00776720"/>
    <w:rsid w:val="0077746B"/>
    <w:rsid w:val="00780C32"/>
    <w:rsid w:val="007812A5"/>
    <w:rsid w:val="007813CE"/>
    <w:rsid w:val="00781A56"/>
    <w:rsid w:val="00781D20"/>
    <w:rsid w:val="007831E9"/>
    <w:rsid w:val="0078358D"/>
    <w:rsid w:val="00783606"/>
    <w:rsid w:val="00783B8C"/>
    <w:rsid w:val="00783CB8"/>
    <w:rsid w:val="007848DB"/>
    <w:rsid w:val="00784949"/>
    <w:rsid w:val="00784A19"/>
    <w:rsid w:val="00784FCE"/>
    <w:rsid w:val="00785FE1"/>
    <w:rsid w:val="00786985"/>
    <w:rsid w:val="00787249"/>
    <w:rsid w:val="00787651"/>
    <w:rsid w:val="00787BA3"/>
    <w:rsid w:val="00790737"/>
    <w:rsid w:val="00791941"/>
    <w:rsid w:val="00792BAA"/>
    <w:rsid w:val="00793C90"/>
    <w:rsid w:val="00793DE2"/>
    <w:rsid w:val="0079404B"/>
    <w:rsid w:val="007945A8"/>
    <w:rsid w:val="0079529E"/>
    <w:rsid w:val="007A04C1"/>
    <w:rsid w:val="007A1F9C"/>
    <w:rsid w:val="007A3214"/>
    <w:rsid w:val="007A3A8B"/>
    <w:rsid w:val="007A4651"/>
    <w:rsid w:val="007A5727"/>
    <w:rsid w:val="007A63B8"/>
    <w:rsid w:val="007A6ADE"/>
    <w:rsid w:val="007A6EAB"/>
    <w:rsid w:val="007A7804"/>
    <w:rsid w:val="007A7842"/>
    <w:rsid w:val="007A795E"/>
    <w:rsid w:val="007B082B"/>
    <w:rsid w:val="007B0977"/>
    <w:rsid w:val="007B14B5"/>
    <w:rsid w:val="007B19D7"/>
    <w:rsid w:val="007B252A"/>
    <w:rsid w:val="007B30C5"/>
    <w:rsid w:val="007B43AB"/>
    <w:rsid w:val="007B44BA"/>
    <w:rsid w:val="007B4CA4"/>
    <w:rsid w:val="007B5769"/>
    <w:rsid w:val="007B5D45"/>
    <w:rsid w:val="007B662E"/>
    <w:rsid w:val="007B75F3"/>
    <w:rsid w:val="007B772A"/>
    <w:rsid w:val="007C1D31"/>
    <w:rsid w:val="007C3412"/>
    <w:rsid w:val="007C366F"/>
    <w:rsid w:val="007C41C7"/>
    <w:rsid w:val="007C5A1F"/>
    <w:rsid w:val="007C5F9A"/>
    <w:rsid w:val="007C6C0C"/>
    <w:rsid w:val="007C6C6D"/>
    <w:rsid w:val="007D07B8"/>
    <w:rsid w:val="007D1EAE"/>
    <w:rsid w:val="007D319D"/>
    <w:rsid w:val="007D37F4"/>
    <w:rsid w:val="007D3DA9"/>
    <w:rsid w:val="007D5D08"/>
    <w:rsid w:val="007D6DCB"/>
    <w:rsid w:val="007D7259"/>
    <w:rsid w:val="007E1D54"/>
    <w:rsid w:val="007E3C67"/>
    <w:rsid w:val="007E4BC6"/>
    <w:rsid w:val="007E5445"/>
    <w:rsid w:val="007E57D5"/>
    <w:rsid w:val="007E5C0E"/>
    <w:rsid w:val="007E5C91"/>
    <w:rsid w:val="007E6084"/>
    <w:rsid w:val="007E67E4"/>
    <w:rsid w:val="007E6F97"/>
    <w:rsid w:val="007E719E"/>
    <w:rsid w:val="007E7537"/>
    <w:rsid w:val="007F1079"/>
    <w:rsid w:val="007F1091"/>
    <w:rsid w:val="007F10CA"/>
    <w:rsid w:val="007F1A8A"/>
    <w:rsid w:val="007F1B9A"/>
    <w:rsid w:val="007F1DDD"/>
    <w:rsid w:val="007F292B"/>
    <w:rsid w:val="007F2AEE"/>
    <w:rsid w:val="007F2CCB"/>
    <w:rsid w:val="007F321C"/>
    <w:rsid w:val="007F32C2"/>
    <w:rsid w:val="007F50C7"/>
    <w:rsid w:val="007F5546"/>
    <w:rsid w:val="007F5704"/>
    <w:rsid w:val="007F58CA"/>
    <w:rsid w:val="007F61AD"/>
    <w:rsid w:val="007F62C6"/>
    <w:rsid w:val="007F6D29"/>
    <w:rsid w:val="007F7179"/>
    <w:rsid w:val="007F7E54"/>
    <w:rsid w:val="00800D0C"/>
    <w:rsid w:val="008012B0"/>
    <w:rsid w:val="008021EF"/>
    <w:rsid w:val="008038B7"/>
    <w:rsid w:val="00803AC9"/>
    <w:rsid w:val="00803BF9"/>
    <w:rsid w:val="008041AC"/>
    <w:rsid w:val="00804C22"/>
    <w:rsid w:val="00804D98"/>
    <w:rsid w:val="0080537A"/>
    <w:rsid w:val="0080673B"/>
    <w:rsid w:val="00806E91"/>
    <w:rsid w:val="00807519"/>
    <w:rsid w:val="0081085B"/>
    <w:rsid w:val="00811FD7"/>
    <w:rsid w:val="00812205"/>
    <w:rsid w:val="00812399"/>
    <w:rsid w:val="00812576"/>
    <w:rsid w:val="00812895"/>
    <w:rsid w:val="00813B4B"/>
    <w:rsid w:val="00813C4E"/>
    <w:rsid w:val="00813E1B"/>
    <w:rsid w:val="00813FC2"/>
    <w:rsid w:val="008142E0"/>
    <w:rsid w:val="0081486C"/>
    <w:rsid w:val="00815BBE"/>
    <w:rsid w:val="00816881"/>
    <w:rsid w:val="008214CD"/>
    <w:rsid w:val="00824ACB"/>
    <w:rsid w:val="00825607"/>
    <w:rsid w:val="00826ACD"/>
    <w:rsid w:val="00827423"/>
    <w:rsid w:val="00827E21"/>
    <w:rsid w:val="008302D8"/>
    <w:rsid w:val="0083041D"/>
    <w:rsid w:val="0083071E"/>
    <w:rsid w:val="00830E8F"/>
    <w:rsid w:val="008328F4"/>
    <w:rsid w:val="00832DB4"/>
    <w:rsid w:val="00833276"/>
    <w:rsid w:val="00833398"/>
    <w:rsid w:val="00834875"/>
    <w:rsid w:val="008358CE"/>
    <w:rsid w:val="0083689B"/>
    <w:rsid w:val="00836A46"/>
    <w:rsid w:val="008376C7"/>
    <w:rsid w:val="008404C7"/>
    <w:rsid w:val="008431A2"/>
    <w:rsid w:val="00843D77"/>
    <w:rsid w:val="008440D9"/>
    <w:rsid w:val="008441D1"/>
    <w:rsid w:val="00844421"/>
    <w:rsid w:val="00844819"/>
    <w:rsid w:val="00845B6A"/>
    <w:rsid w:val="00846F80"/>
    <w:rsid w:val="0084709D"/>
    <w:rsid w:val="0084712C"/>
    <w:rsid w:val="0084750D"/>
    <w:rsid w:val="008475EA"/>
    <w:rsid w:val="00850A14"/>
    <w:rsid w:val="00850EB9"/>
    <w:rsid w:val="00851650"/>
    <w:rsid w:val="00851F1C"/>
    <w:rsid w:val="00851FEF"/>
    <w:rsid w:val="00852837"/>
    <w:rsid w:val="008540B0"/>
    <w:rsid w:val="00855530"/>
    <w:rsid w:val="008555A7"/>
    <w:rsid w:val="00855CC2"/>
    <w:rsid w:val="008560BA"/>
    <w:rsid w:val="00856269"/>
    <w:rsid w:val="00856294"/>
    <w:rsid w:val="0085650A"/>
    <w:rsid w:val="00856B96"/>
    <w:rsid w:val="0085712F"/>
    <w:rsid w:val="00857252"/>
    <w:rsid w:val="00857260"/>
    <w:rsid w:val="00857BF6"/>
    <w:rsid w:val="008603AC"/>
    <w:rsid w:val="008615C8"/>
    <w:rsid w:val="008622AA"/>
    <w:rsid w:val="0086267B"/>
    <w:rsid w:val="008629B0"/>
    <w:rsid w:val="00862A08"/>
    <w:rsid w:val="00863324"/>
    <w:rsid w:val="00865B49"/>
    <w:rsid w:val="008666CC"/>
    <w:rsid w:val="00866BCF"/>
    <w:rsid w:val="00866DA3"/>
    <w:rsid w:val="008701A3"/>
    <w:rsid w:val="00870223"/>
    <w:rsid w:val="0087116A"/>
    <w:rsid w:val="00872045"/>
    <w:rsid w:val="0087292C"/>
    <w:rsid w:val="0087294F"/>
    <w:rsid w:val="00872B63"/>
    <w:rsid w:val="00873733"/>
    <w:rsid w:val="00873A31"/>
    <w:rsid w:val="008746DE"/>
    <w:rsid w:val="00874E9C"/>
    <w:rsid w:val="00875FED"/>
    <w:rsid w:val="0087761D"/>
    <w:rsid w:val="00877760"/>
    <w:rsid w:val="00877A5F"/>
    <w:rsid w:val="00877C33"/>
    <w:rsid w:val="00881DB7"/>
    <w:rsid w:val="00882DE1"/>
    <w:rsid w:val="0088302C"/>
    <w:rsid w:val="008835B7"/>
    <w:rsid w:val="008836E3"/>
    <w:rsid w:val="008850F4"/>
    <w:rsid w:val="00885320"/>
    <w:rsid w:val="008853E5"/>
    <w:rsid w:val="008871D7"/>
    <w:rsid w:val="0088774B"/>
    <w:rsid w:val="00887BFA"/>
    <w:rsid w:val="00892755"/>
    <w:rsid w:val="00893553"/>
    <w:rsid w:val="00893EE2"/>
    <w:rsid w:val="0089440C"/>
    <w:rsid w:val="0089529A"/>
    <w:rsid w:val="0089543C"/>
    <w:rsid w:val="00895A42"/>
    <w:rsid w:val="00896273"/>
    <w:rsid w:val="008968B1"/>
    <w:rsid w:val="008975F9"/>
    <w:rsid w:val="008A01AF"/>
    <w:rsid w:val="008A07D9"/>
    <w:rsid w:val="008A1F8E"/>
    <w:rsid w:val="008A21D6"/>
    <w:rsid w:val="008A35C4"/>
    <w:rsid w:val="008A3B13"/>
    <w:rsid w:val="008A50B3"/>
    <w:rsid w:val="008A5492"/>
    <w:rsid w:val="008A737B"/>
    <w:rsid w:val="008A750D"/>
    <w:rsid w:val="008B02E7"/>
    <w:rsid w:val="008B161F"/>
    <w:rsid w:val="008B17AC"/>
    <w:rsid w:val="008B2CA3"/>
    <w:rsid w:val="008B313B"/>
    <w:rsid w:val="008B52BE"/>
    <w:rsid w:val="008B55D0"/>
    <w:rsid w:val="008B58D0"/>
    <w:rsid w:val="008B6666"/>
    <w:rsid w:val="008B7062"/>
    <w:rsid w:val="008B72E5"/>
    <w:rsid w:val="008B7E1D"/>
    <w:rsid w:val="008C0563"/>
    <w:rsid w:val="008C18AE"/>
    <w:rsid w:val="008C1A6D"/>
    <w:rsid w:val="008C20C6"/>
    <w:rsid w:val="008C2DDA"/>
    <w:rsid w:val="008C30B5"/>
    <w:rsid w:val="008C356A"/>
    <w:rsid w:val="008C3789"/>
    <w:rsid w:val="008C4871"/>
    <w:rsid w:val="008C4E2F"/>
    <w:rsid w:val="008C54FD"/>
    <w:rsid w:val="008C5680"/>
    <w:rsid w:val="008C6801"/>
    <w:rsid w:val="008C681B"/>
    <w:rsid w:val="008D01A8"/>
    <w:rsid w:val="008D0A7B"/>
    <w:rsid w:val="008D0B7C"/>
    <w:rsid w:val="008D1326"/>
    <w:rsid w:val="008D1F0F"/>
    <w:rsid w:val="008D2488"/>
    <w:rsid w:val="008D478D"/>
    <w:rsid w:val="008D48A6"/>
    <w:rsid w:val="008D639D"/>
    <w:rsid w:val="008D6E81"/>
    <w:rsid w:val="008E07CC"/>
    <w:rsid w:val="008E1371"/>
    <w:rsid w:val="008E16EA"/>
    <w:rsid w:val="008E352C"/>
    <w:rsid w:val="008E3590"/>
    <w:rsid w:val="008E3D42"/>
    <w:rsid w:val="008E4E43"/>
    <w:rsid w:val="008E5BCE"/>
    <w:rsid w:val="008E61DB"/>
    <w:rsid w:val="008E6F47"/>
    <w:rsid w:val="008E6F92"/>
    <w:rsid w:val="008E7853"/>
    <w:rsid w:val="008E7AF7"/>
    <w:rsid w:val="008F1240"/>
    <w:rsid w:val="008F293F"/>
    <w:rsid w:val="008F33C5"/>
    <w:rsid w:val="008F3F4F"/>
    <w:rsid w:val="008F493A"/>
    <w:rsid w:val="008F4F6B"/>
    <w:rsid w:val="008F5C9C"/>
    <w:rsid w:val="008F66EE"/>
    <w:rsid w:val="008F68DD"/>
    <w:rsid w:val="008F6A90"/>
    <w:rsid w:val="008F6DF5"/>
    <w:rsid w:val="008F6FEB"/>
    <w:rsid w:val="008F7AC9"/>
    <w:rsid w:val="008F7DF1"/>
    <w:rsid w:val="00901919"/>
    <w:rsid w:val="009026E0"/>
    <w:rsid w:val="009027B7"/>
    <w:rsid w:val="00903009"/>
    <w:rsid w:val="00903A78"/>
    <w:rsid w:val="009043A8"/>
    <w:rsid w:val="00904A4E"/>
    <w:rsid w:val="009063E0"/>
    <w:rsid w:val="009069E9"/>
    <w:rsid w:val="00907334"/>
    <w:rsid w:val="009075E6"/>
    <w:rsid w:val="009078AD"/>
    <w:rsid w:val="00911774"/>
    <w:rsid w:val="0091194E"/>
    <w:rsid w:val="00912C48"/>
    <w:rsid w:val="009132BA"/>
    <w:rsid w:val="00914202"/>
    <w:rsid w:val="00914DD8"/>
    <w:rsid w:val="00914E25"/>
    <w:rsid w:val="0092046C"/>
    <w:rsid w:val="0092124D"/>
    <w:rsid w:val="00923D3D"/>
    <w:rsid w:val="00924094"/>
    <w:rsid w:val="00924404"/>
    <w:rsid w:val="009248D2"/>
    <w:rsid w:val="009249FE"/>
    <w:rsid w:val="00924BCE"/>
    <w:rsid w:val="0092513A"/>
    <w:rsid w:val="00925178"/>
    <w:rsid w:val="00925D15"/>
    <w:rsid w:val="0092656D"/>
    <w:rsid w:val="00927002"/>
    <w:rsid w:val="00927546"/>
    <w:rsid w:val="00930B47"/>
    <w:rsid w:val="00931401"/>
    <w:rsid w:val="00931855"/>
    <w:rsid w:val="0093500F"/>
    <w:rsid w:val="0093529B"/>
    <w:rsid w:val="009358C2"/>
    <w:rsid w:val="00935A95"/>
    <w:rsid w:val="00935E31"/>
    <w:rsid w:val="0093619C"/>
    <w:rsid w:val="00936346"/>
    <w:rsid w:val="0093787D"/>
    <w:rsid w:val="0093796F"/>
    <w:rsid w:val="00937C04"/>
    <w:rsid w:val="0094085F"/>
    <w:rsid w:val="0094178D"/>
    <w:rsid w:val="009425C4"/>
    <w:rsid w:val="00942B86"/>
    <w:rsid w:val="00943282"/>
    <w:rsid w:val="009439D7"/>
    <w:rsid w:val="009441DD"/>
    <w:rsid w:val="009450A0"/>
    <w:rsid w:val="0094577F"/>
    <w:rsid w:val="00945826"/>
    <w:rsid w:val="0094629E"/>
    <w:rsid w:val="00947075"/>
    <w:rsid w:val="00950CB1"/>
    <w:rsid w:val="009520E1"/>
    <w:rsid w:val="00952211"/>
    <w:rsid w:val="0095260D"/>
    <w:rsid w:val="009527CB"/>
    <w:rsid w:val="00953D5A"/>
    <w:rsid w:val="00954BBE"/>
    <w:rsid w:val="0095599D"/>
    <w:rsid w:val="00955A03"/>
    <w:rsid w:val="0095605D"/>
    <w:rsid w:val="00956A0F"/>
    <w:rsid w:val="00956FEC"/>
    <w:rsid w:val="009573A5"/>
    <w:rsid w:val="00957974"/>
    <w:rsid w:val="0096031F"/>
    <w:rsid w:val="00960341"/>
    <w:rsid w:val="00960994"/>
    <w:rsid w:val="009622B3"/>
    <w:rsid w:val="00962399"/>
    <w:rsid w:val="00962690"/>
    <w:rsid w:val="00962833"/>
    <w:rsid w:val="009631E4"/>
    <w:rsid w:val="00963CC6"/>
    <w:rsid w:val="00964BF6"/>
    <w:rsid w:val="009656FD"/>
    <w:rsid w:val="0096676C"/>
    <w:rsid w:val="009676C4"/>
    <w:rsid w:val="0097042E"/>
    <w:rsid w:val="00970456"/>
    <w:rsid w:val="00970F3C"/>
    <w:rsid w:val="00970FD5"/>
    <w:rsid w:val="009710BC"/>
    <w:rsid w:val="00971170"/>
    <w:rsid w:val="00971709"/>
    <w:rsid w:val="00972C4B"/>
    <w:rsid w:val="00973089"/>
    <w:rsid w:val="009730F1"/>
    <w:rsid w:val="009734C1"/>
    <w:rsid w:val="0097482A"/>
    <w:rsid w:val="00974F8F"/>
    <w:rsid w:val="00980119"/>
    <w:rsid w:val="0098087D"/>
    <w:rsid w:val="009816EF"/>
    <w:rsid w:val="00981880"/>
    <w:rsid w:val="009820F3"/>
    <w:rsid w:val="00982B46"/>
    <w:rsid w:val="00982E3C"/>
    <w:rsid w:val="009833F2"/>
    <w:rsid w:val="00984512"/>
    <w:rsid w:val="0098604F"/>
    <w:rsid w:val="009871EF"/>
    <w:rsid w:val="009873DA"/>
    <w:rsid w:val="00987590"/>
    <w:rsid w:val="00987786"/>
    <w:rsid w:val="00987F00"/>
    <w:rsid w:val="00990A86"/>
    <w:rsid w:val="0099121F"/>
    <w:rsid w:val="009923A1"/>
    <w:rsid w:val="00992595"/>
    <w:rsid w:val="00992AFE"/>
    <w:rsid w:val="00992B98"/>
    <w:rsid w:val="009932F6"/>
    <w:rsid w:val="00994D7A"/>
    <w:rsid w:val="0099645C"/>
    <w:rsid w:val="00996C57"/>
    <w:rsid w:val="00997724"/>
    <w:rsid w:val="009A00D8"/>
    <w:rsid w:val="009A08FA"/>
    <w:rsid w:val="009A0E12"/>
    <w:rsid w:val="009A150C"/>
    <w:rsid w:val="009A2007"/>
    <w:rsid w:val="009A2FED"/>
    <w:rsid w:val="009A41F5"/>
    <w:rsid w:val="009A4678"/>
    <w:rsid w:val="009A4ABD"/>
    <w:rsid w:val="009A5006"/>
    <w:rsid w:val="009A53C6"/>
    <w:rsid w:val="009A6E2D"/>
    <w:rsid w:val="009A7057"/>
    <w:rsid w:val="009A7656"/>
    <w:rsid w:val="009B05A9"/>
    <w:rsid w:val="009B076D"/>
    <w:rsid w:val="009B0B2B"/>
    <w:rsid w:val="009B0F0B"/>
    <w:rsid w:val="009B10F3"/>
    <w:rsid w:val="009B1402"/>
    <w:rsid w:val="009B186E"/>
    <w:rsid w:val="009B32E9"/>
    <w:rsid w:val="009B4321"/>
    <w:rsid w:val="009B44C4"/>
    <w:rsid w:val="009B4E1D"/>
    <w:rsid w:val="009B520F"/>
    <w:rsid w:val="009B5754"/>
    <w:rsid w:val="009B6312"/>
    <w:rsid w:val="009B6588"/>
    <w:rsid w:val="009B69B7"/>
    <w:rsid w:val="009B69F5"/>
    <w:rsid w:val="009B7485"/>
    <w:rsid w:val="009C0E57"/>
    <w:rsid w:val="009C16B2"/>
    <w:rsid w:val="009C222D"/>
    <w:rsid w:val="009C2B19"/>
    <w:rsid w:val="009C2D26"/>
    <w:rsid w:val="009C38DA"/>
    <w:rsid w:val="009C3979"/>
    <w:rsid w:val="009C3D0C"/>
    <w:rsid w:val="009C445E"/>
    <w:rsid w:val="009C5031"/>
    <w:rsid w:val="009C5D67"/>
    <w:rsid w:val="009C75A8"/>
    <w:rsid w:val="009D05A6"/>
    <w:rsid w:val="009D0939"/>
    <w:rsid w:val="009D1E1A"/>
    <w:rsid w:val="009D2474"/>
    <w:rsid w:val="009D255F"/>
    <w:rsid w:val="009D2765"/>
    <w:rsid w:val="009D27DF"/>
    <w:rsid w:val="009D36EA"/>
    <w:rsid w:val="009D3A10"/>
    <w:rsid w:val="009D42A0"/>
    <w:rsid w:val="009D4752"/>
    <w:rsid w:val="009D489B"/>
    <w:rsid w:val="009D4E7A"/>
    <w:rsid w:val="009D7ABA"/>
    <w:rsid w:val="009E077A"/>
    <w:rsid w:val="009E0AA8"/>
    <w:rsid w:val="009E0E5C"/>
    <w:rsid w:val="009E243E"/>
    <w:rsid w:val="009E2567"/>
    <w:rsid w:val="009E2CFA"/>
    <w:rsid w:val="009E43A0"/>
    <w:rsid w:val="009E450C"/>
    <w:rsid w:val="009E45C9"/>
    <w:rsid w:val="009E531C"/>
    <w:rsid w:val="009E5CDA"/>
    <w:rsid w:val="009E6EB4"/>
    <w:rsid w:val="009E73F0"/>
    <w:rsid w:val="009E763D"/>
    <w:rsid w:val="009E7E01"/>
    <w:rsid w:val="009F043F"/>
    <w:rsid w:val="009F1233"/>
    <w:rsid w:val="009F1607"/>
    <w:rsid w:val="009F224E"/>
    <w:rsid w:val="009F2B6B"/>
    <w:rsid w:val="009F301A"/>
    <w:rsid w:val="009F3447"/>
    <w:rsid w:val="009F589A"/>
    <w:rsid w:val="009F6EBE"/>
    <w:rsid w:val="009F79E2"/>
    <w:rsid w:val="009F7B2C"/>
    <w:rsid w:val="009F7EB1"/>
    <w:rsid w:val="00A00403"/>
    <w:rsid w:val="00A00E2F"/>
    <w:rsid w:val="00A01C5C"/>
    <w:rsid w:val="00A021E8"/>
    <w:rsid w:val="00A02CBA"/>
    <w:rsid w:val="00A031B7"/>
    <w:rsid w:val="00A03E1B"/>
    <w:rsid w:val="00A057C3"/>
    <w:rsid w:val="00A06076"/>
    <w:rsid w:val="00A0664B"/>
    <w:rsid w:val="00A0670C"/>
    <w:rsid w:val="00A074A9"/>
    <w:rsid w:val="00A07CD5"/>
    <w:rsid w:val="00A07F7B"/>
    <w:rsid w:val="00A11C58"/>
    <w:rsid w:val="00A12C81"/>
    <w:rsid w:val="00A141E5"/>
    <w:rsid w:val="00A14D83"/>
    <w:rsid w:val="00A17026"/>
    <w:rsid w:val="00A17775"/>
    <w:rsid w:val="00A17906"/>
    <w:rsid w:val="00A20FC9"/>
    <w:rsid w:val="00A21633"/>
    <w:rsid w:val="00A218A0"/>
    <w:rsid w:val="00A21DFD"/>
    <w:rsid w:val="00A22672"/>
    <w:rsid w:val="00A2335B"/>
    <w:rsid w:val="00A23885"/>
    <w:rsid w:val="00A24BD2"/>
    <w:rsid w:val="00A25B63"/>
    <w:rsid w:val="00A26845"/>
    <w:rsid w:val="00A27B3B"/>
    <w:rsid w:val="00A27F51"/>
    <w:rsid w:val="00A30D4A"/>
    <w:rsid w:val="00A3271F"/>
    <w:rsid w:val="00A33587"/>
    <w:rsid w:val="00A33893"/>
    <w:rsid w:val="00A33ADF"/>
    <w:rsid w:val="00A35A15"/>
    <w:rsid w:val="00A361D2"/>
    <w:rsid w:val="00A36918"/>
    <w:rsid w:val="00A36A8B"/>
    <w:rsid w:val="00A37728"/>
    <w:rsid w:val="00A37CCB"/>
    <w:rsid w:val="00A407B5"/>
    <w:rsid w:val="00A40C2E"/>
    <w:rsid w:val="00A41499"/>
    <w:rsid w:val="00A424F4"/>
    <w:rsid w:val="00A432E7"/>
    <w:rsid w:val="00A439D4"/>
    <w:rsid w:val="00A4545E"/>
    <w:rsid w:val="00A474AA"/>
    <w:rsid w:val="00A47FA2"/>
    <w:rsid w:val="00A51775"/>
    <w:rsid w:val="00A52386"/>
    <w:rsid w:val="00A52DD7"/>
    <w:rsid w:val="00A530EA"/>
    <w:rsid w:val="00A53121"/>
    <w:rsid w:val="00A534F4"/>
    <w:rsid w:val="00A5435A"/>
    <w:rsid w:val="00A5468F"/>
    <w:rsid w:val="00A5479D"/>
    <w:rsid w:val="00A54977"/>
    <w:rsid w:val="00A54C8C"/>
    <w:rsid w:val="00A55A31"/>
    <w:rsid w:val="00A5619A"/>
    <w:rsid w:val="00A56A1A"/>
    <w:rsid w:val="00A60041"/>
    <w:rsid w:val="00A608F1"/>
    <w:rsid w:val="00A60986"/>
    <w:rsid w:val="00A60C73"/>
    <w:rsid w:val="00A60E96"/>
    <w:rsid w:val="00A6178A"/>
    <w:rsid w:val="00A617AA"/>
    <w:rsid w:val="00A618AA"/>
    <w:rsid w:val="00A61E3C"/>
    <w:rsid w:val="00A6231F"/>
    <w:rsid w:val="00A62957"/>
    <w:rsid w:val="00A62A47"/>
    <w:rsid w:val="00A63D4B"/>
    <w:rsid w:val="00A64568"/>
    <w:rsid w:val="00A6472E"/>
    <w:rsid w:val="00A64AC6"/>
    <w:rsid w:val="00A667A7"/>
    <w:rsid w:val="00A676B7"/>
    <w:rsid w:val="00A704E4"/>
    <w:rsid w:val="00A70955"/>
    <w:rsid w:val="00A7095C"/>
    <w:rsid w:val="00A709DD"/>
    <w:rsid w:val="00A71A98"/>
    <w:rsid w:val="00A71B49"/>
    <w:rsid w:val="00A71E00"/>
    <w:rsid w:val="00A72304"/>
    <w:rsid w:val="00A72616"/>
    <w:rsid w:val="00A72751"/>
    <w:rsid w:val="00A72866"/>
    <w:rsid w:val="00A746F0"/>
    <w:rsid w:val="00A749E1"/>
    <w:rsid w:val="00A753F4"/>
    <w:rsid w:val="00A756E0"/>
    <w:rsid w:val="00A75EF3"/>
    <w:rsid w:val="00A7743E"/>
    <w:rsid w:val="00A80182"/>
    <w:rsid w:val="00A803EB"/>
    <w:rsid w:val="00A80636"/>
    <w:rsid w:val="00A81EE1"/>
    <w:rsid w:val="00A81F85"/>
    <w:rsid w:val="00A8255E"/>
    <w:rsid w:val="00A838A4"/>
    <w:rsid w:val="00A846C0"/>
    <w:rsid w:val="00A849E2"/>
    <w:rsid w:val="00A85A52"/>
    <w:rsid w:val="00A87447"/>
    <w:rsid w:val="00A8749A"/>
    <w:rsid w:val="00A876A1"/>
    <w:rsid w:val="00A900B4"/>
    <w:rsid w:val="00A90766"/>
    <w:rsid w:val="00A90A42"/>
    <w:rsid w:val="00A90A86"/>
    <w:rsid w:val="00A922A5"/>
    <w:rsid w:val="00A92EC4"/>
    <w:rsid w:val="00A93447"/>
    <w:rsid w:val="00A934FF"/>
    <w:rsid w:val="00A93ED7"/>
    <w:rsid w:val="00A94B92"/>
    <w:rsid w:val="00A94C48"/>
    <w:rsid w:val="00A9543E"/>
    <w:rsid w:val="00A97271"/>
    <w:rsid w:val="00A97310"/>
    <w:rsid w:val="00A978A2"/>
    <w:rsid w:val="00AA0923"/>
    <w:rsid w:val="00AA0EDE"/>
    <w:rsid w:val="00AA1796"/>
    <w:rsid w:val="00AA1D05"/>
    <w:rsid w:val="00AA33B0"/>
    <w:rsid w:val="00AA3D6D"/>
    <w:rsid w:val="00AA4D41"/>
    <w:rsid w:val="00AA57E9"/>
    <w:rsid w:val="00AA65E9"/>
    <w:rsid w:val="00AA6767"/>
    <w:rsid w:val="00AA69A4"/>
    <w:rsid w:val="00AA7AD9"/>
    <w:rsid w:val="00AB1AD1"/>
    <w:rsid w:val="00AB1E74"/>
    <w:rsid w:val="00AB1FD3"/>
    <w:rsid w:val="00AB2AB7"/>
    <w:rsid w:val="00AB3946"/>
    <w:rsid w:val="00AB3A43"/>
    <w:rsid w:val="00AB4E50"/>
    <w:rsid w:val="00AB5BB4"/>
    <w:rsid w:val="00AB5E36"/>
    <w:rsid w:val="00AB62C4"/>
    <w:rsid w:val="00AB6D09"/>
    <w:rsid w:val="00AB6D7C"/>
    <w:rsid w:val="00AB6E1C"/>
    <w:rsid w:val="00AB7361"/>
    <w:rsid w:val="00AC170D"/>
    <w:rsid w:val="00AC1A48"/>
    <w:rsid w:val="00AC1B0C"/>
    <w:rsid w:val="00AC266F"/>
    <w:rsid w:val="00AC32B3"/>
    <w:rsid w:val="00AC40AF"/>
    <w:rsid w:val="00AC475C"/>
    <w:rsid w:val="00AC47A2"/>
    <w:rsid w:val="00AC612E"/>
    <w:rsid w:val="00AC65FB"/>
    <w:rsid w:val="00AC7905"/>
    <w:rsid w:val="00AC7BC7"/>
    <w:rsid w:val="00AC7F5A"/>
    <w:rsid w:val="00AD05F5"/>
    <w:rsid w:val="00AD097C"/>
    <w:rsid w:val="00AD15C4"/>
    <w:rsid w:val="00AD1884"/>
    <w:rsid w:val="00AD18BF"/>
    <w:rsid w:val="00AD1B7C"/>
    <w:rsid w:val="00AD23DE"/>
    <w:rsid w:val="00AD3A7A"/>
    <w:rsid w:val="00AD579F"/>
    <w:rsid w:val="00AD601F"/>
    <w:rsid w:val="00AD6472"/>
    <w:rsid w:val="00AD6D27"/>
    <w:rsid w:val="00AD797E"/>
    <w:rsid w:val="00AD7F7E"/>
    <w:rsid w:val="00AE1414"/>
    <w:rsid w:val="00AE1612"/>
    <w:rsid w:val="00AE1648"/>
    <w:rsid w:val="00AE170F"/>
    <w:rsid w:val="00AE3086"/>
    <w:rsid w:val="00AE38F2"/>
    <w:rsid w:val="00AE45C4"/>
    <w:rsid w:val="00AE6182"/>
    <w:rsid w:val="00AE634A"/>
    <w:rsid w:val="00AE6408"/>
    <w:rsid w:val="00AF0972"/>
    <w:rsid w:val="00AF12B4"/>
    <w:rsid w:val="00AF1443"/>
    <w:rsid w:val="00AF2716"/>
    <w:rsid w:val="00AF2CA0"/>
    <w:rsid w:val="00AF3607"/>
    <w:rsid w:val="00AF393C"/>
    <w:rsid w:val="00AF3E0E"/>
    <w:rsid w:val="00AF43AC"/>
    <w:rsid w:val="00AF47B1"/>
    <w:rsid w:val="00AF484A"/>
    <w:rsid w:val="00AF4BC7"/>
    <w:rsid w:val="00AF4C39"/>
    <w:rsid w:val="00AF6E12"/>
    <w:rsid w:val="00AF6E61"/>
    <w:rsid w:val="00AF77A2"/>
    <w:rsid w:val="00B00697"/>
    <w:rsid w:val="00B00805"/>
    <w:rsid w:val="00B00ABC"/>
    <w:rsid w:val="00B00C96"/>
    <w:rsid w:val="00B010E3"/>
    <w:rsid w:val="00B01DBC"/>
    <w:rsid w:val="00B021AD"/>
    <w:rsid w:val="00B022AD"/>
    <w:rsid w:val="00B022C4"/>
    <w:rsid w:val="00B025F8"/>
    <w:rsid w:val="00B02CBC"/>
    <w:rsid w:val="00B02E31"/>
    <w:rsid w:val="00B03ADC"/>
    <w:rsid w:val="00B04EE5"/>
    <w:rsid w:val="00B05F8A"/>
    <w:rsid w:val="00B06303"/>
    <w:rsid w:val="00B0723C"/>
    <w:rsid w:val="00B073EC"/>
    <w:rsid w:val="00B074B4"/>
    <w:rsid w:val="00B0750E"/>
    <w:rsid w:val="00B079E4"/>
    <w:rsid w:val="00B10B7D"/>
    <w:rsid w:val="00B1105C"/>
    <w:rsid w:val="00B110E8"/>
    <w:rsid w:val="00B11D34"/>
    <w:rsid w:val="00B133CF"/>
    <w:rsid w:val="00B142CA"/>
    <w:rsid w:val="00B17A33"/>
    <w:rsid w:val="00B20087"/>
    <w:rsid w:val="00B200F5"/>
    <w:rsid w:val="00B20DB2"/>
    <w:rsid w:val="00B21287"/>
    <w:rsid w:val="00B213DA"/>
    <w:rsid w:val="00B21DDA"/>
    <w:rsid w:val="00B2239C"/>
    <w:rsid w:val="00B231C3"/>
    <w:rsid w:val="00B2395A"/>
    <w:rsid w:val="00B25416"/>
    <w:rsid w:val="00B268A4"/>
    <w:rsid w:val="00B27035"/>
    <w:rsid w:val="00B275B0"/>
    <w:rsid w:val="00B27B0D"/>
    <w:rsid w:val="00B30185"/>
    <w:rsid w:val="00B30A88"/>
    <w:rsid w:val="00B30FBB"/>
    <w:rsid w:val="00B30FD3"/>
    <w:rsid w:val="00B310C8"/>
    <w:rsid w:val="00B316BA"/>
    <w:rsid w:val="00B31ECF"/>
    <w:rsid w:val="00B32470"/>
    <w:rsid w:val="00B3331D"/>
    <w:rsid w:val="00B3347A"/>
    <w:rsid w:val="00B33E38"/>
    <w:rsid w:val="00B340F0"/>
    <w:rsid w:val="00B34E0E"/>
    <w:rsid w:val="00B35408"/>
    <w:rsid w:val="00B36A1C"/>
    <w:rsid w:val="00B36B09"/>
    <w:rsid w:val="00B4390E"/>
    <w:rsid w:val="00B43E04"/>
    <w:rsid w:val="00B442EA"/>
    <w:rsid w:val="00B45DDA"/>
    <w:rsid w:val="00B45F4E"/>
    <w:rsid w:val="00B468C3"/>
    <w:rsid w:val="00B47018"/>
    <w:rsid w:val="00B472F6"/>
    <w:rsid w:val="00B476E0"/>
    <w:rsid w:val="00B47740"/>
    <w:rsid w:val="00B47A5A"/>
    <w:rsid w:val="00B5046F"/>
    <w:rsid w:val="00B50D29"/>
    <w:rsid w:val="00B50E3E"/>
    <w:rsid w:val="00B50EDB"/>
    <w:rsid w:val="00B516C2"/>
    <w:rsid w:val="00B52516"/>
    <w:rsid w:val="00B5362F"/>
    <w:rsid w:val="00B537FA"/>
    <w:rsid w:val="00B547FA"/>
    <w:rsid w:val="00B55374"/>
    <w:rsid w:val="00B554CF"/>
    <w:rsid w:val="00B55E4B"/>
    <w:rsid w:val="00B560E3"/>
    <w:rsid w:val="00B56483"/>
    <w:rsid w:val="00B56678"/>
    <w:rsid w:val="00B56D47"/>
    <w:rsid w:val="00B56EB4"/>
    <w:rsid w:val="00B5712E"/>
    <w:rsid w:val="00B57252"/>
    <w:rsid w:val="00B60536"/>
    <w:rsid w:val="00B61A0C"/>
    <w:rsid w:val="00B62359"/>
    <w:rsid w:val="00B623EB"/>
    <w:rsid w:val="00B634E4"/>
    <w:rsid w:val="00B63B4C"/>
    <w:rsid w:val="00B64B64"/>
    <w:rsid w:val="00B65816"/>
    <w:rsid w:val="00B65E29"/>
    <w:rsid w:val="00B669CC"/>
    <w:rsid w:val="00B66B15"/>
    <w:rsid w:val="00B66FFB"/>
    <w:rsid w:val="00B676D3"/>
    <w:rsid w:val="00B6773A"/>
    <w:rsid w:val="00B714D7"/>
    <w:rsid w:val="00B724A2"/>
    <w:rsid w:val="00B72539"/>
    <w:rsid w:val="00B72A13"/>
    <w:rsid w:val="00B72E8C"/>
    <w:rsid w:val="00B73255"/>
    <w:rsid w:val="00B73332"/>
    <w:rsid w:val="00B76FA1"/>
    <w:rsid w:val="00B77219"/>
    <w:rsid w:val="00B775B1"/>
    <w:rsid w:val="00B77756"/>
    <w:rsid w:val="00B80FAE"/>
    <w:rsid w:val="00B81480"/>
    <w:rsid w:val="00B82034"/>
    <w:rsid w:val="00B826D2"/>
    <w:rsid w:val="00B827A0"/>
    <w:rsid w:val="00B82AB5"/>
    <w:rsid w:val="00B8348D"/>
    <w:rsid w:val="00B8361F"/>
    <w:rsid w:val="00B83D84"/>
    <w:rsid w:val="00B83ED3"/>
    <w:rsid w:val="00B84004"/>
    <w:rsid w:val="00B84301"/>
    <w:rsid w:val="00B84EA4"/>
    <w:rsid w:val="00B86D49"/>
    <w:rsid w:val="00B90268"/>
    <w:rsid w:val="00B9089F"/>
    <w:rsid w:val="00B9198A"/>
    <w:rsid w:val="00B92375"/>
    <w:rsid w:val="00B932A4"/>
    <w:rsid w:val="00B95117"/>
    <w:rsid w:val="00B9596E"/>
    <w:rsid w:val="00B95D6C"/>
    <w:rsid w:val="00B96489"/>
    <w:rsid w:val="00B96891"/>
    <w:rsid w:val="00BA06D8"/>
    <w:rsid w:val="00BA0C66"/>
    <w:rsid w:val="00BA1033"/>
    <w:rsid w:val="00BA136E"/>
    <w:rsid w:val="00BA1820"/>
    <w:rsid w:val="00BA2984"/>
    <w:rsid w:val="00BA3170"/>
    <w:rsid w:val="00BA6C44"/>
    <w:rsid w:val="00BA6EDD"/>
    <w:rsid w:val="00BA7197"/>
    <w:rsid w:val="00BB0064"/>
    <w:rsid w:val="00BB1E94"/>
    <w:rsid w:val="00BB1F1B"/>
    <w:rsid w:val="00BB2283"/>
    <w:rsid w:val="00BB295B"/>
    <w:rsid w:val="00BB2E46"/>
    <w:rsid w:val="00BB2EA5"/>
    <w:rsid w:val="00BB2F2A"/>
    <w:rsid w:val="00BB2FB6"/>
    <w:rsid w:val="00BB3523"/>
    <w:rsid w:val="00BB3CD4"/>
    <w:rsid w:val="00BB4349"/>
    <w:rsid w:val="00BB5D11"/>
    <w:rsid w:val="00BB7973"/>
    <w:rsid w:val="00BB7A60"/>
    <w:rsid w:val="00BB7D2E"/>
    <w:rsid w:val="00BC1305"/>
    <w:rsid w:val="00BC153E"/>
    <w:rsid w:val="00BC1993"/>
    <w:rsid w:val="00BC2694"/>
    <w:rsid w:val="00BC2C35"/>
    <w:rsid w:val="00BC31A1"/>
    <w:rsid w:val="00BC38DD"/>
    <w:rsid w:val="00BC3BDA"/>
    <w:rsid w:val="00BC4567"/>
    <w:rsid w:val="00BC47A1"/>
    <w:rsid w:val="00BC7400"/>
    <w:rsid w:val="00BD00D8"/>
    <w:rsid w:val="00BD0134"/>
    <w:rsid w:val="00BD033D"/>
    <w:rsid w:val="00BD0453"/>
    <w:rsid w:val="00BD06F8"/>
    <w:rsid w:val="00BD0E2A"/>
    <w:rsid w:val="00BD0E4F"/>
    <w:rsid w:val="00BD1CF7"/>
    <w:rsid w:val="00BD28E8"/>
    <w:rsid w:val="00BD3B74"/>
    <w:rsid w:val="00BD3E22"/>
    <w:rsid w:val="00BD3E45"/>
    <w:rsid w:val="00BD550A"/>
    <w:rsid w:val="00BD569A"/>
    <w:rsid w:val="00BD5877"/>
    <w:rsid w:val="00BD653A"/>
    <w:rsid w:val="00BD6B1F"/>
    <w:rsid w:val="00BE033E"/>
    <w:rsid w:val="00BE20AB"/>
    <w:rsid w:val="00BE22C3"/>
    <w:rsid w:val="00BE2620"/>
    <w:rsid w:val="00BE2A5E"/>
    <w:rsid w:val="00BE3801"/>
    <w:rsid w:val="00BE3EDE"/>
    <w:rsid w:val="00BE52FB"/>
    <w:rsid w:val="00BE5566"/>
    <w:rsid w:val="00BE5706"/>
    <w:rsid w:val="00BE5E35"/>
    <w:rsid w:val="00BE6C15"/>
    <w:rsid w:val="00BF0DAD"/>
    <w:rsid w:val="00BF20B7"/>
    <w:rsid w:val="00BF36AD"/>
    <w:rsid w:val="00BF43B9"/>
    <w:rsid w:val="00BF4BA1"/>
    <w:rsid w:val="00BF6FBD"/>
    <w:rsid w:val="00BF7989"/>
    <w:rsid w:val="00BF7BC5"/>
    <w:rsid w:val="00C0008A"/>
    <w:rsid w:val="00C003D9"/>
    <w:rsid w:val="00C01170"/>
    <w:rsid w:val="00C0135E"/>
    <w:rsid w:val="00C01C09"/>
    <w:rsid w:val="00C020D2"/>
    <w:rsid w:val="00C02196"/>
    <w:rsid w:val="00C0260D"/>
    <w:rsid w:val="00C03119"/>
    <w:rsid w:val="00C03313"/>
    <w:rsid w:val="00C03BF7"/>
    <w:rsid w:val="00C04117"/>
    <w:rsid w:val="00C04B8D"/>
    <w:rsid w:val="00C053A5"/>
    <w:rsid w:val="00C05864"/>
    <w:rsid w:val="00C06461"/>
    <w:rsid w:val="00C06952"/>
    <w:rsid w:val="00C06AE2"/>
    <w:rsid w:val="00C07979"/>
    <w:rsid w:val="00C10456"/>
    <w:rsid w:val="00C109FB"/>
    <w:rsid w:val="00C11818"/>
    <w:rsid w:val="00C12651"/>
    <w:rsid w:val="00C13052"/>
    <w:rsid w:val="00C1318E"/>
    <w:rsid w:val="00C133FA"/>
    <w:rsid w:val="00C1370A"/>
    <w:rsid w:val="00C13B3F"/>
    <w:rsid w:val="00C148F2"/>
    <w:rsid w:val="00C1567D"/>
    <w:rsid w:val="00C15EE9"/>
    <w:rsid w:val="00C160A8"/>
    <w:rsid w:val="00C173B8"/>
    <w:rsid w:val="00C17644"/>
    <w:rsid w:val="00C17847"/>
    <w:rsid w:val="00C17E8F"/>
    <w:rsid w:val="00C20D8A"/>
    <w:rsid w:val="00C212DF"/>
    <w:rsid w:val="00C22562"/>
    <w:rsid w:val="00C22BAF"/>
    <w:rsid w:val="00C239D1"/>
    <w:rsid w:val="00C23A27"/>
    <w:rsid w:val="00C24362"/>
    <w:rsid w:val="00C25CD2"/>
    <w:rsid w:val="00C25D24"/>
    <w:rsid w:val="00C26475"/>
    <w:rsid w:val="00C265CF"/>
    <w:rsid w:val="00C267FF"/>
    <w:rsid w:val="00C2723A"/>
    <w:rsid w:val="00C2723B"/>
    <w:rsid w:val="00C27F92"/>
    <w:rsid w:val="00C30261"/>
    <w:rsid w:val="00C304B9"/>
    <w:rsid w:val="00C3098B"/>
    <w:rsid w:val="00C31864"/>
    <w:rsid w:val="00C31977"/>
    <w:rsid w:val="00C32280"/>
    <w:rsid w:val="00C33293"/>
    <w:rsid w:val="00C34535"/>
    <w:rsid w:val="00C34A10"/>
    <w:rsid w:val="00C3686A"/>
    <w:rsid w:val="00C373BD"/>
    <w:rsid w:val="00C376D0"/>
    <w:rsid w:val="00C37C23"/>
    <w:rsid w:val="00C40731"/>
    <w:rsid w:val="00C416AC"/>
    <w:rsid w:val="00C419BF"/>
    <w:rsid w:val="00C420EB"/>
    <w:rsid w:val="00C4222E"/>
    <w:rsid w:val="00C42C30"/>
    <w:rsid w:val="00C4382C"/>
    <w:rsid w:val="00C43E1E"/>
    <w:rsid w:val="00C44104"/>
    <w:rsid w:val="00C44A6A"/>
    <w:rsid w:val="00C457F7"/>
    <w:rsid w:val="00C46BEA"/>
    <w:rsid w:val="00C47FE3"/>
    <w:rsid w:val="00C50461"/>
    <w:rsid w:val="00C50683"/>
    <w:rsid w:val="00C50810"/>
    <w:rsid w:val="00C508F6"/>
    <w:rsid w:val="00C5098B"/>
    <w:rsid w:val="00C50C7E"/>
    <w:rsid w:val="00C50D3A"/>
    <w:rsid w:val="00C51B25"/>
    <w:rsid w:val="00C51C48"/>
    <w:rsid w:val="00C52F39"/>
    <w:rsid w:val="00C53D4D"/>
    <w:rsid w:val="00C53EE1"/>
    <w:rsid w:val="00C562EA"/>
    <w:rsid w:val="00C564B4"/>
    <w:rsid w:val="00C566B0"/>
    <w:rsid w:val="00C60C66"/>
    <w:rsid w:val="00C61C5C"/>
    <w:rsid w:val="00C6234D"/>
    <w:rsid w:val="00C623F0"/>
    <w:rsid w:val="00C6271B"/>
    <w:rsid w:val="00C6418C"/>
    <w:rsid w:val="00C6452B"/>
    <w:rsid w:val="00C64A5D"/>
    <w:rsid w:val="00C64BAB"/>
    <w:rsid w:val="00C64FCF"/>
    <w:rsid w:val="00C67F13"/>
    <w:rsid w:val="00C70C75"/>
    <w:rsid w:val="00C72D37"/>
    <w:rsid w:val="00C732EE"/>
    <w:rsid w:val="00C73E82"/>
    <w:rsid w:val="00C75339"/>
    <w:rsid w:val="00C75F98"/>
    <w:rsid w:val="00C761CC"/>
    <w:rsid w:val="00C77CFF"/>
    <w:rsid w:val="00C77D6C"/>
    <w:rsid w:val="00C77E7B"/>
    <w:rsid w:val="00C80671"/>
    <w:rsid w:val="00C80F17"/>
    <w:rsid w:val="00C815CD"/>
    <w:rsid w:val="00C82251"/>
    <w:rsid w:val="00C82877"/>
    <w:rsid w:val="00C8311B"/>
    <w:rsid w:val="00C8319B"/>
    <w:rsid w:val="00C84C55"/>
    <w:rsid w:val="00C90067"/>
    <w:rsid w:val="00C90F0B"/>
    <w:rsid w:val="00C91D66"/>
    <w:rsid w:val="00C92360"/>
    <w:rsid w:val="00C925E3"/>
    <w:rsid w:val="00C9275C"/>
    <w:rsid w:val="00C9279C"/>
    <w:rsid w:val="00C92A3D"/>
    <w:rsid w:val="00C93B79"/>
    <w:rsid w:val="00C93D7B"/>
    <w:rsid w:val="00C93FAB"/>
    <w:rsid w:val="00C94B6F"/>
    <w:rsid w:val="00C95D47"/>
    <w:rsid w:val="00C964BC"/>
    <w:rsid w:val="00C96F54"/>
    <w:rsid w:val="00C97CF2"/>
    <w:rsid w:val="00CA04CF"/>
    <w:rsid w:val="00CA1242"/>
    <w:rsid w:val="00CA4679"/>
    <w:rsid w:val="00CA5243"/>
    <w:rsid w:val="00CA6874"/>
    <w:rsid w:val="00CA707B"/>
    <w:rsid w:val="00CB0946"/>
    <w:rsid w:val="00CB1939"/>
    <w:rsid w:val="00CB2946"/>
    <w:rsid w:val="00CB2ED7"/>
    <w:rsid w:val="00CB30F0"/>
    <w:rsid w:val="00CB362A"/>
    <w:rsid w:val="00CB3786"/>
    <w:rsid w:val="00CB4F13"/>
    <w:rsid w:val="00CB7576"/>
    <w:rsid w:val="00CC2733"/>
    <w:rsid w:val="00CC3242"/>
    <w:rsid w:val="00CC354C"/>
    <w:rsid w:val="00CC3993"/>
    <w:rsid w:val="00CC3DA6"/>
    <w:rsid w:val="00CC4B35"/>
    <w:rsid w:val="00CC4F4D"/>
    <w:rsid w:val="00CC56A0"/>
    <w:rsid w:val="00CC57D3"/>
    <w:rsid w:val="00CC5FC2"/>
    <w:rsid w:val="00CC6019"/>
    <w:rsid w:val="00CC61BB"/>
    <w:rsid w:val="00CC6DF9"/>
    <w:rsid w:val="00CC6E73"/>
    <w:rsid w:val="00CC7144"/>
    <w:rsid w:val="00CD1597"/>
    <w:rsid w:val="00CD44BA"/>
    <w:rsid w:val="00CD504F"/>
    <w:rsid w:val="00CD5472"/>
    <w:rsid w:val="00CD548A"/>
    <w:rsid w:val="00CD58D7"/>
    <w:rsid w:val="00CD683F"/>
    <w:rsid w:val="00CD6F6A"/>
    <w:rsid w:val="00CD71BF"/>
    <w:rsid w:val="00CD776F"/>
    <w:rsid w:val="00CE0567"/>
    <w:rsid w:val="00CE147D"/>
    <w:rsid w:val="00CE15F5"/>
    <w:rsid w:val="00CE167A"/>
    <w:rsid w:val="00CE3CED"/>
    <w:rsid w:val="00CE3D49"/>
    <w:rsid w:val="00CE4B9D"/>
    <w:rsid w:val="00CE4E34"/>
    <w:rsid w:val="00CE5A8B"/>
    <w:rsid w:val="00CE6144"/>
    <w:rsid w:val="00CE64A9"/>
    <w:rsid w:val="00CE6CC6"/>
    <w:rsid w:val="00CE7C5F"/>
    <w:rsid w:val="00CF035D"/>
    <w:rsid w:val="00CF0DB5"/>
    <w:rsid w:val="00CF1836"/>
    <w:rsid w:val="00CF1C9D"/>
    <w:rsid w:val="00CF1FA1"/>
    <w:rsid w:val="00CF398E"/>
    <w:rsid w:val="00CF3B1C"/>
    <w:rsid w:val="00CF3FCE"/>
    <w:rsid w:val="00CF4739"/>
    <w:rsid w:val="00CF505F"/>
    <w:rsid w:val="00CF6A66"/>
    <w:rsid w:val="00CF7510"/>
    <w:rsid w:val="00CF7FEF"/>
    <w:rsid w:val="00D00561"/>
    <w:rsid w:val="00D0057E"/>
    <w:rsid w:val="00D008B9"/>
    <w:rsid w:val="00D01883"/>
    <w:rsid w:val="00D0192A"/>
    <w:rsid w:val="00D0290D"/>
    <w:rsid w:val="00D02C18"/>
    <w:rsid w:val="00D04208"/>
    <w:rsid w:val="00D06373"/>
    <w:rsid w:val="00D0666B"/>
    <w:rsid w:val="00D06CAA"/>
    <w:rsid w:val="00D108E9"/>
    <w:rsid w:val="00D10BBF"/>
    <w:rsid w:val="00D123AC"/>
    <w:rsid w:val="00D13199"/>
    <w:rsid w:val="00D13241"/>
    <w:rsid w:val="00D1416F"/>
    <w:rsid w:val="00D14B2C"/>
    <w:rsid w:val="00D14B69"/>
    <w:rsid w:val="00D153C7"/>
    <w:rsid w:val="00D164F9"/>
    <w:rsid w:val="00D168FC"/>
    <w:rsid w:val="00D20C86"/>
    <w:rsid w:val="00D20F4E"/>
    <w:rsid w:val="00D222EF"/>
    <w:rsid w:val="00D22538"/>
    <w:rsid w:val="00D22B57"/>
    <w:rsid w:val="00D23013"/>
    <w:rsid w:val="00D23E33"/>
    <w:rsid w:val="00D23FAE"/>
    <w:rsid w:val="00D2402A"/>
    <w:rsid w:val="00D24323"/>
    <w:rsid w:val="00D2661D"/>
    <w:rsid w:val="00D305A2"/>
    <w:rsid w:val="00D307F7"/>
    <w:rsid w:val="00D315DF"/>
    <w:rsid w:val="00D3275D"/>
    <w:rsid w:val="00D33E1A"/>
    <w:rsid w:val="00D343E6"/>
    <w:rsid w:val="00D35591"/>
    <w:rsid w:val="00D35651"/>
    <w:rsid w:val="00D35E35"/>
    <w:rsid w:val="00D36581"/>
    <w:rsid w:val="00D36F37"/>
    <w:rsid w:val="00D37C78"/>
    <w:rsid w:val="00D37C87"/>
    <w:rsid w:val="00D37D57"/>
    <w:rsid w:val="00D37E50"/>
    <w:rsid w:val="00D400B6"/>
    <w:rsid w:val="00D40156"/>
    <w:rsid w:val="00D41171"/>
    <w:rsid w:val="00D41561"/>
    <w:rsid w:val="00D41F90"/>
    <w:rsid w:val="00D42614"/>
    <w:rsid w:val="00D42D1D"/>
    <w:rsid w:val="00D42DE1"/>
    <w:rsid w:val="00D43418"/>
    <w:rsid w:val="00D435C8"/>
    <w:rsid w:val="00D43B02"/>
    <w:rsid w:val="00D442E7"/>
    <w:rsid w:val="00D45ADC"/>
    <w:rsid w:val="00D46FBE"/>
    <w:rsid w:val="00D50605"/>
    <w:rsid w:val="00D50981"/>
    <w:rsid w:val="00D537FB"/>
    <w:rsid w:val="00D53F49"/>
    <w:rsid w:val="00D54472"/>
    <w:rsid w:val="00D54AF1"/>
    <w:rsid w:val="00D562AE"/>
    <w:rsid w:val="00D56A3C"/>
    <w:rsid w:val="00D56D20"/>
    <w:rsid w:val="00D56E1E"/>
    <w:rsid w:val="00D56F06"/>
    <w:rsid w:val="00D576A2"/>
    <w:rsid w:val="00D579F0"/>
    <w:rsid w:val="00D618C0"/>
    <w:rsid w:val="00D61D43"/>
    <w:rsid w:val="00D6255C"/>
    <w:rsid w:val="00D62847"/>
    <w:rsid w:val="00D62943"/>
    <w:rsid w:val="00D62A99"/>
    <w:rsid w:val="00D6310B"/>
    <w:rsid w:val="00D65513"/>
    <w:rsid w:val="00D65784"/>
    <w:rsid w:val="00D67066"/>
    <w:rsid w:val="00D7113F"/>
    <w:rsid w:val="00D7176D"/>
    <w:rsid w:val="00D71819"/>
    <w:rsid w:val="00D7184A"/>
    <w:rsid w:val="00D72006"/>
    <w:rsid w:val="00D733AF"/>
    <w:rsid w:val="00D734E5"/>
    <w:rsid w:val="00D7454C"/>
    <w:rsid w:val="00D74701"/>
    <w:rsid w:val="00D75383"/>
    <w:rsid w:val="00D75F17"/>
    <w:rsid w:val="00D76BFE"/>
    <w:rsid w:val="00D77971"/>
    <w:rsid w:val="00D81547"/>
    <w:rsid w:val="00D81DF3"/>
    <w:rsid w:val="00D82085"/>
    <w:rsid w:val="00D82970"/>
    <w:rsid w:val="00D841FE"/>
    <w:rsid w:val="00D84CAD"/>
    <w:rsid w:val="00D85378"/>
    <w:rsid w:val="00D85882"/>
    <w:rsid w:val="00D85FF1"/>
    <w:rsid w:val="00D90566"/>
    <w:rsid w:val="00D907E7"/>
    <w:rsid w:val="00D914A1"/>
    <w:rsid w:val="00D91E45"/>
    <w:rsid w:val="00D92997"/>
    <w:rsid w:val="00D92E07"/>
    <w:rsid w:val="00D93EA6"/>
    <w:rsid w:val="00D93F2B"/>
    <w:rsid w:val="00D945B5"/>
    <w:rsid w:val="00D94755"/>
    <w:rsid w:val="00D9514D"/>
    <w:rsid w:val="00D955FD"/>
    <w:rsid w:val="00D97D4B"/>
    <w:rsid w:val="00DA066B"/>
    <w:rsid w:val="00DA11C1"/>
    <w:rsid w:val="00DA207E"/>
    <w:rsid w:val="00DA2312"/>
    <w:rsid w:val="00DA38B2"/>
    <w:rsid w:val="00DA3C67"/>
    <w:rsid w:val="00DA4790"/>
    <w:rsid w:val="00DA4F72"/>
    <w:rsid w:val="00DA5E7D"/>
    <w:rsid w:val="00DA69DA"/>
    <w:rsid w:val="00DA6BBC"/>
    <w:rsid w:val="00DA7174"/>
    <w:rsid w:val="00DA732E"/>
    <w:rsid w:val="00DA7A25"/>
    <w:rsid w:val="00DA7F25"/>
    <w:rsid w:val="00DB00C4"/>
    <w:rsid w:val="00DB0E6E"/>
    <w:rsid w:val="00DB135E"/>
    <w:rsid w:val="00DB1454"/>
    <w:rsid w:val="00DB1C5E"/>
    <w:rsid w:val="00DB2640"/>
    <w:rsid w:val="00DB2FEA"/>
    <w:rsid w:val="00DB30AF"/>
    <w:rsid w:val="00DB347A"/>
    <w:rsid w:val="00DB3D0D"/>
    <w:rsid w:val="00DB445B"/>
    <w:rsid w:val="00DB463A"/>
    <w:rsid w:val="00DB4729"/>
    <w:rsid w:val="00DB51CA"/>
    <w:rsid w:val="00DB55E2"/>
    <w:rsid w:val="00DB5867"/>
    <w:rsid w:val="00DB7D1A"/>
    <w:rsid w:val="00DC0E10"/>
    <w:rsid w:val="00DC0FDE"/>
    <w:rsid w:val="00DC151D"/>
    <w:rsid w:val="00DC1A7D"/>
    <w:rsid w:val="00DC3238"/>
    <w:rsid w:val="00DC34AD"/>
    <w:rsid w:val="00DC3737"/>
    <w:rsid w:val="00DC3A67"/>
    <w:rsid w:val="00DC3D83"/>
    <w:rsid w:val="00DC4EC3"/>
    <w:rsid w:val="00DC5276"/>
    <w:rsid w:val="00DC5825"/>
    <w:rsid w:val="00DC70EE"/>
    <w:rsid w:val="00DC7B5F"/>
    <w:rsid w:val="00DD1BAA"/>
    <w:rsid w:val="00DD1C02"/>
    <w:rsid w:val="00DD27C9"/>
    <w:rsid w:val="00DD39F9"/>
    <w:rsid w:val="00DD3D40"/>
    <w:rsid w:val="00DD479A"/>
    <w:rsid w:val="00DD5E42"/>
    <w:rsid w:val="00DD654F"/>
    <w:rsid w:val="00DD6AB2"/>
    <w:rsid w:val="00DD7142"/>
    <w:rsid w:val="00DD743E"/>
    <w:rsid w:val="00DE01CC"/>
    <w:rsid w:val="00DE054D"/>
    <w:rsid w:val="00DE152F"/>
    <w:rsid w:val="00DE2177"/>
    <w:rsid w:val="00DE25CC"/>
    <w:rsid w:val="00DE2825"/>
    <w:rsid w:val="00DE2A1B"/>
    <w:rsid w:val="00DE7048"/>
    <w:rsid w:val="00DE7294"/>
    <w:rsid w:val="00DF06F2"/>
    <w:rsid w:val="00DF0A05"/>
    <w:rsid w:val="00DF12A0"/>
    <w:rsid w:val="00DF1946"/>
    <w:rsid w:val="00DF2CC7"/>
    <w:rsid w:val="00DF4370"/>
    <w:rsid w:val="00DF44AD"/>
    <w:rsid w:val="00DF4660"/>
    <w:rsid w:val="00DF4FE0"/>
    <w:rsid w:val="00DF53D7"/>
    <w:rsid w:val="00DF59A9"/>
    <w:rsid w:val="00DF5F7E"/>
    <w:rsid w:val="00DF7188"/>
    <w:rsid w:val="00DF7533"/>
    <w:rsid w:val="00DF7570"/>
    <w:rsid w:val="00E00EEA"/>
    <w:rsid w:val="00E012CB"/>
    <w:rsid w:val="00E013FB"/>
    <w:rsid w:val="00E01BF0"/>
    <w:rsid w:val="00E02805"/>
    <w:rsid w:val="00E02DD7"/>
    <w:rsid w:val="00E03CCA"/>
    <w:rsid w:val="00E03DEE"/>
    <w:rsid w:val="00E04611"/>
    <w:rsid w:val="00E04CF5"/>
    <w:rsid w:val="00E05843"/>
    <w:rsid w:val="00E063CF"/>
    <w:rsid w:val="00E0658D"/>
    <w:rsid w:val="00E067A5"/>
    <w:rsid w:val="00E06F28"/>
    <w:rsid w:val="00E07DD9"/>
    <w:rsid w:val="00E10E1E"/>
    <w:rsid w:val="00E10E3D"/>
    <w:rsid w:val="00E11B04"/>
    <w:rsid w:val="00E11EA3"/>
    <w:rsid w:val="00E12199"/>
    <w:rsid w:val="00E12F05"/>
    <w:rsid w:val="00E145DC"/>
    <w:rsid w:val="00E14DDF"/>
    <w:rsid w:val="00E17C43"/>
    <w:rsid w:val="00E20725"/>
    <w:rsid w:val="00E21866"/>
    <w:rsid w:val="00E21CA4"/>
    <w:rsid w:val="00E2237E"/>
    <w:rsid w:val="00E22E0F"/>
    <w:rsid w:val="00E237A4"/>
    <w:rsid w:val="00E24043"/>
    <w:rsid w:val="00E24723"/>
    <w:rsid w:val="00E25AE3"/>
    <w:rsid w:val="00E26C18"/>
    <w:rsid w:val="00E27752"/>
    <w:rsid w:val="00E3140A"/>
    <w:rsid w:val="00E31AF5"/>
    <w:rsid w:val="00E31D2F"/>
    <w:rsid w:val="00E31DB2"/>
    <w:rsid w:val="00E32F8F"/>
    <w:rsid w:val="00E33303"/>
    <w:rsid w:val="00E33E57"/>
    <w:rsid w:val="00E33EF4"/>
    <w:rsid w:val="00E34340"/>
    <w:rsid w:val="00E34533"/>
    <w:rsid w:val="00E34D6B"/>
    <w:rsid w:val="00E35846"/>
    <w:rsid w:val="00E35B46"/>
    <w:rsid w:val="00E35E7A"/>
    <w:rsid w:val="00E361C6"/>
    <w:rsid w:val="00E3698D"/>
    <w:rsid w:val="00E37567"/>
    <w:rsid w:val="00E37820"/>
    <w:rsid w:val="00E404EC"/>
    <w:rsid w:val="00E40735"/>
    <w:rsid w:val="00E4096C"/>
    <w:rsid w:val="00E417AC"/>
    <w:rsid w:val="00E41868"/>
    <w:rsid w:val="00E4263E"/>
    <w:rsid w:val="00E450F8"/>
    <w:rsid w:val="00E45385"/>
    <w:rsid w:val="00E45B8F"/>
    <w:rsid w:val="00E45DC7"/>
    <w:rsid w:val="00E46158"/>
    <w:rsid w:val="00E46284"/>
    <w:rsid w:val="00E4689C"/>
    <w:rsid w:val="00E474C6"/>
    <w:rsid w:val="00E50287"/>
    <w:rsid w:val="00E52A3C"/>
    <w:rsid w:val="00E52D6E"/>
    <w:rsid w:val="00E53001"/>
    <w:rsid w:val="00E53155"/>
    <w:rsid w:val="00E5359C"/>
    <w:rsid w:val="00E53BFB"/>
    <w:rsid w:val="00E53D87"/>
    <w:rsid w:val="00E540CC"/>
    <w:rsid w:val="00E544D4"/>
    <w:rsid w:val="00E55DDE"/>
    <w:rsid w:val="00E56142"/>
    <w:rsid w:val="00E5673D"/>
    <w:rsid w:val="00E56869"/>
    <w:rsid w:val="00E57CE7"/>
    <w:rsid w:val="00E60F4A"/>
    <w:rsid w:val="00E611A1"/>
    <w:rsid w:val="00E62613"/>
    <w:rsid w:val="00E630B4"/>
    <w:rsid w:val="00E643FC"/>
    <w:rsid w:val="00E6715F"/>
    <w:rsid w:val="00E6780E"/>
    <w:rsid w:val="00E67D4B"/>
    <w:rsid w:val="00E70069"/>
    <w:rsid w:val="00E70DA1"/>
    <w:rsid w:val="00E710B6"/>
    <w:rsid w:val="00E710C1"/>
    <w:rsid w:val="00E725D4"/>
    <w:rsid w:val="00E74ED0"/>
    <w:rsid w:val="00E7522F"/>
    <w:rsid w:val="00E752F6"/>
    <w:rsid w:val="00E753EA"/>
    <w:rsid w:val="00E7661C"/>
    <w:rsid w:val="00E76BB7"/>
    <w:rsid w:val="00E77B11"/>
    <w:rsid w:val="00E77EAD"/>
    <w:rsid w:val="00E81D3D"/>
    <w:rsid w:val="00E82455"/>
    <w:rsid w:val="00E838BE"/>
    <w:rsid w:val="00E84697"/>
    <w:rsid w:val="00E846F3"/>
    <w:rsid w:val="00E85095"/>
    <w:rsid w:val="00E853D7"/>
    <w:rsid w:val="00E855EC"/>
    <w:rsid w:val="00E85977"/>
    <w:rsid w:val="00E871A6"/>
    <w:rsid w:val="00E87981"/>
    <w:rsid w:val="00E901DB"/>
    <w:rsid w:val="00E910D4"/>
    <w:rsid w:val="00E917E2"/>
    <w:rsid w:val="00E924FD"/>
    <w:rsid w:val="00E92AE7"/>
    <w:rsid w:val="00E92DAC"/>
    <w:rsid w:val="00E935DD"/>
    <w:rsid w:val="00E9372C"/>
    <w:rsid w:val="00E93D5B"/>
    <w:rsid w:val="00E95809"/>
    <w:rsid w:val="00E95C51"/>
    <w:rsid w:val="00E96025"/>
    <w:rsid w:val="00E96A60"/>
    <w:rsid w:val="00E97187"/>
    <w:rsid w:val="00E9718E"/>
    <w:rsid w:val="00E97BD5"/>
    <w:rsid w:val="00E97D25"/>
    <w:rsid w:val="00EA071D"/>
    <w:rsid w:val="00EA0728"/>
    <w:rsid w:val="00EA1F26"/>
    <w:rsid w:val="00EA30E0"/>
    <w:rsid w:val="00EA3D91"/>
    <w:rsid w:val="00EA44BE"/>
    <w:rsid w:val="00EA4943"/>
    <w:rsid w:val="00EA5064"/>
    <w:rsid w:val="00EA5D99"/>
    <w:rsid w:val="00EA61C3"/>
    <w:rsid w:val="00EA669D"/>
    <w:rsid w:val="00EA6B1A"/>
    <w:rsid w:val="00EA6CBA"/>
    <w:rsid w:val="00EB05F9"/>
    <w:rsid w:val="00EB07E7"/>
    <w:rsid w:val="00EB0D7A"/>
    <w:rsid w:val="00EB1594"/>
    <w:rsid w:val="00EB1F23"/>
    <w:rsid w:val="00EB24C6"/>
    <w:rsid w:val="00EB28F6"/>
    <w:rsid w:val="00EB2C16"/>
    <w:rsid w:val="00EB4835"/>
    <w:rsid w:val="00EB4C9D"/>
    <w:rsid w:val="00EB574F"/>
    <w:rsid w:val="00EB6429"/>
    <w:rsid w:val="00EB666F"/>
    <w:rsid w:val="00EB795C"/>
    <w:rsid w:val="00EB7D6E"/>
    <w:rsid w:val="00EC133C"/>
    <w:rsid w:val="00EC1F05"/>
    <w:rsid w:val="00EC209F"/>
    <w:rsid w:val="00EC3562"/>
    <w:rsid w:val="00EC3F8E"/>
    <w:rsid w:val="00EC4C32"/>
    <w:rsid w:val="00EC4F89"/>
    <w:rsid w:val="00EC5611"/>
    <w:rsid w:val="00EC64BC"/>
    <w:rsid w:val="00EC7751"/>
    <w:rsid w:val="00EC79F4"/>
    <w:rsid w:val="00ED0E5B"/>
    <w:rsid w:val="00ED16EA"/>
    <w:rsid w:val="00ED3321"/>
    <w:rsid w:val="00ED3825"/>
    <w:rsid w:val="00ED3867"/>
    <w:rsid w:val="00ED418A"/>
    <w:rsid w:val="00ED46A4"/>
    <w:rsid w:val="00ED4761"/>
    <w:rsid w:val="00EE0AAE"/>
    <w:rsid w:val="00EE2644"/>
    <w:rsid w:val="00EE2A54"/>
    <w:rsid w:val="00EE333A"/>
    <w:rsid w:val="00EE3E6E"/>
    <w:rsid w:val="00EE4687"/>
    <w:rsid w:val="00EE48F5"/>
    <w:rsid w:val="00EE5075"/>
    <w:rsid w:val="00EE511A"/>
    <w:rsid w:val="00EE5968"/>
    <w:rsid w:val="00EE5C00"/>
    <w:rsid w:val="00EE65BB"/>
    <w:rsid w:val="00EE6859"/>
    <w:rsid w:val="00EE68DE"/>
    <w:rsid w:val="00EE69A3"/>
    <w:rsid w:val="00EE701B"/>
    <w:rsid w:val="00EE735B"/>
    <w:rsid w:val="00EE75D4"/>
    <w:rsid w:val="00EF0E62"/>
    <w:rsid w:val="00EF0F45"/>
    <w:rsid w:val="00EF1AE8"/>
    <w:rsid w:val="00EF2665"/>
    <w:rsid w:val="00EF2926"/>
    <w:rsid w:val="00EF2B4A"/>
    <w:rsid w:val="00EF4456"/>
    <w:rsid w:val="00EF4DD1"/>
    <w:rsid w:val="00EF5A96"/>
    <w:rsid w:val="00EF5F71"/>
    <w:rsid w:val="00EF6E29"/>
    <w:rsid w:val="00EF7F53"/>
    <w:rsid w:val="00F005E4"/>
    <w:rsid w:val="00F00B37"/>
    <w:rsid w:val="00F010DC"/>
    <w:rsid w:val="00F01817"/>
    <w:rsid w:val="00F01C25"/>
    <w:rsid w:val="00F01CF1"/>
    <w:rsid w:val="00F023CB"/>
    <w:rsid w:val="00F0252F"/>
    <w:rsid w:val="00F0302F"/>
    <w:rsid w:val="00F03931"/>
    <w:rsid w:val="00F03DA2"/>
    <w:rsid w:val="00F04C24"/>
    <w:rsid w:val="00F0506D"/>
    <w:rsid w:val="00F05BF2"/>
    <w:rsid w:val="00F065D8"/>
    <w:rsid w:val="00F06D13"/>
    <w:rsid w:val="00F06D1B"/>
    <w:rsid w:val="00F103CD"/>
    <w:rsid w:val="00F10847"/>
    <w:rsid w:val="00F10BAD"/>
    <w:rsid w:val="00F10EFE"/>
    <w:rsid w:val="00F1112E"/>
    <w:rsid w:val="00F117E5"/>
    <w:rsid w:val="00F120A0"/>
    <w:rsid w:val="00F13945"/>
    <w:rsid w:val="00F1491D"/>
    <w:rsid w:val="00F14F9A"/>
    <w:rsid w:val="00F152CF"/>
    <w:rsid w:val="00F154B4"/>
    <w:rsid w:val="00F15AB9"/>
    <w:rsid w:val="00F167AE"/>
    <w:rsid w:val="00F17846"/>
    <w:rsid w:val="00F17C92"/>
    <w:rsid w:val="00F20336"/>
    <w:rsid w:val="00F20A48"/>
    <w:rsid w:val="00F20F94"/>
    <w:rsid w:val="00F21B40"/>
    <w:rsid w:val="00F21E04"/>
    <w:rsid w:val="00F22A68"/>
    <w:rsid w:val="00F25ACC"/>
    <w:rsid w:val="00F264CB"/>
    <w:rsid w:val="00F2733E"/>
    <w:rsid w:val="00F27939"/>
    <w:rsid w:val="00F30EDA"/>
    <w:rsid w:val="00F31526"/>
    <w:rsid w:val="00F315EB"/>
    <w:rsid w:val="00F32736"/>
    <w:rsid w:val="00F33275"/>
    <w:rsid w:val="00F33ABA"/>
    <w:rsid w:val="00F3451A"/>
    <w:rsid w:val="00F34FA2"/>
    <w:rsid w:val="00F35ABB"/>
    <w:rsid w:val="00F35B7A"/>
    <w:rsid w:val="00F35D2F"/>
    <w:rsid w:val="00F36FE0"/>
    <w:rsid w:val="00F37265"/>
    <w:rsid w:val="00F407A4"/>
    <w:rsid w:val="00F4091A"/>
    <w:rsid w:val="00F40DC0"/>
    <w:rsid w:val="00F418B9"/>
    <w:rsid w:val="00F4201F"/>
    <w:rsid w:val="00F42C55"/>
    <w:rsid w:val="00F42D7F"/>
    <w:rsid w:val="00F4351D"/>
    <w:rsid w:val="00F454BA"/>
    <w:rsid w:val="00F4629A"/>
    <w:rsid w:val="00F4650A"/>
    <w:rsid w:val="00F46BAC"/>
    <w:rsid w:val="00F477C3"/>
    <w:rsid w:val="00F47CA0"/>
    <w:rsid w:val="00F5097E"/>
    <w:rsid w:val="00F50E81"/>
    <w:rsid w:val="00F51103"/>
    <w:rsid w:val="00F51D06"/>
    <w:rsid w:val="00F525B9"/>
    <w:rsid w:val="00F52DD6"/>
    <w:rsid w:val="00F5343C"/>
    <w:rsid w:val="00F540E7"/>
    <w:rsid w:val="00F54EB9"/>
    <w:rsid w:val="00F54FBA"/>
    <w:rsid w:val="00F55305"/>
    <w:rsid w:val="00F5533A"/>
    <w:rsid w:val="00F60A50"/>
    <w:rsid w:val="00F61A3C"/>
    <w:rsid w:val="00F61D7A"/>
    <w:rsid w:val="00F629B7"/>
    <w:rsid w:val="00F64A90"/>
    <w:rsid w:val="00F64B1A"/>
    <w:rsid w:val="00F65817"/>
    <w:rsid w:val="00F66554"/>
    <w:rsid w:val="00F66A5F"/>
    <w:rsid w:val="00F70093"/>
    <w:rsid w:val="00F7013D"/>
    <w:rsid w:val="00F705EF"/>
    <w:rsid w:val="00F71061"/>
    <w:rsid w:val="00F7263E"/>
    <w:rsid w:val="00F72EC2"/>
    <w:rsid w:val="00F73910"/>
    <w:rsid w:val="00F73C2F"/>
    <w:rsid w:val="00F73E8B"/>
    <w:rsid w:val="00F74336"/>
    <w:rsid w:val="00F74AB2"/>
    <w:rsid w:val="00F762C6"/>
    <w:rsid w:val="00F764A1"/>
    <w:rsid w:val="00F76652"/>
    <w:rsid w:val="00F76D17"/>
    <w:rsid w:val="00F775F7"/>
    <w:rsid w:val="00F81291"/>
    <w:rsid w:val="00F8162D"/>
    <w:rsid w:val="00F819C0"/>
    <w:rsid w:val="00F81FAD"/>
    <w:rsid w:val="00F82378"/>
    <w:rsid w:val="00F82394"/>
    <w:rsid w:val="00F823B4"/>
    <w:rsid w:val="00F8379D"/>
    <w:rsid w:val="00F8591D"/>
    <w:rsid w:val="00F85A58"/>
    <w:rsid w:val="00F86E7F"/>
    <w:rsid w:val="00F8741D"/>
    <w:rsid w:val="00F8755C"/>
    <w:rsid w:val="00F87DC3"/>
    <w:rsid w:val="00F91366"/>
    <w:rsid w:val="00F94039"/>
    <w:rsid w:val="00F9409E"/>
    <w:rsid w:val="00F9497A"/>
    <w:rsid w:val="00F9572F"/>
    <w:rsid w:val="00F95C0F"/>
    <w:rsid w:val="00F96F23"/>
    <w:rsid w:val="00F97529"/>
    <w:rsid w:val="00FA16F2"/>
    <w:rsid w:val="00FA2057"/>
    <w:rsid w:val="00FA25E3"/>
    <w:rsid w:val="00FA3835"/>
    <w:rsid w:val="00FA3971"/>
    <w:rsid w:val="00FA4AA2"/>
    <w:rsid w:val="00FA7188"/>
    <w:rsid w:val="00FA73B3"/>
    <w:rsid w:val="00FB0767"/>
    <w:rsid w:val="00FB2417"/>
    <w:rsid w:val="00FB2D99"/>
    <w:rsid w:val="00FB48E3"/>
    <w:rsid w:val="00FB5122"/>
    <w:rsid w:val="00FB5C42"/>
    <w:rsid w:val="00FB5D2B"/>
    <w:rsid w:val="00FB5F82"/>
    <w:rsid w:val="00FB6A12"/>
    <w:rsid w:val="00FB6EDC"/>
    <w:rsid w:val="00FC41E2"/>
    <w:rsid w:val="00FC4701"/>
    <w:rsid w:val="00FC472A"/>
    <w:rsid w:val="00FC4C4B"/>
    <w:rsid w:val="00FC4FCA"/>
    <w:rsid w:val="00FC4FD9"/>
    <w:rsid w:val="00FC6184"/>
    <w:rsid w:val="00FC6715"/>
    <w:rsid w:val="00FC7E13"/>
    <w:rsid w:val="00FD02C1"/>
    <w:rsid w:val="00FD06D4"/>
    <w:rsid w:val="00FD08B5"/>
    <w:rsid w:val="00FD16B4"/>
    <w:rsid w:val="00FD28AD"/>
    <w:rsid w:val="00FD2FB1"/>
    <w:rsid w:val="00FD30BB"/>
    <w:rsid w:val="00FD3B30"/>
    <w:rsid w:val="00FD3DCB"/>
    <w:rsid w:val="00FD3DF4"/>
    <w:rsid w:val="00FD4062"/>
    <w:rsid w:val="00FD4231"/>
    <w:rsid w:val="00FD4678"/>
    <w:rsid w:val="00FD474D"/>
    <w:rsid w:val="00FD54BA"/>
    <w:rsid w:val="00FD64F8"/>
    <w:rsid w:val="00FD6C0E"/>
    <w:rsid w:val="00FD6CA8"/>
    <w:rsid w:val="00FD6D15"/>
    <w:rsid w:val="00FD70F5"/>
    <w:rsid w:val="00FD73AD"/>
    <w:rsid w:val="00FD73E4"/>
    <w:rsid w:val="00FD76AF"/>
    <w:rsid w:val="00FD7CC8"/>
    <w:rsid w:val="00FD7DCD"/>
    <w:rsid w:val="00FE0210"/>
    <w:rsid w:val="00FE12E6"/>
    <w:rsid w:val="00FE141F"/>
    <w:rsid w:val="00FE1909"/>
    <w:rsid w:val="00FE2FAA"/>
    <w:rsid w:val="00FE3B9A"/>
    <w:rsid w:val="00FE3D6A"/>
    <w:rsid w:val="00FE5081"/>
    <w:rsid w:val="00FE733C"/>
    <w:rsid w:val="00FE756A"/>
    <w:rsid w:val="00FE7EA5"/>
    <w:rsid w:val="00FE7EF3"/>
    <w:rsid w:val="00FE7F91"/>
    <w:rsid w:val="00FF0506"/>
    <w:rsid w:val="00FF0814"/>
    <w:rsid w:val="00FF0F98"/>
    <w:rsid w:val="00FF14A7"/>
    <w:rsid w:val="00FF1DF2"/>
    <w:rsid w:val="00FF393B"/>
    <w:rsid w:val="00FF3CC0"/>
    <w:rsid w:val="00FF3FCF"/>
    <w:rsid w:val="00FF41AA"/>
    <w:rsid w:val="00FF47DD"/>
    <w:rsid w:val="00FF4AA2"/>
    <w:rsid w:val="00FF51F6"/>
    <w:rsid w:val="00FF64B0"/>
    <w:rsid w:val="00FF69B6"/>
    <w:rsid w:val="00FF6E30"/>
    <w:rsid w:val="00FF72D6"/>
    <w:rsid w:val="00FF7569"/>
    <w:rsid w:val="017866EB"/>
    <w:rsid w:val="01DD7603"/>
    <w:rsid w:val="01F0662A"/>
    <w:rsid w:val="02205009"/>
    <w:rsid w:val="02215B95"/>
    <w:rsid w:val="02442B18"/>
    <w:rsid w:val="02A5797C"/>
    <w:rsid w:val="03057635"/>
    <w:rsid w:val="03380CFD"/>
    <w:rsid w:val="03C15B21"/>
    <w:rsid w:val="04221608"/>
    <w:rsid w:val="04233226"/>
    <w:rsid w:val="04261904"/>
    <w:rsid w:val="044C0F5C"/>
    <w:rsid w:val="047201CA"/>
    <w:rsid w:val="04BF65CD"/>
    <w:rsid w:val="04C903BF"/>
    <w:rsid w:val="04E40AD8"/>
    <w:rsid w:val="04EF452D"/>
    <w:rsid w:val="05006294"/>
    <w:rsid w:val="051252D8"/>
    <w:rsid w:val="051907CE"/>
    <w:rsid w:val="052B0AFD"/>
    <w:rsid w:val="053762FA"/>
    <w:rsid w:val="05A51A90"/>
    <w:rsid w:val="05B97990"/>
    <w:rsid w:val="06147716"/>
    <w:rsid w:val="068F4C29"/>
    <w:rsid w:val="06A206BF"/>
    <w:rsid w:val="06E84B82"/>
    <w:rsid w:val="06EC53F6"/>
    <w:rsid w:val="071C1EAE"/>
    <w:rsid w:val="074E7412"/>
    <w:rsid w:val="075C7929"/>
    <w:rsid w:val="076566B9"/>
    <w:rsid w:val="0768379F"/>
    <w:rsid w:val="077E5820"/>
    <w:rsid w:val="07BD2769"/>
    <w:rsid w:val="07DB6C4F"/>
    <w:rsid w:val="07DC0ED5"/>
    <w:rsid w:val="07E120F0"/>
    <w:rsid w:val="081E38D7"/>
    <w:rsid w:val="083224A0"/>
    <w:rsid w:val="08797854"/>
    <w:rsid w:val="088255FB"/>
    <w:rsid w:val="095D0DDC"/>
    <w:rsid w:val="09E741E8"/>
    <w:rsid w:val="09F3293F"/>
    <w:rsid w:val="0A1557B5"/>
    <w:rsid w:val="0AB30690"/>
    <w:rsid w:val="0AC44421"/>
    <w:rsid w:val="0AD02182"/>
    <w:rsid w:val="0AE375F3"/>
    <w:rsid w:val="0AEE3E8D"/>
    <w:rsid w:val="0B447AB5"/>
    <w:rsid w:val="0B4A72E8"/>
    <w:rsid w:val="0B612706"/>
    <w:rsid w:val="0BE03FF3"/>
    <w:rsid w:val="0C0B0C91"/>
    <w:rsid w:val="0C250ECE"/>
    <w:rsid w:val="0C3C7F43"/>
    <w:rsid w:val="0C542749"/>
    <w:rsid w:val="0C6316E3"/>
    <w:rsid w:val="0C64136D"/>
    <w:rsid w:val="0C686A15"/>
    <w:rsid w:val="0C703FB4"/>
    <w:rsid w:val="0C9F3F17"/>
    <w:rsid w:val="0CC83BA8"/>
    <w:rsid w:val="0D0A36C6"/>
    <w:rsid w:val="0D4E7047"/>
    <w:rsid w:val="0DF91801"/>
    <w:rsid w:val="0E00000D"/>
    <w:rsid w:val="0E0E55BF"/>
    <w:rsid w:val="0E1A7707"/>
    <w:rsid w:val="0E397C4B"/>
    <w:rsid w:val="0E4B51DE"/>
    <w:rsid w:val="0E5939F9"/>
    <w:rsid w:val="0E8D1F29"/>
    <w:rsid w:val="0EA750C2"/>
    <w:rsid w:val="0EB82E33"/>
    <w:rsid w:val="0EF13328"/>
    <w:rsid w:val="0EFF573F"/>
    <w:rsid w:val="0F0A1D48"/>
    <w:rsid w:val="0F5613B9"/>
    <w:rsid w:val="0FA31BAB"/>
    <w:rsid w:val="0FF65ACE"/>
    <w:rsid w:val="10265B85"/>
    <w:rsid w:val="105E640F"/>
    <w:rsid w:val="109F7893"/>
    <w:rsid w:val="10A740ED"/>
    <w:rsid w:val="10EC5124"/>
    <w:rsid w:val="111769BC"/>
    <w:rsid w:val="112C217D"/>
    <w:rsid w:val="1141688D"/>
    <w:rsid w:val="115E4382"/>
    <w:rsid w:val="11A3052A"/>
    <w:rsid w:val="11AC54B3"/>
    <w:rsid w:val="11D043B1"/>
    <w:rsid w:val="11D3294E"/>
    <w:rsid w:val="11DC6AAE"/>
    <w:rsid w:val="11FB23F9"/>
    <w:rsid w:val="11FB70E0"/>
    <w:rsid w:val="121815BB"/>
    <w:rsid w:val="1242638D"/>
    <w:rsid w:val="125E4B16"/>
    <w:rsid w:val="1300732B"/>
    <w:rsid w:val="132A3213"/>
    <w:rsid w:val="133648EC"/>
    <w:rsid w:val="134A2426"/>
    <w:rsid w:val="13684C1F"/>
    <w:rsid w:val="137D305E"/>
    <w:rsid w:val="13ED3E13"/>
    <w:rsid w:val="141014E9"/>
    <w:rsid w:val="146C2D2B"/>
    <w:rsid w:val="149A6235"/>
    <w:rsid w:val="14A604D4"/>
    <w:rsid w:val="152B6D20"/>
    <w:rsid w:val="15737837"/>
    <w:rsid w:val="157E0337"/>
    <w:rsid w:val="15B53C29"/>
    <w:rsid w:val="15E41442"/>
    <w:rsid w:val="15E47986"/>
    <w:rsid w:val="15E72376"/>
    <w:rsid w:val="162A486A"/>
    <w:rsid w:val="16791363"/>
    <w:rsid w:val="1694501E"/>
    <w:rsid w:val="16A46808"/>
    <w:rsid w:val="173E47A5"/>
    <w:rsid w:val="178A1BFE"/>
    <w:rsid w:val="17A466D7"/>
    <w:rsid w:val="17A468A7"/>
    <w:rsid w:val="17AB7517"/>
    <w:rsid w:val="17BB0753"/>
    <w:rsid w:val="17F52F22"/>
    <w:rsid w:val="17F74471"/>
    <w:rsid w:val="181B044A"/>
    <w:rsid w:val="18687AB1"/>
    <w:rsid w:val="18DD324B"/>
    <w:rsid w:val="194059EA"/>
    <w:rsid w:val="19466702"/>
    <w:rsid w:val="19AD5DF4"/>
    <w:rsid w:val="19B45649"/>
    <w:rsid w:val="19C163D2"/>
    <w:rsid w:val="19C27AB6"/>
    <w:rsid w:val="19E409D9"/>
    <w:rsid w:val="19EF4ACD"/>
    <w:rsid w:val="19F10AD3"/>
    <w:rsid w:val="1A000DCA"/>
    <w:rsid w:val="1A020B9C"/>
    <w:rsid w:val="1A0744AB"/>
    <w:rsid w:val="1A623342"/>
    <w:rsid w:val="1A6C2905"/>
    <w:rsid w:val="1A6C5316"/>
    <w:rsid w:val="1A843B8C"/>
    <w:rsid w:val="1ABA7E88"/>
    <w:rsid w:val="1B0727C4"/>
    <w:rsid w:val="1B2207E3"/>
    <w:rsid w:val="1B4164E9"/>
    <w:rsid w:val="1B590172"/>
    <w:rsid w:val="1B7C5363"/>
    <w:rsid w:val="1B876500"/>
    <w:rsid w:val="1B96483B"/>
    <w:rsid w:val="1BA06EE3"/>
    <w:rsid w:val="1BDC2F2F"/>
    <w:rsid w:val="1BF5124D"/>
    <w:rsid w:val="1C1C45EE"/>
    <w:rsid w:val="1C2D4EEE"/>
    <w:rsid w:val="1C667BA4"/>
    <w:rsid w:val="1C9F2CE5"/>
    <w:rsid w:val="1CB05C0E"/>
    <w:rsid w:val="1CF70997"/>
    <w:rsid w:val="1D041A61"/>
    <w:rsid w:val="1D063449"/>
    <w:rsid w:val="1D411AB3"/>
    <w:rsid w:val="1D4D3AE3"/>
    <w:rsid w:val="1D7730A3"/>
    <w:rsid w:val="1D8D5592"/>
    <w:rsid w:val="1D8E2561"/>
    <w:rsid w:val="1D8F4C58"/>
    <w:rsid w:val="1DDA74D6"/>
    <w:rsid w:val="1DED2495"/>
    <w:rsid w:val="1E033AB4"/>
    <w:rsid w:val="1E3C4AAA"/>
    <w:rsid w:val="1E4C7AD4"/>
    <w:rsid w:val="1E6F3B2F"/>
    <w:rsid w:val="1EA24A03"/>
    <w:rsid w:val="1ECE002F"/>
    <w:rsid w:val="1F2E4A11"/>
    <w:rsid w:val="1F3F02DA"/>
    <w:rsid w:val="1F7769DA"/>
    <w:rsid w:val="1F8347FB"/>
    <w:rsid w:val="1FB03428"/>
    <w:rsid w:val="1FCA69B6"/>
    <w:rsid w:val="202B3AD6"/>
    <w:rsid w:val="20437345"/>
    <w:rsid w:val="207063E4"/>
    <w:rsid w:val="208169AE"/>
    <w:rsid w:val="20D86AD3"/>
    <w:rsid w:val="210F1DF5"/>
    <w:rsid w:val="21260B99"/>
    <w:rsid w:val="213A6533"/>
    <w:rsid w:val="213F77FA"/>
    <w:rsid w:val="21474CE5"/>
    <w:rsid w:val="2149100B"/>
    <w:rsid w:val="216A0786"/>
    <w:rsid w:val="219448B5"/>
    <w:rsid w:val="21BA57DA"/>
    <w:rsid w:val="21E746C3"/>
    <w:rsid w:val="21E956CC"/>
    <w:rsid w:val="22114F67"/>
    <w:rsid w:val="22474D32"/>
    <w:rsid w:val="22D10B16"/>
    <w:rsid w:val="23404EDA"/>
    <w:rsid w:val="23582DA0"/>
    <w:rsid w:val="235852A2"/>
    <w:rsid w:val="2398214C"/>
    <w:rsid w:val="23C96BB8"/>
    <w:rsid w:val="23FA28B9"/>
    <w:rsid w:val="23FE117C"/>
    <w:rsid w:val="24061828"/>
    <w:rsid w:val="2418508D"/>
    <w:rsid w:val="24476230"/>
    <w:rsid w:val="24514DDB"/>
    <w:rsid w:val="246900B1"/>
    <w:rsid w:val="246D5CAE"/>
    <w:rsid w:val="24730676"/>
    <w:rsid w:val="24CC013F"/>
    <w:rsid w:val="24CD3A6A"/>
    <w:rsid w:val="24D80219"/>
    <w:rsid w:val="24FE05D7"/>
    <w:rsid w:val="250F3681"/>
    <w:rsid w:val="251D142D"/>
    <w:rsid w:val="2540708D"/>
    <w:rsid w:val="255D3BAB"/>
    <w:rsid w:val="25680CC9"/>
    <w:rsid w:val="25843405"/>
    <w:rsid w:val="25AF7A5B"/>
    <w:rsid w:val="25B27A73"/>
    <w:rsid w:val="25D53C09"/>
    <w:rsid w:val="26162958"/>
    <w:rsid w:val="264E668B"/>
    <w:rsid w:val="26AE1CA6"/>
    <w:rsid w:val="26B12F55"/>
    <w:rsid w:val="26D0559E"/>
    <w:rsid w:val="26E54D7C"/>
    <w:rsid w:val="26E64614"/>
    <w:rsid w:val="26F95448"/>
    <w:rsid w:val="278D2B49"/>
    <w:rsid w:val="279871B0"/>
    <w:rsid w:val="27C25B8A"/>
    <w:rsid w:val="28764305"/>
    <w:rsid w:val="2899582D"/>
    <w:rsid w:val="28B02D0F"/>
    <w:rsid w:val="29035FEC"/>
    <w:rsid w:val="292071BD"/>
    <w:rsid w:val="293A7868"/>
    <w:rsid w:val="29C0510D"/>
    <w:rsid w:val="2A12755C"/>
    <w:rsid w:val="2A2D4C10"/>
    <w:rsid w:val="2A523031"/>
    <w:rsid w:val="2A5A579B"/>
    <w:rsid w:val="2A6B1144"/>
    <w:rsid w:val="2A700D03"/>
    <w:rsid w:val="2AAE550D"/>
    <w:rsid w:val="2ACD6CC1"/>
    <w:rsid w:val="2AFE4114"/>
    <w:rsid w:val="2B081C7A"/>
    <w:rsid w:val="2B152636"/>
    <w:rsid w:val="2B1654BD"/>
    <w:rsid w:val="2B6371C1"/>
    <w:rsid w:val="2B676C37"/>
    <w:rsid w:val="2BB14FBD"/>
    <w:rsid w:val="2BF117C4"/>
    <w:rsid w:val="2C0A0DA5"/>
    <w:rsid w:val="2C0F7428"/>
    <w:rsid w:val="2C4A0688"/>
    <w:rsid w:val="2C65163B"/>
    <w:rsid w:val="2C67054D"/>
    <w:rsid w:val="2C6C0E97"/>
    <w:rsid w:val="2C755BDA"/>
    <w:rsid w:val="2C7A45D8"/>
    <w:rsid w:val="2CFA6607"/>
    <w:rsid w:val="2D653EE9"/>
    <w:rsid w:val="2DAA5A0D"/>
    <w:rsid w:val="2DD302ED"/>
    <w:rsid w:val="2E006A99"/>
    <w:rsid w:val="2E0702D8"/>
    <w:rsid w:val="2E1454A2"/>
    <w:rsid w:val="2E2C03D1"/>
    <w:rsid w:val="2E416C4E"/>
    <w:rsid w:val="2E7E0E7D"/>
    <w:rsid w:val="2EF9680A"/>
    <w:rsid w:val="2F1D47A6"/>
    <w:rsid w:val="2F46236E"/>
    <w:rsid w:val="2F85020C"/>
    <w:rsid w:val="2F95078A"/>
    <w:rsid w:val="2FDA5F5D"/>
    <w:rsid w:val="306044C4"/>
    <w:rsid w:val="306628A7"/>
    <w:rsid w:val="306929CC"/>
    <w:rsid w:val="30853651"/>
    <w:rsid w:val="30A94B0E"/>
    <w:rsid w:val="30B314DC"/>
    <w:rsid w:val="31054145"/>
    <w:rsid w:val="31177A5C"/>
    <w:rsid w:val="312B5BD1"/>
    <w:rsid w:val="31565BFE"/>
    <w:rsid w:val="31684486"/>
    <w:rsid w:val="317E3869"/>
    <w:rsid w:val="31872415"/>
    <w:rsid w:val="31B12B2F"/>
    <w:rsid w:val="31B52146"/>
    <w:rsid w:val="31C22A1F"/>
    <w:rsid w:val="32225A29"/>
    <w:rsid w:val="32255F7E"/>
    <w:rsid w:val="32356E63"/>
    <w:rsid w:val="3257187A"/>
    <w:rsid w:val="32633A97"/>
    <w:rsid w:val="326C6530"/>
    <w:rsid w:val="32B0428C"/>
    <w:rsid w:val="32F61EB5"/>
    <w:rsid w:val="33092CF0"/>
    <w:rsid w:val="33806A62"/>
    <w:rsid w:val="3384554D"/>
    <w:rsid w:val="33A447B6"/>
    <w:rsid w:val="33C3019C"/>
    <w:rsid w:val="33CB3F9F"/>
    <w:rsid w:val="33CF6D57"/>
    <w:rsid w:val="33DC73DB"/>
    <w:rsid w:val="34017458"/>
    <w:rsid w:val="344E6B9B"/>
    <w:rsid w:val="345613F9"/>
    <w:rsid w:val="345E0AB2"/>
    <w:rsid w:val="347D5B91"/>
    <w:rsid w:val="34962661"/>
    <w:rsid w:val="34A95FF6"/>
    <w:rsid w:val="34B56155"/>
    <w:rsid w:val="34D70597"/>
    <w:rsid w:val="34F21C12"/>
    <w:rsid w:val="34FE5CF6"/>
    <w:rsid w:val="35043004"/>
    <w:rsid w:val="351612DE"/>
    <w:rsid w:val="35212EC9"/>
    <w:rsid w:val="35293EA0"/>
    <w:rsid w:val="354659C0"/>
    <w:rsid w:val="354D2B05"/>
    <w:rsid w:val="35A93679"/>
    <w:rsid w:val="35C6491B"/>
    <w:rsid w:val="35CB17D1"/>
    <w:rsid w:val="35E473E8"/>
    <w:rsid w:val="35FE485A"/>
    <w:rsid w:val="360D2F8B"/>
    <w:rsid w:val="365324D0"/>
    <w:rsid w:val="366169BA"/>
    <w:rsid w:val="366C650B"/>
    <w:rsid w:val="36830C01"/>
    <w:rsid w:val="36A414FB"/>
    <w:rsid w:val="371F1C2C"/>
    <w:rsid w:val="372107AA"/>
    <w:rsid w:val="37847AF6"/>
    <w:rsid w:val="37956EB5"/>
    <w:rsid w:val="37BA38B8"/>
    <w:rsid w:val="37C96642"/>
    <w:rsid w:val="37CD2A64"/>
    <w:rsid w:val="37DB6446"/>
    <w:rsid w:val="37E47D13"/>
    <w:rsid w:val="37F02BBC"/>
    <w:rsid w:val="38290697"/>
    <w:rsid w:val="382C032A"/>
    <w:rsid w:val="382F458C"/>
    <w:rsid w:val="38316622"/>
    <w:rsid w:val="386D4091"/>
    <w:rsid w:val="388D7ED0"/>
    <w:rsid w:val="389145C1"/>
    <w:rsid w:val="38B43C13"/>
    <w:rsid w:val="3907251E"/>
    <w:rsid w:val="39302669"/>
    <w:rsid w:val="394F3474"/>
    <w:rsid w:val="39927A9D"/>
    <w:rsid w:val="39BB4BC2"/>
    <w:rsid w:val="39F73401"/>
    <w:rsid w:val="3A0F4614"/>
    <w:rsid w:val="3A2C2AC4"/>
    <w:rsid w:val="3A516242"/>
    <w:rsid w:val="3B306789"/>
    <w:rsid w:val="3B372E52"/>
    <w:rsid w:val="3B3922D0"/>
    <w:rsid w:val="3B55784B"/>
    <w:rsid w:val="3B96023B"/>
    <w:rsid w:val="3BBB19D0"/>
    <w:rsid w:val="3BDC6CD3"/>
    <w:rsid w:val="3BF1395D"/>
    <w:rsid w:val="3C2436A0"/>
    <w:rsid w:val="3C285413"/>
    <w:rsid w:val="3C625157"/>
    <w:rsid w:val="3CAB5B44"/>
    <w:rsid w:val="3CAF6621"/>
    <w:rsid w:val="3CE86128"/>
    <w:rsid w:val="3CF37491"/>
    <w:rsid w:val="3D0F6B87"/>
    <w:rsid w:val="3D1344D5"/>
    <w:rsid w:val="3D505D14"/>
    <w:rsid w:val="3D6A58EC"/>
    <w:rsid w:val="3D80391D"/>
    <w:rsid w:val="3DB817C3"/>
    <w:rsid w:val="3DC273E2"/>
    <w:rsid w:val="3DED03E4"/>
    <w:rsid w:val="3E805CE5"/>
    <w:rsid w:val="3E8F5356"/>
    <w:rsid w:val="3EA63EF1"/>
    <w:rsid w:val="3EC172D0"/>
    <w:rsid w:val="3F9B6CDA"/>
    <w:rsid w:val="3FE03DD8"/>
    <w:rsid w:val="401629BC"/>
    <w:rsid w:val="40621407"/>
    <w:rsid w:val="406B3598"/>
    <w:rsid w:val="40A329E6"/>
    <w:rsid w:val="40EC667E"/>
    <w:rsid w:val="40F04AA5"/>
    <w:rsid w:val="40F14E1A"/>
    <w:rsid w:val="41414AC8"/>
    <w:rsid w:val="414942B9"/>
    <w:rsid w:val="41746B47"/>
    <w:rsid w:val="418B4902"/>
    <w:rsid w:val="41C1468C"/>
    <w:rsid w:val="42245EC1"/>
    <w:rsid w:val="423E2B06"/>
    <w:rsid w:val="426D0BB0"/>
    <w:rsid w:val="42701BD5"/>
    <w:rsid w:val="42AC0662"/>
    <w:rsid w:val="42F6479E"/>
    <w:rsid w:val="42FC3F26"/>
    <w:rsid w:val="430E4DF3"/>
    <w:rsid w:val="431932AC"/>
    <w:rsid w:val="4320175D"/>
    <w:rsid w:val="436F5462"/>
    <w:rsid w:val="43E00CA5"/>
    <w:rsid w:val="43EB047C"/>
    <w:rsid w:val="43F72B58"/>
    <w:rsid w:val="44394F0B"/>
    <w:rsid w:val="445F7217"/>
    <w:rsid w:val="44605A3B"/>
    <w:rsid w:val="44915959"/>
    <w:rsid w:val="4493736C"/>
    <w:rsid w:val="44B238A7"/>
    <w:rsid w:val="44EC4AFF"/>
    <w:rsid w:val="45022C14"/>
    <w:rsid w:val="45146C1F"/>
    <w:rsid w:val="452275AF"/>
    <w:rsid w:val="45246E3F"/>
    <w:rsid w:val="453B383A"/>
    <w:rsid w:val="45C5194B"/>
    <w:rsid w:val="45C97A73"/>
    <w:rsid w:val="46894C84"/>
    <w:rsid w:val="46D55B22"/>
    <w:rsid w:val="46D8067B"/>
    <w:rsid w:val="46E04968"/>
    <w:rsid w:val="472E072E"/>
    <w:rsid w:val="47403170"/>
    <w:rsid w:val="479E60F6"/>
    <w:rsid w:val="47AA0385"/>
    <w:rsid w:val="47B637DA"/>
    <w:rsid w:val="47EF0780"/>
    <w:rsid w:val="480061F0"/>
    <w:rsid w:val="480C3BD4"/>
    <w:rsid w:val="480E1BC0"/>
    <w:rsid w:val="48257C55"/>
    <w:rsid w:val="48296CE7"/>
    <w:rsid w:val="48487DA5"/>
    <w:rsid w:val="485A7751"/>
    <w:rsid w:val="486B10EB"/>
    <w:rsid w:val="48935334"/>
    <w:rsid w:val="48B26064"/>
    <w:rsid w:val="48DA6A3C"/>
    <w:rsid w:val="492D05C0"/>
    <w:rsid w:val="492E3C59"/>
    <w:rsid w:val="493255B9"/>
    <w:rsid w:val="4966410D"/>
    <w:rsid w:val="49BA7E82"/>
    <w:rsid w:val="49C22CF1"/>
    <w:rsid w:val="49CC6969"/>
    <w:rsid w:val="49E33C32"/>
    <w:rsid w:val="49FD46A2"/>
    <w:rsid w:val="4A06532E"/>
    <w:rsid w:val="4A091415"/>
    <w:rsid w:val="4A410AE9"/>
    <w:rsid w:val="4AC14C6A"/>
    <w:rsid w:val="4ACC6703"/>
    <w:rsid w:val="4B1408F3"/>
    <w:rsid w:val="4B276DC4"/>
    <w:rsid w:val="4B4403A2"/>
    <w:rsid w:val="4B506DAB"/>
    <w:rsid w:val="4B8A1187"/>
    <w:rsid w:val="4BC01B18"/>
    <w:rsid w:val="4BE25EF8"/>
    <w:rsid w:val="4BF9016B"/>
    <w:rsid w:val="4C164860"/>
    <w:rsid w:val="4C3D1411"/>
    <w:rsid w:val="4C610248"/>
    <w:rsid w:val="4CBF5183"/>
    <w:rsid w:val="4CC0622F"/>
    <w:rsid w:val="4CC82AF1"/>
    <w:rsid w:val="4CD9638C"/>
    <w:rsid w:val="4D073F0E"/>
    <w:rsid w:val="4D4D1014"/>
    <w:rsid w:val="4D5E2AFB"/>
    <w:rsid w:val="4DA47A96"/>
    <w:rsid w:val="4DB34D59"/>
    <w:rsid w:val="4DF45651"/>
    <w:rsid w:val="4E3F2E49"/>
    <w:rsid w:val="4E431304"/>
    <w:rsid w:val="4E5418F5"/>
    <w:rsid w:val="4E6523D5"/>
    <w:rsid w:val="4E8B301F"/>
    <w:rsid w:val="4ECB6351"/>
    <w:rsid w:val="4ED6203E"/>
    <w:rsid w:val="4F182BA5"/>
    <w:rsid w:val="4F5001D0"/>
    <w:rsid w:val="4F5B382B"/>
    <w:rsid w:val="4F8C0BA6"/>
    <w:rsid w:val="4FAD530C"/>
    <w:rsid w:val="4FBB2D3E"/>
    <w:rsid w:val="4FBD738D"/>
    <w:rsid w:val="5006512C"/>
    <w:rsid w:val="50580CB8"/>
    <w:rsid w:val="50852D11"/>
    <w:rsid w:val="50E23067"/>
    <w:rsid w:val="511F05D2"/>
    <w:rsid w:val="512344AA"/>
    <w:rsid w:val="520C6CA3"/>
    <w:rsid w:val="521F55D5"/>
    <w:rsid w:val="523002EA"/>
    <w:rsid w:val="526E56BF"/>
    <w:rsid w:val="5271233B"/>
    <w:rsid w:val="529571B7"/>
    <w:rsid w:val="52A303BD"/>
    <w:rsid w:val="52A61947"/>
    <w:rsid w:val="53340DAF"/>
    <w:rsid w:val="53530978"/>
    <w:rsid w:val="5367083B"/>
    <w:rsid w:val="536858C2"/>
    <w:rsid w:val="537E65ED"/>
    <w:rsid w:val="53806888"/>
    <w:rsid w:val="53DF534B"/>
    <w:rsid w:val="53DF6DF1"/>
    <w:rsid w:val="53E30348"/>
    <w:rsid w:val="53FC0C11"/>
    <w:rsid w:val="541F0FE2"/>
    <w:rsid w:val="547673AA"/>
    <w:rsid w:val="549A0B70"/>
    <w:rsid w:val="54B01C98"/>
    <w:rsid w:val="54B411E0"/>
    <w:rsid w:val="54FE2350"/>
    <w:rsid w:val="55410160"/>
    <w:rsid w:val="555A7797"/>
    <w:rsid w:val="55B956B5"/>
    <w:rsid w:val="55DE0B4C"/>
    <w:rsid w:val="55EA69B0"/>
    <w:rsid w:val="562D5B00"/>
    <w:rsid w:val="56450B34"/>
    <w:rsid w:val="564A33CE"/>
    <w:rsid w:val="56AC410E"/>
    <w:rsid w:val="56E5144E"/>
    <w:rsid w:val="56E5205E"/>
    <w:rsid w:val="573B42A9"/>
    <w:rsid w:val="577E2C87"/>
    <w:rsid w:val="577E4788"/>
    <w:rsid w:val="57827026"/>
    <w:rsid w:val="5847319D"/>
    <w:rsid w:val="5864338C"/>
    <w:rsid w:val="586C18FC"/>
    <w:rsid w:val="58A13A6A"/>
    <w:rsid w:val="58C50741"/>
    <w:rsid w:val="58F74F49"/>
    <w:rsid w:val="592447CF"/>
    <w:rsid w:val="593420F7"/>
    <w:rsid w:val="59456525"/>
    <w:rsid w:val="5961517C"/>
    <w:rsid w:val="59CE0C45"/>
    <w:rsid w:val="59D900DF"/>
    <w:rsid w:val="59E72E86"/>
    <w:rsid w:val="59EC4B86"/>
    <w:rsid w:val="59EF240B"/>
    <w:rsid w:val="5A156088"/>
    <w:rsid w:val="5A226246"/>
    <w:rsid w:val="5A2D2DDF"/>
    <w:rsid w:val="5A30317B"/>
    <w:rsid w:val="5A39533E"/>
    <w:rsid w:val="5A3D5B2C"/>
    <w:rsid w:val="5A610F0A"/>
    <w:rsid w:val="5A6D514A"/>
    <w:rsid w:val="5A845D0F"/>
    <w:rsid w:val="5A8B7291"/>
    <w:rsid w:val="5AA37A26"/>
    <w:rsid w:val="5AAC54E1"/>
    <w:rsid w:val="5ABE24A0"/>
    <w:rsid w:val="5AFF096C"/>
    <w:rsid w:val="5B5B1F9B"/>
    <w:rsid w:val="5B6E4313"/>
    <w:rsid w:val="5B885DD2"/>
    <w:rsid w:val="5B985971"/>
    <w:rsid w:val="5BD423BA"/>
    <w:rsid w:val="5BD460CB"/>
    <w:rsid w:val="5C12385D"/>
    <w:rsid w:val="5C183443"/>
    <w:rsid w:val="5C2B6B2A"/>
    <w:rsid w:val="5C3A2587"/>
    <w:rsid w:val="5C561AFE"/>
    <w:rsid w:val="5C59297F"/>
    <w:rsid w:val="5C7253CA"/>
    <w:rsid w:val="5CA130FB"/>
    <w:rsid w:val="5CEC2D02"/>
    <w:rsid w:val="5CF84DA1"/>
    <w:rsid w:val="5D251D13"/>
    <w:rsid w:val="5D3E61A8"/>
    <w:rsid w:val="5D4852BA"/>
    <w:rsid w:val="5D8533D4"/>
    <w:rsid w:val="5D884939"/>
    <w:rsid w:val="5DCE408F"/>
    <w:rsid w:val="5DDB048C"/>
    <w:rsid w:val="5E217998"/>
    <w:rsid w:val="5E3F0E38"/>
    <w:rsid w:val="5E5E2727"/>
    <w:rsid w:val="5E661948"/>
    <w:rsid w:val="5E9D6AF4"/>
    <w:rsid w:val="5EDD4EBF"/>
    <w:rsid w:val="5EE3687B"/>
    <w:rsid w:val="5EEE526E"/>
    <w:rsid w:val="5EF61739"/>
    <w:rsid w:val="5EF66864"/>
    <w:rsid w:val="5F297C06"/>
    <w:rsid w:val="5F6A4A52"/>
    <w:rsid w:val="5F752255"/>
    <w:rsid w:val="5F9E0A6A"/>
    <w:rsid w:val="5F9E12AE"/>
    <w:rsid w:val="5FAB5B1C"/>
    <w:rsid w:val="5FBB38D8"/>
    <w:rsid w:val="60087029"/>
    <w:rsid w:val="601375B4"/>
    <w:rsid w:val="60700CDD"/>
    <w:rsid w:val="608E0D9E"/>
    <w:rsid w:val="60E606B1"/>
    <w:rsid w:val="611A61EE"/>
    <w:rsid w:val="6120482C"/>
    <w:rsid w:val="61231A13"/>
    <w:rsid w:val="615803A4"/>
    <w:rsid w:val="616A1149"/>
    <w:rsid w:val="61776199"/>
    <w:rsid w:val="619F52AA"/>
    <w:rsid w:val="61A65401"/>
    <w:rsid w:val="61AC5C68"/>
    <w:rsid w:val="621E28AC"/>
    <w:rsid w:val="62AD28D4"/>
    <w:rsid w:val="62B76EDC"/>
    <w:rsid w:val="62C90C63"/>
    <w:rsid w:val="62CD7E74"/>
    <w:rsid w:val="62CE0ABB"/>
    <w:rsid w:val="63064D97"/>
    <w:rsid w:val="632E5A52"/>
    <w:rsid w:val="63407ADB"/>
    <w:rsid w:val="63706F11"/>
    <w:rsid w:val="63714023"/>
    <w:rsid w:val="63B018B7"/>
    <w:rsid w:val="63FF4AF8"/>
    <w:rsid w:val="642369E8"/>
    <w:rsid w:val="64874CCF"/>
    <w:rsid w:val="64B37C12"/>
    <w:rsid w:val="652C0965"/>
    <w:rsid w:val="654571EA"/>
    <w:rsid w:val="65552224"/>
    <w:rsid w:val="657D26ED"/>
    <w:rsid w:val="6593504F"/>
    <w:rsid w:val="65BB0599"/>
    <w:rsid w:val="65C01C16"/>
    <w:rsid w:val="65DC1D75"/>
    <w:rsid w:val="65F80D42"/>
    <w:rsid w:val="668F095B"/>
    <w:rsid w:val="66BC62A8"/>
    <w:rsid w:val="66CA64A7"/>
    <w:rsid w:val="66D432EA"/>
    <w:rsid w:val="66E61911"/>
    <w:rsid w:val="66E77307"/>
    <w:rsid w:val="66EF1B13"/>
    <w:rsid w:val="66F2418B"/>
    <w:rsid w:val="673C124B"/>
    <w:rsid w:val="674C5E3B"/>
    <w:rsid w:val="676E76E2"/>
    <w:rsid w:val="67DA29AB"/>
    <w:rsid w:val="67DD39CA"/>
    <w:rsid w:val="67FD6371"/>
    <w:rsid w:val="684A4429"/>
    <w:rsid w:val="685C4B29"/>
    <w:rsid w:val="68EA3853"/>
    <w:rsid w:val="6959235E"/>
    <w:rsid w:val="6A131E55"/>
    <w:rsid w:val="6A3E4BC8"/>
    <w:rsid w:val="6A88412A"/>
    <w:rsid w:val="6A940013"/>
    <w:rsid w:val="6AF82D5F"/>
    <w:rsid w:val="6B10696D"/>
    <w:rsid w:val="6B7A07B4"/>
    <w:rsid w:val="6BA06D70"/>
    <w:rsid w:val="6BA52999"/>
    <w:rsid w:val="6BB1751D"/>
    <w:rsid w:val="6BC047DB"/>
    <w:rsid w:val="6BDA633E"/>
    <w:rsid w:val="6BE31249"/>
    <w:rsid w:val="6C201D9E"/>
    <w:rsid w:val="6C403AF1"/>
    <w:rsid w:val="6C8C2F36"/>
    <w:rsid w:val="6C9F3DAA"/>
    <w:rsid w:val="6CD52A68"/>
    <w:rsid w:val="6D0B6026"/>
    <w:rsid w:val="6D74602D"/>
    <w:rsid w:val="6DD729A1"/>
    <w:rsid w:val="6E361819"/>
    <w:rsid w:val="6E6B1A1B"/>
    <w:rsid w:val="6EB15BD1"/>
    <w:rsid w:val="6EF9368B"/>
    <w:rsid w:val="6EFB16F7"/>
    <w:rsid w:val="6F285199"/>
    <w:rsid w:val="6F2E126D"/>
    <w:rsid w:val="6F3C0ED4"/>
    <w:rsid w:val="6F3E5A5C"/>
    <w:rsid w:val="6F565BEA"/>
    <w:rsid w:val="6F954635"/>
    <w:rsid w:val="6FAE71FB"/>
    <w:rsid w:val="6FE34223"/>
    <w:rsid w:val="708D25A6"/>
    <w:rsid w:val="708D3F0B"/>
    <w:rsid w:val="708E7EEE"/>
    <w:rsid w:val="70C32B78"/>
    <w:rsid w:val="70C641FA"/>
    <w:rsid w:val="71174C1A"/>
    <w:rsid w:val="71790EF7"/>
    <w:rsid w:val="717B5E1D"/>
    <w:rsid w:val="71DA5FB4"/>
    <w:rsid w:val="71E243E2"/>
    <w:rsid w:val="72465DE5"/>
    <w:rsid w:val="731B6A8A"/>
    <w:rsid w:val="732214FA"/>
    <w:rsid w:val="733C5076"/>
    <w:rsid w:val="737251AD"/>
    <w:rsid w:val="73B87E2D"/>
    <w:rsid w:val="73FB391E"/>
    <w:rsid w:val="741E420A"/>
    <w:rsid w:val="74396078"/>
    <w:rsid w:val="744C52C5"/>
    <w:rsid w:val="746D0E7D"/>
    <w:rsid w:val="749156C8"/>
    <w:rsid w:val="74A209A4"/>
    <w:rsid w:val="74C10203"/>
    <w:rsid w:val="757F66F9"/>
    <w:rsid w:val="75984B8E"/>
    <w:rsid w:val="75E37A6C"/>
    <w:rsid w:val="75E84DA1"/>
    <w:rsid w:val="75EB3FEA"/>
    <w:rsid w:val="76105A27"/>
    <w:rsid w:val="76164751"/>
    <w:rsid w:val="762E5DB3"/>
    <w:rsid w:val="76341FA8"/>
    <w:rsid w:val="765E3038"/>
    <w:rsid w:val="76855FEA"/>
    <w:rsid w:val="76A34C3B"/>
    <w:rsid w:val="76F45B76"/>
    <w:rsid w:val="770721AC"/>
    <w:rsid w:val="771B1955"/>
    <w:rsid w:val="77321C64"/>
    <w:rsid w:val="775862E7"/>
    <w:rsid w:val="775C04E8"/>
    <w:rsid w:val="78283A68"/>
    <w:rsid w:val="786B0812"/>
    <w:rsid w:val="78E0444A"/>
    <w:rsid w:val="78E91C53"/>
    <w:rsid w:val="78F74A34"/>
    <w:rsid w:val="7906322C"/>
    <w:rsid w:val="79275EBB"/>
    <w:rsid w:val="79284EB8"/>
    <w:rsid w:val="7972486E"/>
    <w:rsid w:val="79A436CF"/>
    <w:rsid w:val="79C5253A"/>
    <w:rsid w:val="79E4452B"/>
    <w:rsid w:val="79F000DE"/>
    <w:rsid w:val="7A28624F"/>
    <w:rsid w:val="7A2A0D31"/>
    <w:rsid w:val="7A507BB4"/>
    <w:rsid w:val="7A8F123D"/>
    <w:rsid w:val="7A9C00F9"/>
    <w:rsid w:val="7AD369E7"/>
    <w:rsid w:val="7B1D4ACF"/>
    <w:rsid w:val="7BF46F91"/>
    <w:rsid w:val="7C3302C1"/>
    <w:rsid w:val="7C7E4663"/>
    <w:rsid w:val="7CA31DE5"/>
    <w:rsid w:val="7CB542B0"/>
    <w:rsid w:val="7CF06771"/>
    <w:rsid w:val="7D245F9C"/>
    <w:rsid w:val="7D2C4E22"/>
    <w:rsid w:val="7DEE45FE"/>
    <w:rsid w:val="7DF95BEB"/>
    <w:rsid w:val="7E0057C6"/>
    <w:rsid w:val="7E0F60FD"/>
    <w:rsid w:val="7E2F6160"/>
    <w:rsid w:val="7E3D4670"/>
    <w:rsid w:val="7EA0370E"/>
    <w:rsid w:val="7EA3522B"/>
    <w:rsid w:val="7EED5DC4"/>
    <w:rsid w:val="7F6301B1"/>
    <w:rsid w:val="7F704B70"/>
    <w:rsid w:val="7FB162E8"/>
    <w:rsid w:val="7FDA36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9"/>
    <w:pPr>
      <w:keepNext/>
      <w:numPr>
        <w:ilvl w:val="0"/>
        <w:numId w:val="1"/>
      </w:numPr>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cs="Cambria"/>
      <w:b/>
      <w:bCs/>
      <w:kern w:val="0"/>
      <w:sz w:val="32"/>
      <w:szCs w:val="32"/>
    </w:rPr>
  </w:style>
  <w:style w:type="paragraph" w:styleId="4">
    <w:name w:val="heading 3"/>
    <w:basedOn w:val="1"/>
    <w:next w:val="1"/>
    <w:link w:val="32"/>
    <w:qFormat/>
    <w:uiPriority w:val="99"/>
    <w:pPr>
      <w:keepNext/>
      <w:keepLines/>
      <w:spacing w:before="260" w:after="260" w:line="416" w:lineRule="auto"/>
      <w:outlineLvl w:val="2"/>
    </w:pPr>
    <w:rPr>
      <w:b/>
      <w:bCs/>
      <w:sz w:val="32"/>
      <w:szCs w:val="32"/>
    </w:rPr>
  </w:style>
  <w:style w:type="paragraph" w:styleId="5">
    <w:name w:val="heading 4"/>
    <w:basedOn w:val="1"/>
    <w:next w:val="1"/>
    <w:link w:val="33"/>
    <w:qFormat/>
    <w:uiPriority w:val="99"/>
    <w:pPr>
      <w:keepNext/>
      <w:keepLines/>
      <w:spacing w:before="280" w:after="290" w:line="376" w:lineRule="auto"/>
      <w:outlineLvl w:val="3"/>
    </w:pPr>
    <w:rPr>
      <w:rFonts w:ascii="Calibri Light" w:hAnsi="Calibri Light" w:cs="Calibri Light"/>
      <w:b/>
      <w:bCs/>
      <w:sz w:val="28"/>
      <w:szCs w:val="28"/>
    </w:rPr>
  </w:style>
  <w:style w:type="paragraph" w:styleId="6">
    <w:name w:val="heading 5"/>
    <w:basedOn w:val="1"/>
    <w:next w:val="1"/>
    <w:link w:val="34"/>
    <w:qFormat/>
    <w:uiPriority w:val="99"/>
    <w:pPr>
      <w:keepNext/>
      <w:keepLines/>
      <w:spacing w:before="280" w:after="290" w:line="376" w:lineRule="auto"/>
      <w:outlineLvl w:val="4"/>
    </w:pPr>
    <w:rPr>
      <w:b/>
      <w:bCs/>
      <w:sz w:val="28"/>
      <w:szCs w:val="28"/>
    </w:rPr>
  </w:style>
  <w:style w:type="paragraph" w:styleId="7">
    <w:name w:val="heading 6"/>
    <w:basedOn w:val="1"/>
    <w:next w:val="1"/>
    <w:link w:val="35"/>
    <w:qFormat/>
    <w:uiPriority w:val="99"/>
    <w:pPr>
      <w:keepNext/>
      <w:keepLines/>
      <w:spacing w:before="240" w:after="64" w:line="320" w:lineRule="auto"/>
      <w:outlineLvl w:val="5"/>
    </w:pPr>
    <w:rPr>
      <w:rFonts w:ascii="Calibri Light" w:hAnsi="Calibri Light" w:cs="Calibri Light"/>
      <w:b/>
      <w:bCs/>
      <w:sz w:val="24"/>
      <w:szCs w:val="24"/>
    </w:rPr>
  </w:style>
  <w:style w:type="paragraph" w:styleId="8">
    <w:name w:val="heading 7"/>
    <w:basedOn w:val="1"/>
    <w:next w:val="1"/>
    <w:link w:val="36"/>
    <w:qFormat/>
    <w:uiPriority w:val="99"/>
    <w:pPr>
      <w:keepNext/>
      <w:keepLines/>
      <w:spacing w:before="240" w:after="64" w:line="320" w:lineRule="auto"/>
      <w:outlineLvl w:val="6"/>
    </w:pPr>
    <w:rPr>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9">
    <w:name w:val="Document Map"/>
    <w:basedOn w:val="1"/>
    <w:link w:val="37"/>
    <w:semiHidden/>
    <w:qFormat/>
    <w:uiPriority w:val="99"/>
    <w:pPr>
      <w:shd w:val="clear" w:color="auto" w:fill="000080"/>
    </w:pPr>
    <w:rPr>
      <w:kern w:val="0"/>
      <w:sz w:val="2"/>
      <w:szCs w:val="2"/>
    </w:rPr>
  </w:style>
  <w:style w:type="paragraph" w:styleId="10">
    <w:name w:val="annotation text"/>
    <w:basedOn w:val="1"/>
    <w:link w:val="38"/>
    <w:semiHidden/>
    <w:qFormat/>
    <w:uiPriority w:val="99"/>
    <w:pPr>
      <w:jc w:val="left"/>
    </w:pPr>
  </w:style>
  <w:style w:type="paragraph" w:styleId="11">
    <w:name w:val="Body Text Indent"/>
    <w:basedOn w:val="1"/>
    <w:link w:val="39"/>
    <w:qFormat/>
    <w:uiPriority w:val="99"/>
    <w:pPr>
      <w:spacing w:after="120"/>
      <w:ind w:left="420" w:leftChars="200"/>
    </w:pPr>
    <w:rPr>
      <w:kern w:val="0"/>
    </w:rPr>
  </w:style>
  <w:style w:type="paragraph" w:styleId="12">
    <w:name w:val="Plain Text"/>
    <w:basedOn w:val="1"/>
    <w:link w:val="40"/>
    <w:qFormat/>
    <w:uiPriority w:val="0"/>
    <w:rPr>
      <w:rFonts w:ascii="宋体" w:hAnsi="Courier New"/>
      <w:kern w:val="0"/>
    </w:rPr>
  </w:style>
  <w:style w:type="paragraph" w:styleId="13">
    <w:name w:val="Date"/>
    <w:basedOn w:val="1"/>
    <w:next w:val="1"/>
    <w:link w:val="41"/>
    <w:qFormat/>
    <w:uiPriority w:val="99"/>
    <w:pPr>
      <w:adjustRightInd w:val="0"/>
      <w:spacing w:line="360" w:lineRule="atLeast"/>
      <w:ind w:firstLine="454"/>
      <w:textAlignment w:val="baseline"/>
    </w:pPr>
    <w:rPr>
      <w:kern w:val="0"/>
    </w:rPr>
  </w:style>
  <w:style w:type="paragraph" w:styleId="14">
    <w:name w:val="Body Text Indent 2"/>
    <w:basedOn w:val="1"/>
    <w:link w:val="42"/>
    <w:qFormat/>
    <w:uiPriority w:val="99"/>
    <w:pPr>
      <w:ind w:firstLine="480"/>
    </w:pPr>
    <w:rPr>
      <w:kern w:val="0"/>
    </w:rPr>
  </w:style>
  <w:style w:type="paragraph" w:styleId="15">
    <w:name w:val="Balloon Text"/>
    <w:basedOn w:val="1"/>
    <w:link w:val="43"/>
    <w:semiHidden/>
    <w:qFormat/>
    <w:uiPriority w:val="99"/>
    <w:rPr>
      <w:sz w:val="18"/>
      <w:szCs w:val="18"/>
    </w:rPr>
  </w:style>
  <w:style w:type="paragraph" w:styleId="16">
    <w:name w:val="footer"/>
    <w:basedOn w:val="1"/>
    <w:link w:val="29"/>
    <w:qFormat/>
    <w:uiPriority w:val="99"/>
    <w:pPr>
      <w:tabs>
        <w:tab w:val="center" w:pos="4153"/>
        <w:tab w:val="right" w:pos="8306"/>
      </w:tabs>
      <w:snapToGrid w:val="0"/>
      <w:jc w:val="left"/>
    </w:pPr>
    <w:rPr>
      <w:kern w:val="0"/>
      <w:sz w:val="18"/>
      <w:szCs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annotation subject"/>
    <w:basedOn w:val="10"/>
    <w:next w:val="10"/>
    <w:link w:val="45"/>
    <w:semiHidden/>
    <w:qFormat/>
    <w:uiPriority w:val="99"/>
    <w:rPr>
      <w:b/>
      <w:bCs/>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qFormat/>
    <w:uiPriority w:val="99"/>
    <w:rPr>
      <w:b/>
      <w:bCs/>
    </w:rPr>
  </w:style>
  <w:style w:type="character" w:styleId="24">
    <w:name w:val="page number"/>
    <w:basedOn w:val="22"/>
    <w:qFormat/>
    <w:uiPriority w:val="99"/>
  </w:style>
  <w:style w:type="character" w:styleId="25">
    <w:name w:val="FollowedHyperlink"/>
    <w:qFormat/>
    <w:uiPriority w:val="99"/>
    <w:rPr>
      <w:color w:val="800080"/>
      <w:u w:val="single"/>
    </w:r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paragraph" w:customStyle="1" w:styleId="28">
    <w:name w:val="样式 首行缩进:  2 字符"/>
    <w:basedOn w:val="1"/>
    <w:qFormat/>
    <w:uiPriority w:val="99"/>
    <w:pPr>
      <w:widowControl w:val="0"/>
      <w:ind w:firstLine="560"/>
      <w:jc w:val="both"/>
    </w:pPr>
    <w:rPr>
      <w:kern w:val="2"/>
      <w:sz w:val="21"/>
      <w:szCs w:val="21"/>
    </w:rPr>
  </w:style>
  <w:style w:type="character" w:customStyle="1" w:styleId="29">
    <w:name w:val="页脚 Char"/>
    <w:link w:val="16"/>
    <w:semiHidden/>
    <w:qFormat/>
    <w:locked/>
    <w:uiPriority w:val="99"/>
    <w:rPr>
      <w:sz w:val="18"/>
      <w:szCs w:val="18"/>
    </w:rPr>
  </w:style>
  <w:style w:type="character" w:customStyle="1" w:styleId="30">
    <w:name w:val="标题 1 Char"/>
    <w:link w:val="2"/>
    <w:qFormat/>
    <w:locked/>
    <w:uiPriority w:val="99"/>
    <w:rPr>
      <w:b/>
      <w:bCs/>
      <w:kern w:val="44"/>
      <w:sz w:val="44"/>
      <w:szCs w:val="44"/>
    </w:rPr>
  </w:style>
  <w:style w:type="character" w:customStyle="1" w:styleId="31">
    <w:name w:val="标题 2 Char"/>
    <w:link w:val="3"/>
    <w:semiHidden/>
    <w:qFormat/>
    <w:locked/>
    <w:uiPriority w:val="99"/>
    <w:rPr>
      <w:rFonts w:ascii="Cambria" w:hAnsi="Cambria" w:eastAsia="宋体" w:cs="Cambria"/>
      <w:b/>
      <w:bCs/>
      <w:sz w:val="32"/>
      <w:szCs w:val="32"/>
    </w:rPr>
  </w:style>
  <w:style w:type="character" w:customStyle="1" w:styleId="32">
    <w:name w:val="标题 3 Char"/>
    <w:link w:val="4"/>
    <w:qFormat/>
    <w:locked/>
    <w:uiPriority w:val="99"/>
    <w:rPr>
      <w:b/>
      <w:bCs/>
      <w:kern w:val="2"/>
      <w:sz w:val="32"/>
      <w:szCs w:val="32"/>
    </w:rPr>
  </w:style>
  <w:style w:type="character" w:customStyle="1" w:styleId="33">
    <w:name w:val="标题 4 Char"/>
    <w:link w:val="5"/>
    <w:semiHidden/>
    <w:qFormat/>
    <w:locked/>
    <w:uiPriority w:val="99"/>
    <w:rPr>
      <w:rFonts w:ascii="Calibri Light" w:hAnsi="Calibri Light" w:eastAsia="宋体" w:cs="Calibri Light"/>
      <w:b/>
      <w:bCs/>
      <w:kern w:val="2"/>
      <w:sz w:val="28"/>
      <w:szCs w:val="28"/>
    </w:rPr>
  </w:style>
  <w:style w:type="character" w:customStyle="1" w:styleId="34">
    <w:name w:val="标题 5 Char"/>
    <w:link w:val="6"/>
    <w:semiHidden/>
    <w:qFormat/>
    <w:locked/>
    <w:uiPriority w:val="99"/>
    <w:rPr>
      <w:b/>
      <w:bCs/>
      <w:kern w:val="2"/>
      <w:sz w:val="28"/>
      <w:szCs w:val="28"/>
    </w:rPr>
  </w:style>
  <w:style w:type="character" w:customStyle="1" w:styleId="35">
    <w:name w:val="标题 6 Char"/>
    <w:link w:val="7"/>
    <w:semiHidden/>
    <w:qFormat/>
    <w:locked/>
    <w:uiPriority w:val="99"/>
    <w:rPr>
      <w:rFonts w:ascii="Calibri Light" w:hAnsi="Calibri Light" w:eastAsia="宋体" w:cs="Calibri Light"/>
      <w:b/>
      <w:bCs/>
      <w:kern w:val="2"/>
      <w:sz w:val="24"/>
      <w:szCs w:val="24"/>
    </w:rPr>
  </w:style>
  <w:style w:type="character" w:customStyle="1" w:styleId="36">
    <w:name w:val="标题 7 Char"/>
    <w:link w:val="8"/>
    <w:semiHidden/>
    <w:qFormat/>
    <w:locked/>
    <w:uiPriority w:val="99"/>
    <w:rPr>
      <w:b/>
      <w:bCs/>
      <w:kern w:val="2"/>
      <w:sz w:val="24"/>
      <w:szCs w:val="24"/>
    </w:rPr>
  </w:style>
  <w:style w:type="character" w:customStyle="1" w:styleId="37">
    <w:name w:val="文档结构图 Char"/>
    <w:link w:val="9"/>
    <w:semiHidden/>
    <w:qFormat/>
    <w:locked/>
    <w:uiPriority w:val="99"/>
    <w:rPr>
      <w:sz w:val="2"/>
      <w:szCs w:val="2"/>
    </w:rPr>
  </w:style>
  <w:style w:type="character" w:customStyle="1" w:styleId="38">
    <w:name w:val="批注文字 Char"/>
    <w:link w:val="10"/>
    <w:qFormat/>
    <w:locked/>
    <w:uiPriority w:val="99"/>
    <w:rPr>
      <w:kern w:val="2"/>
      <w:sz w:val="21"/>
      <w:szCs w:val="21"/>
    </w:rPr>
  </w:style>
  <w:style w:type="character" w:customStyle="1" w:styleId="39">
    <w:name w:val="正文文本缩进 Char"/>
    <w:link w:val="11"/>
    <w:semiHidden/>
    <w:qFormat/>
    <w:locked/>
    <w:uiPriority w:val="99"/>
    <w:rPr>
      <w:sz w:val="21"/>
      <w:szCs w:val="21"/>
    </w:rPr>
  </w:style>
  <w:style w:type="character" w:customStyle="1" w:styleId="40">
    <w:name w:val="纯文本 Char"/>
    <w:link w:val="12"/>
    <w:qFormat/>
    <w:locked/>
    <w:uiPriority w:val="99"/>
    <w:rPr>
      <w:rFonts w:ascii="宋体" w:hAnsi="Courier New" w:cs="宋体"/>
      <w:sz w:val="21"/>
      <w:szCs w:val="21"/>
    </w:rPr>
  </w:style>
  <w:style w:type="character" w:customStyle="1" w:styleId="41">
    <w:name w:val="日期 Char"/>
    <w:link w:val="13"/>
    <w:semiHidden/>
    <w:qFormat/>
    <w:locked/>
    <w:uiPriority w:val="99"/>
    <w:rPr>
      <w:sz w:val="21"/>
      <w:szCs w:val="21"/>
    </w:rPr>
  </w:style>
  <w:style w:type="character" w:customStyle="1" w:styleId="42">
    <w:name w:val="正文文本缩进 2 Char"/>
    <w:link w:val="14"/>
    <w:semiHidden/>
    <w:qFormat/>
    <w:locked/>
    <w:uiPriority w:val="99"/>
    <w:rPr>
      <w:sz w:val="21"/>
      <w:szCs w:val="21"/>
    </w:rPr>
  </w:style>
  <w:style w:type="character" w:customStyle="1" w:styleId="43">
    <w:name w:val="批注框文本 Char"/>
    <w:link w:val="15"/>
    <w:qFormat/>
    <w:locked/>
    <w:uiPriority w:val="99"/>
    <w:rPr>
      <w:kern w:val="2"/>
      <w:sz w:val="18"/>
      <w:szCs w:val="18"/>
    </w:rPr>
  </w:style>
  <w:style w:type="character" w:customStyle="1" w:styleId="44">
    <w:name w:val="页眉 Char"/>
    <w:link w:val="17"/>
    <w:semiHidden/>
    <w:qFormat/>
    <w:locked/>
    <w:uiPriority w:val="99"/>
    <w:rPr>
      <w:sz w:val="18"/>
      <w:szCs w:val="18"/>
    </w:rPr>
  </w:style>
  <w:style w:type="character" w:customStyle="1" w:styleId="45">
    <w:name w:val="批注主题 Char"/>
    <w:link w:val="19"/>
    <w:qFormat/>
    <w:locked/>
    <w:uiPriority w:val="99"/>
    <w:rPr>
      <w:b/>
      <w:bCs/>
      <w:kern w:val="2"/>
      <w:sz w:val="21"/>
      <w:szCs w:val="21"/>
    </w:rPr>
  </w:style>
  <w:style w:type="character" w:customStyle="1" w:styleId="46">
    <w:name w:val="Body Text Indent Char"/>
    <w:qFormat/>
    <w:locked/>
    <w:uiPriority w:val="99"/>
    <w:rPr>
      <w:kern w:val="2"/>
      <w:sz w:val="21"/>
      <w:szCs w:val="21"/>
    </w:rPr>
  </w:style>
  <w:style w:type="character" w:customStyle="1" w:styleId="47">
    <w:name w:val="Plain Text Char"/>
    <w:qFormat/>
    <w:locked/>
    <w:uiPriority w:val="99"/>
    <w:rPr>
      <w:rFonts w:ascii="宋体" w:hAnsi="Courier New" w:cs="宋体"/>
      <w:kern w:val="2"/>
      <w:sz w:val="21"/>
      <w:szCs w:val="21"/>
    </w:rPr>
  </w:style>
  <w:style w:type="character" w:customStyle="1" w:styleId="48">
    <w:name w:val="Body Text Indent 2 Char"/>
    <w:qFormat/>
    <w:locked/>
    <w:uiPriority w:val="99"/>
    <w:rPr>
      <w:rFonts w:ascii="宋体" w:eastAsia="宋体" w:cs="宋体"/>
      <w:kern w:val="2"/>
      <w:sz w:val="24"/>
      <w:szCs w:val="24"/>
    </w:rPr>
  </w:style>
  <w:style w:type="character" w:customStyle="1" w:styleId="49">
    <w:name w:val="Footer Char"/>
    <w:qFormat/>
    <w:locked/>
    <w:uiPriority w:val="99"/>
    <w:rPr>
      <w:kern w:val="2"/>
      <w:sz w:val="18"/>
      <w:szCs w:val="18"/>
    </w:rPr>
  </w:style>
  <w:style w:type="character" w:customStyle="1" w:styleId="50">
    <w:name w:val="case31"/>
    <w:qFormat/>
    <w:uiPriority w:val="0"/>
    <w:rPr>
      <w:rFonts w:ascii="??" w:hAnsi="??" w:cs="??"/>
      <w:sz w:val="21"/>
      <w:szCs w:val="21"/>
    </w:rPr>
  </w:style>
  <w:style w:type="character" w:customStyle="1" w:styleId="51">
    <w:name w:val="hs14"/>
    <w:basedOn w:val="22"/>
    <w:qFormat/>
    <w:uiPriority w:val="99"/>
  </w:style>
  <w:style w:type="character" w:customStyle="1" w:styleId="52">
    <w:name w:val="p2"/>
    <w:basedOn w:val="22"/>
    <w:qFormat/>
    <w:uiPriority w:val="99"/>
  </w:style>
  <w:style w:type="paragraph" w:customStyle="1" w:styleId="53">
    <w:name w:val="段"/>
    <w:qFormat/>
    <w:uiPriority w:val="99"/>
    <w:pPr>
      <w:autoSpaceDE w:val="0"/>
      <w:autoSpaceDN w:val="0"/>
      <w:ind w:firstLine="200" w:firstLineChars="200"/>
      <w:jc w:val="both"/>
    </w:pPr>
    <w:rPr>
      <w:rFonts w:ascii="宋体" w:hAnsi="Times New Roman" w:eastAsia="宋体" w:cs="宋体"/>
      <w:sz w:val="22"/>
      <w:szCs w:val="22"/>
      <w:lang w:val="en-US" w:eastAsia="en-US" w:bidi="ar-SA"/>
    </w:rPr>
  </w:style>
  <w:style w:type="paragraph" w:customStyle="1" w:styleId="54">
    <w:name w:val="列出段落1"/>
    <w:basedOn w:val="1"/>
    <w:qFormat/>
    <w:uiPriority w:val="99"/>
    <w:pPr>
      <w:ind w:firstLine="420" w:firstLineChars="200"/>
    </w:pPr>
  </w:style>
  <w:style w:type="paragraph" w:customStyle="1" w:styleId="55">
    <w:name w:val="Char1 Char Char Char"/>
    <w:basedOn w:val="1"/>
    <w:qFormat/>
    <w:uiPriority w:val="99"/>
    <w:pPr>
      <w:tabs>
        <w:tab w:val="left" w:pos="990"/>
      </w:tabs>
      <w:ind w:left="990" w:hanging="420"/>
    </w:pPr>
  </w:style>
  <w:style w:type="paragraph" w:customStyle="1" w:styleId="56">
    <w:name w:val="文件正文"/>
    <w:qFormat/>
    <w:uiPriority w:val="99"/>
    <w:pPr>
      <w:ind w:firstLine="200" w:firstLineChars="200"/>
      <w:jc w:val="both"/>
    </w:pPr>
    <w:rPr>
      <w:rFonts w:ascii="Times New Roman" w:hAnsi="Times New Roman" w:eastAsia="仿宋" w:cs="Times New Roman"/>
      <w:sz w:val="32"/>
      <w:szCs w:val="32"/>
      <w:lang w:val="en-US" w:eastAsia="zh-CN" w:bidi="ar-SA"/>
    </w:rPr>
  </w:style>
  <w:style w:type="paragraph" w:customStyle="1" w:styleId="57">
    <w:name w:val="Char Char Char Char"/>
    <w:basedOn w:val="1"/>
    <w:qFormat/>
    <w:uiPriority w:val="99"/>
    <w:pPr>
      <w:widowControl/>
      <w:spacing w:after="160" w:line="240" w:lineRule="exact"/>
      <w:jc w:val="left"/>
    </w:pPr>
    <w:rPr>
      <w:rFonts w:ascii="Verdana" w:hAnsi="Verdana" w:cs="Verdana"/>
      <w:kern w:val="0"/>
      <w:lang w:eastAsia="en-US"/>
    </w:rPr>
  </w:style>
  <w:style w:type="paragraph" w:customStyle="1" w:styleId="58">
    <w:name w:val="p0"/>
    <w:basedOn w:val="1"/>
    <w:qFormat/>
    <w:uiPriority w:val="99"/>
    <w:pPr>
      <w:widowControl/>
    </w:pPr>
    <w:rPr>
      <w:rFonts w:ascii="Calibri" w:hAnsi="Calibri" w:cs="Calibri"/>
      <w:kern w:val="0"/>
    </w:rPr>
  </w:style>
  <w:style w:type="paragraph" w:customStyle="1" w:styleId="59">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Char Char Char"/>
    <w:basedOn w:val="9"/>
    <w:qFormat/>
    <w:uiPriority w:val="99"/>
    <w:rPr>
      <w:rFonts w:ascii="Tahoma" w:hAnsi="Tahoma" w:cs="Tahoma"/>
      <w:sz w:val="24"/>
      <w:szCs w:val="24"/>
    </w:rPr>
  </w:style>
  <w:style w:type="paragraph" w:customStyle="1" w:styleId="61">
    <w:name w:val="正文表标题"/>
    <w:next w:val="1"/>
    <w:qFormat/>
    <w:uiPriority w:val="99"/>
    <w:pPr>
      <w:tabs>
        <w:tab w:val="left" w:pos="360"/>
      </w:tabs>
      <w:ind w:left="360" w:hanging="360"/>
      <w:jc w:val="center"/>
    </w:pPr>
    <w:rPr>
      <w:rFonts w:ascii="黑体" w:hAnsi="Times New Roman" w:eastAsia="黑体" w:cs="黑体"/>
      <w:sz w:val="22"/>
      <w:szCs w:val="22"/>
      <w:lang w:val="en-US" w:eastAsia="en-US" w:bidi="ar-SA"/>
    </w:rPr>
  </w:style>
  <w:style w:type="paragraph" w:customStyle="1" w:styleId="62">
    <w:name w:val="列出段落2"/>
    <w:basedOn w:val="1"/>
    <w:link w:val="63"/>
    <w:qFormat/>
    <w:uiPriority w:val="99"/>
    <w:pPr>
      <w:ind w:firstLine="420" w:firstLineChars="200"/>
    </w:pPr>
    <w:rPr>
      <w:rFonts w:ascii="Calibri" w:hAnsi="Calibri" w:eastAsia="仿宋"/>
      <w:sz w:val="22"/>
      <w:szCs w:val="22"/>
    </w:rPr>
  </w:style>
  <w:style w:type="character" w:customStyle="1" w:styleId="63">
    <w:name w:val="列出段落 Char"/>
    <w:link w:val="62"/>
    <w:qFormat/>
    <w:locked/>
    <w:uiPriority w:val="99"/>
    <w:rPr>
      <w:rFonts w:ascii="Calibri" w:hAnsi="Calibri" w:eastAsia="仿宋" w:cs="Calibri"/>
      <w:kern w:val="2"/>
      <w:sz w:val="22"/>
      <w:szCs w:val="22"/>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Char Char Char1"/>
    <w:basedOn w:val="9"/>
    <w:qFormat/>
    <w:uiPriority w:val="99"/>
    <w:rPr>
      <w:rFonts w:ascii="Tahoma" w:hAnsi="Tahoma" w:cs="Tahoma"/>
      <w:sz w:val="24"/>
      <w:szCs w:val="24"/>
    </w:rPr>
  </w:style>
  <w:style w:type="paragraph" w:customStyle="1" w:styleId="66">
    <w:name w:val="标书样式"/>
    <w:basedOn w:val="1"/>
    <w:qFormat/>
    <w:uiPriority w:val="99"/>
    <w:pPr>
      <w:widowControl/>
      <w:spacing w:line="360" w:lineRule="auto"/>
      <w:ind w:firstLine="200" w:firstLineChars="200"/>
      <w:jc w:val="left"/>
    </w:pPr>
    <w:rPr>
      <w:rFonts w:ascii="Calibri" w:hAnsi="Calibri" w:cs="Calibri"/>
      <w:kern w:val="0"/>
      <w:sz w:val="24"/>
      <w:szCs w:val="24"/>
      <w:lang w:eastAsia="en-US"/>
    </w:rPr>
  </w:style>
  <w:style w:type="paragraph" w:customStyle="1" w:styleId="67">
    <w:name w:val="xl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LX-7级"/>
    <w:basedOn w:val="8"/>
    <w:next w:val="1"/>
    <w:qFormat/>
    <w:uiPriority w:val="99"/>
    <w:pPr>
      <w:numPr>
        <w:ilvl w:val="6"/>
        <w:numId w:val="2"/>
      </w:numPr>
      <w:tabs>
        <w:tab w:val="left" w:pos="2940"/>
      </w:tabs>
      <w:spacing w:after="240" w:line="240" w:lineRule="auto"/>
      <w:ind w:left="2940" w:hanging="420"/>
    </w:pPr>
    <w:rPr>
      <w:rFonts w:ascii="宋体" w:hAnsi="宋体" w:cs="宋体"/>
      <w:kern w:val="0"/>
    </w:rPr>
  </w:style>
  <w:style w:type="paragraph" w:customStyle="1" w:styleId="69">
    <w:name w:val="LX-6级"/>
    <w:basedOn w:val="7"/>
    <w:next w:val="1"/>
    <w:qFormat/>
    <w:uiPriority w:val="99"/>
    <w:pPr>
      <w:numPr>
        <w:ilvl w:val="5"/>
        <w:numId w:val="2"/>
      </w:numPr>
      <w:tabs>
        <w:tab w:val="left" w:pos="2520"/>
      </w:tabs>
      <w:spacing w:after="240" w:line="240" w:lineRule="auto"/>
      <w:ind w:left="2520" w:hanging="420"/>
    </w:pPr>
    <w:rPr>
      <w:rFonts w:ascii="宋体" w:hAnsi="宋体" w:cs="宋体"/>
      <w:kern w:val="0"/>
    </w:rPr>
  </w:style>
  <w:style w:type="paragraph" w:customStyle="1" w:styleId="70">
    <w:name w:val="LX-5级"/>
    <w:basedOn w:val="6"/>
    <w:next w:val="1"/>
    <w:qFormat/>
    <w:uiPriority w:val="99"/>
    <w:pPr>
      <w:numPr>
        <w:ilvl w:val="4"/>
        <w:numId w:val="2"/>
      </w:numPr>
      <w:tabs>
        <w:tab w:val="left" w:pos="2100"/>
      </w:tabs>
      <w:spacing w:before="240" w:after="240" w:line="240" w:lineRule="auto"/>
      <w:ind w:left="2100" w:hanging="420"/>
    </w:pPr>
    <w:rPr>
      <w:rFonts w:ascii="宋体" w:hAnsi="宋体" w:cs="宋体"/>
      <w:kern w:val="0"/>
    </w:rPr>
  </w:style>
  <w:style w:type="paragraph" w:customStyle="1" w:styleId="71">
    <w:name w:val="LX-4级"/>
    <w:basedOn w:val="5"/>
    <w:next w:val="1"/>
    <w:link w:val="72"/>
    <w:qFormat/>
    <w:uiPriority w:val="99"/>
    <w:pPr>
      <w:numPr>
        <w:ilvl w:val="3"/>
        <w:numId w:val="2"/>
      </w:numPr>
      <w:spacing w:before="240" w:after="240" w:line="240" w:lineRule="auto"/>
    </w:pPr>
    <w:rPr>
      <w:rFonts w:ascii="宋体" w:hAnsi="Times New Roman" w:cs="Times New Roman"/>
      <w:kern w:val="0"/>
    </w:rPr>
  </w:style>
  <w:style w:type="character" w:customStyle="1" w:styleId="72">
    <w:name w:val="LX-4级 Char"/>
    <w:link w:val="71"/>
    <w:qFormat/>
    <w:locked/>
    <w:uiPriority w:val="99"/>
    <w:rPr>
      <w:rFonts w:ascii="宋体" w:eastAsia="宋体" w:cs="宋体"/>
      <w:b/>
      <w:bCs/>
      <w:sz w:val="28"/>
      <w:szCs w:val="28"/>
    </w:rPr>
  </w:style>
  <w:style w:type="paragraph" w:customStyle="1" w:styleId="73">
    <w:name w:val="LX-3级"/>
    <w:basedOn w:val="4"/>
    <w:next w:val="1"/>
    <w:qFormat/>
    <w:uiPriority w:val="99"/>
    <w:pPr>
      <w:spacing w:before="240" w:after="240" w:line="240" w:lineRule="auto"/>
    </w:pPr>
    <w:rPr>
      <w:rFonts w:ascii="宋体" w:hAnsi="宋体" w:cs="宋体"/>
      <w:kern w:val="0"/>
      <w:sz w:val="30"/>
      <w:szCs w:val="30"/>
    </w:rPr>
  </w:style>
  <w:style w:type="paragraph" w:customStyle="1" w:styleId="74">
    <w:name w:val="LX-2级"/>
    <w:basedOn w:val="3"/>
    <w:next w:val="1"/>
    <w:qFormat/>
    <w:uiPriority w:val="99"/>
    <w:pPr>
      <w:spacing w:before="240" w:after="240" w:line="240" w:lineRule="auto"/>
    </w:pPr>
    <w:rPr>
      <w:rFonts w:ascii="宋体" w:hAnsi="宋体" w:cs="宋体"/>
    </w:rPr>
  </w:style>
  <w:style w:type="paragraph" w:customStyle="1" w:styleId="75">
    <w:name w:val="LX-1级"/>
    <w:basedOn w:val="2"/>
    <w:next w:val="1"/>
    <w:qFormat/>
    <w:uiPriority w:val="99"/>
    <w:pPr>
      <w:keepLines/>
      <w:numPr>
        <w:numId w:val="0"/>
      </w:numPr>
      <w:spacing w:before="240" w:after="240"/>
    </w:pPr>
    <w:rPr>
      <w:rFonts w:ascii="宋体" w:hAnsi="宋体" w:cs="宋体"/>
      <w:sz w:val="36"/>
      <w:szCs w:val="36"/>
    </w:rPr>
  </w:style>
  <w:style w:type="paragraph" w:customStyle="1" w:styleId="76">
    <w:name w:val="LX-正文"/>
    <w:basedOn w:val="1"/>
    <w:link w:val="77"/>
    <w:qFormat/>
    <w:uiPriority w:val="99"/>
    <w:pPr>
      <w:spacing w:beforeLines="50" w:afterLines="50" w:line="360" w:lineRule="exact"/>
      <w:ind w:firstLine="200" w:firstLineChars="200"/>
    </w:pPr>
    <w:rPr>
      <w:rFonts w:ascii="宋体"/>
      <w:color w:val="000000"/>
      <w:kern w:val="0"/>
      <w:sz w:val="24"/>
      <w:szCs w:val="24"/>
    </w:rPr>
  </w:style>
  <w:style w:type="character" w:customStyle="1" w:styleId="77">
    <w:name w:val="LX-正文 Char"/>
    <w:link w:val="76"/>
    <w:qFormat/>
    <w:locked/>
    <w:uiPriority w:val="99"/>
    <w:rPr>
      <w:rFonts w:ascii="宋体" w:eastAsia="宋体" w:cs="宋体"/>
      <w:color w:val="000000"/>
      <w:sz w:val="24"/>
      <w:szCs w:val="24"/>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0">
    <w:name w:val="xl69"/>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8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新宋体"/>
      <w:kern w:val="0"/>
      <w:sz w:val="24"/>
      <w:szCs w:val="24"/>
    </w:rPr>
  </w:style>
  <w:style w:type="paragraph" w:customStyle="1" w:styleId="8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新宋体"/>
      <w:kern w:val="0"/>
      <w:sz w:val="24"/>
      <w:szCs w:val="24"/>
    </w:rPr>
  </w:style>
  <w:style w:type="paragraph" w:customStyle="1" w:styleId="8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75"/>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left"/>
    </w:pPr>
    <w:rPr>
      <w:rFonts w:ascii="新宋体" w:hAnsi="新宋体" w:eastAsia="新宋体" w:cs="新宋体"/>
      <w:b/>
      <w:bCs/>
      <w:kern w:val="0"/>
      <w:sz w:val="24"/>
      <w:szCs w:val="24"/>
    </w:rPr>
  </w:style>
  <w:style w:type="paragraph" w:customStyle="1" w:styleId="86">
    <w:name w:val="xl76"/>
    <w:basedOn w:val="1"/>
    <w:qFormat/>
    <w:uiPriority w:val="99"/>
    <w:pPr>
      <w:widowControl/>
      <w:pBdr>
        <w:top w:val="single" w:color="auto" w:sz="4" w:space="0"/>
        <w:bottom w:val="single" w:color="auto" w:sz="4" w:space="0"/>
      </w:pBdr>
      <w:shd w:val="clear" w:color="000000" w:fill="FFFF00"/>
      <w:spacing w:before="100" w:beforeAutospacing="1" w:after="100" w:afterAutospacing="1"/>
      <w:jc w:val="left"/>
    </w:pPr>
    <w:rPr>
      <w:rFonts w:ascii="新宋体" w:hAnsi="新宋体" w:eastAsia="新宋体" w:cs="新宋体"/>
      <w:b/>
      <w:bCs/>
      <w:kern w:val="0"/>
      <w:sz w:val="24"/>
      <w:szCs w:val="24"/>
    </w:rPr>
  </w:style>
  <w:style w:type="paragraph" w:customStyle="1" w:styleId="87">
    <w:name w:val="xl77"/>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pPr>
    <w:rPr>
      <w:rFonts w:ascii="新宋体" w:hAnsi="新宋体" w:eastAsia="新宋体" w:cs="新宋体"/>
      <w:b/>
      <w:bCs/>
      <w:kern w:val="0"/>
      <w:sz w:val="24"/>
      <w:szCs w:val="24"/>
    </w:rPr>
  </w:style>
  <w:style w:type="paragraph" w:customStyle="1" w:styleId="8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9">
    <w:name w:val="xl7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新宋体" w:hAnsi="新宋体" w:eastAsia="新宋体" w:cs="新宋体"/>
      <w:b/>
      <w:bCs/>
      <w:kern w:val="0"/>
      <w:sz w:val="24"/>
      <w:szCs w:val="24"/>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新宋体" w:hAnsi="新宋体" w:eastAsia="新宋体" w:cs="新宋体"/>
      <w:b/>
      <w:bCs/>
      <w:kern w:val="0"/>
      <w:sz w:val="24"/>
      <w:szCs w:val="24"/>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新宋体" w:hAnsi="新宋体" w:eastAsia="新宋体" w:cs="新宋体"/>
      <w:b/>
      <w:bCs/>
      <w:kern w:val="0"/>
      <w:sz w:val="24"/>
      <w:szCs w:val="24"/>
    </w:rPr>
  </w:style>
  <w:style w:type="paragraph" w:customStyle="1" w:styleId="9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新宋体"/>
      <w:kern w:val="0"/>
      <w:sz w:val="24"/>
      <w:szCs w:val="24"/>
    </w:rPr>
  </w:style>
  <w:style w:type="paragraph" w:customStyle="1" w:styleId="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新宋体"/>
      <w:kern w:val="0"/>
      <w:sz w:val="24"/>
      <w:szCs w:val="24"/>
    </w:rPr>
  </w:style>
  <w:style w:type="paragraph" w:customStyle="1" w:styleId="10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01">
    <w:name w:val="xl9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02">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0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0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6">
    <w:name w:val="xl7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List Paragraph1"/>
    <w:basedOn w:val="1"/>
    <w:qFormat/>
    <w:uiPriority w:val="99"/>
    <w:pPr>
      <w:ind w:firstLine="420" w:firstLineChars="200"/>
    </w:pPr>
  </w:style>
  <w:style w:type="paragraph" w:customStyle="1" w:styleId="108">
    <w:name w:val="z-窗体顶端1"/>
    <w:basedOn w:val="1"/>
    <w:next w:val="1"/>
    <w:link w:val="109"/>
    <w:semiHidden/>
    <w:qFormat/>
    <w:locked/>
    <w:uiPriority w:val="99"/>
    <w:pPr>
      <w:widowControl/>
      <w:pBdr>
        <w:bottom w:val="single" w:color="auto" w:sz="6" w:space="1"/>
      </w:pBdr>
      <w:jc w:val="center"/>
    </w:pPr>
    <w:rPr>
      <w:rFonts w:ascii="Arial" w:hAnsi="Arial"/>
      <w:vanish/>
      <w:kern w:val="0"/>
      <w:sz w:val="16"/>
      <w:szCs w:val="16"/>
    </w:rPr>
  </w:style>
  <w:style w:type="character" w:customStyle="1" w:styleId="109">
    <w:name w:val="z-窗体顶端 Char"/>
    <w:link w:val="108"/>
    <w:semiHidden/>
    <w:qFormat/>
    <w:locked/>
    <w:uiPriority w:val="99"/>
    <w:rPr>
      <w:rFonts w:ascii="Arial" w:hAnsi="Arial" w:eastAsia="宋体" w:cs="Arial"/>
      <w:vanish/>
      <w:sz w:val="16"/>
      <w:szCs w:val="16"/>
      <w:lang w:val="en-US" w:eastAsia="zh-CN"/>
    </w:rPr>
  </w:style>
  <w:style w:type="paragraph" w:customStyle="1" w:styleId="110">
    <w:name w:val="z-窗体底端1"/>
    <w:basedOn w:val="1"/>
    <w:next w:val="1"/>
    <w:link w:val="111"/>
    <w:qFormat/>
    <w:locked/>
    <w:uiPriority w:val="99"/>
    <w:pPr>
      <w:widowControl/>
      <w:pBdr>
        <w:top w:val="single" w:color="auto" w:sz="6" w:space="1"/>
      </w:pBdr>
      <w:jc w:val="center"/>
    </w:pPr>
    <w:rPr>
      <w:rFonts w:ascii="Arial" w:hAnsi="Arial"/>
      <w:vanish/>
      <w:kern w:val="0"/>
      <w:sz w:val="16"/>
      <w:szCs w:val="16"/>
    </w:rPr>
  </w:style>
  <w:style w:type="character" w:customStyle="1" w:styleId="111">
    <w:name w:val="z-窗体底端 Char"/>
    <w:link w:val="110"/>
    <w:qFormat/>
    <w:locked/>
    <w:uiPriority w:val="99"/>
    <w:rPr>
      <w:rFonts w:ascii="Arial" w:hAnsi="Arial" w:eastAsia="宋体" w:cs="Arial"/>
      <w:vanish/>
      <w:sz w:val="16"/>
      <w:szCs w:val="16"/>
      <w:lang w:val="en-US" w:eastAsia="zh-CN"/>
    </w:rPr>
  </w:style>
  <w:style w:type="paragraph" w:styleId="112">
    <w:name w:val="List Paragraph"/>
    <w:basedOn w:val="1"/>
    <w:qFormat/>
    <w:uiPriority w:val="34"/>
    <w:pPr>
      <w:ind w:firstLine="420" w:firstLineChars="200"/>
    </w:pPr>
    <w:rPr>
      <w:rFonts w:ascii="Calibri" w:hAnsi="Calibri"/>
      <w:szCs w:val="22"/>
    </w:rPr>
  </w:style>
  <w:style w:type="paragraph" w:customStyle="1" w:styleId="11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114">
    <w:name w:val="纯文本 Char1"/>
    <w:qFormat/>
    <w:uiPriority w:val="0"/>
    <w:rPr>
      <w:rFonts w:ascii="宋体" w:hAnsi="Courier New"/>
      <w:kern w:val="2"/>
      <w:sz w:val="21"/>
    </w:rPr>
  </w:style>
  <w:style w:type="paragraph" w:customStyle="1" w:styleId="115">
    <w:name w:val="WPSOffice手动目录 1"/>
    <w:qFormat/>
    <w:uiPriority w:val="0"/>
    <w:rPr>
      <w:rFonts w:ascii="Times New Roman" w:hAnsi="Times New Roman" w:eastAsia="宋体" w:cs="Times New Roman"/>
      <w:lang w:val="en-US" w:eastAsia="zh-CN" w:bidi="ar-SA"/>
    </w:rPr>
  </w:style>
  <w:style w:type="character" w:customStyle="1" w:styleId="116">
    <w:name w:val="font11"/>
    <w:basedOn w:val="22"/>
    <w:qFormat/>
    <w:uiPriority w:val="0"/>
    <w:rPr>
      <w:rFonts w:hint="eastAsia" w:ascii="宋体" w:hAnsi="宋体" w:eastAsia="宋体" w:cs="宋体"/>
      <w:color w:val="000000"/>
      <w:sz w:val="24"/>
      <w:szCs w:val="24"/>
      <w:u w:val="none"/>
    </w:rPr>
  </w:style>
  <w:style w:type="paragraph" w:customStyle="1" w:styleId="117">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118</Pages>
  <Words>10099</Words>
  <Characters>57569</Characters>
  <Lines>479</Lines>
  <Paragraphs>135</Paragraphs>
  <TotalTime>66</TotalTime>
  <ScaleCrop>false</ScaleCrop>
  <LinksUpToDate>false</LinksUpToDate>
  <CharactersWithSpaces>67533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2016-03-10T15:29:00Z</dcterms:created>
  <dc:creator>李霆</dc:creator>
  <cp:lastModifiedBy>那个谁</cp:lastModifiedBy>
  <cp:lastPrinted>2021-11-29T03:41:00Z</cp:lastPrinted>
  <dcterms:modified xsi:type="dcterms:W3CDTF">2021-12-01T03:22:04Z</dcterms:modified>
  <dc:title>新疆维吾尔自治区政府采购中心</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