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黑体" w:hAnsi="黑体" w:eastAsia="黑体" w:cs="黑体"/>
          <w:b/>
          <w:bCs/>
          <w:color w:val="auto"/>
          <w:w w:val="90"/>
          <w:kern w:val="2"/>
          <w:sz w:val="44"/>
          <w:szCs w:val="44"/>
          <w:lang w:val="en-US" w:eastAsia="zh-CN" w:bidi="ar-SA"/>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“阿阿”铁路阿克苏至阿拉尔铁路阿瓦提段国网阿克苏电力公司电力线路改迁项目（一标段）</w:t>
      </w:r>
    </w:p>
    <w:p>
      <w:pPr>
        <w:jc w:val="center"/>
        <w:rPr>
          <w:rFonts w:ascii="宋体" w:hAnsi="宋体" w:eastAsia="宋体" w:cs="宋体"/>
          <w:b/>
          <w:bCs/>
          <w:sz w:val="56"/>
          <w:szCs w:val="56"/>
        </w:rPr>
      </w:pPr>
    </w:p>
    <w:p>
      <w:pPr>
        <w:pStyle w:val="11"/>
      </w:pPr>
    </w:p>
    <w:p>
      <w:pPr>
        <w:pStyle w:val="18"/>
      </w:pPr>
    </w:p>
    <w:p>
      <w:pPr>
        <w:pStyle w:val="18"/>
      </w:pPr>
    </w:p>
    <w:p>
      <w:pPr>
        <w:jc w:val="center"/>
        <w:rPr>
          <w:rFonts w:hint="eastAsia" w:ascii="黑体" w:hAnsi="宋体" w:eastAsia="黑体" w:cs="Times New Roman"/>
          <w:color w:val="auto"/>
          <w:sz w:val="70"/>
          <w:szCs w:val="70"/>
          <w:lang w:eastAsia="zh-CN"/>
        </w:rPr>
      </w:pPr>
      <w:r>
        <w:rPr>
          <w:rFonts w:hint="eastAsia" w:ascii="黑体" w:hAnsi="宋体" w:eastAsia="黑体" w:cs="Times New Roman"/>
          <w:color w:val="auto"/>
          <w:sz w:val="70"/>
          <w:szCs w:val="70"/>
        </w:rPr>
        <w:t>竞争性</w:t>
      </w:r>
      <w:r>
        <w:rPr>
          <w:rFonts w:hint="eastAsia" w:ascii="黑体" w:hAnsi="宋体" w:eastAsia="黑体" w:cs="Times New Roman"/>
          <w:color w:val="auto"/>
          <w:sz w:val="70"/>
          <w:szCs w:val="70"/>
          <w:lang w:eastAsia="zh-CN"/>
        </w:rPr>
        <w:t>磋商文件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宋体" w:eastAsia="黑体" w:cs="Times New Roman"/>
          <w:color w:val="auto"/>
          <w:sz w:val="30"/>
          <w:szCs w:val="30"/>
        </w:rPr>
      </w:pPr>
      <w:r>
        <w:rPr>
          <w:rFonts w:hint="eastAsia" w:ascii="黑体" w:hAnsi="宋体" w:eastAsia="黑体" w:cs="Times New Roman"/>
          <w:color w:val="auto"/>
          <w:sz w:val="30"/>
          <w:szCs w:val="30"/>
        </w:rPr>
        <w:t>（项目编号：</w:t>
      </w:r>
      <w:r>
        <w:rPr>
          <w:rFonts w:hint="eastAsia" w:ascii="黑体" w:hAnsi="宋体" w:eastAsia="黑体" w:cs="Times New Roman"/>
          <w:color w:val="auto"/>
          <w:sz w:val="30"/>
          <w:szCs w:val="30"/>
          <w:lang w:eastAsia="zh-CN"/>
        </w:rPr>
        <w:t>AWT-ZFCG-20211949</w:t>
      </w:r>
      <w:r>
        <w:rPr>
          <w:rFonts w:hint="eastAsia" w:ascii="黑体" w:hAnsi="宋体" w:eastAsia="黑体" w:cs="Times New Roman"/>
          <w:color w:val="auto"/>
          <w:sz w:val="30"/>
          <w:szCs w:val="30"/>
          <w:lang w:val="en-US" w:eastAsia="zh-CN"/>
        </w:rPr>
        <w:t>-001</w:t>
      </w:r>
      <w:r>
        <w:rPr>
          <w:rFonts w:hint="eastAsia" w:ascii="黑体" w:hAnsi="宋体" w:eastAsia="黑体" w:cs="Times New Roman"/>
          <w:color w:val="auto"/>
          <w:sz w:val="30"/>
          <w:szCs w:val="30"/>
        </w:rPr>
        <w:t>）</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rPr>
          <w:rFonts w:ascii="宋体" w:hAnsi="宋体" w:eastAsia="宋体" w:cs="宋体"/>
          <w:b/>
          <w:bCs/>
          <w:sz w:val="28"/>
          <w:szCs w:val="28"/>
        </w:rPr>
      </w:pPr>
    </w:p>
    <w:p>
      <w:pPr>
        <w:ind w:firstLine="602" w:firstLineChars="200"/>
        <w:rPr>
          <w:rFonts w:ascii="宋体" w:hAnsi="宋体" w:eastAsia="宋体" w:cs="宋体"/>
          <w:b/>
          <w:bCs/>
          <w:sz w:val="30"/>
          <w:szCs w:val="30"/>
        </w:rPr>
      </w:pP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采购单位：阿瓦提县交通运输局</w:t>
      </w: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采购代理机构：新疆天澳工程项目管理有限公司</w:t>
      </w: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360" w:lineRule="auto"/>
        <w:ind w:firstLine="3360" w:firstLineChars="12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二零二一年十二月</w:t>
      </w:r>
    </w:p>
    <w:p>
      <w:pPr>
        <w:jc w:val="center"/>
        <w:rPr>
          <w:rFonts w:hint="eastAsia" w:ascii="宋体" w:hAnsi="宋体" w:eastAsia="宋体" w:cs="宋体"/>
          <w:b/>
          <w:bCs/>
          <w:sz w:val="44"/>
          <w:szCs w:val="44"/>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r>
        <w:rPr>
          <w:rFonts w:hint="eastAsia" w:ascii="宋体" w:hAnsi="宋体" w:eastAsia="宋体" w:cs="宋体"/>
          <w:b w:val="0"/>
          <w:bCs/>
          <w:sz w:val="48"/>
          <w:szCs w:val="48"/>
          <w:lang w:eastAsia="zh-CN"/>
        </w:rPr>
        <w:t>磋商文件</w:t>
      </w:r>
    </w:p>
    <w:p>
      <w:pPr>
        <w:rPr>
          <w:rFonts w:hint="eastAsia" w:ascii="宋体" w:hAnsi="宋体" w:eastAsia="宋体" w:cs="宋体"/>
          <w:b/>
          <w:sz w:val="32"/>
          <w:szCs w:val="24"/>
          <w:lang w:eastAsia="zh-CN"/>
        </w:rPr>
      </w:pPr>
      <w:r>
        <w:rPr>
          <w:rFonts w:hint="eastAsia" w:ascii="宋体" w:hAnsi="宋体" w:eastAsia="宋体" w:cs="宋体"/>
          <w:b/>
          <w:sz w:val="32"/>
          <w:szCs w:val="24"/>
          <w:lang w:eastAsia="zh-CN"/>
        </w:rPr>
        <w:t xml:space="preserve"> </w:t>
      </w:r>
    </w:p>
    <w:p>
      <w:pPr>
        <w:rPr>
          <w:rFonts w:hint="eastAsia" w:ascii="宋体" w:hAnsi="宋体" w:eastAsia="宋体" w:cs="宋体"/>
          <w:b/>
          <w:sz w:val="32"/>
          <w:szCs w:val="24"/>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标项名称：“阿阿”铁路阿克苏至阿拉尔铁路阿瓦提段国网阿克苏电力公司电力线路改迁项目（一标段）</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采购人（公章）：阿瓦提县交通运输局</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联系人：刘飞</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15770058788</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招标代理机构（公章）：新疆天澳工程项目管理有限公司</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法定代表人（签字或盖章）：张帅</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 xml:space="preserve"> 乔文江</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 xml:space="preserve"> 15909079725</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联系地址：阿克苏市新城区东大街26号億隆大酒店6层627号</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jc w:val="cente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val="en-US" w:eastAsia="zh-CN"/>
        </w:rPr>
        <w:t>2021年12月</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7"/>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eastAsia="zh-CN"/>
        </w:rPr>
        <w:t>竞争性磋商公告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7"/>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7"/>
        <w:tabs>
          <w:tab w:val="right" w:leader="dot" w:pos="8820"/>
        </w:tabs>
        <w:rPr>
          <w:rFonts w:ascii="宋体" w:hAnsi="宋体" w:eastAsia="宋体" w:cs="宋体"/>
          <w:sz w:val="28"/>
          <w:szCs w:val="28"/>
        </w:rPr>
      </w:pPr>
      <w:r>
        <w:fldChar w:fldCharType="begin"/>
      </w:r>
      <w:r>
        <w:instrText xml:space="preserve"> HYPERLINK \l "_Toc15311" </w:instrText>
      </w:r>
      <w:r>
        <w:fldChar w:fldCharType="separate"/>
      </w: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17"/>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7"/>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工程量</w:t>
      </w:r>
      <w:r>
        <w:rPr>
          <w:rFonts w:hint="eastAsia" w:ascii="宋体" w:hAnsi="宋体" w:eastAsia="宋体" w:cs="宋体"/>
          <w:bCs/>
          <w:sz w:val="28"/>
          <w:szCs w:val="28"/>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7"/>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第六章 签订合同、合同主要条款</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17"/>
        <w:tabs>
          <w:tab w:val="right" w:leader="dot" w:pos="8820"/>
        </w:tabs>
        <w:rPr>
          <w:rFonts w:hint="default" w:ascii="宋体" w:hAnsi="宋体" w:eastAsia="宋体" w:cs="宋体"/>
          <w:sz w:val="28"/>
          <w:szCs w:val="28"/>
          <w:lang w:val="en-US" w:eastAsia="zh-CN"/>
        </w:rPr>
      </w:pPr>
      <w:r>
        <w:fldChar w:fldCharType="begin"/>
      </w:r>
      <w:r>
        <w:instrText xml:space="preserve"> HYPERLINK \l "_Toc6563" </w:instrText>
      </w:r>
      <w:r>
        <w:fldChar w:fldCharType="separate"/>
      </w:r>
      <w:r>
        <w:rPr>
          <w:rFonts w:hint="eastAsia" w:ascii="宋体" w:hAnsi="宋体" w:eastAsia="宋体" w:cs="宋体"/>
          <w:spacing w:val="20"/>
          <w:sz w:val="28"/>
          <w:szCs w:val="28"/>
        </w:rPr>
        <w:t xml:space="preserve">第七章 </w:t>
      </w:r>
      <w:r>
        <w:rPr>
          <w:rFonts w:hint="eastAsia" w:ascii="宋体" w:hAnsi="宋体" w:eastAsia="宋体" w:cs="宋体"/>
          <w:spacing w:val="20"/>
          <w:sz w:val="28"/>
          <w:szCs w:val="28"/>
          <w:lang w:eastAsia="zh-CN"/>
        </w:rPr>
        <w:t>响应文件</w:t>
      </w:r>
      <w:r>
        <w:rPr>
          <w:rFonts w:hint="eastAsia" w:ascii="宋体" w:hAnsi="宋体" w:eastAsia="宋体" w:cs="宋体"/>
          <w:spacing w:val="20"/>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32</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pgSz w:w="11906" w:h="16838"/>
          <w:pgMar w:top="1440" w:right="1486" w:bottom="1440" w:left="1600" w:header="851" w:footer="992" w:gutter="0"/>
          <w:pgNumType w:start="1"/>
          <w:cols w:space="425" w:num="1"/>
          <w:docGrid w:type="lines" w:linePitch="312" w:charSpace="0"/>
        </w:sect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bookmarkStart w:id="0" w:name="_Toc16127"/>
      <w:r>
        <w:rPr>
          <w:rFonts w:hint="eastAsia" w:asciiTheme="minorEastAsia" w:hAnsiTheme="minorEastAsia" w:cstheme="minorEastAsia"/>
          <w:b/>
          <w:bCs/>
          <w:sz w:val="36"/>
          <w:szCs w:val="36"/>
          <w:lang w:val="en-US" w:eastAsia="zh-CN"/>
        </w:rPr>
        <w:t xml:space="preserve"> </w:t>
      </w: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 xml:space="preserve"> 第一章 竞争性磋商公告</w:t>
      </w: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第二章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须知前附表</w:t>
      </w:r>
      <w:bookmarkEnd w:id="0"/>
    </w:p>
    <w:tbl>
      <w:tblPr>
        <w:tblStyle w:val="19"/>
        <w:tblW w:w="9159" w:type="dxa"/>
        <w:jc w:val="center"/>
        <w:tblLayout w:type="fixed"/>
        <w:tblCellMar>
          <w:top w:w="0" w:type="dxa"/>
          <w:left w:w="108" w:type="dxa"/>
          <w:bottom w:w="0" w:type="dxa"/>
          <w:right w:w="108" w:type="dxa"/>
        </w:tblCellMar>
      </w:tblPr>
      <w:tblGrid>
        <w:gridCol w:w="764"/>
        <w:gridCol w:w="1931"/>
        <w:gridCol w:w="6464"/>
      </w:tblGrid>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名称：</w:t>
            </w:r>
            <w:r>
              <w:rPr>
                <w:rFonts w:hint="eastAsia" w:ascii="仿宋" w:hAnsi="仿宋" w:eastAsia="仿宋" w:cs="仿宋"/>
                <w:sz w:val="24"/>
                <w:szCs w:val="24"/>
                <w:lang w:val="zh-CN" w:eastAsia="zh-CN"/>
              </w:rPr>
              <w:t>阿瓦提县交通运输局</w:t>
            </w:r>
            <w:r>
              <w:rPr>
                <w:rFonts w:hint="eastAsia" w:ascii="仿宋" w:hAnsi="仿宋" w:eastAsia="仿宋" w:cs="仿宋"/>
                <w:sz w:val="24"/>
                <w:szCs w:val="24"/>
                <w:lang w:val="zh-CN"/>
              </w:rPr>
              <w:t> </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lang w:val="zh-CN"/>
              </w:rPr>
              <w:t>联系人：刘飞</w:t>
            </w:r>
            <w:r>
              <w:rPr>
                <w:rFonts w:hint="eastAsia" w:ascii="仿宋" w:hAnsi="仿宋" w:eastAsia="仿宋" w:cs="仿宋"/>
                <w:sz w:val="24"/>
                <w:szCs w:val="24"/>
              </w:rPr>
              <w:t xml:space="preserve">    </w:t>
            </w:r>
            <w:r>
              <w:rPr>
                <w:rFonts w:hint="eastAsia" w:ascii="仿宋" w:hAnsi="仿宋" w:eastAsia="仿宋" w:cs="仿宋"/>
                <w:sz w:val="24"/>
                <w:szCs w:val="24"/>
                <w:lang w:val="zh-CN"/>
              </w:rPr>
              <w:t>电话：</w:t>
            </w:r>
            <w:r>
              <w:rPr>
                <w:rFonts w:hint="eastAsia" w:ascii="仿宋" w:hAnsi="仿宋" w:eastAsia="仿宋" w:cs="仿宋"/>
                <w:sz w:val="24"/>
                <w:szCs w:val="24"/>
                <w:lang w:val="en-US" w:eastAsia="zh-CN"/>
              </w:rPr>
              <w:t>15770058788</w:t>
            </w:r>
            <w:r>
              <w:rPr>
                <w:rFonts w:hint="eastAsia" w:ascii="仿宋" w:hAnsi="仿宋" w:eastAsia="仿宋" w:cs="仿宋"/>
                <w:sz w:val="24"/>
                <w:szCs w:val="24"/>
                <w:lang w:val="zh-CN"/>
              </w:rPr>
              <w:t>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采购代理机构</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新疆天澳工程项目管理有限公司</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新疆阿克苏地区阿克苏市新城区东大街26号億隆大酒店627号</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乔文江</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15909079725</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标项名称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“阿阿”铁路阿克苏至阿拉尔铁路阿瓦提段国网阿克苏电力公司电力线路改迁项目（一标段）</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项目编号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AWT-ZFCG-20211949-001</w:t>
            </w:r>
          </w:p>
        </w:tc>
      </w:tr>
      <w:tr>
        <w:tblPrEx>
          <w:tblCellMar>
            <w:top w:w="0" w:type="dxa"/>
            <w:left w:w="108" w:type="dxa"/>
            <w:bottom w:w="0" w:type="dxa"/>
            <w:right w:w="108" w:type="dxa"/>
          </w:tblCellMar>
        </w:tblPrEx>
        <w:trPr>
          <w:trHeight w:val="59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资金来源</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拆迁专项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cs="Times New Roman" w:asciiTheme="majorEastAsia" w:hAnsiTheme="majorEastAsia" w:eastAsiaTheme="majorEastAsia"/>
                <w:sz w:val="28"/>
                <w:szCs w:val="28"/>
              </w:rPr>
              <w:t>★</w:t>
            </w:r>
            <w:r>
              <w:rPr>
                <w:rFonts w:hint="eastAsia" w:ascii="仿宋" w:hAnsi="仿宋" w:eastAsia="仿宋" w:cs="仿宋"/>
                <w:sz w:val="24"/>
                <w:szCs w:val="24"/>
              </w:rPr>
              <w:t>最高限价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lang w:val="en-US" w:eastAsia="zh-CN"/>
              </w:rPr>
              <w:t>小写：</w:t>
            </w:r>
            <w:r>
              <w:rPr>
                <w:rFonts w:hint="eastAsia" w:ascii="宋体" w:hAnsi="宋体" w:eastAsia="宋体" w:cs="宋体"/>
                <w:sz w:val="24"/>
                <w:szCs w:val="24"/>
                <w:highlight w:val="none"/>
                <w:lang w:val="en-US" w:eastAsia="zh-CN"/>
              </w:rPr>
              <w:t>7623924.16</w:t>
            </w:r>
            <w:r>
              <w:rPr>
                <w:rFonts w:hint="eastAsia" w:ascii="仿宋" w:hAnsi="仿宋" w:eastAsia="仿宋" w:cs="仿宋"/>
                <w:b/>
                <w:bCs/>
                <w:kern w:val="0"/>
                <w:sz w:val="24"/>
                <w:szCs w:val="24"/>
                <w:shd w:val="clear" w:color="auto" w:fill="FFFFFF"/>
                <w:lang w:val="en-US" w:eastAsia="zh-CN"/>
              </w:rPr>
              <w:t>元</w:t>
            </w:r>
            <w:r>
              <w:rPr>
                <w:rFonts w:hint="eastAsia" w:ascii="仿宋" w:hAnsi="仿宋" w:eastAsia="仿宋" w:cs="仿宋"/>
                <w:b/>
                <w:bCs/>
                <w:kern w:val="0"/>
                <w:sz w:val="24"/>
                <w:szCs w:val="24"/>
                <w:shd w:val="clear" w:color="auto" w:fill="FFFFFF"/>
              </w:rPr>
              <w:t>（</w:t>
            </w:r>
            <w:r>
              <w:rPr>
                <w:rFonts w:hint="eastAsia" w:ascii="仿宋" w:hAnsi="仿宋" w:eastAsia="仿宋" w:cs="仿宋"/>
                <w:b/>
                <w:bCs/>
                <w:kern w:val="0"/>
                <w:sz w:val="24"/>
                <w:szCs w:val="24"/>
                <w:shd w:val="clear" w:color="auto" w:fill="FFFFFF"/>
                <w:lang w:eastAsia="zh-CN"/>
              </w:rPr>
              <w:t>大写：</w:t>
            </w:r>
            <w:r>
              <w:rPr>
                <w:rFonts w:hint="eastAsia" w:ascii="仿宋" w:hAnsi="仿宋" w:eastAsia="仿宋" w:cs="仿宋"/>
                <w:b/>
                <w:bCs/>
                <w:kern w:val="0"/>
                <w:sz w:val="24"/>
                <w:szCs w:val="24"/>
                <w:shd w:val="clear" w:color="auto" w:fill="FFFFFF"/>
                <w:lang w:val="en-US" w:eastAsia="zh-CN"/>
              </w:rPr>
              <w:t>柒佰陆拾贰万叁仟玖佰贰拾肆元壹角陆分</w:t>
            </w:r>
            <w:r>
              <w:rPr>
                <w:rFonts w:hint="eastAsia" w:ascii="仿宋" w:hAnsi="仿宋" w:eastAsia="仿宋" w:cs="仿宋"/>
                <w:b/>
                <w:bCs/>
                <w:kern w:val="0"/>
                <w:sz w:val="24"/>
                <w:szCs w:val="24"/>
                <w:shd w:val="clear" w:color="auto" w:fill="FFFFFF"/>
              </w:rPr>
              <w:t>）</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kern w:val="0"/>
                <w:sz w:val="24"/>
                <w:szCs w:val="24"/>
                <w:shd w:val="clear" w:color="auto" w:fill="FFFFFF"/>
                <w:lang w:val="zh-CN"/>
              </w:rPr>
            </w:pPr>
            <w:r>
              <w:rPr>
                <w:rFonts w:hint="eastAsia" w:ascii="仿宋" w:hAnsi="仿宋" w:eastAsia="仿宋" w:cs="仿宋"/>
                <w:b/>
                <w:bCs/>
                <w:kern w:val="0"/>
                <w:sz w:val="24"/>
                <w:szCs w:val="24"/>
                <w:shd w:val="clear" w:color="auto"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报价的范围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lang w:eastAsia="zh-CN"/>
              </w:rPr>
            </w:pPr>
            <w:r>
              <w:rPr>
                <w:rFonts w:hint="eastAsia"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cs="Times New Roman" w:asciiTheme="majorEastAsia" w:hAnsiTheme="majorEastAsia" w:eastAsiaTheme="majorEastAsia"/>
                <w:sz w:val="28"/>
                <w:szCs w:val="28"/>
              </w:rPr>
              <w:t>★</w:t>
            </w:r>
            <w:r>
              <w:rPr>
                <w:rFonts w:hint="eastAsia" w:ascii="仿宋" w:hAnsi="仿宋" w:eastAsia="仿宋" w:cs="仿宋"/>
                <w:sz w:val="24"/>
                <w:szCs w:val="24"/>
                <w:lang w:val="en-US" w:eastAsia="zh-CN"/>
              </w:rPr>
              <w:t>工</w:t>
            </w:r>
            <w:r>
              <w:rPr>
                <w:rFonts w:hint="eastAsia" w:ascii="仿宋" w:hAnsi="仿宋" w:eastAsia="仿宋" w:cs="仿宋"/>
                <w:sz w:val="24"/>
                <w:szCs w:val="24"/>
              </w:rPr>
              <w:t>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施工</w:t>
            </w: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10</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cs="Times New Roman" w:asciiTheme="majorEastAsia" w:hAnsiTheme="majorEastAsia" w:eastAsiaTheme="majorEastAsia"/>
                <w:sz w:val="28"/>
                <w:szCs w:val="28"/>
              </w:rPr>
              <w:t>★</w:t>
            </w:r>
            <w:r>
              <w:rPr>
                <w:rFonts w:hint="eastAsia" w:ascii="仿宋" w:hAnsi="仿宋" w:eastAsia="仿宋" w:cs="仿宋"/>
                <w:sz w:val="24"/>
                <w:szCs w:val="24"/>
                <w:lang w:val="zh-CN"/>
              </w:rPr>
              <w:t>投标企业资格条件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（2）（财库〔2014〕68号）；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3.本项目的特定资格要求：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（2）具备有效的营业执照；基本账户开户许可证、安全生产许可证；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（3）企业须具备[施工总承包·建筑工程施工总承包三级](含)以上资质且同时具备输变电工程专业承包叁级及承装（修、试）电力设施许可证四级及以上资质证书原件；</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（4）项目负责人资质类别和等级：机电工程专业二级以上注册建造师职称，拟派建造师注册证书、安全考核合格证、继续教育相关证明原件；且未担任其他在施建设工程项目的项目经理。</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）投标企业须提供</w:t>
            </w:r>
            <w:r>
              <w:rPr>
                <w:rFonts w:ascii="仿宋" w:hAnsi="仿宋" w:eastAsia="仿宋" w:cs="仿宋"/>
                <w:kern w:val="2"/>
                <w:sz w:val="24"/>
                <w:szCs w:val="24"/>
                <w:lang w:val="en-US" w:eastAsia="zh-CN" w:bidi="ar-SA"/>
              </w:rPr>
              <w:t>近三年（2018、2019、2020）</w:t>
            </w:r>
            <w:r>
              <w:rPr>
                <w:rFonts w:hint="eastAsia" w:ascii="仿宋" w:hAnsi="仿宋" w:eastAsia="仿宋" w:cs="仿宋"/>
                <w:kern w:val="2"/>
                <w:sz w:val="24"/>
                <w:szCs w:val="24"/>
                <w:lang w:val="en-US" w:eastAsia="zh-CN" w:bidi="ar-SA"/>
              </w:rPr>
              <w:t>财务</w:t>
            </w:r>
            <w:r>
              <w:rPr>
                <w:rFonts w:ascii="仿宋" w:hAnsi="仿宋" w:eastAsia="仿宋" w:cs="仿宋"/>
                <w:kern w:val="2"/>
                <w:sz w:val="24"/>
                <w:szCs w:val="24"/>
                <w:lang w:val="en-US" w:eastAsia="zh-CN" w:bidi="ar-SA"/>
              </w:rPr>
              <w:t>审计报告，企业成立不足三年的需提供企业成立至今的</w:t>
            </w:r>
            <w:r>
              <w:rPr>
                <w:rFonts w:hint="eastAsia" w:ascii="仿宋" w:hAnsi="仿宋" w:eastAsia="仿宋" w:cs="仿宋"/>
                <w:kern w:val="2"/>
                <w:sz w:val="24"/>
                <w:szCs w:val="24"/>
                <w:lang w:val="en-US" w:eastAsia="zh-CN" w:bidi="ar-SA"/>
              </w:rPr>
              <w:t>财务</w:t>
            </w:r>
            <w:r>
              <w:rPr>
                <w:rFonts w:ascii="仿宋" w:hAnsi="仿宋" w:eastAsia="仿宋" w:cs="仿宋"/>
                <w:kern w:val="2"/>
                <w:sz w:val="24"/>
                <w:szCs w:val="24"/>
                <w:lang w:val="en-US" w:eastAsia="zh-CN" w:bidi="ar-SA"/>
              </w:rPr>
              <w:t>审计报告；</w:t>
            </w:r>
            <w:r>
              <w:rPr>
                <w:rFonts w:hint="eastAsia" w:ascii="仿宋" w:hAnsi="仿宋" w:eastAsia="仿宋" w:cs="仿宋"/>
                <w:kern w:val="2"/>
                <w:sz w:val="24"/>
                <w:szCs w:val="24"/>
                <w:lang w:val="en-US" w:eastAsia="zh-CN" w:bidi="ar-SA"/>
              </w:rPr>
              <w:t>近三个月的缴纳税收的电子回单或税务部门出具的纳税证明或完税证明或有效的证明材料；近三个月的缴纳社保的银行电子回单或社保部门出具的社保缴纳证明材料或有效的证明材料；（含相关人员明细）；</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企业参加采购活动前三年内，如在“信用中国”网站、中国政府采购网被列入严重违法失信行为记录名单的（尚在处罚期内的），将拒绝其参加本次政府采购活动﹙投标人网上自行打印信用信息报告后加盖投标单位公章﹚； </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）相互关联存在实际控制、管理关系的两个企业，不得参加同一项目的投标；</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磋商有效期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30</w:t>
            </w:r>
            <w:r>
              <w:rPr>
                <w:rFonts w:hint="eastAsia"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磋商保证金</w:t>
            </w:r>
          </w:p>
        </w:tc>
        <w:tc>
          <w:tcPr>
            <w:tcW w:w="646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投标保证金：人民币</w:t>
            </w:r>
            <w:r>
              <w:rPr>
                <w:rFonts w:hint="eastAsia" w:ascii="仿宋" w:hAnsi="仿宋" w:eastAsia="仿宋" w:cs="仿宋"/>
                <w:b/>
                <w:bCs/>
                <w:color w:val="000000"/>
                <w:sz w:val="24"/>
                <w:szCs w:val="24"/>
                <w:lang w:val="en-US" w:eastAsia="zh-CN"/>
              </w:rPr>
              <w:t>壹拾伍万元整</w:t>
            </w:r>
            <w:r>
              <w:rPr>
                <w:rFonts w:hint="eastAsia" w:ascii="仿宋" w:hAnsi="仿宋" w:eastAsia="仿宋" w:cs="仿宋"/>
                <w:color w:val="000000"/>
                <w:sz w:val="24"/>
                <w:szCs w:val="24"/>
                <w:lang w:val="en-US" w:eastAsia="zh-CN"/>
              </w:rPr>
              <w:t>；响应保证金应在开标前由投标人基本户汇入新疆天澳工程项目管理有限公司，</w:t>
            </w:r>
          </w:p>
          <w:p>
            <w:pPr>
              <w:numPr>
                <w:ilvl w:val="0"/>
                <w:numId w:val="0"/>
              </w:num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账户名称：新疆天澳工程项目管理有限公司，账号：(3014020009200036988)</w:t>
            </w:r>
          </w:p>
          <w:p>
            <w:pPr>
              <w:numPr>
                <w:ilvl w:val="0"/>
                <w:numId w:val="0"/>
              </w:num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开户银行：中国工商银行股份有限公司阿克苏国泰路支行</w:t>
            </w:r>
          </w:p>
          <w:p>
            <w:pPr>
              <w:numPr>
                <w:ilvl w:val="0"/>
                <w:numId w:val="0"/>
              </w:numPr>
              <w:spacing w:line="360" w:lineRule="auto"/>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投标保证金缴纳截止2021年12月29日下午18:00（北京时间）。</w:t>
            </w:r>
          </w:p>
          <w:p>
            <w:pPr>
              <w:keepNext w:val="0"/>
              <w:keepLines w:val="0"/>
              <w:pageBreakBefore w:val="0"/>
              <w:widowControl w:val="0"/>
              <w:numPr>
                <w:ilvl w:val="0"/>
                <w:numId w:val="0"/>
              </w:numPr>
              <w:kinsoku/>
              <w:wordWrap/>
              <w:overflowPunct/>
              <w:topLinePunct w:val="0"/>
              <w:bidi w:val="0"/>
              <w:snapToGrid/>
              <w:spacing w:beforeLines="20" w:line="400" w:lineRule="exact"/>
              <w:ind w:leftChars="0"/>
              <w:outlineLvl w:val="9"/>
              <w:rPr>
                <w:rFonts w:hint="eastAsia" w:ascii="仿宋" w:hAnsi="仿宋" w:eastAsia="仿宋" w:cs="仿宋"/>
                <w:sz w:val="24"/>
                <w:szCs w:val="24"/>
                <w:lang w:val="zh-CN"/>
              </w:rPr>
            </w:pPr>
            <w:r>
              <w:rPr>
                <w:rFonts w:hint="eastAsia" w:ascii="仿宋" w:hAnsi="仿宋" w:eastAsia="仿宋" w:cs="仿宋"/>
                <w:color w:val="000000"/>
                <w:sz w:val="24"/>
                <w:szCs w:val="24"/>
                <w:lang w:val="en-US" w:eastAsia="zh-CN"/>
              </w:rPr>
              <w:t>备注：投标人支付投标保证金时应注明投标项目名称及标段号；投标人汇款后须在招标代理公司开具投标保证金</w:t>
            </w:r>
            <w:r>
              <w:rPr>
                <w:rStyle w:val="26"/>
                <w:rFonts w:hint="eastAsia" w:ascii="仿宋" w:hAnsi="仿宋" w:eastAsia="仿宋" w:cs="仿宋"/>
                <w:color w:val="auto"/>
                <w:sz w:val="24"/>
                <w:szCs w:val="24"/>
                <w:lang w:val="en-US" w:eastAsia="zh-CN"/>
              </w:rPr>
              <w:t>缴存证明</w:t>
            </w:r>
            <w:r>
              <w:rPr>
                <w:rFonts w:hint="eastAsia" w:ascii="仿宋" w:hAnsi="仿宋" w:eastAsia="仿宋" w:cs="仿宋"/>
                <w:color w:val="000000"/>
                <w:sz w:val="24"/>
                <w:szCs w:val="24"/>
                <w:lang w:val="en-US" w:eastAsia="zh-CN"/>
              </w:rPr>
              <w:t xml:space="preserve">。未中标单位自开标后5个工作日以后持相关票据退还投标保证金。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响应文件份数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响应文件正本</w:t>
            </w:r>
            <w:r>
              <w:rPr>
                <w:rFonts w:hint="eastAsia" w:ascii="仿宋" w:hAnsi="仿宋" w:eastAsia="仿宋" w:cs="仿宋"/>
                <w:b/>
                <w:bCs/>
                <w:sz w:val="24"/>
                <w:szCs w:val="24"/>
                <w:lang w:val="zh-CN"/>
              </w:rPr>
              <w:t>壹</w:t>
            </w:r>
            <w:r>
              <w:rPr>
                <w:rFonts w:hint="eastAsia" w:ascii="仿宋" w:hAnsi="仿宋" w:eastAsia="仿宋" w:cs="仿宋"/>
                <w:sz w:val="24"/>
                <w:szCs w:val="24"/>
                <w:lang w:val="zh-CN"/>
              </w:rPr>
              <w:t xml:space="preserve">份，副本 </w:t>
            </w:r>
            <w:r>
              <w:rPr>
                <w:rFonts w:hint="eastAsia" w:ascii="仿宋" w:hAnsi="仿宋" w:eastAsia="仿宋" w:cs="仿宋"/>
                <w:b/>
                <w:bCs/>
                <w:sz w:val="24"/>
                <w:szCs w:val="24"/>
                <w:lang w:val="zh-CN"/>
              </w:rPr>
              <w:t>叁</w:t>
            </w:r>
            <w:r>
              <w:rPr>
                <w:rFonts w:hint="eastAsia" w:ascii="仿宋" w:hAnsi="仿宋" w:eastAsia="仿宋" w:cs="仿宋"/>
                <w:sz w:val="24"/>
                <w:szCs w:val="24"/>
                <w:lang w:val="zh-CN"/>
              </w:rPr>
              <w:t xml:space="preserve"> 份。</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电子版响应文件</w:t>
            </w:r>
            <w:r>
              <w:rPr>
                <w:rFonts w:hint="eastAsia" w:ascii="仿宋" w:hAnsi="仿宋" w:eastAsia="仿宋" w:cs="仿宋"/>
                <w:b/>
                <w:bCs/>
                <w:sz w:val="24"/>
                <w:szCs w:val="24"/>
                <w:lang w:val="en-US" w:eastAsia="zh-CN"/>
              </w:rPr>
              <w:t>肆</w:t>
            </w:r>
            <w:r>
              <w:rPr>
                <w:rFonts w:hint="eastAsia"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履约保证金的收取及退还</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截止时间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12</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30</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11：00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r>
              <w:rPr>
                <w:rFonts w:hint="eastAsia" w:ascii="仿宋" w:hAnsi="仿宋" w:eastAsia="仿宋" w:cs="仿宋"/>
                <w:color w:val="0000FF"/>
                <w:sz w:val="24"/>
                <w:szCs w:val="24"/>
              </w:rPr>
              <w:t>，</w:t>
            </w:r>
            <w:r>
              <w:rPr>
                <w:rFonts w:hint="eastAsia" w:ascii="仿宋" w:hAnsi="仿宋" w:eastAsia="仿宋" w:cs="仿宋"/>
                <w:color w:val="0000FF"/>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bCs/>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w:t>
            </w:r>
            <w:r>
              <w:rPr>
                <w:rFonts w:hint="eastAsia" w:ascii="仿宋" w:hAnsi="仿宋" w:eastAsia="仿宋" w:cs="仿宋"/>
                <w:bCs/>
                <w:sz w:val="24"/>
                <w:szCs w:val="24"/>
              </w:rPr>
              <w:t>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bidi w:val="0"/>
              <w:snapToGrid/>
              <w:spacing w:beforeLines="20" w:line="400" w:lineRule="exact"/>
              <w:ind w:left="226" w:hanging="225" w:hangingChars="94"/>
              <w:outlineLvl w:val="9"/>
              <w:rPr>
                <w:rFonts w:hint="eastAsia" w:ascii="仿宋" w:hAnsi="仿宋" w:eastAsia="仿宋" w:cs="仿宋"/>
                <w:sz w:val="24"/>
                <w:szCs w:val="24"/>
                <w:lang w:val="zh-CN"/>
              </w:rPr>
            </w:pP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开标时间及地点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FF"/>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12</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30</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11：00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地点：</w:t>
            </w: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磋商文件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Style w:val="26"/>
                <w:rFonts w:hint="eastAsia" w:ascii="仿宋" w:hAnsi="仿宋" w:eastAsia="仿宋" w:cs="仿宋"/>
                <w:b w:val="0"/>
                <w:bCs w:val="0"/>
                <w:sz w:val="24"/>
                <w:szCs w:val="24"/>
                <w:lang w:val="zh-CN"/>
              </w:rPr>
            </w:pPr>
            <w:r>
              <w:rPr>
                <w:rFonts w:hint="eastAsia" w:cs="Times New Roman" w:asciiTheme="majorEastAsia" w:hAnsiTheme="majorEastAsia" w:eastAsiaTheme="majorEastAsia"/>
                <w:sz w:val="28"/>
                <w:szCs w:val="28"/>
              </w:rPr>
              <w:t>★</w:t>
            </w:r>
            <w:r>
              <w:rPr>
                <w:rStyle w:val="26"/>
                <w:rFonts w:hint="eastAsia" w:ascii="仿宋" w:hAnsi="仿宋" w:eastAsia="仿宋" w:cs="仿宋"/>
                <w:b w:val="0"/>
                <w:bCs w:val="0"/>
                <w:sz w:val="24"/>
                <w:szCs w:val="24"/>
                <w:lang w:val="zh-CN"/>
              </w:rPr>
              <w:t>供应商在开标时需携带的验资文件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rPr>
            </w:pPr>
            <w:r>
              <w:rPr>
                <w:rStyle w:val="26"/>
                <w:rFonts w:hint="eastAsia" w:ascii="仿宋" w:hAnsi="仿宋" w:eastAsia="仿宋" w:cs="仿宋"/>
                <w:b w:val="0"/>
                <w:bCs w:val="0"/>
                <w:sz w:val="24"/>
              </w:rPr>
              <w:t>参加投标时必须携带以下证件（原件）：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lang w:eastAsia="zh-CN"/>
              </w:rPr>
            </w:pPr>
            <w:r>
              <w:rPr>
                <w:rStyle w:val="26"/>
                <w:rFonts w:hint="eastAsia" w:ascii="仿宋" w:hAnsi="仿宋" w:eastAsia="仿宋" w:cs="仿宋"/>
                <w:b w:val="0"/>
                <w:bCs w:val="0"/>
                <w:sz w:val="24"/>
                <w:lang w:val="en-US" w:eastAsia="zh-CN"/>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lang w:val="en-US" w:eastAsia="zh-CN"/>
              </w:rPr>
            </w:pPr>
            <w:r>
              <w:rPr>
                <w:rStyle w:val="26"/>
                <w:rFonts w:hint="eastAsia" w:ascii="仿宋" w:hAnsi="仿宋" w:eastAsia="仿宋" w:cs="仿宋"/>
                <w:b w:val="0"/>
                <w:bCs w:val="0"/>
                <w:sz w:val="24"/>
                <w:lang w:val="en-US" w:eastAsia="zh-CN"/>
              </w:rPr>
              <w:t>2、有效的营业执照原件；</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kern w:val="2"/>
                <w:sz w:val="24"/>
                <w:szCs w:val="24"/>
                <w:lang w:val="zh-CN" w:eastAsia="zh-CN" w:bidi="ar-SA"/>
              </w:rPr>
            </w:pPr>
            <w:r>
              <w:rPr>
                <w:rStyle w:val="26"/>
                <w:rFonts w:hint="eastAsia" w:ascii="仿宋" w:hAnsi="仿宋" w:eastAsia="仿宋" w:cs="仿宋"/>
                <w:b w:val="0"/>
                <w:bCs w:val="0"/>
                <w:sz w:val="24"/>
                <w:lang w:val="en-US" w:eastAsia="zh-CN"/>
              </w:rPr>
              <w:t>3、</w:t>
            </w:r>
            <w:r>
              <w:rPr>
                <w:rFonts w:hint="eastAsia" w:ascii="仿宋" w:hAnsi="仿宋" w:eastAsia="仿宋" w:cs="仿宋"/>
                <w:kern w:val="2"/>
                <w:sz w:val="24"/>
                <w:szCs w:val="24"/>
                <w:lang w:val="zh-CN" w:eastAsia="zh-CN" w:bidi="ar-SA"/>
              </w:rPr>
              <w:t>资质证书、安全生产许可证；</w:t>
            </w:r>
          </w:p>
          <w:p>
            <w:pPr>
              <w:pStyle w:val="11"/>
              <w:keepNext w:val="0"/>
              <w:keepLines w:val="0"/>
              <w:pageBreakBefore w:val="0"/>
              <w:widowControl w:val="0"/>
              <w:kinsoku/>
              <w:wordWrap/>
              <w:overflowPunct/>
              <w:topLinePunct w:val="0"/>
              <w:bidi w:val="0"/>
              <w:snapToGrid/>
              <w:spacing w:line="400" w:lineRule="exact"/>
              <w:ind w:left="0" w:leftChars="0" w:firstLine="0" w:firstLineChars="0"/>
              <w:outlineLvl w:val="9"/>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CN" w:eastAsia="zh-CN" w:bidi="ar-SA"/>
              </w:rPr>
              <w:t>项目经理注册执业资格证书原件、安全生产考核合格证书原件；</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r>
              <w:rPr>
                <w:rFonts w:ascii="仿宋" w:hAnsi="仿宋" w:eastAsia="仿宋" w:cs="仿宋"/>
                <w:kern w:val="2"/>
                <w:sz w:val="24"/>
                <w:szCs w:val="24"/>
                <w:lang w:val="en-US" w:eastAsia="zh-CN" w:bidi="ar-SA"/>
              </w:rPr>
              <w:t>近三年（2018、2019、2020）</w:t>
            </w:r>
            <w:r>
              <w:rPr>
                <w:rFonts w:hint="eastAsia" w:ascii="仿宋" w:hAnsi="仿宋" w:eastAsia="仿宋" w:cs="仿宋"/>
                <w:kern w:val="2"/>
                <w:sz w:val="24"/>
                <w:szCs w:val="24"/>
                <w:lang w:val="en-US" w:eastAsia="zh-CN" w:bidi="ar-SA"/>
              </w:rPr>
              <w:t>财务</w:t>
            </w:r>
            <w:r>
              <w:rPr>
                <w:rFonts w:ascii="仿宋" w:hAnsi="仿宋" w:eastAsia="仿宋" w:cs="仿宋"/>
                <w:kern w:val="2"/>
                <w:sz w:val="24"/>
                <w:szCs w:val="24"/>
                <w:lang w:val="en-US" w:eastAsia="zh-CN" w:bidi="ar-SA"/>
              </w:rPr>
              <w:t>审计报告，企业成立不足三年的需提供企业成立至今的</w:t>
            </w:r>
            <w:r>
              <w:rPr>
                <w:rFonts w:hint="eastAsia" w:ascii="仿宋" w:hAnsi="仿宋" w:eastAsia="仿宋" w:cs="仿宋"/>
                <w:kern w:val="2"/>
                <w:sz w:val="24"/>
                <w:szCs w:val="24"/>
                <w:lang w:val="en-US" w:eastAsia="zh-CN" w:bidi="ar-SA"/>
              </w:rPr>
              <w:t>财务</w:t>
            </w:r>
            <w:r>
              <w:rPr>
                <w:rFonts w:ascii="仿宋" w:hAnsi="仿宋" w:eastAsia="仿宋" w:cs="仿宋"/>
                <w:kern w:val="2"/>
                <w:sz w:val="24"/>
                <w:szCs w:val="24"/>
                <w:lang w:val="en-US" w:eastAsia="zh-CN" w:bidi="ar-SA"/>
              </w:rPr>
              <w:t>审计报告；</w:t>
            </w:r>
            <w:r>
              <w:rPr>
                <w:rFonts w:hint="eastAsia" w:ascii="仿宋" w:hAnsi="仿宋" w:eastAsia="仿宋" w:cs="仿宋"/>
                <w:kern w:val="2"/>
                <w:sz w:val="24"/>
                <w:szCs w:val="24"/>
                <w:lang w:val="en-US" w:eastAsia="zh-CN" w:bidi="ar-SA"/>
              </w:rPr>
              <w:t>近三个月的缴纳税收的电子回单或税务部门出具的纳税证明或完税证明或有效的证明材料；近三个月的缴纳社保的银行电子回单或社保部门出具的社保缴纳证明材料或有效的证明材料；（含相关人员明细）；</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rPr>
            </w:pPr>
            <w:r>
              <w:rPr>
                <w:rStyle w:val="26"/>
                <w:rFonts w:hint="eastAsia" w:ascii="仿宋" w:hAnsi="仿宋" w:eastAsia="仿宋" w:cs="仿宋"/>
                <w:b w:val="0"/>
                <w:bCs w:val="0"/>
                <w:sz w:val="24"/>
                <w:szCs w:val="22"/>
                <w:lang w:val="en-US" w:eastAsia="zh-CN" w:bidi="ar-SA"/>
              </w:rPr>
              <w:t>6、</w:t>
            </w:r>
            <w:r>
              <w:rPr>
                <w:rStyle w:val="26"/>
                <w:rFonts w:hint="eastAsia" w:ascii="仿宋" w:hAnsi="仿宋" w:eastAsia="仿宋" w:cs="仿宋"/>
                <w:b w:val="0"/>
                <w:bCs w:val="0"/>
                <w:sz w:val="24"/>
                <w:lang w:val="en-US" w:eastAsia="zh-CN"/>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lang w:val="zh-CN" w:eastAsia="zh-CN"/>
              </w:rPr>
            </w:pPr>
            <w:r>
              <w:rPr>
                <w:rStyle w:val="26"/>
                <w:rFonts w:hint="eastAsia" w:ascii="仿宋" w:hAnsi="仿宋" w:eastAsia="仿宋" w:cs="仿宋"/>
                <w:b w:val="0"/>
                <w:bCs w:val="0"/>
                <w:sz w:val="24"/>
                <w:lang w:val="zh-CN" w:eastAsia="zh-CN"/>
              </w:rPr>
              <w:t>备注：</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lang w:val="zh-CN" w:eastAsia="zh-CN"/>
              </w:rPr>
            </w:pPr>
            <w:r>
              <w:rPr>
                <w:rStyle w:val="26"/>
                <w:rFonts w:hint="eastAsia" w:ascii="仿宋" w:hAnsi="仿宋" w:eastAsia="仿宋" w:cs="仿宋"/>
                <w:b w:val="0"/>
                <w:bCs w:val="0"/>
                <w:sz w:val="24"/>
                <w:lang w:val="zh-CN" w:eastAsia="zh-CN"/>
              </w:rPr>
              <w:t>（1）开标时，投标人必须提交上述证明材料，未提交或提交不全的视为验资不合格；</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sz w:val="24"/>
                <w:lang w:val="zh-CN" w:eastAsia="zh-CN"/>
              </w:rPr>
            </w:pPr>
            <w:r>
              <w:rPr>
                <w:rStyle w:val="26"/>
                <w:rFonts w:hint="eastAsia" w:ascii="仿宋" w:hAnsi="仿宋" w:eastAsia="仿宋" w:cs="仿宋"/>
                <w:b w:val="0"/>
                <w:bCs w:val="0"/>
                <w:sz w:val="24"/>
                <w:lang w:val="zh-CN" w:eastAsia="zh-CN"/>
              </w:rPr>
              <w:t>（2）</w:t>
            </w:r>
            <w:r>
              <w:rPr>
                <w:rStyle w:val="26"/>
                <w:rFonts w:hint="eastAsia" w:ascii="仿宋" w:hAnsi="仿宋" w:eastAsia="仿宋" w:cs="仿宋"/>
                <w:b w:val="0"/>
                <w:bCs w:val="0"/>
                <w:sz w:val="24"/>
                <w:lang w:val="en-US" w:eastAsia="zh-CN"/>
              </w:rPr>
              <w:t>磋商</w:t>
            </w:r>
            <w:r>
              <w:rPr>
                <w:rStyle w:val="26"/>
                <w:rFonts w:hint="eastAsia" w:ascii="仿宋" w:hAnsi="仿宋" w:eastAsia="仿宋" w:cs="仿宋"/>
                <w:b w:val="0"/>
                <w:bCs w:val="0"/>
                <w:sz w:val="24"/>
                <w:lang w:val="zh-CN" w:eastAsia="zh-CN"/>
              </w:rPr>
              <w:t>文件中所要求的相关证明资料原件，应当在递交</w:t>
            </w:r>
            <w:r>
              <w:rPr>
                <w:rStyle w:val="26"/>
                <w:rFonts w:hint="eastAsia" w:ascii="仿宋" w:hAnsi="仿宋" w:eastAsia="仿宋" w:cs="仿宋"/>
                <w:b w:val="0"/>
                <w:bCs w:val="0"/>
                <w:sz w:val="24"/>
                <w:lang w:val="en-US" w:eastAsia="zh-CN"/>
              </w:rPr>
              <w:t>响应</w:t>
            </w:r>
            <w:r>
              <w:rPr>
                <w:rStyle w:val="26"/>
                <w:rFonts w:hint="eastAsia" w:ascii="仿宋" w:hAnsi="仿宋" w:eastAsia="仿宋" w:cs="仿宋"/>
                <w:b w:val="0"/>
                <w:bCs w:val="0"/>
                <w:sz w:val="24"/>
                <w:lang w:val="zh-CN" w:eastAsia="zh-CN"/>
              </w:rPr>
              <w:t>文件截止时间前一同带入开标场地，逾期拒绝接收。</w:t>
            </w:r>
          </w:p>
          <w:p>
            <w:pPr>
              <w:keepNext w:val="0"/>
              <w:keepLines w:val="0"/>
              <w:pageBreakBefore w:val="0"/>
              <w:widowControl w:val="0"/>
              <w:kinsoku/>
              <w:wordWrap/>
              <w:overflowPunct/>
              <w:topLinePunct w:val="0"/>
              <w:bidi w:val="0"/>
              <w:snapToGrid/>
              <w:spacing w:beforeLines="20" w:line="360" w:lineRule="exact"/>
              <w:outlineLvl w:val="9"/>
              <w:rPr>
                <w:rStyle w:val="26"/>
                <w:rFonts w:hint="eastAsia" w:ascii="仿宋" w:hAnsi="仿宋" w:eastAsia="仿宋" w:cs="仿宋"/>
                <w:b w:val="0"/>
                <w:bCs w:val="0"/>
                <w:sz w:val="24"/>
                <w:szCs w:val="24"/>
                <w:lang w:val="zh-CN" w:eastAsia="zh-CN"/>
              </w:rPr>
            </w:pPr>
            <w:r>
              <w:rPr>
                <w:rStyle w:val="26"/>
                <w:rFonts w:hint="eastAsia"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bCs/>
                <w:sz w:val="24"/>
                <w:szCs w:val="24"/>
                <w:lang w:val="zh-CN" w:eastAsia="zh-CN"/>
              </w:rPr>
            </w:pPr>
            <w:r>
              <w:rPr>
                <w:rStyle w:val="26"/>
                <w:rFonts w:hint="eastAsia" w:ascii="仿宋" w:hAnsi="仿宋" w:eastAsia="仿宋" w:cs="仿宋"/>
                <w:b/>
                <w:bCs/>
                <w:sz w:val="24"/>
                <w:szCs w:val="24"/>
                <w:lang w:val="zh-CN" w:eastAsia="zh-CN"/>
              </w:rPr>
              <w:t>其他补充事宜</w:t>
            </w:r>
          </w:p>
        </w:tc>
        <w:tc>
          <w:tcPr>
            <w:tcW w:w="646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sz w:val="24"/>
                <w:szCs w:val="24"/>
                <w:lang w:val="zh-CN" w:eastAsia="zh-CN" w:bidi="ar-SA"/>
              </w:rPr>
            </w:pPr>
            <w:r>
              <w:rPr>
                <w:rStyle w:val="26"/>
                <w:rFonts w:hint="eastAsia" w:cs="仿宋"/>
                <w:b/>
                <w:bCs/>
                <w:sz w:val="24"/>
                <w:szCs w:val="24"/>
                <w:lang w:val="en-US" w:eastAsia="zh-CN" w:bidi="ar-SA"/>
              </w:rPr>
              <w:t>1、</w:t>
            </w:r>
            <w:r>
              <w:rPr>
                <w:rStyle w:val="26"/>
                <w:rFonts w:hint="eastAsia" w:cs="仿宋"/>
                <w:b/>
                <w:bCs/>
                <w:sz w:val="24"/>
                <w:szCs w:val="24"/>
                <w:lang w:val="zh-CN" w:eastAsia="zh-CN" w:bidi="ar-SA"/>
              </w:rPr>
              <w:t>场地服务费：供应商在提交响应文件时，需按规定缴纳场地服务费。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sz w:val="24"/>
                <w:szCs w:val="24"/>
                <w:lang w:val="zh-CN" w:eastAsia="zh-CN" w:bidi="ar-SA"/>
              </w:rPr>
            </w:pPr>
            <w:r>
              <w:rPr>
                <w:rStyle w:val="26"/>
                <w:rFonts w:hint="eastAsia" w:cs="仿宋"/>
                <w:b/>
                <w:bCs/>
                <w:sz w:val="24"/>
                <w:szCs w:val="24"/>
                <w:lang w:val="en-US" w:eastAsia="zh-CN" w:bidi="ar-SA"/>
              </w:rPr>
              <w:t>2、</w:t>
            </w:r>
            <w:r>
              <w:rPr>
                <w:rStyle w:val="26"/>
                <w:rFonts w:hint="eastAsia" w:cs="仿宋"/>
                <w:b/>
                <w:bCs/>
                <w:sz w:val="24"/>
                <w:szCs w:val="24"/>
                <w:lang w:val="zh-CN" w:eastAsia="zh-CN" w:bidi="ar-SA"/>
              </w:rPr>
              <w:t>公证费：</w:t>
            </w:r>
            <w:r>
              <w:rPr>
                <w:rStyle w:val="26"/>
                <w:rFonts w:hint="eastAsia" w:cs="仿宋"/>
                <w:b/>
                <w:bCs/>
                <w:sz w:val="24"/>
                <w:szCs w:val="24"/>
                <w:lang w:val="en-US" w:eastAsia="zh-CN" w:bidi="ar-SA"/>
              </w:rPr>
              <w:t>成交供应商</w:t>
            </w:r>
            <w:r>
              <w:rPr>
                <w:rStyle w:val="26"/>
                <w:rFonts w:hint="eastAsia" w:cs="仿宋"/>
                <w:b/>
                <w:bCs/>
                <w:sz w:val="24"/>
                <w:szCs w:val="24"/>
                <w:lang w:val="zh-CN" w:eastAsia="zh-CN" w:bidi="ar-SA"/>
              </w:rPr>
              <w:t>需按规定缴纳公证费。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zh-CN" w:eastAsia="zh-CN"/>
              </w:rPr>
            </w:pPr>
            <w:r>
              <w:rPr>
                <w:rStyle w:val="26"/>
                <w:rFonts w:hint="eastAsia" w:cs="仿宋"/>
                <w:b/>
                <w:bCs/>
                <w:sz w:val="24"/>
                <w:szCs w:val="24"/>
                <w:lang w:val="en-US" w:eastAsia="zh-CN" w:bidi="ar-SA"/>
              </w:rPr>
              <w:t>3、成交供应商</w:t>
            </w:r>
            <w:r>
              <w:rPr>
                <w:rStyle w:val="26"/>
                <w:rFonts w:hint="eastAsia" w:cs="仿宋"/>
                <w:b/>
                <w:bCs/>
                <w:sz w:val="24"/>
                <w:szCs w:val="24"/>
                <w:lang w:val="zh-CN" w:eastAsia="zh-CN" w:bidi="ar-SA"/>
              </w:rPr>
              <w:t>应按本谈判文件的规定，在《成交结果通知书》核发时至核发后3天向采购代理机构支付中标服务费。</w:t>
            </w:r>
          </w:p>
        </w:tc>
      </w:tr>
    </w:tbl>
    <w:p>
      <w:pPr>
        <w:jc w:val="center"/>
        <w:outlineLvl w:val="0"/>
        <w:rPr>
          <w:rFonts w:hint="eastAsia" w:ascii="宋体" w:hAnsi="宋体" w:eastAsia="宋体" w:cs="宋体"/>
          <w:b/>
          <w:bCs/>
          <w:sz w:val="32"/>
          <w:szCs w:val="32"/>
        </w:rPr>
      </w:pPr>
      <w:bookmarkStart w:id="1" w:name="_Toc15311"/>
      <w:r>
        <w:rPr>
          <w:rFonts w:hint="eastAsia" w:ascii="宋体" w:hAnsi="宋体" w:eastAsia="宋体" w:cs="宋体"/>
          <w:b/>
          <w:bCs/>
          <w:sz w:val="32"/>
          <w:szCs w:val="32"/>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第三章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w:t>
      </w:r>
      <w:bookmarkEnd w:id="1"/>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1.1适用范围</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1.1.1本磋商文件仅适用于本磋商文件中所述项目的采购。</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1.2定义</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1.2.1“采购人”是指：详见</w:t>
      </w:r>
      <w:r>
        <w:rPr>
          <w:rFonts w:hint="eastAsia" w:ascii="宋体" w:hAnsi="宋体" w:eastAsia="宋体" w:cs="宋体"/>
          <w:kern w:val="2"/>
          <w:sz w:val="24"/>
          <w:szCs w:val="24"/>
          <w:highlight w:val="none"/>
          <w:lang w:val="en-US" w:eastAsia="zh-CN" w:bidi="ar-SA"/>
        </w:rPr>
        <w:t>供应商须知前附表</w:t>
      </w:r>
      <w:r>
        <w:rPr>
          <w:rFonts w:hint="eastAsia" w:ascii="宋体" w:hAnsi="宋体" w:eastAsia="宋体" w:cs="宋体"/>
          <w:kern w:val="2"/>
          <w:sz w:val="24"/>
          <w:szCs w:val="24"/>
          <w:lang w:val="en-US" w:eastAsia="zh-CN" w:bidi="ar-SA"/>
        </w:rPr>
        <w:t>。</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1.2.2“采购代理机构”是指：详见供应商须知前附表。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1.2.3“监管部门”是指：详见供应商须知前附表。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1.2.6采购人和采购代理机构统称为招标采购单位。</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1.3货物</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1.3.1“工程”是</w:t>
      </w:r>
      <w:r>
        <w:rPr>
          <w:rFonts w:hint="eastAsia" w:ascii="宋体" w:hAnsi="宋体" w:eastAsia="宋体" w:cs="宋体"/>
          <w:kern w:val="2"/>
          <w:sz w:val="24"/>
          <w:szCs w:val="24"/>
          <w:lang w:val="en-US" w:eastAsia="zh-CN" w:bidi="ar-SA"/>
        </w:rPr>
        <w:t>指：除服务和货物以外的其他政府采购对象。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rPr>
        <w:t>“服务”，系指伴随本项目产生的，根据合同规定由供方承担的与供货有关的辅助服务，例如安装、调试、技术援助、培训、售后服务等以及合同中规定供方应承担的所有其它类似义务。</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1.4磋商供应商资格要求</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1.4.1符合</w:t>
      </w:r>
      <w:r>
        <w:rPr>
          <w:rFonts w:hint="eastAsia" w:ascii="宋体" w:hAnsi="宋体" w:eastAsia="宋体" w:cs="宋体"/>
          <w:kern w:val="2"/>
          <w:sz w:val="24"/>
          <w:szCs w:val="24"/>
          <w:highlight w:val="none"/>
          <w:lang w:val="en-US" w:eastAsia="zh-CN" w:bidi="ar-SA"/>
        </w:rPr>
        <w:t>供应商须知前附表</w:t>
      </w:r>
      <w:r>
        <w:rPr>
          <w:rFonts w:hint="eastAsia" w:ascii="宋体" w:hAnsi="宋体" w:eastAsia="宋体" w:cs="宋体"/>
          <w:kern w:val="2"/>
          <w:sz w:val="24"/>
          <w:szCs w:val="24"/>
          <w:lang w:val="en-US" w:eastAsia="zh-CN" w:bidi="ar-SA"/>
        </w:rPr>
        <w:t>所规定的供应商资格要求，满足本文件实质性条款的规定。</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1.4.2投标人或投标人之间如果存在下列情形之一的，不得同时参加同一包（标段）或者不分包（标段）的同一项目投标：</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（1）单位负责人为同一个人或者存在直接控股、管理关系的不同投标人；</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（2）母公司、全资子公司及其控股公司；</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（3）为本次采购项目提供整体设计、规范编制或者项目管理、监理、检测等服务的投标人；</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（4）参加投标的其他组织之间存在特殊的利害关系的；</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（5）法律法规规定的其他情形。</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1.4.3投标人不得存在下列情形之一：</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（1）被依法暂停或者取消投标资格；</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（2）被责令停产停业，暂扣或者吊销许可证，暂扣或者吊销执照；</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（3）进入清算程序，或被宣告破产，或其他丧失履约能力的情形；</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（4）在近三年内发生重大产品质量问题（以相关行业主管部门的行政处罚决定或司法机关出具的有关法律文书为准）；</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（5）被工商行政管理机关在全国企业信用信息公示系统中列入严重违法失信企业名单；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（6）被最高人民法院在“信用中国”网站（www.creditchina.gov.cn）或各级信用信息共享平台中列入失信被执行人名单；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（7）在“中国政府采购网”网站（http://www.ccgp.gov.cn/）中列入政府采购严重违法失信行为信息记录名单；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（8）法律法规规定的其他情形。</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1.4.4供应商应当按照采购代理机构规定的合法方式获得本项目磋商文件。</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1.5联合体投标</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1.5.1两个以上供应商可以组成一个联合体，以一个供应商的身份共同参与磋商。</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1.5.2采取联合体形式磋商的，联合体各方均应当符合政府采购法第二十二条规定的条件。采购人根据采购项目的特殊要求规定供应商特定条件的，联合体各方中至少有一方符合磋商文件规定的特定条件。</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1.5.3联合体各方之间必须签订联合磋商协议，明确约定联合体主体及各方承担的工作和相应的责任，其响应文件中必须提供联合磋商协议。</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1.5.4以联合体形式参加政府采购活动的，联合体各方不得再单独参加或者与其他供应商另外组成联合体参加同一合同项下的政府采购活动。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1.5.5采取联合体形式投标的，其响应文件必须由联合体所有成员或其各自正式书面授权的代表签署（盖章），以便对所有成员作为整体及作为个体均具有法律约束力。</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1.5.6联合体成交的，联合体各方应当共同与采购人签订采购合同。</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1.5.7联合体中有同类资质的供应商按照联合体分工承担相同工作的，应当按照资质等级较低的供应商确定资质等级。</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1.6磋商费用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供应商应承担所有与准备和参加竞争性磋商有关的费用。不论磋商的结果如何，采购单位均无义务和责任承担这些费用。</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1.7计量单位</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除技术要求中另有规定外，本文件所要求使用的计量单位均应采用国家法定计量单位。</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1.8竞争性谈判文件的约束力</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供应商一旦购买了本竞争性磋商文件并决定参加竞争性磋商，即被认为接受了本竞争性磋商文件的规定和约束。</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1.9现场考察</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1.9.1本项目是否统一组织投标人现场考察见</w:t>
      </w:r>
      <w:r>
        <w:rPr>
          <w:rFonts w:hint="eastAsia" w:ascii="宋体" w:hAnsi="宋体" w:eastAsia="宋体" w:cs="宋体"/>
          <w:kern w:val="2"/>
          <w:sz w:val="24"/>
          <w:szCs w:val="24"/>
          <w:highlight w:val="none"/>
          <w:lang w:val="en-US" w:eastAsia="zh-CN" w:bidi="ar-SA"/>
        </w:rPr>
        <w:t>供应商须知前附表</w:t>
      </w:r>
      <w:r>
        <w:rPr>
          <w:rFonts w:hint="eastAsia" w:ascii="宋体" w:hAnsi="宋体" w:eastAsia="宋体" w:cs="宋体"/>
          <w:kern w:val="2"/>
          <w:sz w:val="24"/>
          <w:szCs w:val="24"/>
          <w:lang w:val="en-US" w:eastAsia="zh-CN" w:bidi="ar-SA"/>
        </w:rPr>
        <w:t>中的规定。无论是否统一组织，投标人应对供货现场和周围环境进行勘察，以获取编制响应文件所需的资料。</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1.9.3除非有特殊要求，招标文件不单独提供供货使用地的自然环境、气候条件、公用设施等情况，投标人被视为熟悉上述与履行合同有关的一切情况。</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1.9.4除采购人原因外，投标人自行负责在现场考察中所发生的人员伤亡和财产损失。</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1.10分包</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1.10.1投标人拟在中标后将中标项目的非主体设备进行分包的，应符合</w:t>
      </w:r>
      <w:r>
        <w:rPr>
          <w:rFonts w:hint="eastAsia" w:ascii="宋体" w:hAnsi="宋体" w:eastAsia="宋体" w:cs="宋体"/>
          <w:kern w:val="2"/>
          <w:sz w:val="24"/>
          <w:szCs w:val="24"/>
          <w:highlight w:val="none"/>
          <w:lang w:val="en-US" w:eastAsia="zh-CN" w:bidi="ar-SA"/>
        </w:rPr>
        <w:t>供应商须知前附表规定的分包内容、分包金额和资质要求等限制性条件，除供应商须知前附表</w:t>
      </w:r>
      <w:r>
        <w:rPr>
          <w:rFonts w:hint="eastAsia" w:ascii="宋体" w:hAnsi="宋体" w:eastAsia="宋体" w:cs="宋体"/>
          <w:kern w:val="2"/>
          <w:sz w:val="24"/>
          <w:szCs w:val="24"/>
          <w:lang w:val="en-US" w:eastAsia="zh-CN" w:bidi="ar-SA"/>
        </w:rPr>
        <w:t xml:space="preserve">规定的非主体设备外，其他工作不得分包。 </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1.10.2中标人不得向他人转让中标项目，接受分包的人不得再次分包。中标人应当就分包项目向采购人负责，接受分包的人就分包项目承担连带责任。</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1.11偏离</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1.11.1除法律、法规和规章规定外，磋商文件中用文字规定或标注“★”符号的条款为实质性要求和条件；未用文字规定或“★”符号标注的条款为非实质性要求和条件。</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1.11.2偏离是指响应文件不满足或者不响应磋商文件的要求。偏离分为偏离磋商文件的实质性要求和条件及偏离磋商文件的非实质性要求和条件。</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1.11.3响应文件偏离磋商文件的实质性要求和条件，在评标时其投标将被否决。</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1.11.4响应文件偏离磋商文件的非实质性要求和条件见</w:t>
      </w:r>
      <w:r>
        <w:rPr>
          <w:rFonts w:hint="eastAsia" w:ascii="宋体" w:hAnsi="宋体" w:eastAsia="宋体" w:cs="宋体"/>
          <w:kern w:val="2"/>
          <w:sz w:val="24"/>
          <w:szCs w:val="24"/>
          <w:highlight w:val="none"/>
          <w:lang w:val="en-US" w:eastAsia="zh-CN" w:bidi="ar-SA"/>
        </w:rPr>
        <w:t>供应商须知前附表。</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1.12知识产权</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1.12.2招标人享有本项目实施过程中产生的知识成果及知识产权。</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1.12.3投标人如欲在项目实施过程中采用自有知识成果，需在竞争性磋商响应文件中声明，并提供相关知识产权证明文件。使用该知识成果后，投标人需提供开发接口和开发手册等技术文档，并承诺提供无限期技术支持，招标人享有永久使用权。</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1.12.4如采用投标人所不拥有的知识产权，则在磋商报价中必须包括合法获取该知识产权的相关费用。</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bookmarkStart w:id="2" w:name="_Toc293738992"/>
      <w:bookmarkStart w:id="3" w:name="_Toc446599311"/>
      <w:bookmarkStart w:id="4" w:name="_Toc293736054"/>
      <w:bookmarkStart w:id="5" w:name="_Toc3092"/>
      <w:bookmarkStart w:id="6" w:name="_Toc18317"/>
      <w:bookmarkStart w:id="7" w:name="_Toc293736011"/>
      <w:r>
        <w:rPr>
          <w:rFonts w:hint="eastAsia" w:ascii="宋体" w:hAnsi="宋体" w:eastAsia="宋体" w:cs="Times New Roman"/>
          <w:b/>
          <w:kern w:val="2"/>
          <w:sz w:val="32"/>
          <w:szCs w:val="28"/>
          <w:lang w:val="en-US" w:eastAsia="zh-CN" w:bidi="ar-SA"/>
        </w:rPr>
        <w:t>二、磋商文件</w:t>
      </w:r>
      <w:bookmarkEnd w:id="2"/>
      <w:bookmarkEnd w:id="3"/>
      <w:bookmarkEnd w:id="4"/>
      <w:bookmarkEnd w:id="5"/>
      <w:bookmarkEnd w:id="6"/>
      <w:bookmarkEnd w:id="7"/>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2.1磋商文件的构成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2.1.1磋商文件由下列文件以及在采购过程中发出的修正和补充文件组成：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(1)磋商公告；</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(2)供应商须知前附表；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(3)供应商须知；</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(4)评标办法；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（5）工程量清单；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(6)合同格式及合同条款；</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(7)响应文件格式；</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(8)在磋商过程中由采购单位发出的澄清和补充文件等。</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2.2磋商文件的澄清</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2.2.1供应商应仔细阅读和检查磋商文件的全部内容。供应商若对磋商文件有任何疑问，均应在响应文件递交截止时间5日</w:t>
      </w:r>
      <w:r>
        <w:rPr>
          <w:rFonts w:hint="eastAsia" w:ascii="宋体" w:hAnsi="宋体" w:eastAsia="宋体" w:cs="宋体"/>
          <w:color w:val="auto"/>
          <w:kern w:val="2"/>
          <w:sz w:val="24"/>
          <w:szCs w:val="24"/>
          <w:lang w:val="en-US" w:eastAsia="zh-CN" w:bidi="ar-SA"/>
        </w:rPr>
        <w:t>前递交书面文件或进行网上提问。采购单位对供应商所要求澄清的内容均予以答复（答复中不包括问题的来源）。必要时，采购单位将组织相关专家召开答疑会，并以书面或网上发布的形式向所</w:t>
      </w:r>
      <w:r>
        <w:rPr>
          <w:rFonts w:hint="eastAsia" w:ascii="宋体" w:hAnsi="宋体" w:eastAsia="宋体" w:cs="宋体"/>
          <w:kern w:val="2"/>
          <w:sz w:val="24"/>
          <w:szCs w:val="24"/>
          <w:lang w:val="en-US" w:eastAsia="zh-CN" w:bidi="ar-SA"/>
        </w:rPr>
        <w:t>有供应商公布澄清文件。澄清文件作为磋商文件的组成部分，对供应商具有同等约束作用。</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spacing w:val="-6"/>
          <w:kern w:val="2"/>
          <w:sz w:val="24"/>
          <w:szCs w:val="24"/>
          <w:lang w:val="en-US" w:eastAsia="zh-CN" w:bidi="ar-SA"/>
        </w:rPr>
        <w:t>2.2.2</w:t>
      </w:r>
      <w:r>
        <w:rPr>
          <w:rFonts w:hint="eastAsia" w:ascii="宋体" w:hAnsi="宋体" w:eastAsia="宋体" w:cs="宋体"/>
          <w:kern w:val="2"/>
          <w:sz w:val="24"/>
          <w:szCs w:val="24"/>
          <w:lang w:val="en-US" w:eastAsia="zh-CN" w:bidi="ar-SA"/>
        </w:rPr>
        <w:t>供应商在本项目采购公告期限届满之日起七个工作日内未对磋商文件提出异议的，采购单位将视其为同意。在规定的时间后就磋商文件内容提出的质疑将不予受理。</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2.3磋商文件的修改</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2.3.1采购单位可以对已发出的磋商文件进行必要的澄清或者修改。</w:t>
      </w:r>
      <w:r>
        <w:rPr>
          <w:rFonts w:hint="eastAsia" w:ascii="宋体" w:hAnsi="宋体" w:eastAsia="宋体" w:cs="宋体"/>
          <w:kern w:val="2"/>
          <w:sz w:val="24"/>
          <w:szCs w:val="24"/>
          <w:lang w:val="en-US" w:eastAsia="zh-CN" w:bidi="ar-SA"/>
        </w:rPr>
        <w:t>澄清或者修改</w:t>
      </w:r>
      <w:r>
        <w:rPr>
          <w:rFonts w:hint="eastAsia" w:ascii="宋体" w:hAnsi="宋体" w:eastAsia="宋体" w:cs="宋体"/>
          <w:spacing w:val="-6"/>
          <w:kern w:val="2"/>
          <w:sz w:val="24"/>
          <w:szCs w:val="24"/>
          <w:lang w:val="en-US" w:eastAsia="zh-CN" w:bidi="ar-SA"/>
        </w:rPr>
        <w:t xml:space="preserve">的内容可能影响响应文件编制的，采购单位将在响应文件递交截止时间5日前以书面或网上发布的形式发布更正公告。 </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2.3.2澄清或者修改的内容是磋商文件的组成部分，将以书面或网上发布的形式向所有供应商公布澄清或者修改文件，澄清或者修改文件对供应商具有约束力。</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2.3.3为使供应商有充足的时间对磋商文件的修改部分进行研究，采购单位可适当推迟响应文件截止期，并通过书面或网上发布的形式发布公告通知所有获取磋商文件的供应商。</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2.3.4供应商应注意及时接收或浏览网上发布的澄清或修改通知，因供应商原因未及时获知澄清、修改或补充内容而导致的任何后果将由供应商自行承担。</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bookmarkStart w:id="8" w:name="_Toc293736055"/>
      <w:bookmarkStart w:id="9" w:name="_Toc1735"/>
      <w:bookmarkStart w:id="10" w:name="_Toc13231"/>
      <w:bookmarkStart w:id="11" w:name="_Toc293738993"/>
      <w:bookmarkStart w:id="12" w:name="_Toc446599312"/>
      <w:bookmarkStart w:id="13" w:name="_Toc293736012"/>
      <w:r>
        <w:rPr>
          <w:rFonts w:hint="eastAsia" w:ascii="宋体" w:hAnsi="宋体" w:eastAsia="宋体" w:cs="Times New Roman"/>
          <w:b/>
          <w:kern w:val="2"/>
          <w:sz w:val="32"/>
          <w:szCs w:val="28"/>
          <w:lang w:val="en-US" w:eastAsia="zh-CN" w:bidi="ar-SA"/>
        </w:rPr>
        <w:t>三、响应文件的编制</w:t>
      </w:r>
      <w:bookmarkEnd w:id="8"/>
      <w:bookmarkEnd w:id="9"/>
      <w:bookmarkEnd w:id="10"/>
      <w:bookmarkEnd w:id="11"/>
      <w:bookmarkEnd w:id="12"/>
      <w:bookmarkEnd w:id="13"/>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3.1响应文件的语言</w:t>
      </w:r>
    </w:p>
    <w:p>
      <w:pPr>
        <w:pageBreakBefore w:val="0"/>
        <w:widowControl w:val="0"/>
        <w:kinsoku/>
        <w:overflowPunct/>
        <w:autoSpaceDE/>
        <w:autoSpaceDN/>
        <w:bidi w:val="0"/>
        <w:spacing w:line="400" w:lineRule="exact"/>
        <w:ind w:firstLine="460" w:firstLineChars="202"/>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3.2响应文件的构成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3.2.1供应商编制的响应文件应包括但不少于下列内容：</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pacing w:val="-6"/>
          <w:kern w:val="2"/>
          <w:sz w:val="24"/>
          <w:szCs w:val="24"/>
          <w:lang w:val="en-US" w:eastAsia="zh-CN" w:bidi="ar-SA"/>
        </w:rPr>
        <w:t>资格审查材料</w:t>
      </w:r>
      <w:r>
        <w:rPr>
          <w:rFonts w:hint="eastAsia" w:ascii="宋体" w:hAnsi="宋体" w:eastAsia="宋体" w:cs="宋体"/>
          <w:kern w:val="2"/>
          <w:sz w:val="24"/>
          <w:szCs w:val="24"/>
          <w:lang w:val="en-US" w:eastAsia="zh-CN" w:bidi="ar-SA"/>
        </w:rPr>
        <w:t>（详见第六章资格审查材料组成）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pacing w:val="-6"/>
          <w:kern w:val="2"/>
          <w:sz w:val="24"/>
          <w:szCs w:val="24"/>
          <w:lang w:val="en-US" w:eastAsia="zh-CN" w:bidi="ar-SA"/>
        </w:rPr>
        <w:t>商务</w:t>
      </w:r>
      <w:r>
        <w:rPr>
          <w:rFonts w:hint="eastAsia" w:ascii="宋体" w:hAnsi="宋体" w:eastAsia="宋体" w:cs="宋体"/>
          <w:kern w:val="2"/>
          <w:sz w:val="24"/>
          <w:szCs w:val="24"/>
          <w:lang w:val="en-US" w:eastAsia="zh-CN" w:bidi="ar-SA"/>
        </w:rPr>
        <w:t>文件内容（详见第六章商务文件组成）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（3)技术文件内容（详见第六章技术文件组成）</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3.3响应文件编制</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3.3.1响应文件应按照磋商文件要求进行制作编制，并对其提交的响应文件的真实性、合法性承担法律责任。保证目录清晰、内容完整。响应文件各类证件须与磋商供应商注册登记资料相一致。</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3.3.2响应文件应当对磋商文件有关服务期、投标有效期、服务要求、招标范围等实质性内容作出响应。响应文件满足磋商文件实质性要求的基础上，可以提出比磋商文件要求更有利于采购人的承诺。</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3.3.4供应商应认真阅读、并充分理解本文件的全部内容（包括所有的澄清、修改等内容），承诺并履行磋商文件中各项条款规定及要求。</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3.3.5响应文件必须按磋商文件的全部内容，包括所有的澄清、修改等通知及附件进行编制。</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3.3.6如因供应商只填写和提供了磋商文件要求的部分内容和附件，而给评审造成困难，其可能导致的结果和责任由供应商自行承担。</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3.3.7供应商必须保证响应文件所提供的全部资料真实可靠，并接受采购单位对其中任何资料进一步核实的要求。 </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3.4磋商报价要求</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3.4.1供应商所提供的服务均以人民币报价。</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3.4.2供商应按照“第五章 工程量清单”规定的内容、责任范围以及合同条款进行报价。并按</w:t>
      </w:r>
      <w:r>
        <w:rPr>
          <w:rFonts w:hint="eastAsia" w:ascii="宋体" w:hAnsi="宋体" w:eastAsia="宋体" w:cs="宋体"/>
          <w:kern w:val="0"/>
          <w:sz w:val="24"/>
          <w:szCs w:val="24"/>
          <w:highlight w:val="none"/>
          <w:lang w:val="en-US" w:eastAsia="zh-CN" w:bidi="ar-SA"/>
        </w:rPr>
        <w:t>《磋商报价表》和《竞争性磋商报价明细表》</w:t>
      </w:r>
      <w:r>
        <w:rPr>
          <w:rFonts w:hint="eastAsia" w:ascii="宋体" w:hAnsi="宋体" w:eastAsia="宋体" w:cs="宋体"/>
          <w:kern w:val="0"/>
          <w:sz w:val="24"/>
          <w:szCs w:val="24"/>
          <w:lang w:val="en-US" w:eastAsia="zh-CN" w:bidi="ar-SA"/>
        </w:rPr>
        <w:t>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3.4.3《竞争性磋商报价明细表》填写时应响应下列要求：</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（1）对于报价免费的项目应标明“免费”；</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（2）所有根据合同或其它原因应由供应商支付的税款和其它应交纳的费用都要包括在供应商提交的磋商总价中；</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（3）应包含货物运至最终目的地的运输、保险和伴随货物服务的有关费用。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3.4.5每一项只允许有一个报价，否则将被视为无效投标。</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3.4.6供应商所报的总价在合同执行过程中是固定不变的，不得以任何理由予以变更。</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3.4.7供应商的最后磋商报价超过项目采购预算的为无效报价。</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hint="eastAsia" w:ascii="宋体" w:hAnsi="宋体" w:eastAsia="宋体" w:cs="Times New Roman"/>
          <w:b/>
          <w:kern w:val="2"/>
          <w:sz w:val="32"/>
          <w:szCs w:val="28"/>
          <w:lang w:val="en-US" w:eastAsia="zh-CN" w:bidi="ar-SA"/>
        </w:rPr>
      </w:pPr>
      <w:bookmarkStart w:id="14" w:name="_Toc293738994"/>
      <w:bookmarkStart w:id="15" w:name="_Toc446599313"/>
      <w:bookmarkStart w:id="16" w:name="_Toc293736056"/>
      <w:bookmarkStart w:id="17" w:name="_Toc293736013"/>
      <w:r>
        <w:rPr>
          <w:rFonts w:hint="eastAsia" w:ascii="宋体" w:hAnsi="宋体" w:eastAsia="宋体" w:cs="Times New Roman"/>
          <w:b/>
          <w:kern w:val="2"/>
          <w:sz w:val="32"/>
          <w:szCs w:val="28"/>
          <w:lang w:val="en-US" w:eastAsia="zh-CN" w:bidi="ar-SA"/>
        </w:rPr>
        <w:t>四、响应文件的递交</w:t>
      </w:r>
      <w:bookmarkEnd w:id="14"/>
      <w:bookmarkEnd w:id="15"/>
      <w:bookmarkEnd w:id="16"/>
      <w:bookmarkEnd w:id="17"/>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4.1响应文件的份数</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4.1.1响应文件正本、副本份数要</w:t>
      </w:r>
      <w:r>
        <w:rPr>
          <w:rFonts w:hint="eastAsia" w:ascii="宋体" w:hAnsi="宋体" w:eastAsia="宋体" w:cs="宋体"/>
          <w:kern w:val="0"/>
          <w:sz w:val="24"/>
          <w:szCs w:val="24"/>
          <w:highlight w:val="none"/>
          <w:lang w:val="en-US" w:eastAsia="zh-CN" w:bidi="ar-SA"/>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4.2响应文件的密封和标记</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4.2.1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4.2.2响应文件应密封包装，并在封套的封口处加盖供应商单位章或由供应商的法定代表人（单位负责人）或其授权的代理人签字或盖章。响应文件封套上应写明的内容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lang w:val="en-US" w:eastAsia="zh-CN" w:bidi="ar-SA"/>
        </w:rPr>
        <w:t>见供应商须知前附表。未按要求密封的响应文件，采购人将予以拒收。</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4.3</w:t>
      </w:r>
      <w:r>
        <w:rPr>
          <w:rFonts w:hint="eastAsia" w:ascii="宋体" w:hAnsi="宋体" w:eastAsia="宋体" w:cs="宋体"/>
          <w:b/>
          <w:color w:val="000000"/>
          <w:kern w:val="2"/>
          <w:sz w:val="24"/>
          <w:szCs w:val="24"/>
          <w:highlight w:val="none"/>
          <w:lang w:val="en-US" w:eastAsia="zh-CN" w:bidi="ar-SA"/>
        </w:rPr>
        <w:t>响</w:t>
      </w:r>
      <w:r>
        <w:rPr>
          <w:rFonts w:hint="eastAsia" w:ascii="宋体" w:hAnsi="宋体" w:eastAsia="宋体" w:cs="宋体"/>
          <w:b/>
          <w:kern w:val="2"/>
          <w:sz w:val="24"/>
          <w:szCs w:val="24"/>
          <w:highlight w:val="none"/>
          <w:lang w:val="en-US" w:eastAsia="zh-CN" w:bidi="ar-SA"/>
        </w:rPr>
        <w:t>应文件</w:t>
      </w:r>
      <w:r>
        <w:rPr>
          <w:rFonts w:hint="eastAsia" w:ascii="宋体" w:hAnsi="宋体" w:eastAsia="宋体" w:cs="宋体"/>
          <w:b/>
          <w:color w:val="000000"/>
          <w:kern w:val="2"/>
          <w:sz w:val="24"/>
          <w:szCs w:val="24"/>
          <w:highlight w:val="none"/>
          <w:lang w:val="en-US" w:eastAsia="zh-CN" w:bidi="ar-SA"/>
        </w:rPr>
        <w:t>的</w:t>
      </w:r>
      <w:r>
        <w:rPr>
          <w:rFonts w:hint="eastAsia" w:ascii="宋体" w:hAnsi="宋体" w:eastAsia="宋体" w:cs="宋体"/>
          <w:b/>
          <w:kern w:val="2"/>
          <w:sz w:val="24"/>
          <w:szCs w:val="24"/>
          <w:highlight w:val="none"/>
          <w:lang w:val="en-US" w:eastAsia="zh-CN" w:bidi="ar-SA"/>
        </w:rPr>
        <w:t>递交</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highlight w:val="none"/>
          <w:lang w:val="en-US" w:eastAsia="zh-CN" w:bidi="ar-SA"/>
        </w:rPr>
        <w:t>4.3.1供应商应在供应商须知前附表规定的响应</w:t>
      </w:r>
      <w:r>
        <w:rPr>
          <w:rFonts w:hint="eastAsia" w:ascii="宋体" w:hAnsi="宋体" w:eastAsia="宋体" w:cs="宋体"/>
          <w:kern w:val="0"/>
          <w:sz w:val="24"/>
          <w:szCs w:val="24"/>
          <w:lang w:val="en-US" w:eastAsia="zh-CN" w:bidi="ar-SA"/>
        </w:rPr>
        <w:t>文件递交截止时间前将响应文件递交至指定地点。未在响应文件递交截止时间前递交的响应文件视为逾期送达。逾期送达的或者未送达指定地点的响应文件，采购单位不予受理。</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4.3</w:t>
      </w:r>
      <w:r>
        <w:rPr>
          <w:rFonts w:hint="eastAsia" w:ascii="宋体" w:hAnsi="宋体" w:eastAsia="宋体" w:cs="宋体"/>
          <w:kern w:val="2"/>
          <w:sz w:val="24"/>
          <w:szCs w:val="24"/>
          <w:lang w:val="en-US" w:eastAsia="zh-CN" w:bidi="ar-SA"/>
        </w:rPr>
        <w:t>.2采购</w:t>
      </w:r>
      <w:r>
        <w:rPr>
          <w:rFonts w:hint="eastAsia" w:ascii="宋体" w:hAnsi="宋体" w:eastAsia="宋体" w:cs="宋体"/>
          <w:kern w:val="0"/>
          <w:sz w:val="24"/>
          <w:szCs w:val="24"/>
          <w:lang w:val="en-US" w:eastAsia="zh-CN" w:bidi="ar-SA"/>
        </w:rPr>
        <w:t>单位将拒绝并原封退回在规定的响应文件递交截止期后送达的任何响应文件。</w:t>
      </w:r>
    </w:p>
    <w:p>
      <w:pPr>
        <w:pageBreakBefore w:val="0"/>
        <w:widowControl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kern w:val="2"/>
          <w:sz w:val="24"/>
          <w:szCs w:val="24"/>
          <w:lang w:val="en-US" w:eastAsia="zh-CN" w:bidi="ar-SA"/>
        </w:rPr>
        <w:t>4.4响应文件的修改和撤回</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4.4.2供应商所提交的响应文件在评审结束后，无论中标与否都不退还。</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bookmarkStart w:id="18" w:name="_Toc293736057"/>
      <w:bookmarkStart w:id="19" w:name="_Toc293736014"/>
      <w:bookmarkStart w:id="20" w:name="_Toc446599314"/>
      <w:bookmarkStart w:id="21" w:name="_Toc293738995"/>
      <w:bookmarkStart w:id="22" w:name="_Toc4087"/>
      <w:bookmarkStart w:id="23" w:name="_Toc9220"/>
      <w:r>
        <w:rPr>
          <w:rFonts w:hint="eastAsia" w:ascii="宋体" w:hAnsi="宋体" w:eastAsia="宋体" w:cs="Times New Roman"/>
          <w:b/>
          <w:kern w:val="2"/>
          <w:sz w:val="32"/>
          <w:szCs w:val="28"/>
          <w:lang w:val="en-US" w:eastAsia="zh-CN" w:bidi="ar-SA"/>
        </w:rPr>
        <w:t>五、</w:t>
      </w:r>
      <w:bookmarkEnd w:id="18"/>
      <w:bookmarkEnd w:id="19"/>
      <w:bookmarkEnd w:id="20"/>
      <w:bookmarkEnd w:id="21"/>
      <w:r>
        <w:rPr>
          <w:rFonts w:hint="eastAsia" w:ascii="宋体" w:hAnsi="宋体" w:eastAsia="宋体" w:cs="Times New Roman"/>
          <w:b/>
          <w:kern w:val="2"/>
          <w:sz w:val="32"/>
          <w:szCs w:val="28"/>
          <w:lang w:val="en-US" w:eastAsia="zh-CN" w:bidi="ar-SA"/>
        </w:rPr>
        <w:t>竞争性磋商程序</w:t>
      </w:r>
      <w:bookmarkEnd w:id="22"/>
      <w:bookmarkEnd w:id="23"/>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5.1</w:t>
      </w:r>
      <w:r>
        <w:rPr>
          <w:rFonts w:hint="eastAsia" w:ascii="宋体" w:hAnsi="宋体" w:eastAsia="宋体" w:cs="宋体"/>
          <w:b/>
          <w:bCs w:val="0"/>
          <w:sz w:val="24"/>
          <w:szCs w:val="24"/>
          <w:lang w:eastAsia="zh-CN"/>
        </w:rPr>
        <w:t>磋商</w:t>
      </w:r>
      <w:r>
        <w:rPr>
          <w:rFonts w:hint="eastAsia" w:ascii="宋体" w:hAnsi="宋体" w:eastAsia="宋体" w:cs="宋体"/>
          <w:b/>
          <w:bCs w:val="0"/>
          <w:sz w:val="24"/>
          <w:szCs w:val="24"/>
        </w:rPr>
        <w:t>仪式</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5.1.1</w:t>
      </w:r>
      <w:r>
        <w:rPr>
          <w:rFonts w:hint="eastAsia" w:ascii="宋体" w:hAnsi="宋体" w:eastAsia="宋体" w:cs="宋体"/>
          <w:b w:val="0"/>
          <w:bCs/>
          <w:sz w:val="24"/>
          <w:szCs w:val="24"/>
        </w:rPr>
        <w:t>采购人</w:t>
      </w:r>
      <w:r>
        <w:rPr>
          <w:rFonts w:hint="eastAsia" w:ascii="宋体" w:hAnsi="宋体" w:eastAsia="宋体" w:cs="宋体"/>
          <w:b w:val="0"/>
          <w:bCs/>
          <w:sz w:val="24"/>
          <w:szCs w:val="24"/>
          <w:highlight w:val="none"/>
        </w:rPr>
        <w:t>将在</w:t>
      </w:r>
      <w:r>
        <w:rPr>
          <w:rFonts w:hint="eastAsia" w:ascii="宋体" w:hAnsi="宋体" w:eastAsia="宋体" w:cs="宋体"/>
          <w:kern w:val="0"/>
          <w:sz w:val="24"/>
          <w:szCs w:val="24"/>
          <w:highlight w:val="none"/>
        </w:rPr>
        <w:t>供应商须知前附表</w:t>
      </w:r>
      <w:r>
        <w:rPr>
          <w:rFonts w:hint="eastAsia" w:ascii="宋体" w:hAnsi="宋体" w:eastAsia="宋体" w:cs="宋体"/>
          <w:b w:val="0"/>
          <w:bCs/>
          <w:sz w:val="24"/>
          <w:szCs w:val="24"/>
          <w:highlight w:val="none"/>
        </w:rPr>
        <w:t>规</w:t>
      </w:r>
      <w:r>
        <w:rPr>
          <w:rFonts w:hint="eastAsia" w:ascii="宋体" w:hAnsi="宋体" w:eastAsia="宋体" w:cs="宋体"/>
          <w:b w:val="0"/>
          <w:bCs/>
          <w:sz w:val="24"/>
          <w:szCs w:val="24"/>
        </w:rPr>
        <w:t>定的时间和地点组织</w:t>
      </w:r>
      <w:r>
        <w:rPr>
          <w:rFonts w:hint="eastAsia" w:ascii="宋体" w:hAnsi="宋体" w:eastAsia="宋体" w:cs="宋体"/>
          <w:b w:val="0"/>
          <w:bCs/>
          <w:sz w:val="24"/>
          <w:szCs w:val="24"/>
          <w:lang w:eastAsia="zh-CN"/>
        </w:rPr>
        <w:t>磋商</w:t>
      </w:r>
      <w:r>
        <w:rPr>
          <w:rFonts w:hint="eastAsia" w:ascii="宋体" w:hAnsi="宋体" w:eastAsia="宋体" w:cs="宋体"/>
          <w:b w:val="0"/>
          <w:bCs/>
          <w:sz w:val="24"/>
          <w:szCs w:val="24"/>
        </w:rPr>
        <w:t>开始仪式，供应商应委派携带有效证件的代表准时参加，参加仪式的代表需签名以证明其出席。采购代理机构主持仪式。</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5.1.2</w:t>
      </w:r>
      <w:r>
        <w:rPr>
          <w:rFonts w:hint="eastAsia" w:ascii="宋体" w:hAnsi="宋体" w:eastAsia="宋体" w:cs="宋体"/>
          <w:b w:val="0"/>
          <w:bCs/>
          <w:sz w:val="24"/>
          <w:szCs w:val="24"/>
        </w:rPr>
        <w:t>主持人按下列程序主持仪式：</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（1）宣布仪式纪律；</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（2）宣布仪式参会人员姓名；</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（3）公布在响应文件递交截止时间前递交响应文件的供应商名称；</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（4）由采购人代表、监督人员及公证人员现场核</w:t>
      </w:r>
      <w:r>
        <w:rPr>
          <w:rFonts w:hint="eastAsia" w:ascii="宋体" w:hAnsi="宋体" w:eastAsia="宋体" w:cs="宋体"/>
          <w:b w:val="0"/>
          <w:bCs/>
          <w:sz w:val="24"/>
          <w:szCs w:val="24"/>
          <w:highlight w:val="none"/>
        </w:rPr>
        <w:t>实</w:t>
      </w:r>
      <w:r>
        <w:rPr>
          <w:rFonts w:hint="eastAsia" w:ascii="宋体" w:hAnsi="宋体" w:eastAsia="宋体" w:cs="宋体"/>
          <w:kern w:val="0"/>
          <w:sz w:val="24"/>
          <w:szCs w:val="24"/>
          <w:highlight w:val="none"/>
        </w:rPr>
        <w:t>供应商须知前附表</w:t>
      </w:r>
      <w:r>
        <w:rPr>
          <w:rFonts w:hint="eastAsia" w:ascii="宋体" w:hAnsi="宋体" w:eastAsia="宋体" w:cs="宋体"/>
          <w:b w:val="0"/>
          <w:bCs/>
          <w:sz w:val="24"/>
          <w:szCs w:val="24"/>
        </w:rPr>
        <w:t>规定内容，并宣布核实结果：</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（5）由供应商或者其推选的代表检查响应文件的密封情况并确认；</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（6）供应商代表、采购人代表、监督人员、公证人员、记录人等有关人员在开标记录上签字确认；</w:t>
      </w:r>
    </w:p>
    <w:p>
      <w:pPr>
        <w:pageBreakBefore w:val="0"/>
        <w:widowControl/>
        <w:kinsoku/>
        <w:overflowPunct/>
        <w:autoSpaceDE/>
        <w:autoSpaceDN/>
        <w:bidi w:val="0"/>
        <w:spacing w:line="400" w:lineRule="exact"/>
        <w:ind w:firstLine="480" w:firstLineChars="200"/>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（7）仪式结束。</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color w:val="000000"/>
          <w:kern w:val="0"/>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磋商小组的组成</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5.2.1除供应商须知前附表规定外，磋商小组由采购人代表和评审专家共3人以上单数组成，其中评审专家的人数不得少于谈判小组成员总数的2/3。磋商小组成员由采购人依法组建,采购人代表不得担任谈判小组组长，</w:t>
      </w:r>
      <w:r>
        <w:rPr>
          <w:rFonts w:hint="eastAsia" w:ascii="宋体" w:hAnsi="宋体" w:eastAsia="宋体" w:cs="宋体"/>
          <w:color w:val="auto"/>
          <w:kern w:val="2"/>
          <w:sz w:val="24"/>
          <w:szCs w:val="24"/>
          <w:highlight w:val="none"/>
          <w:lang w:val="en-US" w:eastAsia="zh-CN" w:bidi="ar-SA"/>
        </w:rPr>
        <w:t>不得以评审专家身份参加采购项目的评审。</w:t>
      </w:r>
    </w:p>
    <w:p>
      <w:pPr>
        <w:pageBreakBefore w:val="0"/>
        <w:widowControl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5.3磋商方法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5.3.1磋商小组将按照磋商文件确定的评审方法进行评审。磋商小组对响应文件的评审分为响应文件初审、澄清有关问题、比较与评价响应文件、推荐中标候选人名单。</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5.3.1磋商小组根据第四章“评审方法”规定的程序、评定成交的标准等事项对响应文件进行评审。第四章“评审方法”没有规定的内容，不作为评审依据。</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28"/>
          <w:szCs w:val="28"/>
          <w:highlight w:val="green"/>
          <w:lang w:val="en-US" w:eastAsia="zh-CN" w:bidi="ar-SA"/>
        </w:rPr>
      </w:pPr>
      <w:bookmarkStart w:id="24" w:name="_Toc21441"/>
      <w:bookmarkStart w:id="25" w:name="_Toc446599315"/>
      <w:bookmarkStart w:id="26" w:name="_Toc293736058"/>
      <w:bookmarkStart w:id="27" w:name="_Toc293736015"/>
      <w:bookmarkStart w:id="28" w:name="_Toc293738996"/>
      <w:bookmarkStart w:id="29" w:name="_Toc10373"/>
      <w:r>
        <w:rPr>
          <w:rFonts w:hint="eastAsia" w:ascii="宋体" w:hAnsi="宋体" w:eastAsia="宋体" w:cs="Times New Roman"/>
          <w:b/>
          <w:kern w:val="2"/>
          <w:sz w:val="32"/>
          <w:szCs w:val="28"/>
          <w:lang w:val="en-US" w:eastAsia="zh-CN" w:bidi="ar-SA"/>
        </w:rPr>
        <w:t>六、授予合同</w:t>
      </w:r>
      <w:bookmarkEnd w:id="24"/>
      <w:bookmarkEnd w:id="25"/>
      <w:bookmarkEnd w:id="26"/>
      <w:bookmarkEnd w:id="27"/>
      <w:bookmarkEnd w:id="28"/>
      <w:bookmarkEnd w:id="29"/>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6.1 签订合同</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6.1.1采购人应在成交通知书发出后3日内，根据成交结果和磋商文件、响应文件及有关补遗文件和确认谈判备忘录拟定的合同文本与成交供应商签订项目合同。</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6.1.2采购人应按磋商文件要求和中标人的响应文件承诺订立书面合同，不得超出磋商文件和中标人响应文件的范围，也不得再另行订立背离合同实质性内容的其他协议。</w:t>
      </w:r>
    </w:p>
    <w:p>
      <w:pPr>
        <w:pageBreakBefore w:val="0"/>
        <w:widowControl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6.1.3采购人应在《中标通知书》发出之日起3天内与中标人签订政府采购合同。签订政府采购合同后7个工作日内，采购人应将政府采购合同副本报政府采购监管部门备案。</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hint="eastAsia" w:ascii="宋体" w:hAnsi="宋体" w:eastAsia="宋体" w:cs="Times New Roman"/>
          <w:b/>
          <w:kern w:val="2"/>
          <w:sz w:val="32"/>
          <w:szCs w:val="28"/>
          <w:lang w:val="en-US" w:eastAsia="zh-CN" w:bidi="ar-SA"/>
        </w:rPr>
      </w:pPr>
      <w:bookmarkStart w:id="30" w:name="_Toc446599316"/>
      <w:bookmarkStart w:id="31" w:name="_Toc293736016"/>
      <w:bookmarkStart w:id="32" w:name="_Toc293738997"/>
      <w:bookmarkStart w:id="33" w:name="_Toc293736059"/>
      <w:bookmarkStart w:id="34" w:name="_Toc14775"/>
      <w:bookmarkStart w:id="35" w:name="_Toc3715"/>
      <w:r>
        <w:rPr>
          <w:rFonts w:hint="eastAsia" w:ascii="宋体" w:hAnsi="宋体" w:eastAsia="宋体" w:cs="Times New Roman"/>
          <w:b/>
          <w:kern w:val="2"/>
          <w:sz w:val="32"/>
          <w:szCs w:val="28"/>
          <w:lang w:val="en-US" w:eastAsia="zh-CN" w:bidi="ar-SA"/>
        </w:rPr>
        <w:t>七、质疑</w:t>
      </w:r>
      <w:bookmarkEnd w:id="30"/>
      <w:bookmarkEnd w:id="31"/>
      <w:bookmarkEnd w:id="32"/>
      <w:bookmarkEnd w:id="33"/>
      <w:r>
        <w:rPr>
          <w:rFonts w:hint="eastAsia" w:ascii="宋体" w:hAnsi="宋体" w:eastAsia="宋体" w:cs="Times New Roman"/>
          <w:b/>
          <w:kern w:val="2"/>
          <w:sz w:val="32"/>
          <w:szCs w:val="28"/>
          <w:lang w:val="en-US" w:eastAsia="zh-CN" w:bidi="ar-SA"/>
        </w:rPr>
        <w:t>和投诉</w:t>
      </w:r>
      <w:bookmarkEnd w:id="34"/>
      <w:bookmarkEnd w:id="35"/>
    </w:p>
    <w:p>
      <w:pPr>
        <w:pageBreakBefore w:val="0"/>
        <w:kinsoku/>
        <w:wordWrap w:val="0"/>
        <w:overflowPunct/>
        <w:autoSpaceDE/>
        <w:autoSpaceDN/>
        <w:bidi w:val="0"/>
        <w:spacing w:line="400" w:lineRule="exact"/>
        <w:ind w:firstLine="480" w:firstLineChars="200"/>
        <w:rPr>
          <w:rFonts w:hint="eastAsia" w:ascii="宋体" w:hAnsi="宋体" w:eastAsia="宋体" w:cs="宋体"/>
          <w:sz w:val="24"/>
          <w:szCs w:val="24"/>
        </w:rPr>
      </w:pPr>
      <w:bookmarkStart w:id="36" w:name="_Toc293738998"/>
      <w:bookmarkStart w:id="37" w:name="_Toc294515577"/>
      <w:bookmarkStart w:id="38" w:name="_Toc293736017"/>
      <w:bookmarkStart w:id="39" w:name="_Toc446599317"/>
      <w:bookmarkStart w:id="40" w:name="_Toc293736060"/>
      <w:r>
        <w:rPr>
          <w:rFonts w:hint="eastAsia" w:ascii="宋体" w:hAnsi="宋体" w:eastAsia="宋体" w:cs="宋体"/>
          <w:sz w:val="24"/>
          <w:szCs w:val="24"/>
        </w:rPr>
        <w:t>7.1质疑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7.1.1供应商提出质疑应当符合以下条件：</w:t>
      </w:r>
    </w:p>
    <w:p>
      <w:pPr>
        <w:pageBreakBefore w:val="0"/>
        <w:widowControl w:val="0"/>
        <w:kinsoku/>
        <w:wordWrap w:val="0"/>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（1）质疑人的名称、地址、电话等；</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（2）质疑人法人签章和单位公章；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（3）具体的质疑事项及事实依据；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（4）明确的请求和必要（合法来源）的证明材料；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（5）以联合体形式参与资格预审的，则必须联合体各方共同签署、盖章；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（6）提起质疑的日期。</w:t>
      </w:r>
    </w:p>
    <w:p>
      <w:pPr>
        <w:pageBreakBefore w:val="0"/>
        <w:widowControl w:val="0"/>
        <w:kinsoku/>
        <w:wordWrap w:val="0"/>
        <w:overflowPunct/>
        <w:autoSpaceDE/>
        <w:autoSpaceDN/>
        <w:bidi w:val="0"/>
        <w:spacing w:line="400" w:lineRule="exact"/>
        <w:ind w:firstLine="484" w:firstLineChars="202"/>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特注：未按上述程序规定的必备内容进行质疑的，采购人或代理机构将不予以受理。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bookmarkStart w:id="41" w:name="_Toc483174929"/>
      <w:bookmarkStart w:id="42" w:name="_Toc456336161"/>
      <w:bookmarkStart w:id="43" w:name="_Toc450546725"/>
      <w:bookmarkStart w:id="44" w:name="_Toc9365"/>
      <w:r>
        <w:rPr>
          <w:rFonts w:hint="eastAsia" w:ascii="宋体" w:hAnsi="宋体" w:eastAsia="宋体" w:cs="宋体"/>
          <w:sz w:val="24"/>
          <w:szCs w:val="24"/>
        </w:rPr>
        <w:t>7.2投诉</w:t>
      </w:r>
      <w:bookmarkEnd w:id="41"/>
      <w:bookmarkEnd w:id="42"/>
      <w:bookmarkEnd w:id="43"/>
      <w:bookmarkEnd w:id="44"/>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7.2.2投诉人提起投诉应符合以下条件：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(1)投诉人应是参与项目的供应商；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(2)投诉前已依法进行质疑；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(3)投诉书内容符合中华人民共和国财政部</w:t>
      </w:r>
      <w:r>
        <w:rPr>
          <w:rFonts w:hint="eastAsia" w:ascii="宋体" w:hAnsi="宋体" w:eastAsia="宋体" w:cs="宋体"/>
          <w:sz w:val="24"/>
          <w:szCs w:val="24"/>
          <w:lang w:val="en-US" w:eastAsia="zh-CN"/>
        </w:rPr>
        <w:t>94</w:t>
      </w:r>
      <w:r>
        <w:rPr>
          <w:rFonts w:hint="eastAsia" w:ascii="宋体" w:hAnsi="宋体" w:eastAsia="宋体" w:cs="宋体"/>
          <w:sz w:val="24"/>
          <w:szCs w:val="24"/>
        </w:rPr>
        <w:t>号令《</w:t>
      </w:r>
      <w:r>
        <w:rPr>
          <w:rFonts w:hint="eastAsia" w:ascii="宋体" w:hAnsi="宋体" w:eastAsia="宋体" w:cs="宋体"/>
          <w:sz w:val="24"/>
          <w:szCs w:val="24"/>
          <w:lang w:val="en-US" w:eastAsia="zh-CN"/>
        </w:rPr>
        <w:t>政府采购质疑和投诉办法</w:t>
      </w:r>
      <w:r>
        <w:rPr>
          <w:rFonts w:hint="eastAsia" w:ascii="宋体" w:hAnsi="宋体" w:eastAsia="宋体" w:cs="宋体"/>
          <w:sz w:val="24"/>
          <w:szCs w:val="24"/>
        </w:rPr>
        <w:t>》的规定；</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(4)在投诉有效期内；</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(5)同一投诉事项未经处理的；</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(6)</w:t>
      </w:r>
      <w:r>
        <w:rPr>
          <w:rFonts w:hint="eastAsia" w:ascii="宋体" w:hAnsi="宋体" w:eastAsia="宋体" w:cs="宋体"/>
          <w:sz w:val="24"/>
          <w:szCs w:val="24"/>
        </w:rPr>
        <w:t>相关法律、法规和省级以上人民政府财政部门规定的其他条件。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7.2.3供应商投诉时，应当当面提交投诉书，投诉书应当包括下列主要内容：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(1)投诉人的姓名或者名称、住所、联系方式及相关证明；</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(2)被投诉人的名称、住所、联系方式；</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(3)具体的投诉事项、事实根据和法律依据；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(4)质疑和质疑答复情况及相关证明材料；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(5)提起投诉的日期。</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7.2.5投诉人不符合上述规定提起的投诉，政府采购监督部门不予受理。</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0"/>
          <w:sz w:val="32"/>
          <w:szCs w:val="28"/>
          <w:lang w:val="en-US" w:eastAsia="zh-CN" w:bidi="ar-SA"/>
        </w:rPr>
      </w:pPr>
      <w:bookmarkStart w:id="45" w:name="_Toc3182"/>
      <w:bookmarkStart w:id="46" w:name="_Toc8018"/>
      <w:r>
        <w:rPr>
          <w:rFonts w:hint="eastAsia" w:ascii="宋体" w:hAnsi="宋体" w:eastAsia="宋体" w:cs="Times New Roman"/>
          <w:b/>
          <w:kern w:val="2"/>
          <w:sz w:val="32"/>
          <w:szCs w:val="28"/>
          <w:lang w:val="en-US" w:eastAsia="zh-CN" w:bidi="ar-SA"/>
        </w:rPr>
        <w:t>八、项目验收</w:t>
      </w:r>
      <w:bookmarkEnd w:id="36"/>
      <w:bookmarkEnd w:id="37"/>
      <w:bookmarkEnd w:id="38"/>
      <w:bookmarkEnd w:id="39"/>
      <w:bookmarkEnd w:id="40"/>
      <w:bookmarkEnd w:id="45"/>
      <w:bookmarkEnd w:id="46"/>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8.2验收标准:磋商文件、响应文件、政府采购合同规定的标准。</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bookmarkStart w:id="47" w:name="_Toc293736061"/>
      <w:bookmarkStart w:id="48" w:name="_Toc293738999"/>
      <w:bookmarkStart w:id="49" w:name="_Toc28499"/>
      <w:bookmarkStart w:id="50" w:name="_Toc446599318"/>
      <w:bookmarkStart w:id="51" w:name="_Toc6671"/>
      <w:bookmarkStart w:id="52" w:name="_Toc293736018"/>
      <w:r>
        <w:rPr>
          <w:rFonts w:hint="eastAsia" w:ascii="宋体" w:hAnsi="宋体" w:eastAsia="宋体" w:cs="Times New Roman"/>
          <w:b/>
          <w:kern w:val="2"/>
          <w:sz w:val="32"/>
          <w:szCs w:val="28"/>
          <w:lang w:val="en-US" w:eastAsia="zh-CN" w:bidi="ar-SA"/>
        </w:rPr>
        <w:t>九、适用法律</w:t>
      </w:r>
      <w:bookmarkEnd w:id="47"/>
      <w:bookmarkEnd w:id="48"/>
      <w:bookmarkEnd w:id="49"/>
      <w:bookmarkEnd w:id="50"/>
      <w:bookmarkEnd w:id="51"/>
      <w:bookmarkEnd w:id="52"/>
    </w:p>
    <w:p>
      <w:pPr>
        <w:pageBreakBefore w:val="0"/>
        <w:kinsoku/>
        <w:wordWrap w:val="0"/>
        <w:overflowPunct/>
        <w:topLinePunct/>
        <w:autoSpaceDE/>
        <w:autoSpaceDN/>
        <w:bidi w:val="0"/>
        <w:spacing w:line="400" w:lineRule="exact"/>
        <w:ind w:firstLine="480" w:firstLineChars="200"/>
        <w:rPr>
          <w:rFonts w:ascii="宋体" w:hAnsi="宋体" w:eastAsia="宋体" w:cs="Times New Roman"/>
          <w:color w:val="000000"/>
          <w:sz w:val="24"/>
          <w:szCs w:val="24"/>
        </w:rPr>
      </w:pPr>
      <w:r>
        <w:rPr>
          <w:rFonts w:hint="eastAsia" w:ascii="宋体" w:hAnsi="宋体" w:eastAsia="宋体" w:cs="宋体"/>
          <w:sz w:val="24"/>
          <w:szCs w:val="24"/>
        </w:rPr>
        <w:t>9.1招标采购单位和供应商的一切招标投标活动均适用于《政府采购法》、《政府采购实施条例》、《政府采购竞争性磋商采购方式管理办法》等相关规定。</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bookmarkStart w:id="53" w:name="_Toc446599319"/>
      <w:bookmarkStart w:id="54" w:name="_Toc278891599"/>
      <w:bookmarkStart w:id="55" w:name="_Toc21968"/>
      <w:bookmarkStart w:id="56" w:name="_Toc437611460"/>
      <w:bookmarkStart w:id="57" w:name="_Toc272247702"/>
      <w:bookmarkStart w:id="58" w:name="_Toc26356"/>
      <w:r>
        <w:rPr>
          <w:rFonts w:hint="eastAsia" w:ascii="宋体" w:hAnsi="宋体" w:eastAsia="宋体" w:cs="Times New Roman"/>
          <w:b/>
          <w:kern w:val="2"/>
          <w:sz w:val="32"/>
          <w:szCs w:val="28"/>
          <w:lang w:val="en-US" w:eastAsia="zh-CN" w:bidi="ar-SA"/>
        </w:rPr>
        <w:t>十、磋商文件的解释权</w:t>
      </w:r>
      <w:bookmarkEnd w:id="53"/>
      <w:bookmarkEnd w:id="54"/>
      <w:bookmarkEnd w:id="55"/>
      <w:bookmarkEnd w:id="56"/>
      <w:bookmarkEnd w:id="57"/>
      <w:bookmarkEnd w:id="58"/>
    </w:p>
    <w:p>
      <w:pPr>
        <w:pageBreakBefore w:val="0"/>
        <w:widowControl w:val="0"/>
        <w:kinsoku/>
        <w:overflowPunct/>
        <w:autoSpaceDE/>
        <w:autoSpaceDN/>
        <w:bidi w:val="0"/>
        <w:spacing w:line="400" w:lineRule="exact"/>
        <w:ind w:firstLine="484" w:firstLineChars="202"/>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4"/>
          <w:szCs w:val="24"/>
          <w:lang w:val="en-US" w:eastAsia="zh-CN" w:bidi="ar-SA"/>
        </w:rPr>
        <w:t>10.1本项目磋商文件的最终解释权为采购单位所有。</w:t>
      </w:r>
    </w:p>
    <w:p>
      <w:pPr>
        <w:keepNext/>
        <w:keepLines/>
        <w:pageBreakBefore w:val="0"/>
        <w:widowControl w:val="0"/>
        <w:kinsoku/>
        <w:overflowPunct/>
        <w:autoSpaceDE/>
        <w:autoSpaceDN/>
        <w:bidi w:val="0"/>
        <w:adjustRightInd w:val="0"/>
        <w:snapToGrid w:val="0"/>
        <w:spacing w:before="260" w:after="260" w:line="400" w:lineRule="exact"/>
        <w:ind w:left="-88" w:leftChars="-42"/>
        <w:contextualSpacing/>
        <w:jc w:val="center"/>
        <w:outlineLvl w:val="1"/>
        <w:rPr>
          <w:rFonts w:ascii="宋体" w:hAnsi="宋体" w:eastAsia="宋体" w:cs="Times New Roman"/>
          <w:b/>
          <w:kern w:val="2"/>
          <w:sz w:val="32"/>
          <w:szCs w:val="28"/>
          <w:lang w:val="en-US" w:eastAsia="zh-CN" w:bidi="ar-SA"/>
        </w:rPr>
      </w:pPr>
      <w:r>
        <w:rPr>
          <w:rFonts w:hint="eastAsia" w:ascii="宋体" w:hAnsi="宋体" w:eastAsia="宋体" w:cs="Times New Roman"/>
          <w:b/>
          <w:kern w:val="2"/>
          <w:sz w:val="32"/>
          <w:szCs w:val="28"/>
          <w:lang w:val="en-US" w:eastAsia="zh-CN" w:bidi="ar-SA"/>
        </w:rPr>
        <w:t>十一、需要补充的其他内容</w:t>
      </w:r>
    </w:p>
    <w:p>
      <w:pPr>
        <w:pageBreakBefore w:val="0"/>
        <w:widowControl w:val="0"/>
        <w:kinsoku/>
        <w:overflowPunct/>
        <w:autoSpaceDE/>
        <w:autoSpaceDN/>
        <w:bidi w:val="0"/>
        <w:spacing w:line="400" w:lineRule="exact"/>
        <w:ind w:firstLine="484" w:firstLineChars="202"/>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11.1需要补充的其他内容：详见供应商须知前附表。</w:t>
      </w:r>
    </w:p>
    <w:p>
      <w:pPr>
        <w:widowControl w:val="0"/>
        <w:spacing w:line="500" w:lineRule="exact"/>
        <w:ind w:firstLine="565" w:firstLineChars="202"/>
        <w:jc w:val="left"/>
        <w:rPr>
          <w:rFonts w:hint="eastAsia" w:ascii="宋体" w:hAnsi="宋体" w:eastAsia="宋体" w:cs="Times New Roman"/>
          <w:kern w:val="2"/>
          <w:sz w:val="28"/>
          <w:szCs w:val="28"/>
          <w:lang w:val="en-US" w:eastAsia="zh-CN" w:bidi="ar-SA"/>
        </w:rPr>
      </w:pPr>
    </w:p>
    <w:p>
      <w:pPr>
        <w:pStyle w:val="11"/>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bookmarkStart w:id="59" w:name="_Toc5802"/>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第四章  评标办法</w:t>
      </w:r>
      <w:bookmarkEnd w:id="59"/>
    </w:p>
    <w:p>
      <w:pPr>
        <w:numPr>
          <w:ilvl w:val="0"/>
          <w:numId w:val="0"/>
        </w:numPr>
        <w:spacing w:line="360" w:lineRule="auto"/>
        <w:rPr>
          <w:rFonts w:hint="eastAsia" w:ascii="仿宋" w:hAnsi="仿宋" w:eastAsia="仿宋" w:cs="仿宋"/>
          <w:b/>
          <w:bCs/>
          <w:sz w:val="28"/>
          <w:szCs w:val="28"/>
          <w:lang w:val="en-US" w:eastAsia="zh-CN"/>
        </w:rPr>
      </w:pPr>
      <w:bookmarkStart w:id="60" w:name="_Toc19509"/>
    </w:p>
    <w:p>
      <w:pPr>
        <w:spacing w:line="500" w:lineRule="exact"/>
        <w:outlineLvl w:val="1"/>
        <w:rPr>
          <w:rFonts w:hint="eastAsia" w:ascii="宋体" w:hAnsi="宋体"/>
          <w:b/>
          <w:sz w:val="28"/>
          <w:szCs w:val="24"/>
          <w:highlight w:val="white"/>
          <w:lang w:val="en-US" w:eastAsia="zh-CN"/>
        </w:rPr>
      </w:pPr>
      <w:bookmarkStart w:id="61" w:name="_Toc12926"/>
      <w:bookmarkStart w:id="62"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61"/>
      <w:bookmarkEnd w:id="62"/>
    </w:p>
    <w:tbl>
      <w:tblPr>
        <w:tblStyle w:val="19"/>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不再进入</w:t>
            </w:r>
            <w:r>
              <w:rPr>
                <w:rFonts w:hint="eastAsia" w:ascii="宋体" w:hAnsi="宋体" w:eastAsia="宋体" w:cs="宋体"/>
                <w:color w:val="auto"/>
                <w:sz w:val="22"/>
                <w:szCs w:val="22"/>
                <w:lang w:val="en-US" w:eastAsia="zh-CN"/>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5845" w:type="dxa"/>
            <w:noWrap w:val="0"/>
            <w:vAlign w:val="center"/>
          </w:tcPr>
          <w:p>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p>
            <w:pPr>
              <w:pStyle w:val="2"/>
              <w:ind w:left="0" w:leftChars="0" w:firstLine="0" w:firstLineChars="0"/>
              <w:rPr>
                <w:rFonts w:hint="eastAsia" w:ascii="宋体" w:hAnsi="宋体" w:eastAsia="宋体" w:cs="宋体"/>
                <w:color w:val="auto"/>
                <w:sz w:val="28"/>
                <w:szCs w:val="18"/>
                <w:highlight w:val="none"/>
                <w:lang w:eastAsia="zh-CN"/>
              </w:rPr>
            </w:pPr>
            <w:r>
              <w:rPr>
                <w:rFonts w:hint="eastAsia" w:ascii="宋体" w:hAnsi="宋体" w:eastAsia="宋体" w:cs="宋体"/>
                <w:color w:val="auto"/>
                <w:sz w:val="22"/>
                <w:szCs w:val="22"/>
                <w:highlight w:val="none"/>
                <w:lang w:eastAsia="zh-CN"/>
              </w:rPr>
              <w:t>注：小微企业产品价格扣除后的投标人报价=投标人总报价-中小微企业产品报价*扣除幅度。（以价格扣除后的投标人报价作为评审依据）</w:t>
            </w:r>
          </w:p>
        </w:tc>
        <w:tc>
          <w:tcPr>
            <w:tcW w:w="1235" w:type="dxa"/>
            <w:noWrap w:val="0"/>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70</w:t>
            </w:r>
            <w:r>
              <w:rPr>
                <w:rFonts w:hint="eastAsia" w:ascii="宋体" w:hAnsi="宋体" w:eastAsia="宋体" w:cs="宋体"/>
                <w:sz w:val="22"/>
                <w:szCs w:val="22"/>
              </w:rPr>
              <w:t>分）</w:t>
            </w:r>
          </w:p>
        </w:tc>
        <w:tc>
          <w:tcPr>
            <w:tcW w:w="5845" w:type="dxa"/>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70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采购政策功能落实：</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1、小微型企业价格扣除</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（1）本项目对小型和微型企业产品给予6%的扣除价格，用扣除后的价格参与评审。</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（2）供应商需按照采购文件的要求提供相应的《企业声明函》。</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（3）企业标准请参照《关于印发中小企业划型标准规定的通知》（工信部联企业[2011]300号）文件规定自行填写。</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2、残疾人福利单位价格扣除</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（1）本项目对残疾人福利性单位视同小型、微型企业，给予6%的价格扣除，用扣除后的价格参与评审。</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（2）残疾人福利单位需按照采购文件的要求提供《残疾人福利性单位声明函》。</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（3）残疾人福利单位标准请参照《关于促进残疾人就业政府采购政策的通知》（财库〔2017〕141号）。</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3、监狱和戒毒企业价格扣除</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（1）本项目对监狱和戒毒企业（简称监狱企业）视同小型、微型企业，给予</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%的价格扣除，用扣除后的价格参与评审。</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（3）监狱企业标准请参照《关于政府采购支持监狱企业发展有关问题的通知》（财库[2014]68号）。</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4、残疾人福利单位、监狱企业属于小型、微型企业的，不重复享受政策。</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6、联合体各方均为小型、微型企业（残疾人福利单位、监狱企业）的，联合体享受6%价格扣除，用扣除后的价格参与评审。</w:t>
      </w: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2"/>
        <w:rPr>
          <w:rFonts w:hint="eastAsia"/>
          <w:lang w:val="en-US"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sz w:val="22"/>
          <w:szCs w:val="22"/>
          <w:highlight w:val="none"/>
          <w:lang w:eastAsia="zh-CN"/>
        </w:rPr>
      </w:pPr>
    </w:p>
    <w:p>
      <w:pPr>
        <w:pStyle w:val="32"/>
        <w:shd w:val="clear"/>
        <w:rPr>
          <w:rFonts w:hint="eastAsia" w:ascii="宋体" w:hAnsi="宋体" w:eastAsia="宋体" w:cs="宋体"/>
          <w:b/>
          <w:bCs/>
          <w:sz w:val="28"/>
          <w:szCs w:val="3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eastAsia="zh-CN"/>
        </w:rPr>
        <w:t>一</w:t>
      </w:r>
      <w:r>
        <w:rPr>
          <w:rFonts w:hint="eastAsia" w:ascii="宋体" w:hAnsi="宋体" w:eastAsia="宋体" w:cs="宋体"/>
          <w:sz w:val="22"/>
          <w:szCs w:val="22"/>
          <w:highlight w:val="none"/>
          <w:lang w:val="en-US" w:eastAsia="zh-CN"/>
        </w:rPr>
        <w:t>：</w:t>
      </w:r>
    </w:p>
    <w:p>
      <w:pPr>
        <w:pStyle w:val="32"/>
        <w:shd w:val="clear"/>
        <w:jc w:val="center"/>
        <w:rPr>
          <w:rFonts w:hint="eastAsia" w:ascii="宋体" w:hAnsi="宋体" w:eastAsia="宋体" w:cs="宋体"/>
          <w:b/>
          <w:bCs/>
          <w:sz w:val="28"/>
          <w:szCs w:val="32"/>
          <w:highlight w:val="none"/>
          <w:lang w:eastAsia="zh-CN"/>
        </w:rPr>
      </w:pPr>
      <w:r>
        <w:rPr>
          <w:rFonts w:hint="eastAsia" w:ascii="宋体" w:hAnsi="宋体" w:eastAsia="宋体" w:cs="宋体"/>
          <w:b/>
          <w:bCs/>
          <w:sz w:val="28"/>
          <w:szCs w:val="32"/>
          <w:highlight w:val="none"/>
          <w:lang w:eastAsia="zh-CN"/>
        </w:rPr>
        <w:t>初步评审－资格、符合性审查表</w:t>
      </w:r>
    </w:p>
    <w:tbl>
      <w:tblPr>
        <w:tblStyle w:val="19"/>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1.1</w:t>
            </w:r>
          </w:p>
        </w:tc>
        <w:tc>
          <w:tcPr>
            <w:tcW w:w="1887" w:type="dxa"/>
            <w:vMerge w:val="restart"/>
            <w:tcBorders>
              <w:top w:val="single" w:color="auto" w:sz="4" w:space="0"/>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资格性审查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有效的营业执照、开户许可证。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zh-CN" w:eastAsia="zh-CN" w:bidi="ar-SA"/>
              </w:rPr>
              <w:t>资质证书及安全生产许可证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zh-CN" w:eastAsia="zh-CN" w:bidi="ar-SA"/>
              </w:rPr>
              <w:t>项目经理注册执业资格证书、安全生产考核合格证书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按要求提供“信用中国”网站和中国政府采购网的查询结果的截图</w:t>
            </w:r>
            <w:r>
              <w:rPr>
                <w:rFonts w:hint="eastAsia" w:ascii="宋体" w:hAnsi="宋体" w:cs="宋体"/>
                <w:kern w:val="2"/>
                <w:sz w:val="21"/>
                <w:szCs w:val="21"/>
                <w:lang w:val="en-US" w:eastAsia="zh-CN" w:bidi="ar-SA"/>
              </w:rPr>
              <w:t>（开标截止时间前三日内）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1.2</w:t>
            </w:r>
          </w:p>
        </w:tc>
        <w:tc>
          <w:tcPr>
            <w:tcW w:w="1887" w:type="dxa"/>
            <w:vMerge w:val="restart"/>
            <w:tcBorders>
              <w:top w:val="single" w:color="auto" w:sz="4" w:space="0"/>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符合性审查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供应商名称与购买文件时一致且有有效变更证明的；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响应文件按照磋商文件规定要求密封、签署、盖章的；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供应商报价低于磋商文件规定的预算金额（最高限价）；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磋商有效期符合磋商文件中规定的；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符合磋商文件中规定的实质性要求和条件的（磋商文件中标注“★”符号的条款）；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没有串通投标或弄虚作假或有其他违法行为的；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left"/>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响应文件中没有采购人不能接受的附加条件的；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left"/>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符合法律、法规和磋商文件中规定的其他实质性要求的；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left"/>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20" w:firstLineChars="200"/>
              <w:jc w:val="left"/>
              <w:rPr>
                <w:rFonts w:hint="eastAsia" w:ascii="宋体" w:hAnsi="宋体" w:cs="宋体" w:eastAsiaTheme="minorEastAsia"/>
                <w:kern w:val="2"/>
                <w:sz w:val="21"/>
                <w:szCs w:val="21"/>
                <w:lang w:val="en-US" w:eastAsia="zh-CN" w:bidi="ar-SA"/>
              </w:rPr>
            </w:pPr>
          </w:p>
        </w:tc>
        <w:tc>
          <w:tcPr>
            <w:tcW w:w="590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符合法律、法规及本磋商文件规定的其他情形。</w:t>
            </w:r>
          </w:p>
        </w:tc>
      </w:tr>
    </w:tbl>
    <w:p>
      <w:pPr>
        <w:pStyle w:val="32"/>
        <w:shd w:val="clear"/>
        <w:jc w:val="both"/>
        <w:rPr>
          <w:rFonts w:hint="eastAsia" w:ascii="宋体" w:hAnsi="宋体" w:eastAsia="宋体" w:cs="宋体"/>
          <w:b/>
          <w:bCs/>
          <w:sz w:val="28"/>
          <w:szCs w:val="32"/>
          <w:highlight w:val="none"/>
          <w:lang w:val="en-US" w:eastAsia="zh-CN"/>
        </w:rPr>
      </w:pPr>
      <w:r>
        <w:rPr>
          <w:rFonts w:hint="eastAsia" w:ascii="宋体" w:hAnsi="宋体" w:eastAsia="宋体" w:cs="宋体"/>
          <w:b/>
          <w:sz w:val="21"/>
          <w:szCs w:val="21"/>
        </w:rPr>
        <w:t>注：以上检查内容必须全部</w:t>
      </w:r>
      <w:r>
        <w:rPr>
          <w:rFonts w:hint="eastAsia" w:ascii="宋体" w:hAnsi="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cs="宋体"/>
          <w:b/>
          <w:sz w:val="21"/>
          <w:szCs w:val="21"/>
          <w:lang w:eastAsia="zh-CN"/>
        </w:rPr>
        <w:t>视</w:t>
      </w:r>
      <w:r>
        <w:rPr>
          <w:rFonts w:hint="eastAsia" w:ascii="宋体" w:hAnsi="宋体" w:eastAsia="宋体" w:cs="宋体"/>
          <w:b/>
          <w:sz w:val="21"/>
          <w:szCs w:val="21"/>
        </w:rPr>
        <w:t>为无效</w:t>
      </w:r>
      <w:r>
        <w:rPr>
          <w:rFonts w:hint="eastAsia" w:ascii="宋体" w:hAnsi="宋体" w:cs="宋体"/>
          <w:b/>
          <w:sz w:val="21"/>
          <w:szCs w:val="21"/>
          <w:lang w:eastAsia="zh-CN"/>
        </w:rPr>
        <w:t>投</w:t>
      </w:r>
      <w:r>
        <w:rPr>
          <w:rFonts w:hint="eastAsia" w:ascii="宋体" w:hAnsi="宋体" w:eastAsia="宋体" w:cs="宋体"/>
          <w:b/>
          <w:sz w:val="21"/>
          <w:szCs w:val="21"/>
        </w:rPr>
        <w:t>标。</w:t>
      </w:r>
    </w:p>
    <w:p>
      <w:pPr>
        <w:rPr>
          <w:rFonts w:hint="eastAsia"/>
          <w:lang w:val="en-US" w:eastAsia="zh-CN"/>
        </w:rPr>
      </w:pPr>
    </w:p>
    <w:p>
      <w:pPr>
        <w:rPr>
          <w:rFonts w:hint="eastAsia"/>
          <w:lang w:val="en-US"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eastAsia="zh-CN"/>
        </w:rPr>
      </w:pPr>
    </w:p>
    <w:p>
      <w:pPr>
        <w:pStyle w:val="32"/>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eastAsia="zh-CN"/>
        </w:rPr>
        <w:t>二</w:t>
      </w:r>
      <w:r>
        <w:rPr>
          <w:rFonts w:hint="eastAsia" w:ascii="宋体" w:hAnsi="宋体" w:eastAsia="宋体" w:cs="宋体"/>
          <w:sz w:val="22"/>
          <w:szCs w:val="22"/>
          <w:highlight w:val="none"/>
          <w:lang w:val="en-US" w:eastAsia="zh-CN"/>
        </w:rPr>
        <w:t>：</w:t>
      </w:r>
    </w:p>
    <w:p>
      <w:pPr>
        <w:spacing w:line="440" w:lineRule="exact"/>
        <w:jc w:val="center"/>
        <w:rPr>
          <w:rStyle w:val="38"/>
          <w:rFonts w:hint="eastAsia" w:ascii="宋体" w:hAnsi="宋体"/>
          <w:b/>
          <w:color w:val="000000"/>
          <w:sz w:val="28"/>
          <w:szCs w:val="28"/>
        </w:rPr>
      </w:pPr>
      <w:r>
        <w:rPr>
          <w:rStyle w:val="38"/>
          <w:rFonts w:hint="eastAsia" w:ascii="宋体" w:hAnsi="宋体"/>
          <w:b/>
          <w:color w:val="000000"/>
          <w:sz w:val="28"/>
          <w:szCs w:val="28"/>
        </w:rPr>
        <w:t>详细评审表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40"/>
              <w:spacing w:before="0" w:after="0" w:line="240" w:lineRule="auto"/>
              <w:ind w:firstLine="0"/>
              <w:jc w:val="center"/>
              <w:rPr>
                <w:rFonts w:ascii="宋体" w:hAnsi="宋体"/>
                <w:b/>
                <w:color w:val="auto"/>
                <w:sz w:val="18"/>
                <w:szCs w:val="18"/>
              </w:rPr>
            </w:pPr>
            <w:r>
              <w:rPr>
                <w:rFonts w:ascii="宋体" w:hAnsi="宋体"/>
                <w:b/>
                <w:color w:val="auto"/>
                <w:sz w:val="18"/>
                <w:szCs w:val="18"/>
              </w:rPr>
              <w:t>序号</w:t>
            </w:r>
          </w:p>
        </w:tc>
        <w:tc>
          <w:tcPr>
            <w:tcW w:w="1813" w:type="dxa"/>
            <w:noWrap w:val="0"/>
            <w:vAlign w:val="center"/>
          </w:tcPr>
          <w:p>
            <w:pPr>
              <w:pStyle w:val="40"/>
              <w:spacing w:before="0" w:after="0" w:line="240" w:lineRule="auto"/>
              <w:ind w:firstLine="0"/>
              <w:jc w:val="center"/>
              <w:rPr>
                <w:rFonts w:ascii="宋体" w:hAnsi="宋体"/>
                <w:b/>
                <w:color w:val="auto"/>
                <w:sz w:val="18"/>
                <w:szCs w:val="18"/>
              </w:rPr>
            </w:pPr>
            <w:r>
              <w:rPr>
                <w:rFonts w:ascii="宋体" w:hAnsi="宋体"/>
                <w:b/>
                <w:color w:val="auto"/>
                <w:sz w:val="18"/>
                <w:szCs w:val="18"/>
              </w:rPr>
              <w:t>考核项目</w:t>
            </w:r>
          </w:p>
        </w:tc>
        <w:tc>
          <w:tcPr>
            <w:tcW w:w="835" w:type="dxa"/>
            <w:noWrap w:val="0"/>
            <w:vAlign w:val="center"/>
          </w:tcPr>
          <w:p>
            <w:pPr>
              <w:pStyle w:val="40"/>
              <w:spacing w:before="0" w:after="0" w:line="240" w:lineRule="auto"/>
              <w:ind w:firstLine="0"/>
              <w:jc w:val="center"/>
              <w:rPr>
                <w:rFonts w:ascii="宋体" w:hAnsi="宋体"/>
                <w:b/>
                <w:color w:val="auto"/>
                <w:sz w:val="18"/>
                <w:szCs w:val="18"/>
              </w:rPr>
            </w:pPr>
            <w:r>
              <w:rPr>
                <w:rFonts w:ascii="宋体" w:hAnsi="宋体"/>
                <w:b/>
                <w:color w:val="auto"/>
                <w:sz w:val="18"/>
                <w:szCs w:val="18"/>
              </w:rPr>
              <w:t>分数</w:t>
            </w:r>
          </w:p>
        </w:tc>
        <w:tc>
          <w:tcPr>
            <w:tcW w:w="6659" w:type="dxa"/>
            <w:noWrap w:val="0"/>
            <w:vAlign w:val="center"/>
          </w:tcPr>
          <w:p>
            <w:pPr>
              <w:pStyle w:val="40"/>
              <w:spacing w:before="0" w:after="0" w:line="240" w:lineRule="auto"/>
              <w:ind w:firstLine="1865" w:firstLineChars="1032"/>
              <w:rPr>
                <w:rFonts w:ascii="宋体" w:hAnsi="宋体"/>
                <w:b/>
                <w:color w:val="auto"/>
                <w:sz w:val="18"/>
                <w:szCs w:val="18"/>
              </w:rPr>
            </w:pPr>
            <w:r>
              <w:rPr>
                <w:rFonts w:ascii="宋体" w:hAnsi="宋体"/>
                <w:b/>
                <w:color w:val="auto"/>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40"/>
              <w:spacing w:line="0" w:lineRule="atLeast"/>
              <w:ind w:firstLine="360" w:firstLineChars="200"/>
              <w:jc w:val="center"/>
              <w:rPr>
                <w:rFonts w:ascii="宋体" w:hAnsi="宋体"/>
                <w:color w:val="auto"/>
                <w:sz w:val="18"/>
                <w:szCs w:val="18"/>
              </w:rPr>
            </w:pPr>
            <w:r>
              <w:rPr>
                <w:rFonts w:ascii="宋体" w:hAnsi="宋体"/>
                <w:color w:val="auto"/>
                <w:sz w:val="18"/>
                <w:szCs w:val="18"/>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1</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报价</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30分</w:t>
            </w:r>
          </w:p>
        </w:tc>
        <w:tc>
          <w:tcPr>
            <w:tcW w:w="6659" w:type="dxa"/>
            <w:tcBorders>
              <w:top w:val="single" w:color="auto" w:sz="4" w:space="0"/>
              <w:bottom w:val="single" w:color="auto" w:sz="4" w:space="0"/>
            </w:tcBorders>
            <w:noWrap w:val="0"/>
            <w:vAlign w:val="top"/>
          </w:tcPr>
          <w:p>
            <w:pPr>
              <w:spacing w:line="320" w:lineRule="exact"/>
              <w:rPr>
                <w:rFonts w:hint="eastAsia" w:ascii="宋体" w:hAnsi="宋体"/>
                <w:color w:val="auto"/>
                <w:sz w:val="18"/>
                <w:szCs w:val="18"/>
              </w:rPr>
            </w:pPr>
            <w:r>
              <w:rPr>
                <w:rFonts w:hint="eastAsia" w:ascii="宋体" w:hAnsi="宋体"/>
                <w:color w:val="auto"/>
                <w:sz w:val="18"/>
                <w:szCs w:val="18"/>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0053" w:type="dxa"/>
            <w:gridSpan w:val="4"/>
            <w:tcBorders>
              <w:top w:val="single" w:color="auto" w:sz="4" w:space="0"/>
              <w:bottom w:val="single" w:color="auto" w:sz="4" w:space="0"/>
            </w:tcBorders>
            <w:noWrap w:val="0"/>
            <w:vAlign w:val="center"/>
          </w:tcPr>
          <w:p>
            <w:pPr>
              <w:pStyle w:val="40"/>
              <w:spacing w:line="320" w:lineRule="exact"/>
              <w:ind w:firstLine="360" w:firstLineChars="200"/>
              <w:jc w:val="center"/>
              <w:rPr>
                <w:rFonts w:ascii="宋体" w:hAnsi="宋体"/>
                <w:color w:val="auto"/>
                <w:sz w:val="18"/>
                <w:szCs w:val="18"/>
              </w:rPr>
            </w:pPr>
            <w:r>
              <w:rPr>
                <w:rFonts w:ascii="宋体" w:hAnsi="宋体"/>
                <w:color w:val="auto"/>
                <w:sz w:val="18"/>
                <w:szCs w:val="18"/>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2</w:t>
            </w:r>
          </w:p>
        </w:tc>
        <w:tc>
          <w:tcPr>
            <w:tcW w:w="1813" w:type="dxa"/>
            <w:tcBorders>
              <w:top w:val="single" w:color="auto" w:sz="4" w:space="0"/>
              <w:bottom w:val="single" w:color="auto" w:sz="4" w:space="0"/>
            </w:tcBorders>
            <w:noWrap w:val="0"/>
            <w:vAlign w:val="center"/>
          </w:tcPr>
          <w:p>
            <w:pPr>
              <w:spacing w:line="320" w:lineRule="exact"/>
              <w:jc w:val="center"/>
              <w:rPr>
                <w:rFonts w:ascii="宋体" w:hAnsi="宋体"/>
                <w:color w:val="auto"/>
                <w:sz w:val="18"/>
                <w:szCs w:val="18"/>
              </w:rPr>
            </w:pPr>
            <w:r>
              <w:rPr>
                <w:rFonts w:hint="eastAsia" w:ascii="宋体" w:hAnsi="宋体"/>
                <w:color w:val="auto"/>
                <w:sz w:val="18"/>
                <w:szCs w:val="18"/>
              </w:rPr>
              <w:t>项目实施方案</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20分</w:t>
            </w:r>
          </w:p>
        </w:tc>
        <w:tc>
          <w:tcPr>
            <w:tcW w:w="6659" w:type="dxa"/>
            <w:tcBorders>
              <w:top w:val="single" w:color="auto" w:sz="4" w:space="0"/>
              <w:bottom w:val="single" w:color="auto" w:sz="4" w:space="0"/>
            </w:tcBorders>
            <w:noWrap w:val="0"/>
            <w:vAlign w:val="top"/>
          </w:tcPr>
          <w:p>
            <w:pPr>
              <w:spacing w:line="320" w:lineRule="exact"/>
              <w:rPr>
                <w:rFonts w:ascii="宋体" w:hAnsi="宋体"/>
                <w:color w:val="auto"/>
                <w:sz w:val="18"/>
                <w:szCs w:val="18"/>
              </w:rPr>
            </w:pPr>
            <w:r>
              <w:rPr>
                <w:rFonts w:hint="eastAsia" w:ascii="宋体" w:hAnsi="宋体"/>
                <w:color w:val="auto"/>
                <w:sz w:val="18"/>
                <w:szCs w:val="18"/>
              </w:rPr>
              <w:t>项目实施方案</w:t>
            </w:r>
            <w:r>
              <w:rPr>
                <w:rFonts w:ascii="宋体" w:hAnsi="宋体"/>
                <w:color w:val="auto"/>
                <w:sz w:val="18"/>
                <w:szCs w:val="18"/>
              </w:rPr>
              <w:t>切实可行</w:t>
            </w:r>
            <w:r>
              <w:rPr>
                <w:rFonts w:hint="eastAsia" w:ascii="宋体" w:hAnsi="宋体"/>
                <w:color w:val="auto"/>
                <w:sz w:val="18"/>
                <w:szCs w:val="18"/>
              </w:rPr>
              <w:t>，</w:t>
            </w:r>
            <w:r>
              <w:rPr>
                <w:rFonts w:ascii="宋体" w:hAnsi="宋体"/>
                <w:color w:val="auto"/>
                <w:sz w:val="18"/>
                <w:szCs w:val="18"/>
              </w:rPr>
              <w:t>方案可以很好满足采购单位需求得</w:t>
            </w:r>
            <w:r>
              <w:rPr>
                <w:rFonts w:hint="eastAsia" w:ascii="宋体" w:hAnsi="宋体"/>
                <w:color w:val="auto"/>
                <w:sz w:val="18"/>
                <w:szCs w:val="18"/>
              </w:rPr>
              <w:t>20-16</w:t>
            </w:r>
            <w:r>
              <w:rPr>
                <w:rFonts w:ascii="宋体" w:hAnsi="宋体"/>
                <w:color w:val="auto"/>
                <w:sz w:val="18"/>
                <w:szCs w:val="18"/>
              </w:rPr>
              <w:t>分；</w:t>
            </w:r>
            <w:r>
              <w:rPr>
                <w:rFonts w:hint="eastAsia" w:ascii="宋体" w:hAnsi="宋体"/>
                <w:color w:val="auto"/>
                <w:sz w:val="18"/>
                <w:szCs w:val="18"/>
              </w:rPr>
              <w:t>项目实施方案及相关体系</w:t>
            </w:r>
            <w:r>
              <w:rPr>
                <w:rFonts w:ascii="宋体" w:hAnsi="宋体"/>
                <w:color w:val="auto"/>
                <w:sz w:val="18"/>
                <w:szCs w:val="18"/>
              </w:rPr>
              <w:t>切实可行，基本满足采购单位需求得</w:t>
            </w:r>
            <w:r>
              <w:rPr>
                <w:rFonts w:hint="eastAsia" w:ascii="宋体" w:hAnsi="宋体"/>
                <w:color w:val="auto"/>
                <w:sz w:val="18"/>
                <w:szCs w:val="18"/>
              </w:rPr>
              <w:t>15-11</w:t>
            </w:r>
            <w:r>
              <w:rPr>
                <w:rFonts w:ascii="宋体" w:hAnsi="宋体"/>
                <w:color w:val="auto"/>
                <w:sz w:val="18"/>
                <w:szCs w:val="18"/>
              </w:rPr>
              <w:t>分</w:t>
            </w:r>
            <w:r>
              <w:rPr>
                <w:rFonts w:hint="eastAsia" w:ascii="宋体" w:hAnsi="宋体"/>
                <w:color w:val="auto"/>
                <w:sz w:val="18"/>
                <w:szCs w:val="18"/>
              </w:rPr>
              <w:t>；项目实施方案</w:t>
            </w:r>
            <w:r>
              <w:rPr>
                <w:rFonts w:ascii="宋体" w:hAnsi="宋体"/>
                <w:color w:val="auto"/>
                <w:sz w:val="18"/>
                <w:szCs w:val="18"/>
              </w:rPr>
              <w:t>基本可行，方案较简单得</w:t>
            </w:r>
            <w:r>
              <w:rPr>
                <w:rFonts w:hint="eastAsia" w:ascii="宋体" w:hAnsi="宋体"/>
                <w:color w:val="auto"/>
                <w:sz w:val="18"/>
                <w:szCs w:val="18"/>
              </w:rPr>
              <w:t>4-10</w:t>
            </w:r>
            <w:r>
              <w:rPr>
                <w:rFonts w:ascii="宋体" w:hAnsi="宋体"/>
                <w:color w:val="auto"/>
                <w:sz w:val="18"/>
                <w:szCs w:val="18"/>
              </w:rPr>
              <w:t>分，</w:t>
            </w:r>
            <w:r>
              <w:rPr>
                <w:rFonts w:hint="eastAsia" w:ascii="宋体" w:hAnsi="宋体"/>
                <w:color w:val="auto"/>
                <w:sz w:val="18"/>
                <w:szCs w:val="18"/>
              </w:rPr>
              <w:t>项目实施方案及相关体系</w:t>
            </w:r>
            <w:r>
              <w:rPr>
                <w:rFonts w:ascii="宋体" w:hAnsi="宋体"/>
                <w:color w:val="auto"/>
                <w:sz w:val="18"/>
                <w:szCs w:val="18"/>
              </w:rPr>
              <w:t>基本不可行，不能满足采购单位需求得</w:t>
            </w:r>
            <w:r>
              <w:rPr>
                <w:rFonts w:hint="eastAsia" w:ascii="宋体" w:hAnsi="宋体"/>
                <w:color w:val="auto"/>
                <w:sz w:val="18"/>
                <w:szCs w:val="18"/>
              </w:rPr>
              <w:t>3</w:t>
            </w:r>
            <w:r>
              <w:rPr>
                <w:rFonts w:ascii="宋体" w:hAnsi="宋体"/>
                <w:color w:val="auto"/>
                <w:sz w:val="18"/>
                <w:szCs w:val="18"/>
              </w:rPr>
              <w:t>分以下。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746" w:type="dxa"/>
            <w:tcBorders>
              <w:top w:val="single" w:color="auto" w:sz="4" w:space="0"/>
              <w:bottom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3</w:t>
            </w:r>
          </w:p>
        </w:tc>
        <w:tc>
          <w:tcPr>
            <w:tcW w:w="1813" w:type="dxa"/>
            <w:tcBorders>
              <w:top w:val="single" w:color="auto" w:sz="4" w:space="0"/>
              <w:bottom w:val="single" w:color="auto" w:sz="4" w:space="0"/>
            </w:tcBorders>
            <w:noWrap w:val="0"/>
            <w:vAlign w:val="center"/>
          </w:tcPr>
          <w:p>
            <w:pPr>
              <w:spacing w:line="320" w:lineRule="exact"/>
              <w:ind w:firstLine="180" w:firstLineChars="100"/>
              <w:rPr>
                <w:rFonts w:hint="eastAsia" w:ascii="宋体" w:hAnsi="宋体"/>
                <w:color w:val="auto"/>
                <w:sz w:val="18"/>
                <w:szCs w:val="18"/>
              </w:rPr>
            </w:pPr>
            <w:r>
              <w:rPr>
                <w:rFonts w:hint="eastAsia" w:ascii="宋体" w:hAnsi="宋体"/>
                <w:color w:val="auto"/>
                <w:sz w:val="18"/>
                <w:szCs w:val="18"/>
              </w:rPr>
              <w:t>项目进度安排</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10分</w:t>
            </w:r>
          </w:p>
        </w:tc>
        <w:tc>
          <w:tcPr>
            <w:tcW w:w="6659" w:type="dxa"/>
            <w:tcBorders>
              <w:top w:val="single" w:color="auto" w:sz="4" w:space="0"/>
              <w:bottom w:val="single" w:color="auto" w:sz="4" w:space="0"/>
            </w:tcBorders>
            <w:noWrap w:val="0"/>
            <w:vAlign w:val="top"/>
          </w:tcPr>
          <w:p>
            <w:pPr>
              <w:spacing w:line="320" w:lineRule="exact"/>
              <w:rPr>
                <w:rFonts w:hint="eastAsia" w:ascii="宋体" w:hAnsi="宋体"/>
                <w:color w:val="auto"/>
                <w:sz w:val="18"/>
                <w:szCs w:val="18"/>
              </w:rPr>
            </w:pPr>
            <w:r>
              <w:rPr>
                <w:rFonts w:hint="eastAsia" w:ascii="宋体" w:hAnsi="宋体"/>
                <w:color w:val="auto"/>
                <w:sz w:val="18"/>
                <w:szCs w:val="18"/>
              </w:rPr>
              <w:t>进度安排合理、控制措施全面、可操作性强，有进度计划横道图8-10分；</w:t>
            </w:r>
          </w:p>
          <w:p>
            <w:pPr>
              <w:spacing w:line="320" w:lineRule="exact"/>
              <w:rPr>
                <w:rFonts w:hint="eastAsia" w:ascii="宋体" w:hAnsi="宋体"/>
                <w:color w:val="auto"/>
                <w:sz w:val="18"/>
                <w:szCs w:val="18"/>
              </w:rPr>
            </w:pPr>
            <w:r>
              <w:rPr>
                <w:rFonts w:hint="eastAsia" w:ascii="宋体" w:hAnsi="宋体"/>
                <w:color w:val="auto"/>
                <w:sz w:val="18"/>
                <w:szCs w:val="18"/>
              </w:rPr>
              <w:t>进度安排基本合理、控制措施基本完整、具有一定的可操作性5-7分；</w:t>
            </w:r>
          </w:p>
          <w:p>
            <w:pPr>
              <w:spacing w:line="320" w:lineRule="exact"/>
              <w:rPr>
                <w:rFonts w:ascii="宋体" w:hAnsi="宋体"/>
                <w:color w:val="auto"/>
                <w:sz w:val="18"/>
                <w:szCs w:val="18"/>
              </w:rPr>
            </w:pPr>
            <w:r>
              <w:rPr>
                <w:rFonts w:hint="eastAsia" w:ascii="宋体" w:hAnsi="宋体"/>
                <w:color w:val="auto"/>
                <w:sz w:val="18"/>
                <w:szCs w:val="18"/>
              </w:rPr>
              <w:t>进度安排不合理、控制措施不全面、无可操作性1-4分；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6" w:hRule="atLeast"/>
          <w:jc w:val="center"/>
        </w:trPr>
        <w:tc>
          <w:tcPr>
            <w:tcW w:w="746" w:type="dxa"/>
            <w:tcBorders>
              <w:top w:val="single" w:color="auto" w:sz="4" w:space="0"/>
              <w:bottom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4</w:t>
            </w:r>
          </w:p>
        </w:tc>
        <w:tc>
          <w:tcPr>
            <w:tcW w:w="1813" w:type="dxa"/>
            <w:tcBorders>
              <w:top w:val="single" w:color="auto" w:sz="4" w:space="0"/>
              <w:bottom w:val="single" w:color="auto" w:sz="4" w:space="0"/>
            </w:tcBorders>
            <w:noWrap w:val="0"/>
            <w:vAlign w:val="center"/>
          </w:tcPr>
          <w:p>
            <w:pPr>
              <w:spacing w:line="320" w:lineRule="exact"/>
              <w:jc w:val="center"/>
              <w:rPr>
                <w:rFonts w:ascii="宋体" w:hAnsi="宋体"/>
                <w:color w:val="auto"/>
                <w:sz w:val="18"/>
                <w:szCs w:val="18"/>
                <w:u w:val="single"/>
              </w:rPr>
            </w:pPr>
            <w:r>
              <w:rPr>
                <w:rFonts w:ascii="宋体" w:hAnsi="宋体"/>
                <w:color w:val="auto"/>
                <w:sz w:val="18"/>
                <w:szCs w:val="18"/>
              </w:rPr>
              <w:t>项目业绩</w:t>
            </w:r>
          </w:p>
        </w:tc>
        <w:tc>
          <w:tcPr>
            <w:tcW w:w="835" w:type="dxa"/>
            <w:tcBorders>
              <w:top w:val="single" w:color="auto" w:sz="4" w:space="0"/>
              <w:bottom w:val="single" w:color="auto" w:sz="4" w:space="0"/>
            </w:tcBorders>
            <w:noWrap w:val="0"/>
            <w:vAlign w:val="center"/>
          </w:tcPr>
          <w:p>
            <w:pPr>
              <w:spacing w:line="320" w:lineRule="exact"/>
              <w:jc w:val="center"/>
              <w:rPr>
                <w:rFonts w:ascii="宋体" w:hAnsi="宋体"/>
                <w:color w:val="auto"/>
                <w:sz w:val="18"/>
                <w:szCs w:val="18"/>
              </w:rPr>
            </w:pPr>
            <w:r>
              <w:rPr>
                <w:rFonts w:hint="eastAsia" w:ascii="宋体" w:hAnsi="宋体"/>
                <w:color w:val="auto"/>
                <w:sz w:val="18"/>
                <w:szCs w:val="18"/>
                <w:lang w:val="en-US" w:eastAsia="zh-CN"/>
              </w:rPr>
              <w:t>6</w:t>
            </w:r>
            <w:r>
              <w:rPr>
                <w:rFonts w:ascii="宋体" w:hAnsi="宋体"/>
                <w:color w:val="auto"/>
                <w:sz w:val="18"/>
                <w:szCs w:val="18"/>
              </w:rPr>
              <w:t>分</w:t>
            </w:r>
          </w:p>
        </w:tc>
        <w:tc>
          <w:tcPr>
            <w:tcW w:w="6659" w:type="dxa"/>
            <w:tcBorders>
              <w:top w:val="single" w:color="auto" w:sz="4" w:space="0"/>
              <w:bottom w:val="single" w:color="auto" w:sz="4" w:space="0"/>
            </w:tcBorders>
            <w:noWrap w:val="0"/>
            <w:vAlign w:val="top"/>
          </w:tcPr>
          <w:p>
            <w:pPr>
              <w:pStyle w:val="40"/>
              <w:spacing w:line="320" w:lineRule="exact"/>
              <w:ind w:firstLine="0"/>
              <w:rPr>
                <w:rFonts w:ascii="宋体" w:hAnsi="宋体"/>
                <w:color w:val="auto"/>
                <w:sz w:val="18"/>
                <w:szCs w:val="18"/>
                <w:u w:val="single"/>
              </w:rPr>
            </w:pPr>
            <w:r>
              <w:rPr>
                <w:rFonts w:ascii="宋体" w:hAnsi="宋体"/>
                <w:color w:val="auto"/>
                <w:sz w:val="18"/>
                <w:szCs w:val="18"/>
              </w:rPr>
              <w:t>投标人提供近三年类似业绩（需提供合同、中标通知书，二者缺一不可），每提供一个案例合同得2分，最多得</w:t>
            </w:r>
            <w:r>
              <w:rPr>
                <w:rFonts w:hint="eastAsia" w:ascii="宋体" w:hAnsi="宋体"/>
                <w:color w:val="auto"/>
                <w:sz w:val="18"/>
                <w:szCs w:val="18"/>
                <w:lang w:val="en-US" w:eastAsia="zh-CN"/>
              </w:rPr>
              <w:t>6</w:t>
            </w:r>
            <w:r>
              <w:rPr>
                <w:rFonts w:ascii="宋体" w:hAnsi="宋体"/>
                <w:color w:val="auto"/>
                <w:sz w:val="18"/>
                <w:szCs w:val="18"/>
              </w:rPr>
              <w:t>分（需提供清晰的合同关键页和中标通知书复印件并加盖投标单位公章，否则不予计算业绩）同一案列（业绩）不重复加分。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746" w:type="dxa"/>
            <w:tcBorders>
              <w:top w:val="single" w:color="auto" w:sz="4" w:space="0"/>
              <w:bottom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5</w:t>
            </w:r>
          </w:p>
        </w:tc>
        <w:tc>
          <w:tcPr>
            <w:tcW w:w="1813" w:type="dxa"/>
            <w:tcBorders>
              <w:top w:val="single" w:color="auto" w:sz="4" w:space="0"/>
            </w:tcBorders>
            <w:noWrap w:val="0"/>
            <w:vAlign w:val="center"/>
          </w:tcPr>
          <w:p>
            <w:pPr>
              <w:pStyle w:val="40"/>
              <w:widowControl/>
              <w:ind w:firstLine="0"/>
              <w:jc w:val="center"/>
              <w:rPr>
                <w:rFonts w:ascii="宋体" w:hAnsi="宋体"/>
                <w:color w:val="auto"/>
                <w:sz w:val="18"/>
                <w:szCs w:val="18"/>
              </w:rPr>
            </w:pPr>
            <w:r>
              <w:rPr>
                <w:rFonts w:ascii="宋体" w:hAnsi="宋体"/>
                <w:color w:val="auto"/>
                <w:sz w:val="18"/>
                <w:szCs w:val="18"/>
              </w:rPr>
              <w:t>服务承诺</w:t>
            </w:r>
          </w:p>
        </w:tc>
        <w:tc>
          <w:tcPr>
            <w:tcW w:w="835" w:type="dxa"/>
            <w:tcBorders>
              <w:top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lang w:val="en-US" w:eastAsia="zh-CN"/>
              </w:rPr>
              <w:t>8</w:t>
            </w:r>
            <w:r>
              <w:rPr>
                <w:rFonts w:hint="eastAsia" w:ascii="宋体" w:hAnsi="宋体"/>
                <w:color w:val="auto"/>
                <w:sz w:val="18"/>
                <w:szCs w:val="18"/>
              </w:rPr>
              <w:t>分</w:t>
            </w:r>
          </w:p>
        </w:tc>
        <w:tc>
          <w:tcPr>
            <w:tcW w:w="6659" w:type="dxa"/>
            <w:tcBorders>
              <w:top w:val="single" w:color="auto" w:sz="4" w:space="0"/>
              <w:bottom w:val="single" w:color="auto" w:sz="4" w:space="0"/>
            </w:tcBorders>
            <w:noWrap w:val="0"/>
            <w:vAlign w:val="center"/>
          </w:tcPr>
          <w:p>
            <w:pPr>
              <w:pStyle w:val="40"/>
              <w:spacing w:line="320" w:lineRule="exact"/>
              <w:ind w:firstLine="0"/>
              <w:rPr>
                <w:rFonts w:ascii="宋体" w:hAnsi="宋体"/>
                <w:color w:val="auto"/>
                <w:sz w:val="18"/>
                <w:szCs w:val="18"/>
              </w:rPr>
            </w:pPr>
            <w:r>
              <w:rPr>
                <w:rFonts w:ascii="宋体" w:hAnsi="宋体"/>
                <w:color w:val="auto"/>
                <w:sz w:val="18"/>
                <w:szCs w:val="18"/>
              </w:rPr>
              <w:t>承诺有良好的职业道德，遵守法律，服从管理，自觉接受监督，服务承诺非常满意的</w:t>
            </w:r>
            <w:r>
              <w:rPr>
                <w:rFonts w:hint="eastAsia" w:ascii="宋体" w:hAnsi="宋体"/>
                <w:color w:val="auto"/>
                <w:sz w:val="18"/>
                <w:szCs w:val="18"/>
                <w:lang w:val="en-US" w:eastAsia="zh-CN"/>
              </w:rPr>
              <w:t>8</w:t>
            </w:r>
            <w:r>
              <w:rPr>
                <w:rFonts w:ascii="宋体" w:hAnsi="宋体"/>
                <w:color w:val="auto"/>
                <w:sz w:val="18"/>
                <w:szCs w:val="18"/>
              </w:rPr>
              <w:t>分；服务承诺较好的</w:t>
            </w:r>
            <w:r>
              <w:rPr>
                <w:rFonts w:hint="eastAsia" w:ascii="宋体" w:hAnsi="宋体"/>
                <w:color w:val="auto"/>
                <w:sz w:val="18"/>
                <w:szCs w:val="18"/>
                <w:lang w:val="en-US" w:eastAsia="zh-CN"/>
              </w:rPr>
              <w:t>4</w:t>
            </w:r>
            <w:r>
              <w:rPr>
                <w:rFonts w:ascii="宋体" w:hAnsi="宋体"/>
                <w:color w:val="auto"/>
                <w:sz w:val="18"/>
                <w:szCs w:val="18"/>
              </w:rPr>
              <w:t>分；服务承诺一般</w:t>
            </w:r>
            <w:r>
              <w:rPr>
                <w:rFonts w:hint="eastAsia" w:ascii="宋体" w:hAnsi="宋体"/>
                <w:color w:val="auto"/>
                <w:sz w:val="18"/>
                <w:szCs w:val="18"/>
                <w:lang w:val="en-US" w:eastAsia="zh-CN"/>
              </w:rPr>
              <w:t>2</w:t>
            </w:r>
            <w:r>
              <w:rPr>
                <w:rFonts w:ascii="宋体" w:hAnsi="宋体"/>
                <w:color w:val="auto"/>
                <w:sz w:val="18"/>
                <w:szCs w:val="18"/>
              </w:rPr>
              <w:t>分；服务承诺较差的或者没有服务承诺的不得分。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746" w:type="dxa"/>
            <w:tcBorders>
              <w:top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7</w:t>
            </w:r>
          </w:p>
        </w:tc>
        <w:tc>
          <w:tcPr>
            <w:tcW w:w="1813" w:type="dxa"/>
            <w:tcBorders>
              <w:top w:val="single" w:color="auto" w:sz="4" w:space="0"/>
            </w:tcBorders>
            <w:noWrap w:val="0"/>
            <w:vAlign w:val="center"/>
          </w:tcPr>
          <w:p>
            <w:pPr>
              <w:pStyle w:val="40"/>
              <w:ind w:firstLine="0"/>
              <w:jc w:val="center"/>
              <w:rPr>
                <w:rFonts w:ascii="宋体" w:hAnsi="宋体"/>
                <w:color w:val="auto"/>
                <w:sz w:val="18"/>
                <w:szCs w:val="18"/>
              </w:rPr>
            </w:pPr>
            <w:r>
              <w:rPr>
                <w:rFonts w:ascii="宋体" w:hAnsi="宋体"/>
                <w:color w:val="auto"/>
                <w:sz w:val="18"/>
                <w:szCs w:val="18"/>
              </w:rPr>
              <w:t>技术人员配置情况</w:t>
            </w:r>
          </w:p>
        </w:tc>
        <w:tc>
          <w:tcPr>
            <w:tcW w:w="835" w:type="dxa"/>
            <w:tcBorders>
              <w:top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15分</w:t>
            </w:r>
          </w:p>
        </w:tc>
        <w:tc>
          <w:tcPr>
            <w:tcW w:w="6659" w:type="dxa"/>
            <w:tcBorders>
              <w:top w:val="single" w:color="auto" w:sz="4" w:space="0"/>
            </w:tcBorders>
            <w:noWrap w:val="0"/>
            <w:vAlign w:val="center"/>
          </w:tcPr>
          <w:p>
            <w:pPr>
              <w:spacing w:line="320" w:lineRule="exact"/>
              <w:rPr>
                <w:rFonts w:hint="eastAsia" w:ascii="宋体" w:hAnsi="宋体" w:eastAsiaTheme="minorEastAsia"/>
                <w:color w:val="auto"/>
                <w:sz w:val="18"/>
                <w:szCs w:val="18"/>
                <w:lang w:eastAsia="zh-CN"/>
              </w:rPr>
            </w:pPr>
            <w:r>
              <w:rPr>
                <w:rFonts w:hint="eastAsia" w:ascii="宋体" w:hAnsi="宋体"/>
                <w:color w:val="auto"/>
                <w:sz w:val="18"/>
                <w:szCs w:val="18"/>
              </w:rPr>
              <w:t>具有从事管理专业工作人员和技术人员</w:t>
            </w:r>
            <w:r>
              <w:rPr>
                <w:rFonts w:hint="eastAsia" w:ascii="宋体" w:hAnsi="宋体"/>
                <w:color w:val="auto"/>
                <w:sz w:val="18"/>
                <w:szCs w:val="18"/>
                <w:lang w:val="en-US" w:eastAsia="zh-CN"/>
              </w:rPr>
              <w:t>15</w:t>
            </w:r>
            <w:r>
              <w:rPr>
                <w:rFonts w:hint="eastAsia" w:ascii="宋体" w:hAnsi="宋体"/>
                <w:color w:val="auto"/>
                <w:sz w:val="18"/>
                <w:szCs w:val="18"/>
              </w:rPr>
              <w:t>人及以上得</w:t>
            </w:r>
            <w:r>
              <w:rPr>
                <w:rFonts w:hint="eastAsia" w:ascii="宋体" w:hAnsi="宋体"/>
                <w:color w:val="auto"/>
                <w:sz w:val="18"/>
                <w:szCs w:val="18"/>
                <w:lang w:val="en-US" w:eastAsia="zh-CN"/>
              </w:rPr>
              <w:t>10-15</w:t>
            </w:r>
            <w:r>
              <w:rPr>
                <w:rFonts w:hint="eastAsia" w:ascii="宋体" w:hAnsi="宋体"/>
                <w:color w:val="auto"/>
                <w:sz w:val="18"/>
                <w:szCs w:val="18"/>
              </w:rPr>
              <w:t>分；具有从事管理专业工作人员和技术人员</w:t>
            </w:r>
            <w:r>
              <w:rPr>
                <w:rFonts w:hint="eastAsia" w:ascii="宋体" w:hAnsi="宋体"/>
                <w:color w:val="auto"/>
                <w:sz w:val="18"/>
                <w:szCs w:val="18"/>
                <w:lang w:val="en-US" w:eastAsia="zh-CN"/>
              </w:rPr>
              <w:t>15</w:t>
            </w:r>
            <w:r>
              <w:rPr>
                <w:rFonts w:hint="eastAsia" w:ascii="宋体" w:hAnsi="宋体"/>
                <w:color w:val="auto"/>
                <w:sz w:val="18"/>
                <w:szCs w:val="18"/>
              </w:rPr>
              <w:t>人以下</w:t>
            </w:r>
            <w:r>
              <w:rPr>
                <w:rFonts w:hint="eastAsia" w:ascii="宋体" w:hAnsi="宋体"/>
                <w:color w:val="auto"/>
                <w:sz w:val="18"/>
                <w:szCs w:val="18"/>
                <w:lang w:val="en-US" w:eastAsia="zh-CN"/>
              </w:rPr>
              <w:t>10</w:t>
            </w:r>
            <w:r>
              <w:rPr>
                <w:rFonts w:hint="eastAsia" w:ascii="宋体" w:hAnsi="宋体"/>
                <w:color w:val="auto"/>
                <w:sz w:val="18"/>
                <w:szCs w:val="18"/>
              </w:rPr>
              <w:t>人以上得</w:t>
            </w:r>
            <w:r>
              <w:rPr>
                <w:rFonts w:hint="eastAsia" w:ascii="宋体" w:hAnsi="宋体"/>
                <w:color w:val="auto"/>
                <w:sz w:val="18"/>
                <w:szCs w:val="18"/>
                <w:lang w:val="en-US" w:eastAsia="zh-CN"/>
              </w:rPr>
              <w:t>5-9</w:t>
            </w:r>
            <w:r>
              <w:rPr>
                <w:rFonts w:hint="eastAsia" w:ascii="宋体" w:hAnsi="宋体"/>
                <w:color w:val="auto"/>
                <w:sz w:val="18"/>
                <w:szCs w:val="18"/>
              </w:rPr>
              <w:t>分；具有从事管理专业工作人员和技术工种</w:t>
            </w:r>
            <w:r>
              <w:rPr>
                <w:rFonts w:hint="eastAsia" w:ascii="宋体" w:hAnsi="宋体"/>
                <w:color w:val="auto"/>
                <w:sz w:val="18"/>
                <w:szCs w:val="18"/>
                <w:lang w:val="en-US" w:eastAsia="zh-CN"/>
              </w:rPr>
              <w:t>10</w:t>
            </w:r>
            <w:r>
              <w:rPr>
                <w:rFonts w:hint="eastAsia" w:ascii="宋体" w:hAnsi="宋体"/>
                <w:color w:val="auto"/>
                <w:sz w:val="18"/>
                <w:szCs w:val="18"/>
              </w:rPr>
              <w:t>人以下</w:t>
            </w:r>
            <w:r>
              <w:rPr>
                <w:rFonts w:hint="eastAsia" w:ascii="宋体" w:hAnsi="宋体"/>
                <w:color w:val="auto"/>
                <w:sz w:val="18"/>
                <w:szCs w:val="18"/>
                <w:lang w:val="en-US" w:eastAsia="zh-CN"/>
              </w:rPr>
              <w:t>5</w:t>
            </w:r>
            <w:r>
              <w:rPr>
                <w:rFonts w:hint="eastAsia" w:ascii="宋体" w:hAnsi="宋体"/>
                <w:color w:val="auto"/>
                <w:sz w:val="18"/>
                <w:szCs w:val="18"/>
              </w:rPr>
              <w:t>人以上得</w:t>
            </w:r>
            <w:r>
              <w:rPr>
                <w:rFonts w:hint="eastAsia" w:ascii="宋体" w:hAnsi="宋体"/>
                <w:color w:val="auto"/>
                <w:sz w:val="18"/>
                <w:szCs w:val="18"/>
                <w:lang w:val="en-US" w:eastAsia="zh-CN"/>
              </w:rPr>
              <w:t>0-4</w:t>
            </w:r>
            <w:r>
              <w:rPr>
                <w:rFonts w:hint="eastAsia" w:ascii="宋体" w:hAnsi="宋体"/>
                <w:color w:val="auto"/>
                <w:sz w:val="18"/>
                <w:szCs w:val="18"/>
              </w:rPr>
              <w:t>分</w:t>
            </w:r>
            <w:r>
              <w:rPr>
                <w:rFonts w:hint="eastAsia" w:ascii="宋体" w:hAnsi="宋体"/>
                <w:color w:val="auto"/>
                <w:sz w:val="18"/>
                <w:szCs w:val="1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746" w:type="dxa"/>
            <w:tcBorders>
              <w:top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8</w:t>
            </w:r>
          </w:p>
        </w:tc>
        <w:tc>
          <w:tcPr>
            <w:tcW w:w="1813" w:type="dxa"/>
            <w:tcBorders>
              <w:top w:val="single" w:color="auto" w:sz="4" w:space="0"/>
            </w:tcBorders>
            <w:noWrap w:val="0"/>
            <w:vAlign w:val="center"/>
          </w:tcPr>
          <w:p>
            <w:pPr>
              <w:pStyle w:val="40"/>
              <w:widowControl/>
              <w:spacing w:line="320" w:lineRule="exact"/>
              <w:ind w:firstLine="0"/>
              <w:jc w:val="center"/>
              <w:rPr>
                <w:rFonts w:ascii="宋体" w:hAnsi="宋体"/>
                <w:color w:val="auto"/>
                <w:sz w:val="18"/>
                <w:szCs w:val="18"/>
              </w:rPr>
            </w:pPr>
            <w:r>
              <w:rPr>
                <w:rFonts w:ascii="宋体" w:hAnsi="宋体"/>
                <w:color w:val="auto"/>
                <w:sz w:val="18"/>
                <w:szCs w:val="18"/>
              </w:rPr>
              <w:t>财务状况</w:t>
            </w:r>
          </w:p>
        </w:tc>
        <w:tc>
          <w:tcPr>
            <w:tcW w:w="835" w:type="dxa"/>
            <w:tcBorders>
              <w:top w:val="single" w:color="auto" w:sz="4" w:space="0"/>
            </w:tcBorders>
            <w:noWrap w:val="0"/>
            <w:vAlign w:val="center"/>
          </w:tcPr>
          <w:p>
            <w:pPr>
              <w:spacing w:line="320" w:lineRule="exact"/>
              <w:jc w:val="center"/>
              <w:rPr>
                <w:rFonts w:ascii="宋体" w:hAnsi="宋体"/>
                <w:color w:val="auto"/>
                <w:sz w:val="18"/>
                <w:szCs w:val="18"/>
              </w:rPr>
            </w:pPr>
            <w:r>
              <w:rPr>
                <w:rFonts w:hint="eastAsia" w:ascii="宋体" w:hAnsi="宋体"/>
                <w:color w:val="auto"/>
                <w:sz w:val="18"/>
                <w:szCs w:val="18"/>
              </w:rPr>
              <w:t>5分</w:t>
            </w:r>
          </w:p>
        </w:tc>
        <w:tc>
          <w:tcPr>
            <w:tcW w:w="6659" w:type="dxa"/>
            <w:tcBorders>
              <w:top w:val="single" w:color="auto" w:sz="4" w:space="0"/>
            </w:tcBorders>
            <w:noWrap w:val="0"/>
            <w:vAlign w:val="center"/>
          </w:tcPr>
          <w:p>
            <w:pPr>
              <w:pStyle w:val="40"/>
              <w:spacing w:line="320" w:lineRule="exact"/>
              <w:ind w:firstLine="0"/>
              <w:rPr>
                <w:rFonts w:ascii="宋体" w:hAnsi="宋体"/>
                <w:color w:val="auto"/>
                <w:sz w:val="18"/>
                <w:szCs w:val="18"/>
                <w:u w:val="single"/>
              </w:rPr>
            </w:pPr>
            <w:r>
              <w:rPr>
                <w:rFonts w:ascii="宋体" w:hAnsi="宋体"/>
                <w:color w:val="auto"/>
                <w:sz w:val="18"/>
                <w:szCs w:val="18"/>
              </w:rPr>
              <w:t>对比所有投标人财务状况，优5分，良3分，一般最高得1分。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46" w:type="dxa"/>
            <w:tcBorders>
              <w:top w:val="single" w:color="auto" w:sz="4" w:space="0"/>
            </w:tcBorders>
            <w:noWrap w:val="0"/>
            <w:vAlign w:val="center"/>
          </w:tcPr>
          <w:p>
            <w:pPr>
              <w:pStyle w:val="40"/>
              <w:ind w:firstLine="180" w:firstLineChars="100"/>
              <w:rPr>
                <w:rFonts w:ascii="宋体" w:hAnsi="宋体"/>
                <w:color w:val="auto"/>
                <w:sz w:val="18"/>
                <w:szCs w:val="18"/>
              </w:rPr>
            </w:pPr>
            <w:r>
              <w:rPr>
                <w:rFonts w:ascii="宋体" w:hAnsi="宋体"/>
                <w:color w:val="auto"/>
                <w:sz w:val="18"/>
                <w:szCs w:val="18"/>
              </w:rPr>
              <w:t>9</w:t>
            </w:r>
          </w:p>
        </w:tc>
        <w:tc>
          <w:tcPr>
            <w:tcW w:w="1813" w:type="dxa"/>
            <w:tcBorders>
              <w:top w:val="single" w:color="auto" w:sz="4" w:space="0"/>
            </w:tcBorders>
            <w:noWrap w:val="0"/>
            <w:vAlign w:val="center"/>
          </w:tcPr>
          <w:p>
            <w:pPr>
              <w:pStyle w:val="15"/>
              <w:jc w:val="center"/>
              <w:rPr>
                <w:rFonts w:hint="eastAsia" w:ascii="宋体" w:hAnsi="宋体"/>
                <w:color w:val="auto"/>
                <w:szCs w:val="18"/>
              </w:rPr>
            </w:pPr>
            <w:r>
              <w:rPr>
                <w:rFonts w:hint="eastAsia" w:ascii="宋体" w:hAnsi="宋体"/>
                <w:color w:val="auto"/>
                <w:szCs w:val="18"/>
              </w:rPr>
              <w:t>信誉</w:t>
            </w:r>
            <w:bookmarkStart w:id="115" w:name="_GoBack"/>
            <w:bookmarkEnd w:id="115"/>
          </w:p>
        </w:tc>
        <w:tc>
          <w:tcPr>
            <w:tcW w:w="835" w:type="dxa"/>
            <w:tcBorders>
              <w:top w:val="single" w:color="auto" w:sz="4" w:space="0"/>
            </w:tcBorders>
            <w:noWrap w:val="0"/>
            <w:vAlign w:val="center"/>
          </w:tcPr>
          <w:p>
            <w:pPr>
              <w:spacing w:line="320" w:lineRule="exact"/>
              <w:jc w:val="center"/>
              <w:rPr>
                <w:rFonts w:ascii="宋体" w:hAnsi="宋体"/>
                <w:color w:val="auto"/>
                <w:sz w:val="18"/>
                <w:szCs w:val="18"/>
              </w:rPr>
            </w:pPr>
            <w:r>
              <w:rPr>
                <w:rFonts w:hint="eastAsia" w:ascii="宋体" w:hAnsi="宋体"/>
                <w:color w:val="auto"/>
                <w:sz w:val="18"/>
                <w:szCs w:val="18"/>
              </w:rPr>
              <w:t>6分</w:t>
            </w:r>
          </w:p>
        </w:tc>
        <w:tc>
          <w:tcPr>
            <w:tcW w:w="6659" w:type="dxa"/>
            <w:tcBorders>
              <w:top w:val="single" w:color="auto" w:sz="4" w:space="0"/>
            </w:tcBorders>
            <w:noWrap w:val="0"/>
            <w:vAlign w:val="center"/>
          </w:tcPr>
          <w:p>
            <w:pPr>
              <w:pStyle w:val="40"/>
              <w:widowControl/>
              <w:spacing w:line="320" w:lineRule="exact"/>
              <w:ind w:firstLine="0"/>
              <w:rPr>
                <w:rFonts w:ascii="宋体" w:hAnsi="宋体"/>
                <w:color w:val="auto"/>
                <w:sz w:val="18"/>
                <w:szCs w:val="18"/>
                <w:u w:val="single"/>
              </w:rPr>
            </w:pPr>
            <w:r>
              <w:rPr>
                <w:rFonts w:ascii="宋体" w:hAnsi="宋体"/>
                <w:color w:val="auto"/>
                <w:sz w:val="18"/>
                <w:szCs w:val="18"/>
              </w:rPr>
              <w:t>对比所有投标人，优6分，良4分，一般最高得2分。投标人近三年内有不良行为记录或受行政处罚的不得分。</w:t>
            </w:r>
          </w:p>
        </w:tc>
      </w:tr>
    </w:tbl>
    <w:p>
      <w:pPr>
        <w:spacing w:line="400" w:lineRule="exact"/>
        <w:rPr>
          <w:rFonts w:hint="eastAsia" w:ascii="宋体" w:hAnsi="宋体"/>
          <w:b/>
          <w:color w:val="auto"/>
          <w:sz w:val="28"/>
          <w:szCs w:val="28"/>
          <w:shd w:val="clear" w:color="auto" w:fill="FFFFFF"/>
        </w:rPr>
      </w:pPr>
      <w:r>
        <w:rPr>
          <w:rFonts w:hint="eastAsia" w:ascii="宋体" w:hAnsi="宋体"/>
          <w:color w:val="auto"/>
          <w:szCs w:val="21"/>
        </w:rPr>
        <w:t>提示评委：1、评委应在认真理解本竞争性磋商文件有关情况后，做出自己负责的按上述内容对投标人进行评审。2、评分分值精确到小数点后两位数。3、响应文件与竞争性磋商文件有重大偏差时，评委在评审时需写明原因。4、以上打分项目中相关资质、从业人员以及业绩等必须提供相关的证明文件。</w:t>
      </w:r>
    </w:p>
    <w:p>
      <w:pPr>
        <w:spacing w:line="500" w:lineRule="exact"/>
        <w:outlineLvl w:val="1"/>
        <w:rPr>
          <w:rFonts w:hint="eastAsia" w:ascii="宋体" w:hAnsi="宋体" w:eastAsia="宋体" w:cs="宋体"/>
          <w:kern w:val="0"/>
          <w:sz w:val="24"/>
          <w:lang w:eastAsia="zh-CN"/>
        </w:rPr>
      </w:pPr>
      <w:bookmarkStart w:id="63" w:name="_Toc14001"/>
      <w:bookmarkStart w:id="64" w:name="_Toc25362"/>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63"/>
      <w:bookmarkEnd w:id="64"/>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9"/>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（3）供应商在递交响应文件的同时，应逐项对照上述资格审查要求提交相应的原件和资格证明文件供磋商小组核查，否则评委将不予采信。</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（4）磋商小组在评审中必要时可按供应商提供的联系方式就有关问题进行查询核实，或要求供应商做出书面澄清，查询及澄清结果将作为审查的依据。</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（5）通过全部资格审查条件合格的供应商才能通过资格审查，其响应文件方可进入下一个检查阶段。</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9"/>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磋商报价表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eastAsia="宋体" w:cs="宋体"/>
          <w:sz w:val="24"/>
          <w:szCs w:val="24"/>
          <w:lang w:eastAsia="zh-CN"/>
        </w:rPr>
        <w:t>磋商报价表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eastAsia="宋体" w:cs="宋体"/>
          <w:sz w:val="24"/>
          <w:szCs w:val="24"/>
          <w:lang w:eastAsia="zh-CN"/>
        </w:rPr>
        <w:t>磋商报价表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2.2.6</w:t>
      </w:r>
      <w:r>
        <w:rPr>
          <w:rFonts w:hint="eastAsia" w:ascii="宋体" w:hAnsi="宋体" w:eastAsia="宋体" w:cs="宋体"/>
          <w:sz w:val="24"/>
          <w:szCs w:val="24"/>
        </w:rPr>
        <w:t>提供相同品牌产品的不同投标人参加同一合同项下投标的，以其中通过资格审查、符合性审查且报价最低的参加评标；报价相同的，由采购人或者采购人委托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文件规定的方式（采取随机抽取）确定一个参加评标的投标人，其他投标无效。</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非单一产品采购项目，</w:t>
      </w:r>
      <w:r>
        <w:rPr>
          <w:rFonts w:hint="eastAsia" w:ascii="宋体" w:hAnsi="宋体" w:eastAsia="宋体" w:cs="宋体"/>
          <w:sz w:val="24"/>
          <w:szCs w:val="24"/>
          <w:lang w:eastAsia="zh-CN"/>
        </w:rPr>
        <w:t>磋商</w:t>
      </w:r>
      <w:r>
        <w:rPr>
          <w:rFonts w:hint="eastAsia" w:ascii="宋体" w:hAnsi="宋体" w:eastAsia="宋体" w:cs="宋体"/>
          <w:sz w:val="24"/>
          <w:szCs w:val="24"/>
        </w:rPr>
        <w:t>文件中将载明其中的核心产品。多家投标人提供的核心产品品牌相同的，按前款规定处理。</w:t>
      </w:r>
    </w:p>
    <w:p>
      <w:pPr>
        <w:pStyle w:val="9"/>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磋商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.10采购结果确认</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9"/>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2.5推荐成交供应商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9"/>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2.6确定成交供应商</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2.6.1</w:t>
      </w:r>
      <w:r>
        <w:rPr>
          <w:rFonts w:hint="eastAsia" w:ascii="宋体" w:hAnsi="宋体" w:eastAsia="宋体" w:cs="宋体"/>
          <w:sz w:val="24"/>
          <w:szCs w:val="24"/>
        </w:rPr>
        <w:t>采购代理机构应当在评审结束后</w:t>
      </w:r>
      <w:r>
        <w:rPr>
          <w:rFonts w:hint="eastAsia" w:ascii="宋体" w:hAnsi="宋体" w:cs="宋体"/>
          <w:sz w:val="24"/>
          <w:szCs w:val="24"/>
          <w:lang w:val="en-US" w:eastAsia="zh-CN"/>
        </w:rPr>
        <w:t>1</w:t>
      </w:r>
      <w:r>
        <w:rPr>
          <w:rFonts w:hint="eastAsia" w:ascii="宋体" w:hAnsi="宋体" w:eastAsia="宋体" w:cs="宋体"/>
          <w:sz w:val="24"/>
          <w:szCs w:val="24"/>
        </w:rPr>
        <w:t>个工作日内将评审报告送采购人确认。</w:t>
      </w:r>
    </w:p>
    <w:p>
      <w:pPr>
        <w:pStyle w:val="9"/>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2.6.2</w:t>
      </w:r>
      <w:r>
        <w:rPr>
          <w:rFonts w:hint="eastAsia" w:ascii="宋体" w:hAnsi="宋体" w:eastAsia="宋体" w:cs="宋体"/>
          <w:sz w:val="24"/>
          <w:szCs w:val="24"/>
        </w:rPr>
        <w:t>采购人应当在收到评审报告后</w:t>
      </w:r>
      <w:r>
        <w:rPr>
          <w:rFonts w:hint="eastAsia" w:ascii="宋体" w:hAnsi="宋体" w:cs="宋体"/>
          <w:sz w:val="24"/>
          <w:szCs w:val="24"/>
          <w:lang w:val="en-US" w:eastAsia="zh-CN"/>
        </w:rPr>
        <w:t>3</w:t>
      </w:r>
      <w:r>
        <w:rPr>
          <w:rFonts w:hint="eastAsia" w:ascii="宋体" w:hAnsi="宋体" w:eastAsia="宋体" w:cs="宋体"/>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outlineLvl w:val="1"/>
        <w:rPr>
          <w:rFonts w:hint="eastAsia" w:ascii="宋体" w:hAnsi="宋体" w:eastAsia="宋体" w:cs="宋体"/>
          <w:b/>
          <w:sz w:val="28"/>
          <w:szCs w:val="28"/>
          <w:lang w:val="en-US" w:eastAsia="zh-CN"/>
        </w:rPr>
      </w:pPr>
      <w:bookmarkStart w:id="65" w:name="_Toc19418"/>
      <w:r>
        <w:rPr>
          <w:rFonts w:hint="eastAsia" w:ascii="宋体" w:hAnsi="宋体" w:eastAsia="宋体" w:cs="宋体"/>
          <w:b/>
          <w:sz w:val="28"/>
          <w:szCs w:val="28"/>
          <w:lang w:val="en-US" w:eastAsia="zh-CN"/>
        </w:rPr>
        <w:t>三、串通投标的情况</w:t>
      </w:r>
      <w:bookmarkEnd w:id="65"/>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pPr>
        <w:pStyle w:val="9"/>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6、不同投标人的投标保证金从同一单位或者个人的账户转出。</w:t>
      </w:r>
    </w:p>
    <w:p>
      <w:pPr>
        <w:pStyle w:val="9"/>
        <w:spacing w:line="500" w:lineRule="exact"/>
        <w:ind w:firstLine="565" w:firstLineChars="202"/>
        <w:jc w:val="left"/>
        <w:rPr>
          <w:rFonts w:hint="eastAsia" w:cs="Times New Roman" w:asciiTheme="majorEastAsia" w:hAnsiTheme="majorEastAsia" w:eastAsiaTheme="majorEastAsia"/>
          <w:sz w:val="28"/>
          <w:szCs w:val="28"/>
        </w:rPr>
      </w:pPr>
    </w:p>
    <w:bookmarkEnd w:id="60"/>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numPr>
          <w:ilvl w:val="0"/>
          <w:numId w:val="3"/>
        </w:numPr>
        <w:spacing w:after="156" w:afterLines="50"/>
        <w:ind w:left="0" w:leftChars="0" w:firstLine="0" w:firstLineChars="0"/>
        <w:jc w:val="center"/>
        <w:outlineLvl w:val="1"/>
        <w:rPr>
          <w:rFonts w:hint="eastAsia" w:asciiTheme="minorEastAsia" w:hAnsiTheme="minorEastAsia" w:cstheme="minorEastAsia"/>
          <w:b/>
          <w:bCs/>
          <w:sz w:val="36"/>
          <w:szCs w:val="36"/>
        </w:rPr>
      </w:pPr>
      <w:bookmarkStart w:id="66" w:name="_Toc26281"/>
      <w:r>
        <w:rPr>
          <w:rFonts w:hint="eastAsia" w:asciiTheme="minorEastAsia" w:hAnsiTheme="minorEastAsia" w:cstheme="minorEastAsia"/>
          <w:b/>
          <w:bCs/>
          <w:sz w:val="36"/>
          <w:szCs w:val="36"/>
        </w:rPr>
        <w:t xml:space="preserve"> </w:t>
      </w:r>
      <w:bookmarkEnd w:id="66"/>
      <w:r>
        <w:rPr>
          <w:rFonts w:hint="eastAsia" w:asciiTheme="minorEastAsia" w:hAnsiTheme="minorEastAsia" w:cstheme="minorEastAsia"/>
          <w:b/>
          <w:bCs/>
          <w:sz w:val="36"/>
          <w:szCs w:val="36"/>
          <w:lang w:val="en-US" w:eastAsia="zh-CN"/>
        </w:rPr>
        <w:t>工程量清单</w:t>
      </w:r>
    </w:p>
    <w:p>
      <w:pPr>
        <w:pStyle w:val="9"/>
        <w:spacing w:line="500" w:lineRule="exact"/>
        <w:ind w:firstLine="484" w:firstLineChars="20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（另卷）</w:t>
      </w: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rPr>
          <w:rFonts w:hint="eastAsia" w:ascii="宋体" w:hAnsi="宋体" w:cs="Arial"/>
          <w:b w:val="0"/>
          <w:bCs w:val="0"/>
          <w:color w:val="000000"/>
          <w:sz w:val="24"/>
          <w:lang w:eastAsia="zh-CN"/>
        </w:rPr>
      </w:pPr>
    </w:p>
    <w:p>
      <w:pPr>
        <w:pStyle w:val="2"/>
        <w:ind w:left="0" w:leftChars="0" w:firstLine="0" w:firstLineChars="0"/>
        <w:rPr>
          <w:rFonts w:hint="eastAsia" w:ascii="宋体" w:hAnsi="宋体" w:cs="Arial"/>
          <w:b w:val="0"/>
          <w:bCs w:val="0"/>
          <w:color w:val="000000"/>
          <w:sz w:val="24"/>
          <w:lang w:eastAsia="zh-CN"/>
        </w:rPr>
      </w:pPr>
    </w:p>
    <w:p>
      <w:pPr>
        <w:numPr>
          <w:ilvl w:val="0"/>
          <w:numId w:val="3"/>
        </w:numPr>
        <w:spacing w:after="156" w:afterLines="50"/>
        <w:ind w:left="0" w:leftChars="0" w:firstLine="0" w:firstLine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签订合同、合同主要条款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8"/>
          <w:szCs w:val="28"/>
          <w:lang w:val="en-US" w:eastAsia="zh-CN"/>
        </w:rPr>
      </w:pPr>
      <w:bookmarkStart w:id="67" w:name="_Toc30964"/>
      <w:bookmarkStart w:id="68" w:name="_Toc6563"/>
      <w:r>
        <w:rPr>
          <w:rFonts w:hint="eastAsia" w:ascii="仿宋" w:hAnsi="仿宋" w:eastAsia="仿宋" w:cs="仿宋"/>
          <w:b w:val="0"/>
          <w:bCs/>
          <w:color w:val="auto"/>
          <w:sz w:val="28"/>
          <w:szCs w:val="28"/>
          <w:lang w:eastAsia="zh-CN"/>
        </w:rPr>
        <w:t>（范本）</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通用条款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专用条款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1、词语定义及合同文件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2、合同文件及解释顺序</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3、语言文字和适用法律、标准及规范</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3.1本合同使用汉语言文字。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3.2适用法律和法规</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需要明示的法律、行政法规：《中华人民共和国建筑法》、《中华人民共和国合同法》。</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3.3适用标准、规范</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4.1发包人向承包人提供图纸日期和套数：在合同签订5天内提供2套图纸。</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发包人对图纸的保密要求：不得外借。</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二、双方一般权利和义务</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5、工程师</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5.1监理单位委派的工程师</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5.2发包人派驻的工程师</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职权：负责施工全过程内、外部关系协调、处理往来文件，对工程进度、质量、造价进行管理。</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6、项目经理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6.1项目经理必须由取得建造师资格的人员担任。</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7、发包人工作</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7.1发包人应按约定的时间和要求完成以下工作：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（1）施工场地具备施工条件的要求及完成的时间：本工程开工前5日内。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（3）水准点与坐标控制点交验要求：执行《通用条款》8.1.（6）款。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（4）图纸会审和设计交底时间：工程开工前7日内。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8、承包人工作</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8.1承包人应按约定时间和要求，完成以下工作：</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⑴应提供计划、报表的名称及完成时间：</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每月25日向业主、监理单位报送叁份报表。</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⑵承担施工安全保卫工作及非夜间施工照明的责任和要求：</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⑶需承包人办理的有关施工场地交通、环卫和施工噪声管理等手续：</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⑷已完工程成品保护的特殊要求及费用承担：执行《通用条款》9.1.（6）款。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⑹施工场地清洁卫生的要求：</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执行《通用条款》9.1.（2）款。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三、施工组织设计和工期</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9、进度计划</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工程师确认的时间：五日内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10、工期延误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10.1双方约定工期顺延的其他情况：执行《通用条款》13条。工期不要求提前。</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四、质量与验收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11.工程质量</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符合国家GB50300-2001各项《建筑工程质量统一验收标准》合格等级。</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12、隐蔽工程和中间验收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五、安全施工</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执行《通用条款》第五条全部条款和国家、省、市关于安全文明施工的要求规定。</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六、合同价款与支付</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13、合同价款及调整</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13.1本合同价款采用可调价格方式确定，价格调整因素为工程量变更。</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13.2双方约定合同价款的其他调整因素：不执行《通用条款》23.3条。</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14、工程预付款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发包人向承包人预付工程款的时间和金额或占合同价款总额的比例：</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合同签订后两周内付30%预付款。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15、工程量确认</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15.1承包人向监理工程师提交已完工程量报告的时间： 每月25日。</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16、工程款支付：签订工程合同时另行约定。</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17、承包人施工使用的机械设备、检测设备及所采购的材料设备</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17.1对于承包人采购的材料设备均应遵守以下约定：</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八、工程变更（如若是设计合理性问题造成的变更，由承包方负责相关变更费用。）</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18．确定变更价款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九、竣工验收与结算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19、竣工验收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19.1.承包人提供竣工图的约定：竣工验收后一个月内，交竣工图及资料文件二套。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20、竣工结算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20.4竣工结算经双方签字盖章确认后15日内一次付清（除预留5%保修金外）全部工程尾款。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十、违约、索赔和争议</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21、违约</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21.1本合同中关于发包人违约的具体责任如下：</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本合同通用条款第30.3款约定发包人违约应承担的违约责任：</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21.2 本合同中关于承包人违约的具体责任如下：</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22、争议</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22.1双方约定，在履行合同过程中产生争议时：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首先按第（1）种方式进行调解，调解不能达成一致时按第（2）种方式解决。</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（1）请合同主管部门和造价主管部门调解；</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（2）向工程建设所在地的仲裁委员会提请仲裁或向人民法院提起诉讼。</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十一、其他</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23、工程分包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24、不可抗力</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24.1双方关于不可抗力的约定：执行《通用条款》第39条。</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25、合同份数</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25.1双方约定合同副本份数：</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正本两份，副本陆份；发、承包双方各持正本壹份、副本叁份。</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26、补充条款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27 验收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1、验收按有关国家规范中的相关技术要求，验收方法参照ISO139，GB6529-86，ISO187-90，GB/T10739-2002。</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2、所用施工材料应符合绿色环保要求，并达到室内环境检测标准。</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合同文件格式</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合同名称：</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合同编号：</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2.本合同包括下列文件：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（1）协议书(包括补充协议)；</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（2）中标通知书；</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（3）投标报价书；</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（4）专用合同条款；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（5）通用合同条款；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（6）技术条款；</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（7）图纸；</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（8）经双方确认进入合同的其它文件。</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4.发包人保证按照合同规定付款并承担合同规定的发包人的全部义务和责任。</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承包人：(名称)</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(盖单位章)                       (盖单位章)</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法定代表人：    (姓名)             法定代表人：    (姓名)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(或委托代理人)  (签名)             (或委托代理人)  (签名)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地    址：                         地    址：                 </w:t>
      </w:r>
    </w:p>
    <w:p>
      <w:pPr>
        <w:pStyle w:val="13"/>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 xml:space="preserve">网    址：                         网    址：        </w:t>
      </w:r>
      <w:r>
        <w:rPr>
          <w:rFonts w:hint="eastAsia" w:ascii="仿宋" w:hAnsi="仿宋" w:eastAsia="仿宋" w:cs="仿宋"/>
          <w:b/>
          <w:color w:val="auto"/>
          <w:sz w:val="28"/>
          <w:szCs w:val="28"/>
          <w:lang w:eastAsia="zh-CN"/>
        </w:rPr>
        <w:t xml:space="preserve">        </w:t>
      </w:r>
    </w:p>
    <w:p>
      <w:pPr>
        <w:pStyle w:val="33"/>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bookmarkEnd w:id="67"/>
    </w:p>
    <w:p>
      <w:pPr>
        <w:snapToGrid w:val="0"/>
        <w:spacing w:line="500" w:lineRule="exact"/>
        <w:jc w:val="center"/>
        <w:outlineLvl w:val="0"/>
        <w:rPr>
          <w:rFonts w:hint="eastAsia" w:asciiTheme="minorEastAsia" w:hAnsiTheme="minorEastAsia" w:cstheme="minorEastAsia"/>
          <w:b/>
          <w:spacing w:val="20"/>
          <w:sz w:val="44"/>
          <w:szCs w:val="44"/>
        </w:rPr>
      </w:pPr>
      <w:r>
        <w:rPr>
          <w:rFonts w:hint="eastAsia" w:asciiTheme="minorEastAsia" w:hAnsiTheme="minorEastAsia" w:cstheme="minorEastAsia"/>
          <w:b/>
          <w:spacing w:val="20"/>
          <w:sz w:val="44"/>
          <w:szCs w:val="44"/>
        </w:rPr>
        <w:br w:type="page"/>
      </w:r>
    </w:p>
    <w:p>
      <w:pPr>
        <w:snapToGrid w:val="0"/>
        <w:spacing w:line="500" w:lineRule="exact"/>
        <w:jc w:val="center"/>
        <w:outlineLvl w:val="0"/>
        <w:rPr>
          <w:rFonts w:asciiTheme="minorEastAsia" w:hAnsiTheme="minorEastAsia" w:cstheme="minorEastAsia"/>
          <w:b/>
          <w:spacing w:val="20"/>
          <w:sz w:val="44"/>
          <w:szCs w:val="44"/>
        </w:rPr>
      </w:pPr>
      <w:r>
        <w:rPr>
          <w:rFonts w:hint="eastAsia" w:asciiTheme="minorEastAsia" w:hAnsiTheme="minorEastAsia" w:cstheme="minorEastAsia"/>
          <w:b/>
          <w:spacing w:val="20"/>
          <w:sz w:val="44"/>
          <w:szCs w:val="44"/>
        </w:rPr>
        <w:t xml:space="preserve">第七章  </w:t>
      </w:r>
      <w:r>
        <w:rPr>
          <w:rFonts w:hint="eastAsia" w:asciiTheme="minorEastAsia" w:hAnsiTheme="minorEastAsia" w:cstheme="minorEastAsia"/>
          <w:b/>
          <w:spacing w:val="20"/>
          <w:sz w:val="44"/>
          <w:szCs w:val="44"/>
          <w:lang w:eastAsia="zh-CN"/>
        </w:rPr>
        <w:t>响应文件</w:t>
      </w:r>
      <w:r>
        <w:rPr>
          <w:rFonts w:hint="eastAsia" w:asciiTheme="minorEastAsia" w:hAnsiTheme="minorEastAsia" w:cstheme="minorEastAsia"/>
          <w:b/>
          <w:spacing w:val="20"/>
          <w:sz w:val="44"/>
          <w:szCs w:val="44"/>
        </w:rPr>
        <w:t>格式</w:t>
      </w:r>
      <w:bookmarkEnd w:id="68"/>
    </w:p>
    <w:p>
      <w:pPr>
        <w:snapToGrid w:val="0"/>
        <w:spacing w:line="500" w:lineRule="exact"/>
        <w:rPr>
          <w:rFonts w:asciiTheme="minorEastAsia" w:hAnsiTheme="minorEastAsia" w:cstheme="minorEastAsia"/>
          <w:b/>
          <w:spacing w:val="20"/>
          <w:sz w:val="28"/>
          <w:szCs w:val="28"/>
        </w:rPr>
      </w:pPr>
    </w:p>
    <w:p>
      <w:pPr>
        <w:numPr>
          <w:ilvl w:val="0"/>
          <w:numId w:val="0"/>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69" w:name="_Toc32738"/>
      <w:r>
        <w:rPr>
          <w:rFonts w:hint="eastAsia" w:ascii="宋体" w:hAnsi="宋体" w:cs="宋体"/>
          <w:sz w:val="28"/>
          <w:szCs w:val="28"/>
          <w:lang w:val="en-US" w:eastAsia="zh-CN"/>
        </w:rPr>
        <w:t>供应商</w:t>
      </w:r>
      <w:r>
        <w:rPr>
          <w:rFonts w:hint="eastAsia" w:ascii="宋体" w:hAnsi="宋体" w:cs="宋体"/>
          <w:sz w:val="28"/>
          <w:szCs w:val="28"/>
        </w:rPr>
        <w:t>名称（盖章）：</w:t>
      </w:r>
      <w:r>
        <w:rPr>
          <w:rFonts w:hint="eastAsia" w:ascii="宋体" w:hAnsi="宋体" w:cs="宋体"/>
          <w:sz w:val="28"/>
          <w:szCs w:val="28"/>
          <w:u w:val="single"/>
        </w:rPr>
        <w:t xml:space="preserve">                              </w:t>
      </w:r>
      <w:bookmarkEnd w:id="69"/>
      <w:bookmarkStart w:id="70"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70"/>
      <w:bookmarkStart w:id="71" w:name="_Toc3693"/>
    </w:p>
    <w:p>
      <w:pPr>
        <w:spacing w:line="360" w:lineRule="auto"/>
        <w:rPr>
          <w:rFonts w:ascii="宋体" w:hAnsi="宋体" w:cs="宋体"/>
          <w:sz w:val="28"/>
          <w:szCs w:val="28"/>
          <w:u w:val="single"/>
        </w:rPr>
      </w:pPr>
      <w:r>
        <w:rPr>
          <w:rFonts w:hint="eastAsia" w:ascii="宋体" w:hAnsi="宋体" w:cs="宋体"/>
          <w:sz w:val="28"/>
          <w:szCs w:val="28"/>
          <w:lang w:val="en-US" w:eastAsia="zh-CN"/>
        </w:rPr>
        <w:t>供应商</w:t>
      </w:r>
      <w:r>
        <w:rPr>
          <w:rFonts w:hint="eastAsia" w:ascii="宋体" w:hAnsi="宋体" w:cs="宋体"/>
          <w:sz w:val="28"/>
          <w:szCs w:val="28"/>
        </w:rPr>
        <w:t>地址：</w:t>
      </w:r>
      <w:bookmarkEnd w:id="71"/>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72"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72"/>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both"/>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28"/>
        <w:numPr>
          <w:ilvl w:val="0"/>
          <w:numId w:val="0"/>
        </w:numPr>
        <w:snapToGrid w:val="0"/>
        <w:spacing w:before="0" w:after="0" w:line="500" w:lineRule="exact"/>
        <w:ind w:leftChars="0"/>
        <w:jc w:val="both"/>
        <w:rPr>
          <w:rFonts w:asciiTheme="minorEastAsia" w:hAnsiTheme="minorEastAsia" w:cstheme="minorEastAsia"/>
          <w:bCs w:val="0"/>
          <w:spacing w:val="20"/>
          <w:szCs w:val="28"/>
        </w:rPr>
      </w:pPr>
      <w:bookmarkStart w:id="73" w:name="_Toc3799"/>
      <w:bookmarkStart w:id="74" w:name="_Toc11515"/>
      <w:r>
        <w:rPr>
          <w:rFonts w:hint="eastAsia" w:asciiTheme="minorEastAsia" w:hAnsiTheme="minorEastAsia" w:cstheme="minorEastAsia"/>
          <w:bCs w:val="0"/>
          <w:spacing w:val="20"/>
          <w:szCs w:val="28"/>
          <w:lang w:eastAsia="zh-CN"/>
        </w:rPr>
        <w:t>响应文件</w:t>
      </w:r>
      <w:r>
        <w:rPr>
          <w:rFonts w:hint="eastAsia" w:asciiTheme="minorEastAsia" w:hAnsiTheme="minorEastAsia" w:cstheme="minorEastAsia"/>
          <w:bCs w:val="0"/>
          <w:spacing w:val="20"/>
          <w:szCs w:val="28"/>
        </w:rPr>
        <w:t>封皮</w:t>
      </w:r>
      <w:bookmarkEnd w:id="73"/>
      <w:bookmarkEnd w:id="74"/>
    </w:p>
    <w:p>
      <w:pPr>
        <w:pStyle w:val="28"/>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4897120</wp:posOffset>
                </wp:positionH>
                <wp:positionV relativeFrom="paragraph">
                  <wp:posOffset>50165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6pt;margin-top:3.95pt;height:28.85pt;width:81.85pt;z-index:251659264;v-text-anchor:middle;mso-width-relative:page;mso-height-relative:page;" filled="f" stroked="t" coordsize="21600,21600" o:gfxdata="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DktI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75"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lang w:val="en-US" w:eastAsia="zh-CN"/>
        </w:rPr>
        <w:t>供应商</w:t>
      </w:r>
      <w:r>
        <w:rPr>
          <w:rFonts w:hint="eastAsia"/>
          <w:sz w:val="28"/>
          <w:szCs w:val="28"/>
        </w:rPr>
        <w:t>名称：</w:t>
      </w:r>
      <w:r>
        <w:rPr>
          <w:rFonts w:hint="eastAsia"/>
          <w:sz w:val="28"/>
          <w:szCs w:val="28"/>
          <w:u w:val="single"/>
        </w:rPr>
        <w:t xml:space="preserve">               </w:t>
      </w:r>
      <w:r>
        <w:rPr>
          <w:rFonts w:hint="eastAsia"/>
          <w:sz w:val="28"/>
          <w:szCs w:val="28"/>
        </w:rPr>
        <w:t>（盖章）</w:t>
      </w:r>
      <w:bookmarkEnd w:id="75"/>
    </w:p>
    <w:p>
      <w:pPr>
        <w:spacing w:line="360" w:lineRule="auto"/>
        <w:ind w:firstLine="1680" w:firstLineChars="600"/>
        <w:rPr>
          <w:rFonts w:hint="eastAsia"/>
          <w:sz w:val="28"/>
          <w:szCs w:val="28"/>
        </w:rPr>
      </w:pPr>
      <w:bookmarkStart w:id="76"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76"/>
      <w:bookmarkStart w:id="77" w:name="_Toc26551"/>
      <w:bookmarkStart w:id="78" w:name="_Toc24203"/>
      <w:bookmarkStart w:id="79" w:name="_Toc398"/>
    </w:p>
    <w:p>
      <w:pPr>
        <w:spacing w:line="360" w:lineRule="auto"/>
        <w:ind w:firstLine="2520" w:firstLineChars="900"/>
        <w:rPr>
          <w:rFonts w:hint="eastAsia"/>
          <w:sz w:val="28"/>
          <w:szCs w:val="28"/>
        </w:rPr>
      </w:pPr>
    </w:p>
    <w:p>
      <w:pPr>
        <w:spacing w:line="360" w:lineRule="auto"/>
        <w:ind w:firstLine="2520" w:firstLineChars="900"/>
        <w:rPr>
          <w:rFonts w:hint="eastAsia"/>
          <w:sz w:val="28"/>
          <w:szCs w:val="28"/>
        </w:rPr>
      </w:pPr>
      <w:r>
        <w:rPr>
          <w:rFonts w:hint="eastAsia"/>
          <w:sz w:val="28"/>
          <w:szCs w:val="28"/>
        </w:rPr>
        <w:t>年     月     日</w:t>
      </w:r>
      <w:bookmarkEnd w:id="77"/>
    </w:p>
    <w:p>
      <w:pPr>
        <w:pStyle w:val="7"/>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2"/>
          <w:highlight w:val="red"/>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符合《中华人民共和国政府采购法》第二十二条规定的材料：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1、提供营业执照等证明文件，自然人提供身份证明（复印件加盖公章）；相关资质证书；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提供近三年（2018、2019、2020）财务审计报告，企业成立不足三年的需提供企业成立至今的财务审计报告；近三个月的缴纳税收的电子回单或税务部门出具的纳税证明或完税证明或有效的证明材料；近三个月的缴纳社保的银行电子回单或社保部门出具的社保缴纳证明材料或有效的证明材料；（含相关人员明细）</w:t>
      </w:r>
      <w:r>
        <w:rPr>
          <w:rFonts w:hint="eastAsia" w:ascii="宋体" w:hAnsi="宋体" w:eastAsia="宋体" w:cs="宋体"/>
          <w:color w:val="auto"/>
          <w:kern w:val="2"/>
          <w:sz w:val="24"/>
          <w:szCs w:val="22"/>
          <w:u w:val="none"/>
          <w:lang w:val="en-US" w:eastAsia="zh-CN" w:bidi="ar-SA"/>
        </w:rPr>
        <w:t>（复印件加盖公章）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3、具备履行合同所必需专业能力的书面声明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4、参加政府采购活动前 3 年内在经营活动中没有重大违法记录的书面声明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5、法定代表人身份证明及授权委托书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6、提供递交响应文件截止时间前</w:t>
      </w:r>
      <w:r>
        <w:rPr>
          <w:rFonts w:hint="eastAsia" w:ascii="宋体" w:hAnsi="宋体" w:eastAsia="宋体" w:cs="宋体"/>
          <w:color w:val="000000" w:themeColor="text1"/>
          <w:kern w:val="2"/>
          <w:sz w:val="24"/>
          <w:szCs w:val="22"/>
          <w:u w:val="none"/>
          <w:lang w:val="en-US" w:eastAsia="zh-CN" w:bidi="ar-SA"/>
          <w14:textFill>
            <w14:solidFill>
              <w14:schemeClr w14:val="tx1"/>
            </w14:solidFill>
          </w14:textFill>
        </w:rPr>
        <w:t>三日</w:t>
      </w:r>
      <w:r>
        <w:rPr>
          <w:rFonts w:hint="eastAsia" w:ascii="宋体" w:hAnsi="宋体" w:eastAsia="宋体" w:cs="宋体"/>
          <w:kern w:val="2"/>
          <w:sz w:val="24"/>
          <w:szCs w:val="22"/>
          <w:u w:val="none"/>
          <w:lang w:val="en-US" w:eastAsia="zh-CN" w:bidi="ar-SA"/>
        </w:rPr>
        <w:t>内“信用中国”网站和“中国政府采购网”网站企业信用信息查询记录（复印件加盖公章）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7、其它材料：（复印件加盖公章）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1、竞争性磋商函；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2、磋商报价表；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3、竞争性磋商报价明细表（工程量清单内容）；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4、供应商认为需要提供的其他文件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格式自拟，具体内容应包括但不限于：人员配备、项目实施等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四、其他文件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1、商务条款响应及偏离表；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2、技术条款响应及偏离表；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3、企业声明函；（若有）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4、残疾人福利性单位声明函；（若有）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8"/>
          <w:szCs w:val="28"/>
        </w:rPr>
      </w:pPr>
      <w:r>
        <w:rPr>
          <w:rFonts w:hint="eastAsia" w:ascii="宋体" w:hAnsi="宋体" w:eastAsia="宋体" w:cs="宋体"/>
          <w:kern w:val="2"/>
          <w:sz w:val="24"/>
          <w:szCs w:val="22"/>
          <w:u w:val="none"/>
          <w:lang w:val="en-US" w:eastAsia="zh-CN" w:bidi="ar-SA"/>
        </w:rPr>
        <w:t>5、供应商认为需要提供的其他文件</w:t>
      </w:r>
      <w:r>
        <w:rPr>
          <w:rFonts w:hint="eastAsia" w:ascii="宋体" w:hAnsi="宋体"/>
          <w:sz w:val="28"/>
          <w:szCs w:val="28"/>
        </w:rPr>
        <w:br w:type="page"/>
      </w:r>
    </w:p>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80" w:name="_Toc534816643"/>
      <w:bookmarkStart w:id="81" w:name="_Toc534725614"/>
      <w:bookmarkStart w:id="82"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80"/>
      <w:bookmarkEnd w:id="81"/>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32"/>
        <w:rPr>
          <w:rFonts w:hint="eastAsia" w:ascii="宋体" w:hAnsi="宋体" w:eastAsia="宋体" w:cs="宋体"/>
        </w:rPr>
      </w:pPr>
    </w:p>
    <w:p>
      <w:pPr>
        <w:pStyle w:val="4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rPr>
          <w:rFonts w:hint="eastAsia" w:ascii="宋体" w:hAnsi="宋体" w:eastAsia="宋体" w:cs="宋体"/>
          <w:sz w:val="24"/>
          <w:szCs w:val="24"/>
        </w:rPr>
      </w:pPr>
    </w:p>
    <w:p>
      <w:pPr>
        <w:pStyle w:val="4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pStyle w:val="7"/>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83" w:name="_Toc534725615"/>
      <w:bookmarkStart w:id="84"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83"/>
      <w:bookmarkEnd w:id="84"/>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4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32"/>
        <w:rPr>
          <w:rFonts w:hint="eastAsia" w:ascii="宋体" w:hAnsi="宋体" w:eastAsia="宋体" w:cs="宋体"/>
          <w:lang w:eastAsia="zh-CN"/>
        </w:rPr>
      </w:pPr>
    </w:p>
    <w:p>
      <w:pPr>
        <w:pStyle w:val="7"/>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法定代表人身份证明及授权委托书</w:t>
      </w:r>
      <w:bookmarkEnd w:id="82"/>
    </w:p>
    <w:p>
      <w:pPr>
        <w:rPr>
          <w:rFonts w:hint="eastAsia" w:ascii="宋体" w:hAnsi="宋体" w:eastAsia="宋体" w:cs="宋体"/>
        </w:rPr>
      </w:pPr>
    </w:p>
    <w:p>
      <w:pPr>
        <w:pStyle w:val="42"/>
        <w:jc w:val="center"/>
        <w:outlineLvl w:val="9"/>
        <w:rPr>
          <w:rFonts w:hint="eastAsia" w:ascii="宋体" w:hAnsi="宋体" w:eastAsia="宋体" w:cs="宋体"/>
          <w:b w:val="0"/>
          <w:sz w:val="24"/>
          <w:szCs w:val="24"/>
          <w:lang w:eastAsia="zh-CN"/>
        </w:rPr>
      </w:pPr>
      <w:bookmarkStart w:id="85" w:name="_Toc468535482"/>
      <w:bookmarkStart w:id="86" w:name="_Toc480371721"/>
      <w:bookmarkStart w:id="87" w:name="_Toc480368424"/>
      <w:bookmarkStart w:id="88" w:name="_Toc519111282"/>
      <w:bookmarkStart w:id="89" w:name="_Toc480368595"/>
      <w:bookmarkStart w:id="90" w:name="_Toc480368653"/>
      <w:r>
        <w:rPr>
          <w:rFonts w:hint="eastAsia" w:ascii="宋体" w:hAnsi="宋体" w:eastAsia="宋体" w:cs="宋体"/>
          <w:b w:val="0"/>
          <w:sz w:val="24"/>
          <w:szCs w:val="24"/>
        </w:rPr>
        <w:t>法定代表人资格证明文件</w:t>
      </w:r>
      <w:bookmarkEnd w:id="85"/>
      <w:bookmarkEnd w:id="86"/>
      <w:bookmarkEnd w:id="87"/>
      <w:bookmarkEnd w:id="88"/>
      <w:bookmarkEnd w:id="89"/>
      <w:bookmarkEnd w:id="90"/>
    </w:p>
    <w:p>
      <w:pPr>
        <w:pStyle w:val="4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4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公司法定代表人，代表我公司办理一切社会公务事宜，具有法律效力。 </w:t>
      </w:r>
    </w:p>
    <w:p>
      <w:pPr>
        <w:pStyle w:val="4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附法定代表人基本情况： </w:t>
      </w:r>
    </w:p>
    <w:p>
      <w:pPr>
        <w:pStyle w:val="4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4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4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4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19"/>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41"/>
              <w:adjustRightInd w:val="0"/>
              <w:snapToGrid w:val="0"/>
              <w:spacing w:line="500" w:lineRule="exact"/>
              <w:jc w:val="center"/>
              <w:rPr>
                <w:rFonts w:hint="eastAsia" w:ascii="宋体" w:hAnsi="宋体" w:eastAsia="宋体" w:cs="宋体"/>
                <w:sz w:val="24"/>
                <w:szCs w:val="24"/>
              </w:rPr>
            </w:pPr>
          </w:p>
          <w:p>
            <w:pPr>
              <w:pStyle w:val="41"/>
              <w:adjustRightInd w:val="0"/>
              <w:snapToGrid w:val="0"/>
              <w:spacing w:line="500" w:lineRule="exact"/>
              <w:jc w:val="center"/>
              <w:rPr>
                <w:rFonts w:hint="eastAsia" w:ascii="宋体" w:hAnsi="宋体" w:eastAsia="宋体" w:cs="宋体"/>
                <w:sz w:val="24"/>
                <w:szCs w:val="24"/>
              </w:rPr>
            </w:pPr>
          </w:p>
          <w:p>
            <w:pPr>
              <w:pStyle w:val="4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法定代表人《居民身份证》扫描件</w:t>
            </w:r>
          </w:p>
        </w:tc>
      </w:tr>
    </w:tbl>
    <w:p>
      <w:pPr>
        <w:pStyle w:val="41"/>
        <w:adjustRightInd w:val="0"/>
        <w:snapToGrid w:val="0"/>
        <w:spacing w:line="500" w:lineRule="exact"/>
        <w:rPr>
          <w:rFonts w:hint="eastAsia" w:ascii="宋体" w:hAnsi="宋体" w:eastAsia="宋体" w:cs="宋体"/>
          <w:sz w:val="24"/>
          <w:szCs w:val="24"/>
        </w:rPr>
      </w:pPr>
    </w:p>
    <w:p>
      <w:pPr>
        <w:pStyle w:val="4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rPr>
          <w:rFonts w:hint="eastAsia" w:ascii="宋体" w:hAnsi="宋体" w:eastAsia="宋体" w:cs="宋体"/>
          <w:sz w:val="24"/>
          <w:szCs w:val="24"/>
        </w:rPr>
      </w:pPr>
    </w:p>
    <w:p>
      <w:pPr>
        <w:pStyle w:val="4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rPr>
          <w:rFonts w:hint="eastAsia" w:ascii="宋体" w:hAnsi="宋体" w:eastAsia="宋体" w:cs="宋体"/>
          <w:sz w:val="24"/>
          <w:szCs w:val="24"/>
        </w:rPr>
      </w:pPr>
    </w:p>
    <w:p>
      <w:pPr>
        <w:pStyle w:val="4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2"/>
        <w:outlineLvl w:val="9"/>
        <w:rPr>
          <w:rFonts w:hint="eastAsia" w:ascii="宋体" w:hAnsi="宋体" w:eastAsia="宋体" w:cs="宋体"/>
          <w:b w:val="0"/>
        </w:rPr>
      </w:pPr>
      <w:bookmarkStart w:id="91" w:name="_Toc468535483"/>
    </w:p>
    <w:p>
      <w:pPr>
        <w:pStyle w:val="4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92" w:name="_Toc480368596"/>
      <w:bookmarkStart w:id="93" w:name="_Toc480371722"/>
      <w:bookmarkStart w:id="94" w:name="_Toc480368654"/>
      <w:bookmarkStart w:id="95" w:name="_Toc519111283"/>
      <w:bookmarkStart w:id="96" w:name="_Toc480368425"/>
      <w:r>
        <w:rPr>
          <w:rFonts w:hint="eastAsia" w:ascii="宋体" w:hAnsi="宋体" w:eastAsia="宋体" w:cs="宋体"/>
          <w:b w:val="0"/>
          <w:sz w:val="24"/>
          <w:szCs w:val="24"/>
        </w:rPr>
        <w:t>法定代表人授权书</w:t>
      </w:r>
      <w:bookmarkEnd w:id="91"/>
      <w:bookmarkEnd w:id="92"/>
      <w:bookmarkEnd w:id="93"/>
      <w:bookmarkEnd w:id="94"/>
      <w:bookmarkEnd w:id="95"/>
      <w:bookmarkEnd w:id="96"/>
    </w:p>
    <w:p>
      <w:pPr>
        <w:pStyle w:val="4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4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41"/>
        <w:spacing w:line="500" w:lineRule="exact"/>
        <w:rPr>
          <w:rFonts w:hint="eastAsia" w:ascii="宋体" w:hAnsi="宋体" w:eastAsia="宋体" w:cs="宋体"/>
          <w:sz w:val="24"/>
          <w:szCs w:val="24"/>
        </w:rPr>
      </w:pP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4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4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4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7"/>
        <w:numPr>
          <w:ilvl w:val="0"/>
          <w:numId w:val="0"/>
        </w:numPr>
        <w:spacing w:before="145" w:beforeLines="50" w:after="145" w:afterLines="50" w:line="300" w:lineRule="auto"/>
        <w:ind w:leftChars="0"/>
        <w:jc w:val="both"/>
        <w:rPr>
          <w:rFonts w:asciiTheme="majorEastAsia" w:hAnsiTheme="majorEastAsia" w:eastAsiaTheme="majorEastAsia"/>
          <w:b/>
          <w:kern w:val="0"/>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四</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sz w:val="24"/>
        </w:rPr>
      </w:pPr>
      <w:bookmarkStart w:id="97" w:name="_Toc485895991"/>
      <w:bookmarkStart w:id="98" w:name="_Toc13369"/>
      <w:bookmarkStart w:id="99" w:name="_Toc12389"/>
      <w:r>
        <w:rPr>
          <w:rFonts w:hint="eastAsia" w:ascii="宋体" w:hAnsi="宋体" w:eastAsia="宋体" w:cs="宋体"/>
          <w:bCs/>
          <w:sz w:val="24"/>
        </w:rPr>
        <w:t>竞争性磋商函</w:t>
      </w:r>
      <w:bookmarkEnd w:id="97"/>
      <w:bookmarkEnd w:id="98"/>
      <w:bookmarkEnd w:id="99"/>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宋体" w:hAnsi="宋体" w:eastAsia="宋体" w:cs="宋体"/>
          <w:bCs/>
          <w:sz w:val="24"/>
        </w:rPr>
      </w:pPr>
      <w:r>
        <w:rPr>
          <w:rFonts w:hint="eastAsia" w:ascii="宋体" w:hAnsi="宋体" w:eastAsia="宋体" w:cs="宋体"/>
          <w:bCs/>
          <w:sz w:val="24"/>
          <w:u w:val="single"/>
        </w:rPr>
        <w:t>（</w:t>
      </w:r>
      <w:r>
        <w:rPr>
          <w:rFonts w:hint="eastAsia" w:ascii="宋体" w:hAnsi="宋体" w:cs="宋体"/>
          <w:bCs/>
          <w:sz w:val="24"/>
          <w:u w:val="single"/>
          <w:lang w:eastAsia="zh-CN"/>
        </w:rPr>
        <w:t>采购人</w:t>
      </w:r>
      <w:r>
        <w:rPr>
          <w:rFonts w:hint="eastAsia" w:ascii="宋体" w:hAnsi="宋体" w:eastAsia="宋体" w:cs="宋体"/>
          <w:bCs/>
          <w:sz w:val="24"/>
          <w:u w:val="single"/>
        </w:rPr>
        <w:t>名称）</w:t>
      </w:r>
      <w:r>
        <w:rPr>
          <w:rFonts w:hint="eastAsia" w:ascii="宋体" w:hAnsi="宋体" w:eastAsia="宋体" w:cs="宋体"/>
          <w:bCs/>
          <w:sz w:val="24"/>
        </w:rPr>
        <w:t>：</w:t>
      </w:r>
    </w:p>
    <w:p>
      <w:pPr>
        <w:keepNext w:val="0"/>
        <w:keepLines w:val="0"/>
        <w:pageBreakBefore w:val="0"/>
        <w:widowControl w:val="0"/>
        <w:kinsoku/>
        <w:wordWrap/>
        <w:overflowPunct/>
        <w:topLinePunct w:val="0"/>
        <w:bidi w:val="0"/>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依据贵方</w:t>
      </w:r>
      <w:r>
        <w:rPr>
          <w:rFonts w:hint="eastAsia" w:ascii="宋体" w:hAnsi="宋体" w:eastAsia="宋体" w:cs="宋体"/>
          <w:bCs/>
          <w:sz w:val="24"/>
          <w:u w:val="single"/>
        </w:rPr>
        <w:t xml:space="preserve"> (采购项目名称/采购项目编号)</w:t>
      </w: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的磋商</w:t>
      </w:r>
      <w:r>
        <w:rPr>
          <w:rFonts w:hint="eastAsia" w:ascii="宋体" w:hAnsi="宋体" w:cs="宋体"/>
          <w:bCs/>
          <w:sz w:val="24"/>
          <w:lang w:eastAsia="zh-CN"/>
        </w:rPr>
        <w:t>公告</w:t>
      </w:r>
      <w:r>
        <w:rPr>
          <w:rFonts w:hint="eastAsia" w:ascii="宋体" w:hAnsi="宋体" w:eastAsia="宋体" w:cs="宋体"/>
          <w:bCs/>
          <w:sz w:val="24"/>
        </w:rPr>
        <w:t>，我方代表</w:t>
      </w:r>
      <w:r>
        <w:rPr>
          <w:rFonts w:hint="eastAsia" w:ascii="宋体" w:hAnsi="宋体" w:eastAsia="宋体" w:cs="宋体"/>
          <w:bCs/>
          <w:sz w:val="24"/>
          <w:u w:val="single"/>
        </w:rPr>
        <w:t>（姓名、职务）</w:t>
      </w:r>
      <w:r>
        <w:rPr>
          <w:rFonts w:hint="eastAsia" w:ascii="宋体" w:hAnsi="宋体" w:eastAsia="宋体" w:cs="宋体"/>
          <w:bCs/>
          <w:sz w:val="24"/>
        </w:rPr>
        <w:t>经正式授权并代表供应商</w:t>
      </w:r>
      <w:r>
        <w:rPr>
          <w:rFonts w:hint="eastAsia" w:ascii="宋体" w:hAnsi="宋体" w:eastAsia="宋体" w:cs="宋体"/>
          <w:bCs/>
          <w:sz w:val="24"/>
          <w:u w:val="single"/>
        </w:rPr>
        <w:t>（供应商名称、地址）</w:t>
      </w:r>
      <w:r>
        <w:rPr>
          <w:rFonts w:hint="eastAsia" w:ascii="宋体" w:hAnsi="宋体" w:eastAsia="宋体" w:cs="宋体"/>
          <w:bCs/>
          <w:sz w:val="24"/>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1．磋商报价表；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2．磋商报价明细表；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4</w:t>
      </w:r>
      <w:r>
        <w:rPr>
          <w:rFonts w:hint="eastAsia" w:ascii="宋体" w:hAnsi="宋体" w:eastAsia="宋体" w:cs="宋体"/>
          <w:bCs/>
          <w:sz w:val="24"/>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1．所附《磋商报价表》中规定的应提交和交付的</w:t>
      </w:r>
      <w:r>
        <w:rPr>
          <w:rFonts w:hint="eastAsia" w:ascii="宋体" w:hAnsi="宋体" w:eastAsia="宋体" w:cs="宋体"/>
          <w:bCs/>
          <w:sz w:val="24"/>
          <w:u w:val="single"/>
        </w:rPr>
        <w:t xml:space="preserve">  （包号） </w:t>
      </w:r>
      <w:r>
        <w:rPr>
          <w:rFonts w:hint="eastAsia" w:ascii="宋体" w:hAnsi="宋体" w:eastAsia="宋体" w:cs="宋体"/>
          <w:bCs/>
          <w:sz w:val="24"/>
        </w:rPr>
        <w:t>货物投标总价为</w:t>
      </w:r>
      <w:r>
        <w:rPr>
          <w:rFonts w:hint="eastAsia" w:ascii="宋体" w:hAnsi="宋体" w:cs="宋体"/>
          <w:bCs/>
          <w:sz w:val="24"/>
          <w:u w:val="single"/>
          <w:lang w:val="en-US" w:eastAsia="zh-CN"/>
        </w:rPr>
        <w:t xml:space="preserve">    </w:t>
      </w:r>
      <w:r>
        <w:rPr>
          <w:rFonts w:hint="eastAsia" w:ascii="宋体" w:hAnsi="宋体" w:eastAsia="宋体" w:cs="宋体"/>
          <w:bCs/>
          <w:sz w:val="24"/>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4．本投标有效期为自开标日起，共</w:t>
      </w:r>
      <w:r>
        <w:rPr>
          <w:rFonts w:hint="eastAsia" w:ascii="宋体" w:hAnsi="宋体" w:cs="宋体"/>
          <w:bCs/>
          <w:sz w:val="24"/>
          <w:u w:val="single"/>
          <w:lang w:val="en-US" w:eastAsia="zh-CN"/>
        </w:rPr>
        <w:t xml:space="preserve">      </w:t>
      </w:r>
      <w:r>
        <w:rPr>
          <w:rFonts w:hint="eastAsia" w:ascii="宋体" w:hAnsi="宋体" w:eastAsia="宋体" w:cs="宋体"/>
          <w:bCs/>
          <w:sz w:val="24"/>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5．接受磋商文件关于没收投标保证金的约定。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7</w:t>
      </w:r>
      <w:r>
        <w:rPr>
          <w:rFonts w:hint="eastAsia" w:ascii="宋体" w:hAnsi="宋体" w:eastAsia="宋体" w:cs="宋体"/>
          <w:bCs/>
          <w:sz w:val="24"/>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法定代表人</w:t>
      </w:r>
      <w:r>
        <w:rPr>
          <w:rFonts w:hint="eastAsia" w:ascii="宋体" w:hAnsi="宋体" w:cs="宋体"/>
          <w:bCs/>
          <w:sz w:val="24"/>
          <w:lang w:eastAsia="zh-CN"/>
        </w:rPr>
        <w:t>（签字或盖章）</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500" w:lineRule="exact"/>
        <w:rPr>
          <w:rFonts w:asciiTheme="minorEastAsia" w:hAnsiTheme="minorEastAsia" w:eastAsiaTheme="minorEastAsia"/>
          <w:b/>
          <w:sz w:val="28"/>
          <w:szCs w:val="28"/>
        </w:rPr>
      </w:pPr>
    </w:p>
    <w:p>
      <w:pPr>
        <w:pStyle w:val="2"/>
      </w:pPr>
    </w:p>
    <w:p>
      <w:pPr>
        <w:pStyle w:val="2"/>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五</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磋商报价表</w:t>
      </w:r>
    </w:p>
    <w:p>
      <w:pPr>
        <w:adjustRightInd w:val="0"/>
        <w:snapToGrid w:val="0"/>
        <w:spacing w:line="500" w:lineRule="exact"/>
        <w:jc w:val="center"/>
        <w:rPr>
          <w:rFonts w:hint="eastAsia"/>
          <w:sz w:val="28"/>
          <w:szCs w:val="32"/>
        </w:rPr>
      </w:pPr>
      <w:bookmarkStart w:id="100" w:name="_Toc13846"/>
      <w:bookmarkStart w:id="101" w:name="_Toc20150"/>
      <w:bookmarkStart w:id="102" w:name="_Toc485895992"/>
      <w:r>
        <w:rPr>
          <w:rFonts w:hint="eastAsia"/>
          <w:sz w:val="28"/>
          <w:szCs w:val="32"/>
          <w:lang w:val="en-US" w:eastAsia="zh-CN"/>
        </w:rPr>
        <w:t>磋商报价</w:t>
      </w:r>
      <w:r>
        <w:rPr>
          <w:rFonts w:hint="eastAsia"/>
          <w:sz w:val="28"/>
          <w:szCs w:val="32"/>
        </w:rPr>
        <w:t>表</w:t>
      </w:r>
      <w:bookmarkEnd w:id="100"/>
      <w:bookmarkEnd w:id="101"/>
      <w:bookmarkEnd w:id="102"/>
    </w:p>
    <w:p>
      <w:pPr>
        <w:pStyle w:val="2"/>
      </w:pPr>
    </w:p>
    <w:p>
      <w:pPr>
        <w:pStyle w:val="44"/>
        <w:spacing w:line="360" w:lineRule="auto"/>
        <w:ind w:left="0" w:leftChars="0" w:firstLine="0" w:firstLineChars="0"/>
        <w:jc w:val="right"/>
        <w:rPr>
          <w:rFonts w:hint="eastAsia" w:ascii="宋体" w:hAnsi="宋体" w:eastAsia="宋体" w:cs="宋体"/>
        </w:rPr>
      </w:pPr>
      <w:bookmarkStart w:id="103" w:name="_Toc485895993"/>
      <w:r>
        <w:rPr>
          <w:rFonts w:hint="eastAsia" w:ascii="宋体" w:hAnsi="宋体" w:eastAsia="宋体" w:cs="宋体"/>
        </w:rPr>
        <w:t>价格单位：元</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45"/>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名称</w:t>
            </w:r>
          </w:p>
        </w:tc>
        <w:tc>
          <w:tcPr>
            <w:tcW w:w="3687" w:type="pct"/>
            <w:tcBorders>
              <w:bottom w:val="single" w:color="auto" w:sz="4" w:space="0"/>
            </w:tcBorders>
            <w:noWrap w:val="0"/>
            <w:vAlign w:val="center"/>
          </w:tcPr>
          <w:p>
            <w:pPr>
              <w:pStyle w:val="45"/>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45"/>
              <w:tabs>
                <w:tab w:val="left" w:pos="1337"/>
              </w:tabs>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项目编号</w:t>
            </w:r>
          </w:p>
        </w:tc>
        <w:tc>
          <w:tcPr>
            <w:tcW w:w="3687" w:type="pct"/>
            <w:tcBorders>
              <w:bottom w:val="single" w:color="auto" w:sz="4" w:space="0"/>
            </w:tcBorders>
            <w:noWrap w:val="0"/>
            <w:vAlign w:val="center"/>
          </w:tcPr>
          <w:p>
            <w:pPr>
              <w:pStyle w:val="45"/>
              <w:tabs>
                <w:tab w:val="left" w:pos="1337"/>
              </w:tabs>
              <w:spacing w:line="360" w:lineRule="auto"/>
              <w:rPr>
                <w:rFonts w:hint="eastAsia" w:ascii="宋体" w:hAnsi="宋体" w:eastAsia="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pPr>
              <w:pStyle w:val="45"/>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 标 总 价</w:t>
            </w:r>
          </w:p>
        </w:tc>
        <w:tc>
          <w:tcPr>
            <w:tcW w:w="3687" w:type="pct"/>
            <w:noWrap w:val="0"/>
            <w:vAlign w:val="top"/>
          </w:tcPr>
          <w:p>
            <w:pPr>
              <w:pStyle w:val="45"/>
              <w:tabs>
                <w:tab w:val="left" w:pos="1337"/>
              </w:tabs>
              <w:spacing w:line="360" w:lineRule="auto"/>
              <w:rPr>
                <w:rFonts w:hint="eastAsia" w:ascii="宋体" w:hAnsi="宋体" w:eastAsia="宋体" w:cs="宋体"/>
                <w:bCs/>
                <w:color w:val="000000"/>
                <w:sz w:val="24"/>
              </w:rPr>
            </w:pPr>
          </w:p>
          <w:p>
            <w:pPr>
              <w:pStyle w:val="45"/>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45"/>
              <w:tabs>
                <w:tab w:val="left" w:pos="1337"/>
              </w:tabs>
              <w:spacing w:line="360" w:lineRule="auto"/>
              <w:rPr>
                <w:rFonts w:hint="eastAsia" w:ascii="宋体" w:hAnsi="宋体" w:eastAsia="宋体" w:cs="宋体"/>
                <w:bCs/>
                <w:color w:val="000000"/>
                <w:sz w:val="24"/>
              </w:rPr>
            </w:pPr>
          </w:p>
          <w:p>
            <w:pPr>
              <w:pStyle w:val="45"/>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45"/>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pPr>
              <w:pStyle w:val="45"/>
              <w:tabs>
                <w:tab w:val="left" w:pos="1337"/>
              </w:tabs>
              <w:spacing w:line="360" w:lineRule="auto"/>
              <w:jc w:val="center"/>
              <w:rPr>
                <w:rFonts w:hint="eastAsia" w:ascii="宋体" w:hAnsi="宋体" w:eastAsia="宋体" w:cs="宋体"/>
                <w:color w:val="000000"/>
                <w:sz w:val="24"/>
                <w:lang w:eastAsia="zh-CN"/>
              </w:rPr>
            </w:pPr>
            <w:r>
              <w:rPr>
                <w:rFonts w:hint="eastAsia" w:ascii="宋体" w:hAnsi="宋体" w:cs="宋体"/>
                <w:bCs/>
                <w:color w:val="000000"/>
                <w:sz w:val="24"/>
                <w:highlight w:val="none"/>
                <w:lang w:eastAsia="zh-CN"/>
              </w:rPr>
              <w:t>工期</w:t>
            </w:r>
          </w:p>
        </w:tc>
        <w:tc>
          <w:tcPr>
            <w:tcW w:w="3687" w:type="pct"/>
            <w:noWrap w:val="0"/>
            <w:vAlign w:val="top"/>
          </w:tcPr>
          <w:p>
            <w:pPr>
              <w:pStyle w:val="45"/>
              <w:tabs>
                <w:tab w:val="left" w:pos="1337"/>
              </w:tabs>
              <w:spacing w:line="360" w:lineRule="auto"/>
              <w:rPr>
                <w:rFonts w:hint="eastAsia" w:ascii="宋体" w:hAnsi="宋体" w:eastAsia="宋体" w:cs="宋体"/>
                <w:color w:val="00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pPr>
              <w:pStyle w:val="45"/>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rPr>
              <w:t xml:space="preserve"> </w:t>
            </w:r>
          </w:p>
        </w:tc>
      </w:tr>
    </w:tbl>
    <w:p>
      <w:pPr>
        <w:spacing w:line="360" w:lineRule="auto"/>
        <w:rPr>
          <w:rFonts w:hint="eastAsia" w:ascii="宋体" w:hAnsi="宋体"/>
          <w:sz w:val="28"/>
        </w:rPr>
      </w:pPr>
    </w:p>
    <w:p>
      <w:pPr>
        <w:spacing w:line="360" w:lineRule="auto"/>
        <w:rPr>
          <w:rFonts w:hint="eastAsia"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hint="eastAsia" w:ascii="宋体" w:hAnsi="宋体"/>
          <w:sz w:val="28"/>
        </w:rPr>
      </w:pPr>
    </w:p>
    <w:p>
      <w:pPr>
        <w:spacing w:line="360" w:lineRule="auto"/>
        <w:ind w:firstLine="560" w:firstLineChars="200"/>
        <w:rPr>
          <w:rFonts w:hint="eastAsia"/>
          <w:sz w:val="28"/>
          <w:u w:val="single"/>
        </w:rPr>
      </w:pPr>
    </w:p>
    <w:p>
      <w:pPr>
        <w:pStyle w:val="41"/>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Theme="minorEastAsia" w:hAnsiTheme="minorEastAsia" w:eastAsiaTheme="minorEastAsia"/>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sz w:val="28"/>
        </w:rPr>
      </w:pPr>
    </w:p>
    <w:p>
      <w:pPr>
        <w:pStyle w:val="2"/>
        <w:rPr>
          <w:sz w:val="28"/>
        </w:rPr>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六</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竞争性磋商报价明细表（范本）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32"/>
          <w:lang w:eastAsia="zh-CN"/>
        </w:rPr>
      </w:pPr>
      <w:r>
        <w:rPr>
          <w:rFonts w:hint="eastAsia"/>
          <w:sz w:val="28"/>
          <w:szCs w:val="32"/>
        </w:rPr>
        <w:t>竞争性磋商报价明细表</w:t>
      </w:r>
      <w:r>
        <w:rPr>
          <w:rFonts w:hint="eastAsia"/>
          <w:sz w:val="28"/>
          <w:szCs w:val="32"/>
          <w:lang w:eastAsia="zh-CN"/>
        </w:rPr>
        <w:t>（格式自拟）</w:t>
      </w:r>
    </w:p>
    <w:bookmarkEnd w:id="103"/>
    <w:p>
      <w:pPr>
        <w:pStyle w:val="4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eastAsia="zh-CN"/>
        </w:rPr>
        <w:t>项目名称：</w:t>
      </w:r>
      <w:r>
        <w:rPr>
          <w:rFonts w:hint="eastAsia" w:ascii="宋体" w:hAnsi="宋体" w:eastAsia="宋体" w:cs="宋体"/>
          <w:u w:val="single"/>
          <w:lang w:val="en-US"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价格单位：元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项</w:t>
            </w:r>
          </w:p>
        </w:tc>
        <w:tc>
          <w:tcPr>
            <w:tcW w:w="2441" w:type="dxa"/>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3418" w:type="dxa"/>
            <w:noWrap w:val="0"/>
            <w:vAlign w:val="center"/>
          </w:tcPr>
          <w:p>
            <w:pPr>
              <w:pStyle w:val="47"/>
              <w:tabs>
                <w:tab w:val="left" w:pos="1337"/>
              </w:tabs>
              <w:spacing w:line="360" w:lineRule="auto"/>
              <w:ind w:right="-42"/>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3056" w:type="dxa"/>
            <w:gridSpan w:val="3"/>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序</w:t>
            </w:r>
          </w:p>
          <w:p>
            <w:pPr>
              <w:pStyle w:val="47"/>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号</w:t>
            </w:r>
          </w:p>
        </w:tc>
        <w:tc>
          <w:tcPr>
            <w:tcW w:w="2441" w:type="dxa"/>
            <w:vMerge w:val="restart"/>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cs="宋体"/>
                <w:color w:val="000000"/>
                <w:sz w:val="24"/>
                <w:lang w:eastAsia="zh-CN"/>
              </w:rPr>
              <w:t>设备名称</w:t>
            </w:r>
          </w:p>
        </w:tc>
        <w:tc>
          <w:tcPr>
            <w:tcW w:w="3418" w:type="dxa"/>
            <w:vMerge w:val="restart"/>
            <w:noWrap w:val="0"/>
            <w:vAlign w:val="center"/>
          </w:tcPr>
          <w:p>
            <w:pPr>
              <w:pStyle w:val="47"/>
              <w:tabs>
                <w:tab w:val="left" w:pos="1337"/>
              </w:tabs>
              <w:spacing w:line="360" w:lineRule="auto"/>
              <w:ind w:left="-42" w:right="-42"/>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设备型号/技术参数</w:t>
            </w:r>
          </w:p>
        </w:tc>
        <w:tc>
          <w:tcPr>
            <w:tcW w:w="3056" w:type="dxa"/>
            <w:gridSpan w:val="3"/>
            <w:noWrap w:val="0"/>
            <w:vAlign w:val="center"/>
          </w:tcPr>
          <w:p>
            <w:pPr>
              <w:pStyle w:val="4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p>
        </w:tc>
        <w:tc>
          <w:tcPr>
            <w:tcW w:w="2441" w:type="dxa"/>
            <w:vMerge w:val="continue"/>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p>
        </w:tc>
        <w:tc>
          <w:tcPr>
            <w:tcW w:w="3418" w:type="dxa"/>
            <w:vMerge w:val="continue"/>
            <w:noWrap w:val="0"/>
            <w:vAlign w:val="center"/>
          </w:tcPr>
          <w:p>
            <w:pPr>
              <w:pStyle w:val="47"/>
              <w:tabs>
                <w:tab w:val="left" w:pos="1337"/>
              </w:tabs>
              <w:spacing w:line="360" w:lineRule="auto"/>
              <w:ind w:left="-42" w:right="-42"/>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单价</w:t>
            </w:r>
          </w:p>
        </w:tc>
        <w:tc>
          <w:tcPr>
            <w:tcW w:w="955" w:type="dxa"/>
            <w:noWrap w:val="0"/>
            <w:vAlign w:val="center"/>
          </w:tcPr>
          <w:p>
            <w:pPr>
              <w:pStyle w:val="47"/>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146" w:type="dxa"/>
            <w:noWrap w:val="0"/>
            <w:vAlign w:val="center"/>
          </w:tcPr>
          <w:p>
            <w:pPr>
              <w:pStyle w:val="47"/>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3418"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其他</w:t>
            </w: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2441" w:type="dxa"/>
            <w:noWrap w:val="0"/>
            <w:vAlign w:val="center"/>
          </w:tcPr>
          <w:p>
            <w:pPr>
              <w:pStyle w:val="47"/>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3418"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47"/>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c>
          <w:tcPr>
            <w:tcW w:w="1146" w:type="dxa"/>
            <w:noWrap w:val="0"/>
            <w:vAlign w:val="center"/>
          </w:tcPr>
          <w:p>
            <w:pPr>
              <w:pStyle w:val="47"/>
              <w:tabs>
                <w:tab w:val="left" w:pos="1337"/>
              </w:tabs>
              <w:spacing w:line="360" w:lineRule="auto"/>
              <w:jc w:val="center"/>
              <w:rPr>
                <w:rFonts w:hint="eastAsia" w:ascii="宋体" w:hAnsi="宋体" w:eastAsia="宋体" w:cs="宋体"/>
                <w:color w:val="000000"/>
                <w:sz w:val="24"/>
              </w:rPr>
            </w:pPr>
          </w:p>
        </w:tc>
      </w:tr>
    </w:tbl>
    <w:p>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说明：</w:t>
      </w:r>
      <w:r>
        <w:rPr>
          <w:rFonts w:hint="eastAsia" w:ascii="宋体" w:hAnsi="宋体" w:eastAsia="宋体" w:cs="宋体"/>
          <w:bCs/>
          <w:color w:val="000000"/>
          <w:sz w:val="24"/>
        </w:rPr>
        <w:t>报价明细表</w:t>
      </w:r>
      <w:r>
        <w:rPr>
          <w:rFonts w:hint="eastAsia" w:ascii="宋体" w:hAnsi="宋体" w:cs="宋体"/>
          <w:bCs/>
          <w:color w:val="000000"/>
          <w:sz w:val="24"/>
          <w:lang w:eastAsia="zh-CN"/>
        </w:rPr>
        <w:t>合</w:t>
      </w:r>
      <w:r>
        <w:rPr>
          <w:rFonts w:hint="eastAsia" w:ascii="宋体" w:hAnsi="宋体" w:eastAsia="宋体" w:cs="宋体"/>
          <w:bCs/>
          <w:color w:val="000000"/>
          <w:sz w:val="24"/>
        </w:rPr>
        <w:t>计价格必须与《</w:t>
      </w:r>
      <w:r>
        <w:rPr>
          <w:rFonts w:hint="eastAsia" w:ascii="宋体" w:hAnsi="宋体" w:cs="宋体"/>
          <w:bCs/>
          <w:color w:val="000000"/>
          <w:sz w:val="24"/>
          <w:lang w:eastAsia="zh-CN"/>
        </w:rPr>
        <w:t>磋商报价</w:t>
      </w:r>
      <w:r>
        <w:rPr>
          <w:rFonts w:hint="eastAsia" w:ascii="宋体" w:hAnsi="宋体" w:eastAsia="宋体" w:cs="宋体"/>
          <w:bCs/>
          <w:color w:val="000000"/>
          <w:sz w:val="24"/>
        </w:rPr>
        <w:t>表》报价一致</w:t>
      </w:r>
      <w:r>
        <w:rPr>
          <w:rFonts w:hint="eastAsia" w:ascii="宋体" w:hAnsi="宋体" w:cs="宋体"/>
          <w:bCs/>
          <w:color w:val="000000"/>
          <w:sz w:val="24"/>
          <w:lang w:eastAsia="zh-CN"/>
        </w:rPr>
        <w:t>，如果不提供将被视为没有实质性响应磋商文件。</w:t>
      </w:r>
    </w:p>
    <w:p>
      <w:pPr>
        <w:pStyle w:val="41"/>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七</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商务条款响应及偏离表</w:t>
      </w:r>
    </w:p>
    <w:p>
      <w:pPr>
        <w:jc w:val="center"/>
        <w:rPr>
          <w:rFonts w:hint="eastAsia"/>
          <w:sz w:val="28"/>
          <w:szCs w:val="32"/>
        </w:rPr>
      </w:pPr>
      <w:bookmarkStart w:id="104" w:name="_Toc534816648"/>
      <w:bookmarkStart w:id="105" w:name="_Toc534725619"/>
      <w:bookmarkStart w:id="106" w:name="_Toc293739010"/>
      <w:bookmarkStart w:id="107" w:name="_Toc293736072"/>
      <w:bookmarkStart w:id="108" w:name="_Toc485896007"/>
      <w:bookmarkStart w:id="109" w:name="_Toc6703"/>
      <w:bookmarkStart w:id="110" w:name="_Toc293736029"/>
      <w:bookmarkStart w:id="111" w:name="_Toc20323"/>
      <w:bookmarkStart w:id="112" w:name="_Toc446599333"/>
      <w:r>
        <w:rPr>
          <w:rFonts w:hint="eastAsia"/>
          <w:sz w:val="28"/>
          <w:szCs w:val="32"/>
          <w:lang w:eastAsia="zh-CN"/>
        </w:rPr>
        <w:t>商务条款</w:t>
      </w:r>
      <w:r>
        <w:rPr>
          <w:rFonts w:hint="eastAsia"/>
          <w:sz w:val="28"/>
          <w:szCs w:val="32"/>
        </w:rPr>
        <w:t>响应及偏离表</w:t>
      </w:r>
      <w:bookmarkEnd w:id="104"/>
      <w:bookmarkEnd w:id="105"/>
    </w:p>
    <w:p>
      <w:pPr>
        <w:jc w:val="center"/>
        <w:rPr>
          <w:rFonts w:hint="eastAsia" w:ascii="宋体" w:hAnsi="宋体"/>
          <w:sz w:val="24"/>
          <w:szCs w:val="24"/>
        </w:rPr>
      </w:pPr>
    </w:p>
    <w:tbl>
      <w:tblPr>
        <w:tblStyle w:val="1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15"/>
        <w:gridCol w:w="2993"/>
        <w:gridCol w:w="1395"/>
        <w:gridCol w:w="3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1"/>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1"/>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sz w:val="24"/>
                <w:szCs w:val="20"/>
                <w:lang w:eastAsia="zh-CN"/>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
      <w:pPr>
        <w:pStyle w:val="2"/>
      </w:pPr>
    </w:p>
    <w:p>
      <w:pPr>
        <w:pStyle w:val="2"/>
      </w:pPr>
    </w:p>
    <w:p>
      <w:pPr>
        <w:pStyle w:val="2"/>
      </w:pPr>
    </w:p>
    <w:p>
      <w:pPr>
        <w:pStyle w:val="41"/>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7"/>
        <w:numPr>
          <w:ilvl w:val="0"/>
          <w:numId w:val="0"/>
        </w:numPr>
        <w:spacing w:before="145" w:beforeLines="50" w:after="145" w:afterLines="50" w:line="300" w:lineRule="auto"/>
        <w:ind w:leftChars="0"/>
        <w:jc w:val="both"/>
        <w:rPr>
          <w:rFonts w:asciiTheme="minorEastAsia" w:hAnsiTheme="minorEastAsia" w:eastAsiaTheme="minorEastAsia"/>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八</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技术条款响应及偏离表</w:t>
      </w:r>
    </w:p>
    <w:p>
      <w:pPr>
        <w:jc w:val="center"/>
        <w:rPr>
          <w:rFonts w:hint="eastAsia"/>
          <w:sz w:val="28"/>
          <w:szCs w:val="32"/>
        </w:rPr>
      </w:pPr>
      <w:r>
        <w:rPr>
          <w:rFonts w:hint="eastAsia"/>
          <w:sz w:val="28"/>
          <w:szCs w:val="32"/>
          <w:lang w:eastAsia="zh-CN"/>
        </w:rPr>
        <w:t>技术条款</w:t>
      </w:r>
      <w:r>
        <w:rPr>
          <w:rFonts w:hint="eastAsia"/>
          <w:sz w:val="28"/>
          <w:szCs w:val="32"/>
        </w:rPr>
        <w:t>响应及偏离表</w:t>
      </w:r>
    </w:p>
    <w:p>
      <w:pPr>
        <w:jc w:val="center"/>
        <w:rPr>
          <w:rFonts w:hint="eastAsia" w:ascii="宋体" w:hAnsi="宋体"/>
          <w:sz w:val="24"/>
          <w:szCs w:val="24"/>
        </w:rPr>
      </w:pPr>
    </w:p>
    <w:tbl>
      <w:tblPr>
        <w:tblStyle w:val="1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15"/>
        <w:gridCol w:w="2993"/>
        <w:gridCol w:w="1395"/>
        <w:gridCol w:w="3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1"/>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1"/>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kern w:val="2"/>
                <w:sz w:val="24"/>
                <w:szCs w:val="20"/>
                <w:lang w:val="en-US" w:eastAsia="zh-CN" w:bidi="ar-SA"/>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45" w:beforeLines="50"/>
              <w:jc w:val="both"/>
              <w:rPr>
                <w:rFonts w:hint="eastAsia" w:ascii="宋体" w:hAnsi="宋体" w:eastAsia="宋体" w:cs="宋体"/>
                <w:sz w:val="24"/>
                <w:szCs w:val="20"/>
                <w:lang w:eastAsia="zh-CN"/>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07"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583"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c>
          <w:tcPr>
            <w:tcW w:w="1770" w:type="pct"/>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Pr>
        <w:rPr>
          <w:rFonts w:hint="eastAsia"/>
        </w:rPr>
      </w:pPr>
    </w:p>
    <w:p>
      <w:pPr>
        <w:rPr>
          <w:rFonts w:hint="eastAsia"/>
        </w:rPr>
      </w:pPr>
    </w:p>
    <w:bookmarkEnd w:id="106"/>
    <w:bookmarkEnd w:id="107"/>
    <w:bookmarkEnd w:id="108"/>
    <w:bookmarkEnd w:id="109"/>
    <w:bookmarkEnd w:id="110"/>
    <w:bookmarkEnd w:id="111"/>
    <w:bookmarkEnd w:id="112"/>
    <w:p/>
    <w:p>
      <w:pPr>
        <w:pStyle w:val="41"/>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1"/>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
    <w:p/>
    <w:p/>
    <w:p/>
    <w:p/>
    <w:p/>
    <w:p>
      <w:pPr>
        <w:pStyle w:val="2"/>
      </w:pPr>
    </w:p>
    <w:p>
      <w:pPr>
        <w:pStyle w:val="2"/>
      </w:pPr>
    </w:p>
    <w:p>
      <w:pPr>
        <w:pStyle w:val="48"/>
        <w:outlineLvl w:val="2"/>
        <w:rPr>
          <w:rFonts w:hint="eastAsia" w:ascii="宋体" w:hAnsi="宋体" w:eastAsia="宋体" w:cs="宋体"/>
          <w:b w:val="0"/>
          <w:bCs/>
          <w:lang w:val="en-US" w:eastAsia="zh-CN"/>
        </w:rPr>
      </w:pPr>
      <w:bookmarkStart w:id="113" w:name="_Toc18115"/>
      <w:r>
        <w:rPr>
          <w:rFonts w:hint="eastAsia" w:ascii="宋体" w:hAnsi="宋体" w:eastAsia="宋体" w:cs="宋体"/>
          <w:b w:val="0"/>
          <w:bCs/>
          <w:lang w:val="en-US" w:eastAsia="zh-CN"/>
        </w:rPr>
        <w:t>附件九：企业声明函</w:t>
      </w:r>
      <w:bookmarkEnd w:id="113"/>
      <w:r>
        <w:rPr>
          <w:rFonts w:hint="eastAsia" w:ascii="宋体" w:hAnsi="宋体" w:eastAsia="宋体" w:cs="宋体"/>
          <w:b w:val="0"/>
          <w:bCs/>
          <w:lang w:val="en-US" w:eastAsia="zh-CN"/>
        </w:rPr>
        <w:t>（若有）</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w:t>
      </w:r>
      <w:r>
        <w:rPr>
          <w:rFonts w:hint="eastAsia" w:ascii="宋体" w:hAnsi="宋体" w:eastAsia="宋体" w:cs="宋体"/>
          <w:sz w:val="24"/>
          <w:u w:val="single"/>
        </w:rPr>
        <w:t xml:space="preserve">      </w:t>
      </w:r>
      <w:r>
        <w:rPr>
          <w:rFonts w:hint="eastAsia" w:ascii="宋体" w:hAnsi="宋体" w:eastAsia="宋体" w:cs="宋体"/>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(请填写：小型、微型)企业。</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2、本公司参加______单位的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项目政府采购活动提供本企业制造的服务或产品，由本企业承担工程、提供服务，或者提供其他</w:t>
      </w:r>
      <w:r>
        <w:rPr>
          <w:rFonts w:hint="eastAsia" w:ascii="宋体" w:hAnsi="宋体" w:eastAsia="宋体" w:cs="宋体"/>
          <w:sz w:val="24"/>
          <w:u w:val="single"/>
        </w:rPr>
        <w:t xml:space="preserve">    </w:t>
      </w:r>
      <w:r>
        <w:rPr>
          <w:rFonts w:hint="eastAsia" w:ascii="宋体" w:hAnsi="宋体" w:eastAsia="宋体" w:cs="宋体"/>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3、本公司在本次政府采购活动中提供的小微型企业产品报价合计为人民币（大写）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 xml:space="preserve"> 圆整（￥：</w:t>
      </w:r>
      <w:r>
        <w:rPr>
          <w:rFonts w:hint="eastAsia" w:ascii="宋体" w:hAnsi="宋体" w:eastAsia="宋体" w:cs="宋体"/>
          <w:sz w:val="24"/>
          <w:u w:val="single"/>
        </w:rPr>
        <w:t xml:space="preserve">     </w:t>
      </w:r>
      <w:r>
        <w:rPr>
          <w:rFonts w:hint="eastAsia" w:ascii="宋体" w:hAnsi="宋体" w:eastAsia="宋体" w:cs="宋体"/>
          <w:sz w:val="24"/>
        </w:rPr>
        <w:t>）。</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2"/>
        <w:rPr>
          <w:rFonts w:hint="eastAsia"/>
        </w:rPr>
      </w:pPr>
    </w:p>
    <w:p>
      <w:pPr>
        <w:spacing w:before="145" w:beforeLines="50" w:after="145" w:afterLines="50" w:line="300" w:lineRule="auto"/>
        <w:ind w:firstLine="360" w:firstLineChars="150"/>
        <w:jc w:val="center"/>
        <w:rPr>
          <w:rFonts w:hint="eastAsia" w:ascii="宋体" w:hAnsi="宋体" w:eastAsia="宋体" w:cs="宋体"/>
          <w:sz w:val="24"/>
          <w:u w:val="single"/>
          <w:lang w:val="en-US" w:eastAsia="zh-CN"/>
        </w:rPr>
      </w:pP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32"/>
        <w:rPr>
          <w:rFonts w:hint="eastAsia" w:ascii="宋体" w:hAnsi="宋体" w:eastAsia="宋体" w:cs="宋体"/>
          <w:bCs/>
          <w:sz w:val="24"/>
        </w:rPr>
      </w:pPr>
    </w:p>
    <w:p>
      <w:pPr>
        <w:pStyle w:val="48"/>
        <w:outlineLvl w:val="2"/>
        <w:rPr>
          <w:rFonts w:hint="eastAsia" w:ascii="宋体" w:hAnsi="宋体" w:eastAsia="宋体" w:cs="宋体"/>
          <w:b w:val="0"/>
          <w:bCs/>
          <w:lang w:val="en-US" w:eastAsia="zh-CN"/>
        </w:rPr>
      </w:pPr>
      <w:bookmarkStart w:id="114" w:name="_Toc26894"/>
      <w:r>
        <w:rPr>
          <w:rFonts w:hint="eastAsia" w:ascii="宋体" w:hAnsi="宋体" w:eastAsia="宋体" w:cs="宋体"/>
          <w:b w:val="0"/>
          <w:bCs/>
          <w:lang w:val="en-US" w:eastAsia="zh-CN"/>
        </w:rPr>
        <w:t>附件十：残疾人福利性单位声明函</w:t>
      </w:r>
      <w:bookmarkEnd w:id="114"/>
      <w:r>
        <w:rPr>
          <w:rFonts w:hint="eastAsia" w:ascii="宋体" w:hAnsi="宋体" w:eastAsia="宋体" w:cs="宋体"/>
          <w:b w:val="0"/>
          <w:bCs/>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center"/>
        <w:rPr>
          <w:rFonts w:hint="eastAsia" w:ascii="宋体" w:hAnsi="宋体" w:eastAsia="宋体" w:cs="宋体"/>
          <w:sz w:val="24"/>
          <w:lang w:val="en-US" w:eastAsia="zh-CN"/>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w:t>
      </w: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附件十一：</w:t>
      </w:r>
    </w:p>
    <w:p>
      <w:pPr>
        <w:spacing w:line="360" w:lineRule="auto"/>
        <w:jc w:val="center"/>
        <w:rPr>
          <w:rFonts w:ascii="宋体" w:hAnsi="宋体"/>
          <w:b/>
          <w:color w:val="000000"/>
          <w:sz w:val="32"/>
          <w:szCs w:val="32"/>
        </w:rPr>
      </w:pPr>
      <w:r>
        <w:rPr>
          <w:rFonts w:hint="eastAsia" w:ascii="宋体" w:hAnsi="宋体"/>
          <w:b/>
          <w:color w:val="000000"/>
          <w:sz w:val="32"/>
          <w:szCs w:val="32"/>
        </w:rPr>
        <w:t>近 三 年 业 绩 一 览 表</w:t>
      </w:r>
    </w:p>
    <w:p>
      <w:pPr>
        <w:spacing w:line="360" w:lineRule="auto"/>
        <w:jc w:val="center"/>
        <w:rPr>
          <w:rFonts w:ascii="宋体" w:hAnsi="宋体"/>
          <w:b/>
          <w:color w:val="000000"/>
          <w:szCs w:val="21"/>
        </w:rPr>
      </w:pPr>
    </w:p>
    <w:tbl>
      <w:tblPr>
        <w:tblStyle w:val="19"/>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序号</w:t>
            </w:r>
          </w:p>
        </w:tc>
        <w:tc>
          <w:tcPr>
            <w:tcW w:w="2068" w:type="dxa"/>
            <w:vAlign w:val="center"/>
          </w:tcPr>
          <w:p>
            <w:pPr>
              <w:jc w:val="center"/>
              <w:rPr>
                <w:rFonts w:ascii="宋体" w:hAnsi="宋体"/>
                <w:b/>
                <w:bCs/>
                <w:color w:val="000000"/>
                <w:sz w:val="24"/>
                <w:szCs w:val="22"/>
              </w:rPr>
            </w:pPr>
            <w:r>
              <w:rPr>
                <w:rFonts w:hint="eastAsia" w:ascii="宋体" w:hAnsi="宋体"/>
                <w:b/>
                <w:bCs/>
                <w:color w:val="000000"/>
                <w:sz w:val="24"/>
                <w:szCs w:val="22"/>
              </w:rPr>
              <w:t>使用单位全称</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合同金额</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完成时间</w:t>
            </w:r>
          </w:p>
        </w:tc>
        <w:tc>
          <w:tcPr>
            <w:tcW w:w="1369" w:type="dxa"/>
            <w:vAlign w:val="center"/>
          </w:tcPr>
          <w:p>
            <w:pPr>
              <w:jc w:val="center"/>
              <w:rPr>
                <w:rFonts w:ascii="宋体" w:hAnsi="宋体"/>
                <w:b/>
                <w:bCs/>
                <w:color w:val="000000"/>
                <w:sz w:val="24"/>
                <w:szCs w:val="22"/>
              </w:rPr>
            </w:pPr>
            <w:r>
              <w:rPr>
                <w:rFonts w:hint="eastAsia" w:ascii="宋体" w:hAnsi="宋体"/>
                <w:b/>
                <w:bCs/>
                <w:color w:val="000000"/>
                <w:sz w:val="24"/>
                <w:szCs w:val="22"/>
              </w:rPr>
              <w:t>联系人</w:t>
            </w:r>
          </w:p>
        </w:tc>
        <w:tc>
          <w:tcPr>
            <w:tcW w:w="2185" w:type="dxa"/>
            <w:vAlign w:val="center"/>
          </w:tcPr>
          <w:p>
            <w:pPr>
              <w:jc w:val="center"/>
              <w:rPr>
                <w:rFonts w:ascii="宋体" w:hAnsi="宋体"/>
                <w:b/>
                <w:bCs/>
                <w:color w:val="000000"/>
                <w:sz w:val="24"/>
                <w:szCs w:val="22"/>
              </w:rPr>
            </w:pPr>
            <w:r>
              <w:rPr>
                <w:rFonts w:hint="eastAsia" w:ascii="宋体" w:hAnsi="宋体"/>
                <w:b/>
                <w:bCs/>
                <w:color w:val="000000"/>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1</w:t>
            </w:r>
          </w:p>
        </w:tc>
        <w:tc>
          <w:tcPr>
            <w:tcW w:w="2068"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369" w:type="dxa"/>
          </w:tcPr>
          <w:p>
            <w:pPr>
              <w:jc w:val="center"/>
              <w:rPr>
                <w:rFonts w:ascii="宋体" w:hAnsi="宋体"/>
                <w:b/>
                <w:bCs/>
                <w:color w:val="000000"/>
                <w:sz w:val="28"/>
                <w:szCs w:val="22"/>
              </w:rPr>
            </w:pPr>
          </w:p>
        </w:tc>
        <w:tc>
          <w:tcPr>
            <w:tcW w:w="2185" w:type="dxa"/>
          </w:tcPr>
          <w:p>
            <w:pPr>
              <w:jc w:val="center"/>
              <w:rPr>
                <w:rFonts w:ascii="宋体" w:hAnsi="宋体"/>
                <w:b/>
                <w:bCs/>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2</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3</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4</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5</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b/>
                <w:bCs/>
                <w:color w:val="000000"/>
                <w:sz w:val="24"/>
                <w:szCs w:val="22"/>
                <w:u w:val="single"/>
              </w:rPr>
            </w:pPr>
            <w:r>
              <w:rPr>
                <w:rFonts w:hint="eastAsia" w:ascii="宋体" w:hAnsi="宋体"/>
                <w:b/>
                <w:bCs/>
                <w:color w:val="000000"/>
                <w:sz w:val="24"/>
                <w:szCs w:val="22"/>
              </w:rPr>
              <w:t>…</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bl>
    <w:p>
      <w:pPr>
        <w:spacing w:line="360" w:lineRule="auto"/>
        <w:ind w:left="1084" w:hanging="1084" w:hangingChars="450"/>
        <w:rPr>
          <w:rFonts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备注：1、投标人应填写与招标项目相一致的业绩，填写与本项目不一致或相类似的业绩无效。所有业绩应提供《合同》、业主证明或中标通知书复印件并附在此业绩表之后。</w:t>
      </w:r>
    </w:p>
    <w:p>
      <w:pPr>
        <w:spacing w:line="360" w:lineRule="auto"/>
        <w:ind w:firstLine="723" w:firstLineChars="300"/>
        <w:rPr>
          <w:rFonts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ascii="宋体" w:hAnsi="宋体"/>
          <w:b/>
          <w:color w:val="000000"/>
          <w:sz w:val="28"/>
          <w:szCs w:val="28"/>
        </w:rPr>
      </w:pPr>
    </w:p>
    <w:p>
      <w:pPr>
        <w:spacing w:before="100" w:beforeAutospacing="1" w:after="100" w:afterAutospacing="1" w:line="400" w:lineRule="exact"/>
        <w:ind w:firstLine="4216" w:firstLineChars="1500"/>
        <w:rPr>
          <w:rFonts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4357" w:firstLineChars="1550"/>
        <w:rPr>
          <w:rFonts w:ascii="宋体" w:hAnsi="宋体"/>
          <w:b/>
          <w:sz w:val="28"/>
          <w:szCs w:val="28"/>
        </w:rPr>
      </w:pPr>
      <w:r>
        <w:rPr>
          <w:rFonts w:hint="eastAsia" w:ascii="宋体" w:hAnsi="宋体"/>
          <w:b/>
          <w:sz w:val="28"/>
          <w:szCs w:val="28"/>
        </w:rPr>
        <w:t>签署日期：   年    月     日</w:t>
      </w:r>
    </w:p>
    <w:p>
      <w:pPr>
        <w:pStyle w:val="2"/>
      </w:pPr>
    </w:p>
    <w:p>
      <w:pPr>
        <w:pStyle w:val="2"/>
      </w:pPr>
    </w:p>
    <w:p>
      <w:pPr>
        <w:pStyle w:val="2"/>
        <w:ind w:left="0" w:leftChars="0" w:firstLine="0" w:firstLineChars="0"/>
      </w:pPr>
    </w:p>
    <w:p>
      <w:pPr>
        <w:spacing w:line="360" w:lineRule="auto"/>
        <w:rPr>
          <w:rFonts w:hint="eastAsia" w:ascii="宋体" w:hAnsi="宋体" w:eastAsia="宋体"/>
          <w:b/>
          <w:sz w:val="28"/>
          <w:szCs w:val="28"/>
          <w:lang w:eastAsia="zh-CN"/>
        </w:rPr>
      </w:pPr>
      <w:r>
        <w:rPr>
          <w:rFonts w:hint="eastAsia" w:ascii="宋体" w:hAnsi="宋体"/>
          <w:b/>
          <w:sz w:val="28"/>
          <w:szCs w:val="28"/>
        </w:rPr>
        <w:t xml:space="preserve">   </w:t>
      </w:r>
      <w:r>
        <w:rPr>
          <w:rFonts w:hint="eastAsia" w:ascii="宋体" w:hAnsi="宋体" w:eastAsia="宋体" w:cs="宋体"/>
          <w:b w:val="0"/>
          <w:bCs/>
          <w:kern w:val="0"/>
          <w:sz w:val="32"/>
          <w:szCs w:val="24"/>
          <w:lang w:val="en-US" w:eastAsia="zh-CN" w:bidi="ar-SA"/>
        </w:rPr>
        <w:t>附件十</w:t>
      </w:r>
      <w:r>
        <w:rPr>
          <w:rFonts w:hint="eastAsia" w:ascii="宋体" w:hAnsi="宋体" w:cs="宋体"/>
          <w:b w:val="0"/>
          <w:bCs/>
          <w:kern w:val="0"/>
          <w:sz w:val="32"/>
          <w:szCs w:val="24"/>
          <w:lang w:val="en-US" w:eastAsia="zh-CN" w:bidi="ar-SA"/>
        </w:rPr>
        <w:t>二</w:t>
      </w:r>
      <w:r>
        <w:rPr>
          <w:rFonts w:hint="eastAsia" w:ascii="宋体" w:hAnsi="宋体"/>
          <w:b/>
          <w:sz w:val="28"/>
          <w:szCs w:val="28"/>
        </w:rPr>
        <w:t xml:space="preserve"> </w:t>
      </w:r>
      <w:r>
        <w:rPr>
          <w:rFonts w:hint="eastAsia" w:ascii="宋体" w:hAnsi="宋体"/>
          <w:b/>
          <w:sz w:val="28"/>
          <w:szCs w:val="28"/>
          <w:lang w:eastAsia="zh-CN"/>
        </w:rPr>
        <w:t>：</w:t>
      </w:r>
    </w:p>
    <w:p>
      <w:pPr>
        <w:spacing w:line="360" w:lineRule="auto"/>
        <w:jc w:val="center"/>
        <w:rPr>
          <w:rFonts w:ascii="宋体" w:hAnsi="宋体"/>
          <w:b/>
          <w:sz w:val="32"/>
          <w:szCs w:val="32"/>
        </w:rPr>
      </w:pPr>
      <w:r>
        <w:rPr>
          <w:rFonts w:hint="eastAsia" w:ascii="宋体" w:hAnsi="宋体"/>
          <w:b/>
          <w:sz w:val="32"/>
          <w:szCs w:val="32"/>
        </w:rPr>
        <w:t>反商业贿赂承诺书</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（采购人）</w:t>
      </w:r>
    </w:p>
    <w:p>
      <w:pPr>
        <w:spacing w:line="360" w:lineRule="auto"/>
        <w:ind w:firstLine="480" w:firstLineChars="200"/>
        <w:rPr>
          <w:rFonts w:ascii="宋体" w:hAnsi="宋体"/>
          <w:sz w:val="24"/>
          <w:szCs w:val="24"/>
        </w:rPr>
      </w:pPr>
      <w:r>
        <w:rPr>
          <w:rFonts w:hint="eastAsia" w:ascii="宋体" w:hAnsi="宋体"/>
          <w:sz w:val="24"/>
          <w:szCs w:val="24"/>
        </w:rPr>
        <w:t>为了进一步营造公平竞争的市场环境，维保市场秩序，我方在政府采购活动中郑重承诺：</w:t>
      </w:r>
    </w:p>
    <w:p>
      <w:pPr>
        <w:spacing w:line="360" w:lineRule="auto"/>
        <w:ind w:firstLine="480" w:firstLineChars="200"/>
        <w:rPr>
          <w:rFonts w:ascii="宋体" w:hAnsi="宋体"/>
          <w:sz w:val="24"/>
          <w:szCs w:val="24"/>
        </w:rPr>
      </w:pPr>
      <w:r>
        <w:rPr>
          <w:rFonts w:hint="eastAsia" w:ascii="宋体" w:hAnsi="宋体"/>
          <w:sz w:val="24"/>
          <w:szCs w:val="24"/>
        </w:rPr>
        <w:t>一、依法参与政府采购活动，遵纪守法，诚信经营，公平竞争。</w:t>
      </w:r>
    </w:p>
    <w:p>
      <w:pPr>
        <w:spacing w:line="360" w:lineRule="auto"/>
        <w:ind w:firstLine="480" w:firstLineChars="200"/>
        <w:rPr>
          <w:rFonts w:ascii="宋体" w:hAnsi="宋体"/>
          <w:sz w:val="24"/>
          <w:szCs w:val="24"/>
        </w:rPr>
      </w:pPr>
      <w:r>
        <w:rPr>
          <w:rFonts w:hint="eastAsia" w:ascii="宋体" w:hAnsi="宋体"/>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sz w:val="24"/>
          <w:szCs w:val="24"/>
        </w:rPr>
      </w:pPr>
      <w:r>
        <w:rPr>
          <w:rFonts w:hint="eastAsia" w:ascii="宋体" w:hAnsi="宋体"/>
          <w:sz w:val="24"/>
          <w:szCs w:val="24"/>
        </w:rPr>
        <w:t>三、坚决做到不提供虚假资质文件和虚假材料谋取中标。</w:t>
      </w:r>
    </w:p>
    <w:p>
      <w:pPr>
        <w:spacing w:line="360" w:lineRule="auto"/>
        <w:ind w:firstLine="480" w:firstLineChars="200"/>
        <w:rPr>
          <w:rFonts w:ascii="宋体" w:hAnsi="宋体"/>
          <w:sz w:val="24"/>
          <w:szCs w:val="24"/>
        </w:rPr>
      </w:pPr>
      <w:r>
        <w:rPr>
          <w:rFonts w:hint="eastAsia" w:ascii="宋体" w:hAnsi="宋体"/>
          <w:sz w:val="24"/>
          <w:szCs w:val="24"/>
        </w:rPr>
        <w:t>四、不采取不正当手段诋毁、排挤其他投标人，与其他投标人保持公平的竞争关系。</w:t>
      </w:r>
    </w:p>
    <w:p>
      <w:pPr>
        <w:spacing w:line="360" w:lineRule="auto"/>
        <w:ind w:firstLine="480" w:firstLineChars="200"/>
        <w:rPr>
          <w:rFonts w:ascii="宋体" w:hAnsi="宋体"/>
          <w:sz w:val="24"/>
          <w:szCs w:val="24"/>
        </w:rPr>
      </w:pPr>
      <w:r>
        <w:rPr>
          <w:rFonts w:hint="eastAsia" w:ascii="宋体" w:hAnsi="宋体"/>
          <w:sz w:val="24"/>
          <w:szCs w:val="24"/>
        </w:rPr>
        <w:t>五、不与采购单位、集中采购机构和政府采购评审专家串通，自觉维保政府采购公平竞争的市场秩序。</w:t>
      </w:r>
    </w:p>
    <w:p>
      <w:pPr>
        <w:spacing w:line="360" w:lineRule="auto"/>
        <w:ind w:firstLine="480" w:firstLineChars="200"/>
        <w:rPr>
          <w:rFonts w:ascii="宋体" w:hAnsi="宋体"/>
          <w:sz w:val="24"/>
          <w:szCs w:val="24"/>
        </w:rPr>
      </w:pPr>
      <w:r>
        <w:rPr>
          <w:rFonts w:hint="eastAsia" w:ascii="宋体" w:hAnsi="宋体"/>
          <w:sz w:val="24"/>
          <w:szCs w:val="24"/>
        </w:rPr>
        <w:t>六、不与其他投标人串通采取围标、陪标等商业欺诈手段谋取中标，积极维保国家利益、社会公共利益和采购单位的合法权益。</w:t>
      </w:r>
    </w:p>
    <w:p>
      <w:pPr>
        <w:spacing w:line="360" w:lineRule="auto"/>
        <w:ind w:firstLine="480" w:firstLineChars="200"/>
        <w:rPr>
          <w:rFonts w:ascii="宋体" w:hAnsi="宋体"/>
          <w:sz w:val="24"/>
          <w:szCs w:val="24"/>
        </w:rPr>
      </w:pPr>
      <w:r>
        <w:rPr>
          <w:rFonts w:hint="eastAsia" w:ascii="宋体" w:hAnsi="宋体"/>
          <w:sz w:val="24"/>
          <w:szCs w:val="24"/>
        </w:rPr>
        <w:t>七、严格履行政府采购合同约定的责任和义务，保质保量地完成采购合同规定的任务，准确兑现售后服务承诺。</w:t>
      </w:r>
    </w:p>
    <w:p>
      <w:pPr>
        <w:spacing w:line="360" w:lineRule="auto"/>
        <w:ind w:firstLine="480" w:firstLineChars="200"/>
        <w:rPr>
          <w:rFonts w:ascii="宋体" w:hAnsi="宋体"/>
          <w:sz w:val="24"/>
          <w:szCs w:val="24"/>
        </w:rPr>
      </w:pPr>
      <w:r>
        <w:rPr>
          <w:rFonts w:hint="eastAsia" w:ascii="宋体" w:hAnsi="宋体"/>
          <w:sz w:val="24"/>
          <w:szCs w:val="24"/>
        </w:rPr>
        <w:t>八、自觉接受并积极配合财政部门和纪检监察机关依法实施的监督检查，如实反映情况，及时提供有关证明材料。</w:t>
      </w:r>
    </w:p>
    <w:p>
      <w:pPr>
        <w:spacing w:line="360" w:lineRule="auto"/>
        <w:ind w:firstLine="3000" w:firstLineChars="1250"/>
        <w:rPr>
          <w:rFonts w:ascii="宋体" w:hAnsi="宋体"/>
          <w:sz w:val="24"/>
          <w:szCs w:val="24"/>
        </w:rPr>
      </w:pPr>
      <w:r>
        <w:rPr>
          <w:rFonts w:hint="eastAsia" w:ascii="宋体" w:hAnsi="宋体"/>
          <w:sz w:val="24"/>
          <w:szCs w:val="24"/>
        </w:rPr>
        <w:t xml:space="preserve">  投标单位全称：</w:t>
      </w:r>
    </w:p>
    <w:p>
      <w:pPr>
        <w:spacing w:line="360" w:lineRule="auto"/>
        <w:ind w:firstLine="4920" w:firstLineChars="2050"/>
        <w:rPr>
          <w:rFonts w:ascii="宋体" w:hAnsi="宋体"/>
          <w:sz w:val="24"/>
          <w:szCs w:val="24"/>
        </w:rPr>
      </w:pPr>
      <w:r>
        <w:rPr>
          <w:rFonts w:hint="eastAsia" w:ascii="宋体" w:hAnsi="宋体"/>
          <w:sz w:val="24"/>
          <w:szCs w:val="24"/>
        </w:rPr>
        <w:t>（加盖单位公章）</w:t>
      </w:r>
    </w:p>
    <w:p>
      <w:pPr>
        <w:spacing w:line="360" w:lineRule="auto"/>
        <w:ind w:firstLine="3240" w:firstLineChars="1350"/>
        <w:rPr>
          <w:rFonts w:ascii="宋体" w:hAnsi="宋体"/>
          <w:sz w:val="24"/>
          <w:szCs w:val="24"/>
        </w:rPr>
      </w:pPr>
      <w:r>
        <w:rPr>
          <w:rFonts w:hint="eastAsia" w:ascii="宋体" w:hAnsi="宋体"/>
          <w:sz w:val="24"/>
          <w:szCs w:val="24"/>
        </w:rPr>
        <w:t>签署日期：      年     月     日</w:t>
      </w:r>
    </w:p>
    <w:p>
      <w:pPr>
        <w:pStyle w:val="2"/>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sz w:val="32"/>
          <w:szCs w:val="24"/>
          <w:lang w:val="en-US" w:eastAsia="zh-CN" w:bidi="ar-SA"/>
        </w:rPr>
        <w:t xml:space="preserve">    </w:t>
      </w: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供应商认为需要提供的其他文件</w:t>
      </w:r>
    </w:p>
    <w:p>
      <w:pPr>
        <w:bidi w:val="0"/>
        <w:rPr>
          <w:rFonts w:hint="eastAsia"/>
          <w:lang w:val="en-US" w:eastAsia="zh-CN"/>
        </w:rPr>
      </w:pPr>
    </w:p>
    <w:p>
      <w:pPr>
        <w:pStyle w:val="28"/>
        <w:numPr>
          <w:ilvl w:val="0"/>
          <w:numId w:val="0"/>
        </w:numPr>
        <w:snapToGrid w:val="0"/>
        <w:spacing w:before="0" w:after="0" w:line="500" w:lineRule="exact"/>
        <w:ind w:firstLine="1988" w:firstLineChars="900"/>
        <w:jc w:val="both"/>
        <w:rPr>
          <w:rFonts w:hint="eastAsia" w:ascii="仿宋" w:hAnsi="仿宋" w:eastAsia="仿宋" w:cs="仿宋"/>
          <w:sz w:val="22"/>
          <w:szCs w:val="22"/>
        </w:rPr>
      </w:pPr>
    </w:p>
    <w:bookmarkEnd w:id="78"/>
    <w:bookmarkEnd w:id="79"/>
    <w:p>
      <w:pPr>
        <w:spacing w:line="420" w:lineRule="exact"/>
        <w:rPr>
          <w:rStyle w:val="26"/>
          <w:color w:val="auto"/>
          <w:sz w:val="24"/>
          <w:szCs w:val="24"/>
        </w:rPr>
      </w:pPr>
      <w:r>
        <w:rPr>
          <w:rStyle w:val="26"/>
          <w:color w:val="auto"/>
          <w:sz w:val="24"/>
          <w:szCs w:val="24"/>
        </w:rPr>
        <w:t xml:space="preserve"> </w:t>
      </w:r>
    </w:p>
    <w:p>
      <w:pPr>
        <w:spacing w:line="360" w:lineRule="auto"/>
        <w:jc w:val="center"/>
        <w:rPr>
          <w:rFonts w:asciiTheme="minorEastAsia" w:hAnsiTheme="minorEastAsia" w:cstheme="minorEastAsia"/>
          <w:b/>
          <w:bCs/>
          <w:sz w:val="28"/>
          <w:szCs w:val="28"/>
        </w:rPr>
      </w:pPr>
    </w:p>
    <w:p>
      <w:pPr>
        <w:pStyle w:val="2"/>
        <w:rPr>
          <w:rFonts w:asciiTheme="minorEastAsia" w:hAnsiTheme="minorEastAsia" w:cstheme="minorEastAsia"/>
          <w:b/>
          <w:bCs/>
          <w:sz w:val="28"/>
          <w:szCs w:val="28"/>
        </w:rPr>
      </w:pPr>
    </w:p>
    <w:sectPr>
      <w:footerReference r:id="rId3" w:type="default"/>
      <w:pgSz w:w="11906" w:h="16838"/>
      <w:pgMar w:top="1440" w:right="1266" w:bottom="1440" w:left="14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3D84F"/>
    <w:multiLevelType w:val="singleLevel"/>
    <w:tmpl w:val="C223D84F"/>
    <w:lvl w:ilvl="0" w:tentative="0">
      <w:start w:val="5"/>
      <w:numFmt w:val="chineseCounting"/>
      <w:suff w:val="space"/>
      <w:lvlText w:val="第%1章"/>
      <w:lvlJc w:val="left"/>
      <w:rPr>
        <w:rFonts w:hint="eastAsia"/>
      </w:rPr>
    </w:lvl>
  </w:abstractNum>
  <w:abstractNum w:abstractNumId="1">
    <w:nsid w:val="369709A3"/>
    <w:multiLevelType w:val="multilevel"/>
    <w:tmpl w:val="369709A3"/>
    <w:lvl w:ilvl="0" w:tentative="0">
      <w:start w:val="1"/>
      <w:numFmt w:val="decimal"/>
      <w:pStyle w:val="3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56D6133"/>
    <w:multiLevelType w:val="multilevel"/>
    <w:tmpl w:val="656D6133"/>
    <w:lvl w:ilvl="0" w:tentative="0">
      <w:start w:val="1"/>
      <w:numFmt w:val="chineseCountingThousand"/>
      <w:pStyle w:val="5"/>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B5D"/>
    <w:rsid w:val="004B65C8"/>
    <w:rsid w:val="004D1139"/>
    <w:rsid w:val="00895944"/>
    <w:rsid w:val="00B07488"/>
    <w:rsid w:val="01152742"/>
    <w:rsid w:val="014C639E"/>
    <w:rsid w:val="014D6C96"/>
    <w:rsid w:val="02B4184C"/>
    <w:rsid w:val="02BE77FF"/>
    <w:rsid w:val="03B22215"/>
    <w:rsid w:val="03B32202"/>
    <w:rsid w:val="03B65F33"/>
    <w:rsid w:val="03F07D47"/>
    <w:rsid w:val="044475E9"/>
    <w:rsid w:val="04933CF6"/>
    <w:rsid w:val="04C77C94"/>
    <w:rsid w:val="04D90A25"/>
    <w:rsid w:val="05180C21"/>
    <w:rsid w:val="054E0F4E"/>
    <w:rsid w:val="06A017E7"/>
    <w:rsid w:val="081D4571"/>
    <w:rsid w:val="08356626"/>
    <w:rsid w:val="090066D8"/>
    <w:rsid w:val="09566BF5"/>
    <w:rsid w:val="0A191624"/>
    <w:rsid w:val="0A2B6EA4"/>
    <w:rsid w:val="0A36162E"/>
    <w:rsid w:val="0A534551"/>
    <w:rsid w:val="0A9B6B12"/>
    <w:rsid w:val="0B3F377D"/>
    <w:rsid w:val="0B7B345A"/>
    <w:rsid w:val="0CB24A12"/>
    <w:rsid w:val="0CC41F84"/>
    <w:rsid w:val="0D1B4ACA"/>
    <w:rsid w:val="0D5B3A6E"/>
    <w:rsid w:val="0D9343AA"/>
    <w:rsid w:val="0EFA7764"/>
    <w:rsid w:val="0F5E31F5"/>
    <w:rsid w:val="10794850"/>
    <w:rsid w:val="10925018"/>
    <w:rsid w:val="109E6306"/>
    <w:rsid w:val="10D80D31"/>
    <w:rsid w:val="10DB66AE"/>
    <w:rsid w:val="1139299D"/>
    <w:rsid w:val="113D6C10"/>
    <w:rsid w:val="114B4010"/>
    <w:rsid w:val="11705FD2"/>
    <w:rsid w:val="117C22C7"/>
    <w:rsid w:val="11CC5F25"/>
    <w:rsid w:val="11F34687"/>
    <w:rsid w:val="11FD14F4"/>
    <w:rsid w:val="12461AD2"/>
    <w:rsid w:val="12F047C3"/>
    <w:rsid w:val="135C591C"/>
    <w:rsid w:val="136E2585"/>
    <w:rsid w:val="146514AE"/>
    <w:rsid w:val="14696FB4"/>
    <w:rsid w:val="14751AF8"/>
    <w:rsid w:val="155D507F"/>
    <w:rsid w:val="169B4FBD"/>
    <w:rsid w:val="16A71EDA"/>
    <w:rsid w:val="16D11D10"/>
    <w:rsid w:val="170D1296"/>
    <w:rsid w:val="177B2CFE"/>
    <w:rsid w:val="178B2C4A"/>
    <w:rsid w:val="181C4145"/>
    <w:rsid w:val="19456042"/>
    <w:rsid w:val="195012C3"/>
    <w:rsid w:val="195B1D17"/>
    <w:rsid w:val="19617803"/>
    <w:rsid w:val="197B6937"/>
    <w:rsid w:val="1A000911"/>
    <w:rsid w:val="1A676048"/>
    <w:rsid w:val="1C526787"/>
    <w:rsid w:val="1C9A5769"/>
    <w:rsid w:val="1CD27213"/>
    <w:rsid w:val="1E3412DC"/>
    <w:rsid w:val="1E6B6F4F"/>
    <w:rsid w:val="1E9E0319"/>
    <w:rsid w:val="1EE1548C"/>
    <w:rsid w:val="1F5A0DDA"/>
    <w:rsid w:val="1F6163AF"/>
    <w:rsid w:val="1F82141A"/>
    <w:rsid w:val="1F8B2BC5"/>
    <w:rsid w:val="20167895"/>
    <w:rsid w:val="201D349E"/>
    <w:rsid w:val="20803793"/>
    <w:rsid w:val="21193D80"/>
    <w:rsid w:val="218B3461"/>
    <w:rsid w:val="22BB2A1B"/>
    <w:rsid w:val="23CD221B"/>
    <w:rsid w:val="24A909EC"/>
    <w:rsid w:val="251D0654"/>
    <w:rsid w:val="257102F6"/>
    <w:rsid w:val="25A334FD"/>
    <w:rsid w:val="260F43FD"/>
    <w:rsid w:val="267208C0"/>
    <w:rsid w:val="2694788A"/>
    <w:rsid w:val="26FD4C9B"/>
    <w:rsid w:val="271700CD"/>
    <w:rsid w:val="27A91DA2"/>
    <w:rsid w:val="27C363AC"/>
    <w:rsid w:val="27CC08B2"/>
    <w:rsid w:val="27EF427B"/>
    <w:rsid w:val="28031310"/>
    <w:rsid w:val="2847589B"/>
    <w:rsid w:val="284D2978"/>
    <w:rsid w:val="28754007"/>
    <w:rsid w:val="28BD2045"/>
    <w:rsid w:val="2956300A"/>
    <w:rsid w:val="29CB39D2"/>
    <w:rsid w:val="29DA7E81"/>
    <w:rsid w:val="2BE72A24"/>
    <w:rsid w:val="2C194E3B"/>
    <w:rsid w:val="2C2C71D1"/>
    <w:rsid w:val="2C46445B"/>
    <w:rsid w:val="2C876F18"/>
    <w:rsid w:val="2D497B22"/>
    <w:rsid w:val="2DAB08CB"/>
    <w:rsid w:val="2E272C66"/>
    <w:rsid w:val="2E2C174C"/>
    <w:rsid w:val="2E3C2A38"/>
    <w:rsid w:val="2E694030"/>
    <w:rsid w:val="2EF400ED"/>
    <w:rsid w:val="2F9107C1"/>
    <w:rsid w:val="2FC75808"/>
    <w:rsid w:val="30545B26"/>
    <w:rsid w:val="309D5B74"/>
    <w:rsid w:val="30B00F59"/>
    <w:rsid w:val="313A47AE"/>
    <w:rsid w:val="319F0F93"/>
    <w:rsid w:val="31AC2F48"/>
    <w:rsid w:val="31C86C94"/>
    <w:rsid w:val="33673A68"/>
    <w:rsid w:val="342C09D4"/>
    <w:rsid w:val="344E6D83"/>
    <w:rsid w:val="34543309"/>
    <w:rsid w:val="36CC4ED1"/>
    <w:rsid w:val="376443E6"/>
    <w:rsid w:val="383D1EC6"/>
    <w:rsid w:val="38692F00"/>
    <w:rsid w:val="387A0371"/>
    <w:rsid w:val="38A719B1"/>
    <w:rsid w:val="38E121C4"/>
    <w:rsid w:val="39720700"/>
    <w:rsid w:val="39B100B2"/>
    <w:rsid w:val="39C475CE"/>
    <w:rsid w:val="39E75FCA"/>
    <w:rsid w:val="39FD325A"/>
    <w:rsid w:val="3A7931FC"/>
    <w:rsid w:val="3ADE6088"/>
    <w:rsid w:val="3B4F2E11"/>
    <w:rsid w:val="3BB01560"/>
    <w:rsid w:val="3C492980"/>
    <w:rsid w:val="3CCF37D9"/>
    <w:rsid w:val="3CF742BB"/>
    <w:rsid w:val="3D404A6E"/>
    <w:rsid w:val="3DD256DE"/>
    <w:rsid w:val="3E191B2C"/>
    <w:rsid w:val="3E294A1A"/>
    <w:rsid w:val="3E337836"/>
    <w:rsid w:val="3E7A0638"/>
    <w:rsid w:val="3EF3072A"/>
    <w:rsid w:val="3F052DA4"/>
    <w:rsid w:val="3F580FFA"/>
    <w:rsid w:val="3F9345FF"/>
    <w:rsid w:val="409F117E"/>
    <w:rsid w:val="40BB3C40"/>
    <w:rsid w:val="40C40FA0"/>
    <w:rsid w:val="41C81259"/>
    <w:rsid w:val="423471D6"/>
    <w:rsid w:val="42400648"/>
    <w:rsid w:val="4258722D"/>
    <w:rsid w:val="42E40748"/>
    <w:rsid w:val="43205ACD"/>
    <w:rsid w:val="43352C7F"/>
    <w:rsid w:val="43353D13"/>
    <w:rsid w:val="43C72B1B"/>
    <w:rsid w:val="43FE5475"/>
    <w:rsid w:val="441848D7"/>
    <w:rsid w:val="44585E32"/>
    <w:rsid w:val="44B17E05"/>
    <w:rsid w:val="46A748F7"/>
    <w:rsid w:val="476B698A"/>
    <w:rsid w:val="4779062A"/>
    <w:rsid w:val="478F0DA2"/>
    <w:rsid w:val="47AF06D2"/>
    <w:rsid w:val="47B271CF"/>
    <w:rsid w:val="47CB41FA"/>
    <w:rsid w:val="47CF0C20"/>
    <w:rsid w:val="47D64F47"/>
    <w:rsid w:val="48996F97"/>
    <w:rsid w:val="48B72537"/>
    <w:rsid w:val="48D87259"/>
    <w:rsid w:val="48E67502"/>
    <w:rsid w:val="49432778"/>
    <w:rsid w:val="4945458A"/>
    <w:rsid w:val="49963AA0"/>
    <w:rsid w:val="49A37C8A"/>
    <w:rsid w:val="49FF2B0C"/>
    <w:rsid w:val="4AFF01D6"/>
    <w:rsid w:val="4B023D76"/>
    <w:rsid w:val="4B9D1B13"/>
    <w:rsid w:val="4BC442D5"/>
    <w:rsid w:val="4C3428A9"/>
    <w:rsid w:val="4C5B66FC"/>
    <w:rsid w:val="4CBF7BD1"/>
    <w:rsid w:val="4CCF11F9"/>
    <w:rsid w:val="4D4C64EE"/>
    <w:rsid w:val="4DD15F23"/>
    <w:rsid w:val="4DD947BF"/>
    <w:rsid w:val="4F017455"/>
    <w:rsid w:val="4FC63E3A"/>
    <w:rsid w:val="4FC670F5"/>
    <w:rsid w:val="4FF17976"/>
    <w:rsid w:val="500C795C"/>
    <w:rsid w:val="50C46E53"/>
    <w:rsid w:val="50F80A99"/>
    <w:rsid w:val="511001C2"/>
    <w:rsid w:val="512F6BDF"/>
    <w:rsid w:val="513C3A82"/>
    <w:rsid w:val="5189734D"/>
    <w:rsid w:val="519A0177"/>
    <w:rsid w:val="51C16EB3"/>
    <w:rsid w:val="51D44151"/>
    <w:rsid w:val="521B2CF4"/>
    <w:rsid w:val="52420558"/>
    <w:rsid w:val="52DF63AB"/>
    <w:rsid w:val="533B0D68"/>
    <w:rsid w:val="53835A80"/>
    <w:rsid w:val="54981B49"/>
    <w:rsid w:val="551F7191"/>
    <w:rsid w:val="55801C3C"/>
    <w:rsid w:val="563E1624"/>
    <w:rsid w:val="563F1005"/>
    <w:rsid w:val="56552B42"/>
    <w:rsid w:val="56D07854"/>
    <w:rsid w:val="56F92690"/>
    <w:rsid w:val="57045464"/>
    <w:rsid w:val="575040BD"/>
    <w:rsid w:val="588B4881"/>
    <w:rsid w:val="58BA6DFA"/>
    <w:rsid w:val="58DE0ADA"/>
    <w:rsid w:val="5911739D"/>
    <w:rsid w:val="596A1F1D"/>
    <w:rsid w:val="59AE1F0A"/>
    <w:rsid w:val="59C84763"/>
    <w:rsid w:val="59CB305B"/>
    <w:rsid w:val="5A021188"/>
    <w:rsid w:val="5A8E5A94"/>
    <w:rsid w:val="5AA130DC"/>
    <w:rsid w:val="5B41492A"/>
    <w:rsid w:val="5D0D59A0"/>
    <w:rsid w:val="5D344916"/>
    <w:rsid w:val="5EAC4157"/>
    <w:rsid w:val="5EAD44B6"/>
    <w:rsid w:val="5ED60AAA"/>
    <w:rsid w:val="5FD44CD5"/>
    <w:rsid w:val="60096D90"/>
    <w:rsid w:val="60C13351"/>
    <w:rsid w:val="613A59F4"/>
    <w:rsid w:val="615570F6"/>
    <w:rsid w:val="62152BDC"/>
    <w:rsid w:val="62355447"/>
    <w:rsid w:val="623E290A"/>
    <w:rsid w:val="62B5001B"/>
    <w:rsid w:val="63130A5D"/>
    <w:rsid w:val="634963FC"/>
    <w:rsid w:val="635579D0"/>
    <w:rsid w:val="635C541D"/>
    <w:rsid w:val="63821CCB"/>
    <w:rsid w:val="641F3858"/>
    <w:rsid w:val="64DE6CE6"/>
    <w:rsid w:val="651E160A"/>
    <w:rsid w:val="656C272F"/>
    <w:rsid w:val="6570114F"/>
    <w:rsid w:val="6589632B"/>
    <w:rsid w:val="659805F3"/>
    <w:rsid w:val="65F550A9"/>
    <w:rsid w:val="66D103F5"/>
    <w:rsid w:val="66E4370C"/>
    <w:rsid w:val="67021862"/>
    <w:rsid w:val="673B62F6"/>
    <w:rsid w:val="67942A68"/>
    <w:rsid w:val="684103CB"/>
    <w:rsid w:val="68495A85"/>
    <w:rsid w:val="685E57EF"/>
    <w:rsid w:val="687F2043"/>
    <w:rsid w:val="68AB3F3A"/>
    <w:rsid w:val="68FC1CCA"/>
    <w:rsid w:val="693B14EC"/>
    <w:rsid w:val="6942270A"/>
    <w:rsid w:val="69454BC5"/>
    <w:rsid w:val="69813DBC"/>
    <w:rsid w:val="698E373D"/>
    <w:rsid w:val="6994576A"/>
    <w:rsid w:val="6A211B82"/>
    <w:rsid w:val="6A5538B4"/>
    <w:rsid w:val="6AD84F50"/>
    <w:rsid w:val="6B1A35C7"/>
    <w:rsid w:val="6B7C55CD"/>
    <w:rsid w:val="6BA470F5"/>
    <w:rsid w:val="6BD82176"/>
    <w:rsid w:val="6C0B2895"/>
    <w:rsid w:val="6CA3553A"/>
    <w:rsid w:val="6D366BFE"/>
    <w:rsid w:val="6E29712D"/>
    <w:rsid w:val="6E515F2E"/>
    <w:rsid w:val="6EA93E5C"/>
    <w:rsid w:val="6F7E337B"/>
    <w:rsid w:val="6F98559B"/>
    <w:rsid w:val="6FB71463"/>
    <w:rsid w:val="703619C6"/>
    <w:rsid w:val="707F7611"/>
    <w:rsid w:val="70B723C7"/>
    <w:rsid w:val="70BD0494"/>
    <w:rsid w:val="715169B7"/>
    <w:rsid w:val="71DF764D"/>
    <w:rsid w:val="71F03DAA"/>
    <w:rsid w:val="72580259"/>
    <w:rsid w:val="725B571A"/>
    <w:rsid w:val="72986BE0"/>
    <w:rsid w:val="72A43855"/>
    <w:rsid w:val="730637C9"/>
    <w:rsid w:val="734B7EDA"/>
    <w:rsid w:val="74021F36"/>
    <w:rsid w:val="7438343A"/>
    <w:rsid w:val="749E1287"/>
    <w:rsid w:val="74DB7215"/>
    <w:rsid w:val="751768A0"/>
    <w:rsid w:val="753F2360"/>
    <w:rsid w:val="755D6A2D"/>
    <w:rsid w:val="75DC3766"/>
    <w:rsid w:val="75EE1DFC"/>
    <w:rsid w:val="76477252"/>
    <w:rsid w:val="76997FFC"/>
    <w:rsid w:val="77103129"/>
    <w:rsid w:val="772D10B7"/>
    <w:rsid w:val="77B2446E"/>
    <w:rsid w:val="78A13A6D"/>
    <w:rsid w:val="78B04D1E"/>
    <w:rsid w:val="78F954E0"/>
    <w:rsid w:val="79664F9A"/>
    <w:rsid w:val="79E411AB"/>
    <w:rsid w:val="7B1C18ED"/>
    <w:rsid w:val="7C1F2C58"/>
    <w:rsid w:val="7C501688"/>
    <w:rsid w:val="7CC26420"/>
    <w:rsid w:val="7D360E32"/>
    <w:rsid w:val="7D64607D"/>
    <w:rsid w:val="7DD72E0B"/>
    <w:rsid w:val="7F0B763B"/>
    <w:rsid w:val="7F452F96"/>
    <w:rsid w:val="7F9D119E"/>
    <w:rsid w:val="7FB36A37"/>
    <w:rsid w:val="7FC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6">
    <w:name w:val="heading 2"/>
    <w:basedOn w:val="7"/>
    <w:next w:val="1"/>
    <w:qFormat/>
    <w:uiPriority w:val="9"/>
    <w:pPr>
      <w:keepNext/>
      <w:keepLines/>
      <w:spacing w:before="60" w:after="60" w:line="500" w:lineRule="exact"/>
      <w:outlineLvl w:val="1"/>
    </w:pPr>
    <w:rPr>
      <w:rFonts w:ascii="Cambria" w:hAnsi="Cambria" w:eastAsia="宋体" w:cs="Times New Roman"/>
      <w:sz w:val="30"/>
      <w:szCs w:val="32"/>
    </w:rPr>
  </w:style>
  <w:style w:type="paragraph" w:styleId="7">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8">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Cs w:val="20"/>
    </w:r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0"/>
    <w:pPr>
      <w:spacing w:beforeAutospacing="1" w:afterAutospacing="1"/>
      <w:jc w:val="left"/>
    </w:pPr>
    <w:rPr>
      <w:rFonts w:cs="Times New Roman"/>
      <w:kern w:val="0"/>
      <w:sz w:val="24"/>
    </w:rPr>
  </w:style>
  <w:style w:type="paragraph" w:styleId="9">
    <w:name w:val="Normal Indent"/>
    <w:basedOn w:val="1"/>
    <w:unhideWhenUsed/>
    <w:qFormat/>
    <w:uiPriority w:val="0"/>
    <w:pPr>
      <w:ind w:firstLine="420" w:firstLineChars="200"/>
    </w:pPr>
    <w:rPr>
      <w:rFonts w:ascii="Calibri" w:hAnsi="Calibri"/>
    </w:rPr>
  </w:style>
  <w:style w:type="paragraph" w:styleId="10">
    <w:name w:val="toa heading"/>
    <w:basedOn w:val="1"/>
    <w:next w:val="1"/>
    <w:semiHidden/>
    <w:unhideWhenUsed/>
    <w:qFormat/>
    <w:uiPriority w:val="99"/>
    <w:pPr>
      <w:spacing w:before="120"/>
    </w:pPr>
    <w:rPr>
      <w:rFonts w:asciiTheme="majorHAnsi" w:hAnsiTheme="majorHAnsi" w:cstheme="majorBidi"/>
      <w:sz w:val="24"/>
      <w:szCs w:val="24"/>
    </w:rPr>
  </w:style>
  <w:style w:type="paragraph" w:styleId="11">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qFormat/>
    <w:uiPriority w:val="0"/>
    <w:pPr>
      <w:spacing w:line="382" w:lineRule="exact"/>
      <w:ind w:firstLine="200" w:firstLineChars="200"/>
    </w:pPr>
    <w:rPr>
      <w:rFonts w:ascii="宋体" w:hAnsi="Courier New" w:cs="Courier New"/>
      <w:sz w:val="24"/>
      <w:szCs w:val="21"/>
    </w:rPr>
  </w:style>
  <w:style w:type="paragraph" w:styleId="14">
    <w:name w:val="Balloon Text"/>
    <w:basedOn w:val="1"/>
    <w:link w:val="2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First Indent"/>
    <w:basedOn w:val="11"/>
    <w:unhideWhenUsed/>
    <w:qFormat/>
    <w:uiPriority w:val="0"/>
    <w:pPr>
      <w:spacing w:before="0" w:after="120" w:line="312" w:lineRule="atLeast"/>
      <w:ind w:firstLine="420" w:firstLineChars="1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333333"/>
      <w:u w:val="none"/>
    </w:rPr>
  </w:style>
  <w:style w:type="character" w:styleId="24">
    <w:name w:val="Hyperlink"/>
    <w:basedOn w:val="21"/>
    <w:unhideWhenUsed/>
    <w:qFormat/>
    <w:uiPriority w:val="99"/>
    <w:rPr>
      <w:color w:val="0000FF"/>
      <w:u w:val="single"/>
    </w:rPr>
  </w:style>
  <w:style w:type="character" w:styleId="25">
    <w:name w:val="HTML Sample"/>
    <w:basedOn w:val="21"/>
    <w:qFormat/>
    <w:uiPriority w:val="0"/>
    <w:rPr>
      <w:rFonts w:ascii="Courier New" w:hAnsi="Courier New"/>
    </w:rPr>
  </w:style>
  <w:style w:type="character" w:customStyle="1" w:styleId="26">
    <w:name w:val="样式 仿宋"/>
    <w:qFormat/>
    <w:uiPriority w:val="0"/>
    <w:rPr>
      <w:rFonts w:ascii="仿宋" w:hAnsi="仿宋" w:eastAsia="仿宋"/>
      <w:kern w:val="1"/>
    </w:rPr>
  </w:style>
  <w:style w:type="paragraph" w:customStyle="1" w:styleId="27">
    <w:name w:val="样式1"/>
    <w:basedOn w:val="1"/>
    <w:qFormat/>
    <w:uiPriority w:val="0"/>
    <w:rPr>
      <w:rFonts w:ascii="宋体" w:hAnsi="宋体"/>
      <w:szCs w:val="21"/>
    </w:rPr>
  </w:style>
  <w:style w:type="paragraph" w:customStyle="1" w:styleId="28">
    <w:name w:val="样式 标题 1 + 四号 居中 段前: 12 磅 段后: 12 磅 行距: 单倍行距"/>
    <w:basedOn w:val="5"/>
    <w:qFormat/>
    <w:uiPriority w:val="0"/>
    <w:pPr>
      <w:spacing w:before="240" w:after="240" w:line="240" w:lineRule="auto"/>
      <w:jc w:val="center"/>
    </w:pPr>
    <w:rPr>
      <w:rFonts w:cs="宋体"/>
      <w:sz w:val="28"/>
      <w:szCs w:val="20"/>
    </w:rPr>
  </w:style>
  <w:style w:type="character" w:customStyle="1" w:styleId="29">
    <w:name w:val="批注框文本 Char"/>
    <w:basedOn w:val="21"/>
    <w:link w:val="14"/>
    <w:qFormat/>
    <w:uiPriority w:val="0"/>
    <w:rPr>
      <w:kern w:val="2"/>
      <w:sz w:val="18"/>
      <w:szCs w:val="18"/>
    </w:rPr>
  </w:style>
  <w:style w:type="paragraph" w:customStyle="1" w:styleId="30">
    <w:name w:val="样式 仿宋 行距: 1.5 倍行距"/>
    <w:basedOn w:val="1"/>
    <w:qFormat/>
    <w:uiPriority w:val="0"/>
    <w:pPr>
      <w:spacing w:line="360" w:lineRule="auto"/>
    </w:pPr>
    <w:rPr>
      <w:rFonts w:ascii="仿宋" w:hAnsi="仿宋" w:eastAsia="仿宋" w:cs="宋体"/>
      <w:sz w:val="24"/>
      <w:szCs w:val="20"/>
    </w:rPr>
  </w:style>
  <w:style w:type="paragraph" w:customStyle="1" w:styleId="31">
    <w:name w:val="样式 宋体 四号 居中 行距: 1.5 倍行距"/>
    <w:basedOn w:val="1"/>
    <w:qFormat/>
    <w:uiPriority w:val="0"/>
    <w:pPr>
      <w:spacing w:line="360" w:lineRule="auto"/>
      <w:jc w:val="center"/>
    </w:pPr>
    <w:rPr>
      <w:rFonts w:ascii="宋体" w:hAnsi="Cambria" w:cs="宋体"/>
      <w:sz w:val="28"/>
      <w:szCs w:val="20"/>
    </w:rPr>
  </w:style>
  <w:style w:type="paragraph" w:styleId="32">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3">
    <w:name w:val="正文缩进_0"/>
    <w:basedOn w:val="34"/>
    <w:unhideWhenUsed/>
    <w:qFormat/>
    <w:uiPriority w:val="0"/>
    <w:pPr>
      <w:ind w:firstLine="420" w:firstLineChars="200"/>
    </w:pPr>
    <w:rPr>
      <w:rFonts w:ascii="Calibri" w:hAnsi="Calibri"/>
      <w:szCs w:val="22"/>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character" w:customStyle="1" w:styleId="36">
    <w:name w:val="font11"/>
    <w:basedOn w:val="21"/>
    <w:qFormat/>
    <w:uiPriority w:val="0"/>
    <w:rPr>
      <w:rFonts w:hint="eastAsia" w:ascii="宋体" w:hAnsi="宋体" w:eastAsia="宋体" w:cs="宋体"/>
      <w:color w:val="000000"/>
      <w:sz w:val="24"/>
      <w:szCs w:val="24"/>
      <w:u w:val="none"/>
    </w:rPr>
  </w:style>
  <w:style w:type="character" w:customStyle="1" w:styleId="37">
    <w:name w:val="font51"/>
    <w:basedOn w:val="21"/>
    <w:qFormat/>
    <w:uiPriority w:val="0"/>
    <w:rPr>
      <w:rFonts w:hint="default" w:ascii="仿宋_GB2312" w:eastAsia="仿宋_GB2312" w:cs="仿宋_GB2312"/>
      <w:color w:val="000000"/>
      <w:sz w:val="24"/>
      <w:szCs w:val="24"/>
      <w:u w:val="none"/>
    </w:rPr>
  </w:style>
  <w:style w:type="character" w:customStyle="1" w:styleId="38">
    <w:name w:val="NormalCharacter"/>
    <w:qFormat/>
    <w:uiPriority w:val="0"/>
    <w:rPr>
      <w:kern w:val="2"/>
      <w:sz w:val="21"/>
      <w:szCs w:val="24"/>
      <w:lang w:val="en-US" w:eastAsia="zh-CN" w:bidi="ar-SA"/>
    </w:rPr>
  </w:style>
  <w:style w:type="paragraph" w:customStyle="1" w:styleId="39">
    <w:name w:val="正文首行缩进 21"/>
    <w:qFormat/>
    <w:uiPriority w:val="2457"/>
    <w:pPr>
      <w:ind w:left="0" w:right="0" w:firstLine="210"/>
    </w:pPr>
    <w:rPr>
      <w:rFonts w:ascii="Times New Roman" w:hAnsi="Times New Roman" w:eastAsia="Times New Roman" w:cs="Times New Roman"/>
      <w:szCs w:val="20"/>
    </w:rPr>
  </w:style>
  <w:style w:type="paragraph" w:customStyle="1" w:styleId="4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4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2">
    <w:name w:val="标题 3_0_0"/>
    <w:basedOn w:val="43"/>
    <w:next w:val="4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44">
    <w:name w:val="正文文本缩进_1"/>
    <w:basedOn w:val="45"/>
    <w:qFormat/>
    <w:uiPriority w:val="0"/>
    <w:pPr>
      <w:spacing w:line="500" w:lineRule="exact"/>
      <w:ind w:left="1588" w:leftChars="832" w:firstLine="433" w:firstLineChars="196"/>
    </w:pPr>
    <w:rPr>
      <w:kern w:val="0"/>
      <w:sz w:val="24"/>
    </w:rPr>
  </w:style>
  <w:style w:type="paragraph" w:customStyle="1" w:styleId="4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文本缩进_2"/>
    <w:basedOn w:val="47"/>
    <w:qFormat/>
    <w:uiPriority w:val="0"/>
    <w:pPr>
      <w:spacing w:line="500" w:lineRule="exact"/>
      <w:ind w:left="1588" w:leftChars="832" w:firstLine="433" w:firstLineChars="196"/>
    </w:pPr>
    <w:rPr>
      <w:kern w:val="0"/>
      <w:sz w:val="24"/>
    </w:rPr>
  </w:style>
  <w:style w:type="paragraph" w:customStyle="1" w:styleId="4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Normal_11"/>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6</TotalTime>
  <ScaleCrop>false</ScaleCrop>
  <LinksUpToDate>false</LinksUpToDate>
  <CharactersWithSpaces>11690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姐的温柔.决不喂狗</cp:lastModifiedBy>
  <cp:lastPrinted>2020-05-11T04:28:00Z</cp:lastPrinted>
  <dcterms:modified xsi:type="dcterms:W3CDTF">2021-12-20T02:36:01Z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8FE5D17DC1A945DE917A79ADE543ABC3</vt:lpwstr>
  </property>
</Properties>
</file>