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60"/>
          <w:tab w:val="left" w:pos="3480"/>
          <w:tab w:val="left" w:pos="4980"/>
        </w:tabs>
        <w:spacing w:line="0" w:lineRule="atLeast"/>
        <w:jc w:val="center"/>
        <w:rPr>
          <w:rFonts w:hint="eastAsia" w:ascii="宋体" w:hAnsi="宋体"/>
          <w:b/>
          <w:color w:val="auto"/>
          <w:sz w:val="72"/>
          <w:szCs w:val="18"/>
        </w:rPr>
      </w:pPr>
      <w:r>
        <w:rPr>
          <w:rFonts w:hint="eastAsia" w:ascii="宋体" w:hAnsi="宋体"/>
          <w:b/>
          <w:color w:val="auto"/>
          <w:sz w:val="52"/>
          <w:szCs w:val="22"/>
          <w:lang w:eastAsia="zh-CN"/>
        </w:rPr>
        <w:t>霍城县妇幼保健院建设核酸检测(PCR）实验室采购项目</w:t>
      </w:r>
    </w:p>
    <w:p>
      <w:pPr>
        <w:tabs>
          <w:tab w:val="left" w:pos="1960"/>
          <w:tab w:val="left" w:pos="3480"/>
          <w:tab w:val="left" w:pos="4980"/>
        </w:tabs>
        <w:spacing w:line="0" w:lineRule="atLeast"/>
        <w:jc w:val="center"/>
        <w:rPr>
          <w:rFonts w:hint="eastAsia" w:ascii="宋体" w:hAnsi="宋体"/>
          <w:b/>
          <w:color w:val="auto"/>
          <w:sz w:val="72"/>
          <w:szCs w:val="18"/>
        </w:rPr>
      </w:pPr>
    </w:p>
    <w:p>
      <w:pPr>
        <w:pStyle w:val="2"/>
        <w:jc w:val="center"/>
        <w:rPr>
          <w:rFonts w:hint="default" w:eastAsia="宋体"/>
          <w:lang w:val="en-US" w:eastAsia="zh-CN"/>
        </w:rPr>
      </w:pPr>
      <w:r>
        <w:rPr>
          <w:rFonts w:hint="eastAsia" w:ascii="宋体" w:hAnsi="宋体"/>
          <w:b/>
          <w:color w:val="auto"/>
          <w:sz w:val="72"/>
          <w:szCs w:val="18"/>
          <w:lang w:val="en-US" w:eastAsia="zh-CN"/>
        </w:rPr>
        <w:t>(标项一)</w:t>
      </w:r>
    </w:p>
    <w:p>
      <w:pPr>
        <w:tabs>
          <w:tab w:val="left" w:pos="1960"/>
          <w:tab w:val="left" w:pos="3480"/>
          <w:tab w:val="left" w:pos="4980"/>
        </w:tabs>
        <w:spacing w:line="0" w:lineRule="atLeast"/>
        <w:jc w:val="center"/>
        <w:rPr>
          <w:rFonts w:hint="eastAsia" w:ascii="宋体" w:hAnsi="宋体"/>
          <w:b/>
          <w:color w:val="auto"/>
          <w:sz w:val="72"/>
          <w:szCs w:val="18"/>
        </w:rPr>
      </w:pPr>
    </w:p>
    <w:p>
      <w:pPr>
        <w:tabs>
          <w:tab w:val="left" w:pos="1960"/>
          <w:tab w:val="left" w:pos="3480"/>
          <w:tab w:val="left" w:pos="4980"/>
        </w:tabs>
        <w:spacing w:line="0" w:lineRule="atLeast"/>
        <w:jc w:val="center"/>
        <w:rPr>
          <w:rFonts w:ascii="宋体" w:hAnsi="宋体"/>
          <w:b/>
          <w:color w:val="auto"/>
          <w:sz w:val="72"/>
          <w:szCs w:val="18"/>
        </w:rPr>
      </w:pPr>
      <w:r>
        <w:rPr>
          <w:rFonts w:hint="eastAsia" w:ascii="宋体" w:hAnsi="宋体"/>
          <w:b/>
          <w:color w:val="auto"/>
          <w:sz w:val="72"/>
          <w:szCs w:val="18"/>
        </w:rPr>
        <w:t>招标</w:t>
      </w:r>
      <w:r>
        <w:rPr>
          <w:rFonts w:ascii="宋体" w:hAnsi="宋体"/>
          <w:b/>
          <w:color w:val="auto"/>
          <w:sz w:val="72"/>
          <w:szCs w:val="18"/>
        </w:rPr>
        <w:t>文件</w:t>
      </w:r>
    </w:p>
    <w:p>
      <w:pPr>
        <w:spacing w:line="200" w:lineRule="exact"/>
        <w:rPr>
          <w:color w:val="auto"/>
          <w:sz w:val="24"/>
        </w:rPr>
      </w:pPr>
    </w:p>
    <w:p>
      <w:pPr>
        <w:spacing w:line="200" w:lineRule="exact"/>
        <w:rPr>
          <w:color w:val="auto"/>
          <w:sz w:val="24"/>
        </w:rPr>
      </w:pPr>
    </w:p>
    <w:p>
      <w:pPr>
        <w:spacing w:line="200" w:lineRule="exact"/>
        <w:rPr>
          <w:color w:val="auto"/>
          <w:sz w:val="24"/>
        </w:rPr>
      </w:pPr>
    </w:p>
    <w:p>
      <w:pPr>
        <w:spacing w:line="200" w:lineRule="exact"/>
        <w:rPr>
          <w:color w:val="auto"/>
          <w:sz w:val="24"/>
        </w:rPr>
      </w:pPr>
    </w:p>
    <w:p>
      <w:pPr>
        <w:spacing w:line="200" w:lineRule="exact"/>
        <w:rPr>
          <w:color w:val="auto"/>
          <w:sz w:val="24"/>
        </w:rPr>
      </w:pPr>
    </w:p>
    <w:p>
      <w:pPr>
        <w:spacing w:line="273" w:lineRule="exact"/>
        <w:rPr>
          <w:rFonts w:eastAsia="Times New Roman"/>
          <w:color w:val="auto"/>
          <w:sz w:val="24"/>
        </w:rPr>
      </w:pPr>
    </w:p>
    <w:p>
      <w:pPr>
        <w:spacing w:line="720" w:lineRule="exact"/>
        <w:ind w:firstLine="960" w:firstLineChars="300"/>
        <w:rPr>
          <w:rFonts w:ascii="宋体" w:hAnsi="宋体"/>
          <w:b/>
          <w:bCs/>
          <w:color w:val="auto"/>
          <w:sz w:val="32"/>
          <w:szCs w:val="32"/>
        </w:rPr>
      </w:pPr>
      <w:r>
        <w:rPr>
          <w:rFonts w:ascii="宋体" w:hAnsi="宋体"/>
          <w:b/>
          <w:bCs/>
          <w:color w:val="auto"/>
          <w:sz w:val="32"/>
          <w:szCs w:val="32"/>
        </w:rPr>
        <w:t>项目编号：</w:t>
      </w:r>
      <w:r>
        <w:rPr>
          <w:rFonts w:hint="eastAsia" w:ascii="宋体" w:hAnsi="宋体"/>
          <w:b/>
          <w:bCs/>
          <w:color w:val="auto"/>
          <w:sz w:val="32"/>
          <w:szCs w:val="32"/>
          <w:lang w:eastAsia="zh-CN"/>
        </w:rPr>
        <w:t>HYYL-2021-138</w:t>
      </w:r>
      <w:r>
        <w:rPr>
          <w:rFonts w:hint="eastAsia" w:ascii="宋体" w:hAnsi="宋体"/>
          <w:b/>
          <w:bCs/>
          <w:color w:val="auto"/>
          <w:sz w:val="32"/>
          <w:szCs w:val="32"/>
        </w:rPr>
        <w:br w:type="textWrapping"/>
      </w:r>
    </w:p>
    <w:p>
      <w:pPr>
        <w:spacing w:line="720" w:lineRule="exact"/>
        <w:rPr>
          <w:rFonts w:ascii="宋体" w:hAnsi="宋体"/>
          <w:color w:val="auto"/>
          <w:sz w:val="28"/>
          <w:szCs w:val="28"/>
        </w:rPr>
      </w:pPr>
    </w:p>
    <w:p>
      <w:pPr>
        <w:pStyle w:val="160"/>
        <w:keepNext w:val="0"/>
        <w:keepLines w:val="0"/>
        <w:pageBreakBefore w:val="0"/>
        <w:widowControl w:val="0"/>
        <w:kinsoku/>
        <w:wordWrap/>
        <w:overflowPunct/>
        <w:topLinePunct w:val="0"/>
        <w:bidi w:val="0"/>
        <w:snapToGrid/>
        <w:spacing w:line="600" w:lineRule="exact"/>
        <w:ind w:left="0" w:leftChars="0" w:firstLine="838" w:firstLineChars="262"/>
        <w:jc w:val="left"/>
        <w:textAlignment w:val="auto"/>
        <w:outlineLvl w:val="9"/>
        <w:rPr>
          <w:rFonts w:hint="eastAsia" w:ascii="宋体" w:hAnsi="宋体"/>
          <w:b/>
          <w:color w:val="auto"/>
          <w:kern w:val="2"/>
          <w:sz w:val="32"/>
          <w:szCs w:val="32"/>
          <w:highlight w:val="none"/>
          <w:lang w:eastAsia="zh-CN"/>
        </w:rPr>
      </w:pPr>
      <w:r>
        <w:rPr>
          <w:rFonts w:hint="eastAsia" w:ascii="宋体" w:hAnsi="宋体"/>
          <w:b/>
          <w:color w:val="auto"/>
          <w:kern w:val="2"/>
          <w:sz w:val="32"/>
          <w:szCs w:val="32"/>
          <w:highlight w:val="none"/>
        </w:rPr>
        <w:t>采</w:t>
      </w:r>
      <w:r>
        <w:rPr>
          <w:rFonts w:hint="eastAsia" w:ascii="宋体" w:hAnsi="宋体"/>
          <w:b/>
          <w:color w:val="auto"/>
          <w:kern w:val="2"/>
          <w:sz w:val="32"/>
          <w:szCs w:val="32"/>
          <w:highlight w:val="none"/>
          <w:lang w:val="en-US" w:eastAsia="zh-CN"/>
        </w:rPr>
        <w:t xml:space="preserve">   </w:t>
      </w:r>
      <w:r>
        <w:rPr>
          <w:rFonts w:hint="eastAsia" w:ascii="宋体" w:hAnsi="宋体"/>
          <w:b/>
          <w:color w:val="auto"/>
          <w:kern w:val="2"/>
          <w:sz w:val="32"/>
          <w:szCs w:val="32"/>
          <w:highlight w:val="none"/>
        </w:rPr>
        <w:t>购</w:t>
      </w:r>
      <w:r>
        <w:rPr>
          <w:rFonts w:hint="eastAsia" w:ascii="宋体" w:hAnsi="宋体"/>
          <w:b/>
          <w:color w:val="auto"/>
          <w:kern w:val="2"/>
          <w:sz w:val="32"/>
          <w:szCs w:val="32"/>
          <w:highlight w:val="none"/>
          <w:lang w:val="en-US" w:eastAsia="zh-CN"/>
        </w:rPr>
        <w:t xml:space="preserve">   </w:t>
      </w:r>
      <w:r>
        <w:rPr>
          <w:rFonts w:hint="eastAsia" w:ascii="宋体" w:hAnsi="宋体"/>
          <w:b/>
          <w:color w:val="auto"/>
          <w:kern w:val="2"/>
          <w:sz w:val="32"/>
          <w:szCs w:val="32"/>
          <w:highlight w:val="none"/>
        </w:rPr>
        <w:t>人：</w:t>
      </w:r>
      <w:r>
        <w:rPr>
          <w:rFonts w:hint="eastAsia" w:ascii="宋体" w:hAnsi="宋体"/>
          <w:b/>
          <w:color w:val="auto"/>
          <w:kern w:val="2"/>
          <w:sz w:val="32"/>
          <w:szCs w:val="32"/>
          <w:highlight w:val="none"/>
          <w:lang w:eastAsia="zh-CN"/>
        </w:rPr>
        <w:t>霍城县卫生健康委员会</w:t>
      </w:r>
    </w:p>
    <w:p>
      <w:pPr>
        <w:pStyle w:val="160"/>
        <w:keepNext w:val="0"/>
        <w:keepLines w:val="0"/>
        <w:pageBreakBefore w:val="0"/>
        <w:widowControl w:val="0"/>
        <w:kinsoku/>
        <w:wordWrap/>
        <w:overflowPunct/>
        <w:topLinePunct w:val="0"/>
        <w:bidi w:val="0"/>
        <w:snapToGrid/>
        <w:spacing w:line="600" w:lineRule="exact"/>
        <w:ind w:left="0" w:leftChars="0" w:firstLine="838" w:firstLineChars="262"/>
        <w:jc w:val="left"/>
        <w:textAlignment w:val="auto"/>
        <w:outlineLvl w:val="9"/>
        <w:rPr>
          <w:rFonts w:hint="eastAsia" w:ascii="宋体" w:hAnsi="宋体"/>
          <w:b/>
          <w:color w:val="auto"/>
          <w:kern w:val="2"/>
          <w:sz w:val="32"/>
          <w:szCs w:val="32"/>
          <w:highlight w:val="none"/>
          <w:lang w:eastAsia="zh-CN"/>
        </w:rPr>
      </w:pPr>
    </w:p>
    <w:p>
      <w:pPr>
        <w:pStyle w:val="160"/>
        <w:keepNext w:val="0"/>
        <w:keepLines w:val="0"/>
        <w:pageBreakBefore w:val="0"/>
        <w:widowControl w:val="0"/>
        <w:kinsoku/>
        <w:wordWrap/>
        <w:overflowPunct/>
        <w:topLinePunct w:val="0"/>
        <w:bidi w:val="0"/>
        <w:snapToGrid/>
        <w:spacing w:line="600" w:lineRule="exact"/>
        <w:ind w:left="0" w:leftChars="0" w:firstLine="838" w:firstLineChars="262"/>
        <w:jc w:val="left"/>
        <w:textAlignment w:val="auto"/>
        <w:outlineLvl w:val="9"/>
        <w:rPr>
          <w:rFonts w:hint="eastAsia" w:ascii="宋体" w:hAnsi="宋体"/>
          <w:b/>
          <w:color w:val="auto"/>
          <w:kern w:val="2"/>
          <w:sz w:val="32"/>
          <w:szCs w:val="32"/>
          <w:highlight w:val="none"/>
          <w:lang w:eastAsia="zh-CN"/>
        </w:rPr>
      </w:pPr>
    </w:p>
    <w:p>
      <w:pPr>
        <w:pStyle w:val="160"/>
        <w:keepNext w:val="0"/>
        <w:keepLines w:val="0"/>
        <w:pageBreakBefore w:val="0"/>
        <w:widowControl w:val="0"/>
        <w:kinsoku/>
        <w:wordWrap/>
        <w:overflowPunct/>
        <w:topLinePunct w:val="0"/>
        <w:bidi w:val="0"/>
        <w:snapToGrid/>
        <w:spacing w:line="600" w:lineRule="exact"/>
        <w:ind w:left="0" w:leftChars="0" w:firstLine="838" w:firstLineChars="262"/>
        <w:jc w:val="left"/>
        <w:textAlignment w:val="auto"/>
        <w:outlineLvl w:val="9"/>
        <w:rPr>
          <w:rFonts w:hint="eastAsia" w:ascii="宋体" w:hAnsi="宋体" w:eastAsia="宋体"/>
          <w:b/>
          <w:color w:val="auto"/>
          <w:kern w:val="2"/>
          <w:sz w:val="36"/>
          <w:szCs w:val="36"/>
          <w:highlight w:val="none"/>
          <w:lang w:eastAsia="zh-CN"/>
        </w:rPr>
      </w:pPr>
      <w:r>
        <w:rPr>
          <w:rFonts w:hint="eastAsia" w:ascii="宋体" w:hAnsi="宋体"/>
          <w:b/>
          <w:color w:val="auto"/>
          <w:kern w:val="2"/>
          <w:sz w:val="32"/>
          <w:szCs w:val="32"/>
          <w:highlight w:val="none"/>
        </w:rPr>
        <w:t>招标代理机构：</w:t>
      </w:r>
      <w:r>
        <w:rPr>
          <w:rFonts w:hint="eastAsia" w:ascii="宋体" w:hAnsi="宋体"/>
          <w:b/>
          <w:color w:val="auto"/>
          <w:kern w:val="2"/>
          <w:sz w:val="32"/>
          <w:szCs w:val="32"/>
          <w:highlight w:val="none"/>
          <w:lang w:eastAsia="zh-CN"/>
        </w:rPr>
        <w:t>新疆华域建设工程项目管理咨询有限公司</w:t>
      </w:r>
    </w:p>
    <w:p>
      <w:pPr>
        <w:spacing w:line="800" w:lineRule="exact"/>
        <w:jc w:val="center"/>
        <w:rPr>
          <w:rFonts w:ascii="宋体" w:hAnsi="宋体"/>
          <w:color w:val="auto"/>
          <w:sz w:val="27"/>
        </w:rPr>
      </w:pPr>
    </w:p>
    <w:p>
      <w:pPr>
        <w:spacing w:line="800" w:lineRule="exact"/>
        <w:jc w:val="center"/>
        <w:rPr>
          <w:rFonts w:ascii="宋体" w:hAnsi="宋体"/>
          <w:color w:val="auto"/>
          <w:sz w:val="32"/>
          <w:szCs w:val="32"/>
        </w:rPr>
      </w:pPr>
    </w:p>
    <w:p>
      <w:pPr>
        <w:spacing w:line="800" w:lineRule="exact"/>
        <w:jc w:val="center"/>
        <w:rPr>
          <w:rFonts w:ascii="宋体" w:hAnsi="宋体"/>
          <w:color w:val="auto"/>
          <w:sz w:val="32"/>
          <w:szCs w:val="32"/>
        </w:rPr>
      </w:pPr>
    </w:p>
    <w:p>
      <w:pPr>
        <w:spacing w:line="0" w:lineRule="atLeast"/>
        <w:jc w:val="center"/>
        <w:rPr>
          <w:rFonts w:ascii="宋体" w:hAnsi="宋体"/>
          <w:color w:val="auto"/>
          <w:sz w:val="32"/>
          <w:szCs w:val="32"/>
        </w:rPr>
      </w:pPr>
      <w:r>
        <w:rPr>
          <w:rFonts w:ascii="宋体" w:hAnsi="宋体"/>
          <w:color w:val="auto"/>
          <w:sz w:val="32"/>
          <w:szCs w:val="32"/>
        </w:rPr>
        <w:t>二〇</w:t>
      </w:r>
      <w:r>
        <w:rPr>
          <w:rFonts w:hint="eastAsia" w:ascii="宋体" w:hAnsi="宋体"/>
          <w:color w:val="auto"/>
          <w:sz w:val="32"/>
          <w:szCs w:val="32"/>
        </w:rPr>
        <w:t>二一</w:t>
      </w:r>
      <w:r>
        <w:rPr>
          <w:rFonts w:ascii="宋体" w:hAnsi="宋体"/>
          <w:color w:val="auto"/>
          <w:sz w:val="32"/>
          <w:szCs w:val="32"/>
        </w:rPr>
        <w:t>年</w:t>
      </w:r>
      <w:r>
        <w:rPr>
          <w:rFonts w:hint="eastAsia" w:ascii="宋体" w:hAnsi="宋体"/>
          <w:color w:val="auto"/>
          <w:sz w:val="32"/>
          <w:szCs w:val="32"/>
          <w:lang w:eastAsia="zh-CN"/>
        </w:rPr>
        <w:t>十二</w:t>
      </w:r>
      <w:r>
        <w:rPr>
          <w:rFonts w:ascii="宋体" w:hAnsi="宋体"/>
          <w:color w:val="auto"/>
          <w:sz w:val="32"/>
          <w:szCs w:val="32"/>
        </w:rPr>
        <w:t>月</w:t>
      </w:r>
    </w:p>
    <w:p>
      <w:pPr>
        <w:pStyle w:val="84"/>
        <w:spacing w:line="360" w:lineRule="auto"/>
        <w:jc w:val="center"/>
        <w:rPr>
          <w:rFonts w:ascii="宋体" w:hAnsi="宋体"/>
          <w:b/>
          <w:color w:val="auto"/>
          <w:sz w:val="36"/>
        </w:rPr>
        <w:sectPr>
          <w:footerReference r:id="rId3" w:type="first"/>
          <w:pgSz w:w="11906" w:h="16838"/>
          <w:pgMar w:top="1418" w:right="1134" w:bottom="1418" w:left="1418" w:header="851" w:footer="851" w:gutter="0"/>
          <w:pgNumType w:start="0"/>
          <w:cols w:space="720" w:num="1"/>
          <w:docGrid w:type="linesAndChars" w:linePitch="312" w:charSpace="0"/>
        </w:sectPr>
      </w:pPr>
    </w:p>
    <w:p>
      <w:pPr>
        <w:pStyle w:val="84"/>
        <w:spacing w:line="360" w:lineRule="auto"/>
        <w:jc w:val="center"/>
        <w:rPr>
          <w:rFonts w:ascii="宋体" w:hAnsi="宋体"/>
          <w:b/>
          <w:color w:val="auto"/>
          <w:sz w:val="36"/>
        </w:rPr>
      </w:pPr>
      <w:r>
        <w:rPr>
          <w:rFonts w:hint="eastAsia" w:ascii="宋体" w:hAnsi="宋体"/>
          <w:b/>
          <w:color w:val="auto"/>
          <w:sz w:val="36"/>
        </w:rPr>
        <w:t>目    录</w:t>
      </w:r>
    </w:p>
    <w:p>
      <w:pPr>
        <w:pStyle w:val="30"/>
        <w:tabs>
          <w:tab w:val="right" w:leader="dot" w:pos="9354"/>
        </w:tabs>
        <w:spacing w:line="500" w:lineRule="exact"/>
        <w:rPr>
          <w:rFonts w:asciiTheme="minorEastAsia" w:hAnsiTheme="minorEastAsia" w:eastAsiaTheme="minorEastAsia" w:cstheme="minorEastAsia"/>
          <w:color w:val="auto"/>
          <w:sz w:val="24"/>
          <w:szCs w:val="24"/>
        </w:rPr>
      </w:pPr>
      <w:r>
        <w:rPr>
          <w:rFonts w:ascii="宋体" w:hAnsi="宋体"/>
          <w:b w:val="0"/>
          <w:color w:val="auto"/>
          <w:sz w:val="28"/>
          <w:szCs w:val="28"/>
        </w:rPr>
        <w:fldChar w:fldCharType="begin"/>
      </w:r>
      <w:r>
        <w:rPr>
          <w:rFonts w:ascii="宋体" w:hAnsi="宋体"/>
          <w:b w:val="0"/>
          <w:color w:val="auto"/>
          <w:sz w:val="28"/>
          <w:szCs w:val="28"/>
        </w:rPr>
        <w:instrText xml:space="preserve"> </w:instrText>
      </w:r>
      <w:r>
        <w:rPr>
          <w:rFonts w:hint="eastAsia" w:ascii="宋体" w:hAnsi="宋体"/>
          <w:b w:val="0"/>
          <w:color w:val="auto"/>
          <w:sz w:val="28"/>
          <w:szCs w:val="28"/>
        </w:rPr>
        <w:instrText xml:space="preserve">TOC \o "1-3" \h \z \u</w:instrText>
      </w:r>
      <w:r>
        <w:rPr>
          <w:rFonts w:ascii="宋体" w:hAnsi="宋体"/>
          <w:b w:val="0"/>
          <w:color w:val="auto"/>
          <w:sz w:val="28"/>
          <w:szCs w:val="28"/>
        </w:rPr>
        <w:instrText xml:space="preserve"> </w:instrText>
      </w:r>
      <w:r>
        <w:rPr>
          <w:rFonts w:ascii="宋体" w:hAnsi="宋体"/>
          <w:b w:val="0"/>
          <w:color w:val="auto"/>
          <w:sz w:val="28"/>
          <w:szCs w:val="28"/>
        </w:rPr>
        <w:fldChar w:fldCharType="separate"/>
      </w:r>
      <w:r>
        <w:rPr>
          <w:color w:val="auto"/>
        </w:rPr>
        <w:fldChar w:fldCharType="begin"/>
      </w:r>
      <w:r>
        <w:rPr>
          <w:color w:val="auto"/>
        </w:rPr>
        <w:instrText xml:space="preserve"> HYPERLINK \l "_Toc28438" </w:instrText>
      </w:r>
      <w:r>
        <w:rPr>
          <w:color w:val="auto"/>
        </w:rPr>
        <w:fldChar w:fldCharType="separate"/>
      </w:r>
      <w:r>
        <w:rPr>
          <w:rFonts w:hint="eastAsia" w:asciiTheme="minorEastAsia" w:hAnsiTheme="minorEastAsia" w:eastAsiaTheme="minorEastAsia" w:cstheme="minorEastAsia"/>
          <w:color w:val="auto"/>
          <w:sz w:val="24"/>
          <w:szCs w:val="24"/>
        </w:rPr>
        <w:t>投标供应商须知前附表</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_Toc28438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0"/>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"_Toc2189" </w:instrText>
      </w:r>
      <w:r>
        <w:rPr>
          <w:color w:val="auto"/>
        </w:rPr>
        <w:fldChar w:fldCharType="separate"/>
      </w:r>
      <w:r>
        <w:rPr>
          <w:rFonts w:hint="eastAsia" w:asciiTheme="minorEastAsia" w:hAnsiTheme="minorEastAsia" w:eastAsiaTheme="minorEastAsia" w:cstheme="minorEastAsia"/>
          <w:color w:val="auto"/>
          <w:sz w:val="24"/>
          <w:szCs w:val="24"/>
        </w:rPr>
        <w:t>第一章 招标公告</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_Toc2189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0"/>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"_Toc6564" </w:instrText>
      </w:r>
      <w:r>
        <w:rPr>
          <w:color w:val="auto"/>
        </w:rPr>
        <w:fldChar w:fldCharType="separate"/>
      </w:r>
      <w:r>
        <w:rPr>
          <w:rFonts w:hint="eastAsia" w:asciiTheme="minorEastAsia" w:hAnsiTheme="minorEastAsia" w:eastAsiaTheme="minorEastAsia" w:cstheme="minorEastAsia"/>
          <w:color w:val="auto"/>
          <w:sz w:val="24"/>
          <w:szCs w:val="24"/>
        </w:rPr>
        <w:t>第二章 投标须知</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_Toc6564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4"/>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"_Toc8533" </w:instrText>
      </w:r>
      <w:r>
        <w:rPr>
          <w:color w:val="auto"/>
        </w:rPr>
        <w:fldChar w:fldCharType="separate"/>
      </w:r>
      <w:r>
        <w:rPr>
          <w:rFonts w:hint="eastAsia" w:asciiTheme="minorEastAsia" w:hAnsiTheme="minorEastAsia" w:eastAsiaTheme="minorEastAsia" w:cstheme="minorEastAsia"/>
          <w:color w:val="auto"/>
          <w:sz w:val="24"/>
          <w:szCs w:val="24"/>
        </w:rPr>
        <w:t>一、总则</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_Toc8533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7</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4"/>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"_Toc7954" </w:instrText>
      </w:r>
      <w:r>
        <w:rPr>
          <w:color w:val="auto"/>
        </w:rPr>
        <w:fldChar w:fldCharType="separate"/>
      </w:r>
      <w:r>
        <w:rPr>
          <w:rFonts w:hint="eastAsia" w:asciiTheme="minorEastAsia" w:hAnsiTheme="minorEastAsia" w:eastAsiaTheme="minorEastAsia" w:cstheme="minorEastAsia"/>
          <w:color w:val="auto"/>
          <w:sz w:val="24"/>
          <w:szCs w:val="24"/>
        </w:rPr>
        <w:t>二、招标文件</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_Toc7954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7</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4"/>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"_Toc22109" </w:instrText>
      </w:r>
      <w:r>
        <w:rPr>
          <w:color w:val="auto"/>
        </w:rPr>
        <w:fldChar w:fldCharType="separate"/>
      </w:r>
      <w:r>
        <w:rPr>
          <w:rFonts w:hint="eastAsia" w:asciiTheme="minorEastAsia" w:hAnsiTheme="minorEastAsia" w:eastAsiaTheme="minorEastAsia" w:cstheme="minorEastAsia"/>
          <w:color w:val="auto"/>
          <w:sz w:val="24"/>
          <w:szCs w:val="24"/>
        </w:rPr>
        <w:t>三、投标文件的编制</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_Toc22109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9</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4"/>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"_Toc4643" </w:instrText>
      </w:r>
      <w:r>
        <w:rPr>
          <w:color w:val="auto"/>
        </w:rPr>
        <w:fldChar w:fldCharType="separate"/>
      </w:r>
      <w:r>
        <w:rPr>
          <w:rFonts w:hint="eastAsia" w:asciiTheme="minorEastAsia" w:hAnsiTheme="minorEastAsia" w:eastAsiaTheme="minorEastAsia" w:cstheme="minorEastAsia"/>
          <w:color w:val="auto"/>
          <w:sz w:val="24"/>
          <w:szCs w:val="24"/>
        </w:rPr>
        <w:t>四、投标文件的递交</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_Toc4643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12</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4"/>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"_Toc8270" </w:instrText>
      </w:r>
      <w:r>
        <w:rPr>
          <w:color w:val="auto"/>
        </w:rPr>
        <w:fldChar w:fldCharType="separate"/>
      </w:r>
      <w:r>
        <w:rPr>
          <w:rFonts w:hint="eastAsia" w:asciiTheme="minorEastAsia" w:hAnsiTheme="minorEastAsia" w:eastAsiaTheme="minorEastAsia" w:cstheme="minorEastAsia"/>
          <w:color w:val="auto"/>
          <w:sz w:val="24"/>
          <w:szCs w:val="24"/>
        </w:rPr>
        <w:t>五、开标</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_Toc8270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13</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4"/>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"_Toc15882" </w:instrText>
      </w:r>
      <w:r>
        <w:rPr>
          <w:color w:val="auto"/>
        </w:rPr>
        <w:fldChar w:fldCharType="separate"/>
      </w:r>
      <w:r>
        <w:rPr>
          <w:rFonts w:hint="eastAsia" w:asciiTheme="minorEastAsia" w:hAnsiTheme="minorEastAsia" w:eastAsiaTheme="minorEastAsia" w:cstheme="minorEastAsia"/>
          <w:color w:val="auto"/>
          <w:sz w:val="24"/>
          <w:szCs w:val="24"/>
        </w:rPr>
        <w:t>六、评标、定标</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_Toc15882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14</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4"/>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"_Toc9740" </w:instrText>
      </w:r>
      <w:r>
        <w:rPr>
          <w:color w:val="auto"/>
        </w:rPr>
        <w:fldChar w:fldCharType="separate"/>
      </w:r>
      <w:r>
        <w:rPr>
          <w:rFonts w:hint="eastAsia" w:asciiTheme="minorEastAsia" w:hAnsiTheme="minorEastAsia" w:eastAsiaTheme="minorEastAsia" w:cstheme="minorEastAsia"/>
          <w:color w:val="auto"/>
          <w:sz w:val="24"/>
          <w:szCs w:val="24"/>
        </w:rPr>
        <w:t>七、授予合同</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_Toc9740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22</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4"/>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"_Toc7315" </w:instrText>
      </w:r>
      <w:r>
        <w:rPr>
          <w:color w:val="auto"/>
        </w:rPr>
        <w:fldChar w:fldCharType="separate"/>
      </w:r>
      <w:r>
        <w:rPr>
          <w:rFonts w:hint="eastAsia" w:asciiTheme="minorEastAsia" w:hAnsiTheme="minorEastAsia" w:eastAsiaTheme="minorEastAsia" w:cstheme="minorEastAsia"/>
          <w:color w:val="auto"/>
          <w:sz w:val="24"/>
          <w:szCs w:val="24"/>
        </w:rPr>
        <w:t>八、买方授标时更改采购货物数量的权利</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_Toc7315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22</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4"/>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"_Toc5835" </w:instrText>
      </w:r>
      <w:r>
        <w:rPr>
          <w:color w:val="auto"/>
        </w:rPr>
        <w:fldChar w:fldCharType="separate"/>
      </w:r>
      <w:r>
        <w:rPr>
          <w:rFonts w:hint="eastAsia" w:asciiTheme="minorEastAsia" w:hAnsiTheme="minorEastAsia" w:eastAsiaTheme="minorEastAsia" w:cstheme="minorEastAsia"/>
          <w:color w:val="auto"/>
          <w:sz w:val="24"/>
          <w:szCs w:val="24"/>
        </w:rPr>
        <w:t>九、其他事项</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_Toc5835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22</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0"/>
        <w:tabs>
          <w:tab w:val="right" w:leader="dot" w:pos="9354"/>
        </w:tabs>
        <w:spacing w:line="500" w:lineRule="exact"/>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\l "_Toc4714" </w:instrText>
      </w:r>
      <w:r>
        <w:rPr>
          <w:color w:val="auto"/>
        </w:rPr>
        <w:fldChar w:fldCharType="separate"/>
      </w:r>
      <w:r>
        <w:rPr>
          <w:rFonts w:hint="eastAsia" w:asciiTheme="minorEastAsia" w:hAnsiTheme="minorEastAsia" w:eastAsiaTheme="minorEastAsia" w:cstheme="minorEastAsia"/>
          <w:color w:val="auto"/>
          <w:sz w:val="24"/>
          <w:szCs w:val="24"/>
        </w:rPr>
        <w:t>第三章 货物需求一览表及技术规格要求</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_Toc4714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24</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30"/>
        <w:tabs>
          <w:tab w:val="right" w:leader="dot" w:pos="9354"/>
        </w:tabs>
        <w:spacing w:line="500" w:lineRule="exact"/>
        <w:rPr>
          <w:rFonts w:hint="eastAsia" w:asciiTheme="minorEastAsia" w:hAnsiTheme="minorEastAsia" w:eastAsiaTheme="minorEastAsia" w:cstheme="minorEastAsia"/>
          <w:color w:val="auto"/>
          <w:sz w:val="24"/>
          <w:szCs w:val="24"/>
          <w:lang w:val="en-US" w:eastAsia="zh-CN"/>
        </w:rPr>
      </w:pPr>
      <w:r>
        <w:rPr>
          <w:color w:val="auto"/>
        </w:rPr>
        <w:fldChar w:fldCharType="begin"/>
      </w:r>
      <w:r>
        <w:rPr>
          <w:color w:val="auto"/>
        </w:rPr>
        <w:instrText xml:space="preserve"> HYPERLINK \l "_Toc5541" </w:instrText>
      </w:r>
      <w:r>
        <w:rPr>
          <w:color w:val="auto"/>
        </w:rPr>
        <w:fldChar w:fldCharType="separate"/>
      </w:r>
      <w:r>
        <w:rPr>
          <w:rFonts w:hint="eastAsia" w:asciiTheme="minorEastAsia" w:hAnsiTheme="minorEastAsia" w:eastAsiaTheme="minorEastAsia" w:cstheme="minorEastAsia"/>
          <w:color w:val="auto"/>
          <w:sz w:val="24"/>
          <w:szCs w:val="24"/>
        </w:rPr>
        <w:t>第四章 合同条款</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lang w:val="en-US" w:eastAsia="zh-CN"/>
        </w:rPr>
        <w:t>6</w:t>
      </w:r>
    </w:p>
    <w:p>
      <w:pPr>
        <w:pStyle w:val="30"/>
        <w:tabs>
          <w:tab w:val="right" w:leader="dot" w:pos="9354"/>
        </w:tabs>
        <w:spacing w:line="500" w:lineRule="exact"/>
        <w:rPr>
          <w:rFonts w:hint="eastAsia" w:asciiTheme="minorEastAsia" w:hAnsiTheme="minorEastAsia" w:eastAsiaTheme="minorEastAsia" w:cstheme="minorEastAsia"/>
          <w:color w:val="auto"/>
          <w:sz w:val="24"/>
          <w:szCs w:val="24"/>
          <w:lang w:val="en-US" w:eastAsia="zh-CN"/>
        </w:rPr>
      </w:pPr>
      <w:r>
        <w:rPr>
          <w:color w:val="auto"/>
        </w:rPr>
        <w:fldChar w:fldCharType="begin"/>
      </w:r>
      <w:r>
        <w:rPr>
          <w:color w:val="auto"/>
        </w:rPr>
        <w:instrText xml:space="preserve"> HYPERLINK \l "_Toc19169" </w:instrText>
      </w:r>
      <w:r>
        <w:rPr>
          <w:color w:val="auto"/>
        </w:rPr>
        <w:fldChar w:fldCharType="separate"/>
      </w:r>
      <w:r>
        <w:rPr>
          <w:rFonts w:hint="eastAsia" w:asciiTheme="minorEastAsia" w:hAnsiTheme="minorEastAsia" w:eastAsiaTheme="minorEastAsia" w:cstheme="minorEastAsia"/>
          <w:color w:val="auto"/>
          <w:sz w:val="24"/>
          <w:szCs w:val="24"/>
        </w:rPr>
        <w:t>第五章 投标文件格式</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lang w:val="en-US" w:eastAsia="zh-CN"/>
        </w:rPr>
        <w:t>6</w:t>
      </w:r>
    </w:p>
    <w:p>
      <w:pPr>
        <w:pStyle w:val="30"/>
        <w:tabs>
          <w:tab w:val="right" w:leader="dot" w:pos="9354"/>
        </w:tabs>
        <w:spacing w:line="500" w:lineRule="exact"/>
        <w:rPr>
          <w:color w:val="auto"/>
        </w:rPr>
      </w:pPr>
    </w:p>
    <w:p>
      <w:pPr>
        <w:pStyle w:val="30"/>
        <w:tabs>
          <w:tab w:val="left" w:pos="5410"/>
        </w:tabs>
        <w:spacing w:line="500" w:lineRule="exact"/>
        <w:rPr>
          <w:rFonts w:ascii="宋体" w:hAnsi="宋体"/>
          <w:color w:val="auto"/>
          <w:sz w:val="28"/>
          <w:szCs w:val="28"/>
        </w:rPr>
      </w:pPr>
      <w:r>
        <w:rPr>
          <w:rFonts w:ascii="宋体" w:hAnsi="宋体"/>
          <w:color w:val="auto"/>
          <w:szCs w:val="28"/>
        </w:rPr>
        <w:fldChar w:fldCharType="end"/>
      </w:r>
      <w:r>
        <w:rPr>
          <w:rFonts w:hint="eastAsia" w:ascii="宋体" w:hAnsi="宋体"/>
          <w:color w:val="auto"/>
          <w:szCs w:val="28"/>
        </w:rPr>
        <w:tab/>
      </w:r>
    </w:p>
    <w:p>
      <w:pPr>
        <w:spacing w:line="360" w:lineRule="auto"/>
        <w:jc w:val="center"/>
        <w:rPr>
          <w:rFonts w:ascii="宋体" w:hAnsi="宋体"/>
          <w:b/>
          <w:color w:val="auto"/>
          <w:sz w:val="36"/>
        </w:rPr>
      </w:pPr>
    </w:p>
    <w:p>
      <w:pPr>
        <w:spacing w:line="360" w:lineRule="auto"/>
        <w:jc w:val="center"/>
        <w:rPr>
          <w:rFonts w:ascii="宋体" w:hAnsi="宋体"/>
          <w:b/>
          <w:color w:val="auto"/>
          <w:sz w:val="36"/>
        </w:rPr>
        <w:sectPr>
          <w:footerReference r:id="rId4" w:type="default"/>
          <w:pgSz w:w="11906" w:h="16838"/>
          <w:pgMar w:top="1418" w:right="1134" w:bottom="1418" w:left="1418" w:header="851" w:footer="851" w:gutter="0"/>
          <w:pgNumType w:start="1"/>
          <w:cols w:space="720" w:num="1"/>
          <w:docGrid w:type="linesAndChars" w:linePitch="312" w:charSpace="0"/>
        </w:sectPr>
      </w:pPr>
      <w:r>
        <w:rPr>
          <w:rFonts w:hint="eastAsia" w:ascii="宋体" w:hAnsi="宋体"/>
          <w:b/>
          <w:color w:val="auto"/>
          <w:sz w:val="36"/>
        </w:rPr>
        <w:t xml:space="preserve">                                                     </w:t>
      </w:r>
    </w:p>
    <w:p>
      <w:pPr>
        <w:spacing w:line="500" w:lineRule="exact"/>
        <w:jc w:val="center"/>
        <w:outlineLvl w:val="0"/>
        <w:rPr>
          <w:rFonts w:ascii="宋体" w:hAnsi="宋体"/>
          <w:b/>
          <w:color w:val="auto"/>
          <w:sz w:val="24"/>
          <w:szCs w:val="24"/>
        </w:rPr>
      </w:pPr>
      <w:bookmarkStart w:id="0" w:name="_Toc28438"/>
      <w:r>
        <w:rPr>
          <w:rFonts w:hint="eastAsia" w:ascii="宋体" w:hAnsi="宋体"/>
          <w:b/>
          <w:color w:val="auto"/>
          <w:sz w:val="36"/>
        </w:rPr>
        <w:t>投标供应商须知前附表</w:t>
      </w:r>
      <w:bookmarkEnd w:id="0"/>
    </w:p>
    <w:tbl>
      <w:tblPr>
        <w:tblStyle w:val="42"/>
        <w:tblW w:w="10320" w:type="dxa"/>
        <w:jc w:val="center"/>
        <w:tblLayout w:type="fixed"/>
        <w:tblCellMar>
          <w:top w:w="0" w:type="dxa"/>
          <w:left w:w="108" w:type="dxa"/>
          <w:bottom w:w="0" w:type="dxa"/>
          <w:right w:w="108" w:type="dxa"/>
        </w:tblCellMar>
      </w:tblPr>
      <w:tblGrid>
        <w:gridCol w:w="767"/>
        <w:gridCol w:w="9553"/>
      </w:tblGrid>
      <w:tr>
        <w:tblPrEx>
          <w:tblCellMar>
            <w:top w:w="0" w:type="dxa"/>
            <w:left w:w="108" w:type="dxa"/>
            <w:bottom w:w="0" w:type="dxa"/>
            <w:right w:w="108" w:type="dxa"/>
          </w:tblCellMar>
        </w:tblPrEx>
        <w:trPr>
          <w:trHeight w:val="467"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序号</w:t>
            </w:r>
          </w:p>
        </w:tc>
        <w:tc>
          <w:tcPr>
            <w:tcW w:w="9553"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内     容</w:t>
            </w:r>
          </w:p>
        </w:tc>
      </w:tr>
      <w:tr>
        <w:tblPrEx>
          <w:tblCellMar>
            <w:top w:w="0" w:type="dxa"/>
            <w:left w:w="108" w:type="dxa"/>
            <w:bottom w:w="0" w:type="dxa"/>
            <w:right w:w="108" w:type="dxa"/>
          </w:tblCellMar>
        </w:tblPrEx>
        <w:trPr>
          <w:trHeight w:val="2321"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1</w:t>
            </w:r>
          </w:p>
        </w:tc>
        <w:tc>
          <w:tcPr>
            <w:tcW w:w="9553" w:type="dxa"/>
            <w:tcBorders>
              <w:top w:val="single" w:color="auto" w:sz="12" w:space="0"/>
              <w:left w:val="single" w:color="auto" w:sz="12" w:space="0"/>
              <w:bottom w:val="single" w:color="auto" w:sz="12" w:space="0"/>
              <w:right w:val="single" w:color="auto" w:sz="12" w:space="0"/>
            </w:tcBorders>
            <w:vAlign w:val="center"/>
          </w:tcPr>
          <w:p>
            <w:pPr>
              <w:widowControl/>
              <w:spacing w:line="440" w:lineRule="exact"/>
              <w:ind w:left="1200" w:hanging="1200" w:hangingChars="500"/>
              <w:jc w:val="left"/>
              <w:rPr>
                <w:rFonts w:hint="eastAsia" w:ascii="宋体" w:hAnsi="宋体"/>
                <w:color w:val="auto"/>
                <w:kern w:val="0"/>
                <w:sz w:val="24"/>
                <w:szCs w:val="24"/>
                <w:lang w:eastAsia="zh-CN"/>
              </w:rPr>
            </w:pPr>
            <w:r>
              <w:rPr>
                <w:rFonts w:hint="eastAsia" w:ascii="宋体" w:hAnsi="宋体"/>
                <w:color w:val="auto"/>
                <w:kern w:val="0"/>
                <w:sz w:val="24"/>
                <w:szCs w:val="24"/>
              </w:rPr>
              <w:t>项目名称：</w:t>
            </w:r>
            <w:r>
              <w:rPr>
                <w:rFonts w:hint="eastAsia" w:ascii="宋体" w:hAnsi="宋体"/>
                <w:color w:val="auto"/>
                <w:kern w:val="0"/>
                <w:sz w:val="24"/>
                <w:szCs w:val="24"/>
                <w:lang w:eastAsia="zh-CN"/>
              </w:rPr>
              <w:t>霍城县妇幼保健院建设核酸检测(PCR）实验室采购项目</w:t>
            </w:r>
          </w:p>
          <w:p>
            <w:pPr>
              <w:widowControl/>
              <w:spacing w:line="440" w:lineRule="exact"/>
              <w:ind w:left="1200" w:hanging="1200" w:hangingChars="500"/>
              <w:jc w:val="left"/>
              <w:rPr>
                <w:rFonts w:hint="eastAsia" w:ascii="宋体" w:hAnsi="宋体" w:eastAsia="宋体"/>
                <w:color w:val="auto"/>
                <w:kern w:val="0"/>
                <w:sz w:val="24"/>
                <w:szCs w:val="24"/>
                <w:lang w:eastAsia="zh-CN"/>
              </w:rPr>
            </w:pPr>
            <w:r>
              <w:rPr>
                <w:rFonts w:hint="eastAsia" w:ascii="宋体" w:hAnsi="宋体"/>
                <w:color w:val="auto"/>
                <w:kern w:val="0"/>
                <w:sz w:val="24"/>
                <w:szCs w:val="24"/>
              </w:rPr>
              <w:t>项目编号：</w:t>
            </w:r>
            <w:r>
              <w:rPr>
                <w:rFonts w:hint="eastAsia" w:ascii="宋体" w:hAnsi="宋体"/>
                <w:color w:val="auto"/>
                <w:kern w:val="0"/>
                <w:sz w:val="24"/>
                <w:szCs w:val="24"/>
                <w:lang w:eastAsia="zh-CN"/>
              </w:rPr>
              <w:t>HYYL-2021-138</w:t>
            </w:r>
          </w:p>
          <w:p>
            <w:pPr>
              <w:widowControl/>
              <w:spacing w:line="440" w:lineRule="exact"/>
              <w:ind w:left="1200" w:hanging="1200" w:hangingChars="500"/>
              <w:jc w:val="left"/>
              <w:rPr>
                <w:rFonts w:hint="eastAsia" w:ascii="宋体" w:hAnsi="宋体" w:eastAsia="宋体"/>
                <w:color w:val="auto"/>
                <w:kern w:val="0"/>
                <w:sz w:val="24"/>
                <w:szCs w:val="24"/>
                <w:lang w:eastAsia="zh-CN"/>
              </w:rPr>
            </w:pPr>
            <w:r>
              <w:rPr>
                <w:rFonts w:hint="eastAsia" w:ascii="宋体" w:hAnsi="宋体"/>
                <w:color w:val="auto"/>
                <w:kern w:val="0"/>
                <w:sz w:val="24"/>
                <w:szCs w:val="24"/>
              </w:rPr>
              <w:t>计划投资额</w:t>
            </w:r>
            <w:r>
              <w:rPr>
                <w:rFonts w:hint="eastAsia" w:ascii="宋体" w:hAnsi="宋体"/>
                <w:color w:val="auto"/>
                <w:kern w:val="0"/>
                <w:sz w:val="24"/>
                <w:szCs w:val="24"/>
                <w:lang w:eastAsia="zh-CN"/>
              </w:rPr>
              <w:t>（元）</w:t>
            </w:r>
            <w:r>
              <w:rPr>
                <w:rFonts w:hint="eastAsia" w:ascii="宋体" w:hAnsi="宋体"/>
                <w:color w:val="auto"/>
                <w:kern w:val="0"/>
                <w:sz w:val="24"/>
                <w:szCs w:val="24"/>
              </w:rPr>
              <w:t>:</w:t>
            </w:r>
            <w:r>
              <w:rPr>
                <w:rFonts w:hint="eastAsia" w:ascii="宋体" w:hAnsi="宋体"/>
                <w:color w:val="auto"/>
                <w:kern w:val="0"/>
                <w:sz w:val="24"/>
                <w:szCs w:val="24"/>
                <w:lang w:eastAsia="zh-CN"/>
              </w:rPr>
              <w:t>5399740</w:t>
            </w:r>
          </w:p>
          <w:p>
            <w:pPr>
              <w:widowControl/>
              <w:spacing w:line="440" w:lineRule="exact"/>
              <w:jc w:val="left"/>
              <w:rPr>
                <w:rFonts w:ascii="宋体" w:hAnsi="宋体"/>
                <w:color w:val="auto"/>
                <w:kern w:val="0"/>
                <w:sz w:val="24"/>
                <w:szCs w:val="24"/>
              </w:rPr>
            </w:pPr>
            <w:r>
              <w:rPr>
                <w:rFonts w:hint="eastAsia" w:ascii="宋体" w:hAnsi="宋体"/>
                <w:color w:val="auto"/>
                <w:kern w:val="0"/>
                <w:sz w:val="24"/>
                <w:szCs w:val="24"/>
              </w:rPr>
              <w:t>招标方式：公开招标</w:t>
            </w:r>
          </w:p>
        </w:tc>
      </w:tr>
      <w:tr>
        <w:tblPrEx>
          <w:tblCellMar>
            <w:top w:w="0" w:type="dxa"/>
            <w:left w:w="108" w:type="dxa"/>
            <w:bottom w:w="0" w:type="dxa"/>
            <w:right w:w="108" w:type="dxa"/>
          </w:tblCellMar>
        </w:tblPrEx>
        <w:trPr>
          <w:trHeight w:val="643"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2</w:t>
            </w:r>
          </w:p>
        </w:tc>
        <w:tc>
          <w:tcPr>
            <w:tcW w:w="9553" w:type="dxa"/>
            <w:tcBorders>
              <w:top w:val="single" w:color="auto" w:sz="12" w:space="0"/>
              <w:left w:val="single" w:color="auto" w:sz="12" w:space="0"/>
              <w:bottom w:val="single" w:color="auto" w:sz="12" w:space="0"/>
              <w:right w:val="single" w:color="auto" w:sz="12" w:space="0"/>
            </w:tcBorders>
            <w:vAlign w:val="center"/>
          </w:tcPr>
          <w:p>
            <w:pPr>
              <w:pStyle w:val="84"/>
              <w:spacing w:line="440" w:lineRule="exact"/>
              <w:jc w:val="both"/>
              <w:rPr>
                <w:rFonts w:ascii="宋体" w:hAnsi="宋体"/>
                <w:color w:val="auto"/>
              </w:rPr>
            </w:pPr>
            <w:r>
              <w:rPr>
                <w:rFonts w:hint="eastAsia" w:ascii="宋体" w:hAnsi="宋体"/>
                <w:color w:val="auto"/>
              </w:rPr>
              <w:t>招标代理机构：新疆华域建设工程项目管理咨询有限公司</w:t>
            </w:r>
          </w:p>
        </w:tc>
      </w:tr>
      <w:tr>
        <w:tblPrEx>
          <w:tblCellMar>
            <w:top w:w="0" w:type="dxa"/>
            <w:left w:w="108" w:type="dxa"/>
            <w:bottom w:w="0" w:type="dxa"/>
            <w:right w:w="108" w:type="dxa"/>
          </w:tblCellMar>
        </w:tblPrEx>
        <w:trPr>
          <w:trHeight w:val="4162"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3</w:t>
            </w:r>
          </w:p>
        </w:tc>
        <w:tc>
          <w:tcPr>
            <w:tcW w:w="9553" w:type="dxa"/>
            <w:tcBorders>
              <w:top w:val="single" w:color="auto" w:sz="12" w:space="0"/>
              <w:left w:val="single" w:color="auto" w:sz="12" w:space="0"/>
              <w:bottom w:val="single" w:color="auto" w:sz="12" w:space="0"/>
              <w:right w:val="single" w:color="auto" w:sz="12" w:space="0"/>
            </w:tcBorders>
            <w:vAlign w:val="center"/>
          </w:tcPr>
          <w:p>
            <w:pPr>
              <w:pStyle w:val="24"/>
              <w:spacing w:line="440" w:lineRule="exact"/>
              <w:jc w:val="left"/>
              <w:rPr>
                <w:rFonts w:cs="宋体"/>
                <w:color w:val="auto"/>
                <w:sz w:val="24"/>
                <w:szCs w:val="24"/>
              </w:rPr>
            </w:pPr>
            <w:r>
              <w:rPr>
                <w:rFonts w:hint="eastAsia" w:cs="宋体"/>
                <w:color w:val="auto"/>
                <w:sz w:val="24"/>
                <w:szCs w:val="24"/>
              </w:rPr>
              <w:t>保证金要求提供，数额不得超过采购项目预算金额的2%</w:t>
            </w:r>
            <w:r>
              <w:rPr>
                <w:rFonts w:hint="eastAsia" w:cs="宋体"/>
                <w:color w:val="auto"/>
                <w:sz w:val="24"/>
                <w:szCs w:val="24"/>
                <w:lang w:eastAsia="zh-CN"/>
              </w:rPr>
              <w:t>（</w:t>
            </w:r>
            <w:r>
              <w:rPr>
                <w:rFonts w:hint="eastAsia" w:cs="宋体"/>
                <w:color w:val="auto"/>
                <w:sz w:val="24"/>
                <w:szCs w:val="24"/>
                <w:u w:val="single"/>
                <w:lang w:val="en-US" w:eastAsia="zh-CN"/>
              </w:rPr>
              <w:t>100000元</w:t>
            </w:r>
            <w:r>
              <w:rPr>
                <w:rFonts w:hint="eastAsia" w:cs="宋体"/>
                <w:color w:val="auto"/>
                <w:sz w:val="24"/>
                <w:szCs w:val="24"/>
                <w:lang w:eastAsia="zh-CN"/>
              </w:rPr>
              <w:t>）</w:t>
            </w:r>
            <w:r>
              <w:rPr>
                <w:rFonts w:hint="eastAsia" w:cs="宋体"/>
                <w:color w:val="auto"/>
                <w:sz w:val="24"/>
                <w:szCs w:val="24"/>
              </w:rPr>
              <w:t>，提交方式为</w:t>
            </w:r>
            <w:r>
              <w:rPr>
                <w:rFonts w:hint="eastAsia" w:cs="宋体"/>
                <w:color w:val="auto"/>
                <w:sz w:val="24"/>
                <w:szCs w:val="24"/>
                <w:u w:val="single"/>
              </w:rPr>
              <w:t>投标人基本账户以网银或银行电汇形式</w:t>
            </w:r>
            <w:r>
              <w:rPr>
                <w:rFonts w:hint="eastAsia" w:cs="宋体"/>
                <w:color w:val="auto"/>
                <w:sz w:val="24"/>
                <w:szCs w:val="24"/>
              </w:rPr>
              <w:t>，在投标截止时间之前汇至本公司账户，否则其响应文件将被拒绝评审，投标人提交投标保证金应充分考虑资金在途时间。</w:t>
            </w:r>
          </w:p>
          <w:p>
            <w:pPr>
              <w:pStyle w:val="24"/>
              <w:spacing w:line="440" w:lineRule="exact"/>
              <w:jc w:val="left"/>
              <w:rPr>
                <w:rFonts w:cs="宋体"/>
                <w:color w:val="auto"/>
                <w:sz w:val="24"/>
                <w:szCs w:val="24"/>
              </w:rPr>
            </w:pPr>
            <w:r>
              <w:rPr>
                <w:rFonts w:hint="eastAsia" w:cs="宋体"/>
                <w:color w:val="auto"/>
                <w:sz w:val="24"/>
                <w:szCs w:val="24"/>
              </w:rPr>
              <w:t xml:space="preserve">账户信息：新疆华域建设工程项目管理咨询有限公司伊犁分公司  </w:t>
            </w:r>
          </w:p>
          <w:p>
            <w:pPr>
              <w:pStyle w:val="24"/>
              <w:spacing w:line="440" w:lineRule="exact"/>
              <w:jc w:val="left"/>
              <w:rPr>
                <w:rFonts w:cs="宋体"/>
                <w:color w:val="auto"/>
                <w:sz w:val="24"/>
                <w:szCs w:val="24"/>
              </w:rPr>
            </w:pPr>
            <w:r>
              <w:rPr>
                <w:rFonts w:hint="eastAsia" w:cs="宋体"/>
                <w:color w:val="auto"/>
                <w:sz w:val="24"/>
                <w:szCs w:val="24"/>
              </w:rPr>
              <w:t>开户行：中国工商银行股份有限公司伊宁阿</w:t>
            </w:r>
            <w:r>
              <w:rPr>
                <w:rFonts w:hint="eastAsia" w:cs="宋体"/>
                <w:color w:val="auto"/>
                <w:sz w:val="24"/>
                <w:szCs w:val="24"/>
                <w:lang w:eastAsia="zh-CN"/>
              </w:rPr>
              <w:t>合</w:t>
            </w:r>
            <w:r>
              <w:rPr>
                <w:rFonts w:hint="eastAsia" w:cs="宋体"/>
                <w:color w:val="auto"/>
                <w:sz w:val="24"/>
                <w:szCs w:val="24"/>
              </w:rPr>
              <w:t>买提江街支行</w:t>
            </w:r>
          </w:p>
          <w:p>
            <w:pPr>
              <w:spacing w:line="400" w:lineRule="exact"/>
              <w:jc w:val="left"/>
              <w:rPr>
                <w:rFonts w:ascii="宋体" w:hAnsi="宋体" w:cs="宋体"/>
                <w:color w:val="auto"/>
                <w:sz w:val="24"/>
                <w:szCs w:val="24"/>
              </w:rPr>
            </w:pPr>
            <w:r>
              <w:rPr>
                <w:rFonts w:hint="eastAsia" w:ascii="宋体" w:hAnsi="宋体" w:cs="宋体"/>
                <w:color w:val="auto"/>
                <w:sz w:val="24"/>
                <w:szCs w:val="24"/>
              </w:rPr>
              <w:t>银行账号：3006023109200131786</w:t>
            </w:r>
          </w:p>
          <w:p>
            <w:pPr>
              <w:spacing w:line="440" w:lineRule="exact"/>
              <w:jc w:val="left"/>
              <w:rPr>
                <w:rFonts w:ascii="宋体" w:hAnsi="宋体"/>
                <w:color w:val="auto"/>
                <w:sz w:val="24"/>
                <w:szCs w:val="24"/>
              </w:rPr>
            </w:pPr>
            <w:r>
              <w:rPr>
                <w:rFonts w:hint="eastAsia" w:hAnsi="宋体" w:cs="宋体"/>
                <w:color w:val="auto"/>
                <w:sz w:val="24"/>
                <w:szCs w:val="24"/>
              </w:rPr>
              <w:t>注：以电汇方式递交投标保证金须在电汇凭据附言栏中写明项目编号、包号及用途(</w:t>
            </w:r>
            <w:r>
              <w:rPr>
                <w:rFonts w:hint="eastAsia" w:hAnsi="宋体" w:cs="宋体"/>
                <w:color w:val="auto"/>
                <w:sz w:val="24"/>
                <w:szCs w:val="24"/>
                <w:lang w:eastAsia="zh-CN"/>
              </w:rPr>
              <w:t>投标</w:t>
            </w:r>
            <w:r>
              <w:rPr>
                <w:rFonts w:hint="eastAsia" w:hAnsi="宋体" w:cs="宋体"/>
                <w:color w:val="auto"/>
                <w:sz w:val="24"/>
                <w:szCs w:val="24"/>
              </w:rPr>
              <w:t>保证金)，由于未按要求注明信息而导致的一切后果由投标人承担。</w:t>
            </w:r>
          </w:p>
        </w:tc>
      </w:tr>
      <w:tr>
        <w:tblPrEx>
          <w:tblCellMar>
            <w:top w:w="0" w:type="dxa"/>
            <w:left w:w="108" w:type="dxa"/>
            <w:bottom w:w="0" w:type="dxa"/>
            <w:right w:w="108" w:type="dxa"/>
          </w:tblCellMar>
        </w:tblPrEx>
        <w:trPr>
          <w:trHeight w:val="875"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4</w:t>
            </w:r>
          </w:p>
        </w:tc>
        <w:tc>
          <w:tcPr>
            <w:tcW w:w="9553" w:type="dxa"/>
            <w:tcBorders>
              <w:top w:val="single" w:color="auto" w:sz="12" w:space="0"/>
              <w:left w:val="single" w:color="auto" w:sz="12" w:space="0"/>
              <w:bottom w:val="single" w:color="auto" w:sz="12" w:space="0"/>
              <w:right w:val="single" w:color="auto" w:sz="12" w:space="0"/>
            </w:tcBorders>
            <w:vAlign w:val="center"/>
          </w:tcPr>
          <w:p>
            <w:pPr>
              <w:pStyle w:val="84"/>
              <w:spacing w:line="440" w:lineRule="exact"/>
              <w:jc w:val="both"/>
              <w:rPr>
                <w:rFonts w:ascii="宋体" w:hAnsi="宋体"/>
                <w:color w:val="auto"/>
              </w:rPr>
            </w:pPr>
            <w:r>
              <w:rPr>
                <w:rFonts w:hint="eastAsia" w:ascii="宋体" w:hAnsi="宋体"/>
                <w:color w:val="auto"/>
              </w:rPr>
              <w:t>投标有效期：</w:t>
            </w:r>
            <w:r>
              <w:rPr>
                <w:rFonts w:hint="eastAsia" w:ascii="宋体" w:hAnsi="宋体"/>
                <w:color w:val="auto"/>
                <w:u w:val="single"/>
              </w:rPr>
              <w:t>60</w:t>
            </w:r>
            <w:r>
              <w:rPr>
                <w:rFonts w:hint="eastAsia" w:ascii="宋体" w:hAnsi="宋体"/>
                <w:color w:val="auto"/>
              </w:rPr>
              <w:t>天</w:t>
            </w:r>
          </w:p>
        </w:tc>
      </w:tr>
      <w:tr>
        <w:tblPrEx>
          <w:tblCellMar>
            <w:top w:w="0" w:type="dxa"/>
            <w:left w:w="108" w:type="dxa"/>
            <w:bottom w:w="0" w:type="dxa"/>
            <w:right w:w="108" w:type="dxa"/>
          </w:tblCellMar>
        </w:tblPrEx>
        <w:trPr>
          <w:trHeight w:val="798"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5</w:t>
            </w:r>
          </w:p>
        </w:tc>
        <w:tc>
          <w:tcPr>
            <w:tcW w:w="9553" w:type="dxa"/>
            <w:tcBorders>
              <w:top w:val="single" w:color="auto" w:sz="12" w:space="0"/>
              <w:left w:val="single" w:color="auto" w:sz="12" w:space="0"/>
              <w:bottom w:val="single" w:color="auto" w:sz="12" w:space="0"/>
              <w:right w:val="single" w:color="auto" w:sz="12" w:space="0"/>
            </w:tcBorders>
            <w:vAlign w:val="center"/>
          </w:tcPr>
          <w:p>
            <w:pPr>
              <w:pStyle w:val="84"/>
              <w:spacing w:line="440" w:lineRule="exact"/>
              <w:jc w:val="both"/>
              <w:rPr>
                <w:rFonts w:ascii="宋体" w:hAnsi="宋体"/>
                <w:color w:val="auto"/>
              </w:rPr>
            </w:pPr>
            <w:r>
              <w:rPr>
                <w:rFonts w:hint="eastAsia" w:ascii="宋体" w:hAnsi="宋体"/>
                <w:color w:val="auto"/>
              </w:rPr>
              <w:t>投标截止时间：202</w:t>
            </w:r>
            <w:r>
              <w:rPr>
                <w:rFonts w:hint="eastAsia" w:ascii="宋体" w:hAnsi="宋体"/>
                <w:color w:val="auto"/>
                <w:lang w:val="en-US" w:eastAsia="zh-CN"/>
              </w:rPr>
              <w:t>2</w:t>
            </w:r>
            <w:r>
              <w:rPr>
                <w:rFonts w:hint="eastAsia" w:ascii="宋体" w:hAnsi="宋体"/>
                <w:color w:val="auto"/>
              </w:rPr>
              <w:t>-</w:t>
            </w:r>
            <w:r>
              <w:rPr>
                <w:rFonts w:hint="eastAsia" w:ascii="宋体" w:hAnsi="宋体"/>
                <w:color w:val="auto"/>
                <w:lang w:val="en-US" w:eastAsia="zh-CN"/>
              </w:rPr>
              <w:t>01</w:t>
            </w:r>
            <w:r>
              <w:rPr>
                <w:rFonts w:hint="eastAsia" w:ascii="宋体" w:hAnsi="宋体"/>
                <w:color w:val="auto"/>
              </w:rPr>
              <w:t>-</w:t>
            </w:r>
            <w:r>
              <w:rPr>
                <w:rFonts w:hint="eastAsia" w:ascii="宋体" w:hAnsi="宋体"/>
                <w:color w:val="auto"/>
                <w:lang w:val="en-US" w:eastAsia="zh-CN"/>
              </w:rPr>
              <w:t>06</w:t>
            </w:r>
            <w:r>
              <w:rPr>
                <w:rFonts w:hint="eastAsia" w:ascii="宋体" w:hAnsi="宋体"/>
                <w:color w:val="auto"/>
              </w:rPr>
              <w:t xml:space="preserve"> 1</w:t>
            </w:r>
            <w:r>
              <w:rPr>
                <w:rFonts w:hint="eastAsia" w:ascii="宋体" w:hAnsi="宋体"/>
                <w:color w:val="auto"/>
                <w:lang w:val="en-US" w:eastAsia="zh-CN"/>
              </w:rPr>
              <w:t>1</w:t>
            </w:r>
            <w:r>
              <w:rPr>
                <w:rFonts w:hint="eastAsia" w:ascii="宋体" w:hAnsi="宋体"/>
                <w:color w:val="auto"/>
              </w:rPr>
              <w:t>:</w:t>
            </w:r>
            <w:r>
              <w:rPr>
                <w:rFonts w:hint="eastAsia" w:ascii="宋体" w:hAnsi="宋体"/>
                <w:color w:val="auto"/>
                <w:lang w:val="en-US" w:eastAsia="zh-CN"/>
              </w:rPr>
              <w:t>0</w:t>
            </w:r>
            <w:r>
              <w:rPr>
                <w:rFonts w:hint="eastAsia" w:ascii="宋体" w:hAnsi="宋体"/>
                <w:color w:val="auto"/>
              </w:rPr>
              <w:t>0:00（北京时间） </w:t>
            </w:r>
          </w:p>
        </w:tc>
      </w:tr>
      <w:tr>
        <w:tblPrEx>
          <w:tblCellMar>
            <w:top w:w="0" w:type="dxa"/>
            <w:left w:w="108" w:type="dxa"/>
            <w:bottom w:w="0" w:type="dxa"/>
            <w:right w:w="108" w:type="dxa"/>
          </w:tblCellMar>
        </w:tblPrEx>
        <w:trPr>
          <w:trHeight w:val="1982"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6</w:t>
            </w:r>
          </w:p>
        </w:tc>
        <w:tc>
          <w:tcPr>
            <w:tcW w:w="9553" w:type="dxa"/>
            <w:tcBorders>
              <w:top w:val="single" w:color="auto" w:sz="12" w:space="0"/>
              <w:left w:val="single" w:color="auto" w:sz="12" w:space="0"/>
              <w:bottom w:val="single" w:color="auto" w:sz="12" w:space="0"/>
              <w:right w:val="single" w:color="auto" w:sz="12" w:space="0"/>
            </w:tcBorders>
            <w:vAlign w:val="center"/>
          </w:tcPr>
          <w:p>
            <w:pPr>
              <w:pStyle w:val="84"/>
              <w:spacing w:line="440" w:lineRule="exact"/>
              <w:jc w:val="both"/>
              <w:rPr>
                <w:rFonts w:ascii="宋体" w:hAnsi="宋体"/>
                <w:color w:val="auto"/>
              </w:rPr>
            </w:pPr>
            <w:r>
              <w:rPr>
                <w:rFonts w:hint="eastAsia" w:ascii="宋体" w:hAnsi="宋体"/>
                <w:color w:val="auto"/>
              </w:rPr>
              <w:t>投标文件的数量：正本1份、副本4份</w:t>
            </w:r>
          </w:p>
          <w:p>
            <w:pPr>
              <w:pStyle w:val="84"/>
              <w:spacing w:line="440" w:lineRule="exact"/>
              <w:jc w:val="both"/>
              <w:rPr>
                <w:rFonts w:ascii="宋体" w:hAnsi="宋体"/>
                <w:color w:val="auto"/>
              </w:rPr>
            </w:pPr>
            <w:r>
              <w:rPr>
                <w:rFonts w:hint="eastAsia" w:ascii="宋体" w:hAnsi="宋体"/>
                <w:color w:val="auto"/>
              </w:rPr>
              <w:t>投标报价单的数量：1份（单独密封）</w:t>
            </w:r>
          </w:p>
          <w:p>
            <w:pPr>
              <w:pStyle w:val="84"/>
              <w:spacing w:line="440" w:lineRule="exact"/>
              <w:jc w:val="both"/>
              <w:rPr>
                <w:rFonts w:ascii="宋体" w:hAnsi="宋体"/>
                <w:color w:val="auto"/>
              </w:rPr>
            </w:pPr>
            <w:r>
              <w:rPr>
                <w:rFonts w:hint="eastAsia" w:ascii="宋体" w:hAnsi="宋体"/>
                <w:color w:val="auto"/>
              </w:rPr>
              <w:t>电子版投标文件：1份(□扫描件，☑ Word，可多选，以U盘形式提交，单独密封)</w:t>
            </w:r>
          </w:p>
          <w:p>
            <w:pPr>
              <w:pStyle w:val="84"/>
              <w:spacing w:line="440" w:lineRule="exact"/>
              <w:jc w:val="both"/>
              <w:rPr>
                <w:rFonts w:ascii="宋体" w:hAnsi="宋体"/>
                <w:color w:val="auto"/>
              </w:rPr>
            </w:pPr>
            <w:r>
              <w:rPr>
                <w:rFonts w:hint="eastAsia" w:ascii="宋体" w:hAnsi="宋体"/>
                <w:b/>
                <w:color w:val="auto"/>
              </w:rPr>
              <w:t>（注：装订形式：不得采用活页、拉杆等方式，必须采用胶装，否则按废标处理）</w:t>
            </w:r>
          </w:p>
        </w:tc>
      </w:tr>
      <w:tr>
        <w:tblPrEx>
          <w:tblCellMar>
            <w:top w:w="0" w:type="dxa"/>
            <w:left w:w="108" w:type="dxa"/>
            <w:bottom w:w="0" w:type="dxa"/>
            <w:right w:w="108" w:type="dxa"/>
          </w:tblCellMar>
        </w:tblPrEx>
        <w:trPr>
          <w:trHeight w:val="3069"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7</w:t>
            </w:r>
          </w:p>
        </w:tc>
        <w:tc>
          <w:tcPr>
            <w:tcW w:w="9553" w:type="dxa"/>
            <w:tcBorders>
              <w:top w:val="single" w:color="auto" w:sz="12" w:space="0"/>
              <w:left w:val="single" w:color="auto" w:sz="12" w:space="0"/>
              <w:bottom w:val="single" w:color="auto" w:sz="12" w:space="0"/>
              <w:right w:val="single" w:color="auto" w:sz="12" w:space="0"/>
            </w:tcBorders>
            <w:vAlign w:val="center"/>
          </w:tcPr>
          <w:p>
            <w:pPr>
              <w:pStyle w:val="84"/>
              <w:spacing w:line="440" w:lineRule="exact"/>
              <w:jc w:val="both"/>
              <w:rPr>
                <w:rFonts w:hint="eastAsia" w:ascii="宋体" w:hAnsi="宋体"/>
                <w:color w:val="auto"/>
                <w:lang w:val="en-US" w:eastAsia="zh-CN"/>
              </w:rPr>
            </w:pPr>
            <w:r>
              <w:rPr>
                <w:rFonts w:hint="eastAsia" w:ascii="宋体" w:hAnsi="宋体"/>
                <w:color w:val="auto"/>
                <w:lang w:val="en-US" w:eastAsia="zh-CN"/>
              </w:rPr>
              <w:t>合同履约期限：15天。</w:t>
            </w:r>
          </w:p>
          <w:p>
            <w:pPr>
              <w:pStyle w:val="84"/>
              <w:spacing w:line="440" w:lineRule="exact"/>
              <w:jc w:val="both"/>
              <w:rPr>
                <w:rFonts w:hint="eastAsia" w:ascii="宋体" w:hAnsi="宋体"/>
                <w:color w:val="auto"/>
                <w:lang w:val="en-US" w:eastAsia="zh-CN"/>
              </w:rPr>
            </w:pPr>
            <w:r>
              <w:rPr>
                <w:rFonts w:hint="eastAsia" w:ascii="宋体" w:hAnsi="宋体"/>
                <w:color w:val="auto"/>
                <w:lang w:val="en-US" w:eastAsia="zh-CN"/>
              </w:rPr>
              <w:t>质保期：全自动核酸提取仪、全自动医用 PCR 分析、医用洁净工作台、低速离心机、移液器、移液器支架、生物安全柜、迷你8联排离心机、紫外线消毒车、立式灭菌器、电热恒温培养箱、旋涡混匀器、八道移液器，（一年）；2~8℃医用冷藏箱、-86℃超低温冷冻储存箱（整机免费保修一年，压缩机等主要零部件免费保修五年，终身维修）；-25度医用低温箱{整机免费保修五年,易损件1年（照明灯、钥匙、门把手、电池），终身维修}。</w:t>
            </w:r>
          </w:p>
          <w:p>
            <w:pPr>
              <w:pStyle w:val="84"/>
              <w:spacing w:line="440" w:lineRule="exact"/>
              <w:jc w:val="both"/>
              <w:rPr>
                <w:rFonts w:hint="default"/>
                <w:lang w:val="en-US" w:eastAsia="zh-CN"/>
              </w:rPr>
            </w:pPr>
            <w:r>
              <w:rPr>
                <w:rFonts w:hint="eastAsia" w:ascii="宋体" w:hAnsi="宋体"/>
                <w:color w:val="auto"/>
                <w:lang w:val="en-US" w:eastAsia="zh-CN"/>
              </w:rPr>
              <w:t>付款方式：后期与甲方签订合同为准。</w:t>
            </w:r>
          </w:p>
        </w:tc>
      </w:tr>
      <w:tr>
        <w:tblPrEx>
          <w:tblCellMar>
            <w:top w:w="0" w:type="dxa"/>
            <w:left w:w="108" w:type="dxa"/>
            <w:bottom w:w="0" w:type="dxa"/>
            <w:right w:w="108" w:type="dxa"/>
          </w:tblCellMar>
        </w:tblPrEx>
        <w:trPr>
          <w:trHeight w:val="2718"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8</w:t>
            </w:r>
          </w:p>
        </w:tc>
        <w:tc>
          <w:tcPr>
            <w:tcW w:w="9553" w:type="dxa"/>
            <w:tcBorders>
              <w:top w:val="single" w:color="auto" w:sz="12" w:space="0"/>
              <w:left w:val="single" w:color="auto" w:sz="12" w:space="0"/>
              <w:bottom w:val="single" w:color="auto" w:sz="12" w:space="0"/>
              <w:right w:val="single" w:color="auto" w:sz="12" w:space="0"/>
            </w:tcBorders>
            <w:vAlign w:val="center"/>
          </w:tcPr>
          <w:p>
            <w:pPr>
              <w:tabs>
                <w:tab w:val="center" w:pos="4422"/>
                <w:tab w:val="left" w:pos="7920"/>
              </w:tabs>
              <w:spacing w:line="440" w:lineRule="exact"/>
              <w:rPr>
                <w:rFonts w:ascii="宋体" w:hAnsi="宋体"/>
                <w:color w:val="auto"/>
                <w:kern w:val="0"/>
                <w:sz w:val="24"/>
                <w:szCs w:val="24"/>
              </w:rPr>
            </w:pPr>
            <w:r>
              <w:rPr>
                <w:rFonts w:hint="eastAsia" w:ascii="宋体" w:hAnsi="宋体"/>
                <w:color w:val="auto"/>
                <w:kern w:val="0"/>
                <w:sz w:val="24"/>
                <w:szCs w:val="24"/>
              </w:rPr>
              <w:t>采购产品为最新《节能产品政府采购清单》内非标记★符号的节能产品及《环境标志产品政府采购清单》的产品：</w:t>
            </w:r>
          </w:p>
          <w:p>
            <w:pPr>
              <w:tabs>
                <w:tab w:val="center" w:pos="4422"/>
                <w:tab w:val="left" w:pos="7920"/>
              </w:tabs>
              <w:spacing w:line="440" w:lineRule="exact"/>
              <w:rPr>
                <w:rFonts w:ascii="宋体" w:hAnsi="宋体"/>
                <w:color w:val="auto"/>
              </w:rPr>
            </w:pPr>
            <w:r>
              <w:rPr>
                <w:rFonts w:hint="eastAsia" w:ascii="宋体" w:hAnsi="宋体"/>
                <w:color w:val="auto"/>
                <w:kern w:val="0"/>
                <w:sz w:val="24"/>
                <w:szCs w:val="24"/>
              </w:rPr>
              <w:t>1、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CellMar>
            <w:top w:w="0" w:type="dxa"/>
            <w:left w:w="108" w:type="dxa"/>
            <w:bottom w:w="0" w:type="dxa"/>
            <w:right w:w="108" w:type="dxa"/>
          </w:tblCellMar>
        </w:tblPrEx>
        <w:trPr>
          <w:trHeight w:val="932" w:hRule="exact"/>
          <w:jc w:val="center"/>
        </w:trPr>
        <w:tc>
          <w:tcPr>
            <w:tcW w:w="767" w:type="dxa"/>
            <w:vMerge w:val="restart"/>
            <w:tcBorders>
              <w:top w:val="single" w:color="auto" w:sz="12" w:space="0"/>
              <w:left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9</w:t>
            </w:r>
          </w:p>
        </w:tc>
        <w:tc>
          <w:tcPr>
            <w:tcW w:w="9553" w:type="dxa"/>
            <w:tcBorders>
              <w:top w:val="single" w:color="auto" w:sz="12" w:space="0"/>
              <w:left w:val="single" w:color="auto" w:sz="12" w:space="0"/>
              <w:bottom w:val="single" w:color="auto" w:sz="4" w:space="0"/>
              <w:right w:val="single" w:color="auto" w:sz="12" w:space="0"/>
            </w:tcBorders>
            <w:vAlign w:val="center"/>
          </w:tcPr>
          <w:p>
            <w:pPr>
              <w:tabs>
                <w:tab w:val="center" w:pos="4422"/>
                <w:tab w:val="left" w:pos="7920"/>
              </w:tabs>
              <w:spacing w:line="440" w:lineRule="exact"/>
              <w:rPr>
                <w:rFonts w:ascii="宋体" w:hAnsi="宋体"/>
                <w:color w:val="auto"/>
                <w:kern w:val="0"/>
                <w:sz w:val="24"/>
                <w:szCs w:val="24"/>
              </w:rPr>
            </w:pPr>
            <w:r>
              <w:rPr>
                <w:rFonts w:hint="eastAsia" w:ascii="宋体" w:hAnsi="宋体"/>
                <w:color w:val="auto"/>
                <w:kern w:val="0"/>
                <w:sz w:val="24"/>
                <w:szCs w:val="24"/>
              </w:rPr>
              <w:t>1、给予小型和微型企业产品的价格给予6%-10%的扣除，用扣除后的价格参与评审，本项目具体扣除比例为6%。</w:t>
            </w:r>
          </w:p>
        </w:tc>
      </w:tr>
      <w:tr>
        <w:tblPrEx>
          <w:tblCellMar>
            <w:top w:w="0" w:type="dxa"/>
            <w:left w:w="108" w:type="dxa"/>
            <w:bottom w:w="0" w:type="dxa"/>
            <w:right w:w="108" w:type="dxa"/>
          </w:tblCellMar>
        </w:tblPrEx>
        <w:trPr>
          <w:trHeight w:val="932" w:hRule="exact"/>
          <w:jc w:val="center"/>
        </w:trPr>
        <w:tc>
          <w:tcPr>
            <w:tcW w:w="767" w:type="dxa"/>
            <w:vMerge w:val="continue"/>
            <w:tcBorders>
              <w:left w:val="single" w:color="auto" w:sz="12" w:space="0"/>
              <w:right w:val="single" w:color="auto" w:sz="12" w:space="0"/>
            </w:tcBorders>
            <w:vAlign w:val="center"/>
          </w:tcPr>
          <w:p>
            <w:pPr>
              <w:pStyle w:val="84"/>
              <w:spacing w:line="500" w:lineRule="exact"/>
              <w:jc w:val="center"/>
              <w:rPr>
                <w:rFonts w:ascii="宋体" w:hAnsi="宋体"/>
                <w:color w:val="auto"/>
              </w:rPr>
            </w:pPr>
          </w:p>
        </w:tc>
        <w:tc>
          <w:tcPr>
            <w:tcW w:w="9553" w:type="dxa"/>
            <w:tcBorders>
              <w:top w:val="single" w:color="auto" w:sz="4" w:space="0"/>
              <w:left w:val="single" w:color="auto" w:sz="12" w:space="0"/>
              <w:bottom w:val="single" w:color="auto" w:sz="12" w:space="0"/>
              <w:right w:val="single" w:color="auto" w:sz="12" w:space="0"/>
            </w:tcBorders>
            <w:vAlign w:val="center"/>
          </w:tcPr>
          <w:p>
            <w:pPr>
              <w:tabs>
                <w:tab w:val="center" w:pos="4422"/>
                <w:tab w:val="left" w:pos="7920"/>
              </w:tabs>
              <w:spacing w:line="440" w:lineRule="exact"/>
              <w:rPr>
                <w:rFonts w:ascii="宋体" w:hAnsi="宋体"/>
                <w:color w:val="auto"/>
                <w:kern w:val="0"/>
                <w:sz w:val="24"/>
                <w:szCs w:val="24"/>
              </w:rPr>
            </w:pPr>
            <w:r>
              <w:rPr>
                <w:rFonts w:hint="eastAsia" w:ascii="宋体" w:hAnsi="宋体"/>
                <w:color w:val="auto"/>
                <w:kern w:val="0"/>
                <w:sz w:val="24"/>
                <w:szCs w:val="24"/>
              </w:rPr>
              <w:t>2、中小企业在融资、投标保证、履约保证等方面有需求的，可查询当地政府采购管理部门相关政策，通过专业化的担保途径解决。</w:t>
            </w:r>
          </w:p>
        </w:tc>
      </w:tr>
      <w:tr>
        <w:tblPrEx>
          <w:tblCellMar>
            <w:top w:w="0" w:type="dxa"/>
            <w:left w:w="108" w:type="dxa"/>
            <w:bottom w:w="0" w:type="dxa"/>
            <w:right w:w="108" w:type="dxa"/>
          </w:tblCellMar>
        </w:tblPrEx>
        <w:trPr>
          <w:trHeight w:val="1690" w:hRule="exact"/>
          <w:jc w:val="center"/>
        </w:trPr>
        <w:tc>
          <w:tcPr>
            <w:tcW w:w="767" w:type="dxa"/>
            <w:vMerge w:val="continue"/>
            <w:tcBorders>
              <w:left w:val="single" w:color="auto" w:sz="12" w:space="0"/>
              <w:right w:val="single" w:color="auto" w:sz="12" w:space="0"/>
            </w:tcBorders>
            <w:vAlign w:val="center"/>
          </w:tcPr>
          <w:p>
            <w:pPr>
              <w:pStyle w:val="84"/>
              <w:spacing w:line="500" w:lineRule="exact"/>
              <w:jc w:val="center"/>
              <w:rPr>
                <w:rFonts w:ascii="宋体" w:hAnsi="宋体"/>
                <w:color w:val="auto"/>
              </w:rPr>
            </w:pPr>
          </w:p>
        </w:tc>
        <w:tc>
          <w:tcPr>
            <w:tcW w:w="9553" w:type="dxa"/>
            <w:tcBorders>
              <w:top w:val="single" w:color="auto" w:sz="4" w:space="0"/>
              <w:left w:val="single" w:color="auto" w:sz="12" w:space="0"/>
              <w:bottom w:val="single" w:color="auto" w:sz="12" w:space="0"/>
              <w:right w:val="single" w:color="auto" w:sz="12" w:space="0"/>
            </w:tcBorders>
            <w:vAlign w:val="center"/>
          </w:tcPr>
          <w:p>
            <w:pPr>
              <w:tabs>
                <w:tab w:val="center" w:pos="4422"/>
                <w:tab w:val="left" w:pos="7920"/>
              </w:tabs>
              <w:spacing w:line="440" w:lineRule="exact"/>
              <w:rPr>
                <w:rFonts w:ascii="宋体" w:hAnsi="宋体"/>
                <w:color w:val="auto"/>
                <w:kern w:val="0"/>
                <w:sz w:val="24"/>
                <w:szCs w:val="24"/>
              </w:rPr>
            </w:pPr>
            <w:r>
              <w:rPr>
                <w:rFonts w:hint="eastAsia" w:ascii="宋体" w:hAnsi="宋体"/>
                <w:color w:val="auto"/>
                <w:kern w:val="0"/>
                <w:sz w:val="24"/>
                <w:szCs w:val="24"/>
              </w:rPr>
              <w:t>3、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1131" w:hRule="exact"/>
          <w:jc w:val="center"/>
        </w:trPr>
        <w:tc>
          <w:tcPr>
            <w:tcW w:w="767" w:type="dxa"/>
            <w:vMerge w:val="continue"/>
            <w:tcBorders>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p>
        </w:tc>
        <w:tc>
          <w:tcPr>
            <w:tcW w:w="9553" w:type="dxa"/>
            <w:tcBorders>
              <w:top w:val="single" w:color="auto" w:sz="4" w:space="0"/>
              <w:left w:val="single" w:color="auto" w:sz="12" w:space="0"/>
              <w:bottom w:val="single" w:color="auto" w:sz="12" w:space="0"/>
              <w:right w:val="single" w:color="auto" w:sz="12" w:space="0"/>
            </w:tcBorders>
            <w:vAlign w:val="center"/>
          </w:tcPr>
          <w:p>
            <w:pPr>
              <w:tabs>
                <w:tab w:val="center" w:pos="4422"/>
                <w:tab w:val="left" w:pos="7920"/>
              </w:tabs>
              <w:spacing w:line="440" w:lineRule="exact"/>
              <w:rPr>
                <w:rFonts w:ascii="宋体" w:hAnsi="宋体"/>
                <w:color w:val="auto"/>
                <w:kern w:val="0"/>
                <w:sz w:val="24"/>
                <w:szCs w:val="24"/>
              </w:rPr>
            </w:pPr>
            <w:r>
              <w:rPr>
                <w:rFonts w:hint="eastAsia" w:ascii="宋体" w:hAnsi="宋体"/>
                <w:color w:val="auto"/>
                <w:kern w:val="0"/>
                <w:sz w:val="24"/>
                <w:szCs w:val="24"/>
              </w:rPr>
              <w:t>4、根据财政部、民政部、中国残疾人联合会《关于促进残疾人就业政府采购政策的通知》(财库[2017]141号)，在政府采购活动中,残疾人福利性单位视同小型、微型企业。</w:t>
            </w:r>
          </w:p>
        </w:tc>
      </w:tr>
      <w:tr>
        <w:tblPrEx>
          <w:tblCellMar>
            <w:top w:w="0" w:type="dxa"/>
            <w:left w:w="108" w:type="dxa"/>
            <w:bottom w:w="0" w:type="dxa"/>
            <w:right w:w="108" w:type="dxa"/>
          </w:tblCellMar>
        </w:tblPrEx>
        <w:trPr>
          <w:trHeight w:val="989"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10</w:t>
            </w:r>
          </w:p>
        </w:tc>
        <w:tc>
          <w:tcPr>
            <w:tcW w:w="9553" w:type="dxa"/>
            <w:tcBorders>
              <w:top w:val="single" w:color="auto" w:sz="12" w:space="0"/>
              <w:left w:val="single" w:color="auto" w:sz="12" w:space="0"/>
              <w:bottom w:val="single" w:color="auto" w:sz="12" w:space="0"/>
              <w:right w:val="single" w:color="auto" w:sz="12" w:space="0"/>
            </w:tcBorders>
            <w:vAlign w:val="center"/>
          </w:tcPr>
          <w:p>
            <w:pPr>
              <w:pStyle w:val="84"/>
              <w:spacing w:line="440" w:lineRule="exact"/>
              <w:ind w:left="1920" w:hanging="1920" w:hangingChars="800"/>
              <w:jc w:val="both"/>
              <w:rPr>
                <w:rFonts w:ascii="宋体" w:hAnsi="宋体"/>
                <w:color w:val="auto"/>
              </w:rPr>
            </w:pPr>
            <w:r>
              <w:rPr>
                <w:rFonts w:hint="eastAsia" w:ascii="宋体" w:hAnsi="宋体"/>
                <w:color w:val="auto"/>
              </w:rPr>
              <w:t>投标文件递交至：伊宁市经济合作区北京路一品墅新房大厦10楼1004号</w:t>
            </w:r>
          </w:p>
        </w:tc>
      </w:tr>
      <w:tr>
        <w:tblPrEx>
          <w:tblCellMar>
            <w:top w:w="0" w:type="dxa"/>
            <w:left w:w="108" w:type="dxa"/>
            <w:bottom w:w="0" w:type="dxa"/>
            <w:right w:w="108" w:type="dxa"/>
          </w:tblCellMar>
        </w:tblPrEx>
        <w:trPr>
          <w:trHeight w:val="483"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11</w:t>
            </w:r>
          </w:p>
        </w:tc>
        <w:tc>
          <w:tcPr>
            <w:tcW w:w="9553" w:type="dxa"/>
            <w:tcBorders>
              <w:top w:val="single" w:color="auto" w:sz="12" w:space="0"/>
              <w:left w:val="single" w:color="auto" w:sz="12" w:space="0"/>
              <w:bottom w:val="single" w:color="auto" w:sz="12" w:space="0"/>
              <w:right w:val="single" w:color="auto" w:sz="12" w:space="0"/>
            </w:tcBorders>
            <w:vAlign w:val="center"/>
          </w:tcPr>
          <w:p>
            <w:pPr>
              <w:pStyle w:val="84"/>
              <w:spacing w:line="440" w:lineRule="exact"/>
              <w:jc w:val="both"/>
              <w:rPr>
                <w:rFonts w:ascii="宋体" w:hAnsi="宋体"/>
                <w:color w:val="auto"/>
              </w:rPr>
            </w:pPr>
            <w:r>
              <w:rPr>
                <w:rFonts w:hint="eastAsia" w:ascii="宋体" w:hAnsi="宋体"/>
                <w:color w:val="auto"/>
              </w:rPr>
              <w:t>开标时间:202</w:t>
            </w:r>
            <w:r>
              <w:rPr>
                <w:rFonts w:hint="eastAsia" w:ascii="宋体" w:hAnsi="宋体"/>
                <w:color w:val="auto"/>
                <w:lang w:val="en-US" w:eastAsia="zh-CN"/>
              </w:rPr>
              <w:t>2</w:t>
            </w:r>
            <w:r>
              <w:rPr>
                <w:rFonts w:hint="eastAsia" w:ascii="宋体" w:hAnsi="宋体"/>
                <w:color w:val="auto"/>
              </w:rPr>
              <w:t>-</w:t>
            </w:r>
            <w:r>
              <w:rPr>
                <w:rFonts w:hint="eastAsia" w:ascii="宋体" w:hAnsi="宋体"/>
                <w:color w:val="auto"/>
                <w:lang w:val="en-US" w:eastAsia="zh-CN"/>
              </w:rPr>
              <w:t>01</w:t>
            </w:r>
            <w:r>
              <w:rPr>
                <w:rFonts w:hint="eastAsia" w:ascii="宋体" w:hAnsi="宋体"/>
                <w:color w:val="auto"/>
              </w:rPr>
              <w:t>-</w:t>
            </w:r>
            <w:r>
              <w:rPr>
                <w:rFonts w:hint="eastAsia" w:ascii="宋体" w:hAnsi="宋体"/>
                <w:color w:val="auto"/>
                <w:lang w:val="en-US" w:eastAsia="zh-CN"/>
              </w:rPr>
              <w:t>06</w:t>
            </w:r>
            <w:r>
              <w:rPr>
                <w:rFonts w:hint="eastAsia" w:ascii="宋体" w:hAnsi="宋体"/>
                <w:color w:val="auto"/>
              </w:rPr>
              <w:t xml:space="preserve">  1</w:t>
            </w:r>
            <w:r>
              <w:rPr>
                <w:rFonts w:hint="eastAsia" w:ascii="宋体" w:hAnsi="宋体"/>
                <w:color w:val="auto"/>
                <w:lang w:val="en-US" w:eastAsia="zh-CN"/>
              </w:rPr>
              <w:t>1</w:t>
            </w:r>
            <w:r>
              <w:rPr>
                <w:rFonts w:hint="eastAsia" w:ascii="宋体" w:hAnsi="宋体"/>
                <w:color w:val="auto"/>
              </w:rPr>
              <w:t>：</w:t>
            </w:r>
            <w:r>
              <w:rPr>
                <w:rFonts w:hint="eastAsia" w:ascii="宋体" w:hAnsi="宋体"/>
                <w:color w:val="auto"/>
                <w:lang w:val="en-US" w:eastAsia="zh-CN"/>
              </w:rPr>
              <w:t>0</w:t>
            </w:r>
            <w:r>
              <w:rPr>
                <w:rFonts w:hint="eastAsia" w:ascii="宋体" w:hAnsi="宋体"/>
                <w:color w:val="auto"/>
              </w:rPr>
              <w:t>0:00（北京时间）</w:t>
            </w:r>
          </w:p>
        </w:tc>
      </w:tr>
      <w:tr>
        <w:tblPrEx>
          <w:tblCellMar>
            <w:top w:w="0" w:type="dxa"/>
            <w:left w:w="108" w:type="dxa"/>
            <w:bottom w:w="0" w:type="dxa"/>
            <w:right w:w="108" w:type="dxa"/>
          </w:tblCellMar>
        </w:tblPrEx>
        <w:trPr>
          <w:trHeight w:val="1153"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12</w:t>
            </w:r>
          </w:p>
        </w:tc>
        <w:tc>
          <w:tcPr>
            <w:tcW w:w="9553" w:type="dxa"/>
            <w:tcBorders>
              <w:top w:val="single" w:color="auto" w:sz="12" w:space="0"/>
              <w:left w:val="single" w:color="auto" w:sz="12" w:space="0"/>
              <w:bottom w:val="single" w:color="auto" w:sz="12" w:space="0"/>
              <w:right w:val="single" w:color="auto" w:sz="12" w:space="0"/>
            </w:tcBorders>
            <w:vAlign w:val="center"/>
          </w:tcPr>
          <w:p>
            <w:pPr>
              <w:pStyle w:val="84"/>
              <w:spacing w:line="440" w:lineRule="exact"/>
              <w:ind w:left="1200" w:hanging="1200" w:hangingChars="500"/>
              <w:jc w:val="both"/>
              <w:rPr>
                <w:rFonts w:ascii="宋体" w:hAnsi="宋体"/>
                <w:color w:val="auto"/>
              </w:rPr>
            </w:pPr>
            <w:r>
              <w:rPr>
                <w:rFonts w:hint="eastAsia" w:ascii="宋体" w:hAnsi="宋体"/>
                <w:color w:val="auto"/>
              </w:rPr>
              <w:t>开标地点：伊宁市经济合作区北京路一品墅新房大厦10楼1004号</w:t>
            </w:r>
          </w:p>
        </w:tc>
      </w:tr>
      <w:tr>
        <w:tblPrEx>
          <w:tblCellMar>
            <w:top w:w="0" w:type="dxa"/>
            <w:left w:w="108" w:type="dxa"/>
            <w:bottom w:w="0" w:type="dxa"/>
            <w:right w:w="108" w:type="dxa"/>
          </w:tblCellMar>
        </w:tblPrEx>
        <w:trPr>
          <w:trHeight w:val="1031"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13</w:t>
            </w:r>
          </w:p>
        </w:tc>
        <w:tc>
          <w:tcPr>
            <w:tcW w:w="9553" w:type="dxa"/>
            <w:tcBorders>
              <w:top w:val="single" w:color="auto" w:sz="12" w:space="0"/>
              <w:left w:val="single" w:color="auto" w:sz="12" w:space="0"/>
              <w:bottom w:val="single" w:color="auto" w:sz="12" w:space="0"/>
              <w:right w:val="single" w:color="auto" w:sz="12" w:space="0"/>
            </w:tcBorders>
            <w:vAlign w:val="center"/>
          </w:tcPr>
          <w:p>
            <w:pPr>
              <w:pStyle w:val="84"/>
              <w:spacing w:line="440" w:lineRule="exact"/>
              <w:ind w:left="1920" w:hanging="1920" w:hangingChars="800"/>
              <w:jc w:val="both"/>
              <w:rPr>
                <w:rFonts w:ascii="宋体" w:hAnsi="宋体"/>
                <w:color w:val="auto"/>
              </w:rPr>
            </w:pPr>
            <w:r>
              <w:rPr>
                <w:rFonts w:hint="eastAsia" w:ascii="宋体" w:hAnsi="宋体"/>
                <w:color w:val="auto"/>
              </w:rPr>
              <w:t>招标代理服务费：</w:t>
            </w:r>
            <w:r>
              <w:rPr>
                <w:rFonts w:hint="eastAsia" w:ascii="宋体" w:hAnsi="宋体" w:cs="宋体"/>
                <w:color w:val="auto"/>
              </w:rPr>
              <w:t>按照国家发改价格（2011）534号文及发改办价格[2015]299号文计算，项目招标代理服务费由中标人支付。</w:t>
            </w:r>
          </w:p>
        </w:tc>
      </w:tr>
      <w:tr>
        <w:tblPrEx>
          <w:tblCellMar>
            <w:top w:w="0" w:type="dxa"/>
            <w:left w:w="108" w:type="dxa"/>
            <w:bottom w:w="0" w:type="dxa"/>
            <w:right w:w="108" w:type="dxa"/>
          </w:tblCellMar>
        </w:tblPrEx>
        <w:trPr>
          <w:trHeight w:val="5167"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ind w:firstLine="120" w:firstLineChars="50"/>
              <w:rPr>
                <w:rFonts w:ascii="宋体" w:hAnsi="宋体" w:cs="宋体"/>
                <w:b/>
                <w:color w:val="auto"/>
                <w:kern w:val="2"/>
              </w:rPr>
            </w:pPr>
            <w:r>
              <w:rPr>
                <w:rFonts w:hint="eastAsia" w:ascii="宋体" w:hAnsi="宋体" w:cs="宋体"/>
                <w:b/>
                <w:color w:val="auto"/>
                <w:kern w:val="2"/>
              </w:rPr>
              <w:t xml:space="preserve"> 14</w:t>
            </w:r>
          </w:p>
        </w:tc>
        <w:tc>
          <w:tcPr>
            <w:tcW w:w="9553" w:type="dxa"/>
            <w:tcBorders>
              <w:top w:val="single" w:color="auto" w:sz="12" w:space="0"/>
              <w:left w:val="single" w:color="auto" w:sz="12" w:space="0"/>
              <w:bottom w:val="single" w:color="auto" w:sz="12" w:space="0"/>
              <w:right w:val="single" w:color="auto" w:sz="12" w:space="0"/>
            </w:tcBorders>
            <w:vAlign w:val="center"/>
          </w:tcPr>
          <w:p>
            <w:pPr>
              <w:widowControl/>
              <w:spacing w:line="440" w:lineRule="exact"/>
              <w:jc w:val="left"/>
              <w:rPr>
                <w:rFonts w:ascii="宋体" w:hAnsi="宋体" w:cs="宋体"/>
                <w:b/>
                <w:color w:val="auto"/>
                <w:sz w:val="24"/>
                <w:szCs w:val="24"/>
              </w:rPr>
            </w:pPr>
            <w:r>
              <w:rPr>
                <w:rFonts w:hint="eastAsia" w:ascii="宋体" w:hAnsi="宋体" w:cs="宋体"/>
                <w:b/>
                <w:color w:val="auto"/>
                <w:sz w:val="24"/>
                <w:szCs w:val="24"/>
              </w:rPr>
              <w:t>开标时须携带：</w:t>
            </w:r>
          </w:p>
          <w:p>
            <w:pPr>
              <w:widowControl/>
              <w:spacing w:line="440" w:lineRule="exact"/>
              <w:jc w:val="left"/>
              <w:rPr>
                <w:rFonts w:ascii="宋体" w:hAnsi="宋体" w:cs="宋体"/>
                <w:b/>
                <w:color w:val="auto"/>
                <w:sz w:val="24"/>
                <w:szCs w:val="24"/>
              </w:rPr>
            </w:pPr>
            <w:r>
              <w:rPr>
                <w:rFonts w:hint="eastAsia" w:ascii="宋体" w:hAnsi="宋体" w:cs="宋体"/>
                <w:b/>
                <w:color w:val="auto"/>
                <w:sz w:val="24"/>
                <w:szCs w:val="24"/>
              </w:rPr>
              <w:t>1、企业营业执照副本原件；</w:t>
            </w:r>
          </w:p>
          <w:p>
            <w:pPr>
              <w:widowControl/>
              <w:spacing w:line="440" w:lineRule="exact"/>
              <w:jc w:val="left"/>
              <w:rPr>
                <w:rFonts w:ascii="宋体" w:hAnsi="宋体" w:cs="宋体"/>
                <w:b/>
                <w:color w:val="auto"/>
                <w:sz w:val="24"/>
                <w:szCs w:val="24"/>
              </w:rPr>
            </w:pPr>
            <w:r>
              <w:rPr>
                <w:rFonts w:hint="eastAsia" w:ascii="宋体" w:hAnsi="宋体" w:cs="宋体"/>
                <w:b/>
                <w:color w:val="auto"/>
                <w:sz w:val="24"/>
                <w:szCs w:val="24"/>
              </w:rPr>
              <w:t>2、“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加盖公章）；</w:t>
            </w:r>
          </w:p>
          <w:p>
            <w:pPr>
              <w:widowControl/>
              <w:spacing w:line="440" w:lineRule="exact"/>
              <w:jc w:val="left"/>
              <w:rPr>
                <w:rFonts w:ascii="宋体" w:hAnsi="宋体" w:cs="宋体"/>
                <w:b/>
                <w:color w:val="auto"/>
                <w:sz w:val="24"/>
                <w:szCs w:val="24"/>
              </w:rPr>
            </w:pPr>
            <w:r>
              <w:rPr>
                <w:rFonts w:hint="eastAsia" w:ascii="宋体" w:hAnsi="宋体" w:cs="宋体"/>
                <w:b/>
                <w:color w:val="auto"/>
                <w:sz w:val="24"/>
                <w:szCs w:val="24"/>
              </w:rPr>
              <w:t>3、法定代表人参加时提供：身份证原件，或委托代理人参加时提供：身份证原件、法定代表人身份证明、授权委托书原件；</w:t>
            </w:r>
          </w:p>
          <w:p>
            <w:pPr>
              <w:widowControl/>
              <w:spacing w:line="440" w:lineRule="exact"/>
              <w:jc w:val="left"/>
              <w:rPr>
                <w:rFonts w:ascii="宋体" w:hAnsi="宋体" w:cs="宋体"/>
                <w:b/>
                <w:color w:val="auto"/>
                <w:sz w:val="24"/>
                <w:szCs w:val="24"/>
              </w:rPr>
            </w:pPr>
            <w:r>
              <w:rPr>
                <w:rFonts w:hint="eastAsia" w:ascii="宋体" w:hAnsi="宋体" w:cs="宋体"/>
                <w:b/>
                <w:color w:val="auto"/>
                <w:sz w:val="24"/>
                <w:szCs w:val="24"/>
              </w:rPr>
              <w:t>4、投标保证金汇款凭证；</w:t>
            </w:r>
          </w:p>
          <w:p>
            <w:pPr>
              <w:pStyle w:val="3"/>
              <w:rPr>
                <w:rFonts w:hint="eastAsia" w:eastAsia="宋体"/>
                <w:lang w:val="en-US" w:eastAsia="zh-CN"/>
              </w:rPr>
            </w:pPr>
            <w:r>
              <w:rPr>
                <w:rFonts w:hint="eastAsia" w:ascii="宋体" w:hAnsi="宋体" w:cs="宋体"/>
                <w:b/>
                <w:color w:val="auto"/>
                <w:sz w:val="24"/>
                <w:szCs w:val="24"/>
                <w:lang w:val="en-US" w:eastAsia="zh-CN"/>
              </w:rPr>
              <w:t>5</w:t>
            </w:r>
            <w:r>
              <w:rPr>
                <w:rFonts w:hint="eastAsia" w:ascii="宋体" w:hAnsi="宋体" w:cs="宋体"/>
                <w:b/>
                <w:color w:val="auto"/>
                <w:sz w:val="24"/>
                <w:szCs w:val="24"/>
              </w:rPr>
              <w:t>、医疗器械生产许可证或医疗器械经营许可证原件</w:t>
            </w:r>
            <w:r>
              <w:rPr>
                <w:rFonts w:hint="eastAsia" w:ascii="宋体" w:hAnsi="宋体" w:cs="宋体"/>
                <w:b/>
                <w:color w:val="auto"/>
                <w:sz w:val="24"/>
                <w:szCs w:val="24"/>
                <w:lang w:eastAsia="zh-CN"/>
              </w:rPr>
              <w:t>。</w:t>
            </w:r>
          </w:p>
          <w:p>
            <w:pPr>
              <w:widowControl/>
              <w:spacing w:line="440" w:lineRule="exact"/>
              <w:jc w:val="left"/>
              <w:rPr>
                <w:rFonts w:ascii="宋体" w:hAnsi="宋体" w:cs="宋体"/>
                <w:b/>
                <w:color w:val="auto"/>
                <w:sz w:val="24"/>
                <w:szCs w:val="24"/>
              </w:rPr>
            </w:pPr>
            <w:r>
              <w:rPr>
                <w:rFonts w:hint="eastAsia" w:ascii="宋体" w:hAnsi="宋体" w:cs="宋体"/>
                <w:b/>
                <w:color w:val="auto"/>
                <w:sz w:val="24"/>
                <w:szCs w:val="24"/>
              </w:rPr>
              <w:t>注：无法提供以上资料的投标人为无效投标人，其投标文件不予开封并退回投标人。</w:t>
            </w:r>
          </w:p>
        </w:tc>
      </w:tr>
      <w:tr>
        <w:tblPrEx>
          <w:tblCellMar>
            <w:top w:w="0" w:type="dxa"/>
            <w:left w:w="108" w:type="dxa"/>
            <w:bottom w:w="0" w:type="dxa"/>
            <w:right w:w="108" w:type="dxa"/>
          </w:tblCellMar>
        </w:tblPrEx>
        <w:trPr>
          <w:trHeight w:val="5167"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overflowPunct w:val="0"/>
              <w:jc w:val="center"/>
              <w:rPr>
                <w:rFonts w:ascii="宋体" w:hAnsi="宋体"/>
                <w:color w:val="auto"/>
                <w:kern w:val="0"/>
                <w:sz w:val="24"/>
                <w:szCs w:val="24"/>
              </w:rPr>
            </w:pPr>
            <w:r>
              <w:rPr>
                <w:rFonts w:hint="eastAsia" w:ascii="宋体" w:hAnsi="宋体"/>
                <w:color w:val="auto"/>
                <w:kern w:val="0"/>
                <w:sz w:val="24"/>
                <w:szCs w:val="24"/>
              </w:rPr>
              <w:t>15</w:t>
            </w:r>
          </w:p>
        </w:tc>
        <w:tc>
          <w:tcPr>
            <w:tcW w:w="9553" w:type="dxa"/>
            <w:tcBorders>
              <w:top w:val="single" w:color="auto" w:sz="12" w:space="0"/>
              <w:left w:val="single" w:color="auto" w:sz="12" w:space="0"/>
              <w:bottom w:val="single" w:color="auto" w:sz="12" w:space="0"/>
              <w:right w:val="single" w:color="auto" w:sz="12" w:space="0"/>
            </w:tcBorders>
            <w:vAlign w:val="center"/>
          </w:tcPr>
          <w:p>
            <w:pPr>
              <w:overflowPunct w:val="0"/>
              <w:rPr>
                <w:rFonts w:ascii="宋体" w:hAnsi="宋体"/>
                <w:b/>
                <w:bCs/>
                <w:color w:val="auto"/>
                <w:kern w:val="0"/>
                <w:sz w:val="24"/>
                <w:szCs w:val="24"/>
              </w:rPr>
            </w:pPr>
            <w:r>
              <w:rPr>
                <w:rFonts w:hint="eastAsia" w:ascii="宋体" w:hAnsi="宋体"/>
                <w:b/>
                <w:bCs/>
                <w:color w:val="auto"/>
                <w:kern w:val="0"/>
                <w:sz w:val="24"/>
                <w:szCs w:val="24"/>
              </w:rPr>
              <w:t>低于成本价不正当竞争预防措施：</w:t>
            </w:r>
          </w:p>
          <w:p>
            <w:pPr>
              <w:overflowPunct w:val="0"/>
              <w:ind w:firstLine="480" w:firstLineChars="200"/>
              <w:rPr>
                <w:rFonts w:ascii="宋体" w:hAnsi="宋体"/>
                <w:color w:val="auto"/>
                <w:kern w:val="0"/>
                <w:sz w:val="24"/>
                <w:szCs w:val="24"/>
              </w:rPr>
            </w:pPr>
            <w:r>
              <w:rPr>
                <w:rFonts w:hint="eastAsia" w:ascii="宋体" w:hAnsi="宋体"/>
                <w:color w:val="auto"/>
                <w:kern w:val="0"/>
                <w:sz w:val="24"/>
                <w:szCs w:val="24"/>
              </w:rPr>
              <w:t>在评标过程中，评标委员会认为投标人报价明显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ind w:firstLine="480" w:firstLineChars="200"/>
              <w:rPr>
                <w:rFonts w:ascii="宋体" w:hAnsi="宋体"/>
                <w:color w:val="auto"/>
                <w:kern w:val="0"/>
                <w:sz w:val="24"/>
                <w:szCs w:val="24"/>
              </w:rPr>
            </w:pPr>
            <w:r>
              <w:rPr>
                <w:rFonts w:hint="eastAsia" w:ascii="宋体" w:hAnsi="宋体"/>
                <w:color w:val="auto"/>
                <w:kern w:val="0"/>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40" w:lineRule="exact"/>
              <w:ind w:firstLine="480" w:firstLineChars="200"/>
              <w:rPr>
                <w:rFonts w:ascii="宋体" w:hAnsi="宋体"/>
                <w:color w:val="auto"/>
                <w:kern w:val="0"/>
                <w:sz w:val="24"/>
                <w:szCs w:val="24"/>
              </w:rPr>
            </w:pPr>
            <w:r>
              <w:rPr>
                <w:rFonts w:hint="eastAsia" w:ascii="宋体" w:hAnsi="宋体"/>
                <w:color w:val="auto"/>
                <w:kern w:val="0"/>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bl>
    <w:p>
      <w:pPr>
        <w:pStyle w:val="84"/>
        <w:spacing w:line="500" w:lineRule="exact"/>
        <w:jc w:val="both"/>
        <w:outlineLvl w:val="0"/>
        <w:rPr>
          <w:rFonts w:ascii="宋体" w:hAnsi="宋体"/>
          <w:b/>
          <w:color w:val="auto"/>
          <w:sz w:val="30"/>
          <w:szCs w:val="30"/>
        </w:rPr>
      </w:pPr>
      <w:bookmarkStart w:id="1" w:name="_Toc2189"/>
    </w:p>
    <w:p>
      <w:pPr>
        <w:pStyle w:val="84"/>
        <w:spacing w:line="500" w:lineRule="exact"/>
        <w:jc w:val="center"/>
        <w:outlineLvl w:val="0"/>
        <w:rPr>
          <w:rFonts w:hint="eastAsia" w:ascii="宋体" w:hAnsi="宋体"/>
          <w:b/>
          <w:color w:val="auto"/>
          <w:sz w:val="30"/>
          <w:szCs w:val="30"/>
        </w:rPr>
      </w:pPr>
    </w:p>
    <w:p>
      <w:pPr>
        <w:pStyle w:val="84"/>
        <w:spacing w:line="500" w:lineRule="exact"/>
        <w:jc w:val="center"/>
        <w:outlineLvl w:val="0"/>
        <w:rPr>
          <w:rFonts w:hint="eastAsia" w:ascii="宋体" w:hAnsi="宋体"/>
          <w:b/>
          <w:color w:val="auto"/>
          <w:sz w:val="30"/>
          <w:szCs w:val="30"/>
        </w:rPr>
      </w:pPr>
    </w:p>
    <w:p>
      <w:pPr>
        <w:pStyle w:val="84"/>
        <w:spacing w:line="500" w:lineRule="exact"/>
        <w:jc w:val="both"/>
        <w:outlineLvl w:val="0"/>
        <w:rPr>
          <w:rFonts w:hint="eastAsia" w:ascii="宋体" w:hAnsi="宋体"/>
          <w:b/>
          <w:color w:val="auto"/>
          <w:sz w:val="30"/>
          <w:szCs w:val="30"/>
        </w:rPr>
      </w:pPr>
    </w:p>
    <w:p>
      <w:pPr>
        <w:pStyle w:val="84"/>
        <w:spacing w:line="500" w:lineRule="exact"/>
        <w:jc w:val="both"/>
        <w:outlineLvl w:val="0"/>
        <w:rPr>
          <w:rFonts w:hint="eastAsia" w:ascii="宋体" w:hAnsi="宋体"/>
          <w:b/>
          <w:color w:val="auto"/>
          <w:sz w:val="30"/>
          <w:szCs w:val="30"/>
        </w:rPr>
      </w:pPr>
    </w:p>
    <w:p>
      <w:pPr>
        <w:pStyle w:val="84"/>
        <w:spacing w:line="500" w:lineRule="exact"/>
        <w:jc w:val="center"/>
        <w:outlineLvl w:val="0"/>
        <w:rPr>
          <w:rFonts w:ascii="宋体" w:hAnsi="宋体"/>
          <w:b/>
          <w:color w:val="auto"/>
          <w:sz w:val="30"/>
          <w:szCs w:val="30"/>
        </w:rPr>
      </w:pPr>
      <w:r>
        <w:rPr>
          <w:rFonts w:hint="eastAsia" w:ascii="宋体" w:hAnsi="宋体"/>
          <w:b/>
          <w:color w:val="auto"/>
          <w:sz w:val="30"/>
          <w:szCs w:val="30"/>
        </w:rPr>
        <w:t>第一章 招标公告</w:t>
      </w:r>
    </w:p>
    <w:bookmarkEnd w:id="1"/>
    <w:p>
      <w:pPr>
        <w:pStyle w:val="37"/>
        <w:spacing w:before="255" w:beforeAutospacing="0" w:after="255" w:afterAutospacing="0" w:line="360" w:lineRule="exact"/>
        <w:jc w:val="center"/>
        <w:rPr>
          <w:rFonts w:hint="eastAsia" w:ascii="仿宋" w:hAnsi="仿宋" w:eastAsia="仿宋" w:cs="仿宋"/>
          <w:sz w:val="32"/>
          <w:szCs w:val="32"/>
          <w:lang w:val="en-US" w:eastAsia="zh-CN"/>
        </w:rPr>
      </w:pPr>
      <w:bookmarkStart w:id="2" w:name="_Toc6564"/>
      <w:r>
        <w:rPr>
          <w:rFonts w:hint="eastAsia" w:ascii="仿宋" w:hAnsi="仿宋" w:eastAsia="仿宋" w:cs="仿宋"/>
          <w:sz w:val="32"/>
          <w:szCs w:val="32"/>
          <w:lang w:eastAsia="zh-CN"/>
        </w:rPr>
        <w:t>霍城县妇幼保健院建设核酸检测</w:t>
      </w:r>
      <w:r>
        <w:rPr>
          <w:rFonts w:hint="eastAsia" w:ascii="仿宋" w:hAnsi="仿宋" w:eastAsia="仿宋" w:cs="仿宋"/>
          <w:sz w:val="32"/>
          <w:szCs w:val="32"/>
          <w:lang w:val="en-US" w:eastAsia="zh-CN"/>
        </w:rPr>
        <w:t>(PCR）实验室采购项目</w:t>
      </w:r>
    </w:p>
    <w:p>
      <w:pPr>
        <w:pStyle w:val="37"/>
        <w:spacing w:before="255" w:beforeAutospacing="0" w:after="255" w:afterAutospacing="0" w:line="360" w:lineRule="exact"/>
        <w:jc w:val="both"/>
        <w:rPr>
          <w:rFonts w:ascii="黑体" w:eastAsia="黑体" w:cs="黑体"/>
          <w:sz w:val="27"/>
          <w:szCs w:val="27"/>
        </w:rPr>
      </w:pPr>
      <w:r>
        <w:rPr>
          <w:rStyle w:val="45"/>
          <w:rFonts w:ascii="黑体" w:eastAsia="黑体" w:cs="黑体"/>
          <w:sz w:val="27"/>
          <w:szCs w:val="27"/>
        </w:rPr>
        <w:t>一、</w:t>
      </w:r>
      <w:r>
        <w:rPr>
          <w:rStyle w:val="45"/>
          <w:rFonts w:hint="eastAsia" w:ascii="黑体" w:eastAsia="黑体" w:cs="黑体"/>
          <w:sz w:val="27"/>
          <w:szCs w:val="27"/>
        </w:rPr>
        <w:t>项目基本情况</w:t>
      </w:r>
    </w:p>
    <w:p>
      <w:pPr>
        <w:pStyle w:val="37"/>
        <w:spacing w:line="360" w:lineRule="exact"/>
        <w:ind w:firstLine="540" w:firstLineChars="200"/>
        <w:rPr>
          <w:rFonts w:hint="default" w:ascii="仿宋" w:hAnsi="仿宋" w:eastAsia="仿宋" w:cs="仿宋"/>
          <w:color w:val="auto"/>
          <w:sz w:val="27"/>
          <w:szCs w:val="27"/>
          <w:lang w:val="en-US" w:eastAsia="zh-CN"/>
        </w:rPr>
      </w:pPr>
      <w:r>
        <w:rPr>
          <w:rFonts w:ascii="仿宋" w:hAnsi="仿宋" w:eastAsia="仿宋" w:cs="仿宋"/>
          <w:color w:val="auto"/>
          <w:sz w:val="27"/>
          <w:szCs w:val="27"/>
        </w:rPr>
        <w:t>项目编号：</w:t>
      </w:r>
      <w:r>
        <w:rPr>
          <w:rFonts w:hint="eastAsia" w:ascii="仿宋" w:hAnsi="仿宋" w:eastAsia="仿宋" w:cs="仿宋"/>
          <w:color w:val="auto"/>
          <w:sz w:val="27"/>
          <w:szCs w:val="27"/>
        </w:rPr>
        <w:t>HYYL-2021-</w:t>
      </w:r>
      <w:r>
        <w:rPr>
          <w:rFonts w:hint="eastAsia" w:ascii="仿宋" w:hAnsi="仿宋" w:eastAsia="仿宋" w:cs="仿宋"/>
          <w:color w:val="auto"/>
          <w:sz w:val="27"/>
          <w:szCs w:val="27"/>
          <w:lang w:val="en-US" w:eastAsia="zh-CN"/>
        </w:rPr>
        <w:t>138</w:t>
      </w:r>
    </w:p>
    <w:p>
      <w:pPr>
        <w:pStyle w:val="37"/>
        <w:spacing w:line="360" w:lineRule="exact"/>
        <w:ind w:left="1887" w:leftChars="256" w:hanging="1350" w:hangingChars="500"/>
        <w:rPr>
          <w:rFonts w:hint="eastAsia" w:ascii="仿宋" w:hAnsi="仿宋" w:eastAsia="仿宋" w:cs="仿宋"/>
          <w:color w:val="auto"/>
          <w:sz w:val="27"/>
          <w:szCs w:val="27"/>
          <w:lang w:eastAsia="zh-CN"/>
        </w:rPr>
      </w:pPr>
      <w:r>
        <w:rPr>
          <w:rFonts w:hint="eastAsia" w:ascii="仿宋" w:hAnsi="仿宋" w:eastAsia="仿宋" w:cs="仿宋"/>
          <w:color w:val="auto"/>
          <w:sz w:val="27"/>
          <w:szCs w:val="27"/>
        </w:rPr>
        <w:t>项目名称：霍城县妇幼保健院建设核酸检测(PCR）实验室采购项目</w:t>
      </w:r>
    </w:p>
    <w:p>
      <w:pPr>
        <w:pStyle w:val="37"/>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采购方式：公开招标</w:t>
      </w:r>
    </w:p>
    <w:p>
      <w:pPr>
        <w:pStyle w:val="37"/>
        <w:spacing w:line="360" w:lineRule="exact"/>
        <w:rPr>
          <w:rFonts w:hint="default" w:eastAsia="仿宋"/>
          <w:color w:val="auto"/>
          <w:lang w:val="en-US" w:eastAsia="zh-CN"/>
        </w:rPr>
      </w:pPr>
      <w:r>
        <w:rPr>
          <w:rFonts w:hint="eastAsia" w:ascii="仿宋" w:hAnsi="仿宋" w:eastAsia="仿宋" w:cs="仿宋"/>
          <w:color w:val="auto"/>
          <w:sz w:val="27"/>
          <w:szCs w:val="27"/>
        </w:rPr>
        <w:t>     预算金额（元）：</w:t>
      </w:r>
      <w:r>
        <w:rPr>
          <w:rFonts w:hint="eastAsia" w:ascii="仿宋" w:hAnsi="仿宋" w:eastAsia="仿宋" w:cs="仿宋"/>
          <w:color w:val="auto"/>
          <w:sz w:val="27"/>
          <w:szCs w:val="27"/>
          <w:lang w:val="en-US" w:eastAsia="zh-CN"/>
        </w:rPr>
        <w:t>8099082</w:t>
      </w:r>
    </w:p>
    <w:p>
      <w:pPr>
        <w:pStyle w:val="37"/>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最高限价（元）：</w:t>
      </w:r>
      <w:r>
        <w:rPr>
          <w:rFonts w:hint="eastAsia" w:ascii="仿宋" w:hAnsi="仿宋" w:eastAsia="仿宋" w:cs="仿宋"/>
          <w:color w:val="auto"/>
          <w:sz w:val="27"/>
          <w:szCs w:val="27"/>
          <w:lang w:val="en-US" w:eastAsia="zh-CN"/>
        </w:rPr>
        <w:t>5399740、2699342</w:t>
      </w:r>
      <w:r>
        <w:rPr>
          <w:rFonts w:hint="eastAsia" w:ascii="仿宋" w:hAnsi="仿宋" w:eastAsia="仿宋" w:cs="仿宋"/>
          <w:color w:val="auto"/>
          <w:sz w:val="27"/>
          <w:szCs w:val="27"/>
        </w:rPr>
        <w:t xml:space="preserve">  </w:t>
      </w:r>
    </w:p>
    <w:p>
      <w:pPr>
        <w:pStyle w:val="37"/>
        <w:spacing w:line="360" w:lineRule="exact"/>
        <w:ind w:firstLine="540" w:firstLineChars="200"/>
        <w:rPr>
          <w:color w:val="auto"/>
        </w:rPr>
      </w:pPr>
      <w:r>
        <w:rPr>
          <w:rFonts w:hint="eastAsia" w:ascii="仿宋" w:hAnsi="仿宋" w:eastAsia="仿宋" w:cs="仿宋"/>
          <w:color w:val="auto"/>
          <w:sz w:val="27"/>
          <w:szCs w:val="27"/>
        </w:rPr>
        <w:t>采购需求：</w:t>
      </w:r>
    </w:p>
    <w:p>
      <w:pPr>
        <w:pStyle w:val="37"/>
        <w:spacing w:line="360" w:lineRule="exact"/>
        <w:ind w:left="537" w:leftChars="256" w:firstLine="0" w:firstLineChars="0"/>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lang w:eastAsia="zh-CN"/>
        </w:rPr>
        <w:t>标项一：</w:t>
      </w:r>
      <w:r>
        <w:rPr>
          <w:rFonts w:hint="eastAsia" w:ascii="仿宋" w:hAnsi="仿宋" w:eastAsia="仿宋" w:cs="仿宋"/>
          <w:color w:val="auto"/>
          <w:sz w:val="27"/>
          <w:szCs w:val="27"/>
        </w:rPr>
        <w:br w:type="textWrapping"/>
      </w:r>
      <w:r>
        <w:rPr>
          <w:rFonts w:hint="eastAsia" w:ascii="仿宋" w:hAnsi="仿宋" w:eastAsia="仿宋" w:cs="仿宋"/>
          <w:color w:val="auto"/>
          <w:sz w:val="27"/>
          <w:szCs w:val="27"/>
        </w:rPr>
        <w:t>标项名称:</w:t>
      </w:r>
      <w:r>
        <w:rPr>
          <w:rFonts w:hint="eastAsia" w:ascii="仿宋" w:hAnsi="仿宋" w:eastAsia="仿宋" w:cs="仿宋"/>
          <w:color w:val="auto"/>
          <w:sz w:val="27"/>
          <w:szCs w:val="27"/>
          <w:lang w:eastAsia="zh-CN"/>
        </w:rPr>
        <w:t>实验室设备仪器</w:t>
      </w:r>
      <w:r>
        <w:rPr>
          <w:rFonts w:hint="eastAsia" w:ascii="仿宋" w:hAnsi="仿宋" w:eastAsia="仿宋" w:cs="仿宋"/>
          <w:color w:val="auto"/>
          <w:sz w:val="27"/>
          <w:szCs w:val="27"/>
        </w:rPr>
        <w:t>采购</w:t>
      </w:r>
    </w:p>
    <w:p>
      <w:pPr>
        <w:pStyle w:val="37"/>
        <w:spacing w:line="360" w:lineRule="exact"/>
        <w:ind w:left="537" w:leftChars="256"/>
        <w:rPr>
          <w:rFonts w:ascii="仿宋" w:hAnsi="仿宋" w:eastAsia="仿宋" w:cs="仿宋"/>
          <w:color w:val="auto"/>
          <w:sz w:val="27"/>
          <w:szCs w:val="27"/>
        </w:rPr>
      </w:pPr>
      <w:r>
        <w:rPr>
          <w:rFonts w:hint="eastAsia" w:ascii="仿宋" w:hAnsi="仿宋" w:eastAsia="仿宋" w:cs="仿宋"/>
          <w:color w:val="auto"/>
          <w:sz w:val="27"/>
          <w:szCs w:val="27"/>
        </w:rPr>
        <w:t>数量:1</w:t>
      </w:r>
      <w:r>
        <w:rPr>
          <w:rFonts w:hint="eastAsia" w:ascii="仿宋" w:hAnsi="仿宋" w:eastAsia="仿宋" w:cs="仿宋"/>
          <w:color w:val="auto"/>
          <w:sz w:val="27"/>
          <w:szCs w:val="27"/>
          <w:lang w:val="en-US" w:eastAsia="zh-CN"/>
        </w:rPr>
        <w:t xml:space="preserve">          </w:t>
      </w:r>
      <w:r>
        <w:rPr>
          <w:rFonts w:hint="eastAsia" w:ascii="仿宋" w:hAnsi="仿宋" w:eastAsia="仿宋" w:cs="仿宋"/>
          <w:color w:val="auto"/>
          <w:sz w:val="27"/>
          <w:szCs w:val="27"/>
        </w:rPr>
        <w:t>单位：批</w:t>
      </w:r>
    </w:p>
    <w:p>
      <w:pPr>
        <w:pStyle w:val="37"/>
        <w:spacing w:line="360" w:lineRule="exact"/>
        <w:ind w:left="537" w:leftChars="256"/>
        <w:rPr>
          <w:rFonts w:hint="eastAsia" w:ascii="仿宋" w:hAnsi="仿宋" w:eastAsia="仿宋" w:cs="仿宋"/>
          <w:color w:val="auto"/>
          <w:sz w:val="27"/>
          <w:szCs w:val="27"/>
          <w:lang w:eastAsia="zh-CN"/>
        </w:rPr>
      </w:pPr>
      <w:r>
        <w:rPr>
          <w:rFonts w:hint="eastAsia" w:ascii="仿宋" w:hAnsi="仿宋" w:eastAsia="仿宋" w:cs="仿宋"/>
          <w:color w:val="auto"/>
          <w:sz w:val="27"/>
          <w:szCs w:val="27"/>
        </w:rPr>
        <w:t>简要规格描述：</w:t>
      </w:r>
      <w:r>
        <w:rPr>
          <w:rFonts w:hint="eastAsia" w:ascii="仿宋" w:hAnsi="仿宋" w:eastAsia="仿宋" w:cs="仿宋"/>
          <w:color w:val="auto"/>
          <w:sz w:val="27"/>
          <w:szCs w:val="27"/>
          <w:lang w:eastAsia="zh-CN"/>
        </w:rPr>
        <w:t>实验室设备仪器</w:t>
      </w:r>
      <w:r>
        <w:rPr>
          <w:rFonts w:hint="eastAsia" w:ascii="仿宋" w:hAnsi="仿宋" w:eastAsia="仿宋" w:cs="仿宋"/>
          <w:color w:val="auto"/>
          <w:sz w:val="27"/>
          <w:szCs w:val="27"/>
        </w:rPr>
        <w:t>采购</w:t>
      </w:r>
    </w:p>
    <w:p>
      <w:pPr>
        <w:pStyle w:val="37"/>
        <w:spacing w:line="360" w:lineRule="exact"/>
        <w:ind w:left="537" w:leftChars="256" w:firstLine="0" w:firstLineChars="0"/>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lang w:eastAsia="zh-CN"/>
        </w:rPr>
        <w:t>标项二：</w:t>
      </w:r>
      <w:r>
        <w:rPr>
          <w:rFonts w:hint="eastAsia" w:ascii="仿宋" w:hAnsi="仿宋" w:eastAsia="仿宋" w:cs="仿宋"/>
          <w:color w:val="auto"/>
          <w:sz w:val="27"/>
          <w:szCs w:val="27"/>
        </w:rPr>
        <w:br w:type="textWrapping"/>
      </w:r>
      <w:r>
        <w:rPr>
          <w:rFonts w:hint="eastAsia" w:ascii="仿宋" w:hAnsi="仿宋" w:eastAsia="仿宋" w:cs="仿宋"/>
          <w:color w:val="auto"/>
          <w:sz w:val="27"/>
          <w:szCs w:val="27"/>
        </w:rPr>
        <w:t>标项名称:</w:t>
      </w:r>
      <w:r>
        <w:rPr>
          <w:rFonts w:hint="eastAsia" w:ascii="仿宋" w:hAnsi="仿宋" w:eastAsia="仿宋" w:cs="仿宋"/>
          <w:color w:val="auto"/>
          <w:sz w:val="27"/>
          <w:szCs w:val="27"/>
          <w:lang w:eastAsia="zh-CN"/>
        </w:rPr>
        <w:t>实验室装修改造</w:t>
      </w:r>
      <w:r>
        <w:rPr>
          <w:rFonts w:hint="eastAsia" w:ascii="仿宋" w:hAnsi="仿宋" w:eastAsia="仿宋" w:cs="仿宋"/>
          <w:color w:val="auto"/>
          <w:sz w:val="27"/>
          <w:szCs w:val="27"/>
        </w:rPr>
        <w:t>设备采购</w:t>
      </w:r>
    </w:p>
    <w:p>
      <w:pPr>
        <w:pStyle w:val="37"/>
        <w:spacing w:line="360" w:lineRule="exact"/>
        <w:ind w:left="537" w:leftChars="256"/>
        <w:rPr>
          <w:rFonts w:ascii="仿宋" w:hAnsi="仿宋" w:eastAsia="仿宋" w:cs="仿宋"/>
          <w:color w:val="auto"/>
          <w:sz w:val="27"/>
          <w:szCs w:val="27"/>
        </w:rPr>
      </w:pPr>
      <w:r>
        <w:rPr>
          <w:rFonts w:hint="eastAsia" w:ascii="仿宋" w:hAnsi="仿宋" w:eastAsia="仿宋" w:cs="仿宋"/>
          <w:color w:val="auto"/>
          <w:sz w:val="27"/>
          <w:szCs w:val="27"/>
        </w:rPr>
        <w:t>数量:1</w:t>
      </w:r>
      <w:r>
        <w:rPr>
          <w:rFonts w:hint="eastAsia" w:ascii="仿宋" w:hAnsi="仿宋" w:eastAsia="仿宋" w:cs="仿宋"/>
          <w:color w:val="auto"/>
          <w:sz w:val="27"/>
          <w:szCs w:val="27"/>
          <w:lang w:val="en-US" w:eastAsia="zh-CN"/>
        </w:rPr>
        <w:t xml:space="preserve">          </w:t>
      </w:r>
      <w:r>
        <w:rPr>
          <w:rFonts w:hint="eastAsia" w:ascii="仿宋" w:hAnsi="仿宋" w:eastAsia="仿宋" w:cs="仿宋"/>
          <w:color w:val="auto"/>
          <w:sz w:val="27"/>
          <w:szCs w:val="27"/>
        </w:rPr>
        <w:t>单位：批</w:t>
      </w:r>
    </w:p>
    <w:p>
      <w:pPr>
        <w:pStyle w:val="37"/>
        <w:spacing w:line="360" w:lineRule="exact"/>
        <w:ind w:left="537" w:leftChars="256"/>
        <w:rPr>
          <w:rFonts w:hint="eastAsia" w:ascii="仿宋" w:hAnsi="仿宋" w:eastAsia="仿宋" w:cs="仿宋"/>
          <w:color w:val="auto"/>
          <w:sz w:val="27"/>
          <w:szCs w:val="27"/>
        </w:rPr>
      </w:pPr>
      <w:r>
        <w:rPr>
          <w:rFonts w:hint="eastAsia" w:ascii="仿宋" w:hAnsi="仿宋" w:eastAsia="仿宋" w:cs="仿宋"/>
          <w:color w:val="auto"/>
          <w:sz w:val="27"/>
          <w:szCs w:val="27"/>
        </w:rPr>
        <w:t>简要规格描述：实验室装修改造设备采购</w:t>
      </w:r>
    </w:p>
    <w:p>
      <w:pPr>
        <w:pStyle w:val="37"/>
        <w:spacing w:line="360" w:lineRule="exact"/>
        <w:ind w:left="537" w:leftChars="256"/>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合同履约期限：</w:t>
      </w:r>
      <w:r>
        <w:rPr>
          <w:rFonts w:hint="eastAsia" w:ascii="仿宋" w:hAnsi="仿宋" w:eastAsia="仿宋" w:cs="仿宋"/>
          <w:color w:val="auto"/>
          <w:sz w:val="27"/>
          <w:szCs w:val="27"/>
          <w:lang w:val="en-US" w:eastAsia="zh-CN"/>
        </w:rPr>
        <w:t>15</w:t>
      </w:r>
      <w:r>
        <w:rPr>
          <w:rFonts w:hint="eastAsia" w:ascii="仿宋" w:hAnsi="仿宋" w:eastAsia="仿宋" w:cs="仿宋"/>
          <w:color w:val="auto"/>
          <w:sz w:val="27"/>
          <w:szCs w:val="27"/>
        </w:rPr>
        <w:t>天</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lang w:val="en-US" w:eastAsia="zh-CN"/>
        </w:rPr>
        <w:t>10天</w:t>
      </w:r>
    </w:p>
    <w:p>
      <w:pPr>
        <w:pStyle w:val="37"/>
        <w:spacing w:line="360" w:lineRule="exact"/>
        <w:ind w:left="537" w:leftChars="256"/>
        <w:rPr>
          <w:rFonts w:ascii="仿宋" w:hAnsi="仿宋" w:eastAsia="仿宋" w:cs="仿宋"/>
          <w:sz w:val="27"/>
          <w:szCs w:val="27"/>
        </w:rPr>
      </w:pPr>
      <w:r>
        <w:rPr>
          <w:rFonts w:hint="eastAsia" w:ascii="仿宋" w:hAnsi="仿宋" w:eastAsia="仿宋" w:cs="仿宋"/>
          <w:sz w:val="27"/>
          <w:szCs w:val="27"/>
        </w:rPr>
        <w:t>本项目（否）接受联合体投标。</w:t>
      </w:r>
    </w:p>
    <w:p>
      <w:pPr>
        <w:pStyle w:val="37"/>
        <w:spacing w:line="360" w:lineRule="exact"/>
        <w:rPr>
          <w:rStyle w:val="45"/>
          <w:rFonts w:ascii="黑体" w:eastAsia="黑体" w:cs="黑体"/>
          <w:sz w:val="27"/>
          <w:szCs w:val="27"/>
        </w:rPr>
      </w:pPr>
      <w:r>
        <w:rPr>
          <w:rStyle w:val="45"/>
          <w:rFonts w:ascii="黑体" w:eastAsia="黑体" w:cs="黑体"/>
          <w:sz w:val="27"/>
          <w:szCs w:val="27"/>
        </w:rPr>
        <w:t>二、申请人的资格要求：</w:t>
      </w:r>
    </w:p>
    <w:p>
      <w:pPr>
        <w:ind w:firstLine="540" w:firstLineChars="200"/>
        <w:rPr>
          <w:rFonts w:ascii="仿宋" w:hAnsi="仿宋" w:eastAsia="仿宋" w:cs="仿宋"/>
          <w:kern w:val="0"/>
          <w:sz w:val="27"/>
          <w:szCs w:val="27"/>
        </w:rPr>
      </w:pPr>
      <w:r>
        <w:rPr>
          <w:rFonts w:hint="eastAsia" w:ascii="仿宋" w:hAnsi="仿宋" w:eastAsia="仿宋" w:cs="仿宋"/>
          <w:kern w:val="0"/>
          <w:sz w:val="27"/>
          <w:szCs w:val="27"/>
        </w:rPr>
        <w:t>1.满足《中华人民共和国政府采购法》第二十二条规定；</w:t>
      </w:r>
    </w:p>
    <w:p>
      <w:pPr>
        <w:pStyle w:val="37"/>
        <w:spacing w:before="75" w:beforeAutospacing="0" w:after="75" w:afterAutospacing="0"/>
        <w:ind w:firstLine="540" w:firstLineChars="200"/>
        <w:rPr>
          <w:rFonts w:ascii="仿宋" w:hAnsi="仿宋" w:eastAsia="仿宋" w:cs="仿宋"/>
          <w:sz w:val="27"/>
          <w:szCs w:val="27"/>
        </w:rPr>
      </w:pPr>
      <w:r>
        <w:rPr>
          <w:rFonts w:hint="eastAsia" w:ascii="仿宋" w:hAnsi="仿宋" w:eastAsia="仿宋" w:cs="仿宋"/>
          <w:sz w:val="27"/>
          <w:szCs w:val="27"/>
        </w:rPr>
        <w:t>2.落实政府采购政策需满足的资格要求：</w:t>
      </w:r>
    </w:p>
    <w:p>
      <w:pPr>
        <w:pStyle w:val="37"/>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 xml:space="preserve">（一）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 </w:t>
      </w:r>
    </w:p>
    <w:p>
      <w:pPr>
        <w:pStyle w:val="37"/>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 xml:space="preserve">（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pStyle w:val="37"/>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pStyle w:val="37"/>
        <w:spacing w:line="360" w:lineRule="exact"/>
        <w:rPr>
          <w:rFonts w:ascii="仿宋" w:hAnsi="仿宋" w:eastAsia="仿宋" w:cs="仿宋"/>
          <w:sz w:val="27"/>
          <w:szCs w:val="27"/>
        </w:rPr>
      </w:pPr>
      <w:r>
        <w:rPr>
          <w:rFonts w:hint="eastAsia" w:ascii="仿宋" w:hAnsi="仿宋" w:eastAsia="仿宋" w:cs="仿宋"/>
          <w:sz w:val="27"/>
          <w:szCs w:val="27"/>
        </w:rPr>
        <w:t>3.本项目的特定资格要求：</w:t>
      </w:r>
    </w:p>
    <w:p>
      <w:pPr>
        <w:pStyle w:val="37"/>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w:t>
      </w:r>
      <w:r>
        <w:rPr>
          <w:rFonts w:hint="eastAsia" w:ascii="仿宋" w:hAnsi="仿宋" w:eastAsia="仿宋" w:cs="仿宋"/>
          <w:sz w:val="27"/>
          <w:szCs w:val="27"/>
          <w:lang w:eastAsia="zh-CN"/>
        </w:rPr>
        <w:t>一</w:t>
      </w:r>
      <w:r>
        <w:rPr>
          <w:rFonts w:hint="eastAsia" w:ascii="仿宋" w:hAnsi="仿宋" w:eastAsia="仿宋" w:cs="仿宋"/>
          <w:sz w:val="27"/>
          <w:szCs w:val="27"/>
        </w:rPr>
        <w:t>）有效的“一证一码”或“三证合一”的营业执照副本；</w:t>
      </w:r>
    </w:p>
    <w:p>
      <w:pPr>
        <w:pStyle w:val="37"/>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w:t>
      </w:r>
      <w:r>
        <w:rPr>
          <w:rFonts w:hint="eastAsia" w:ascii="仿宋" w:hAnsi="仿宋" w:eastAsia="仿宋" w:cs="仿宋"/>
          <w:sz w:val="27"/>
          <w:szCs w:val="27"/>
          <w:lang w:eastAsia="zh-CN"/>
        </w:rPr>
        <w:t>二</w:t>
      </w:r>
      <w:r>
        <w:rPr>
          <w:rFonts w:hint="eastAsia" w:ascii="仿宋" w:hAnsi="仿宋" w:eastAsia="仿宋" w:cs="仿宋"/>
          <w:sz w:val="27"/>
          <w:szCs w:val="27"/>
        </w:rPr>
        <w:t>）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pStyle w:val="37"/>
        <w:spacing w:line="360" w:lineRule="exact"/>
        <w:ind w:firstLine="540" w:firstLineChars="200"/>
        <w:rPr>
          <w:rFonts w:hint="eastAsia" w:ascii="仿宋" w:hAnsi="仿宋" w:eastAsia="仿宋" w:cs="仿宋"/>
          <w:sz w:val="27"/>
          <w:szCs w:val="27"/>
          <w:lang w:eastAsia="zh-CN"/>
        </w:rPr>
      </w:pPr>
      <w:r>
        <w:rPr>
          <w:rFonts w:hint="eastAsia" w:ascii="仿宋" w:hAnsi="仿宋" w:eastAsia="仿宋" w:cs="仿宋"/>
          <w:sz w:val="27"/>
          <w:szCs w:val="27"/>
        </w:rPr>
        <w:t>（</w:t>
      </w:r>
      <w:r>
        <w:rPr>
          <w:rFonts w:hint="eastAsia" w:ascii="仿宋" w:hAnsi="仿宋" w:eastAsia="仿宋" w:cs="仿宋"/>
          <w:sz w:val="27"/>
          <w:szCs w:val="27"/>
          <w:lang w:eastAsia="zh-CN"/>
        </w:rPr>
        <w:t>三</w:t>
      </w:r>
      <w:r>
        <w:rPr>
          <w:rFonts w:hint="eastAsia" w:ascii="仿宋" w:hAnsi="仿宋" w:eastAsia="仿宋" w:cs="仿宋"/>
          <w:sz w:val="27"/>
          <w:szCs w:val="27"/>
        </w:rPr>
        <w:t>）</w:t>
      </w:r>
      <w:r>
        <w:rPr>
          <w:rFonts w:hint="eastAsia" w:ascii="仿宋" w:hAnsi="仿宋" w:eastAsia="仿宋" w:cs="仿宋"/>
          <w:sz w:val="27"/>
          <w:szCs w:val="27"/>
          <w:lang w:eastAsia="zh-CN"/>
        </w:rPr>
        <w:t>标项一</w:t>
      </w:r>
      <w:r>
        <w:rPr>
          <w:rFonts w:hint="eastAsia" w:ascii="仿宋" w:hAnsi="仿宋" w:eastAsia="仿宋" w:cs="仿宋"/>
          <w:sz w:val="27"/>
          <w:szCs w:val="27"/>
        </w:rPr>
        <w:t>需</w:t>
      </w:r>
      <w:r>
        <w:rPr>
          <w:rFonts w:hint="eastAsia" w:ascii="仿宋" w:hAnsi="仿宋" w:eastAsia="仿宋" w:cs="仿宋"/>
          <w:sz w:val="27"/>
          <w:szCs w:val="27"/>
          <w:lang w:eastAsia="zh-CN"/>
        </w:rPr>
        <w:t>具</w:t>
      </w:r>
      <w:r>
        <w:rPr>
          <w:rFonts w:hint="eastAsia" w:ascii="仿宋" w:hAnsi="仿宋" w:eastAsia="仿宋" w:cs="仿宋"/>
          <w:sz w:val="27"/>
          <w:szCs w:val="27"/>
        </w:rPr>
        <w:t>有</w:t>
      </w:r>
      <w:r>
        <w:rPr>
          <w:rFonts w:hint="eastAsia" w:ascii="仿宋" w:hAnsi="仿宋" w:eastAsia="仿宋" w:cs="仿宋"/>
          <w:sz w:val="27"/>
          <w:szCs w:val="27"/>
          <w:lang w:eastAsia="zh-CN"/>
        </w:rPr>
        <w:t>有</w:t>
      </w:r>
      <w:r>
        <w:rPr>
          <w:rFonts w:hint="eastAsia" w:ascii="仿宋" w:hAnsi="仿宋" w:eastAsia="仿宋" w:cs="仿宋"/>
          <w:sz w:val="27"/>
          <w:szCs w:val="27"/>
        </w:rPr>
        <w:t>效的行政主管部门颁发的医疗器械生产许可证或医疗器械经营许可证；</w:t>
      </w:r>
    </w:p>
    <w:p>
      <w:pPr>
        <w:pStyle w:val="37"/>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w:t>
      </w:r>
      <w:r>
        <w:rPr>
          <w:rFonts w:hint="eastAsia" w:ascii="仿宋" w:hAnsi="仿宋" w:eastAsia="仿宋" w:cs="仿宋"/>
          <w:sz w:val="27"/>
          <w:szCs w:val="27"/>
          <w:lang w:eastAsia="zh-CN"/>
        </w:rPr>
        <w:t>四</w:t>
      </w:r>
      <w:r>
        <w:rPr>
          <w:rFonts w:hint="eastAsia" w:ascii="仿宋" w:hAnsi="仿宋" w:eastAsia="仿宋" w:cs="仿宋"/>
          <w:sz w:val="27"/>
          <w:szCs w:val="27"/>
        </w:rPr>
        <w:t>）本项目不接受联合体投标。</w:t>
      </w:r>
    </w:p>
    <w:p>
      <w:pPr>
        <w:pStyle w:val="37"/>
        <w:spacing w:before="255" w:beforeAutospacing="0" w:after="255" w:afterAutospacing="0" w:line="360" w:lineRule="exact"/>
        <w:rPr>
          <w:rFonts w:ascii="仿宋" w:hAnsi="仿宋" w:eastAsia="仿宋" w:cs="仿宋"/>
          <w:sz w:val="27"/>
          <w:szCs w:val="27"/>
        </w:rPr>
      </w:pPr>
      <w:r>
        <w:rPr>
          <w:rStyle w:val="45"/>
          <w:rFonts w:ascii="黑体" w:eastAsia="黑体" w:cs="黑体"/>
          <w:sz w:val="27"/>
          <w:szCs w:val="27"/>
        </w:rPr>
        <w:t>三、获取招标文件</w:t>
      </w:r>
      <w:r>
        <w:rPr>
          <w:rFonts w:ascii="黑体" w:eastAsia="黑体" w:cs="黑体"/>
          <w:sz w:val="27"/>
          <w:szCs w:val="27"/>
        </w:rPr>
        <w:t> </w:t>
      </w:r>
      <w:r>
        <w:rPr>
          <w:rFonts w:hint="eastAsia" w:ascii="仿宋" w:hAnsi="仿宋" w:eastAsia="仿宋" w:cs="仿宋"/>
          <w:sz w:val="27"/>
          <w:szCs w:val="27"/>
        </w:rPr>
        <w:t xml:space="preserve">    </w:t>
      </w:r>
    </w:p>
    <w:p>
      <w:pPr>
        <w:pStyle w:val="37"/>
        <w:spacing w:before="255" w:beforeAutospacing="0" w:after="255" w:afterAutospacing="0" w:line="360" w:lineRule="exact"/>
        <w:ind w:firstLine="540" w:firstLineChars="200"/>
      </w:pPr>
      <w:r>
        <w:rPr>
          <w:rFonts w:hint="eastAsia" w:ascii="仿宋" w:hAnsi="仿宋" w:eastAsia="仿宋" w:cs="仿宋"/>
          <w:sz w:val="27"/>
          <w:szCs w:val="27"/>
        </w:rPr>
        <w:t>时间：2021年</w:t>
      </w:r>
      <w:r>
        <w:rPr>
          <w:rFonts w:hint="eastAsia" w:ascii="仿宋" w:hAnsi="仿宋" w:eastAsia="仿宋" w:cs="仿宋"/>
          <w:sz w:val="27"/>
          <w:szCs w:val="27"/>
          <w:lang w:val="en-US" w:eastAsia="zh-CN"/>
        </w:rPr>
        <w:t>12</w:t>
      </w:r>
      <w:r>
        <w:rPr>
          <w:rFonts w:hint="eastAsia" w:ascii="仿宋" w:hAnsi="仿宋" w:eastAsia="仿宋" w:cs="仿宋"/>
          <w:sz w:val="27"/>
          <w:szCs w:val="27"/>
        </w:rPr>
        <w:t>月</w:t>
      </w:r>
      <w:r>
        <w:rPr>
          <w:rFonts w:hint="eastAsia" w:ascii="仿宋" w:hAnsi="仿宋" w:eastAsia="仿宋" w:cs="仿宋"/>
          <w:sz w:val="27"/>
          <w:szCs w:val="27"/>
          <w:lang w:val="en-US" w:eastAsia="zh-CN"/>
        </w:rPr>
        <w:t>17</w:t>
      </w:r>
      <w:r>
        <w:rPr>
          <w:rFonts w:hint="eastAsia" w:ascii="仿宋" w:hAnsi="仿宋" w:eastAsia="仿宋" w:cs="仿宋"/>
          <w:sz w:val="27"/>
          <w:szCs w:val="27"/>
        </w:rPr>
        <w:t>日至2021年</w:t>
      </w:r>
      <w:r>
        <w:rPr>
          <w:rFonts w:hint="eastAsia" w:ascii="仿宋" w:hAnsi="仿宋" w:eastAsia="仿宋" w:cs="仿宋"/>
          <w:sz w:val="27"/>
          <w:szCs w:val="27"/>
          <w:lang w:val="en-US" w:eastAsia="zh-CN"/>
        </w:rPr>
        <w:t>12</w:t>
      </w:r>
      <w:r>
        <w:rPr>
          <w:rFonts w:hint="eastAsia" w:ascii="仿宋" w:hAnsi="仿宋" w:eastAsia="仿宋" w:cs="仿宋"/>
          <w:sz w:val="27"/>
          <w:szCs w:val="27"/>
        </w:rPr>
        <w:t>月</w:t>
      </w:r>
      <w:r>
        <w:rPr>
          <w:rFonts w:hint="eastAsia" w:ascii="仿宋" w:hAnsi="仿宋" w:eastAsia="仿宋" w:cs="仿宋"/>
          <w:sz w:val="27"/>
          <w:szCs w:val="27"/>
          <w:lang w:val="en-US" w:eastAsia="zh-CN"/>
        </w:rPr>
        <w:t>23</w:t>
      </w:r>
      <w:r>
        <w:rPr>
          <w:rFonts w:hint="eastAsia" w:ascii="仿宋" w:hAnsi="仿宋" w:eastAsia="仿宋" w:cs="仿宋"/>
          <w:sz w:val="27"/>
          <w:szCs w:val="27"/>
        </w:rPr>
        <w:t>日 ，每天上午10:00至14:00 ，下午15:30至19:30（北京时间，法定节假日除外）</w:t>
      </w:r>
    </w:p>
    <w:p>
      <w:pPr>
        <w:pStyle w:val="37"/>
        <w:spacing w:line="360" w:lineRule="exact"/>
        <w:rPr>
          <w:color w:val="000000"/>
        </w:rPr>
      </w:pPr>
      <w:r>
        <w:rPr>
          <w:rFonts w:hint="eastAsia" w:ascii="仿宋" w:hAnsi="仿宋" w:eastAsia="仿宋" w:cs="仿宋"/>
          <w:sz w:val="27"/>
          <w:szCs w:val="27"/>
        </w:rPr>
        <w:t>    地点</w:t>
      </w:r>
      <w:r>
        <w:rPr>
          <w:rFonts w:hint="eastAsia" w:ascii="仿宋" w:hAnsi="仿宋" w:eastAsia="仿宋" w:cs="仿宋"/>
          <w:color w:val="000000"/>
          <w:sz w:val="27"/>
          <w:szCs w:val="27"/>
        </w:rPr>
        <w:t>：伊宁市经济合作区北京路一品墅新房大厦10楼1004号 </w:t>
      </w:r>
    </w:p>
    <w:p>
      <w:pPr>
        <w:pStyle w:val="37"/>
        <w:spacing w:line="360" w:lineRule="exact"/>
        <w:rPr>
          <w:color w:val="000000"/>
        </w:rPr>
      </w:pPr>
      <w:r>
        <w:rPr>
          <w:rFonts w:hint="eastAsia" w:ascii="仿宋" w:hAnsi="仿宋" w:eastAsia="仿宋" w:cs="仿宋"/>
          <w:color w:val="000000"/>
          <w:sz w:val="27"/>
          <w:szCs w:val="27"/>
        </w:rPr>
        <w:t>    方式：现场购买。 </w:t>
      </w:r>
    </w:p>
    <w:p>
      <w:pPr>
        <w:pStyle w:val="37"/>
        <w:spacing w:line="360" w:lineRule="exact"/>
        <w:rPr>
          <w:color w:val="000000"/>
        </w:rPr>
      </w:pPr>
      <w:r>
        <w:rPr>
          <w:rFonts w:hint="eastAsia" w:ascii="仿宋" w:hAnsi="仿宋" w:eastAsia="仿宋" w:cs="仿宋"/>
          <w:color w:val="000000"/>
          <w:sz w:val="27"/>
          <w:szCs w:val="27"/>
        </w:rPr>
        <w:t>    售价（元）：</w:t>
      </w:r>
      <w:r>
        <w:rPr>
          <w:rFonts w:hint="eastAsia" w:ascii="仿宋" w:hAnsi="仿宋" w:eastAsia="仿宋" w:cs="仿宋"/>
          <w:color w:val="000000"/>
          <w:sz w:val="27"/>
          <w:szCs w:val="27"/>
          <w:lang w:val="en-US" w:eastAsia="zh-CN"/>
        </w:rPr>
        <w:t>3</w:t>
      </w:r>
      <w:r>
        <w:rPr>
          <w:rFonts w:hint="eastAsia" w:ascii="仿宋" w:hAnsi="仿宋" w:eastAsia="仿宋" w:cs="仿宋"/>
          <w:color w:val="000000"/>
          <w:sz w:val="27"/>
          <w:szCs w:val="27"/>
        </w:rPr>
        <w:t>00</w:t>
      </w:r>
      <w:r>
        <w:rPr>
          <w:rFonts w:hint="eastAsia" w:ascii="仿宋" w:hAnsi="仿宋" w:eastAsia="仿宋" w:cs="仿宋"/>
          <w:color w:val="000000"/>
        </w:rPr>
        <w:t> </w:t>
      </w:r>
    </w:p>
    <w:p>
      <w:pPr>
        <w:pStyle w:val="37"/>
        <w:spacing w:before="255" w:beforeAutospacing="0" w:after="255" w:afterAutospacing="0" w:line="360" w:lineRule="exact"/>
        <w:rPr>
          <w:rFonts w:ascii="黑体" w:eastAsia="黑体" w:cs="黑体"/>
          <w:color w:val="000000"/>
          <w:sz w:val="27"/>
          <w:szCs w:val="27"/>
        </w:rPr>
      </w:pPr>
      <w:r>
        <w:rPr>
          <w:rStyle w:val="45"/>
          <w:rFonts w:ascii="黑体" w:eastAsia="黑体" w:cs="黑体"/>
          <w:color w:val="000000"/>
          <w:sz w:val="27"/>
          <w:szCs w:val="27"/>
        </w:rPr>
        <w:t>四、提交投标文件截止时间、开标时间和地点</w:t>
      </w:r>
    </w:p>
    <w:p>
      <w:pPr>
        <w:pStyle w:val="37"/>
        <w:spacing w:line="360" w:lineRule="exact"/>
        <w:rPr>
          <w:color w:val="000000"/>
        </w:rPr>
      </w:pPr>
      <w:r>
        <w:rPr>
          <w:rFonts w:hint="eastAsia" w:ascii="仿宋" w:hAnsi="仿宋" w:eastAsia="仿宋" w:cs="仿宋"/>
          <w:color w:val="000000"/>
          <w:sz w:val="27"/>
          <w:szCs w:val="27"/>
        </w:rPr>
        <w:t>    提交投标文件截止时间：202</w:t>
      </w:r>
      <w:r>
        <w:rPr>
          <w:rFonts w:hint="eastAsia" w:ascii="仿宋" w:hAnsi="仿宋" w:eastAsia="仿宋" w:cs="仿宋"/>
          <w:color w:val="000000"/>
          <w:sz w:val="27"/>
          <w:szCs w:val="27"/>
          <w:lang w:val="en-US" w:eastAsia="zh-CN"/>
        </w:rPr>
        <w:t>2</w:t>
      </w:r>
      <w:r>
        <w:rPr>
          <w:rFonts w:hint="eastAsia" w:ascii="仿宋" w:hAnsi="仿宋" w:eastAsia="仿宋" w:cs="仿宋"/>
          <w:color w:val="000000"/>
          <w:sz w:val="27"/>
          <w:szCs w:val="27"/>
        </w:rPr>
        <w:t>年</w:t>
      </w:r>
      <w:r>
        <w:rPr>
          <w:rFonts w:hint="eastAsia" w:ascii="仿宋" w:hAnsi="仿宋" w:eastAsia="仿宋" w:cs="仿宋"/>
          <w:color w:val="000000"/>
          <w:sz w:val="27"/>
          <w:szCs w:val="27"/>
          <w:lang w:val="en-US" w:eastAsia="zh-CN"/>
        </w:rPr>
        <w:t>01</w:t>
      </w:r>
      <w:r>
        <w:rPr>
          <w:rFonts w:hint="eastAsia" w:ascii="仿宋" w:hAnsi="仿宋" w:eastAsia="仿宋" w:cs="仿宋"/>
          <w:color w:val="000000"/>
          <w:sz w:val="27"/>
          <w:szCs w:val="27"/>
        </w:rPr>
        <w:t>月</w:t>
      </w:r>
      <w:r>
        <w:rPr>
          <w:rFonts w:hint="eastAsia" w:ascii="仿宋" w:hAnsi="仿宋" w:eastAsia="仿宋" w:cs="仿宋"/>
          <w:color w:val="000000"/>
          <w:sz w:val="27"/>
          <w:szCs w:val="27"/>
          <w:lang w:val="en-US" w:eastAsia="zh-CN"/>
        </w:rPr>
        <w:t>06</w:t>
      </w:r>
      <w:r>
        <w:rPr>
          <w:rFonts w:hint="eastAsia" w:ascii="仿宋" w:hAnsi="仿宋" w:eastAsia="仿宋" w:cs="仿宋"/>
          <w:color w:val="000000"/>
          <w:sz w:val="27"/>
          <w:szCs w:val="27"/>
        </w:rPr>
        <w:t>日 1</w:t>
      </w:r>
      <w:r>
        <w:rPr>
          <w:rFonts w:hint="eastAsia" w:ascii="仿宋" w:hAnsi="仿宋" w:eastAsia="仿宋" w:cs="仿宋"/>
          <w:color w:val="000000"/>
          <w:sz w:val="27"/>
          <w:szCs w:val="27"/>
          <w:lang w:val="en-US" w:eastAsia="zh-CN"/>
        </w:rPr>
        <w:t>1</w:t>
      </w:r>
      <w:r>
        <w:rPr>
          <w:rFonts w:hint="eastAsia" w:ascii="仿宋" w:hAnsi="仿宋" w:eastAsia="仿宋" w:cs="仿宋"/>
          <w:color w:val="000000"/>
          <w:sz w:val="27"/>
          <w:szCs w:val="27"/>
        </w:rPr>
        <w:t>:</w:t>
      </w:r>
      <w:r>
        <w:rPr>
          <w:rFonts w:hint="eastAsia" w:ascii="仿宋" w:hAnsi="仿宋" w:eastAsia="仿宋" w:cs="仿宋"/>
          <w:color w:val="000000"/>
          <w:sz w:val="27"/>
          <w:szCs w:val="27"/>
          <w:lang w:val="en-US" w:eastAsia="zh-CN"/>
        </w:rPr>
        <w:t>0</w:t>
      </w:r>
      <w:r>
        <w:rPr>
          <w:rFonts w:hint="eastAsia" w:ascii="仿宋" w:hAnsi="仿宋" w:eastAsia="仿宋" w:cs="仿宋"/>
          <w:color w:val="000000"/>
          <w:sz w:val="27"/>
          <w:szCs w:val="27"/>
        </w:rPr>
        <w:t>0（北京时间）</w:t>
      </w:r>
    </w:p>
    <w:p>
      <w:pPr>
        <w:pStyle w:val="37"/>
        <w:spacing w:line="360" w:lineRule="exact"/>
        <w:rPr>
          <w:color w:val="000000"/>
        </w:rPr>
      </w:pPr>
      <w:r>
        <w:rPr>
          <w:rFonts w:hint="eastAsia" w:ascii="仿宋" w:hAnsi="仿宋" w:eastAsia="仿宋" w:cs="仿宋"/>
          <w:color w:val="000000"/>
          <w:sz w:val="27"/>
          <w:szCs w:val="27"/>
        </w:rPr>
        <w:t>    投标地点：伊宁市经济合作区北京路一品墅新房大厦10楼1004号</w:t>
      </w:r>
      <w:r>
        <w:rPr>
          <w:rFonts w:hint="eastAsia" w:ascii="仿宋" w:hAnsi="仿宋" w:eastAsia="仿宋" w:cs="仿宋"/>
          <w:color w:val="000000"/>
        </w:rPr>
        <w:t> </w:t>
      </w:r>
    </w:p>
    <w:p>
      <w:pPr>
        <w:pStyle w:val="37"/>
        <w:spacing w:line="360" w:lineRule="exact"/>
        <w:rPr>
          <w:color w:val="000000"/>
        </w:rPr>
      </w:pPr>
      <w:r>
        <w:rPr>
          <w:rFonts w:hint="eastAsia" w:ascii="仿宋" w:hAnsi="仿宋" w:eastAsia="仿宋" w:cs="仿宋"/>
          <w:color w:val="000000"/>
          <w:sz w:val="27"/>
          <w:szCs w:val="27"/>
        </w:rPr>
        <w:t>    开标时间：202</w:t>
      </w:r>
      <w:r>
        <w:rPr>
          <w:rFonts w:hint="eastAsia" w:ascii="仿宋" w:hAnsi="仿宋" w:eastAsia="仿宋" w:cs="仿宋"/>
          <w:color w:val="000000"/>
          <w:sz w:val="27"/>
          <w:szCs w:val="27"/>
          <w:lang w:val="en-US" w:eastAsia="zh-CN"/>
        </w:rPr>
        <w:t>2</w:t>
      </w:r>
      <w:r>
        <w:rPr>
          <w:rFonts w:hint="eastAsia" w:ascii="仿宋" w:hAnsi="仿宋" w:eastAsia="仿宋" w:cs="仿宋"/>
          <w:color w:val="000000"/>
          <w:sz w:val="27"/>
          <w:szCs w:val="27"/>
        </w:rPr>
        <w:t>年</w:t>
      </w:r>
      <w:r>
        <w:rPr>
          <w:rFonts w:hint="eastAsia" w:ascii="仿宋" w:hAnsi="仿宋" w:eastAsia="仿宋" w:cs="仿宋"/>
          <w:color w:val="000000"/>
          <w:sz w:val="27"/>
          <w:szCs w:val="27"/>
          <w:lang w:val="en-US" w:eastAsia="zh-CN"/>
        </w:rPr>
        <w:t>01</w:t>
      </w:r>
      <w:r>
        <w:rPr>
          <w:rFonts w:hint="eastAsia" w:ascii="仿宋" w:hAnsi="仿宋" w:eastAsia="仿宋" w:cs="仿宋"/>
          <w:color w:val="000000"/>
          <w:sz w:val="27"/>
          <w:szCs w:val="27"/>
        </w:rPr>
        <w:t>月</w:t>
      </w:r>
      <w:r>
        <w:rPr>
          <w:rFonts w:hint="eastAsia" w:ascii="仿宋" w:hAnsi="仿宋" w:eastAsia="仿宋" w:cs="仿宋"/>
          <w:color w:val="000000"/>
          <w:sz w:val="27"/>
          <w:szCs w:val="27"/>
          <w:lang w:val="en-US" w:eastAsia="zh-CN"/>
        </w:rPr>
        <w:t>06</w:t>
      </w:r>
      <w:r>
        <w:rPr>
          <w:rFonts w:hint="eastAsia" w:ascii="仿宋" w:hAnsi="仿宋" w:eastAsia="仿宋" w:cs="仿宋"/>
          <w:color w:val="000000"/>
          <w:sz w:val="27"/>
          <w:szCs w:val="27"/>
        </w:rPr>
        <w:t>日 1</w:t>
      </w:r>
      <w:r>
        <w:rPr>
          <w:rFonts w:hint="eastAsia" w:ascii="仿宋" w:hAnsi="仿宋" w:eastAsia="仿宋" w:cs="仿宋"/>
          <w:color w:val="000000"/>
          <w:sz w:val="27"/>
          <w:szCs w:val="27"/>
          <w:lang w:val="en-US" w:eastAsia="zh-CN"/>
        </w:rPr>
        <w:t>1</w:t>
      </w:r>
      <w:r>
        <w:rPr>
          <w:rFonts w:hint="eastAsia" w:ascii="仿宋" w:hAnsi="仿宋" w:eastAsia="仿宋" w:cs="仿宋"/>
          <w:color w:val="000000"/>
          <w:sz w:val="27"/>
          <w:szCs w:val="27"/>
        </w:rPr>
        <w:t>:</w:t>
      </w:r>
      <w:r>
        <w:rPr>
          <w:rFonts w:hint="eastAsia" w:ascii="仿宋" w:hAnsi="仿宋" w:eastAsia="仿宋" w:cs="仿宋"/>
          <w:color w:val="000000"/>
          <w:sz w:val="27"/>
          <w:szCs w:val="27"/>
          <w:lang w:val="en-US" w:eastAsia="zh-CN"/>
        </w:rPr>
        <w:t>0</w:t>
      </w:r>
      <w:r>
        <w:rPr>
          <w:rFonts w:hint="eastAsia" w:ascii="仿宋" w:hAnsi="仿宋" w:eastAsia="仿宋" w:cs="仿宋"/>
          <w:color w:val="000000"/>
          <w:sz w:val="27"/>
          <w:szCs w:val="27"/>
        </w:rPr>
        <w:t>0（北京时间）</w:t>
      </w:r>
    </w:p>
    <w:p>
      <w:pPr>
        <w:pStyle w:val="37"/>
        <w:spacing w:line="360" w:lineRule="exact"/>
        <w:rPr>
          <w:color w:val="000000"/>
        </w:rPr>
      </w:pPr>
      <w:r>
        <w:rPr>
          <w:rFonts w:hint="eastAsia" w:ascii="仿宋" w:hAnsi="仿宋" w:eastAsia="仿宋" w:cs="仿宋"/>
          <w:color w:val="000000"/>
          <w:sz w:val="27"/>
          <w:szCs w:val="27"/>
        </w:rPr>
        <w:t>    开标地点：伊宁市经济合作区北京路一品墅新房大厦10楼1004号</w:t>
      </w:r>
      <w:r>
        <w:rPr>
          <w:rFonts w:hint="eastAsia" w:ascii="仿宋" w:hAnsi="仿宋" w:eastAsia="仿宋" w:cs="仿宋"/>
          <w:color w:val="000000"/>
        </w:rPr>
        <w:t>  </w:t>
      </w:r>
    </w:p>
    <w:p>
      <w:pPr>
        <w:pStyle w:val="37"/>
        <w:numPr>
          <w:ilvl w:val="0"/>
          <w:numId w:val="1"/>
        </w:numPr>
        <w:spacing w:before="255" w:beforeAutospacing="0" w:after="255" w:afterAutospacing="0" w:line="360" w:lineRule="exact"/>
        <w:rPr>
          <w:rFonts w:ascii="黑体" w:eastAsia="黑体" w:cs="黑体"/>
          <w:sz w:val="31"/>
          <w:szCs w:val="31"/>
        </w:rPr>
      </w:pPr>
      <w:r>
        <w:rPr>
          <w:rStyle w:val="45"/>
          <w:rFonts w:ascii="黑体" w:eastAsia="黑体" w:cs="黑体"/>
          <w:sz w:val="27"/>
          <w:szCs w:val="27"/>
        </w:rPr>
        <w:t>公告期限</w:t>
      </w:r>
      <w:r>
        <w:rPr>
          <w:rFonts w:ascii="黑体" w:eastAsia="黑体" w:cs="黑体"/>
          <w:sz w:val="31"/>
          <w:szCs w:val="31"/>
        </w:rPr>
        <w:t> </w:t>
      </w:r>
    </w:p>
    <w:p>
      <w:pPr>
        <w:pStyle w:val="37"/>
        <w:spacing w:line="360" w:lineRule="exact"/>
      </w:pPr>
      <w:r>
        <w:rPr>
          <w:rFonts w:hint="eastAsia" w:ascii="仿宋" w:hAnsi="仿宋" w:eastAsia="仿宋" w:cs="仿宋"/>
          <w:sz w:val="27"/>
          <w:szCs w:val="27"/>
        </w:rPr>
        <w:t>    自本公告发布之日起5个工作日。</w:t>
      </w:r>
    </w:p>
    <w:p>
      <w:pPr>
        <w:pStyle w:val="37"/>
        <w:spacing w:before="255" w:beforeAutospacing="0" w:after="255" w:afterAutospacing="0" w:line="360" w:lineRule="exact"/>
        <w:rPr>
          <w:rFonts w:ascii="黑体" w:eastAsia="黑体" w:cs="黑体"/>
          <w:sz w:val="27"/>
          <w:szCs w:val="27"/>
        </w:rPr>
      </w:pPr>
      <w:r>
        <w:rPr>
          <w:rStyle w:val="45"/>
          <w:rFonts w:ascii="黑体" w:eastAsia="黑体" w:cs="黑体"/>
          <w:sz w:val="27"/>
          <w:szCs w:val="27"/>
        </w:rPr>
        <w:t>六、其他补充事宜</w:t>
      </w:r>
    </w:p>
    <w:p>
      <w:pPr>
        <w:pStyle w:val="37"/>
        <w:spacing w:line="360" w:lineRule="exact"/>
        <w:rPr>
          <w:rFonts w:ascii="仿宋" w:hAnsi="仿宋" w:eastAsia="仿宋" w:cs="仿宋"/>
          <w:color w:val="000000"/>
          <w:sz w:val="27"/>
          <w:szCs w:val="27"/>
        </w:rPr>
      </w:pPr>
      <w:r>
        <w:rPr>
          <w:rFonts w:hint="eastAsia" w:ascii="仿宋" w:hAnsi="仿宋" w:eastAsia="仿宋" w:cs="仿宋"/>
          <w:color w:val="000000"/>
          <w:sz w:val="27"/>
          <w:szCs w:val="27"/>
        </w:rPr>
        <w:t>    须提供的证明材料：法定代表人授权委托书、委托人身份证、营业执照、“信用中国”网站（www.creditchina.gov.cn）、“中国政府采购网”（www.ccgp.gov.cn）查询结果截图（日期必须在发布公告日期之后）、</w:t>
      </w:r>
      <w:r>
        <w:rPr>
          <w:rFonts w:hint="eastAsia" w:ascii="仿宋" w:hAnsi="仿宋" w:eastAsia="仿宋" w:cs="仿宋"/>
          <w:color w:val="000000"/>
          <w:sz w:val="27"/>
          <w:szCs w:val="27"/>
          <w:lang w:eastAsia="zh-CN"/>
        </w:rPr>
        <w:t>标项一提供</w:t>
      </w:r>
      <w:r>
        <w:rPr>
          <w:rFonts w:hint="eastAsia" w:ascii="仿宋" w:hAnsi="仿宋" w:eastAsia="仿宋" w:cs="仿宋"/>
          <w:color w:val="000000"/>
          <w:sz w:val="27"/>
          <w:szCs w:val="27"/>
        </w:rPr>
        <w:t>资质证书。</w:t>
      </w:r>
    </w:p>
    <w:p>
      <w:pPr>
        <w:pStyle w:val="37"/>
        <w:spacing w:line="360" w:lineRule="exact"/>
        <w:ind w:firstLine="540" w:firstLineChars="200"/>
        <w:rPr>
          <w:rFonts w:ascii="仿宋" w:hAnsi="仿宋" w:eastAsia="仿宋" w:cs="仿宋"/>
          <w:b/>
          <w:bCs/>
          <w:color w:val="000000"/>
          <w:sz w:val="27"/>
          <w:szCs w:val="27"/>
        </w:rPr>
      </w:pPr>
      <w:r>
        <w:rPr>
          <w:rFonts w:hint="eastAsia" w:ascii="仿宋" w:hAnsi="仿宋" w:eastAsia="仿宋" w:cs="仿宋"/>
          <w:b/>
          <w:bCs/>
          <w:color w:val="000000"/>
          <w:sz w:val="27"/>
          <w:szCs w:val="27"/>
        </w:rPr>
        <w:t>以上证件资料须携带原件备查,资料不全不予购买。报名时提供加盖投标单位公章的复印件三份。</w:t>
      </w:r>
    </w:p>
    <w:p>
      <w:pPr>
        <w:pStyle w:val="37"/>
        <w:spacing w:before="255" w:beforeAutospacing="0" w:after="255" w:afterAutospacing="0" w:line="360" w:lineRule="exact"/>
        <w:rPr>
          <w:rFonts w:ascii="黑体" w:eastAsia="黑体" w:cs="黑体"/>
          <w:sz w:val="31"/>
          <w:szCs w:val="31"/>
        </w:rPr>
      </w:pPr>
      <w:r>
        <w:rPr>
          <w:rStyle w:val="45"/>
          <w:rFonts w:ascii="黑体" w:eastAsia="黑体" w:cs="黑体"/>
          <w:sz w:val="27"/>
          <w:szCs w:val="27"/>
        </w:rPr>
        <w:t>七、对本次采购提出询问，请按以下方式联系</w:t>
      </w:r>
    </w:p>
    <w:p>
      <w:pPr>
        <w:pStyle w:val="37"/>
        <w:spacing w:line="300" w:lineRule="exact"/>
        <w:rPr>
          <w:rFonts w:ascii="仿宋" w:hAnsi="仿宋" w:eastAsia="仿宋" w:cs="仿宋"/>
          <w:sz w:val="27"/>
          <w:szCs w:val="27"/>
        </w:rPr>
      </w:pPr>
      <w:r>
        <w:rPr>
          <w:rFonts w:hint="eastAsia" w:ascii="仿宋" w:hAnsi="仿宋" w:eastAsia="仿宋" w:cs="仿宋"/>
          <w:sz w:val="27"/>
          <w:szCs w:val="27"/>
        </w:rPr>
        <w:t xml:space="preserve">   1.采购人信息</w:t>
      </w:r>
    </w:p>
    <w:p>
      <w:pPr>
        <w:pStyle w:val="37"/>
        <w:spacing w:line="300" w:lineRule="exact"/>
        <w:rPr>
          <w:rFonts w:hint="eastAsia" w:ascii="仿宋" w:hAnsi="仿宋" w:eastAsia="仿宋" w:cs="仿宋"/>
          <w:sz w:val="27"/>
          <w:szCs w:val="27"/>
          <w:lang w:val="en-US" w:eastAsia="zh-CN"/>
        </w:rPr>
      </w:pPr>
      <w:r>
        <w:rPr>
          <w:rFonts w:hint="eastAsia" w:ascii="仿宋" w:hAnsi="仿宋" w:eastAsia="仿宋" w:cs="仿宋"/>
          <w:sz w:val="27"/>
          <w:szCs w:val="27"/>
        </w:rPr>
        <w:t>    名    称：霍城县卫生健康委员会</w:t>
      </w:r>
    </w:p>
    <w:p>
      <w:pPr>
        <w:pStyle w:val="37"/>
        <w:spacing w:line="300" w:lineRule="exact"/>
        <w:rPr>
          <w:rFonts w:ascii="仿宋" w:hAnsi="仿宋" w:eastAsia="仿宋" w:cs="仿宋"/>
          <w:sz w:val="27"/>
          <w:szCs w:val="27"/>
        </w:rPr>
      </w:pPr>
      <w:r>
        <w:rPr>
          <w:rFonts w:hint="eastAsia" w:ascii="仿宋" w:hAnsi="仿宋" w:eastAsia="仿宋" w:cs="仿宋"/>
          <w:sz w:val="27"/>
          <w:szCs w:val="27"/>
        </w:rPr>
        <w:t>    地    址：霍城县水定镇团结北路3号</w:t>
      </w:r>
    </w:p>
    <w:p>
      <w:pPr>
        <w:pStyle w:val="37"/>
        <w:spacing w:line="300" w:lineRule="exact"/>
        <w:rPr>
          <w:rFonts w:ascii="仿宋" w:hAnsi="仿宋" w:eastAsia="仿宋" w:cs="仿宋"/>
          <w:sz w:val="27"/>
          <w:szCs w:val="27"/>
        </w:rPr>
      </w:pPr>
      <w:r>
        <w:rPr>
          <w:rFonts w:hint="eastAsia" w:ascii="仿宋" w:hAnsi="仿宋" w:eastAsia="仿宋" w:cs="仿宋"/>
          <w:sz w:val="27"/>
          <w:szCs w:val="27"/>
        </w:rPr>
        <w:t>    项目联系人：郑</w:t>
      </w:r>
      <w:r>
        <w:rPr>
          <w:rFonts w:hint="eastAsia" w:ascii="仿宋" w:hAnsi="仿宋" w:eastAsia="仿宋" w:cs="仿宋"/>
          <w:sz w:val="27"/>
          <w:szCs w:val="27"/>
          <w:lang w:val="en-US" w:eastAsia="zh-CN"/>
        </w:rPr>
        <w:t xml:space="preserve"> </w:t>
      </w:r>
      <w:r>
        <w:rPr>
          <w:rFonts w:hint="eastAsia" w:ascii="仿宋" w:hAnsi="仿宋" w:eastAsia="仿宋" w:cs="仿宋"/>
          <w:sz w:val="27"/>
          <w:szCs w:val="27"/>
          <w:lang w:eastAsia="zh-CN"/>
        </w:rPr>
        <w:t>工</w:t>
      </w:r>
      <w:r>
        <w:rPr>
          <w:rFonts w:hint="eastAsia" w:ascii="仿宋" w:hAnsi="仿宋" w:eastAsia="仿宋" w:cs="仿宋"/>
          <w:sz w:val="27"/>
          <w:szCs w:val="27"/>
        </w:rPr>
        <w:t xml:space="preserve"> </w:t>
      </w:r>
      <w:r>
        <w:rPr>
          <w:rFonts w:hint="eastAsia" w:ascii="仿宋" w:hAnsi="仿宋" w:eastAsia="仿宋" w:cs="仿宋"/>
          <w:sz w:val="27"/>
          <w:szCs w:val="27"/>
          <w:lang w:val="en-US" w:eastAsia="zh-CN"/>
        </w:rPr>
        <w:t xml:space="preserve">      </w:t>
      </w:r>
      <w:r>
        <w:rPr>
          <w:rFonts w:hint="eastAsia" w:ascii="仿宋" w:hAnsi="仿宋" w:eastAsia="仿宋" w:cs="仿宋"/>
          <w:sz w:val="27"/>
          <w:szCs w:val="27"/>
        </w:rPr>
        <w:t>项目联系方式：13999395123</w:t>
      </w:r>
      <w:r>
        <w:rPr>
          <w:rFonts w:hint="eastAsia" w:ascii="仿宋" w:hAnsi="仿宋" w:eastAsia="仿宋" w:cs="仿宋"/>
          <w:sz w:val="27"/>
          <w:szCs w:val="27"/>
        </w:rPr>
        <w:br w:type="textWrapping"/>
      </w:r>
      <w:r>
        <w:rPr>
          <w:rFonts w:hint="eastAsia" w:ascii="仿宋" w:hAnsi="仿宋" w:eastAsia="仿宋" w:cs="仿宋"/>
          <w:sz w:val="27"/>
          <w:szCs w:val="27"/>
        </w:rPr>
        <w:t>    2.采购代理机构信息            </w:t>
      </w:r>
    </w:p>
    <w:p>
      <w:pPr>
        <w:pStyle w:val="37"/>
        <w:spacing w:line="300" w:lineRule="exact"/>
        <w:rPr>
          <w:rFonts w:ascii="仿宋" w:hAnsi="仿宋" w:eastAsia="仿宋" w:cs="仿宋"/>
          <w:sz w:val="27"/>
          <w:szCs w:val="27"/>
        </w:rPr>
      </w:pPr>
      <w:r>
        <w:rPr>
          <w:rFonts w:hint="eastAsia" w:ascii="仿宋" w:hAnsi="仿宋" w:eastAsia="仿宋" w:cs="仿宋"/>
          <w:sz w:val="27"/>
          <w:szCs w:val="27"/>
        </w:rPr>
        <w:t>    名    称：新疆华域建设工程项目管理咨询有限公司           </w:t>
      </w:r>
    </w:p>
    <w:p>
      <w:pPr>
        <w:pStyle w:val="37"/>
        <w:spacing w:line="300" w:lineRule="exact"/>
        <w:rPr>
          <w:rFonts w:ascii="仿宋" w:hAnsi="仿宋" w:eastAsia="仿宋" w:cs="仿宋"/>
          <w:sz w:val="27"/>
          <w:szCs w:val="27"/>
        </w:rPr>
      </w:pPr>
      <w:r>
        <w:rPr>
          <w:rFonts w:hint="eastAsia" w:ascii="仿宋" w:hAnsi="仿宋" w:eastAsia="仿宋" w:cs="仿宋"/>
          <w:sz w:val="27"/>
          <w:szCs w:val="27"/>
        </w:rPr>
        <w:t>    地    址：伊宁市经济合作区北京路一品墅新房大厦10楼1004号      </w:t>
      </w:r>
    </w:p>
    <w:p>
      <w:pPr>
        <w:pStyle w:val="37"/>
        <w:spacing w:line="300" w:lineRule="exact"/>
      </w:pPr>
      <w:r>
        <w:rPr>
          <w:rFonts w:hint="eastAsia" w:ascii="仿宋" w:hAnsi="仿宋" w:eastAsia="仿宋" w:cs="仿宋"/>
          <w:sz w:val="27"/>
          <w:szCs w:val="27"/>
        </w:rPr>
        <w:t>    项目联系人：胡</w:t>
      </w:r>
      <w:r>
        <w:rPr>
          <w:rFonts w:hint="eastAsia" w:ascii="仿宋" w:hAnsi="仿宋" w:eastAsia="仿宋" w:cs="仿宋"/>
          <w:sz w:val="27"/>
          <w:szCs w:val="27"/>
          <w:lang w:val="en-US" w:eastAsia="zh-CN"/>
        </w:rPr>
        <w:t xml:space="preserve"> </w:t>
      </w:r>
      <w:r>
        <w:rPr>
          <w:rFonts w:hint="eastAsia" w:ascii="仿宋" w:hAnsi="仿宋" w:eastAsia="仿宋" w:cs="仿宋"/>
          <w:sz w:val="27"/>
          <w:szCs w:val="27"/>
          <w:lang w:eastAsia="zh-CN"/>
        </w:rPr>
        <w:t>工</w:t>
      </w:r>
      <w:r>
        <w:rPr>
          <w:rFonts w:hint="eastAsia" w:ascii="仿宋" w:hAnsi="仿宋" w:eastAsia="仿宋" w:cs="仿宋"/>
          <w:sz w:val="27"/>
          <w:szCs w:val="27"/>
        </w:rPr>
        <w:t xml:space="preserve">            项目联系方式：</w:t>
      </w:r>
      <w:r>
        <w:rPr>
          <w:rFonts w:hint="eastAsia" w:ascii="仿宋" w:hAnsi="仿宋" w:eastAsia="仿宋" w:cs="仿宋"/>
          <w:sz w:val="27"/>
          <w:szCs w:val="27"/>
          <w:lang w:val="en-US" w:eastAsia="zh-CN"/>
        </w:rPr>
        <w:t>18690293446</w:t>
      </w:r>
    </w:p>
    <w:p>
      <w:pPr>
        <w:pStyle w:val="84"/>
        <w:spacing w:line="500" w:lineRule="exact"/>
        <w:jc w:val="center"/>
        <w:outlineLvl w:val="0"/>
        <w:rPr>
          <w:rFonts w:hint="eastAsia" w:ascii="宋体" w:hAnsi="宋体"/>
          <w:b/>
          <w:bCs/>
          <w:color w:val="auto"/>
        </w:rPr>
      </w:pPr>
    </w:p>
    <w:p>
      <w:pPr>
        <w:pStyle w:val="84"/>
        <w:spacing w:line="500" w:lineRule="exact"/>
        <w:jc w:val="center"/>
        <w:outlineLvl w:val="0"/>
        <w:rPr>
          <w:rFonts w:hint="eastAsia" w:ascii="宋体" w:hAnsi="宋体"/>
          <w:b/>
          <w:bCs/>
          <w:color w:val="auto"/>
        </w:rPr>
      </w:pPr>
    </w:p>
    <w:p>
      <w:pPr>
        <w:pStyle w:val="84"/>
        <w:spacing w:line="500" w:lineRule="exact"/>
        <w:jc w:val="center"/>
        <w:outlineLvl w:val="0"/>
        <w:rPr>
          <w:rFonts w:ascii="宋体" w:hAnsi="宋体"/>
          <w:b/>
          <w:bCs/>
          <w:color w:val="auto"/>
        </w:rPr>
      </w:pPr>
      <w:r>
        <w:rPr>
          <w:rFonts w:hint="eastAsia" w:ascii="宋体" w:hAnsi="宋体"/>
          <w:b/>
          <w:bCs/>
          <w:color w:val="auto"/>
        </w:rPr>
        <w:t>第二章 投标须知</w:t>
      </w:r>
      <w:bookmarkEnd w:id="2"/>
    </w:p>
    <w:p>
      <w:pPr>
        <w:pStyle w:val="84"/>
        <w:spacing w:line="500" w:lineRule="exact"/>
        <w:jc w:val="center"/>
        <w:outlineLvl w:val="1"/>
        <w:rPr>
          <w:rFonts w:ascii="宋体" w:hAnsi="宋体"/>
          <w:color w:val="auto"/>
        </w:rPr>
      </w:pPr>
      <w:bookmarkStart w:id="3" w:name="_Toc8533"/>
      <w:r>
        <w:rPr>
          <w:rFonts w:hint="eastAsia" w:ascii="宋体" w:hAnsi="宋体"/>
          <w:color w:val="auto"/>
        </w:rPr>
        <w:t>一、总则</w:t>
      </w:r>
      <w:bookmarkEnd w:id="3"/>
    </w:p>
    <w:p>
      <w:pPr>
        <w:pStyle w:val="84"/>
        <w:spacing w:line="500" w:lineRule="exact"/>
        <w:ind w:firstLine="480" w:firstLineChars="200"/>
        <w:jc w:val="both"/>
        <w:rPr>
          <w:rFonts w:ascii="宋体" w:hAnsi="宋体"/>
          <w:color w:val="auto"/>
        </w:rPr>
      </w:pPr>
      <w:r>
        <w:rPr>
          <w:rFonts w:hint="eastAsia" w:ascii="宋体" w:hAnsi="宋体"/>
          <w:color w:val="auto"/>
        </w:rPr>
        <w:t>1.合格的投标供应商：</w:t>
      </w:r>
    </w:p>
    <w:p>
      <w:pPr>
        <w:pStyle w:val="84"/>
        <w:spacing w:line="500" w:lineRule="exact"/>
        <w:ind w:firstLine="480" w:firstLineChars="200"/>
        <w:jc w:val="both"/>
        <w:rPr>
          <w:rFonts w:ascii="宋体" w:hAnsi="宋体"/>
          <w:color w:val="auto"/>
        </w:rPr>
      </w:pPr>
      <w:r>
        <w:rPr>
          <w:rFonts w:hint="eastAsia" w:ascii="宋体" w:hAnsi="宋体"/>
          <w:color w:val="auto"/>
        </w:rPr>
        <w:t>1.1 满足《中华人民共和国政府采购法》第二十二条的相关规定；</w:t>
      </w:r>
    </w:p>
    <w:p>
      <w:pPr>
        <w:pStyle w:val="84"/>
        <w:spacing w:line="500" w:lineRule="exact"/>
        <w:ind w:firstLine="480" w:firstLineChars="200"/>
        <w:jc w:val="both"/>
        <w:rPr>
          <w:rFonts w:ascii="宋体" w:hAnsi="宋体"/>
          <w:color w:val="auto"/>
        </w:rPr>
      </w:pPr>
      <w:r>
        <w:rPr>
          <w:rFonts w:hint="eastAsia" w:ascii="宋体" w:hAnsi="宋体"/>
          <w:color w:val="auto"/>
        </w:rPr>
        <w:t>1.2 有效的“一证一码”或“三证合一”的营业执照；</w:t>
      </w:r>
    </w:p>
    <w:p>
      <w:pPr>
        <w:pStyle w:val="84"/>
        <w:spacing w:line="500" w:lineRule="exact"/>
        <w:ind w:firstLine="480" w:firstLineChars="200"/>
        <w:jc w:val="both"/>
        <w:rPr>
          <w:rFonts w:ascii="宋体" w:hAnsi="宋体"/>
          <w:color w:val="auto"/>
        </w:rPr>
      </w:pPr>
      <w:r>
        <w:rPr>
          <w:rFonts w:hint="eastAsia" w:ascii="宋体" w:hAnsi="宋体"/>
          <w:color w:val="auto"/>
        </w:rPr>
        <w:t>1.3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文件日期之后）;</w:t>
      </w:r>
    </w:p>
    <w:p>
      <w:pPr>
        <w:pStyle w:val="84"/>
        <w:spacing w:line="500" w:lineRule="exact"/>
        <w:ind w:firstLine="567"/>
        <w:jc w:val="both"/>
        <w:rPr>
          <w:rFonts w:ascii="宋体" w:hAnsi="宋体"/>
          <w:color w:val="auto"/>
        </w:rPr>
      </w:pPr>
      <w:r>
        <w:rPr>
          <w:rFonts w:hint="eastAsia" w:ascii="宋体" w:hAnsi="宋体"/>
          <w:color w:val="auto"/>
        </w:rPr>
        <w:t xml:space="preserve">1.4  </w:t>
      </w:r>
      <w:r>
        <w:rPr>
          <w:rFonts w:hint="eastAsia" w:ascii="宋体" w:hAnsi="宋体"/>
          <w:color w:val="auto"/>
          <w:lang w:eastAsia="zh-CN"/>
        </w:rPr>
        <w:t>标项一：</w:t>
      </w:r>
      <w:r>
        <w:rPr>
          <w:rFonts w:hint="eastAsia" w:ascii="宋体" w:hAnsi="宋体"/>
          <w:color w:val="auto"/>
        </w:rPr>
        <w:t>需具有有效的行政主管部门颁发的医疗器械生产许可证或医疗器械经营许可证；</w:t>
      </w:r>
    </w:p>
    <w:p>
      <w:pPr>
        <w:pStyle w:val="84"/>
        <w:spacing w:line="500" w:lineRule="exact"/>
        <w:ind w:firstLine="567"/>
        <w:jc w:val="both"/>
        <w:rPr>
          <w:rFonts w:ascii="宋体" w:hAnsi="宋体"/>
          <w:color w:val="auto"/>
        </w:rPr>
      </w:pPr>
      <w:r>
        <w:rPr>
          <w:rFonts w:hint="eastAsia" w:ascii="宋体" w:hAnsi="宋体"/>
          <w:color w:val="auto"/>
        </w:rPr>
        <w:t>1.5</w:t>
      </w:r>
      <w:r>
        <w:rPr>
          <w:rFonts w:ascii="宋体" w:hAnsi="宋体"/>
          <w:color w:val="auto"/>
        </w:rPr>
        <w:t>.</w:t>
      </w:r>
      <w:r>
        <w:rPr>
          <w:rFonts w:hint="eastAsia" w:ascii="宋体" w:hAnsi="宋体"/>
          <w:color w:val="auto"/>
        </w:rPr>
        <w:t xml:space="preserve"> 本项目不接受联合体投标。</w:t>
      </w:r>
    </w:p>
    <w:p>
      <w:pPr>
        <w:pStyle w:val="84"/>
        <w:spacing w:line="500" w:lineRule="exact"/>
        <w:ind w:firstLine="567"/>
        <w:jc w:val="both"/>
        <w:rPr>
          <w:rFonts w:ascii="宋体" w:hAnsi="宋体"/>
          <w:color w:val="auto"/>
        </w:rPr>
      </w:pPr>
      <w:r>
        <w:rPr>
          <w:rFonts w:hint="eastAsia" w:ascii="宋体" w:hAnsi="宋体"/>
          <w:color w:val="auto"/>
        </w:rPr>
        <w:t>2. 定义。</w:t>
      </w:r>
    </w:p>
    <w:p>
      <w:pPr>
        <w:pStyle w:val="84"/>
        <w:spacing w:line="500" w:lineRule="exact"/>
        <w:ind w:firstLine="567"/>
        <w:jc w:val="both"/>
        <w:rPr>
          <w:rFonts w:ascii="宋体" w:hAnsi="宋体"/>
          <w:color w:val="auto"/>
        </w:rPr>
      </w:pPr>
      <w:r>
        <w:rPr>
          <w:rFonts w:hint="eastAsia" w:ascii="宋体" w:hAnsi="宋体"/>
          <w:color w:val="auto"/>
        </w:rPr>
        <w:t>2.1  “招标代理机构”系指新疆华域建设工程项目管理咨询有限公司。</w:t>
      </w:r>
    </w:p>
    <w:p>
      <w:pPr>
        <w:pStyle w:val="84"/>
        <w:spacing w:line="500" w:lineRule="exact"/>
        <w:ind w:firstLine="567"/>
        <w:jc w:val="both"/>
        <w:rPr>
          <w:rFonts w:ascii="宋体" w:hAnsi="宋体"/>
          <w:color w:val="auto"/>
        </w:rPr>
      </w:pPr>
      <w:r>
        <w:rPr>
          <w:rFonts w:hint="eastAsia" w:ascii="宋体" w:hAnsi="宋体"/>
          <w:color w:val="auto"/>
        </w:rPr>
        <w:t>2.2  “投标供应商”系指向招标代理机构提交投标文件的供应商。</w:t>
      </w:r>
    </w:p>
    <w:p>
      <w:pPr>
        <w:pStyle w:val="84"/>
        <w:spacing w:line="500" w:lineRule="exact"/>
        <w:ind w:firstLine="567"/>
        <w:jc w:val="both"/>
        <w:rPr>
          <w:rFonts w:ascii="宋体" w:hAnsi="宋体"/>
          <w:color w:val="auto"/>
        </w:rPr>
      </w:pPr>
      <w:r>
        <w:rPr>
          <w:rFonts w:hint="eastAsia" w:ascii="宋体" w:hAnsi="宋体"/>
          <w:color w:val="auto"/>
        </w:rPr>
        <w:t>2.3  “货物”系指卖方按合同要求，向买方提供的设备手册及其他技术资料。</w:t>
      </w:r>
    </w:p>
    <w:p>
      <w:pPr>
        <w:pStyle w:val="84"/>
        <w:spacing w:line="500" w:lineRule="exact"/>
        <w:ind w:firstLine="600" w:firstLineChars="250"/>
        <w:rPr>
          <w:rFonts w:ascii="宋体" w:hAnsi="宋体"/>
          <w:color w:val="auto"/>
        </w:rPr>
      </w:pPr>
      <w:r>
        <w:rPr>
          <w:rFonts w:hint="eastAsia" w:ascii="宋体" w:hAnsi="宋体"/>
          <w:color w:val="auto"/>
        </w:rPr>
        <w:t>2.4.“节能产品”或者“环保产品”是指财政部最新发布的《节能产品政府采购清单》或者《环境标志产品政府采购清单》的产品。</w:t>
      </w:r>
    </w:p>
    <w:p>
      <w:pPr>
        <w:pStyle w:val="84"/>
        <w:spacing w:line="500" w:lineRule="exact"/>
        <w:ind w:firstLine="567"/>
        <w:jc w:val="both"/>
        <w:rPr>
          <w:rFonts w:ascii="宋体" w:hAnsi="宋体"/>
          <w:color w:val="auto"/>
        </w:rPr>
      </w:pPr>
      <w:r>
        <w:rPr>
          <w:rFonts w:hint="eastAsia" w:ascii="宋体" w:hAnsi="宋体"/>
          <w:color w:val="auto"/>
        </w:rPr>
        <w:t>2.5  “服务”系指按合同规定卖方须承担的运输、装卸、技术协助和交付使用后保修期内应履行的义务及售后服务等其他类似的义务。</w:t>
      </w:r>
    </w:p>
    <w:p>
      <w:pPr>
        <w:pStyle w:val="84"/>
        <w:spacing w:line="500" w:lineRule="exact"/>
        <w:ind w:firstLine="567"/>
        <w:jc w:val="both"/>
        <w:rPr>
          <w:rFonts w:ascii="宋体" w:hAnsi="宋体"/>
          <w:color w:val="auto"/>
        </w:rPr>
      </w:pPr>
      <w:r>
        <w:rPr>
          <w:rFonts w:hint="eastAsia" w:ascii="宋体" w:hAnsi="宋体"/>
          <w:color w:val="auto"/>
        </w:rPr>
        <w:t>2.6  “卖方”系指提供合同货物和服务的经济实体。</w:t>
      </w:r>
    </w:p>
    <w:p>
      <w:pPr>
        <w:pStyle w:val="84"/>
        <w:spacing w:line="500" w:lineRule="exact"/>
        <w:ind w:firstLine="567"/>
        <w:jc w:val="both"/>
        <w:rPr>
          <w:rFonts w:ascii="宋体" w:hAnsi="宋体"/>
          <w:color w:val="auto"/>
        </w:rPr>
      </w:pPr>
      <w:r>
        <w:rPr>
          <w:rFonts w:hint="eastAsia" w:ascii="宋体" w:hAnsi="宋体"/>
          <w:color w:val="auto"/>
        </w:rPr>
        <w:t>2.7  “买方”系指购买货物和服务的单位。</w:t>
      </w:r>
    </w:p>
    <w:p>
      <w:pPr>
        <w:pStyle w:val="84"/>
        <w:spacing w:line="500" w:lineRule="exact"/>
        <w:ind w:firstLine="480" w:firstLineChars="200"/>
        <w:jc w:val="both"/>
        <w:rPr>
          <w:rFonts w:ascii="宋体" w:hAnsi="宋体"/>
          <w:color w:val="auto"/>
        </w:rPr>
      </w:pPr>
      <w:r>
        <w:rPr>
          <w:rFonts w:hint="eastAsia" w:ascii="宋体" w:hAnsi="宋体"/>
          <w:color w:val="auto"/>
        </w:rPr>
        <w:t>3.  投标费用</w:t>
      </w:r>
    </w:p>
    <w:p>
      <w:pPr>
        <w:pStyle w:val="84"/>
        <w:spacing w:line="500" w:lineRule="exact"/>
        <w:ind w:firstLine="480" w:firstLineChars="200"/>
        <w:jc w:val="both"/>
        <w:rPr>
          <w:rFonts w:ascii="宋体" w:hAnsi="宋体"/>
          <w:color w:val="auto"/>
        </w:rPr>
      </w:pPr>
      <w:r>
        <w:rPr>
          <w:rFonts w:hint="eastAsia" w:ascii="宋体" w:hAnsi="宋体"/>
          <w:color w:val="auto"/>
        </w:rPr>
        <w:t>3.1  投标供应商在投标时应自行承担所有与编写和提交投标文件有关的费用。</w:t>
      </w:r>
    </w:p>
    <w:p>
      <w:pPr>
        <w:numPr>
          <w:ilvl w:val="0"/>
          <w:numId w:val="2"/>
        </w:numPr>
        <w:spacing w:line="500" w:lineRule="exact"/>
        <w:ind w:firstLine="570"/>
        <w:jc w:val="left"/>
        <w:rPr>
          <w:rFonts w:ascii="宋体" w:hAnsi="宋体"/>
          <w:b/>
          <w:color w:val="auto"/>
          <w:sz w:val="24"/>
          <w:szCs w:val="24"/>
        </w:rPr>
      </w:pPr>
      <w:r>
        <w:rPr>
          <w:rFonts w:hint="eastAsia" w:ascii="宋体" w:hAnsi="宋体"/>
          <w:color w:val="auto"/>
          <w:kern w:val="0"/>
          <w:sz w:val="24"/>
          <w:szCs w:val="24"/>
        </w:rPr>
        <w:t>本次项目不接受联合体投标。</w:t>
      </w:r>
    </w:p>
    <w:p>
      <w:pPr>
        <w:pStyle w:val="84"/>
        <w:spacing w:line="500" w:lineRule="exact"/>
        <w:ind w:left="567"/>
        <w:jc w:val="center"/>
        <w:outlineLvl w:val="1"/>
        <w:rPr>
          <w:rFonts w:hint="eastAsia" w:ascii="宋体" w:hAnsi="宋体"/>
          <w:color w:val="auto"/>
        </w:rPr>
      </w:pPr>
      <w:bookmarkStart w:id="4" w:name="_Toc7954"/>
    </w:p>
    <w:p>
      <w:pPr>
        <w:pStyle w:val="84"/>
        <w:spacing w:line="500" w:lineRule="exact"/>
        <w:ind w:left="567"/>
        <w:jc w:val="center"/>
        <w:outlineLvl w:val="1"/>
        <w:rPr>
          <w:rFonts w:hint="eastAsia" w:ascii="宋体" w:hAnsi="宋体"/>
          <w:color w:val="auto"/>
        </w:rPr>
      </w:pPr>
    </w:p>
    <w:p>
      <w:pPr>
        <w:pStyle w:val="84"/>
        <w:spacing w:line="500" w:lineRule="exact"/>
        <w:ind w:left="567"/>
        <w:jc w:val="center"/>
        <w:outlineLvl w:val="1"/>
        <w:rPr>
          <w:rFonts w:hint="eastAsia" w:ascii="宋体" w:hAnsi="宋体"/>
          <w:color w:val="auto"/>
        </w:rPr>
      </w:pPr>
    </w:p>
    <w:p>
      <w:pPr>
        <w:pStyle w:val="84"/>
        <w:spacing w:line="500" w:lineRule="exact"/>
        <w:ind w:left="567"/>
        <w:jc w:val="center"/>
        <w:outlineLvl w:val="1"/>
        <w:rPr>
          <w:rFonts w:ascii="宋体" w:hAnsi="宋体"/>
          <w:color w:val="auto"/>
        </w:rPr>
      </w:pPr>
      <w:r>
        <w:rPr>
          <w:rFonts w:hint="eastAsia" w:ascii="宋体" w:hAnsi="宋体"/>
          <w:color w:val="auto"/>
        </w:rPr>
        <w:t>二、招标文件</w:t>
      </w:r>
      <w:bookmarkEnd w:id="4"/>
    </w:p>
    <w:p>
      <w:pPr>
        <w:pStyle w:val="84"/>
        <w:spacing w:line="500" w:lineRule="exact"/>
        <w:ind w:firstLine="480" w:firstLineChars="200"/>
        <w:jc w:val="both"/>
        <w:rPr>
          <w:rFonts w:ascii="宋体" w:hAnsi="宋体"/>
          <w:color w:val="auto"/>
        </w:rPr>
      </w:pPr>
      <w:r>
        <w:rPr>
          <w:rFonts w:hint="eastAsia" w:ascii="宋体" w:hAnsi="宋体"/>
          <w:color w:val="auto"/>
        </w:rPr>
        <w:t>5.  招标文件</w:t>
      </w:r>
    </w:p>
    <w:p>
      <w:pPr>
        <w:pStyle w:val="84"/>
        <w:spacing w:line="500" w:lineRule="exact"/>
        <w:ind w:firstLine="480" w:firstLineChars="200"/>
        <w:jc w:val="both"/>
        <w:rPr>
          <w:rFonts w:ascii="宋体" w:hAnsi="宋体"/>
          <w:color w:val="auto"/>
        </w:rPr>
      </w:pPr>
      <w:r>
        <w:rPr>
          <w:rFonts w:hint="eastAsia" w:ascii="宋体" w:hAnsi="宋体"/>
          <w:color w:val="auto"/>
        </w:rPr>
        <w:t>5.1  招标文件用以阐明所需货物和服务、招标投标程序和商务合同主要条款，包括：</w:t>
      </w:r>
    </w:p>
    <w:p>
      <w:pPr>
        <w:pStyle w:val="84"/>
        <w:spacing w:line="500" w:lineRule="exact"/>
        <w:ind w:firstLine="480" w:firstLineChars="200"/>
        <w:jc w:val="both"/>
        <w:rPr>
          <w:rFonts w:ascii="宋体" w:hAnsi="宋体"/>
          <w:color w:val="auto"/>
        </w:rPr>
      </w:pPr>
      <w:r>
        <w:rPr>
          <w:rFonts w:hint="eastAsia" w:ascii="宋体" w:hAnsi="宋体"/>
          <w:color w:val="auto"/>
        </w:rPr>
        <w:t xml:space="preserve">5.1.1  招标书 </w:t>
      </w:r>
    </w:p>
    <w:p>
      <w:pPr>
        <w:pStyle w:val="84"/>
        <w:spacing w:line="500" w:lineRule="exact"/>
        <w:ind w:firstLine="480" w:firstLineChars="200"/>
        <w:jc w:val="both"/>
        <w:rPr>
          <w:rFonts w:ascii="宋体" w:hAnsi="宋体"/>
          <w:color w:val="auto"/>
        </w:rPr>
      </w:pPr>
      <w:r>
        <w:rPr>
          <w:rFonts w:hint="eastAsia" w:ascii="宋体" w:hAnsi="宋体"/>
          <w:color w:val="auto"/>
        </w:rPr>
        <w:t>5.1.2  投标须知</w:t>
      </w:r>
    </w:p>
    <w:p>
      <w:pPr>
        <w:pStyle w:val="84"/>
        <w:spacing w:line="500" w:lineRule="exact"/>
        <w:ind w:firstLine="480" w:firstLineChars="200"/>
        <w:jc w:val="both"/>
        <w:rPr>
          <w:rFonts w:ascii="宋体" w:hAnsi="宋体"/>
          <w:color w:val="auto"/>
        </w:rPr>
      </w:pPr>
      <w:r>
        <w:rPr>
          <w:rFonts w:hint="eastAsia" w:ascii="宋体" w:hAnsi="宋体"/>
          <w:color w:val="auto"/>
        </w:rPr>
        <w:t>5.1.3  招标货物需求一览表及技术规格要求</w:t>
      </w:r>
    </w:p>
    <w:p>
      <w:pPr>
        <w:pStyle w:val="84"/>
        <w:spacing w:line="500" w:lineRule="exact"/>
        <w:ind w:firstLine="480" w:firstLineChars="200"/>
        <w:jc w:val="both"/>
        <w:rPr>
          <w:rFonts w:ascii="宋体" w:hAnsi="宋体"/>
          <w:color w:val="auto"/>
        </w:rPr>
      </w:pPr>
      <w:r>
        <w:rPr>
          <w:rFonts w:hint="eastAsia" w:ascii="宋体" w:hAnsi="宋体"/>
          <w:color w:val="auto"/>
        </w:rPr>
        <w:t>5.1.4  商务合同主要条款</w:t>
      </w:r>
    </w:p>
    <w:p>
      <w:pPr>
        <w:pStyle w:val="84"/>
        <w:spacing w:line="500" w:lineRule="exact"/>
        <w:ind w:left="478" w:leftChars="228"/>
        <w:jc w:val="both"/>
        <w:rPr>
          <w:rFonts w:ascii="宋体" w:hAnsi="宋体"/>
          <w:color w:val="auto"/>
        </w:rPr>
      </w:pPr>
      <w:r>
        <w:rPr>
          <w:rFonts w:hint="eastAsia" w:ascii="宋体" w:hAnsi="宋体"/>
          <w:color w:val="auto"/>
        </w:rPr>
        <w:t>5.1.5　投标文件格式</w:t>
      </w:r>
      <w:r>
        <w:rPr>
          <w:rFonts w:hint="eastAsia" w:ascii="宋体" w:hAnsi="宋体"/>
          <w:color w:val="auto"/>
        </w:rPr>
        <w:br w:type="textWrapping"/>
      </w:r>
      <w:r>
        <w:rPr>
          <w:rFonts w:hint="eastAsia" w:ascii="宋体" w:hAnsi="宋体"/>
          <w:color w:val="auto"/>
        </w:rPr>
        <w:t>5.1.6  其  他　</w:t>
      </w:r>
    </w:p>
    <w:p>
      <w:pPr>
        <w:pStyle w:val="84"/>
        <w:spacing w:line="500" w:lineRule="exact"/>
        <w:ind w:firstLine="480" w:firstLineChars="200"/>
        <w:jc w:val="both"/>
        <w:rPr>
          <w:rFonts w:ascii="宋体" w:hAnsi="宋体"/>
          <w:color w:val="auto"/>
        </w:rPr>
      </w:pPr>
      <w:r>
        <w:rPr>
          <w:rFonts w:hint="eastAsia" w:ascii="宋体" w:hAnsi="宋体"/>
          <w:color w:val="auto"/>
        </w:rPr>
        <w:t>5.2 投标供应商应认真阅读招标文件中所有的事项、格式、条款和规范等要求。如果没有按照招标文件要求提交全部资料或者投标文件没有对招标文件做出实质性响应，其投标文件可能被拒绝。</w:t>
      </w:r>
    </w:p>
    <w:p>
      <w:pPr>
        <w:pStyle w:val="84"/>
        <w:spacing w:line="500" w:lineRule="exact"/>
        <w:ind w:firstLine="480" w:firstLineChars="200"/>
        <w:jc w:val="both"/>
        <w:rPr>
          <w:rFonts w:ascii="宋体" w:hAnsi="宋体"/>
          <w:color w:val="auto"/>
        </w:rPr>
      </w:pPr>
      <w:r>
        <w:rPr>
          <w:rFonts w:hint="eastAsia" w:ascii="宋体" w:hAnsi="宋体"/>
          <w:color w:val="auto"/>
        </w:rPr>
        <w:t>6.  招标文件的澄清</w:t>
      </w:r>
    </w:p>
    <w:p>
      <w:pPr>
        <w:pStyle w:val="84"/>
        <w:spacing w:line="500" w:lineRule="exact"/>
        <w:ind w:firstLine="480" w:firstLineChars="200"/>
        <w:jc w:val="both"/>
        <w:rPr>
          <w:rFonts w:ascii="宋体" w:hAnsi="宋体"/>
          <w:color w:val="auto"/>
        </w:rPr>
      </w:pPr>
      <w:r>
        <w:rPr>
          <w:rFonts w:hint="eastAsia" w:ascii="宋体" w:hAnsi="宋体"/>
          <w:color w:val="auto"/>
        </w:rPr>
        <w:t>6.1  招标采购单位对已发出的招标文件进行必要澄清或者修改的，应当在招标文件要求提交投标文件截止时间15日前，在财政部门指定的政府采购信息发布媒体上发布更正公告，并以书面形式通知所有招标文件收受人。该澄清或者修改的内容为招标文件的组成部分。</w:t>
      </w:r>
    </w:p>
    <w:p>
      <w:pPr>
        <w:pStyle w:val="84"/>
        <w:spacing w:line="500" w:lineRule="exact"/>
        <w:ind w:firstLine="480" w:firstLineChars="200"/>
        <w:jc w:val="both"/>
        <w:rPr>
          <w:rFonts w:ascii="宋体" w:hAnsi="宋体"/>
          <w:color w:val="auto"/>
        </w:rPr>
      </w:pPr>
      <w:r>
        <w:rPr>
          <w:rFonts w:hint="eastAsia" w:ascii="宋体" w:hAnsi="宋体"/>
          <w:color w:val="auto"/>
        </w:rPr>
        <w:t xml:space="preserve">7.  招标文件的澄清与修改 </w:t>
      </w:r>
    </w:p>
    <w:p>
      <w:pPr>
        <w:pStyle w:val="84"/>
        <w:spacing w:line="500" w:lineRule="exact"/>
        <w:ind w:firstLine="480" w:firstLineChars="200"/>
        <w:jc w:val="both"/>
        <w:rPr>
          <w:rFonts w:ascii="宋体" w:hAnsi="宋体"/>
          <w:color w:val="auto"/>
        </w:rPr>
      </w:pPr>
      <w:r>
        <w:rPr>
          <w:rFonts w:hint="eastAsia" w:ascii="宋体" w:hAnsi="宋体"/>
          <w:color w:val="auto"/>
        </w:rPr>
        <w:t>7.1 供应商应认真阅读本招标文件，发现其中有误或有不合理要求的，供应商必须在投标截止日期前 15 日以书面形式要求招标采购单位澄清，在招标现场以任何方式和理由对招标文件提出的质疑都将被拒绝。采购代理机构对已发出的招标文件进行必要澄清、答复、修改或补充的，应当在招标文件要求提交投标文件截止时间15天前，以书面形式通知所有招标文件收受人。</w:t>
      </w:r>
    </w:p>
    <w:p>
      <w:pPr>
        <w:pStyle w:val="84"/>
        <w:spacing w:line="500" w:lineRule="exact"/>
        <w:ind w:firstLine="480" w:firstLineChars="200"/>
        <w:jc w:val="both"/>
        <w:rPr>
          <w:rFonts w:ascii="宋体" w:hAnsi="宋体"/>
          <w:color w:val="auto"/>
        </w:rPr>
      </w:pPr>
      <w:r>
        <w:rPr>
          <w:rFonts w:hint="eastAsia" w:ascii="宋体" w:hAnsi="宋体"/>
          <w:color w:val="auto"/>
        </w:rPr>
        <w:t>7.2 采购代理机构必须以书面形式答复供应商要求澄清的问题，并将不包含问题来源的答复书面通知所有购买招标文件的供应商；除书面答复以外的其他澄清方式及澄清内容均无效。</w:t>
      </w:r>
    </w:p>
    <w:p>
      <w:pPr>
        <w:pStyle w:val="84"/>
        <w:spacing w:line="500" w:lineRule="exact"/>
        <w:ind w:firstLine="480" w:firstLineChars="200"/>
        <w:jc w:val="both"/>
        <w:rPr>
          <w:rFonts w:ascii="宋体" w:hAnsi="宋体"/>
          <w:color w:val="auto"/>
        </w:rPr>
      </w:pPr>
      <w:r>
        <w:rPr>
          <w:rFonts w:hint="eastAsia" w:ascii="宋体" w:hAnsi="宋体"/>
          <w:color w:val="auto"/>
        </w:rPr>
        <w:t>7.3 招标文件的答复、澄清、修改、补充通知实质上改变招标需求相关内容，且自招标文件的答复、澄清、修改、补充通知发出之日起至投标截止时间止不足15天的，招标采购单位应推迟投标截止时间和开标时间，并将变更后的时间书面通知所有招标文件收受人。</w:t>
      </w:r>
    </w:p>
    <w:p>
      <w:pPr>
        <w:pStyle w:val="84"/>
        <w:spacing w:line="500" w:lineRule="exact"/>
        <w:ind w:firstLine="480" w:firstLineChars="200"/>
        <w:jc w:val="both"/>
        <w:rPr>
          <w:rFonts w:ascii="宋体" w:hAnsi="宋体"/>
          <w:color w:val="auto"/>
        </w:rPr>
      </w:pPr>
      <w:r>
        <w:rPr>
          <w:rFonts w:hint="eastAsia" w:ascii="宋体" w:hAnsi="宋体"/>
          <w:color w:val="auto"/>
        </w:rPr>
        <w:t>7.4 招标文件澄清、答复、修改、补充的内容为招标文件的组成部分。当招标文件与招标文件的答复、澄清、修改、补充通知就同一内容的表述不一致时，以最后发出的书面文件为准。</w:t>
      </w:r>
    </w:p>
    <w:p>
      <w:pPr>
        <w:pStyle w:val="84"/>
        <w:spacing w:line="500" w:lineRule="exact"/>
        <w:ind w:firstLine="480" w:firstLineChars="200"/>
        <w:jc w:val="both"/>
        <w:rPr>
          <w:rFonts w:ascii="宋体" w:hAnsi="宋体"/>
          <w:color w:val="auto"/>
        </w:rPr>
      </w:pPr>
      <w:r>
        <w:rPr>
          <w:rFonts w:hint="eastAsia" w:ascii="宋体" w:hAnsi="宋体"/>
          <w:color w:val="auto"/>
        </w:rPr>
        <w:t>7.5 招标文件的澄清、答复、修改或补充都应该通过本代理机构以法定形式发布，采购人非通过本机构，不得擅自澄清、答复、修改或补充招标文件。</w:t>
      </w:r>
    </w:p>
    <w:p>
      <w:pPr>
        <w:pStyle w:val="84"/>
        <w:spacing w:line="500" w:lineRule="exact"/>
        <w:ind w:firstLine="480" w:firstLineChars="200"/>
        <w:jc w:val="both"/>
        <w:outlineLvl w:val="1"/>
        <w:rPr>
          <w:rFonts w:ascii="宋体" w:hAnsi="宋体"/>
          <w:color w:val="auto"/>
        </w:rPr>
      </w:pPr>
      <w:bookmarkStart w:id="5" w:name="_Toc22109"/>
      <w:r>
        <w:rPr>
          <w:rFonts w:hint="eastAsia" w:ascii="宋体" w:hAnsi="宋体"/>
          <w:color w:val="auto"/>
        </w:rPr>
        <w:t>三、投标文件的编制</w:t>
      </w:r>
      <w:bookmarkEnd w:id="5"/>
    </w:p>
    <w:p>
      <w:pPr>
        <w:pStyle w:val="84"/>
        <w:spacing w:line="500" w:lineRule="exact"/>
        <w:ind w:firstLine="480" w:firstLineChars="200"/>
        <w:jc w:val="both"/>
        <w:rPr>
          <w:rFonts w:ascii="宋体" w:hAnsi="宋体"/>
          <w:color w:val="auto"/>
        </w:rPr>
      </w:pPr>
      <w:r>
        <w:rPr>
          <w:rFonts w:hint="eastAsia" w:ascii="宋体" w:hAnsi="宋体"/>
          <w:color w:val="auto"/>
        </w:rPr>
        <w:t>8.  投标文件的编写</w:t>
      </w:r>
    </w:p>
    <w:p>
      <w:pPr>
        <w:pStyle w:val="84"/>
        <w:spacing w:line="500" w:lineRule="exact"/>
        <w:ind w:firstLine="480" w:firstLineChars="200"/>
        <w:jc w:val="both"/>
        <w:rPr>
          <w:rFonts w:ascii="宋体" w:hAnsi="宋体"/>
          <w:color w:val="auto"/>
        </w:rPr>
      </w:pPr>
      <w:r>
        <w:rPr>
          <w:rFonts w:hint="eastAsia" w:ascii="宋体" w:hAnsi="宋体"/>
          <w:color w:val="auto"/>
        </w:rPr>
        <w:t>8.1  投标供应商应仔细阅读招标文件,了解招标文件的要求。在充分理解招标文件提出的货物规格型号、技术性能、技术参数、服务和商务条件后，制作投标文件。</w:t>
      </w:r>
    </w:p>
    <w:p>
      <w:pPr>
        <w:pStyle w:val="84"/>
        <w:spacing w:line="500" w:lineRule="exact"/>
        <w:ind w:firstLine="480" w:firstLineChars="200"/>
        <w:jc w:val="both"/>
        <w:rPr>
          <w:rFonts w:ascii="宋体" w:hAnsi="宋体"/>
          <w:color w:val="auto"/>
        </w:rPr>
      </w:pPr>
      <w:r>
        <w:rPr>
          <w:rFonts w:hint="eastAsia" w:ascii="宋体" w:hAnsi="宋体"/>
          <w:color w:val="auto"/>
        </w:rPr>
        <w:t>9.  投标的语言及计量单位</w:t>
      </w:r>
    </w:p>
    <w:p>
      <w:pPr>
        <w:pStyle w:val="84"/>
        <w:spacing w:line="500" w:lineRule="exact"/>
        <w:ind w:firstLine="480" w:firstLineChars="200"/>
        <w:jc w:val="both"/>
        <w:rPr>
          <w:rFonts w:ascii="宋体" w:hAnsi="宋体"/>
          <w:color w:val="auto"/>
        </w:rPr>
      </w:pPr>
      <w:r>
        <w:rPr>
          <w:rFonts w:hint="eastAsia" w:ascii="宋体" w:hAnsi="宋体"/>
          <w:color w:val="auto"/>
        </w:rPr>
        <w:t>9.1  投标供应商的投标文件以及投标供应商与招标代理机构就有关招标活动的所有来往函电均应使用中文。如果投标文件或与投标有关的其它文件、信件及来往函电以其它语言书写，投标供应商应将其译成中文。</w:t>
      </w:r>
    </w:p>
    <w:p>
      <w:pPr>
        <w:pStyle w:val="84"/>
        <w:spacing w:line="500" w:lineRule="exact"/>
        <w:ind w:firstLine="480" w:firstLineChars="200"/>
        <w:jc w:val="both"/>
        <w:rPr>
          <w:rFonts w:ascii="宋体" w:hAnsi="宋体"/>
          <w:color w:val="auto"/>
        </w:rPr>
      </w:pPr>
      <w:r>
        <w:rPr>
          <w:rFonts w:hint="eastAsia" w:ascii="宋体" w:hAnsi="宋体"/>
          <w:color w:val="auto"/>
        </w:rPr>
        <w:t>9.2  投标文件中所使用的计量单位除招标文件中有特殊规定外，一律使用法定计量单位。</w:t>
      </w:r>
    </w:p>
    <w:p>
      <w:pPr>
        <w:pStyle w:val="84"/>
        <w:spacing w:line="500" w:lineRule="exact"/>
        <w:ind w:firstLine="480" w:firstLineChars="200"/>
        <w:jc w:val="both"/>
        <w:rPr>
          <w:rFonts w:ascii="宋体" w:hAnsi="宋体"/>
          <w:color w:val="auto"/>
        </w:rPr>
      </w:pPr>
      <w:r>
        <w:rPr>
          <w:rFonts w:hint="eastAsia" w:ascii="宋体" w:hAnsi="宋体"/>
          <w:color w:val="auto"/>
        </w:rPr>
        <w:t>10.  投标文件构成</w:t>
      </w:r>
    </w:p>
    <w:p>
      <w:pPr>
        <w:pStyle w:val="84"/>
        <w:spacing w:line="500" w:lineRule="exact"/>
        <w:ind w:firstLine="480" w:firstLineChars="200"/>
        <w:jc w:val="both"/>
        <w:rPr>
          <w:rFonts w:ascii="宋体" w:hAnsi="宋体"/>
          <w:color w:val="auto"/>
        </w:rPr>
      </w:pPr>
      <w:r>
        <w:rPr>
          <w:rFonts w:hint="eastAsia" w:ascii="宋体" w:hAnsi="宋体"/>
          <w:color w:val="auto"/>
        </w:rPr>
        <w:t>10.1  投标供应商编写的投标文件应按下列顺序及内容提供:</w:t>
      </w:r>
    </w:p>
    <w:p>
      <w:pPr>
        <w:pStyle w:val="84"/>
        <w:spacing w:line="500" w:lineRule="exact"/>
        <w:ind w:firstLine="480" w:firstLineChars="200"/>
        <w:jc w:val="both"/>
        <w:rPr>
          <w:rFonts w:ascii="宋体" w:hAnsi="宋体"/>
          <w:bCs/>
          <w:color w:val="auto"/>
        </w:rPr>
      </w:pPr>
      <w:r>
        <w:rPr>
          <w:rFonts w:hint="eastAsia" w:ascii="宋体" w:hAnsi="宋体"/>
          <w:bCs/>
          <w:color w:val="auto"/>
        </w:rPr>
        <w:t>10.1.1  商务投标书;</w:t>
      </w:r>
    </w:p>
    <w:p>
      <w:pPr>
        <w:spacing w:line="500" w:lineRule="exact"/>
        <w:ind w:firstLine="480"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(1)投标函(含法定代表人身份证明或授权委托书)；</w:t>
      </w:r>
    </w:p>
    <w:p>
      <w:pPr>
        <w:spacing w:line="500" w:lineRule="exact"/>
        <w:ind w:firstLine="480"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(2)开标一览表；</w:t>
      </w:r>
    </w:p>
    <w:p>
      <w:pPr>
        <w:spacing w:line="500" w:lineRule="exact"/>
        <w:ind w:firstLine="480"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(3)投标分项报价表；</w:t>
      </w:r>
    </w:p>
    <w:p>
      <w:pPr>
        <w:spacing w:line="500" w:lineRule="exact"/>
        <w:ind w:firstLine="480"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(4)商务条款偏离表；</w:t>
      </w:r>
    </w:p>
    <w:p>
      <w:pPr>
        <w:spacing w:line="500" w:lineRule="exact"/>
        <w:ind w:firstLine="480"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(5)投标保证金</w:t>
      </w:r>
      <w:r>
        <w:rPr>
          <w:rFonts w:hint="eastAsia" w:asciiTheme="minorEastAsia" w:hAnsiTheme="minorEastAsia" w:eastAsiaTheme="minorEastAsia" w:cstheme="minorEastAsia"/>
          <w:b/>
          <w:bCs/>
          <w:color w:val="auto"/>
          <w:sz w:val="24"/>
          <w:szCs w:val="24"/>
          <w:lang w:eastAsia="zh-CN"/>
        </w:rPr>
        <w:t>汇款凭证</w:t>
      </w:r>
      <w:r>
        <w:rPr>
          <w:rFonts w:hint="eastAsia" w:asciiTheme="minorEastAsia" w:hAnsiTheme="minorEastAsia" w:eastAsiaTheme="minorEastAsia" w:cstheme="minorEastAsia"/>
          <w:b/>
          <w:bCs/>
          <w:color w:val="auto"/>
          <w:sz w:val="24"/>
          <w:szCs w:val="24"/>
        </w:rPr>
        <w:t>；</w:t>
      </w:r>
    </w:p>
    <w:p>
      <w:pPr>
        <w:spacing w:line="500" w:lineRule="exact"/>
        <w:ind w:firstLine="480" w:firstLineChars="200"/>
        <w:rPr>
          <w:rFonts w:ascii="宋体" w:hAnsi="宋体" w:cs="Arial"/>
          <w:b/>
          <w:color w:val="auto"/>
          <w:sz w:val="24"/>
          <w:szCs w:val="24"/>
        </w:rPr>
      </w:pPr>
      <w:r>
        <w:rPr>
          <w:rFonts w:hint="eastAsia" w:asciiTheme="minorEastAsia" w:hAnsiTheme="minorEastAsia" w:eastAsiaTheme="minorEastAsia" w:cstheme="minorEastAsia"/>
          <w:b/>
          <w:bCs/>
          <w:color w:val="auto"/>
          <w:sz w:val="24"/>
          <w:szCs w:val="24"/>
        </w:rPr>
        <w:t>(6)</w:t>
      </w:r>
      <w:r>
        <w:rPr>
          <w:rFonts w:hint="eastAsia" w:ascii="宋体" w:hAnsi="宋体" w:cs="Arial"/>
          <w:b/>
          <w:color w:val="auto"/>
          <w:sz w:val="24"/>
          <w:szCs w:val="24"/>
        </w:rPr>
        <w:t>供应商符合投标人资格条件的证明文件</w:t>
      </w:r>
    </w:p>
    <w:p>
      <w:pPr>
        <w:spacing w:line="500" w:lineRule="exact"/>
        <w:ind w:firstLine="480" w:firstLineChars="200"/>
        <w:rPr>
          <w:rFonts w:ascii="宋体" w:hAnsi="宋体" w:cs="Arial"/>
          <w:color w:val="auto"/>
          <w:sz w:val="24"/>
          <w:szCs w:val="24"/>
        </w:rPr>
      </w:pPr>
      <w:r>
        <w:rPr>
          <w:rFonts w:hint="eastAsia" w:asciiTheme="minorEastAsia" w:hAnsiTheme="minorEastAsia" w:eastAsiaTheme="minorEastAsia" w:cstheme="minorEastAsia"/>
          <w:color w:val="auto"/>
          <w:sz w:val="24"/>
          <w:szCs w:val="24"/>
        </w:rPr>
        <w:t>(7)</w:t>
      </w:r>
      <w:r>
        <w:rPr>
          <w:rFonts w:hint="eastAsia" w:ascii="宋体" w:hAnsi="宋体" w:cs="Arial"/>
          <w:color w:val="auto"/>
          <w:sz w:val="24"/>
          <w:szCs w:val="24"/>
        </w:rPr>
        <w:t>投标供应商需提供近两年（2019年</w:t>
      </w:r>
      <w:r>
        <w:rPr>
          <w:rFonts w:hint="eastAsia" w:ascii="宋体" w:hAnsi="宋体" w:cs="Arial"/>
          <w:color w:val="auto"/>
          <w:sz w:val="24"/>
          <w:szCs w:val="24"/>
          <w:lang w:val="en-US" w:eastAsia="zh-CN"/>
        </w:rPr>
        <w:t>12</w:t>
      </w:r>
      <w:r>
        <w:rPr>
          <w:rFonts w:hint="eastAsia" w:ascii="宋体" w:hAnsi="宋体" w:cs="Arial"/>
          <w:color w:val="auto"/>
          <w:sz w:val="24"/>
          <w:szCs w:val="24"/>
        </w:rPr>
        <w:t>月01日至今）类似项目业绩表（附合同或中标通知书或成交通知书复印件）；</w:t>
      </w:r>
    </w:p>
    <w:p>
      <w:pPr>
        <w:pStyle w:val="2"/>
        <w:ind w:firstLine="480" w:firstLineChars="200"/>
        <w:rPr>
          <w:rFonts w:ascii="宋体" w:hAnsi="宋体"/>
          <w:color w:val="auto"/>
          <w:sz w:val="24"/>
          <w:szCs w:val="24"/>
        </w:rPr>
      </w:pPr>
      <w:r>
        <w:rPr>
          <w:rFonts w:hint="eastAsia" w:asciiTheme="minorEastAsia" w:hAnsiTheme="minorEastAsia" w:eastAsiaTheme="minorEastAsia" w:cstheme="minorEastAsia"/>
          <w:color w:val="auto"/>
          <w:sz w:val="24"/>
          <w:szCs w:val="24"/>
        </w:rPr>
        <w:t>(8)</w:t>
      </w:r>
      <w:r>
        <w:rPr>
          <w:rFonts w:hint="eastAsia" w:ascii="宋体" w:hAnsi="宋体"/>
          <w:color w:val="auto"/>
          <w:sz w:val="24"/>
          <w:szCs w:val="24"/>
        </w:rPr>
        <w:t xml:space="preserve">符合政府采购政策的证明材料                                                                                                                                                                                                                                                                                                                                                                                                                                                                                                                                                                </w:t>
      </w:r>
    </w:p>
    <w:p>
      <w:pPr>
        <w:pStyle w:val="2"/>
        <w:ind w:firstLine="480" w:firstLineChars="200"/>
        <w:rPr>
          <w:rFonts w:ascii="宋体" w:hAnsi="宋体"/>
          <w:color w:val="auto"/>
          <w:sz w:val="24"/>
          <w:szCs w:val="24"/>
        </w:rPr>
      </w:pPr>
      <w:r>
        <w:rPr>
          <w:rFonts w:hint="eastAsia" w:asciiTheme="minorEastAsia" w:hAnsiTheme="minorEastAsia" w:eastAsiaTheme="minorEastAsia" w:cstheme="minorEastAsia"/>
          <w:color w:val="auto"/>
          <w:sz w:val="24"/>
          <w:szCs w:val="24"/>
        </w:rPr>
        <w:t>(9)</w:t>
      </w:r>
      <w:r>
        <w:rPr>
          <w:rFonts w:hint="eastAsia" w:ascii="宋体" w:hAnsi="宋体"/>
          <w:color w:val="auto"/>
          <w:sz w:val="24"/>
          <w:szCs w:val="24"/>
        </w:rPr>
        <w:t>投标供应商认为有必要提供的声明及文件资料。</w:t>
      </w:r>
    </w:p>
    <w:p>
      <w:pPr>
        <w:spacing w:line="500" w:lineRule="exact"/>
        <w:ind w:firstLine="480" w:firstLineChars="200"/>
        <w:rPr>
          <w:rFonts w:ascii="宋体" w:hAnsi="宋体"/>
          <w:bCs/>
          <w:color w:val="auto"/>
          <w:sz w:val="24"/>
          <w:szCs w:val="24"/>
        </w:rPr>
      </w:pPr>
      <w:r>
        <w:rPr>
          <w:rFonts w:hint="eastAsia" w:ascii="宋体" w:hAnsi="宋体"/>
          <w:bCs/>
          <w:color w:val="auto"/>
          <w:sz w:val="24"/>
          <w:szCs w:val="24"/>
        </w:rPr>
        <w:t>10.1.2  技术投标书</w:t>
      </w:r>
    </w:p>
    <w:p>
      <w:pPr>
        <w:spacing w:line="500" w:lineRule="exact"/>
        <w:ind w:firstLine="480" w:firstLineChars="200"/>
        <w:rPr>
          <w:rFonts w:ascii="宋体" w:hAnsi="宋体"/>
          <w:b/>
          <w:bCs/>
          <w:color w:val="auto"/>
          <w:sz w:val="24"/>
          <w:szCs w:val="24"/>
        </w:rPr>
      </w:pPr>
      <w:r>
        <w:rPr>
          <w:rFonts w:hint="eastAsia" w:ascii="宋体" w:hAnsi="宋体"/>
          <w:b/>
          <w:bCs/>
          <w:color w:val="auto"/>
          <w:sz w:val="24"/>
          <w:szCs w:val="24"/>
        </w:rPr>
        <w:t>(1) 项目实施方案、技术方案或服务方案；</w:t>
      </w:r>
    </w:p>
    <w:p>
      <w:pPr>
        <w:spacing w:line="500" w:lineRule="exact"/>
        <w:ind w:firstLine="480" w:firstLineChars="200"/>
        <w:rPr>
          <w:rFonts w:ascii="宋体" w:hAnsi="宋体"/>
          <w:b/>
          <w:bCs/>
          <w:color w:val="auto"/>
          <w:sz w:val="24"/>
          <w:szCs w:val="24"/>
        </w:rPr>
      </w:pPr>
      <w:r>
        <w:rPr>
          <w:rFonts w:hint="eastAsia" w:ascii="宋体" w:hAnsi="宋体"/>
          <w:b/>
          <w:bCs/>
          <w:color w:val="auto"/>
          <w:sz w:val="24"/>
          <w:szCs w:val="24"/>
        </w:rPr>
        <w:t>(2) 投标供应商必须提供投标设备的详细配置及参数说明；</w:t>
      </w:r>
    </w:p>
    <w:p>
      <w:pPr>
        <w:spacing w:line="500" w:lineRule="exact"/>
        <w:ind w:firstLine="480" w:firstLineChars="200"/>
        <w:rPr>
          <w:rFonts w:ascii="宋体" w:hAnsi="宋体"/>
          <w:b/>
          <w:bCs/>
          <w:color w:val="auto"/>
          <w:sz w:val="24"/>
          <w:szCs w:val="24"/>
        </w:rPr>
      </w:pPr>
      <w:r>
        <w:rPr>
          <w:rFonts w:hint="eastAsia" w:ascii="宋体" w:hAnsi="宋体"/>
          <w:b/>
          <w:bCs/>
          <w:color w:val="auto"/>
          <w:sz w:val="24"/>
          <w:szCs w:val="24"/>
        </w:rPr>
        <w:t>(3) 质量保证措施；</w:t>
      </w:r>
    </w:p>
    <w:p>
      <w:pPr>
        <w:spacing w:line="500" w:lineRule="exact"/>
        <w:ind w:firstLine="480" w:firstLineChars="200"/>
        <w:rPr>
          <w:rFonts w:ascii="宋体" w:hAnsi="宋体"/>
          <w:b/>
          <w:bCs/>
          <w:color w:val="auto"/>
          <w:sz w:val="24"/>
          <w:szCs w:val="24"/>
        </w:rPr>
      </w:pPr>
      <w:r>
        <w:rPr>
          <w:rFonts w:hint="eastAsia" w:ascii="宋体" w:hAnsi="宋体"/>
          <w:b/>
          <w:bCs/>
          <w:color w:val="auto"/>
          <w:sz w:val="24"/>
          <w:szCs w:val="24"/>
        </w:rPr>
        <w:t>(4) 针对本项目执行进度计划；</w:t>
      </w:r>
    </w:p>
    <w:p>
      <w:pPr>
        <w:spacing w:line="500" w:lineRule="exact"/>
        <w:ind w:firstLine="480" w:firstLineChars="200"/>
        <w:rPr>
          <w:rFonts w:ascii="宋体" w:hAnsi="宋体"/>
          <w:b/>
          <w:bCs/>
          <w:color w:val="auto"/>
          <w:sz w:val="24"/>
          <w:szCs w:val="24"/>
        </w:rPr>
      </w:pPr>
      <w:r>
        <w:rPr>
          <w:rFonts w:hint="eastAsia" w:ascii="宋体" w:hAnsi="宋体"/>
          <w:b/>
          <w:bCs/>
          <w:color w:val="auto"/>
          <w:sz w:val="24"/>
          <w:szCs w:val="24"/>
        </w:rPr>
        <w:t>(5) 技术条款偏离表；</w:t>
      </w:r>
    </w:p>
    <w:p>
      <w:pPr>
        <w:spacing w:line="500" w:lineRule="exact"/>
        <w:ind w:left="958" w:leftChars="228" w:hanging="480" w:hangingChars="200"/>
        <w:rPr>
          <w:rFonts w:ascii="宋体" w:hAnsi="宋体"/>
          <w:b/>
          <w:bCs/>
          <w:color w:val="auto"/>
          <w:sz w:val="24"/>
          <w:szCs w:val="24"/>
        </w:rPr>
      </w:pPr>
      <w:r>
        <w:rPr>
          <w:rFonts w:hint="eastAsia" w:ascii="宋体" w:hAnsi="宋体"/>
          <w:b/>
          <w:bCs/>
          <w:color w:val="auto"/>
          <w:sz w:val="24"/>
          <w:szCs w:val="24"/>
        </w:rPr>
        <w:t>(6) 有关的产品（包括但不限于检验报告、产品注册证、指标、产品技术性能详述、验收标准等）；</w:t>
      </w:r>
    </w:p>
    <w:p>
      <w:pPr>
        <w:spacing w:line="500" w:lineRule="exact"/>
        <w:ind w:firstLine="480" w:firstLineChars="200"/>
        <w:rPr>
          <w:rFonts w:ascii="宋体" w:hAnsi="宋体"/>
          <w:b/>
          <w:bCs/>
          <w:color w:val="auto"/>
          <w:sz w:val="24"/>
          <w:szCs w:val="24"/>
        </w:rPr>
      </w:pPr>
      <w:r>
        <w:rPr>
          <w:rFonts w:hint="eastAsia" w:ascii="宋体" w:hAnsi="宋体"/>
          <w:b/>
          <w:bCs/>
          <w:color w:val="auto"/>
          <w:sz w:val="24"/>
          <w:szCs w:val="24"/>
        </w:rPr>
        <w:t>(7) 投标人售后服务承诺；</w:t>
      </w:r>
    </w:p>
    <w:p>
      <w:pPr>
        <w:spacing w:line="500" w:lineRule="exact"/>
        <w:ind w:firstLine="480" w:firstLineChars="200"/>
        <w:rPr>
          <w:rFonts w:ascii="宋体" w:hAnsi="宋体"/>
          <w:b/>
          <w:bCs/>
          <w:color w:val="auto"/>
          <w:sz w:val="24"/>
          <w:szCs w:val="24"/>
        </w:rPr>
      </w:pPr>
      <w:r>
        <w:rPr>
          <w:rFonts w:hint="eastAsia" w:ascii="宋体" w:hAnsi="宋体"/>
          <w:color w:val="auto"/>
          <w:sz w:val="24"/>
          <w:szCs w:val="24"/>
        </w:rPr>
        <w:t>(8) 投标供应商认为有必要提供的声明及文件资料。</w:t>
      </w:r>
    </w:p>
    <w:p>
      <w:pPr>
        <w:pStyle w:val="84"/>
        <w:spacing w:line="500" w:lineRule="exact"/>
        <w:ind w:firstLine="480" w:firstLineChars="200"/>
        <w:jc w:val="both"/>
        <w:rPr>
          <w:rFonts w:ascii="宋体" w:hAnsi="宋体"/>
          <w:color w:val="auto"/>
          <w:kern w:val="2"/>
        </w:rPr>
      </w:pPr>
      <w:r>
        <w:rPr>
          <w:rFonts w:hint="eastAsia" w:ascii="宋体" w:hAnsi="宋体"/>
          <w:color w:val="auto"/>
          <w:kern w:val="2"/>
        </w:rPr>
        <w:t>10.3 第10.1.1条中第(1)-(6)项、第10.1.2条中第(1)-(7)项为必备项，投标供应商必须提供。</w:t>
      </w:r>
    </w:p>
    <w:p>
      <w:pPr>
        <w:pStyle w:val="84"/>
        <w:spacing w:line="500" w:lineRule="exact"/>
        <w:ind w:firstLine="480" w:firstLineChars="200"/>
        <w:jc w:val="both"/>
        <w:rPr>
          <w:rFonts w:ascii="宋体" w:hAnsi="宋体"/>
          <w:color w:val="auto"/>
        </w:rPr>
      </w:pPr>
      <w:r>
        <w:rPr>
          <w:rFonts w:hint="eastAsia" w:ascii="宋体" w:hAnsi="宋体"/>
          <w:color w:val="auto"/>
        </w:rPr>
        <w:t>11.  投标文件的格式</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11.1  招标文件附件及招标文件各章节提供了一部分用于编制投标文件时必要的格式，投标供应商应按此格式编制投标文件。</w:t>
      </w:r>
    </w:p>
    <w:p>
      <w:pPr>
        <w:pStyle w:val="84"/>
        <w:spacing w:line="500" w:lineRule="exact"/>
        <w:ind w:firstLine="480" w:firstLineChars="200"/>
        <w:jc w:val="both"/>
        <w:rPr>
          <w:rFonts w:ascii="宋体" w:hAnsi="宋体"/>
          <w:color w:val="auto"/>
        </w:rPr>
      </w:pPr>
      <w:r>
        <w:rPr>
          <w:rFonts w:hint="eastAsia" w:ascii="宋体" w:hAnsi="宋体"/>
          <w:color w:val="auto"/>
        </w:rPr>
        <w:t>11.2  招标文件中未提供格式的部分由投标供应商自行编制。</w:t>
      </w:r>
    </w:p>
    <w:p>
      <w:pPr>
        <w:pStyle w:val="84"/>
        <w:spacing w:line="500" w:lineRule="exact"/>
        <w:ind w:firstLine="480" w:firstLineChars="200"/>
        <w:jc w:val="both"/>
        <w:rPr>
          <w:rFonts w:ascii="宋体" w:hAnsi="宋体"/>
          <w:color w:val="auto"/>
        </w:rPr>
      </w:pPr>
      <w:r>
        <w:rPr>
          <w:rFonts w:hint="eastAsia" w:ascii="宋体" w:hAnsi="宋体"/>
          <w:color w:val="auto"/>
        </w:rPr>
        <w:t>12.  投标报价</w:t>
      </w:r>
    </w:p>
    <w:p>
      <w:pPr>
        <w:pStyle w:val="84"/>
        <w:spacing w:line="500" w:lineRule="exact"/>
        <w:ind w:firstLine="480" w:firstLineChars="200"/>
        <w:jc w:val="both"/>
        <w:rPr>
          <w:rFonts w:ascii="宋体" w:hAnsi="宋体"/>
          <w:b/>
          <w:bCs/>
          <w:color w:val="auto"/>
        </w:rPr>
      </w:pPr>
      <w:r>
        <w:rPr>
          <w:rFonts w:hint="eastAsia" w:ascii="宋体" w:hAnsi="宋体"/>
          <w:b/>
          <w:bCs/>
          <w:color w:val="auto"/>
        </w:rPr>
        <w:t>12.1</w:t>
      </w:r>
      <w:r>
        <w:rPr>
          <w:rFonts w:hint="eastAsia" w:ascii="宋体" w:hAnsi="宋体"/>
          <w:color w:val="auto"/>
        </w:rPr>
        <w:t xml:space="preserve">  </w:t>
      </w:r>
      <w:r>
        <w:rPr>
          <w:rFonts w:hint="eastAsia" w:ascii="宋体" w:hAnsi="宋体"/>
          <w:b/>
          <w:bCs/>
          <w:color w:val="auto"/>
        </w:rPr>
        <w:t>除本招标文件另有规定外，投标供应商应按招标文件所附相应的开标一览表格式标明拟提供货物的单价和总价等内容；投标分项报价明细表中应按要求报设备明细、数量、单价及费用等内容（详见附件）。</w:t>
      </w:r>
    </w:p>
    <w:p>
      <w:pPr>
        <w:pStyle w:val="84"/>
        <w:spacing w:line="500" w:lineRule="exact"/>
        <w:ind w:firstLine="480" w:firstLineChars="200"/>
        <w:jc w:val="both"/>
        <w:rPr>
          <w:rFonts w:ascii="宋体" w:hAnsi="宋体"/>
          <w:b/>
          <w:bCs/>
          <w:color w:val="auto"/>
        </w:rPr>
      </w:pPr>
      <w:r>
        <w:rPr>
          <w:rFonts w:hint="eastAsia" w:ascii="宋体" w:hAnsi="宋体"/>
          <w:b/>
          <w:bCs/>
          <w:color w:val="auto"/>
        </w:rPr>
        <w:t>12.2  任何有选择性的报价将不予接受，每种货物只允许有一个报价。</w:t>
      </w:r>
    </w:p>
    <w:p>
      <w:pPr>
        <w:pStyle w:val="84"/>
        <w:spacing w:line="500" w:lineRule="exact"/>
        <w:ind w:firstLine="480" w:firstLineChars="200"/>
        <w:jc w:val="both"/>
        <w:rPr>
          <w:rFonts w:ascii="宋体" w:hAnsi="宋体"/>
          <w:color w:val="auto"/>
        </w:rPr>
      </w:pPr>
      <w:r>
        <w:rPr>
          <w:rFonts w:hint="eastAsia" w:ascii="宋体" w:hAnsi="宋体"/>
          <w:color w:val="auto"/>
        </w:rPr>
        <w:t>12.3  供应商须充分注意并重视第三章“招标货物需求一览表及技术规格要求”的内容，并严格按该章的有关内容做出实质性响应。</w:t>
      </w:r>
    </w:p>
    <w:p>
      <w:pPr>
        <w:pStyle w:val="84"/>
        <w:spacing w:line="500" w:lineRule="exact"/>
        <w:ind w:firstLine="480" w:firstLineChars="200"/>
        <w:jc w:val="both"/>
        <w:rPr>
          <w:rFonts w:ascii="宋体" w:hAnsi="宋体"/>
          <w:color w:val="auto"/>
        </w:rPr>
      </w:pPr>
      <w:r>
        <w:rPr>
          <w:rFonts w:hint="eastAsia" w:ascii="宋体" w:hAnsi="宋体"/>
          <w:color w:val="auto"/>
        </w:rPr>
        <w:t>12.4  投标供应商可按招标文件第三章“招标货物需求一览表及技术规格要求”的内容全部报价，投标报价应包括：</w:t>
      </w:r>
    </w:p>
    <w:p>
      <w:pPr>
        <w:pStyle w:val="84"/>
        <w:spacing w:line="500" w:lineRule="exact"/>
        <w:ind w:firstLine="480" w:firstLineChars="200"/>
        <w:jc w:val="both"/>
        <w:rPr>
          <w:rFonts w:ascii="宋体" w:hAnsi="宋体"/>
          <w:b/>
          <w:bCs/>
          <w:color w:val="auto"/>
        </w:rPr>
      </w:pPr>
      <w:r>
        <w:rPr>
          <w:rFonts w:hint="eastAsia" w:ascii="宋体" w:hAnsi="宋体"/>
          <w:b/>
          <w:bCs/>
          <w:color w:val="auto"/>
        </w:rPr>
        <w:t>12.4.1  设备价格、运费保险、安装调试费、含税费等费用。</w:t>
      </w:r>
    </w:p>
    <w:p>
      <w:pPr>
        <w:pStyle w:val="84"/>
        <w:spacing w:line="500" w:lineRule="exact"/>
        <w:ind w:firstLine="480" w:firstLineChars="200"/>
        <w:jc w:val="both"/>
        <w:rPr>
          <w:rFonts w:ascii="宋体" w:hAnsi="宋体"/>
          <w:color w:val="auto"/>
        </w:rPr>
      </w:pPr>
      <w:r>
        <w:rPr>
          <w:rFonts w:hint="eastAsia" w:ascii="宋体" w:hAnsi="宋体"/>
          <w:color w:val="auto"/>
        </w:rPr>
        <w:t>12.4.2  技术规格中特别要求的零、备件费用及售后服务费用。</w:t>
      </w:r>
    </w:p>
    <w:p>
      <w:pPr>
        <w:pStyle w:val="84"/>
        <w:spacing w:line="500" w:lineRule="exact"/>
        <w:ind w:firstLine="480" w:firstLineChars="200"/>
        <w:jc w:val="both"/>
        <w:rPr>
          <w:rFonts w:ascii="宋体" w:hAnsi="宋体"/>
          <w:color w:val="auto"/>
        </w:rPr>
      </w:pPr>
      <w:r>
        <w:rPr>
          <w:rFonts w:hint="eastAsia" w:ascii="宋体" w:hAnsi="宋体"/>
          <w:color w:val="auto"/>
        </w:rPr>
        <w:t>13.   投标货币</w:t>
      </w:r>
    </w:p>
    <w:p>
      <w:pPr>
        <w:pStyle w:val="84"/>
        <w:spacing w:line="500" w:lineRule="exact"/>
        <w:ind w:firstLine="480" w:firstLineChars="200"/>
        <w:jc w:val="both"/>
        <w:rPr>
          <w:rFonts w:ascii="宋体" w:hAnsi="宋体"/>
          <w:color w:val="auto"/>
        </w:rPr>
      </w:pPr>
      <w:r>
        <w:rPr>
          <w:rFonts w:hint="eastAsia" w:ascii="宋体" w:hAnsi="宋体"/>
          <w:color w:val="auto"/>
        </w:rPr>
        <w:t>13.1  投标以人民币报价。</w:t>
      </w:r>
    </w:p>
    <w:p>
      <w:pPr>
        <w:pStyle w:val="84"/>
        <w:spacing w:line="500" w:lineRule="exact"/>
        <w:ind w:firstLine="480" w:firstLineChars="200"/>
        <w:jc w:val="both"/>
        <w:rPr>
          <w:rFonts w:ascii="宋体" w:hAnsi="宋体"/>
          <w:color w:val="auto"/>
        </w:rPr>
      </w:pPr>
      <w:r>
        <w:rPr>
          <w:rFonts w:hint="eastAsia" w:ascii="宋体" w:hAnsi="宋体"/>
          <w:color w:val="auto"/>
        </w:rPr>
        <w:t>14.   证明投标供应商合格和资格的文件。</w:t>
      </w:r>
    </w:p>
    <w:p>
      <w:pPr>
        <w:pStyle w:val="84"/>
        <w:spacing w:line="500" w:lineRule="exact"/>
        <w:ind w:firstLine="480" w:firstLineChars="200"/>
        <w:jc w:val="both"/>
        <w:rPr>
          <w:rFonts w:ascii="宋体" w:hAnsi="宋体"/>
          <w:color w:val="auto"/>
        </w:rPr>
      </w:pPr>
      <w:r>
        <w:rPr>
          <w:rFonts w:hint="eastAsia" w:ascii="宋体" w:hAnsi="宋体"/>
          <w:color w:val="auto"/>
        </w:rPr>
        <w:t>14.1  投标供应商应提交证明其有资格参加投标和有能力履行合同的文件，并作为其投标文件的一部分。</w:t>
      </w:r>
    </w:p>
    <w:p>
      <w:pPr>
        <w:pStyle w:val="84"/>
        <w:spacing w:line="500" w:lineRule="exact"/>
        <w:ind w:firstLine="480" w:firstLineChars="200"/>
        <w:jc w:val="both"/>
        <w:rPr>
          <w:rFonts w:ascii="宋体" w:hAnsi="宋体"/>
          <w:color w:val="auto"/>
        </w:rPr>
      </w:pPr>
      <w:r>
        <w:rPr>
          <w:rFonts w:hint="eastAsia" w:ascii="宋体" w:hAnsi="宋体"/>
          <w:color w:val="auto"/>
        </w:rPr>
        <w:t>14.2  投标供应商应填写并提交招标文件所要求的资格证明类文件。</w:t>
      </w:r>
    </w:p>
    <w:p>
      <w:pPr>
        <w:pStyle w:val="84"/>
        <w:spacing w:line="500" w:lineRule="exact"/>
        <w:ind w:firstLine="480" w:firstLineChars="200"/>
        <w:jc w:val="both"/>
        <w:rPr>
          <w:rFonts w:ascii="宋体" w:hAnsi="宋体"/>
          <w:color w:val="auto"/>
        </w:rPr>
      </w:pPr>
      <w:r>
        <w:rPr>
          <w:rFonts w:hint="eastAsia" w:ascii="宋体" w:hAnsi="宋体"/>
          <w:color w:val="auto"/>
        </w:rPr>
        <w:t>15.   证明货物的合格性和符合招标文件规定的文件</w:t>
      </w:r>
    </w:p>
    <w:p>
      <w:pPr>
        <w:pStyle w:val="84"/>
        <w:spacing w:line="500" w:lineRule="exact"/>
        <w:ind w:firstLine="480" w:firstLineChars="200"/>
        <w:jc w:val="both"/>
        <w:rPr>
          <w:rFonts w:ascii="宋体" w:hAnsi="宋体"/>
          <w:color w:val="auto"/>
        </w:rPr>
      </w:pPr>
      <w:r>
        <w:rPr>
          <w:rFonts w:hint="eastAsia" w:ascii="宋体" w:hAnsi="宋体"/>
          <w:color w:val="auto"/>
        </w:rPr>
        <w:t>15.1  投标供应商应逐条对招标文件要求的技术规格进行评审，指出自己提供的货物和服务是否对招标文件做出实质性的响应，并认真填写招标文件所附的“商务条款偏离表（</w:t>
      </w:r>
      <w:r>
        <w:rPr>
          <w:rFonts w:hint="eastAsia" w:ascii="宋体" w:hAnsi="宋体"/>
          <w:color w:val="auto"/>
          <w:lang w:eastAsia="zh-CN"/>
        </w:rPr>
        <w:t>合同履约期限</w:t>
      </w:r>
      <w:r>
        <w:rPr>
          <w:rFonts w:hint="eastAsia" w:ascii="宋体" w:hAnsi="宋体"/>
          <w:color w:val="auto"/>
        </w:rPr>
        <w:t>、付款方式、质保期等）”、“技术规格偏离表”。</w:t>
      </w:r>
    </w:p>
    <w:p>
      <w:pPr>
        <w:pStyle w:val="84"/>
        <w:spacing w:line="500" w:lineRule="exact"/>
        <w:ind w:firstLine="480" w:firstLineChars="200"/>
        <w:jc w:val="both"/>
        <w:rPr>
          <w:rFonts w:ascii="宋体" w:hAnsi="宋体"/>
          <w:color w:val="auto"/>
        </w:rPr>
      </w:pPr>
      <w:r>
        <w:rPr>
          <w:rFonts w:hint="eastAsia" w:ascii="宋体" w:hAnsi="宋体"/>
          <w:color w:val="auto"/>
        </w:rPr>
        <w:t>15.2  证明货物的合格性和符合招标文件规定的文件应包括下列内容：</w:t>
      </w:r>
    </w:p>
    <w:p>
      <w:pPr>
        <w:pStyle w:val="84"/>
        <w:spacing w:line="500" w:lineRule="exact"/>
        <w:ind w:firstLine="480" w:firstLineChars="200"/>
        <w:jc w:val="both"/>
        <w:rPr>
          <w:rFonts w:ascii="宋体" w:hAnsi="宋体"/>
          <w:color w:val="auto"/>
        </w:rPr>
      </w:pPr>
      <w:r>
        <w:rPr>
          <w:rFonts w:hint="eastAsia" w:ascii="宋体" w:hAnsi="宋体"/>
          <w:color w:val="auto"/>
        </w:rPr>
        <w:t>15.2.1  执行的制造、验收标准；</w:t>
      </w:r>
    </w:p>
    <w:p>
      <w:pPr>
        <w:pStyle w:val="84"/>
        <w:spacing w:line="500" w:lineRule="exact"/>
        <w:ind w:firstLine="480" w:firstLineChars="200"/>
        <w:jc w:val="both"/>
        <w:rPr>
          <w:rFonts w:ascii="宋体" w:hAnsi="宋体"/>
          <w:color w:val="auto"/>
        </w:rPr>
      </w:pPr>
      <w:r>
        <w:rPr>
          <w:rFonts w:hint="eastAsia" w:ascii="宋体" w:hAnsi="宋体"/>
          <w:color w:val="auto"/>
        </w:rPr>
        <w:t>15.2.2  荣获国优、部优、省优荣誉证书（复印件）；</w:t>
      </w:r>
    </w:p>
    <w:p>
      <w:pPr>
        <w:pStyle w:val="84"/>
        <w:spacing w:line="500" w:lineRule="exact"/>
        <w:ind w:firstLine="480" w:firstLineChars="200"/>
        <w:jc w:val="both"/>
        <w:rPr>
          <w:rFonts w:ascii="宋体" w:hAnsi="宋体"/>
          <w:color w:val="auto"/>
        </w:rPr>
      </w:pPr>
      <w:r>
        <w:rPr>
          <w:rFonts w:hint="eastAsia" w:ascii="宋体" w:hAnsi="宋体"/>
          <w:color w:val="auto"/>
        </w:rPr>
        <w:t>15.2.3  有关产品样本、手册、图纸等资料；</w:t>
      </w:r>
    </w:p>
    <w:p>
      <w:pPr>
        <w:pStyle w:val="84"/>
        <w:spacing w:line="500" w:lineRule="exact"/>
        <w:ind w:firstLine="480" w:firstLineChars="200"/>
        <w:jc w:val="both"/>
        <w:rPr>
          <w:rFonts w:ascii="宋体" w:hAnsi="宋体"/>
          <w:color w:val="auto"/>
        </w:rPr>
      </w:pPr>
      <w:r>
        <w:rPr>
          <w:rFonts w:hint="eastAsia" w:ascii="宋体" w:hAnsi="宋体"/>
          <w:color w:val="auto"/>
        </w:rPr>
        <w:t>15.2.4  投标供应商认为有必要提供的其它证明文件。</w:t>
      </w:r>
    </w:p>
    <w:p>
      <w:pPr>
        <w:pStyle w:val="84"/>
        <w:spacing w:line="500" w:lineRule="exact"/>
        <w:ind w:firstLine="480" w:firstLineChars="200"/>
        <w:jc w:val="both"/>
        <w:rPr>
          <w:rFonts w:ascii="宋体" w:hAnsi="宋体"/>
          <w:color w:val="auto"/>
        </w:rPr>
      </w:pPr>
      <w:r>
        <w:rPr>
          <w:rFonts w:hint="eastAsia" w:ascii="宋体" w:hAnsi="宋体"/>
          <w:color w:val="auto"/>
        </w:rPr>
        <w:t>16.  投标文件的有效期</w:t>
      </w:r>
    </w:p>
    <w:p>
      <w:pPr>
        <w:pStyle w:val="84"/>
        <w:spacing w:line="500" w:lineRule="exact"/>
        <w:ind w:firstLine="480" w:firstLineChars="200"/>
        <w:jc w:val="both"/>
        <w:rPr>
          <w:rFonts w:ascii="宋体" w:hAnsi="宋体"/>
          <w:color w:val="auto"/>
        </w:rPr>
      </w:pPr>
      <w:r>
        <w:rPr>
          <w:rFonts w:hint="eastAsia" w:ascii="宋体" w:hAnsi="宋体"/>
          <w:color w:val="auto"/>
        </w:rPr>
        <w:t>16.1  投标文件从实际开标之日起</w:t>
      </w:r>
      <w:r>
        <w:rPr>
          <w:rFonts w:hint="eastAsia" w:ascii="宋体" w:hAnsi="宋体"/>
          <w:color w:val="auto"/>
          <w:u w:val="single"/>
        </w:rPr>
        <w:t>60天</w:t>
      </w:r>
      <w:r>
        <w:rPr>
          <w:rFonts w:hint="eastAsia" w:ascii="宋体" w:hAnsi="宋体"/>
          <w:color w:val="auto"/>
        </w:rPr>
        <w:t>内有效。</w:t>
      </w:r>
    </w:p>
    <w:p>
      <w:pPr>
        <w:pStyle w:val="84"/>
        <w:spacing w:line="500" w:lineRule="exact"/>
        <w:ind w:firstLine="480" w:firstLineChars="200"/>
        <w:jc w:val="both"/>
        <w:rPr>
          <w:rFonts w:ascii="宋体" w:hAnsi="宋体"/>
          <w:color w:val="auto"/>
        </w:rPr>
      </w:pPr>
      <w:r>
        <w:rPr>
          <w:rFonts w:hint="eastAsia" w:ascii="宋体" w:hAnsi="宋体"/>
          <w:color w:val="auto"/>
        </w:rPr>
        <w:t>16.2  在特殊情况下, 在原投标有效期届满之前，招标代理机构可与投标单位协商延长投标文件的有效期，并经投标方确认。</w:t>
      </w:r>
    </w:p>
    <w:p>
      <w:pPr>
        <w:pStyle w:val="84"/>
        <w:spacing w:line="500" w:lineRule="exact"/>
        <w:ind w:firstLine="480" w:firstLineChars="200"/>
        <w:jc w:val="both"/>
        <w:rPr>
          <w:rFonts w:ascii="宋体" w:hAnsi="宋体"/>
          <w:color w:val="auto"/>
        </w:rPr>
      </w:pPr>
      <w:r>
        <w:rPr>
          <w:rFonts w:hint="eastAsia" w:ascii="宋体" w:hAnsi="宋体"/>
          <w:color w:val="auto"/>
        </w:rPr>
        <w:t>17.  投标文件的书写要求、签署、装订及数量。</w:t>
      </w:r>
    </w:p>
    <w:p>
      <w:pPr>
        <w:pStyle w:val="84"/>
        <w:spacing w:line="500" w:lineRule="exact"/>
        <w:ind w:firstLine="480" w:firstLineChars="200"/>
        <w:jc w:val="both"/>
        <w:rPr>
          <w:rFonts w:ascii="宋体" w:hAnsi="宋体"/>
          <w:color w:val="auto"/>
        </w:rPr>
      </w:pPr>
      <w:r>
        <w:rPr>
          <w:rFonts w:hint="eastAsia" w:ascii="宋体" w:hAnsi="宋体"/>
          <w:color w:val="auto"/>
        </w:rPr>
        <w:t>17.1  投标文件正本须用不褪色的墨水笔书写或打印。</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17.2  投标文件的书写应清楚工整，修改处应由投标供应商全权代表签字或盖章。</w:t>
      </w:r>
    </w:p>
    <w:p>
      <w:pPr>
        <w:pStyle w:val="84"/>
        <w:spacing w:line="500" w:lineRule="exact"/>
        <w:ind w:firstLine="480" w:firstLineChars="200"/>
        <w:jc w:val="both"/>
        <w:rPr>
          <w:rFonts w:ascii="宋体" w:hAnsi="宋体"/>
          <w:color w:val="auto"/>
        </w:rPr>
      </w:pPr>
      <w:r>
        <w:rPr>
          <w:rFonts w:hint="eastAsia" w:ascii="宋体" w:hAnsi="宋体"/>
          <w:color w:val="auto"/>
        </w:rPr>
        <w:t>17.3  未实质性响应招标文件、字迹潦草、表达不清、未按要求填写或可能导致非唯一理解的投标文件将被定为废标。</w:t>
      </w:r>
    </w:p>
    <w:p>
      <w:pPr>
        <w:pStyle w:val="84"/>
        <w:spacing w:line="500" w:lineRule="exact"/>
        <w:ind w:firstLine="480" w:firstLineChars="200"/>
        <w:jc w:val="both"/>
        <w:rPr>
          <w:rFonts w:ascii="宋体" w:hAnsi="宋体"/>
          <w:color w:val="auto"/>
        </w:rPr>
      </w:pPr>
      <w:r>
        <w:rPr>
          <w:rFonts w:hint="eastAsia" w:ascii="宋体" w:hAnsi="宋体"/>
          <w:color w:val="auto"/>
        </w:rPr>
        <w:t>17.4  投标文件应由投标供应商企业法人或法人授权代表在规定签章处逐一签署及加盖单位的公章。投标文件正本逐页加盖企业公章（鲜章），副本为正本复印件。</w:t>
      </w:r>
    </w:p>
    <w:p>
      <w:pPr>
        <w:pStyle w:val="84"/>
        <w:spacing w:line="500" w:lineRule="exact"/>
        <w:ind w:firstLine="480" w:firstLineChars="200"/>
        <w:jc w:val="both"/>
        <w:rPr>
          <w:rFonts w:ascii="宋体" w:hAnsi="宋体"/>
          <w:color w:val="auto"/>
        </w:rPr>
      </w:pPr>
      <w:r>
        <w:rPr>
          <w:rFonts w:hint="eastAsia" w:ascii="宋体" w:hAnsi="宋体"/>
          <w:color w:val="auto"/>
        </w:rPr>
        <w:t>17.5 装订要求：</w:t>
      </w:r>
      <w:r>
        <w:rPr>
          <w:rFonts w:hint="eastAsia" w:ascii="宋体" w:hAnsi="宋体"/>
          <w:b/>
          <w:color w:val="auto"/>
        </w:rPr>
        <w:t>投标文件必须胶装</w:t>
      </w:r>
      <w:r>
        <w:rPr>
          <w:rFonts w:hint="eastAsia" w:ascii="宋体" w:hAnsi="宋体"/>
          <w:color w:val="auto"/>
        </w:rPr>
        <w:t xml:space="preserve">。 </w:t>
      </w:r>
    </w:p>
    <w:p>
      <w:pPr>
        <w:pStyle w:val="84"/>
        <w:spacing w:line="500" w:lineRule="exact"/>
        <w:ind w:firstLine="480" w:firstLineChars="200"/>
        <w:jc w:val="both"/>
        <w:rPr>
          <w:rFonts w:ascii="宋体" w:hAnsi="宋体"/>
          <w:color w:val="auto"/>
        </w:rPr>
      </w:pPr>
      <w:r>
        <w:rPr>
          <w:rFonts w:hint="eastAsia" w:ascii="宋体" w:hAnsi="宋体"/>
          <w:color w:val="auto"/>
        </w:rPr>
        <w:t>17.6  投标文件的数量：一式五份。正本１份, 副本4份，并在投标文件封面左上角注明“正本”、“副本”字样，一旦正本和副本不符，以正本为准。参考资料不限量。</w:t>
      </w:r>
    </w:p>
    <w:p>
      <w:pPr>
        <w:pStyle w:val="84"/>
        <w:spacing w:line="500" w:lineRule="exact"/>
        <w:ind w:firstLine="480" w:firstLineChars="200"/>
        <w:jc w:val="both"/>
        <w:rPr>
          <w:rFonts w:ascii="宋体" w:hAnsi="宋体"/>
          <w:color w:val="auto"/>
        </w:rPr>
      </w:pPr>
      <w:r>
        <w:rPr>
          <w:rFonts w:hint="eastAsia" w:ascii="宋体" w:hAnsi="宋体"/>
          <w:color w:val="auto"/>
        </w:rPr>
        <w:t>17.7 投标供应商可根据投标文件要求具体需要自行编制其它文件一式五份纳入投标书中。</w:t>
      </w:r>
    </w:p>
    <w:p>
      <w:pPr>
        <w:pStyle w:val="84"/>
        <w:spacing w:line="500" w:lineRule="exact"/>
        <w:ind w:firstLine="480" w:firstLineChars="200"/>
        <w:jc w:val="both"/>
        <w:rPr>
          <w:rFonts w:ascii="宋体" w:hAnsi="宋体"/>
          <w:color w:val="auto"/>
        </w:rPr>
      </w:pPr>
      <w:r>
        <w:rPr>
          <w:rFonts w:hint="eastAsia" w:ascii="宋体" w:hAnsi="宋体"/>
          <w:color w:val="auto"/>
        </w:rPr>
        <w:t>18.  投标保证金</w:t>
      </w:r>
    </w:p>
    <w:p>
      <w:pPr>
        <w:pStyle w:val="84"/>
        <w:spacing w:line="500" w:lineRule="exact"/>
        <w:ind w:firstLine="480" w:firstLineChars="200"/>
        <w:jc w:val="both"/>
        <w:rPr>
          <w:rFonts w:hint="eastAsia" w:ascii="宋体" w:hAnsi="宋体" w:eastAsia="宋体"/>
          <w:b/>
          <w:color w:val="auto"/>
          <w:lang w:eastAsia="zh-CN"/>
        </w:rPr>
      </w:pPr>
      <w:r>
        <w:rPr>
          <w:rFonts w:hint="eastAsia" w:ascii="宋体" w:hAnsi="宋体"/>
          <w:b/>
          <w:color w:val="auto"/>
        </w:rPr>
        <w:t>18.1  投标保证金金额为：</w:t>
      </w:r>
      <w:r>
        <w:rPr>
          <w:rFonts w:hint="eastAsia" w:ascii="宋体" w:hAnsi="宋体"/>
          <w:b/>
          <w:color w:val="auto"/>
          <w:lang w:eastAsia="zh-CN"/>
        </w:rPr>
        <w:t>详见投标须知</w:t>
      </w:r>
    </w:p>
    <w:p>
      <w:pPr>
        <w:pStyle w:val="84"/>
        <w:spacing w:line="500" w:lineRule="exact"/>
        <w:ind w:firstLine="480" w:firstLineChars="200"/>
        <w:jc w:val="both"/>
        <w:rPr>
          <w:rFonts w:ascii="宋体" w:hAnsi="宋体"/>
          <w:color w:val="auto"/>
        </w:rPr>
      </w:pPr>
      <w:r>
        <w:rPr>
          <w:rFonts w:hint="eastAsia" w:ascii="宋体" w:hAnsi="宋体"/>
          <w:color w:val="auto"/>
        </w:rPr>
        <w:t>18.2  投标保证金用于保护本次招标免受投标供应商的违规、违约行为而引起的风险。</w:t>
      </w:r>
    </w:p>
    <w:p>
      <w:pPr>
        <w:pStyle w:val="84"/>
        <w:spacing w:line="500" w:lineRule="exact"/>
        <w:ind w:firstLine="480" w:firstLineChars="200"/>
        <w:jc w:val="both"/>
        <w:rPr>
          <w:rFonts w:ascii="宋体" w:hAnsi="宋体"/>
          <w:color w:val="auto"/>
        </w:rPr>
      </w:pPr>
      <w:r>
        <w:rPr>
          <w:rFonts w:hint="eastAsia" w:ascii="宋体" w:hAnsi="宋体"/>
          <w:color w:val="auto"/>
        </w:rPr>
        <w:t>18.3  投标保证金用人民币，由投标供应商按《招标文件》中明确的银行账号，按18.1条要求的数额递交。</w:t>
      </w:r>
    </w:p>
    <w:p>
      <w:pPr>
        <w:pStyle w:val="84"/>
        <w:spacing w:line="500" w:lineRule="exact"/>
        <w:ind w:firstLine="480" w:firstLineChars="200"/>
        <w:jc w:val="both"/>
        <w:rPr>
          <w:rFonts w:ascii="宋体" w:hAnsi="宋体"/>
          <w:color w:val="auto"/>
        </w:rPr>
      </w:pPr>
      <w:r>
        <w:rPr>
          <w:rFonts w:hint="eastAsia" w:ascii="宋体" w:hAnsi="宋体"/>
          <w:color w:val="auto"/>
        </w:rPr>
        <w:t>18.4  投标保证金以网银或电汇形式提交。</w:t>
      </w:r>
    </w:p>
    <w:p>
      <w:pPr>
        <w:pStyle w:val="84"/>
        <w:spacing w:line="500" w:lineRule="exact"/>
        <w:ind w:firstLine="480" w:firstLineChars="200"/>
        <w:jc w:val="both"/>
        <w:rPr>
          <w:rFonts w:ascii="宋体" w:hAnsi="宋体"/>
          <w:color w:val="auto"/>
        </w:rPr>
      </w:pPr>
      <w:r>
        <w:rPr>
          <w:rFonts w:hint="eastAsia" w:ascii="宋体" w:hAnsi="宋体"/>
          <w:color w:val="auto"/>
        </w:rPr>
        <w:t>18.5  本次项目不接受联合体投标。</w:t>
      </w:r>
    </w:p>
    <w:p>
      <w:pPr>
        <w:pStyle w:val="84"/>
        <w:spacing w:line="500" w:lineRule="exact"/>
        <w:ind w:firstLine="480" w:firstLineChars="200"/>
        <w:jc w:val="both"/>
        <w:rPr>
          <w:rFonts w:ascii="宋体" w:hAnsi="宋体"/>
          <w:color w:val="auto"/>
        </w:rPr>
      </w:pPr>
      <w:r>
        <w:rPr>
          <w:rFonts w:hint="eastAsia" w:ascii="宋体" w:hAnsi="宋体"/>
          <w:color w:val="auto"/>
        </w:rPr>
        <w:t>18.6  未按时缴纳投标保证金的投标，将被拒绝。</w:t>
      </w:r>
    </w:p>
    <w:p>
      <w:pPr>
        <w:pStyle w:val="84"/>
        <w:spacing w:line="500" w:lineRule="exact"/>
        <w:ind w:firstLine="480" w:firstLineChars="200"/>
        <w:jc w:val="both"/>
        <w:rPr>
          <w:rFonts w:ascii="宋体" w:hAnsi="宋体"/>
          <w:color w:val="auto"/>
        </w:rPr>
      </w:pPr>
      <w:r>
        <w:rPr>
          <w:rFonts w:hint="eastAsia" w:ascii="宋体" w:hAnsi="宋体"/>
          <w:color w:val="auto"/>
        </w:rPr>
        <w:t>18.7  采购人或者采购代理机构应当自中标通知书发出之日起5个工作日内退还未中标人的投标保证金，自采购合同签订之日起5个工作日内退还中标人的投标保证金或者转为中标人的履约保证金。</w:t>
      </w:r>
    </w:p>
    <w:p>
      <w:pPr>
        <w:pStyle w:val="84"/>
        <w:spacing w:line="500" w:lineRule="exact"/>
        <w:ind w:firstLine="480" w:firstLineChars="200"/>
        <w:jc w:val="both"/>
        <w:rPr>
          <w:rFonts w:ascii="宋体" w:hAnsi="宋体"/>
          <w:color w:val="auto"/>
        </w:rPr>
      </w:pPr>
      <w:r>
        <w:rPr>
          <w:rFonts w:hint="eastAsia" w:ascii="宋体" w:hAnsi="宋体"/>
          <w:color w:val="auto"/>
        </w:rPr>
        <w:t>18.8  发生以下情况投标保证金可能被没收：</w:t>
      </w:r>
    </w:p>
    <w:p>
      <w:pPr>
        <w:pStyle w:val="84"/>
        <w:spacing w:line="500" w:lineRule="exact"/>
        <w:ind w:firstLine="480" w:firstLineChars="200"/>
        <w:jc w:val="both"/>
        <w:rPr>
          <w:rFonts w:ascii="宋体" w:hAnsi="宋体"/>
          <w:color w:val="auto"/>
        </w:rPr>
      </w:pPr>
      <w:r>
        <w:rPr>
          <w:rFonts w:hint="eastAsia" w:ascii="宋体" w:hAnsi="宋体"/>
          <w:color w:val="auto"/>
        </w:rPr>
        <w:t>18.8.1  如果投标供应商在投标有效期内撤回投标；</w:t>
      </w:r>
    </w:p>
    <w:p>
      <w:pPr>
        <w:pStyle w:val="84"/>
        <w:spacing w:line="500" w:lineRule="exact"/>
        <w:ind w:firstLine="480" w:firstLineChars="200"/>
        <w:jc w:val="both"/>
        <w:rPr>
          <w:rFonts w:ascii="宋体" w:hAnsi="宋体"/>
          <w:color w:val="auto"/>
        </w:rPr>
      </w:pPr>
      <w:r>
        <w:rPr>
          <w:rFonts w:hint="eastAsia" w:ascii="宋体" w:hAnsi="宋体"/>
          <w:color w:val="auto"/>
        </w:rPr>
        <w:t>18.8.2  如果中标供应商放弃中标项目的，无正当理由不与采购人签订合同的，在签订合同时向采购人提出附加条件或者更改合同实质性内容的，或者拒不提交所要求的履约保证金的。</w:t>
      </w:r>
    </w:p>
    <w:p>
      <w:pPr>
        <w:pStyle w:val="84"/>
        <w:spacing w:line="500" w:lineRule="exact"/>
        <w:jc w:val="center"/>
        <w:outlineLvl w:val="1"/>
        <w:rPr>
          <w:rFonts w:ascii="宋体" w:hAnsi="宋体"/>
          <w:color w:val="auto"/>
        </w:rPr>
      </w:pPr>
      <w:bookmarkStart w:id="6" w:name="_Toc4643"/>
      <w:r>
        <w:rPr>
          <w:rFonts w:hint="eastAsia" w:ascii="宋体" w:hAnsi="宋体"/>
          <w:color w:val="auto"/>
        </w:rPr>
        <w:t>四、投标文件的递交</w:t>
      </w:r>
      <w:bookmarkEnd w:id="6"/>
    </w:p>
    <w:p>
      <w:pPr>
        <w:pStyle w:val="84"/>
        <w:spacing w:line="500" w:lineRule="exact"/>
        <w:ind w:firstLine="480" w:firstLineChars="200"/>
        <w:jc w:val="both"/>
        <w:rPr>
          <w:rFonts w:ascii="宋体" w:hAnsi="宋体"/>
          <w:color w:val="auto"/>
        </w:rPr>
      </w:pPr>
      <w:r>
        <w:rPr>
          <w:rFonts w:hint="eastAsia" w:ascii="宋体" w:hAnsi="宋体"/>
          <w:color w:val="auto"/>
        </w:rPr>
        <w:t>19.  投标文件的密封与标记</w:t>
      </w:r>
    </w:p>
    <w:p>
      <w:pPr>
        <w:pStyle w:val="84"/>
        <w:spacing w:line="500" w:lineRule="exact"/>
        <w:ind w:firstLine="480" w:firstLineChars="200"/>
        <w:jc w:val="both"/>
        <w:rPr>
          <w:rFonts w:ascii="宋体" w:hAnsi="宋体"/>
          <w:color w:val="auto"/>
        </w:rPr>
      </w:pPr>
      <w:r>
        <w:rPr>
          <w:rFonts w:hint="eastAsia" w:ascii="宋体" w:hAnsi="宋体"/>
          <w:color w:val="auto"/>
        </w:rPr>
        <w:t>19.1  投标供应商应将投标文件正本和副本分别装入信封内加以密封，分别在信封上标“正本”或“副本”，并在密封处压口加盖公章（或合同专用章），当正本和副本、电子版不一致时，以正本为准。</w:t>
      </w:r>
    </w:p>
    <w:p>
      <w:pPr>
        <w:pStyle w:val="84"/>
        <w:spacing w:line="500" w:lineRule="exact"/>
        <w:ind w:firstLine="567"/>
        <w:jc w:val="both"/>
        <w:rPr>
          <w:rFonts w:ascii="宋体" w:hAnsi="宋体"/>
          <w:color w:val="auto"/>
        </w:rPr>
      </w:pPr>
      <w:r>
        <w:rPr>
          <w:rFonts w:hint="eastAsia" w:ascii="宋体" w:hAnsi="宋体"/>
          <w:color w:val="auto"/>
        </w:rPr>
        <w:t>19.2  投标供应商还应将填好的</w:t>
      </w:r>
      <w:r>
        <w:rPr>
          <w:rFonts w:hint="eastAsia" w:ascii="宋体" w:hAnsi="宋体"/>
          <w:b/>
          <w:color w:val="auto"/>
        </w:rPr>
        <w:t>开标一览表</w:t>
      </w:r>
      <w:r>
        <w:rPr>
          <w:rFonts w:hint="eastAsia" w:ascii="宋体" w:hAnsi="宋体"/>
          <w:color w:val="auto"/>
        </w:rPr>
        <w:t>单独装入信封内加以密封，在密封处压口加盖公章（或合同专用章），并在信封上注明“开标一览表”字样，作为投标文件的一部分。</w:t>
      </w:r>
    </w:p>
    <w:p>
      <w:pPr>
        <w:pStyle w:val="84"/>
        <w:spacing w:line="500" w:lineRule="exact"/>
        <w:ind w:firstLine="567"/>
        <w:jc w:val="both"/>
        <w:rPr>
          <w:rFonts w:ascii="宋体" w:hAnsi="宋体"/>
          <w:color w:val="auto"/>
        </w:rPr>
      </w:pPr>
      <w:r>
        <w:rPr>
          <w:rFonts w:hint="eastAsia" w:ascii="宋体" w:hAnsi="宋体"/>
          <w:color w:val="auto"/>
        </w:rPr>
        <w:t>19.3  投标供应商还应将</w:t>
      </w:r>
      <w:r>
        <w:rPr>
          <w:rFonts w:hint="eastAsia" w:ascii="宋体" w:hAnsi="宋体"/>
          <w:b/>
          <w:bCs/>
          <w:color w:val="auto"/>
        </w:rPr>
        <w:t>电子版投标文件</w:t>
      </w:r>
      <w:r>
        <w:rPr>
          <w:rFonts w:hint="eastAsia" w:ascii="宋体" w:hAnsi="宋体"/>
          <w:color w:val="auto"/>
        </w:rPr>
        <w:t>单独装入信封内加以密封，在密封处压口加盖公章（或合同专用章），并在信封上注明“</w:t>
      </w:r>
      <w:r>
        <w:rPr>
          <w:rFonts w:hint="eastAsia" w:ascii="宋体" w:hAnsi="宋体"/>
          <w:b/>
          <w:bCs/>
          <w:color w:val="auto"/>
        </w:rPr>
        <w:t>电子版投标文件</w:t>
      </w:r>
      <w:r>
        <w:rPr>
          <w:rFonts w:hint="eastAsia" w:ascii="宋体" w:hAnsi="宋体"/>
          <w:color w:val="auto"/>
        </w:rPr>
        <w:t>”字样，作为投标文件的一部分。</w:t>
      </w:r>
    </w:p>
    <w:p>
      <w:pPr>
        <w:pStyle w:val="84"/>
        <w:spacing w:line="500" w:lineRule="exact"/>
        <w:ind w:firstLine="480" w:firstLineChars="200"/>
        <w:jc w:val="both"/>
        <w:rPr>
          <w:rFonts w:ascii="宋体" w:hAnsi="宋体"/>
          <w:color w:val="auto"/>
        </w:rPr>
      </w:pPr>
      <w:r>
        <w:rPr>
          <w:rFonts w:hint="eastAsia" w:ascii="宋体" w:hAnsi="宋体"/>
          <w:color w:val="auto"/>
        </w:rPr>
        <w:t>19.4  所有投标文件信封上均应贴上封条,封条上应写明：</w:t>
      </w:r>
    </w:p>
    <w:p>
      <w:pPr>
        <w:pStyle w:val="84"/>
        <w:spacing w:line="500" w:lineRule="exact"/>
        <w:ind w:firstLine="567"/>
        <w:jc w:val="both"/>
        <w:rPr>
          <w:rFonts w:ascii="宋体" w:hAnsi="宋体"/>
          <w:color w:val="auto"/>
          <w:u w:val="single"/>
        </w:rPr>
      </w:pPr>
      <w:r>
        <w:rPr>
          <w:rFonts w:hint="eastAsia" w:ascii="宋体" w:hAnsi="宋体"/>
          <w:color w:val="auto"/>
        </w:rPr>
        <w:t>⑴ 招标单位：</w:t>
      </w:r>
      <w:r>
        <w:rPr>
          <w:rFonts w:hint="eastAsia" w:ascii="宋体" w:hAnsi="宋体"/>
          <w:color w:val="auto"/>
          <w:u w:val="single"/>
        </w:rPr>
        <w:t xml:space="preserve">                           </w:t>
      </w:r>
    </w:p>
    <w:p>
      <w:pPr>
        <w:pStyle w:val="84"/>
        <w:spacing w:line="500" w:lineRule="exact"/>
        <w:ind w:firstLine="560"/>
        <w:jc w:val="both"/>
        <w:rPr>
          <w:rFonts w:ascii="宋体" w:hAnsi="宋体"/>
          <w:color w:val="auto"/>
          <w:w w:val="80"/>
          <w:u w:val="single"/>
        </w:rPr>
      </w:pPr>
      <w:r>
        <w:rPr>
          <w:rFonts w:hint="eastAsia" w:ascii="宋体" w:hAnsi="宋体"/>
          <w:color w:val="auto"/>
        </w:rPr>
        <w:t>⑵ 项目名称：</w:t>
      </w:r>
      <w:r>
        <w:rPr>
          <w:rFonts w:hint="eastAsia" w:ascii="宋体" w:hAnsi="宋体"/>
          <w:color w:val="auto"/>
          <w:w w:val="80"/>
          <w:u w:val="single"/>
        </w:rPr>
        <w:t xml:space="preserve">                                         </w:t>
      </w:r>
    </w:p>
    <w:p>
      <w:pPr>
        <w:pStyle w:val="84"/>
        <w:spacing w:line="500" w:lineRule="exact"/>
        <w:ind w:firstLine="560"/>
        <w:jc w:val="both"/>
        <w:rPr>
          <w:rFonts w:ascii="宋体" w:hAnsi="宋体"/>
          <w:color w:val="auto"/>
        </w:rPr>
      </w:pPr>
      <w:r>
        <w:rPr>
          <w:rFonts w:hint="eastAsia" w:ascii="宋体" w:hAnsi="宋体"/>
          <w:color w:val="auto"/>
        </w:rPr>
        <w:t xml:space="preserve">⑶ 招标编号： </w:t>
      </w:r>
    </w:p>
    <w:p>
      <w:pPr>
        <w:pStyle w:val="84"/>
        <w:spacing w:line="500" w:lineRule="exact"/>
        <w:ind w:firstLine="567"/>
        <w:jc w:val="both"/>
        <w:rPr>
          <w:rFonts w:ascii="宋体" w:hAnsi="宋体"/>
          <w:color w:val="auto"/>
        </w:rPr>
      </w:pPr>
      <w:r>
        <w:rPr>
          <w:rFonts w:hint="eastAsia" w:ascii="宋体" w:hAnsi="宋体"/>
          <w:color w:val="auto"/>
          <w:kern w:val="2"/>
        </w:rPr>
        <w:t xml:space="preserve">⑷ </w:t>
      </w:r>
      <w:r>
        <w:rPr>
          <w:rFonts w:hint="eastAsia" w:ascii="宋体" w:hAnsi="宋体"/>
          <w:color w:val="auto"/>
        </w:rPr>
        <w:t>投标企业名称和地址。</w:t>
      </w:r>
    </w:p>
    <w:p>
      <w:pPr>
        <w:pStyle w:val="84"/>
        <w:spacing w:line="500" w:lineRule="exact"/>
        <w:ind w:firstLine="567"/>
        <w:jc w:val="both"/>
        <w:rPr>
          <w:rFonts w:ascii="宋体" w:hAnsi="宋体"/>
          <w:color w:val="auto"/>
        </w:rPr>
      </w:pPr>
      <w:r>
        <w:rPr>
          <w:rFonts w:hint="eastAsia" w:ascii="宋体" w:hAnsi="宋体"/>
          <w:color w:val="auto"/>
        </w:rPr>
        <w:t>⑸ 注明“开标前不准启封”，“正本”、“副本”、“开标一览表”、“电子版投标文件”字样。</w:t>
      </w:r>
    </w:p>
    <w:p>
      <w:pPr>
        <w:pStyle w:val="84"/>
        <w:spacing w:line="500" w:lineRule="exact"/>
        <w:ind w:firstLine="567"/>
        <w:jc w:val="both"/>
        <w:rPr>
          <w:rFonts w:ascii="宋体" w:hAnsi="宋体"/>
          <w:color w:val="auto"/>
        </w:rPr>
      </w:pPr>
      <w:r>
        <w:rPr>
          <w:rFonts w:hint="eastAsia" w:ascii="宋体" w:hAnsi="宋体"/>
          <w:color w:val="auto"/>
        </w:rPr>
        <w:t>19.4  未按本须知要求密封、标记和投递的投标文件，招标代理机构不对其后果负责。</w:t>
      </w:r>
    </w:p>
    <w:p>
      <w:pPr>
        <w:pStyle w:val="84"/>
        <w:spacing w:line="500" w:lineRule="exact"/>
        <w:ind w:firstLine="480" w:firstLineChars="200"/>
        <w:jc w:val="both"/>
        <w:rPr>
          <w:rFonts w:ascii="宋体" w:hAnsi="宋体"/>
          <w:color w:val="auto"/>
        </w:rPr>
      </w:pPr>
      <w:r>
        <w:rPr>
          <w:rFonts w:hint="eastAsia" w:ascii="宋体" w:hAnsi="宋体"/>
          <w:color w:val="auto"/>
        </w:rPr>
        <w:t>20.  投标文件递交的截止日期</w:t>
      </w:r>
    </w:p>
    <w:p>
      <w:pPr>
        <w:pStyle w:val="84"/>
        <w:spacing w:line="500" w:lineRule="exact"/>
        <w:ind w:firstLine="480" w:firstLineChars="200"/>
        <w:jc w:val="both"/>
        <w:rPr>
          <w:rFonts w:ascii="宋体" w:hAnsi="宋体"/>
          <w:color w:val="auto"/>
          <w:u w:val="single"/>
        </w:rPr>
      </w:pPr>
      <w:r>
        <w:rPr>
          <w:rFonts w:hint="eastAsia" w:ascii="宋体" w:hAnsi="宋体"/>
          <w:color w:val="auto"/>
        </w:rPr>
        <w:t>20.1</w:t>
      </w:r>
      <w:r>
        <w:rPr>
          <w:rFonts w:hint="eastAsia" w:ascii="宋体" w:hAnsi="宋体"/>
          <w:b/>
          <w:color w:val="auto"/>
        </w:rPr>
        <w:t xml:space="preserve">  投标供应商必须在202</w:t>
      </w:r>
      <w:r>
        <w:rPr>
          <w:rFonts w:hint="eastAsia" w:ascii="宋体" w:hAnsi="宋体"/>
          <w:b/>
          <w:color w:val="auto"/>
          <w:lang w:val="en-US" w:eastAsia="zh-CN"/>
        </w:rPr>
        <w:t>2</w:t>
      </w:r>
      <w:r>
        <w:rPr>
          <w:rFonts w:hint="eastAsia" w:ascii="宋体" w:hAnsi="宋体"/>
          <w:b/>
          <w:color w:val="auto"/>
        </w:rPr>
        <w:t>年</w:t>
      </w:r>
      <w:r>
        <w:rPr>
          <w:rFonts w:hint="eastAsia" w:ascii="宋体" w:hAnsi="宋体"/>
          <w:b/>
          <w:color w:val="auto"/>
          <w:lang w:val="en-US" w:eastAsia="zh-CN"/>
        </w:rPr>
        <w:t>01</w:t>
      </w:r>
      <w:r>
        <w:rPr>
          <w:rFonts w:hint="eastAsia" w:ascii="宋体" w:hAnsi="宋体"/>
          <w:b/>
          <w:color w:val="auto"/>
        </w:rPr>
        <w:t>月</w:t>
      </w:r>
      <w:r>
        <w:rPr>
          <w:rFonts w:hint="eastAsia" w:ascii="宋体" w:hAnsi="宋体"/>
          <w:b/>
          <w:color w:val="auto"/>
          <w:lang w:val="en-US" w:eastAsia="zh-CN"/>
        </w:rPr>
        <w:t>06</w:t>
      </w:r>
      <w:r>
        <w:rPr>
          <w:rFonts w:hint="eastAsia" w:ascii="宋体" w:hAnsi="宋体"/>
          <w:b/>
          <w:color w:val="auto"/>
        </w:rPr>
        <w:t>日1</w:t>
      </w:r>
      <w:r>
        <w:rPr>
          <w:rFonts w:hint="eastAsia" w:ascii="宋体" w:hAnsi="宋体"/>
          <w:b/>
          <w:color w:val="auto"/>
          <w:lang w:val="en-US" w:eastAsia="zh-CN"/>
        </w:rPr>
        <w:t>1</w:t>
      </w:r>
      <w:r>
        <w:rPr>
          <w:rFonts w:hint="eastAsia" w:ascii="宋体" w:hAnsi="宋体"/>
          <w:b/>
          <w:color w:val="auto"/>
        </w:rPr>
        <w:t>:</w:t>
      </w:r>
      <w:r>
        <w:rPr>
          <w:rFonts w:hint="eastAsia" w:ascii="宋体" w:hAnsi="宋体"/>
          <w:b/>
          <w:color w:val="auto"/>
          <w:lang w:val="en-US" w:eastAsia="zh-CN"/>
        </w:rPr>
        <w:t>0</w:t>
      </w:r>
      <w:r>
        <w:rPr>
          <w:rFonts w:hint="eastAsia" w:ascii="宋体" w:hAnsi="宋体"/>
          <w:b/>
          <w:color w:val="auto"/>
        </w:rPr>
        <w:t>0时（北京时间）前将投标文件送达到开标地点</w:t>
      </w:r>
      <w:r>
        <w:rPr>
          <w:rFonts w:hint="eastAsia" w:ascii="宋体" w:hAnsi="宋体"/>
          <w:color w:val="auto"/>
        </w:rPr>
        <w:t>。</w:t>
      </w:r>
    </w:p>
    <w:p>
      <w:pPr>
        <w:pStyle w:val="84"/>
        <w:spacing w:line="500" w:lineRule="exact"/>
        <w:ind w:firstLine="480" w:firstLineChars="200"/>
        <w:jc w:val="both"/>
        <w:rPr>
          <w:rFonts w:ascii="宋体" w:hAnsi="宋体"/>
          <w:color w:val="auto"/>
        </w:rPr>
      </w:pPr>
      <w:r>
        <w:rPr>
          <w:rFonts w:hint="eastAsia" w:ascii="宋体" w:hAnsi="宋体"/>
          <w:color w:val="auto"/>
        </w:rPr>
        <w:t>20.2  超过招标文件规定的投标截止时间送达的投标文件将不予接受。</w:t>
      </w:r>
    </w:p>
    <w:p>
      <w:pPr>
        <w:pStyle w:val="84"/>
        <w:spacing w:line="500" w:lineRule="exact"/>
        <w:ind w:firstLine="480" w:firstLineChars="200"/>
        <w:jc w:val="both"/>
        <w:rPr>
          <w:rFonts w:ascii="宋体" w:hAnsi="宋体"/>
          <w:color w:val="auto"/>
        </w:rPr>
      </w:pPr>
      <w:r>
        <w:rPr>
          <w:rFonts w:hint="eastAsia" w:ascii="宋体" w:hAnsi="宋体"/>
          <w:color w:val="auto"/>
        </w:rPr>
        <w:t>21.  投标文件的修改和撤销</w:t>
      </w:r>
    </w:p>
    <w:p>
      <w:pPr>
        <w:pStyle w:val="160"/>
        <w:spacing w:line="500" w:lineRule="exact"/>
        <w:ind w:firstLine="480" w:firstLineChars="200"/>
        <w:jc w:val="both"/>
        <w:rPr>
          <w:rFonts w:ascii="宋体" w:hAnsi="宋体"/>
          <w:color w:val="auto"/>
          <w:sz w:val="24"/>
        </w:rPr>
      </w:pPr>
      <w:r>
        <w:rPr>
          <w:rFonts w:hint="eastAsia" w:ascii="宋体" w:hAnsi="宋体"/>
          <w:color w:val="auto"/>
          <w:sz w:val="24"/>
        </w:rPr>
        <w:t>21.1  投标供应商对其投标文件进行的修改或撤销应以书面形式并在招标文件规定的投标截止时间前送达招标代理机构。</w:t>
      </w:r>
    </w:p>
    <w:p>
      <w:pPr>
        <w:pStyle w:val="160"/>
        <w:spacing w:line="500" w:lineRule="exact"/>
        <w:ind w:firstLine="480" w:firstLineChars="200"/>
        <w:jc w:val="both"/>
        <w:rPr>
          <w:rFonts w:ascii="宋体" w:hAnsi="宋体"/>
          <w:color w:val="auto"/>
          <w:sz w:val="24"/>
        </w:rPr>
      </w:pPr>
      <w:r>
        <w:rPr>
          <w:rFonts w:hint="eastAsia" w:ascii="宋体" w:hAnsi="宋体"/>
          <w:color w:val="auto"/>
          <w:sz w:val="24"/>
        </w:rPr>
        <w:t>21.2  投标供应商对投标文件的修改或撤销应按第18和19条规定进行准备、密封、标注和递交。</w:t>
      </w:r>
    </w:p>
    <w:p>
      <w:pPr>
        <w:pStyle w:val="160"/>
        <w:spacing w:line="500" w:lineRule="exact"/>
        <w:ind w:firstLine="480" w:firstLineChars="200"/>
        <w:jc w:val="both"/>
        <w:rPr>
          <w:rFonts w:ascii="宋体" w:hAnsi="宋体"/>
          <w:color w:val="auto"/>
          <w:sz w:val="24"/>
        </w:rPr>
      </w:pPr>
      <w:r>
        <w:rPr>
          <w:rFonts w:hint="eastAsia" w:ascii="宋体" w:hAnsi="宋体"/>
          <w:color w:val="auto"/>
          <w:sz w:val="24"/>
        </w:rPr>
        <w:t>21.3  投标截止时间后不得修改投标文件。</w:t>
      </w:r>
    </w:p>
    <w:p>
      <w:pPr>
        <w:pStyle w:val="160"/>
        <w:spacing w:line="500" w:lineRule="exact"/>
        <w:ind w:firstLine="480" w:firstLineChars="200"/>
        <w:jc w:val="both"/>
        <w:rPr>
          <w:rFonts w:ascii="宋体" w:hAnsi="宋体"/>
          <w:color w:val="auto"/>
          <w:sz w:val="24"/>
        </w:rPr>
      </w:pPr>
      <w:r>
        <w:rPr>
          <w:rFonts w:hint="eastAsia" w:ascii="宋体" w:hAnsi="宋体"/>
          <w:color w:val="auto"/>
          <w:sz w:val="24"/>
        </w:rPr>
        <w:t>21.4  投标供应商不得在投标截止时间起至投标文件有效期满前撤销投标文件，否则其投标保证金将不予退还。</w:t>
      </w:r>
    </w:p>
    <w:p>
      <w:pPr>
        <w:pStyle w:val="84"/>
        <w:spacing w:line="500" w:lineRule="exact"/>
        <w:jc w:val="center"/>
        <w:outlineLvl w:val="1"/>
        <w:rPr>
          <w:rFonts w:ascii="宋体" w:hAnsi="宋体"/>
          <w:color w:val="auto"/>
        </w:rPr>
      </w:pPr>
      <w:bookmarkStart w:id="7" w:name="_Toc8270"/>
      <w:r>
        <w:rPr>
          <w:rFonts w:hint="eastAsia" w:ascii="宋体" w:hAnsi="宋体"/>
          <w:color w:val="auto"/>
        </w:rPr>
        <w:t>五、开标</w:t>
      </w:r>
      <w:bookmarkEnd w:id="7"/>
    </w:p>
    <w:p>
      <w:pPr>
        <w:pStyle w:val="84"/>
        <w:spacing w:line="500" w:lineRule="exact"/>
        <w:ind w:firstLine="567"/>
        <w:jc w:val="both"/>
        <w:rPr>
          <w:rFonts w:ascii="宋体" w:hAnsi="宋体"/>
          <w:color w:val="auto"/>
        </w:rPr>
      </w:pPr>
      <w:r>
        <w:rPr>
          <w:rFonts w:hint="eastAsia" w:ascii="宋体" w:hAnsi="宋体"/>
          <w:color w:val="auto"/>
        </w:rPr>
        <w:t>22.  开标</w:t>
      </w:r>
    </w:p>
    <w:p>
      <w:pPr>
        <w:spacing w:line="500" w:lineRule="exact"/>
        <w:ind w:left="1" w:firstLine="480" w:firstLineChars="200"/>
        <w:rPr>
          <w:rFonts w:ascii="宋体" w:hAnsi="宋体"/>
          <w:color w:val="auto"/>
          <w:sz w:val="24"/>
          <w:szCs w:val="24"/>
        </w:rPr>
      </w:pPr>
      <w:r>
        <w:rPr>
          <w:rFonts w:hint="eastAsia" w:ascii="宋体" w:hAnsi="宋体"/>
          <w:color w:val="auto"/>
          <w:sz w:val="24"/>
          <w:szCs w:val="24"/>
        </w:rPr>
        <w:t xml:space="preserve">22.1  </w:t>
      </w:r>
      <w:r>
        <w:rPr>
          <w:rFonts w:ascii="宋体" w:hAnsi="宋体"/>
          <w:color w:val="auto"/>
          <w:sz w:val="24"/>
          <w:szCs w:val="24"/>
        </w:rPr>
        <w:t>开标应当在招标文件确定的提交投标文件截止时间的同一时间公开进行</w:t>
      </w:r>
      <w:r>
        <w:rPr>
          <w:rFonts w:hint="eastAsia" w:ascii="宋体" w:hAnsi="宋体"/>
          <w:color w:val="auto"/>
          <w:sz w:val="24"/>
          <w:szCs w:val="24"/>
        </w:rPr>
        <w:t>，</w:t>
      </w:r>
      <w:r>
        <w:rPr>
          <w:rFonts w:ascii="宋体" w:hAnsi="宋体"/>
          <w:color w:val="auto"/>
          <w:sz w:val="24"/>
          <w:szCs w:val="24"/>
        </w:rPr>
        <w:t>开标地点应当为招标文件中预先确定的地点。</w:t>
      </w:r>
    </w:p>
    <w:p>
      <w:pPr>
        <w:spacing w:line="500" w:lineRule="exact"/>
        <w:ind w:left="1" w:firstLine="480" w:firstLineChars="200"/>
        <w:rPr>
          <w:rFonts w:ascii="宋体" w:hAnsi="宋体"/>
          <w:color w:val="auto"/>
          <w:sz w:val="24"/>
          <w:szCs w:val="24"/>
        </w:rPr>
      </w:pPr>
      <w:r>
        <w:rPr>
          <w:rFonts w:hint="eastAsia" w:ascii="宋体" w:hAnsi="宋体"/>
          <w:color w:val="auto"/>
          <w:sz w:val="24"/>
          <w:szCs w:val="24"/>
        </w:rPr>
        <w:t>22.2  代理机构</w:t>
      </w:r>
      <w:r>
        <w:rPr>
          <w:rFonts w:ascii="宋体" w:hAnsi="宋体"/>
          <w:color w:val="auto"/>
          <w:sz w:val="24"/>
          <w:szCs w:val="24"/>
        </w:rPr>
        <w:t>主持，采购人、投标供应商和有关方面代表参加。</w:t>
      </w:r>
    </w:p>
    <w:p>
      <w:pPr>
        <w:widowControl/>
        <w:spacing w:line="440" w:lineRule="exact"/>
        <w:ind w:firstLine="480" w:firstLineChars="200"/>
        <w:jc w:val="left"/>
        <w:rPr>
          <w:rFonts w:ascii="宋体" w:hAnsi="宋体"/>
          <w:b/>
          <w:color w:val="auto"/>
          <w:sz w:val="24"/>
          <w:szCs w:val="24"/>
        </w:rPr>
      </w:pPr>
      <w:r>
        <w:rPr>
          <w:rFonts w:hint="eastAsia" w:ascii="宋体" w:hAnsi="宋体"/>
          <w:b/>
          <w:color w:val="auto"/>
          <w:sz w:val="24"/>
          <w:szCs w:val="24"/>
        </w:rPr>
        <w:t>22.3  参加开标会议的投标人须随身携带：</w:t>
      </w:r>
    </w:p>
    <w:p>
      <w:pPr>
        <w:widowControl/>
        <w:spacing w:line="440" w:lineRule="exact"/>
        <w:ind w:firstLine="480" w:firstLineChars="200"/>
        <w:jc w:val="left"/>
        <w:rPr>
          <w:rFonts w:ascii="宋体" w:hAnsi="宋体"/>
          <w:b/>
          <w:color w:val="auto"/>
          <w:sz w:val="24"/>
          <w:szCs w:val="24"/>
        </w:rPr>
      </w:pPr>
      <w:r>
        <w:rPr>
          <w:rFonts w:hint="eastAsia" w:ascii="宋体" w:hAnsi="宋体"/>
          <w:b/>
          <w:color w:val="auto"/>
          <w:sz w:val="24"/>
          <w:szCs w:val="24"/>
        </w:rPr>
        <w:t>1、企业营业执照副本原件；</w:t>
      </w:r>
    </w:p>
    <w:p>
      <w:pPr>
        <w:widowControl/>
        <w:spacing w:line="440" w:lineRule="exact"/>
        <w:ind w:firstLine="480" w:firstLineChars="200"/>
        <w:jc w:val="left"/>
        <w:rPr>
          <w:rFonts w:ascii="宋体" w:hAnsi="宋体"/>
          <w:b/>
          <w:color w:val="auto"/>
          <w:sz w:val="24"/>
          <w:szCs w:val="24"/>
        </w:rPr>
      </w:pPr>
      <w:r>
        <w:rPr>
          <w:rFonts w:hint="eastAsia" w:ascii="宋体" w:hAnsi="宋体"/>
          <w:b/>
          <w:color w:val="auto"/>
          <w:sz w:val="24"/>
          <w:szCs w:val="24"/>
        </w:rPr>
        <w:t>2、“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加盖公章）；</w:t>
      </w:r>
    </w:p>
    <w:p>
      <w:pPr>
        <w:widowControl/>
        <w:spacing w:line="440" w:lineRule="exact"/>
        <w:ind w:firstLine="480" w:firstLineChars="200"/>
        <w:jc w:val="left"/>
        <w:rPr>
          <w:rFonts w:ascii="宋体" w:hAnsi="宋体"/>
          <w:b/>
          <w:color w:val="auto"/>
          <w:sz w:val="24"/>
          <w:szCs w:val="24"/>
        </w:rPr>
      </w:pPr>
      <w:r>
        <w:rPr>
          <w:rFonts w:hint="eastAsia" w:ascii="宋体" w:hAnsi="宋体"/>
          <w:b/>
          <w:color w:val="auto"/>
          <w:sz w:val="24"/>
          <w:szCs w:val="24"/>
        </w:rPr>
        <w:t>3、法定代表人参加时提供：身份证原件，或委托代理人参加时提供：身份证原件、法定代表人身份证明、授权委托书原件；</w:t>
      </w:r>
    </w:p>
    <w:p>
      <w:pPr>
        <w:widowControl/>
        <w:spacing w:line="440" w:lineRule="exact"/>
        <w:ind w:firstLine="480" w:firstLineChars="200"/>
        <w:jc w:val="left"/>
        <w:rPr>
          <w:rFonts w:ascii="宋体" w:hAnsi="宋体"/>
          <w:b/>
          <w:color w:val="auto"/>
          <w:sz w:val="24"/>
          <w:szCs w:val="24"/>
        </w:rPr>
      </w:pPr>
      <w:r>
        <w:rPr>
          <w:rFonts w:hint="eastAsia" w:ascii="宋体" w:hAnsi="宋体"/>
          <w:b/>
          <w:color w:val="auto"/>
          <w:sz w:val="24"/>
          <w:szCs w:val="24"/>
        </w:rPr>
        <w:t>4、投标保证金</w:t>
      </w:r>
      <w:r>
        <w:rPr>
          <w:rFonts w:hint="eastAsia" w:ascii="宋体" w:hAnsi="宋体"/>
          <w:b/>
          <w:color w:val="auto"/>
          <w:sz w:val="24"/>
          <w:szCs w:val="24"/>
          <w:lang w:eastAsia="zh-CN"/>
        </w:rPr>
        <w:t>汇款凭证</w:t>
      </w:r>
      <w:r>
        <w:rPr>
          <w:rFonts w:hint="eastAsia" w:ascii="宋体" w:hAnsi="宋体"/>
          <w:b/>
          <w:color w:val="auto"/>
          <w:sz w:val="24"/>
          <w:szCs w:val="24"/>
        </w:rPr>
        <w:t>；</w:t>
      </w:r>
    </w:p>
    <w:p>
      <w:pPr>
        <w:widowControl/>
        <w:spacing w:line="440" w:lineRule="exact"/>
        <w:ind w:firstLine="480" w:firstLineChars="200"/>
        <w:jc w:val="left"/>
        <w:rPr>
          <w:rFonts w:hint="eastAsia" w:ascii="宋体" w:hAnsi="宋体" w:eastAsia="宋体"/>
          <w:b/>
          <w:color w:val="auto"/>
          <w:sz w:val="24"/>
          <w:szCs w:val="24"/>
          <w:lang w:eastAsia="zh-CN"/>
        </w:rPr>
      </w:pPr>
      <w:r>
        <w:rPr>
          <w:rFonts w:hint="eastAsia" w:ascii="宋体" w:hAnsi="宋体"/>
          <w:b/>
          <w:color w:val="auto"/>
          <w:sz w:val="24"/>
          <w:szCs w:val="24"/>
          <w:lang w:val="en-US" w:eastAsia="zh-CN"/>
        </w:rPr>
        <w:t>5</w:t>
      </w:r>
      <w:r>
        <w:rPr>
          <w:rFonts w:hint="eastAsia" w:ascii="宋体" w:hAnsi="宋体"/>
          <w:b/>
          <w:color w:val="auto"/>
          <w:sz w:val="24"/>
          <w:szCs w:val="24"/>
        </w:rPr>
        <w:t>、医疗器械生产许可证或医疗器械经营许可证原件</w:t>
      </w:r>
      <w:r>
        <w:rPr>
          <w:rFonts w:hint="eastAsia" w:ascii="宋体" w:hAnsi="宋体"/>
          <w:b/>
          <w:color w:val="auto"/>
          <w:sz w:val="24"/>
          <w:szCs w:val="24"/>
          <w:lang w:eastAsia="zh-CN"/>
        </w:rPr>
        <w:t>。</w:t>
      </w:r>
    </w:p>
    <w:p>
      <w:pPr>
        <w:widowControl/>
        <w:spacing w:line="440" w:lineRule="exact"/>
        <w:jc w:val="left"/>
        <w:rPr>
          <w:rFonts w:ascii="宋体" w:hAnsi="宋体"/>
          <w:b/>
          <w:color w:val="auto"/>
          <w:sz w:val="24"/>
          <w:szCs w:val="24"/>
        </w:rPr>
      </w:pPr>
      <w:r>
        <w:rPr>
          <w:rFonts w:hint="eastAsia" w:ascii="宋体" w:hAnsi="宋体"/>
          <w:b/>
          <w:color w:val="auto"/>
          <w:sz w:val="24"/>
          <w:szCs w:val="24"/>
        </w:rPr>
        <w:t>注：无法提供以上资料的投标人为无效投标人，其投标文件不予开封并退回投标人。</w:t>
      </w:r>
    </w:p>
    <w:p>
      <w:pPr>
        <w:widowControl/>
        <w:spacing w:line="440" w:lineRule="exact"/>
        <w:ind w:firstLine="480" w:firstLineChars="200"/>
        <w:jc w:val="left"/>
        <w:rPr>
          <w:rFonts w:ascii="宋体" w:hAnsi="宋体"/>
          <w:color w:val="auto"/>
          <w:sz w:val="24"/>
          <w:szCs w:val="24"/>
        </w:rPr>
      </w:pPr>
      <w:r>
        <w:rPr>
          <w:rFonts w:hint="eastAsia" w:ascii="宋体" w:hAnsi="宋体"/>
          <w:color w:val="auto"/>
          <w:sz w:val="24"/>
          <w:szCs w:val="24"/>
        </w:rPr>
        <w:t>22.4  开标时，应当由投标供应商或者其推选的代表检查投标文件的密封情况，也可以由采购人委托的公证机构检查并公证；经确认无误后，由招标工作人员当众拆封，宣读投标供应商名称、投标价格、价格折扣和投标文件的其他主要内容。</w:t>
      </w:r>
    </w:p>
    <w:p>
      <w:pPr>
        <w:spacing w:line="500" w:lineRule="exact"/>
        <w:ind w:left="1" w:firstLine="480" w:firstLineChars="200"/>
        <w:rPr>
          <w:rFonts w:ascii="宋体" w:hAnsi="宋体"/>
          <w:color w:val="auto"/>
          <w:sz w:val="24"/>
          <w:szCs w:val="24"/>
        </w:rPr>
      </w:pPr>
      <w:r>
        <w:rPr>
          <w:rFonts w:hint="eastAsia" w:ascii="宋体" w:hAnsi="宋体"/>
          <w:color w:val="auto"/>
          <w:sz w:val="24"/>
          <w:szCs w:val="24"/>
        </w:rPr>
        <w:t xml:space="preserve">22.5  </w:t>
      </w:r>
      <w:r>
        <w:rPr>
          <w:rFonts w:ascii="宋体" w:hAnsi="宋体"/>
          <w:color w:val="auto"/>
          <w:sz w:val="24"/>
          <w:szCs w:val="24"/>
        </w:rPr>
        <w:t>未宣读的投标价格、价格折扣和</w:t>
      </w:r>
      <w:r>
        <w:rPr>
          <w:rFonts w:hint="eastAsia" w:ascii="宋体" w:hAnsi="宋体"/>
          <w:color w:val="auto"/>
          <w:sz w:val="24"/>
          <w:szCs w:val="24"/>
        </w:rPr>
        <w:t>投标文件的其他主要</w:t>
      </w:r>
      <w:r>
        <w:rPr>
          <w:rFonts w:ascii="宋体" w:hAnsi="宋体"/>
          <w:color w:val="auto"/>
          <w:sz w:val="24"/>
          <w:szCs w:val="24"/>
        </w:rPr>
        <w:t>内容，评标时不予承认。</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22.6  开标时，投标文件中开标一览表</w:t>
      </w:r>
      <w:r>
        <w:rPr>
          <w:rFonts w:ascii="宋体" w:hAnsi="宋体"/>
          <w:color w:val="auto"/>
          <w:sz w:val="24"/>
          <w:szCs w:val="24"/>
        </w:rPr>
        <w:t>(报价表)内容与投标文件中明细表内容不一致的，以开标一览表(报价表)为准。</w:t>
      </w:r>
      <w:r>
        <w:rPr>
          <w:rFonts w:hint="eastAsia" w:ascii="宋体" w:hAnsi="宋体"/>
          <w:color w:val="auto"/>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pStyle w:val="84"/>
        <w:spacing w:line="500" w:lineRule="exact"/>
        <w:ind w:firstLine="560"/>
        <w:jc w:val="both"/>
        <w:rPr>
          <w:rFonts w:ascii="宋体" w:hAnsi="宋体"/>
          <w:color w:val="auto"/>
        </w:rPr>
      </w:pPr>
      <w:r>
        <w:rPr>
          <w:rFonts w:hint="eastAsia" w:ascii="宋体" w:hAnsi="宋体"/>
          <w:color w:val="auto"/>
        </w:rPr>
        <w:t>22.7  对未按照本招标文件要求进行投标及资格审查不合格的投标供应商，其投标文件将被视为无效投标文件。</w:t>
      </w:r>
    </w:p>
    <w:p>
      <w:pPr>
        <w:spacing w:line="500" w:lineRule="exact"/>
        <w:ind w:firstLine="570"/>
        <w:rPr>
          <w:rFonts w:ascii="宋体" w:hAnsi="宋体"/>
          <w:color w:val="auto"/>
          <w:sz w:val="24"/>
          <w:szCs w:val="24"/>
        </w:rPr>
      </w:pPr>
      <w:r>
        <w:rPr>
          <w:rFonts w:hint="eastAsia" w:ascii="宋体" w:hAnsi="宋体"/>
          <w:color w:val="auto"/>
          <w:sz w:val="24"/>
          <w:szCs w:val="24"/>
        </w:rPr>
        <w:t>22.8 投标供应商之间不得相互串通投标报价，不得妨碍其他投标供应商的公平竞争，不得损害招标采购单位或者其他投标供应商的合法权益。</w:t>
      </w:r>
    </w:p>
    <w:p>
      <w:pPr>
        <w:spacing w:line="500" w:lineRule="exact"/>
        <w:rPr>
          <w:rFonts w:ascii="宋体" w:hAnsi="宋体"/>
          <w:color w:val="auto"/>
          <w:sz w:val="24"/>
          <w:szCs w:val="24"/>
        </w:rPr>
      </w:pPr>
      <w:r>
        <w:rPr>
          <w:rFonts w:ascii="宋体" w:hAnsi="宋体"/>
          <w:color w:val="auto"/>
          <w:sz w:val="24"/>
          <w:szCs w:val="24"/>
        </w:rPr>
        <w:t xml:space="preserve"> </w:t>
      </w:r>
      <w:r>
        <w:rPr>
          <w:rFonts w:ascii="宋体" w:hAnsi="宋体"/>
          <w:color w:val="auto"/>
          <w:sz w:val="24"/>
          <w:szCs w:val="24"/>
        </w:rPr>
        <w:tab/>
      </w:r>
      <w:r>
        <w:rPr>
          <w:rFonts w:ascii="宋体" w:hAnsi="宋体"/>
          <w:color w:val="auto"/>
          <w:sz w:val="24"/>
          <w:szCs w:val="24"/>
        </w:rPr>
        <w:t xml:space="preserve"> </w:t>
      </w:r>
      <w:r>
        <w:rPr>
          <w:rFonts w:hint="eastAsia" w:ascii="宋体" w:hAnsi="宋体"/>
          <w:color w:val="auto"/>
          <w:sz w:val="24"/>
          <w:szCs w:val="24"/>
        </w:rPr>
        <w:t>22.9 投标供应商不得以向招标采购单位、评标委员会成员行贿或者采取其他不正当手段谋取中标。</w:t>
      </w:r>
    </w:p>
    <w:p>
      <w:pPr>
        <w:pStyle w:val="40"/>
        <w:ind w:left="0" w:leftChars="0" w:firstLine="0" w:firstLineChars="0"/>
        <w:rPr>
          <w:color w:val="auto"/>
        </w:rPr>
      </w:pPr>
    </w:p>
    <w:p>
      <w:pPr>
        <w:pStyle w:val="40"/>
        <w:ind w:left="0" w:leftChars="0" w:firstLine="0" w:firstLineChars="0"/>
        <w:rPr>
          <w:color w:val="auto"/>
        </w:rPr>
      </w:pPr>
    </w:p>
    <w:p>
      <w:pPr>
        <w:pStyle w:val="40"/>
        <w:ind w:left="0" w:leftChars="0" w:firstLine="0" w:firstLineChars="0"/>
        <w:rPr>
          <w:color w:val="auto"/>
        </w:rPr>
      </w:pPr>
    </w:p>
    <w:p>
      <w:pPr>
        <w:pStyle w:val="84"/>
        <w:spacing w:line="500" w:lineRule="exact"/>
        <w:jc w:val="center"/>
        <w:outlineLvl w:val="1"/>
        <w:rPr>
          <w:rFonts w:ascii="宋体" w:hAnsi="宋体"/>
          <w:color w:val="auto"/>
        </w:rPr>
      </w:pPr>
      <w:bookmarkStart w:id="8" w:name="_Toc15882"/>
      <w:r>
        <w:rPr>
          <w:rFonts w:hint="eastAsia" w:ascii="宋体" w:hAnsi="宋体"/>
          <w:color w:val="auto"/>
        </w:rPr>
        <w:t>六、评标、定标</w:t>
      </w:r>
      <w:bookmarkEnd w:id="8"/>
    </w:p>
    <w:p>
      <w:pPr>
        <w:pStyle w:val="84"/>
        <w:spacing w:line="500" w:lineRule="exact"/>
        <w:ind w:left="567"/>
        <w:jc w:val="both"/>
        <w:rPr>
          <w:rFonts w:ascii="宋体" w:hAnsi="宋体"/>
          <w:color w:val="auto"/>
        </w:rPr>
      </w:pPr>
      <w:bookmarkStart w:id="9" w:name="OLE_LINK1"/>
      <w:r>
        <w:rPr>
          <w:rFonts w:hint="eastAsia" w:ascii="宋体" w:hAnsi="宋体"/>
          <w:color w:val="auto"/>
        </w:rPr>
        <w:t>23.  评标</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23.1  评标委员会</w:t>
      </w:r>
    </w:p>
    <w:p>
      <w:pPr>
        <w:spacing w:line="500" w:lineRule="exact"/>
        <w:ind w:firstLine="561"/>
        <w:rPr>
          <w:rFonts w:ascii="宋体" w:hAnsi="宋体"/>
          <w:color w:val="auto"/>
          <w:sz w:val="24"/>
          <w:szCs w:val="24"/>
        </w:rPr>
      </w:pPr>
      <w:r>
        <w:rPr>
          <w:rFonts w:hint="eastAsia" w:ascii="宋体" w:hAnsi="宋体"/>
          <w:color w:val="auto"/>
          <w:sz w:val="24"/>
          <w:szCs w:val="24"/>
        </w:rPr>
        <w:t>23.1.1 评标委员会由采购人代表和有关技术、经济等方面的专家组成，成员人数应当为五人。</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23.1.2 招标采购单位就招标文件征询过意见的专家，不得再作为评标专家参加评标。采购人不得以专家身份参与本部门或者本单位采购项目的评标。采购代理机构工作人员不得参加由本机构代理的政府采购项目的评标。</w:t>
      </w:r>
    </w:p>
    <w:p>
      <w:pPr>
        <w:pStyle w:val="84"/>
        <w:spacing w:line="500" w:lineRule="exact"/>
        <w:ind w:firstLine="480" w:firstLineChars="200"/>
        <w:jc w:val="both"/>
        <w:rPr>
          <w:rFonts w:ascii="宋体" w:hAnsi="宋体"/>
          <w:color w:val="auto"/>
        </w:rPr>
      </w:pPr>
      <w:r>
        <w:rPr>
          <w:rFonts w:hint="eastAsia" w:ascii="宋体" w:hAnsi="宋体"/>
          <w:color w:val="auto"/>
        </w:rPr>
        <w:t>23.1.3  评标人员应认真执行《中华人民共和国政府采购法》及相关法规规定，同时维护采购人和投标供应商的合法权益</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23.1.4  评标的依据为招标文件和投标文件</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23.1.5  评标中各评委若发生意见分歧，通过书面表决形式，以少数服从多数为原则决定。</w:t>
      </w:r>
    </w:p>
    <w:p>
      <w:pPr>
        <w:pStyle w:val="84"/>
        <w:spacing w:line="500" w:lineRule="exact"/>
        <w:ind w:firstLine="567"/>
        <w:jc w:val="both"/>
        <w:rPr>
          <w:rFonts w:ascii="宋体" w:hAnsi="宋体"/>
          <w:color w:val="auto"/>
        </w:rPr>
      </w:pPr>
      <w:r>
        <w:rPr>
          <w:rFonts w:hint="eastAsia" w:ascii="宋体" w:hAnsi="宋体"/>
          <w:color w:val="auto"/>
        </w:rPr>
        <w:t>23.2 评标纪律</w:t>
      </w:r>
    </w:p>
    <w:p>
      <w:pPr>
        <w:pStyle w:val="84"/>
        <w:spacing w:line="500" w:lineRule="exact"/>
        <w:ind w:firstLine="567"/>
        <w:jc w:val="both"/>
        <w:rPr>
          <w:rFonts w:ascii="宋体" w:hAnsi="宋体"/>
          <w:color w:val="auto"/>
        </w:rPr>
      </w:pPr>
      <w:r>
        <w:rPr>
          <w:rFonts w:hint="eastAsia" w:ascii="宋体" w:hAnsi="宋体"/>
          <w:color w:val="auto"/>
        </w:rPr>
        <w:t>（一）不徇私情，不得明招暗定，杜绝不正之风。</w:t>
      </w:r>
    </w:p>
    <w:p>
      <w:pPr>
        <w:pStyle w:val="84"/>
        <w:spacing w:line="500" w:lineRule="exact"/>
        <w:ind w:firstLine="567"/>
        <w:jc w:val="both"/>
        <w:rPr>
          <w:rFonts w:ascii="宋体" w:hAnsi="宋体"/>
          <w:color w:val="auto"/>
        </w:rPr>
      </w:pPr>
      <w:r>
        <w:rPr>
          <w:rFonts w:hint="eastAsia" w:ascii="宋体" w:hAnsi="宋体"/>
          <w:color w:val="auto"/>
        </w:rPr>
        <w:t>（二）评标人员不得私自泄露评标内容。</w:t>
      </w:r>
    </w:p>
    <w:p>
      <w:pPr>
        <w:spacing w:line="500" w:lineRule="exact"/>
        <w:ind w:firstLine="538"/>
        <w:rPr>
          <w:rFonts w:ascii="宋体" w:hAnsi="宋体"/>
          <w:color w:val="auto"/>
          <w:sz w:val="24"/>
          <w:szCs w:val="24"/>
        </w:rPr>
      </w:pPr>
      <w:r>
        <w:rPr>
          <w:rFonts w:hint="eastAsia" w:ascii="宋体" w:hAnsi="宋体"/>
          <w:color w:val="auto"/>
          <w:sz w:val="24"/>
          <w:szCs w:val="24"/>
        </w:rPr>
        <w:t>（三）评标过程应严格遵守保密制度。开标后,直到授予投标供应商合同止，凡是属于审查、澄清、评价和比较的有关资料以及授标建议等均不得向投标供应商或其他无关的人员透露。</w:t>
      </w:r>
    </w:p>
    <w:p>
      <w:pPr>
        <w:spacing w:line="500" w:lineRule="exact"/>
        <w:ind w:firstLine="538"/>
        <w:rPr>
          <w:rFonts w:ascii="宋体" w:hAnsi="宋体"/>
          <w:color w:val="auto"/>
          <w:sz w:val="24"/>
          <w:szCs w:val="24"/>
        </w:rPr>
      </w:pPr>
      <w:r>
        <w:rPr>
          <w:rFonts w:hint="eastAsia" w:ascii="宋体" w:hAnsi="宋体"/>
          <w:color w:val="auto"/>
          <w:sz w:val="24"/>
          <w:szCs w:val="24"/>
        </w:rPr>
        <w:t>23.3 评标委员会成员应当履行的义务</w:t>
      </w:r>
    </w:p>
    <w:p>
      <w:pPr>
        <w:spacing w:line="500" w:lineRule="exact"/>
        <w:ind w:firstLine="538"/>
        <w:rPr>
          <w:rFonts w:ascii="宋体" w:hAnsi="宋体"/>
          <w:color w:val="auto"/>
          <w:sz w:val="24"/>
          <w:szCs w:val="24"/>
        </w:rPr>
      </w:pPr>
      <w:r>
        <w:rPr>
          <w:rFonts w:hint="eastAsia" w:ascii="宋体" w:hAnsi="宋体"/>
          <w:color w:val="auto"/>
          <w:sz w:val="24"/>
          <w:szCs w:val="24"/>
        </w:rPr>
        <w:t>（一）遵纪守法，客观、公正、廉洁地履行职责；</w:t>
      </w:r>
    </w:p>
    <w:p>
      <w:pPr>
        <w:spacing w:line="500" w:lineRule="exact"/>
        <w:ind w:firstLine="538"/>
        <w:rPr>
          <w:rFonts w:ascii="宋体" w:hAnsi="宋体"/>
          <w:color w:val="auto"/>
          <w:sz w:val="24"/>
          <w:szCs w:val="24"/>
        </w:rPr>
      </w:pPr>
      <w:r>
        <w:rPr>
          <w:rFonts w:hint="eastAsia" w:ascii="宋体" w:hAnsi="宋体"/>
          <w:color w:val="auto"/>
          <w:sz w:val="24"/>
          <w:szCs w:val="24"/>
        </w:rPr>
        <w:t>（二）按照招标文件规定的评标方法和评标标准进行评标，对评审意见承担个人责任；</w:t>
      </w:r>
    </w:p>
    <w:p>
      <w:pPr>
        <w:spacing w:line="500" w:lineRule="exact"/>
        <w:ind w:firstLine="538"/>
        <w:rPr>
          <w:rFonts w:ascii="宋体" w:hAnsi="宋体"/>
          <w:color w:val="auto"/>
          <w:sz w:val="24"/>
          <w:szCs w:val="24"/>
        </w:rPr>
      </w:pPr>
      <w:r>
        <w:rPr>
          <w:rFonts w:hint="eastAsia" w:ascii="宋体" w:hAnsi="宋体"/>
          <w:color w:val="auto"/>
          <w:sz w:val="24"/>
          <w:szCs w:val="24"/>
        </w:rPr>
        <w:t>（三）对评标过程和结果，以及供应商的商业秘密保密；</w:t>
      </w:r>
    </w:p>
    <w:p>
      <w:pPr>
        <w:spacing w:line="500" w:lineRule="exact"/>
        <w:ind w:firstLine="538"/>
        <w:rPr>
          <w:rFonts w:ascii="宋体" w:hAnsi="宋体"/>
          <w:color w:val="auto"/>
          <w:sz w:val="24"/>
          <w:szCs w:val="24"/>
        </w:rPr>
      </w:pPr>
      <w:r>
        <w:rPr>
          <w:rFonts w:hint="eastAsia" w:ascii="宋体" w:hAnsi="宋体"/>
          <w:color w:val="auto"/>
          <w:sz w:val="24"/>
          <w:szCs w:val="24"/>
        </w:rPr>
        <w:t>（四）参与评标报告的起草；</w:t>
      </w:r>
    </w:p>
    <w:p>
      <w:pPr>
        <w:spacing w:line="500" w:lineRule="exact"/>
        <w:ind w:firstLine="538"/>
        <w:rPr>
          <w:rFonts w:ascii="宋体" w:hAnsi="宋体"/>
          <w:color w:val="auto"/>
          <w:sz w:val="24"/>
          <w:szCs w:val="24"/>
        </w:rPr>
      </w:pPr>
      <w:r>
        <w:rPr>
          <w:rFonts w:hint="eastAsia" w:ascii="宋体" w:hAnsi="宋体"/>
          <w:color w:val="auto"/>
          <w:sz w:val="24"/>
          <w:szCs w:val="24"/>
        </w:rPr>
        <w:t>（五）配合财政部门的投诉处理工作；</w:t>
      </w:r>
    </w:p>
    <w:p>
      <w:pPr>
        <w:spacing w:line="500" w:lineRule="exact"/>
        <w:ind w:firstLine="538"/>
        <w:rPr>
          <w:rFonts w:ascii="宋体" w:hAnsi="宋体"/>
          <w:color w:val="auto"/>
          <w:sz w:val="24"/>
          <w:szCs w:val="24"/>
        </w:rPr>
      </w:pPr>
      <w:r>
        <w:rPr>
          <w:rFonts w:hint="eastAsia" w:ascii="宋体" w:hAnsi="宋体"/>
          <w:color w:val="auto"/>
          <w:sz w:val="24"/>
          <w:szCs w:val="24"/>
        </w:rPr>
        <w:t>（六）配合招标采购单位答复投标供应商提出的质疑。</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24.  评标原则</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24.1  评标活动遵循公平、公正、科学和择优的原则。</w:t>
      </w:r>
    </w:p>
    <w:p>
      <w:pPr>
        <w:pStyle w:val="84"/>
        <w:spacing w:line="500" w:lineRule="exact"/>
        <w:ind w:firstLine="567"/>
        <w:jc w:val="both"/>
        <w:rPr>
          <w:rFonts w:ascii="宋体" w:hAnsi="宋体"/>
          <w:color w:val="auto"/>
        </w:rPr>
      </w:pPr>
      <w:r>
        <w:rPr>
          <w:rFonts w:hint="eastAsia" w:ascii="宋体" w:hAnsi="宋体"/>
          <w:color w:val="auto"/>
        </w:rPr>
        <w:t>25.  评标方法</w:t>
      </w:r>
    </w:p>
    <w:p>
      <w:pPr>
        <w:pStyle w:val="160"/>
        <w:spacing w:line="500" w:lineRule="exact"/>
        <w:ind w:firstLine="567"/>
        <w:jc w:val="both"/>
        <w:rPr>
          <w:rFonts w:ascii="宋体" w:hAnsi="宋体"/>
          <w:color w:val="auto"/>
          <w:sz w:val="24"/>
        </w:rPr>
      </w:pPr>
      <w:r>
        <w:rPr>
          <w:rFonts w:hint="eastAsia" w:ascii="宋体" w:hAnsi="宋体"/>
          <w:color w:val="auto"/>
          <w:sz w:val="24"/>
        </w:rPr>
        <w:t>25.1  开标后评标委员会将审查投标文件是否完整、要求的保证金是否已提供、文件是否恰当签署、是否有计算错误,若投标供应商拒绝接受修正，其投标将可能被拒绝。</w:t>
      </w:r>
    </w:p>
    <w:p>
      <w:pPr>
        <w:pStyle w:val="160"/>
        <w:spacing w:line="500" w:lineRule="exact"/>
        <w:ind w:firstLine="567"/>
        <w:jc w:val="both"/>
        <w:rPr>
          <w:rFonts w:ascii="宋体" w:hAnsi="宋体"/>
          <w:color w:val="auto"/>
          <w:sz w:val="24"/>
        </w:rPr>
      </w:pPr>
      <w:r>
        <w:rPr>
          <w:rFonts w:hint="eastAsia" w:ascii="宋体" w:hAnsi="宋体"/>
          <w:color w:val="auto"/>
          <w:sz w:val="24"/>
        </w:rPr>
        <w:t xml:space="preserve">25.2  </w:t>
      </w:r>
      <w:r>
        <w:rPr>
          <w:rFonts w:hint="eastAsia" w:ascii="宋体" w:hAnsi="宋体"/>
          <w:color w:val="auto"/>
          <w:spacing w:val="-2"/>
          <w:sz w:val="24"/>
        </w:rPr>
        <w:t>在对投标文件进行详细评估之前，评标委员会将审查每一份投标文件是否对招标文件的要求做出了实质性的响应。实质性响应的投标应该是与招标文件的全部条款、条件和规格相符，而没有重大偏离。重大偏离系指影响到合同所有条款的供货范围、质量、性能和规格或在实质上与招标文件不一致，而且限制了买方的权力和投标供应商的义务。而纠正或承认这些偏离将会对该投标供应商和其它投标供应商合理的竞争地位产生不公正的影响</w:t>
      </w:r>
      <w:r>
        <w:rPr>
          <w:rFonts w:hint="eastAsia" w:ascii="宋体" w:hAnsi="宋体"/>
          <w:color w:val="auto"/>
          <w:sz w:val="24"/>
        </w:rPr>
        <w:t>。</w:t>
      </w:r>
    </w:p>
    <w:p>
      <w:pPr>
        <w:pStyle w:val="160"/>
        <w:spacing w:line="500" w:lineRule="exact"/>
        <w:ind w:firstLine="567"/>
        <w:jc w:val="both"/>
        <w:rPr>
          <w:rFonts w:ascii="宋体" w:hAnsi="宋体"/>
          <w:color w:val="auto"/>
          <w:sz w:val="24"/>
        </w:rPr>
      </w:pPr>
      <w:r>
        <w:rPr>
          <w:rFonts w:hint="eastAsia" w:ascii="宋体" w:hAnsi="宋体"/>
          <w:color w:val="auto"/>
          <w:sz w:val="24"/>
        </w:rPr>
        <w:t>25.3  评标委员会判断投标文件的响应性仅基于投标文件本身而不寻求外部证据。</w:t>
      </w:r>
    </w:p>
    <w:p>
      <w:pPr>
        <w:pStyle w:val="160"/>
        <w:spacing w:line="500" w:lineRule="exact"/>
        <w:ind w:firstLine="567"/>
        <w:jc w:val="both"/>
        <w:rPr>
          <w:rFonts w:ascii="宋体" w:hAnsi="宋体"/>
          <w:color w:val="auto"/>
          <w:sz w:val="24"/>
        </w:rPr>
      </w:pPr>
      <w:r>
        <w:rPr>
          <w:rFonts w:hint="eastAsia" w:ascii="宋体" w:hAnsi="宋体"/>
          <w:color w:val="auto"/>
          <w:sz w:val="24"/>
        </w:rPr>
        <w:t>25.4  对已被评标委员会确定为非响应性的投标，投标供应商不能通过修正或撤销不符之处而使其投标成为响应性投标。</w:t>
      </w:r>
    </w:p>
    <w:p>
      <w:pPr>
        <w:pStyle w:val="84"/>
        <w:spacing w:line="500" w:lineRule="exact"/>
        <w:ind w:firstLine="567"/>
        <w:jc w:val="both"/>
        <w:rPr>
          <w:rFonts w:ascii="宋体" w:hAnsi="宋体"/>
          <w:color w:val="auto"/>
        </w:rPr>
      </w:pPr>
      <w:r>
        <w:rPr>
          <w:rFonts w:hint="eastAsia" w:ascii="宋体" w:hAnsi="宋体"/>
          <w:color w:val="auto"/>
        </w:rPr>
        <w:t>25.5  评标委员会允许投标中有微小的不正规、不一致或不规则，而该微小之处不构成重大偏离。</w:t>
      </w:r>
    </w:p>
    <w:p>
      <w:pPr>
        <w:pStyle w:val="84"/>
        <w:spacing w:line="500" w:lineRule="exact"/>
        <w:ind w:firstLine="567"/>
        <w:jc w:val="both"/>
        <w:rPr>
          <w:rFonts w:hint="eastAsia" w:ascii="宋体" w:hAnsi="宋体"/>
          <w:b/>
          <w:color w:val="auto"/>
        </w:rPr>
      </w:pPr>
      <w:r>
        <w:rPr>
          <w:rFonts w:hint="eastAsia" w:ascii="宋体" w:hAnsi="宋体"/>
          <w:b/>
          <w:color w:val="auto"/>
        </w:rPr>
        <w:t>25.6  本项目将采用：综合评分法</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500" w:lineRule="exact"/>
        <w:ind w:firstLine="480" w:firstLineChars="200"/>
        <w:rPr>
          <w:rFonts w:hint="eastAsia" w:ascii="宋体" w:hAnsi="宋体"/>
          <w:color w:val="auto"/>
          <w:kern w:val="0"/>
          <w:sz w:val="24"/>
          <w:szCs w:val="24"/>
        </w:rPr>
      </w:pPr>
      <w:r>
        <w:rPr>
          <w:rFonts w:hint="eastAsia" w:ascii="宋体" w:hAnsi="宋体"/>
          <w:color w:val="auto"/>
          <w:kern w:val="0"/>
          <w:sz w:val="24"/>
          <w:szCs w:val="24"/>
        </w:rPr>
        <w:t>综合评分法：评标委员会将采用综合评分法对投标文件所载明的商务标、技术标等内容进行打分，依据得分从高到低的顺序最终确定中标供应商，最低报价不作为中标的唯一依据。采用百分制原则：满分为100分、技术标占70%、商务标占30%。投标单位最终得分=技术标得分+商务标得分，具体评分标准如下：</w:t>
      </w:r>
    </w:p>
    <w:p>
      <w:pPr>
        <w:pStyle w:val="2"/>
        <w:rPr>
          <w:rFonts w:hint="eastAsia" w:ascii="宋体" w:hAnsi="宋体"/>
          <w:color w:val="auto"/>
          <w:kern w:val="0"/>
          <w:sz w:val="24"/>
          <w:szCs w:val="24"/>
        </w:rPr>
      </w:pPr>
    </w:p>
    <w:p>
      <w:pPr>
        <w:pStyle w:val="3"/>
        <w:rPr>
          <w:rFonts w:hint="eastAsia" w:ascii="宋体" w:hAnsi="宋体"/>
          <w:color w:val="auto"/>
          <w:kern w:val="0"/>
          <w:sz w:val="24"/>
          <w:szCs w:val="24"/>
        </w:rPr>
      </w:pPr>
    </w:p>
    <w:p>
      <w:pPr>
        <w:rPr>
          <w:rFonts w:hint="eastAsia" w:ascii="宋体" w:hAnsi="宋体"/>
          <w:color w:val="auto"/>
          <w:kern w:val="0"/>
          <w:sz w:val="24"/>
          <w:szCs w:val="24"/>
        </w:rPr>
      </w:pPr>
    </w:p>
    <w:p>
      <w:pPr>
        <w:pStyle w:val="2"/>
      </w:pPr>
    </w:p>
    <w:tbl>
      <w:tblPr>
        <w:tblStyle w:val="42"/>
        <w:tblW w:w="96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6"/>
        <w:gridCol w:w="2835"/>
        <w:gridCol w:w="1139"/>
        <w:gridCol w:w="49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olor w:val="auto"/>
                <w:sz w:val="24"/>
                <w:szCs w:val="24"/>
              </w:rPr>
              <w:t>序号</w:t>
            </w:r>
          </w:p>
        </w:tc>
        <w:tc>
          <w:tcPr>
            <w:tcW w:w="28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olor w:val="auto"/>
                <w:sz w:val="24"/>
                <w:szCs w:val="24"/>
              </w:rPr>
              <w:t>评分内容</w:t>
            </w:r>
          </w:p>
        </w:tc>
        <w:tc>
          <w:tcPr>
            <w:tcW w:w="607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olor w:val="auto"/>
                <w:sz w:val="24"/>
                <w:szCs w:val="24"/>
              </w:rPr>
              <w:t>评分方法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3"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olor w:val="auto"/>
                <w:sz w:val="24"/>
                <w:szCs w:val="24"/>
              </w:rPr>
              <w:t>1</w:t>
            </w:r>
          </w:p>
        </w:tc>
        <w:tc>
          <w:tcPr>
            <w:tcW w:w="283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仿宋_GB2312"/>
                <w:b/>
                <w:bCs/>
                <w:color w:val="auto"/>
                <w:sz w:val="24"/>
                <w:szCs w:val="24"/>
              </w:rPr>
            </w:pPr>
            <w:r>
              <w:rPr>
                <w:rFonts w:hint="eastAsia" w:ascii="宋体" w:hAnsi="宋体" w:cs="仿宋_GB2312"/>
                <w:b/>
                <w:bCs/>
                <w:color w:val="auto"/>
                <w:sz w:val="24"/>
                <w:szCs w:val="24"/>
              </w:rPr>
              <w:t>商务部分(报价得分)</w:t>
            </w:r>
          </w:p>
          <w:p>
            <w:pPr>
              <w:spacing w:line="440" w:lineRule="exact"/>
              <w:jc w:val="center"/>
              <w:rPr>
                <w:rFonts w:ascii="宋体" w:hAnsi="宋体"/>
                <w:color w:val="auto"/>
                <w:sz w:val="24"/>
                <w:szCs w:val="24"/>
              </w:rPr>
            </w:pPr>
            <w:r>
              <w:rPr>
                <w:rFonts w:hint="eastAsia" w:ascii="宋体" w:hAnsi="宋体" w:cs="仿宋_GB2312"/>
                <w:b/>
                <w:bCs/>
                <w:color w:val="auto"/>
                <w:sz w:val="24"/>
                <w:szCs w:val="24"/>
              </w:rPr>
              <w:t>30分</w:t>
            </w:r>
          </w:p>
        </w:tc>
        <w:tc>
          <w:tcPr>
            <w:tcW w:w="607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报价得分=(评标基准价/投标报价)×30%×100</w:t>
            </w:r>
          </w:p>
          <w:p>
            <w:pPr>
              <w:adjustRightInd w:val="0"/>
              <w:snapToGrid w:val="0"/>
              <w:spacing w:line="440" w:lineRule="exact"/>
              <w:jc w:val="left"/>
              <w:rPr>
                <w:rFonts w:ascii="宋体" w:hAnsi="宋体"/>
                <w:color w:val="auto"/>
                <w:sz w:val="24"/>
                <w:szCs w:val="24"/>
              </w:rPr>
            </w:pPr>
            <w:r>
              <w:rPr>
                <w:rFonts w:hint="eastAsia" w:ascii="宋体" w:hAnsi="宋体" w:cs="仿宋_GB2312"/>
                <w:color w:val="auto"/>
                <w:sz w:val="24"/>
                <w:szCs w:val="24"/>
              </w:rPr>
              <w:t>备注：采用低价优先法计算，即满足招标文件要求且投标价格最低的投标报价为评标基准价，其价格为满分（保留小数点后两位）。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s="仿宋_GB2312"/>
                <w:b/>
                <w:bCs/>
                <w:color w:val="auto"/>
                <w:sz w:val="24"/>
                <w:szCs w:val="24"/>
              </w:rPr>
              <w:t>属于中小企业评审优惠内容及价格扣除幅度</w:t>
            </w:r>
          </w:p>
        </w:tc>
        <w:tc>
          <w:tcPr>
            <w:tcW w:w="607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根据中华人民共和国财政部、中华人民共和国工业和信息化部《政府采购促进中小企业发展暂行办法》（财库[2011]181号）文件的规定，属于中小企业评审优惠内容及幅度如下：</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（一）中小企业（含中型、小型、微型企业）应当同时符合以下条件：</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①符合中小企业划分标准（按《关于印发中小企业划型标准规定的通知》（工信部联企业〔2011〕300号）执行）；</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②提供本企业制造的货物、承担的项目或者服务，或者提供其他中小企业制造的货物。本项所称货物不包括使用大型企业注册商标的货物；</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③小型、微型企业提供中型企业制造的货物的，视同为中型企业。</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（二）价格扣除办法：</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①对于非专门面向中小企业的项目，对小型和微型企业（或联合体各方均为小型、微型企业的）产品的价格给予6%的扣除，用扣除后的价格参与价格分的评审。</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（三）小型和微型企业适用价格扣除办法时应提供的相关资料：</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①、供应商《中小企业声明函》或残疾人福利性单位声明函、监狱企业声明函；</w:t>
            </w:r>
          </w:p>
          <w:p>
            <w:pPr>
              <w:adjustRightInd w:val="0"/>
              <w:snapToGrid w:val="0"/>
              <w:spacing w:line="440" w:lineRule="exact"/>
              <w:jc w:val="left"/>
              <w:rPr>
                <w:rFonts w:ascii="宋体" w:hAnsi="宋体" w:cs="仿宋_GB2312"/>
                <w:color w:val="auto"/>
                <w:sz w:val="24"/>
                <w:szCs w:val="24"/>
              </w:rPr>
            </w:pPr>
            <w:r>
              <w:rPr>
                <w:rFonts w:hint="eastAsia" w:ascii="宋体" w:hAnsi="宋体" w:cs="仿宋_GB2312"/>
                <w:color w:val="auto"/>
                <w:sz w:val="24"/>
                <w:szCs w:val="24"/>
              </w:rPr>
              <w:t>②、提供投标人工商行政登记所在地管理部门出具的小微企业证明文件；</w:t>
            </w:r>
          </w:p>
          <w:p>
            <w:pPr>
              <w:pStyle w:val="24"/>
              <w:snapToGrid w:val="0"/>
              <w:spacing w:line="440" w:lineRule="exact"/>
              <w:rPr>
                <w:rFonts w:cs="仿宋_GB2312"/>
                <w:color w:val="auto"/>
                <w:sz w:val="24"/>
                <w:szCs w:val="24"/>
              </w:rPr>
            </w:pPr>
            <w:r>
              <w:rPr>
                <w:rFonts w:hint="eastAsia" w:cs="仿宋_GB2312"/>
                <w:color w:val="auto"/>
                <w:sz w:val="24"/>
                <w:szCs w:val="24"/>
              </w:rPr>
              <w:t>③、提供所代理产品生产厂家的属地主管部门出具的小微企业证明文件；</w:t>
            </w:r>
          </w:p>
          <w:p>
            <w:pPr>
              <w:pStyle w:val="24"/>
              <w:snapToGrid w:val="0"/>
              <w:spacing w:line="440" w:lineRule="exact"/>
              <w:rPr>
                <w:color w:val="auto"/>
                <w:sz w:val="24"/>
                <w:szCs w:val="24"/>
              </w:rPr>
            </w:pPr>
            <w:r>
              <w:rPr>
                <w:rFonts w:hint="eastAsia"/>
                <w:color w:val="auto"/>
                <w:sz w:val="24"/>
                <w:szCs w:val="24"/>
              </w:rPr>
              <w:t>供应商应同时提供以上三个材料，否则将不给予价格扣除。若所供应产品为进口产品的，不适用《政府采购促进中小企业发展暂行办法》。残疾人福利性单位、监狱企业仅需提供声明函，不须要提供其他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szCs w:val="24"/>
              </w:rPr>
            </w:pPr>
            <w:r>
              <w:rPr>
                <w:rFonts w:hint="eastAsia" w:ascii="宋体" w:hAnsi="宋体"/>
                <w:color w:val="auto"/>
                <w:sz w:val="24"/>
                <w:szCs w:val="24"/>
              </w:rPr>
              <w:t>2</w:t>
            </w:r>
          </w:p>
        </w:tc>
        <w:tc>
          <w:tcPr>
            <w:tcW w:w="28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b/>
                <w:bCs/>
                <w:color w:val="auto"/>
                <w:sz w:val="24"/>
                <w:szCs w:val="24"/>
              </w:rPr>
            </w:pPr>
            <w:r>
              <w:rPr>
                <w:rFonts w:hint="eastAsia" w:hAnsi="宋体"/>
                <w:b/>
                <w:color w:val="auto"/>
                <w:sz w:val="24"/>
              </w:rPr>
              <w:t>节能、环境标志产品评审优惠内容及加分幅度</w:t>
            </w:r>
          </w:p>
        </w:tc>
        <w:tc>
          <w:tcPr>
            <w:tcW w:w="6079" w:type="dxa"/>
            <w:gridSpan w:val="2"/>
            <w:tcBorders>
              <w:top w:val="single" w:color="auto" w:sz="4" w:space="0"/>
              <w:left w:val="single" w:color="auto" w:sz="4" w:space="0"/>
              <w:bottom w:val="single" w:color="auto" w:sz="4" w:space="0"/>
              <w:right w:val="single" w:color="auto" w:sz="4" w:space="0"/>
            </w:tcBorders>
            <w:vAlign w:val="center"/>
          </w:tcPr>
          <w:p>
            <w:pPr>
              <w:pStyle w:val="24"/>
              <w:snapToGrid w:val="0"/>
              <w:spacing w:line="400" w:lineRule="exact"/>
              <w:rPr>
                <w:color w:val="auto"/>
                <w:sz w:val="24"/>
                <w:szCs w:val="24"/>
              </w:rPr>
            </w:pPr>
            <w:r>
              <w:rPr>
                <w:rFonts w:hint="eastAsia"/>
                <w:color w:val="auto"/>
                <w:sz w:val="24"/>
                <w:szCs w:val="24"/>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440" w:lineRule="exact"/>
              <w:jc w:val="left"/>
              <w:rPr>
                <w:rFonts w:ascii="宋体" w:hAnsi="宋体" w:cs="仿宋_GB2312"/>
                <w:color w:val="auto"/>
                <w:sz w:val="24"/>
                <w:szCs w:val="24"/>
              </w:rPr>
            </w:pPr>
            <w:r>
              <w:rPr>
                <w:rFonts w:hint="eastAsia"/>
                <w:color w:val="auto"/>
                <w:sz w:val="24"/>
                <w:szCs w:val="24"/>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9620" w:type="dxa"/>
            <w:gridSpan w:val="4"/>
            <w:tcBorders>
              <w:top w:val="single" w:color="auto" w:sz="4" w:space="0"/>
              <w:left w:val="single" w:color="auto" w:sz="4" w:space="0"/>
              <w:bottom w:val="single" w:color="auto" w:sz="4" w:space="0"/>
              <w:right w:val="single" w:color="auto" w:sz="4" w:space="0"/>
            </w:tcBorders>
            <w:vAlign w:val="center"/>
          </w:tcPr>
          <w:p>
            <w:pPr>
              <w:pStyle w:val="24"/>
              <w:spacing w:line="440" w:lineRule="exact"/>
              <w:jc w:val="center"/>
              <w:rPr>
                <w:color w:val="auto"/>
                <w:sz w:val="24"/>
                <w:szCs w:val="24"/>
              </w:rPr>
            </w:pPr>
            <w:r>
              <w:rPr>
                <w:rFonts w:hint="eastAsia"/>
                <w:color w:val="auto"/>
                <w:sz w:val="24"/>
                <w:szCs w:val="24"/>
              </w:rPr>
              <w:t>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4680" w:type="dxa"/>
            <w:gridSpan w:val="3"/>
            <w:tcBorders>
              <w:top w:val="single" w:color="auto" w:sz="4" w:space="0"/>
              <w:left w:val="single" w:color="auto" w:sz="4" w:space="0"/>
              <w:bottom w:val="single" w:color="auto" w:sz="4" w:space="0"/>
              <w:right w:val="single" w:color="auto" w:sz="4" w:space="0"/>
            </w:tcBorders>
            <w:vAlign w:val="center"/>
          </w:tcPr>
          <w:p>
            <w:pPr>
              <w:pStyle w:val="24"/>
              <w:spacing w:line="440" w:lineRule="exact"/>
              <w:jc w:val="center"/>
              <w:rPr>
                <w:color w:val="auto"/>
                <w:sz w:val="24"/>
                <w:szCs w:val="24"/>
              </w:rPr>
            </w:pPr>
            <w:r>
              <w:rPr>
                <w:rFonts w:hint="eastAsia"/>
                <w:color w:val="auto"/>
                <w:sz w:val="24"/>
                <w:szCs w:val="24"/>
              </w:rPr>
              <w:t>价格项</w:t>
            </w:r>
          </w:p>
        </w:tc>
        <w:tc>
          <w:tcPr>
            <w:tcW w:w="4940" w:type="dxa"/>
            <w:tcBorders>
              <w:top w:val="single" w:color="auto" w:sz="4" w:space="0"/>
              <w:left w:val="single" w:color="auto" w:sz="4" w:space="0"/>
              <w:bottom w:val="single" w:color="auto" w:sz="4" w:space="0"/>
              <w:right w:val="single" w:color="auto" w:sz="4" w:space="0"/>
            </w:tcBorders>
            <w:vAlign w:val="center"/>
          </w:tcPr>
          <w:p>
            <w:pPr>
              <w:pStyle w:val="24"/>
              <w:spacing w:line="440" w:lineRule="exact"/>
              <w:jc w:val="center"/>
              <w:rPr>
                <w:color w:val="auto"/>
                <w:sz w:val="24"/>
                <w:szCs w:val="24"/>
              </w:rPr>
            </w:pPr>
            <w:r>
              <w:rPr>
                <w:rFonts w:hint="eastAsia"/>
                <w:color w:val="auto"/>
                <w:sz w:val="24"/>
                <w:szCs w:val="24"/>
              </w:rPr>
              <w:t>技术项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80" w:type="dxa"/>
            <w:gridSpan w:val="3"/>
            <w:tcBorders>
              <w:top w:val="single" w:color="auto" w:sz="4" w:space="0"/>
              <w:left w:val="single" w:color="auto" w:sz="4" w:space="0"/>
              <w:bottom w:val="single" w:color="auto" w:sz="4" w:space="0"/>
              <w:right w:val="single" w:color="auto" w:sz="4" w:space="0"/>
            </w:tcBorders>
            <w:vAlign w:val="center"/>
          </w:tcPr>
          <w:p>
            <w:pPr>
              <w:pStyle w:val="24"/>
              <w:spacing w:line="440" w:lineRule="exact"/>
              <w:jc w:val="center"/>
              <w:rPr>
                <w:color w:val="auto"/>
                <w:sz w:val="24"/>
                <w:szCs w:val="24"/>
              </w:rPr>
            </w:pPr>
            <w:r>
              <w:rPr>
                <w:rFonts w:hint="eastAsia"/>
                <w:color w:val="auto"/>
                <w:sz w:val="24"/>
                <w:szCs w:val="24"/>
              </w:rPr>
              <w:t>1、（节能清单部分产品的价格/投标报价）×3%×价格项满分值</w:t>
            </w:r>
          </w:p>
        </w:tc>
        <w:tc>
          <w:tcPr>
            <w:tcW w:w="4940" w:type="dxa"/>
            <w:tcBorders>
              <w:top w:val="single" w:color="auto" w:sz="4" w:space="0"/>
              <w:left w:val="single" w:color="auto" w:sz="4" w:space="0"/>
              <w:bottom w:val="single" w:color="auto" w:sz="4" w:space="0"/>
              <w:right w:val="single" w:color="auto" w:sz="4" w:space="0"/>
            </w:tcBorders>
            <w:vAlign w:val="center"/>
          </w:tcPr>
          <w:p>
            <w:pPr>
              <w:pStyle w:val="24"/>
              <w:spacing w:line="440" w:lineRule="exact"/>
              <w:jc w:val="center"/>
              <w:rPr>
                <w:color w:val="auto"/>
                <w:sz w:val="24"/>
                <w:szCs w:val="24"/>
              </w:rPr>
            </w:pPr>
            <w:r>
              <w:rPr>
                <w:rFonts w:hint="eastAsia"/>
                <w:color w:val="auto"/>
                <w:sz w:val="24"/>
                <w:szCs w:val="24"/>
              </w:rPr>
              <w:t>1、（节能清单部分产品的价格/投标报价）×3%×价格项满分值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80" w:type="dxa"/>
            <w:gridSpan w:val="3"/>
            <w:tcBorders>
              <w:top w:val="single" w:color="auto" w:sz="4" w:space="0"/>
              <w:left w:val="single" w:color="auto" w:sz="4" w:space="0"/>
              <w:bottom w:val="single" w:color="auto" w:sz="4" w:space="0"/>
              <w:right w:val="single" w:color="auto" w:sz="4" w:space="0"/>
            </w:tcBorders>
            <w:vAlign w:val="center"/>
          </w:tcPr>
          <w:p>
            <w:pPr>
              <w:pStyle w:val="24"/>
              <w:spacing w:line="440" w:lineRule="exact"/>
              <w:jc w:val="center"/>
              <w:rPr>
                <w:color w:val="auto"/>
                <w:sz w:val="24"/>
                <w:szCs w:val="24"/>
              </w:rPr>
            </w:pPr>
            <w:r>
              <w:rPr>
                <w:rFonts w:hint="eastAsia"/>
                <w:color w:val="auto"/>
                <w:sz w:val="24"/>
                <w:szCs w:val="24"/>
              </w:rPr>
              <w:t>2、（环境清单部分产品的价格/投标报价）×3%×价格项满分值</w:t>
            </w:r>
          </w:p>
        </w:tc>
        <w:tc>
          <w:tcPr>
            <w:tcW w:w="4940" w:type="dxa"/>
            <w:tcBorders>
              <w:top w:val="single" w:color="auto" w:sz="4" w:space="0"/>
              <w:left w:val="single" w:color="auto" w:sz="4" w:space="0"/>
              <w:bottom w:val="single" w:color="auto" w:sz="4" w:space="0"/>
              <w:right w:val="single" w:color="auto" w:sz="4" w:space="0"/>
            </w:tcBorders>
            <w:vAlign w:val="center"/>
          </w:tcPr>
          <w:p>
            <w:pPr>
              <w:pStyle w:val="24"/>
              <w:spacing w:line="440" w:lineRule="exact"/>
              <w:jc w:val="center"/>
              <w:rPr>
                <w:color w:val="auto"/>
                <w:sz w:val="24"/>
                <w:szCs w:val="24"/>
              </w:rPr>
            </w:pPr>
            <w:r>
              <w:rPr>
                <w:rFonts w:hint="eastAsia"/>
                <w:color w:val="auto"/>
                <w:sz w:val="24"/>
                <w:szCs w:val="24"/>
              </w:rPr>
              <w:t>2、（环境清单部分产品的价格/投标报价）×3%×价格项满分值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9620" w:type="dxa"/>
            <w:gridSpan w:val="4"/>
            <w:tcBorders>
              <w:top w:val="single" w:color="auto" w:sz="4" w:space="0"/>
              <w:left w:val="single" w:color="auto" w:sz="4" w:space="0"/>
              <w:bottom w:val="single" w:color="auto" w:sz="4" w:space="0"/>
              <w:right w:val="single" w:color="auto" w:sz="4" w:space="0"/>
            </w:tcBorders>
            <w:vAlign w:val="center"/>
          </w:tcPr>
          <w:p>
            <w:pPr>
              <w:pStyle w:val="24"/>
              <w:spacing w:line="440" w:lineRule="exact"/>
              <w:jc w:val="center"/>
              <w:rPr>
                <w:color w:val="auto"/>
                <w:sz w:val="24"/>
                <w:szCs w:val="24"/>
              </w:rPr>
            </w:pPr>
            <w:r>
              <w:rPr>
                <w:rFonts w:hint="eastAsia"/>
                <w:color w:val="auto"/>
                <w:sz w:val="24"/>
                <w:szCs w:val="24"/>
              </w:rPr>
              <w:t>注：1、提供最新《节能产品政府采购清单》关于投标产品当前页的打印件；</w:t>
            </w:r>
          </w:p>
          <w:p>
            <w:pPr>
              <w:pStyle w:val="24"/>
              <w:spacing w:line="440" w:lineRule="exact"/>
              <w:jc w:val="center"/>
              <w:rPr>
                <w:color w:val="auto"/>
                <w:sz w:val="24"/>
                <w:szCs w:val="24"/>
              </w:rPr>
            </w:pPr>
            <w:r>
              <w:rPr>
                <w:rFonts w:hint="eastAsia"/>
                <w:color w:val="auto"/>
                <w:sz w:val="24"/>
                <w:szCs w:val="24"/>
              </w:rPr>
              <w:t>2、提供最新《环境标志产品政府采购清单》关于投标产品当前页的打印件。</w:t>
            </w:r>
          </w:p>
        </w:tc>
      </w:tr>
    </w:tbl>
    <w:p>
      <w:pPr>
        <w:pStyle w:val="24"/>
        <w:snapToGrid w:val="0"/>
        <w:spacing w:line="440" w:lineRule="exact"/>
        <w:rPr>
          <w:rFonts w:hint="eastAsia"/>
          <w:color w:val="auto"/>
          <w:sz w:val="24"/>
          <w:szCs w:val="24"/>
        </w:rPr>
      </w:pPr>
      <w:bookmarkStart w:id="20" w:name="_GoBack"/>
      <w:bookmarkEnd w:id="20"/>
      <w:r>
        <w:rPr>
          <w:rFonts w:hint="eastAsia"/>
          <w:color w:val="auto"/>
          <w:sz w:val="24"/>
          <w:szCs w:val="24"/>
        </w:rPr>
        <w:t>商务、技术部分评分表</w:t>
      </w:r>
    </w:p>
    <w:tbl>
      <w:tblPr>
        <w:tblStyle w:val="42"/>
        <w:tblW w:w="96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2"/>
        <w:gridCol w:w="465"/>
        <w:gridCol w:w="1124"/>
        <w:gridCol w:w="814"/>
        <w:gridCol w:w="64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7" w:hRule="atLeast"/>
          <w:jc w:val="center"/>
        </w:trPr>
        <w:tc>
          <w:tcPr>
            <w:tcW w:w="82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4"/>
                <w:szCs w:val="24"/>
              </w:rPr>
            </w:pPr>
            <w:r>
              <w:rPr>
                <w:rFonts w:hint="eastAsia" w:ascii="宋体" w:hAnsi="宋体" w:cs="仿宋_GB2312"/>
                <w:bCs/>
                <w:color w:val="auto"/>
                <w:sz w:val="24"/>
                <w:szCs w:val="24"/>
              </w:rPr>
              <w:t>商务技术部分（70分）</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4"/>
                <w:szCs w:val="24"/>
              </w:rPr>
            </w:pPr>
            <w:r>
              <w:rPr>
                <w:rFonts w:hint="eastAsia" w:ascii="宋体" w:hAnsi="宋体" w:cs="仿宋_GB2312"/>
                <w:bCs/>
                <w:color w:val="auto"/>
                <w:sz w:val="24"/>
                <w:szCs w:val="24"/>
              </w:rPr>
              <w:t>1</w:t>
            </w: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4"/>
                <w:szCs w:val="24"/>
              </w:rPr>
            </w:pPr>
            <w:r>
              <w:rPr>
                <w:rFonts w:hint="eastAsia" w:ascii="宋体" w:hAnsi="宋体" w:cs="仿宋_GB2312"/>
                <w:bCs/>
                <w:color w:val="auto"/>
                <w:sz w:val="24"/>
                <w:szCs w:val="24"/>
              </w:rPr>
              <w:t>标书制作</w:t>
            </w:r>
          </w:p>
        </w:tc>
        <w:tc>
          <w:tcPr>
            <w:tcW w:w="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4"/>
                <w:szCs w:val="24"/>
              </w:rPr>
            </w:pPr>
            <w:r>
              <w:rPr>
                <w:rFonts w:hint="eastAsia" w:ascii="宋体" w:hAnsi="宋体" w:cs="仿宋_GB2312"/>
                <w:bCs/>
                <w:color w:val="auto"/>
                <w:sz w:val="24"/>
                <w:szCs w:val="24"/>
              </w:rPr>
              <w:t>0-2</w:t>
            </w:r>
          </w:p>
        </w:tc>
        <w:tc>
          <w:tcPr>
            <w:tcW w:w="64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color w:val="auto"/>
                <w:sz w:val="24"/>
                <w:szCs w:val="24"/>
              </w:rPr>
            </w:pPr>
            <w:r>
              <w:rPr>
                <w:rFonts w:hint="eastAsia" w:ascii="宋体" w:hAnsi="宋体" w:cs="仿宋_GB2312"/>
                <w:bCs/>
                <w:color w:val="auto"/>
                <w:sz w:val="24"/>
                <w:szCs w:val="24"/>
              </w:rPr>
              <w:t>装订牢固，目录清楚，逐页编码，页码准确。完全响应招标文件要求提供相关资料，表格等。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10" w:hRule="atLeast"/>
          <w:jc w:val="center"/>
        </w:trPr>
        <w:tc>
          <w:tcPr>
            <w:tcW w:w="82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4"/>
                <w:szCs w:val="24"/>
              </w:rPr>
            </w:pP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4"/>
                <w:szCs w:val="24"/>
              </w:rPr>
            </w:pPr>
            <w:r>
              <w:rPr>
                <w:rFonts w:hint="eastAsia" w:ascii="宋体" w:hAnsi="宋体" w:cs="仿宋_GB2312"/>
                <w:bCs/>
                <w:color w:val="auto"/>
                <w:sz w:val="24"/>
                <w:szCs w:val="24"/>
              </w:rPr>
              <w:t>2</w:t>
            </w: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4"/>
                <w:szCs w:val="24"/>
              </w:rPr>
            </w:pPr>
            <w:r>
              <w:rPr>
                <w:rFonts w:hint="eastAsia" w:ascii="宋体" w:hAnsi="宋体" w:cs="仿宋_GB2312"/>
                <w:bCs/>
                <w:color w:val="auto"/>
                <w:sz w:val="24"/>
                <w:szCs w:val="24"/>
              </w:rPr>
              <w:t>业绩</w:t>
            </w:r>
          </w:p>
        </w:tc>
        <w:tc>
          <w:tcPr>
            <w:tcW w:w="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4"/>
                <w:szCs w:val="24"/>
              </w:rPr>
            </w:pPr>
            <w:r>
              <w:rPr>
                <w:rFonts w:hint="eastAsia" w:ascii="宋体" w:hAnsi="宋体" w:cs="仿宋_GB2312"/>
                <w:bCs/>
                <w:color w:val="auto"/>
                <w:sz w:val="24"/>
                <w:szCs w:val="24"/>
              </w:rPr>
              <w:t>0-3</w:t>
            </w:r>
          </w:p>
        </w:tc>
        <w:tc>
          <w:tcPr>
            <w:tcW w:w="64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color w:val="auto"/>
                <w:sz w:val="24"/>
                <w:szCs w:val="24"/>
              </w:rPr>
            </w:pPr>
            <w:r>
              <w:rPr>
                <w:rFonts w:hint="eastAsia" w:ascii="宋体" w:hAnsi="宋体" w:cs="仿宋_GB2312"/>
                <w:bCs/>
                <w:color w:val="auto"/>
                <w:sz w:val="24"/>
                <w:szCs w:val="24"/>
              </w:rPr>
              <w:t>投标供应商提供近二年（2019年</w:t>
            </w:r>
            <w:r>
              <w:rPr>
                <w:rFonts w:hint="eastAsia" w:ascii="宋体" w:hAnsi="宋体" w:cs="仿宋_GB2312"/>
                <w:bCs/>
                <w:color w:val="auto"/>
                <w:sz w:val="24"/>
                <w:szCs w:val="24"/>
                <w:lang w:val="en-US" w:eastAsia="zh-CN"/>
              </w:rPr>
              <w:t>12</w:t>
            </w:r>
            <w:r>
              <w:rPr>
                <w:rFonts w:hint="eastAsia" w:ascii="宋体" w:hAnsi="宋体" w:cs="仿宋_GB2312"/>
                <w:bCs/>
                <w:color w:val="auto"/>
                <w:sz w:val="24"/>
                <w:szCs w:val="24"/>
              </w:rPr>
              <w:t>月01日至今）类似业绩（须提供合同或中标通知书或成交通知书复印件）。提供一个得1分，满分3分。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15" w:hRule="atLeast"/>
          <w:jc w:val="center"/>
        </w:trPr>
        <w:tc>
          <w:tcPr>
            <w:tcW w:w="82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4"/>
                <w:szCs w:val="24"/>
              </w:rPr>
            </w:pPr>
            <w:bookmarkStart w:id="10" w:name="OLE_LINK2"/>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4"/>
                <w:szCs w:val="24"/>
              </w:rPr>
            </w:pPr>
            <w:r>
              <w:rPr>
                <w:rFonts w:hint="eastAsia" w:ascii="宋体" w:hAnsi="宋体" w:cs="仿宋_GB2312"/>
                <w:bCs/>
                <w:color w:val="auto"/>
                <w:sz w:val="24"/>
                <w:szCs w:val="24"/>
              </w:rPr>
              <w:t>3</w:t>
            </w: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4"/>
                <w:szCs w:val="24"/>
              </w:rPr>
            </w:pPr>
            <w:r>
              <w:rPr>
                <w:rFonts w:hint="eastAsia" w:ascii="宋体" w:hAnsi="宋体" w:cs="仿宋_GB2312"/>
                <w:bCs/>
                <w:color w:val="auto"/>
                <w:sz w:val="24"/>
                <w:szCs w:val="24"/>
              </w:rPr>
              <w:t>技术参数</w:t>
            </w:r>
          </w:p>
        </w:tc>
        <w:tc>
          <w:tcPr>
            <w:tcW w:w="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4"/>
                <w:szCs w:val="24"/>
              </w:rPr>
            </w:pPr>
            <w:r>
              <w:rPr>
                <w:rFonts w:hint="eastAsia" w:ascii="宋体" w:hAnsi="宋体" w:cs="仿宋_GB2312"/>
                <w:bCs/>
                <w:color w:val="auto"/>
                <w:sz w:val="24"/>
                <w:szCs w:val="24"/>
              </w:rPr>
              <w:t>0-30</w:t>
            </w:r>
          </w:p>
        </w:tc>
        <w:tc>
          <w:tcPr>
            <w:tcW w:w="64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color w:val="auto"/>
                <w:sz w:val="24"/>
                <w:szCs w:val="24"/>
              </w:rPr>
            </w:pPr>
            <w:r>
              <w:rPr>
                <w:rFonts w:hint="eastAsia" w:ascii="宋体" w:hAnsi="宋体" w:cs="仿宋_GB2312"/>
                <w:bCs/>
                <w:color w:val="auto"/>
                <w:sz w:val="24"/>
                <w:szCs w:val="24"/>
              </w:rPr>
              <w:t>“★”号条款不满足每条扣</w:t>
            </w:r>
            <w:r>
              <w:rPr>
                <w:rFonts w:hint="eastAsia" w:ascii="宋体" w:hAnsi="宋体" w:cs="仿宋_GB2312"/>
                <w:bCs/>
                <w:color w:val="auto"/>
                <w:sz w:val="24"/>
                <w:szCs w:val="24"/>
                <w:lang w:val="en-US" w:eastAsia="zh-CN"/>
              </w:rPr>
              <w:t>5</w:t>
            </w:r>
            <w:r>
              <w:rPr>
                <w:rFonts w:hint="eastAsia" w:ascii="宋体" w:hAnsi="宋体" w:cs="仿宋_GB2312"/>
                <w:bCs/>
                <w:color w:val="auto"/>
                <w:sz w:val="24"/>
                <w:szCs w:val="24"/>
              </w:rPr>
              <w:t>分，直至0分；</w:t>
            </w:r>
          </w:p>
          <w:p>
            <w:pPr>
              <w:adjustRightInd w:val="0"/>
              <w:snapToGrid w:val="0"/>
              <w:spacing w:line="420" w:lineRule="exact"/>
              <w:jc w:val="left"/>
              <w:rPr>
                <w:rFonts w:ascii="宋体" w:hAnsi="宋体" w:cs="仿宋_GB2312"/>
                <w:bCs/>
                <w:color w:val="auto"/>
                <w:sz w:val="24"/>
                <w:szCs w:val="24"/>
              </w:rPr>
            </w:pPr>
            <w:r>
              <w:rPr>
                <w:rFonts w:hint="eastAsia" w:ascii="宋体" w:hAnsi="宋体" w:cs="仿宋_GB2312"/>
                <w:bCs/>
                <w:color w:val="auto"/>
                <w:sz w:val="24"/>
                <w:szCs w:val="24"/>
              </w:rPr>
              <w:t>一般条款不满足每条扣</w:t>
            </w:r>
            <w:r>
              <w:rPr>
                <w:rFonts w:hint="eastAsia" w:ascii="宋体" w:hAnsi="宋体" w:cs="仿宋_GB2312"/>
                <w:bCs/>
                <w:color w:val="auto"/>
                <w:sz w:val="24"/>
                <w:szCs w:val="24"/>
                <w:lang w:val="en-US" w:eastAsia="zh-CN"/>
              </w:rPr>
              <w:t>3</w:t>
            </w:r>
            <w:r>
              <w:rPr>
                <w:rFonts w:hint="eastAsia" w:ascii="宋体" w:hAnsi="宋体" w:cs="仿宋_GB2312"/>
                <w:bCs/>
                <w:color w:val="auto"/>
                <w:sz w:val="24"/>
                <w:szCs w:val="24"/>
              </w:rPr>
              <w:t>分，直至0分；</w:t>
            </w:r>
          </w:p>
          <w:p>
            <w:pPr>
              <w:adjustRightInd w:val="0"/>
              <w:snapToGrid w:val="0"/>
              <w:spacing w:line="420" w:lineRule="exact"/>
              <w:jc w:val="left"/>
              <w:rPr>
                <w:rFonts w:ascii="宋体" w:hAnsi="宋体" w:cs="仿宋_GB2312"/>
                <w:bCs/>
                <w:color w:val="auto"/>
                <w:sz w:val="24"/>
                <w:szCs w:val="24"/>
              </w:rPr>
            </w:pPr>
            <w:r>
              <w:rPr>
                <w:rFonts w:hint="eastAsia" w:ascii="宋体" w:hAnsi="宋体" w:cs="仿宋_GB2312"/>
                <w:bCs/>
                <w:color w:val="auto"/>
                <w:sz w:val="24"/>
                <w:szCs w:val="24"/>
              </w:rPr>
              <w:t>漏报技术条款视为该条不满足。</w:t>
            </w:r>
          </w:p>
          <w:p>
            <w:pPr>
              <w:adjustRightInd w:val="0"/>
              <w:snapToGrid w:val="0"/>
              <w:spacing w:line="420" w:lineRule="exact"/>
              <w:jc w:val="left"/>
              <w:rPr>
                <w:color w:val="auto"/>
              </w:rPr>
            </w:pPr>
            <w:r>
              <w:rPr>
                <w:rFonts w:hint="eastAsia" w:ascii="宋体" w:hAnsi="宋体" w:cs="仿宋_GB2312"/>
                <w:bCs/>
                <w:color w:val="auto"/>
                <w:sz w:val="24"/>
                <w:szCs w:val="24"/>
              </w:rPr>
              <w:t>（“★”为重要条款，未加“★”为一般条款）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21" w:hRule="atLeast"/>
          <w:jc w:val="center"/>
        </w:trPr>
        <w:tc>
          <w:tcPr>
            <w:tcW w:w="82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4"/>
                <w:szCs w:val="24"/>
              </w:rPr>
            </w:pP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4"/>
                <w:szCs w:val="24"/>
              </w:rPr>
            </w:pPr>
            <w:r>
              <w:rPr>
                <w:rFonts w:hint="eastAsia" w:ascii="宋体" w:hAnsi="宋体" w:cs="仿宋_GB2312"/>
                <w:bCs/>
                <w:color w:val="auto"/>
                <w:sz w:val="24"/>
                <w:szCs w:val="24"/>
              </w:rPr>
              <w:t>4</w:t>
            </w: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4"/>
                <w:szCs w:val="24"/>
              </w:rPr>
            </w:pPr>
            <w:r>
              <w:rPr>
                <w:rFonts w:hint="eastAsia" w:ascii="宋体" w:hAnsi="宋体" w:cs="仿宋_GB2312"/>
                <w:bCs/>
                <w:color w:val="auto"/>
                <w:sz w:val="24"/>
                <w:szCs w:val="24"/>
              </w:rPr>
              <w:t>产品质量性能、配置</w:t>
            </w:r>
          </w:p>
        </w:tc>
        <w:tc>
          <w:tcPr>
            <w:tcW w:w="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4"/>
                <w:szCs w:val="24"/>
              </w:rPr>
            </w:pPr>
            <w:r>
              <w:rPr>
                <w:rFonts w:hint="eastAsia" w:ascii="宋体" w:hAnsi="宋体" w:cs="仿宋_GB2312"/>
                <w:bCs/>
                <w:color w:val="auto"/>
                <w:sz w:val="24"/>
                <w:szCs w:val="24"/>
              </w:rPr>
              <w:t>0-10</w:t>
            </w:r>
          </w:p>
        </w:tc>
        <w:tc>
          <w:tcPr>
            <w:tcW w:w="64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color w:val="auto"/>
                <w:sz w:val="24"/>
                <w:szCs w:val="24"/>
              </w:rPr>
            </w:pPr>
            <w:r>
              <w:rPr>
                <w:rFonts w:hint="eastAsia" w:ascii="宋体" w:hAnsi="宋体" w:cs="仿宋_GB2312"/>
                <w:bCs/>
                <w:color w:val="auto"/>
                <w:sz w:val="24"/>
                <w:szCs w:val="24"/>
              </w:rPr>
              <w:t>设备的功能性、整体配套性、经济性、先进性、稳定性是否最佳化。设备的选材是否优质、合理，质量是否可靠。充分体现技术功能性能：优得：8-10分；良得：5-7分；一般：1-4分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62" w:hRule="atLeast"/>
          <w:jc w:val="center"/>
        </w:trPr>
        <w:tc>
          <w:tcPr>
            <w:tcW w:w="82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4"/>
                <w:szCs w:val="24"/>
              </w:rPr>
            </w:pP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4"/>
                <w:szCs w:val="24"/>
              </w:rPr>
            </w:pPr>
            <w:r>
              <w:rPr>
                <w:rFonts w:hint="eastAsia" w:ascii="宋体" w:hAnsi="宋体" w:cs="仿宋_GB2312"/>
                <w:bCs/>
                <w:color w:val="auto"/>
                <w:sz w:val="24"/>
                <w:szCs w:val="24"/>
              </w:rPr>
              <w:t>5</w:t>
            </w: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4"/>
                <w:szCs w:val="24"/>
              </w:rPr>
            </w:pPr>
            <w:r>
              <w:rPr>
                <w:rFonts w:hint="eastAsia" w:ascii="宋体" w:hAnsi="宋体" w:cs="仿宋_GB2312"/>
                <w:bCs/>
                <w:color w:val="auto"/>
                <w:sz w:val="24"/>
                <w:szCs w:val="24"/>
              </w:rPr>
              <w:t xml:space="preserve">保证措施 </w:t>
            </w:r>
          </w:p>
        </w:tc>
        <w:tc>
          <w:tcPr>
            <w:tcW w:w="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4"/>
                <w:szCs w:val="24"/>
              </w:rPr>
            </w:pPr>
            <w:r>
              <w:rPr>
                <w:rFonts w:hint="eastAsia" w:ascii="宋体" w:hAnsi="宋体" w:cs="仿宋_GB2312"/>
                <w:bCs/>
                <w:color w:val="auto"/>
                <w:sz w:val="24"/>
                <w:szCs w:val="24"/>
              </w:rPr>
              <w:t>0-10</w:t>
            </w:r>
          </w:p>
        </w:tc>
        <w:tc>
          <w:tcPr>
            <w:tcW w:w="6464" w:type="dxa"/>
            <w:tcBorders>
              <w:top w:val="single" w:color="auto" w:sz="4" w:space="0"/>
              <w:left w:val="single" w:color="auto" w:sz="4" w:space="0"/>
              <w:bottom w:val="single" w:color="auto" w:sz="4" w:space="0"/>
              <w:right w:val="single" w:color="auto" w:sz="4" w:space="0"/>
            </w:tcBorders>
            <w:vAlign w:val="center"/>
          </w:tcPr>
          <w:p>
            <w:pPr>
              <w:spacing w:line="500" w:lineRule="exact"/>
              <w:ind w:firstLine="240" w:firstLineChars="100"/>
              <w:rPr>
                <w:rFonts w:ascii="宋体" w:hAnsi="宋体"/>
                <w:color w:val="auto"/>
                <w:kern w:val="0"/>
                <w:sz w:val="24"/>
                <w:szCs w:val="24"/>
              </w:rPr>
            </w:pPr>
            <w:r>
              <w:rPr>
                <w:rFonts w:hint="eastAsia" w:ascii="宋体" w:hAnsi="宋体"/>
                <w:color w:val="auto"/>
                <w:kern w:val="0"/>
                <w:sz w:val="24"/>
                <w:szCs w:val="24"/>
              </w:rPr>
              <w:t>结合项目实施的实际情况，考察本项目难点重点分析和相应措施、质量保证措施是否有针对性。对本项目的复杂性针对性好，措施具体、成熟。要求能列出项目关键点和难点的预见及处理办法等。</w:t>
            </w:r>
          </w:p>
          <w:p>
            <w:pPr>
              <w:spacing w:line="500" w:lineRule="exact"/>
              <w:ind w:firstLine="240" w:firstLineChars="100"/>
              <w:rPr>
                <w:rFonts w:ascii="宋体" w:hAnsi="宋体"/>
                <w:color w:val="auto"/>
                <w:kern w:val="0"/>
                <w:sz w:val="24"/>
                <w:szCs w:val="24"/>
              </w:rPr>
            </w:pPr>
            <w:r>
              <w:rPr>
                <w:rFonts w:hint="eastAsia" w:ascii="宋体" w:hAnsi="宋体"/>
                <w:color w:val="auto"/>
                <w:kern w:val="0"/>
                <w:sz w:val="24"/>
                <w:szCs w:val="24"/>
              </w:rPr>
              <w:t>1）重点、难点突出，针对性强、有具体详细可行的解决方案或措施得8-10分；</w:t>
            </w:r>
          </w:p>
          <w:p>
            <w:pPr>
              <w:spacing w:line="500" w:lineRule="exact"/>
              <w:ind w:firstLine="240" w:firstLineChars="100"/>
              <w:rPr>
                <w:rFonts w:ascii="宋体" w:hAnsi="宋体"/>
                <w:color w:val="auto"/>
                <w:kern w:val="0"/>
                <w:sz w:val="24"/>
                <w:szCs w:val="24"/>
              </w:rPr>
            </w:pPr>
            <w:r>
              <w:rPr>
                <w:rFonts w:hint="eastAsia" w:ascii="宋体" w:hAnsi="宋体"/>
                <w:color w:val="auto"/>
                <w:kern w:val="0"/>
                <w:sz w:val="24"/>
                <w:szCs w:val="24"/>
              </w:rPr>
              <w:t>2）重点、难点突出，针对性一般，解决方案或措施较具体详细、可行得选择和对难点的解决方案上措施一般得5-7分；</w:t>
            </w:r>
          </w:p>
          <w:p>
            <w:pPr>
              <w:spacing w:line="500" w:lineRule="exact"/>
              <w:ind w:firstLine="240" w:firstLineChars="100"/>
              <w:rPr>
                <w:rFonts w:ascii="宋体" w:hAnsi="宋体"/>
                <w:color w:val="auto"/>
                <w:kern w:val="0"/>
                <w:sz w:val="24"/>
                <w:szCs w:val="24"/>
              </w:rPr>
            </w:pPr>
            <w:r>
              <w:rPr>
                <w:rFonts w:hint="eastAsia" w:ascii="宋体" w:hAnsi="宋体"/>
                <w:color w:val="auto"/>
                <w:kern w:val="0"/>
                <w:sz w:val="24"/>
                <w:szCs w:val="24"/>
              </w:rPr>
              <w:t>3）重点、难点不突出，针对性不强，无解决方案或措施较或者方案或措施不具体得1-4分。</w:t>
            </w:r>
          </w:p>
          <w:p>
            <w:pPr>
              <w:adjustRightInd w:val="0"/>
              <w:snapToGrid w:val="0"/>
              <w:spacing w:line="420" w:lineRule="exact"/>
              <w:jc w:val="left"/>
              <w:rPr>
                <w:rFonts w:ascii="宋体" w:hAnsi="宋体" w:cs="仿宋_GB2312"/>
                <w:bCs/>
                <w:color w:val="auto"/>
                <w:sz w:val="24"/>
                <w:szCs w:val="24"/>
              </w:rPr>
            </w:pPr>
            <w:r>
              <w:rPr>
                <w:rFonts w:hint="eastAsia" w:ascii="宋体" w:hAnsi="宋体"/>
                <w:color w:val="auto"/>
                <w:kern w:val="0"/>
                <w:sz w:val="24"/>
                <w:szCs w:val="24"/>
              </w:rPr>
              <w:t>4）无重点、难点、无解决方案或措施较或者方案或措施不具体不得分。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10" w:hRule="atLeast"/>
          <w:jc w:val="center"/>
        </w:trPr>
        <w:tc>
          <w:tcPr>
            <w:tcW w:w="82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4"/>
                <w:szCs w:val="24"/>
              </w:rPr>
            </w:pP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4"/>
                <w:szCs w:val="24"/>
              </w:rPr>
            </w:pPr>
            <w:r>
              <w:rPr>
                <w:rFonts w:hint="eastAsia" w:ascii="宋体" w:hAnsi="宋体" w:cs="仿宋_GB2312"/>
                <w:bCs/>
                <w:color w:val="auto"/>
                <w:sz w:val="24"/>
                <w:szCs w:val="24"/>
              </w:rPr>
              <w:t>6</w:t>
            </w:r>
          </w:p>
        </w:tc>
        <w:tc>
          <w:tcPr>
            <w:tcW w:w="1124" w:type="dxa"/>
            <w:tcBorders>
              <w:top w:val="single" w:color="auto" w:sz="4" w:space="0"/>
              <w:left w:val="single" w:color="auto" w:sz="4" w:space="0"/>
              <w:bottom w:val="single" w:color="auto" w:sz="4" w:space="0"/>
              <w:right w:val="single" w:color="auto" w:sz="4" w:space="0"/>
            </w:tcBorders>
            <w:vAlign w:val="center"/>
          </w:tcPr>
          <w:p>
            <w:pPr>
              <w:pStyle w:val="24"/>
              <w:snapToGrid w:val="0"/>
              <w:spacing w:line="420" w:lineRule="exact"/>
              <w:jc w:val="center"/>
              <w:rPr>
                <w:rFonts w:cs="仿宋_GB2312"/>
                <w:bCs/>
                <w:color w:val="auto"/>
                <w:sz w:val="24"/>
                <w:szCs w:val="24"/>
              </w:rPr>
            </w:pPr>
            <w:r>
              <w:rPr>
                <w:rFonts w:hint="eastAsia" w:cs="仿宋_GB2312"/>
                <w:bCs/>
                <w:color w:val="auto"/>
                <w:sz w:val="24"/>
                <w:szCs w:val="24"/>
              </w:rPr>
              <w:t>人员培训</w:t>
            </w:r>
          </w:p>
        </w:tc>
        <w:tc>
          <w:tcPr>
            <w:tcW w:w="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4"/>
                <w:szCs w:val="24"/>
              </w:rPr>
            </w:pPr>
            <w:r>
              <w:rPr>
                <w:rFonts w:hint="eastAsia" w:ascii="宋体" w:hAnsi="宋体" w:cs="仿宋_GB2312"/>
                <w:bCs/>
                <w:color w:val="auto"/>
                <w:sz w:val="24"/>
                <w:szCs w:val="24"/>
              </w:rPr>
              <w:t>0-5</w:t>
            </w:r>
          </w:p>
        </w:tc>
        <w:tc>
          <w:tcPr>
            <w:tcW w:w="6464" w:type="dxa"/>
            <w:tcBorders>
              <w:top w:val="single" w:color="auto" w:sz="4" w:space="0"/>
              <w:left w:val="single" w:color="auto" w:sz="4" w:space="0"/>
              <w:bottom w:val="single" w:color="auto" w:sz="4" w:space="0"/>
              <w:right w:val="single" w:color="auto" w:sz="4" w:space="0"/>
            </w:tcBorders>
            <w:vAlign w:val="center"/>
          </w:tcPr>
          <w:p>
            <w:pPr>
              <w:pStyle w:val="24"/>
              <w:snapToGrid w:val="0"/>
              <w:spacing w:line="420" w:lineRule="exact"/>
              <w:jc w:val="left"/>
              <w:rPr>
                <w:rFonts w:cs="仿宋_GB2312"/>
                <w:bCs/>
                <w:color w:val="auto"/>
                <w:sz w:val="24"/>
                <w:szCs w:val="24"/>
              </w:rPr>
            </w:pPr>
            <w:r>
              <w:rPr>
                <w:rFonts w:hint="eastAsia" w:cs="仿宋_GB2312"/>
                <w:bCs/>
                <w:color w:val="auto"/>
                <w:sz w:val="24"/>
                <w:szCs w:val="24"/>
              </w:rPr>
              <w:t>提供的培训计划完善合理的，得3-5分；培训计划欠合理的或一般的，得0-2分。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62" w:hRule="atLeast"/>
          <w:jc w:val="center"/>
        </w:trPr>
        <w:tc>
          <w:tcPr>
            <w:tcW w:w="82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4"/>
                <w:szCs w:val="24"/>
              </w:rPr>
            </w:pPr>
          </w:p>
        </w:tc>
        <w:tc>
          <w:tcPr>
            <w:tcW w:w="465" w:type="dxa"/>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4"/>
                <w:szCs w:val="24"/>
              </w:rPr>
            </w:pPr>
            <w:r>
              <w:rPr>
                <w:rFonts w:hint="eastAsia" w:ascii="宋体" w:hAnsi="宋体" w:cs="仿宋_GB2312"/>
                <w:bCs/>
                <w:color w:val="auto"/>
                <w:sz w:val="24"/>
                <w:szCs w:val="24"/>
              </w:rPr>
              <w:t>7</w:t>
            </w:r>
          </w:p>
        </w:tc>
        <w:tc>
          <w:tcPr>
            <w:tcW w:w="1124" w:type="dxa"/>
            <w:tcBorders>
              <w:top w:val="single" w:color="auto" w:sz="4" w:space="0"/>
              <w:left w:val="single" w:color="auto" w:sz="4" w:space="0"/>
              <w:right w:val="single" w:color="auto" w:sz="4" w:space="0"/>
            </w:tcBorders>
            <w:vAlign w:val="center"/>
          </w:tcPr>
          <w:p>
            <w:pPr>
              <w:pStyle w:val="24"/>
              <w:snapToGrid w:val="0"/>
              <w:spacing w:line="420" w:lineRule="exact"/>
              <w:jc w:val="center"/>
              <w:rPr>
                <w:rFonts w:cs="仿宋_GB2312"/>
                <w:bCs/>
                <w:color w:val="auto"/>
                <w:sz w:val="24"/>
                <w:szCs w:val="24"/>
              </w:rPr>
            </w:pPr>
            <w:r>
              <w:rPr>
                <w:rFonts w:hint="eastAsia" w:cs="仿宋_GB2312"/>
                <w:bCs/>
                <w:color w:val="auto"/>
                <w:sz w:val="24"/>
                <w:szCs w:val="24"/>
              </w:rPr>
              <w:t>售后服务</w:t>
            </w:r>
          </w:p>
        </w:tc>
        <w:tc>
          <w:tcPr>
            <w:tcW w:w="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4"/>
                <w:szCs w:val="24"/>
              </w:rPr>
            </w:pPr>
            <w:r>
              <w:rPr>
                <w:rFonts w:hint="eastAsia" w:ascii="宋体" w:hAnsi="宋体" w:cs="仿宋_GB2312"/>
                <w:bCs/>
                <w:color w:val="auto"/>
                <w:sz w:val="24"/>
                <w:szCs w:val="24"/>
              </w:rPr>
              <w:t>0-10</w:t>
            </w:r>
          </w:p>
        </w:tc>
        <w:tc>
          <w:tcPr>
            <w:tcW w:w="6464" w:type="dxa"/>
            <w:tcBorders>
              <w:top w:val="single" w:color="auto" w:sz="4" w:space="0"/>
              <w:left w:val="single" w:color="auto" w:sz="4" w:space="0"/>
              <w:bottom w:val="single" w:color="auto" w:sz="4" w:space="0"/>
              <w:right w:val="single" w:color="auto" w:sz="4" w:space="0"/>
            </w:tcBorders>
            <w:vAlign w:val="center"/>
          </w:tcPr>
          <w:p>
            <w:pPr>
              <w:pStyle w:val="24"/>
              <w:snapToGrid w:val="0"/>
              <w:spacing w:line="420" w:lineRule="exact"/>
              <w:jc w:val="left"/>
              <w:rPr>
                <w:rFonts w:cs="仿宋_GB2312"/>
                <w:bCs/>
                <w:color w:val="auto"/>
                <w:sz w:val="24"/>
                <w:szCs w:val="24"/>
              </w:rPr>
            </w:pPr>
            <w:r>
              <w:rPr>
                <w:rFonts w:hint="eastAsia" w:cs="仿宋_GB2312"/>
                <w:bCs/>
                <w:color w:val="auto"/>
                <w:sz w:val="24"/>
                <w:szCs w:val="24"/>
              </w:rPr>
              <w:t>售后服务说明：保修、售后服务方案，服务响应时间、修复时间、应急处理等售后计划措施符合本项目情况的、供应商售后机构健全、人员齐全。</w:t>
            </w:r>
          </w:p>
          <w:p>
            <w:pPr>
              <w:pStyle w:val="24"/>
              <w:snapToGrid w:val="0"/>
              <w:spacing w:line="420" w:lineRule="exact"/>
              <w:jc w:val="left"/>
              <w:rPr>
                <w:rFonts w:cs="仿宋_GB2312"/>
                <w:bCs/>
                <w:color w:val="auto"/>
                <w:sz w:val="24"/>
                <w:szCs w:val="24"/>
              </w:rPr>
            </w:pPr>
            <w:r>
              <w:rPr>
                <w:rFonts w:hint="eastAsia" w:cs="仿宋_GB2312"/>
                <w:bCs/>
                <w:color w:val="auto"/>
                <w:sz w:val="24"/>
                <w:szCs w:val="24"/>
              </w:rPr>
              <w:t>售后服务保证措施优得8-10分；良得5-7分 ，一般得1-4分；</w:t>
            </w:r>
          </w:p>
        </w:tc>
      </w:tr>
      <w:bookmarkEnd w:id="10"/>
    </w:tbl>
    <w:p>
      <w:pPr>
        <w:pStyle w:val="24"/>
        <w:snapToGrid w:val="0"/>
        <w:spacing w:line="500" w:lineRule="exact"/>
        <w:ind w:firstLine="480" w:firstLineChars="200"/>
        <w:rPr>
          <w:color w:val="auto"/>
          <w:sz w:val="24"/>
          <w:szCs w:val="24"/>
        </w:rPr>
      </w:pPr>
      <w:r>
        <w:rPr>
          <w:rFonts w:hint="eastAsia"/>
          <w:color w:val="auto"/>
          <w:sz w:val="24"/>
          <w:szCs w:val="24"/>
        </w:rPr>
        <w:t>对于商务部分（投标报价）的评分，按以下方法进行：价格分统一采用低价优先法计算，即满足招标文件要求且投标价格最低的投标报价为评标基准价，其价格分为满分。其他投标人的价格分统一按照上述公式计算。</w:t>
      </w:r>
    </w:p>
    <w:p>
      <w:pPr>
        <w:pStyle w:val="24"/>
        <w:snapToGrid w:val="0"/>
        <w:spacing w:line="500" w:lineRule="exact"/>
        <w:ind w:left="228" w:firstLine="480" w:firstLineChars="200"/>
        <w:rPr>
          <w:color w:val="auto"/>
          <w:sz w:val="24"/>
          <w:szCs w:val="24"/>
        </w:rPr>
      </w:pPr>
      <w:r>
        <w:rPr>
          <w:rFonts w:hint="eastAsia"/>
          <w:color w:val="auto"/>
          <w:sz w:val="24"/>
          <w:szCs w:val="24"/>
        </w:rPr>
        <w:t>按照评标委员会成员评分结果汇总数的算术平均分计算，计算公式为：</w:t>
      </w:r>
    </w:p>
    <w:p>
      <w:pPr>
        <w:pStyle w:val="24"/>
        <w:snapToGrid w:val="0"/>
        <w:spacing w:line="500" w:lineRule="exact"/>
        <w:ind w:left="228" w:firstLine="480" w:firstLineChars="200"/>
        <w:rPr>
          <w:color w:val="auto"/>
          <w:sz w:val="24"/>
          <w:szCs w:val="24"/>
        </w:rPr>
      </w:pPr>
      <w:r>
        <w:rPr>
          <w:rFonts w:hint="eastAsia"/>
          <w:color w:val="auto"/>
          <w:sz w:val="24"/>
          <w:szCs w:val="24"/>
        </w:rPr>
        <w:t>投标得分=（评标委员会所有成员评分合计数）/（评标委员会组成人员数）</w:t>
      </w:r>
    </w:p>
    <w:p>
      <w:pPr>
        <w:pStyle w:val="84"/>
        <w:spacing w:line="500" w:lineRule="exact"/>
        <w:ind w:firstLine="567"/>
        <w:jc w:val="both"/>
        <w:rPr>
          <w:rFonts w:ascii="宋体" w:hAnsi="宋体"/>
          <w:color w:val="auto"/>
        </w:rPr>
      </w:pPr>
      <w:r>
        <w:rPr>
          <w:rFonts w:hint="eastAsia" w:ascii="宋体" w:hAnsi="宋体"/>
          <w:color w:val="auto"/>
        </w:rPr>
        <w:t>26. 评标程序</w:t>
      </w:r>
    </w:p>
    <w:p>
      <w:pPr>
        <w:spacing w:line="500" w:lineRule="exact"/>
        <w:ind w:firstLine="560"/>
        <w:rPr>
          <w:rFonts w:ascii="宋体" w:hAnsi="宋体"/>
          <w:color w:val="auto"/>
          <w:sz w:val="24"/>
          <w:szCs w:val="24"/>
        </w:rPr>
      </w:pPr>
      <w:r>
        <w:rPr>
          <w:rFonts w:hint="eastAsia" w:ascii="宋体" w:hAnsi="宋体"/>
          <w:color w:val="auto"/>
          <w:sz w:val="24"/>
          <w:szCs w:val="24"/>
        </w:rPr>
        <w:t>26.1 投标文件初审：投标人的资格检查。</w:t>
      </w:r>
    </w:p>
    <w:p>
      <w:pPr>
        <w:spacing w:line="500" w:lineRule="exact"/>
        <w:ind w:firstLine="560"/>
        <w:rPr>
          <w:rFonts w:ascii="宋体" w:hAnsi="宋体"/>
          <w:color w:val="auto"/>
          <w:sz w:val="24"/>
          <w:szCs w:val="24"/>
        </w:rPr>
      </w:pPr>
      <w:r>
        <w:rPr>
          <w:rFonts w:hint="eastAsia" w:ascii="宋体" w:hAnsi="宋体"/>
          <w:color w:val="auto"/>
          <w:sz w:val="24"/>
          <w:szCs w:val="24"/>
        </w:rPr>
        <w:t xml:space="preserve">26.2 </w:t>
      </w:r>
      <w:r>
        <w:rPr>
          <w:rFonts w:ascii="宋体" w:hAnsi="宋体"/>
          <w:color w:val="auto"/>
          <w:sz w:val="24"/>
          <w:szCs w:val="24"/>
        </w:rPr>
        <w:t>资格性检查。依据法律法规和招标文件的规定，对投标文件中的资格证明、投标保证金等进行审查，以确定投标供应商是否具备投标资格。</w:t>
      </w:r>
    </w:p>
    <w:p>
      <w:pPr>
        <w:spacing w:line="500" w:lineRule="exact"/>
        <w:ind w:firstLine="560"/>
        <w:rPr>
          <w:rFonts w:ascii="宋体" w:hAnsi="宋体"/>
          <w:color w:val="auto"/>
          <w:sz w:val="24"/>
          <w:szCs w:val="24"/>
        </w:rPr>
      </w:pPr>
      <w:r>
        <w:rPr>
          <w:rFonts w:hint="eastAsia" w:ascii="宋体" w:hAnsi="宋体"/>
          <w:color w:val="auto"/>
          <w:sz w:val="24"/>
          <w:szCs w:val="24"/>
        </w:rPr>
        <w:t>26.3 澄清有关问题。对投标文件中含义不明确、同类问题表述不一致或者有明显文字和计算错误的内容，评标委员会可以书面形式（应当由评标委员会专家签字）要求投标供应商作出必要的澄清、说明或者纠正。投标供应商的澄清、说明或者补正应当采用书面形式，由其授权的代表签字，并不得超出投标文件的范围或者改变投标文件的实质性内容 。</w:t>
      </w:r>
    </w:p>
    <w:p>
      <w:pPr>
        <w:spacing w:line="500" w:lineRule="exact"/>
        <w:ind w:firstLine="560"/>
        <w:rPr>
          <w:rFonts w:ascii="宋体" w:hAnsi="宋体"/>
          <w:color w:val="auto"/>
          <w:sz w:val="24"/>
          <w:szCs w:val="24"/>
        </w:rPr>
      </w:pPr>
      <w:r>
        <w:rPr>
          <w:rFonts w:hint="eastAsia" w:ascii="宋体" w:hAnsi="宋体"/>
          <w:color w:val="auto"/>
          <w:sz w:val="24"/>
          <w:szCs w:val="24"/>
        </w:rPr>
        <w:t>26.4比较与评价。按招标文件中规定的评标方法和标准，对资格性检查和符合性检查合格的投标文件进行商务和技术评估，综合比较与评价。</w:t>
      </w:r>
    </w:p>
    <w:p>
      <w:pPr>
        <w:spacing w:line="500" w:lineRule="exact"/>
        <w:ind w:firstLine="560"/>
        <w:rPr>
          <w:rFonts w:ascii="宋体" w:hAnsi="宋体"/>
          <w:color w:val="auto"/>
          <w:sz w:val="24"/>
          <w:szCs w:val="24"/>
        </w:rPr>
      </w:pPr>
      <w:r>
        <w:rPr>
          <w:rFonts w:hint="eastAsia" w:ascii="宋体" w:hAnsi="宋体"/>
          <w:color w:val="auto"/>
          <w:sz w:val="24"/>
          <w:szCs w:val="24"/>
        </w:rPr>
        <w:t>26.5 推荐中标候选供应商名单。中标候选供应商数量应当根据采购需要确定，但必须按顺序排列中标候选供应商。</w:t>
      </w:r>
    </w:p>
    <w:p>
      <w:pPr>
        <w:spacing w:line="500" w:lineRule="exact"/>
        <w:ind w:firstLine="480" w:firstLineChars="200"/>
        <w:rPr>
          <w:rFonts w:ascii="宋体" w:hAnsi="宋体"/>
          <w:b/>
          <w:bCs/>
          <w:color w:val="auto"/>
          <w:kern w:val="0"/>
          <w:sz w:val="24"/>
          <w:szCs w:val="24"/>
        </w:rPr>
      </w:pPr>
      <w:r>
        <w:rPr>
          <w:rFonts w:hint="eastAsia" w:ascii="宋体" w:hAnsi="宋体"/>
          <w:b/>
          <w:color w:val="auto"/>
          <w:sz w:val="24"/>
          <w:szCs w:val="24"/>
        </w:rPr>
        <w:t xml:space="preserve">26.6 </w:t>
      </w:r>
      <w:r>
        <w:rPr>
          <w:rFonts w:hint="eastAsia" w:ascii="宋体" w:hAnsi="宋体"/>
          <w:b/>
          <w:bCs/>
          <w:color w:val="auto"/>
          <w:sz w:val="24"/>
          <w:szCs w:val="24"/>
        </w:rPr>
        <w:t>投标文件属下列情况之一的，应</w:t>
      </w:r>
      <w:r>
        <w:rPr>
          <w:rFonts w:hint="eastAsia" w:ascii="宋体" w:hAnsi="宋体"/>
          <w:b/>
          <w:bCs/>
          <w:color w:val="auto"/>
          <w:kern w:val="0"/>
          <w:sz w:val="24"/>
          <w:szCs w:val="24"/>
        </w:rPr>
        <w:t>当在资格性检查时按照无效投标处理：</w:t>
      </w:r>
    </w:p>
    <w:p>
      <w:pPr>
        <w:spacing w:line="500" w:lineRule="exact"/>
        <w:rPr>
          <w:rFonts w:ascii="宋体" w:hAnsi="宋体"/>
          <w:color w:val="auto"/>
          <w:kern w:val="0"/>
          <w:sz w:val="24"/>
          <w:szCs w:val="24"/>
        </w:rPr>
      </w:pPr>
      <w:r>
        <w:rPr>
          <w:rFonts w:ascii="宋体" w:hAnsi="宋体"/>
          <w:color w:val="auto"/>
          <w:kern w:val="0"/>
          <w:sz w:val="24"/>
          <w:szCs w:val="24"/>
        </w:rPr>
        <w:t xml:space="preserve"> </w:t>
      </w:r>
      <w:r>
        <w:rPr>
          <w:rFonts w:hint="eastAsia" w:ascii="宋体" w:hAnsi="宋体"/>
          <w:color w:val="auto"/>
          <w:kern w:val="0"/>
          <w:sz w:val="24"/>
          <w:szCs w:val="24"/>
        </w:rPr>
        <w:t xml:space="preserve">  </w:t>
      </w:r>
      <w:r>
        <w:rPr>
          <w:rFonts w:ascii="宋体" w:hAnsi="宋体"/>
          <w:color w:val="auto"/>
          <w:kern w:val="0"/>
          <w:sz w:val="24"/>
          <w:szCs w:val="24"/>
        </w:rPr>
        <w:t xml:space="preserve"> </w:t>
      </w:r>
      <w:r>
        <w:rPr>
          <w:rFonts w:hint="eastAsia" w:ascii="宋体" w:hAnsi="宋体"/>
          <w:color w:val="auto"/>
          <w:kern w:val="0"/>
          <w:sz w:val="24"/>
          <w:szCs w:val="24"/>
        </w:rPr>
        <w:t>(一)未按照招标文件的规定提交投标保证金的;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(二)投标文件未按招标文件要求签署、盖章的;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(三)不具备招标文件中规定的资格要求的;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(四)报价超过招标文件中规定的预算金额或者最高限价的;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(五)投标文件含有采购人不能接受的附加条件的;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(六)法律、法规和招标文件规定的其他无效情形。</w:t>
      </w:r>
    </w:p>
    <w:p>
      <w:pPr>
        <w:spacing w:line="500" w:lineRule="exact"/>
        <w:ind w:firstLine="480" w:firstLineChars="200"/>
        <w:rPr>
          <w:rFonts w:ascii="宋体" w:hAnsi="宋体"/>
          <w:color w:val="auto"/>
          <w:kern w:val="0"/>
          <w:sz w:val="24"/>
          <w:szCs w:val="24"/>
        </w:rPr>
      </w:pPr>
      <w:r>
        <w:rPr>
          <w:rFonts w:hint="eastAsia" w:ascii="宋体" w:hAnsi="宋体"/>
          <w:color w:val="auto"/>
          <w:sz w:val="24"/>
          <w:szCs w:val="24"/>
        </w:rPr>
        <w:t>26.7</w:t>
      </w:r>
      <w:r>
        <w:rPr>
          <w:rFonts w:hint="eastAsia" w:ascii="宋体" w:hAnsi="宋体"/>
          <w:b/>
          <w:bCs/>
          <w:color w:val="auto"/>
          <w:kern w:val="0"/>
          <w:sz w:val="24"/>
          <w:szCs w:val="24"/>
        </w:rPr>
        <w:t>在招标采购中，出现下列规定情形之一的，招标采购单位应当予以废标，并将废标理由通知所有投标供应商。</w:t>
      </w:r>
    </w:p>
    <w:p>
      <w:pPr>
        <w:spacing w:line="500" w:lineRule="exact"/>
        <w:ind w:firstLine="480" w:firstLineChars="200"/>
        <w:rPr>
          <w:rFonts w:ascii="宋体" w:hAnsi="宋体"/>
          <w:color w:val="auto"/>
          <w:kern w:val="0"/>
          <w:sz w:val="24"/>
          <w:szCs w:val="24"/>
        </w:rPr>
      </w:pPr>
      <w:r>
        <w:rPr>
          <w:rFonts w:ascii="宋体" w:hAnsi="宋体"/>
          <w:color w:val="auto"/>
          <w:kern w:val="0"/>
          <w:sz w:val="24"/>
          <w:szCs w:val="24"/>
        </w:rPr>
        <w:t>（一）符合专业条件的供应商或者对招标文件作实质响应的供应商不足三家的；</w:t>
      </w:r>
    </w:p>
    <w:p>
      <w:pPr>
        <w:spacing w:line="500" w:lineRule="exact"/>
        <w:rPr>
          <w:rFonts w:ascii="宋体" w:hAnsi="宋体"/>
          <w:color w:val="auto"/>
          <w:kern w:val="0"/>
          <w:sz w:val="24"/>
          <w:szCs w:val="24"/>
        </w:rPr>
      </w:pPr>
      <w:r>
        <w:rPr>
          <w:rFonts w:ascii="宋体" w:hAnsi="宋体"/>
          <w:color w:val="auto"/>
          <w:kern w:val="0"/>
          <w:sz w:val="24"/>
          <w:szCs w:val="24"/>
        </w:rPr>
        <w:t>　　（二）出现影响采购公正的违法、违规行为的；</w:t>
      </w:r>
    </w:p>
    <w:p>
      <w:pPr>
        <w:spacing w:line="500" w:lineRule="exact"/>
        <w:rPr>
          <w:rFonts w:ascii="宋体" w:hAnsi="宋体"/>
          <w:color w:val="auto"/>
          <w:kern w:val="0"/>
          <w:sz w:val="24"/>
          <w:szCs w:val="24"/>
        </w:rPr>
      </w:pPr>
      <w:r>
        <w:rPr>
          <w:rFonts w:ascii="宋体" w:hAnsi="宋体"/>
          <w:color w:val="auto"/>
          <w:kern w:val="0"/>
          <w:sz w:val="24"/>
          <w:szCs w:val="24"/>
        </w:rPr>
        <w:t>　　（三）投标供应商的报价均超过了采购预算，采购人不能支付的；</w:t>
      </w:r>
    </w:p>
    <w:p>
      <w:pPr>
        <w:spacing w:line="500" w:lineRule="exact"/>
        <w:rPr>
          <w:rFonts w:ascii="宋体" w:hAnsi="宋体"/>
          <w:color w:val="auto"/>
          <w:kern w:val="0"/>
          <w:sz w:val="24"/>
          <w:szCs w:val="24"/>
        </w:rPr>
      </w:pPr>
      <w:r>
        <w:rPr>
          <w:rFonts w:ascii="宋体" w:hAnsi="宋体"/>
          <w:color w:val="auto"/>
          <w:kern w:val="0"/>
          <w:sz w:val="24"/>
          <w:szCs w:val="24"/>
        </w:rPr>
        <w:t>　　（四）因重大变故，采购任务取消的。</w:t>
      </w:r>
    </w:p>
    <w:p>
      <w:pPr>
        <w:spacing w:line="500" w:lineRule="exact"/>
        <w:rPr>
          <w:rFonts w:ascii="宋体" w:hAnsi="宋体"/>
          <w:color w:val="auto"/>
          <w:kern w:val="0"/>
          <w:sz w:val="24"/>
          <w:szCs w:val="24"/>
        </w:rPr>
      </w:pPr>
      <w:r>
        <w:rPr>
          <w:rFonts w:hint="eastAsia" w:ascii="宋体" w:hAnsi="宋体"/>
          <w:color w:val="auto"/>
          <w:kern w:val="0"/>
          <w:sz w:val="24"/>
          <w:szCs w:val="24"/>
        </w:rPr>
        <w:t xml:space="preserve">    26.8 废标后，除采购任务取消情形外，招标采购单位应当重新组织招标。需要采取其他采购方式的，应当在采购活动开始前获得设区的市、自治州以上人民政府财政部门的批准。</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27. 定标</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27.1</w:t>
      </w:r>
      <w:r>
        <w:rPr>
          <w:rFonts w:ascii="宋体" w:hAnsi="宋体"/>
          <w:color w:val="auto"/>
          <w:kern w:val="0"/>
          <w:sz w:val="24"/>
          <w:szCs w:val="24"/>
        </w:rPr>
        <w:t>采用综合评分法的，按评审后得分由高到低顺序排列。得分相同的，按投标报价由低到高顺序排列。得分且投标报价相同的，按技术指标优劣顺序排列。</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28. 中标供应商的确认</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28.1  评标委员会以书面形式推荐三名中标候选人。采购人应当接受评标委员会推荐的中标候选人，不得在评标委员会推荐的中标候选人之外确定中标供应商。评标委员会无义务向投标供应商进行任何有关评标的解释工作。</w:t>
      </w:r>
    </w:p>
    <w:p>
      <w:pPr>
        <w:spacing w:line="500" w:lineRule="exact"/>
        <w:ind w:firstLine="480" w:firstLineChars="200"/>
        <w:rPr>
          <w:rFonts w:ascii="宋体" w:hAnsi="宋体"/>
          <w:color w:val="auto"/>
          <w:sz w:val="24"/>
          <w:szCs w:val="24"/>
        </w:rPr>
      </w:pPr>
      <w:r>
        <w:rPr>
          <w:rFonts w:hint="eastAsia" w:ascii="宋体" w:hAnsi="宋体"/>
          <w:color w:val="auto"/>
          <w:kern w:val="0"/>
          <w:sz w:val="24"/>
          <w:szCs w:val="24"/>
        </w:rPr>
        <w:t>28.2  使用国有资金投资或者国家融资的项目，采购人应当确定排名第</w:t>
      </w:r>
      <w:r>
        <w:rPr>
          <w:rFonts w:hint="eastAsia" w:ascii="宋体" w:hAnsi="宋体"/>
          <w:color w:val="auto"/>
          <w:sz w:val="24"/>
          <w:szCs w:val="24"/>
        </w:rPr>
        <w:t>一的中标候选人为中标供应商。排名第一的中标候选人放弃中标、因不可抗力提出不能履行合同，或者招标文件规定应当提交履约保证金而在规定的期限内未能提交的，采购人可以确定排名第二的中标候选人为中标供应商。</w:t>
      </w:r>
    </w:p>
    <w:p>
      <w:pPr>
        <w:pStyle w:val="84"/>
        <w:spacing w:line="500" w:lineRule="exact"/>
        <w:ind w:firstLine="567"/>
        <w:jc w:val="both"/>
        <w:rPr>
          <w:rFonts w:ascii="宋体" w:hAnsi="宋体"/>
          <w:color w:val="auto"/>
        </w:rPr>
      </w:pPr>
      <w:r>
        <w:rPr>
          <w:rFonts w:hint="eastAsia" w:ascii="宋体" w:hAnsi="宋体"/>
          <w:color w:val="auto"/>
        </w:rPr>
        <w:t>排名第二的中标候选人因前款规定的同样原因不能签订合同的，采购人可以确定排名第三的中标候选人为中标供应商。</w:t>
      </w:r>
    </w:p>
    <w:p>
      <w:pPr>
        <w:pStyle w:val="84"/>
        <w:spacing w:line="500" w:lineRule="exact"/>
        <w:ind w:firstLine="567"/>
        <w:jc w:val="both"/>
        <w:rPr>
          <w:rFonts w:ascii="宋体" w:hAnsi="宋体"/>
          <w:color w:val="auto"/>
        </w:rPr>
      </w:pPr>
      <w:r>
        <w:rPr>
          <w:rFonts w:ascii="宋体" w:hAnsi="宋体"/>
          <w:color w:val="auto"/>
        </w:rPr>
        <w:t>2</w:t>
      </w:r>
      <w:r>
        <w:rPr>
          <w:rFonts w:hint="eastAsia" w:ascii="宋体" w:hAnsi="宋体"/>
          <w:color w:val="auto"/>
        </w:rPr>
        <w:t>8.3  采购代理机构应当在评标结束后2个工作日内将评标报告送采购人。采购人应当自收到评标报告之日起５个工作日内，在评标报告确定的中标候选人名单中按顺序确定中标人。</w:t>
      </w:r>
    </w:p>
    <w:p>
      <w:pPr>
        <w:pStyle w:val="84"/>
        <w:spacing w:line="500" w:lineRule="exact"/>
        <w:ind w:firstLine="567"/>
        <w:jc w:val="both"/>
        <w:rPr>
          <w:rFonts w:ascii="宋体" w:hAnsi="宋体"/>
          <w:color w:val="auto"/>
        </w:rPr>
      </w:pPr>
      <w:r>
        <w:rPr>
          <w:rFonts w:hint="eastAsia" w:ascii="宋体" w:hAnsi="宋体"/>
          <w:color w:val="auto"/>
        </w:rPr>
        <w:t>28.4 在确定中标供应商前，招标采购单位不得与投标供应商就投标价格、投标方案等实质性内容进行谈判。</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29. 中标通知</w:t>
      </w:r>
    </w:p>
    <w:p>
      <w:pPr>
        <w:pStyle w:val="84"/>
        <w:spacing w:line="500" w:lineRule="exact"/>
        <w:ind w:firstLine="567"/>
        <w:jc w:val="both"/>
        <w:rPr>
          <w:rFonts w:ascii="宋体" w:hAnsi="宋体"/>
          <w:color w:val="auto"/>
        </w:rPr>
      </w:pPr>
      <w:r>
        <w:rPr>
          <w:rFonts w:hint="eastAsia" w:ascii="宋体" w:hAnsi="宋体"/>
          <w:color w:val="auto"/>
        </w:rPr>
        <w:t xml:space="preserve">29.1  </w:t>
      </w:r>
      <w:r>
        <w:rPr>
          <w:rFonts w:ascii="宋体" w:hAnsi="宋体"/>
          <w:color w:val="auto"/>
        </w:rPr>
        <w:t>中标供应商确定后，中标结果应当在财政部门指定的政府采购信息发布媒体上公告。</w:t>
      </w:r>
    </w:p>
    <w:p>
      <w:pPr>
        <w:pStyle w:val="84"/>
        <w:spacing w:line="500" w:lineRule="exact"/>
        <w:ind w:firstLine="567"/>
        <w:jc w:val="both"/>
        <w:rPr>
          <w:rFonts w:ascii="宋体" w:hAnsi="宋体"/>
          <w:color w:val="auto"/>
        </w:rPr>
      </w:pPr>
      <w:r>
        <w:rPr>
          <w:rFonts w:hint="eastAsia" w:ascii="宋体" w:hAnsi="宋体"/>
          <w:color w:val="auto"/>
        </w:rPr>
        <w:t xml:space="preserve">29.2  </w:t>
      </w:r>
      <w:r>
        <w:rPr>
          <w:rFonts w:ascii="宋体" w:hAnsi="宋体"/>
          <w:color w:val="auto"/>
        </w:rPr>
        <w:t>在发布公告的同时，招标</w:t>
      </w:r>
      <w:r>
        <w:rPr>
          <w:rFonts w:hint="eastAsia" w:ascii="宋体" w:hAnsi="宋体"/>
          <w:color w:val="auto"/>
        </w:rPr>
        <w:t>代理机构</w:t>
      </w:r>
      <w:r>
        <w:rPr>
          <w:rFonts w:ascii="宋体" w:hAnsi="宋体"/>
          <w:color w:val="auto"/>
        </w:rPr>
        <w:t>应当向中标供应商发出中标通知书，中标通知书对采购人和中标供应商具有同等法律效力</w:t>
      </w:r>
      <w:r>
        <w:rPr>
          <w:rFonts w:hint="eastAsia" w:ascii="宋体" w:hAnsi="宋体"/>
          <w:color w:val="auto"/>
        </w:rPr>
        <w:t>。</w:t>
      </w:r>
      <w:bookmarkEnd w:id="9"/>
    </w:p>
    <w:p>
      <w:pPr>
        <w:pStyle w:val="84"/>
        <w:spacing w:line="500" w:lineRule="exact"/>
        <w:jc w:val="center"/>
        <w:outlineLvl w:val="1"/>
        <w:rPr>
          <w:rFonts w:ascii="宋体" w:hAnsi="宋体"/>
          <w:color w:val="auto"/>
        </w:rPr>
      </w:pPr>
      <w:bookmarkStart w:id="11" w:name="_Toc9740"/>
      <w:r>
        <w:rPr>
          <w:rFonts w:hint="eastAsia" w:ascii="宋体" w:hAnsi="宋体"/>
          <w:color w:val="auto"/>
        </w:rPr>
        <w:t>七、授予合同</w:t>
      </w:r>
      <w:bookmarkEnd w:id="11"/>
    </w:p>
    <w:p>
      <w:pPr>
        <w:pStyle w:val="84"/>
        <w:spacing w:line="500" w:lineRule="exact"/>
        <w:ind w:firstLine="480" w:firstLineChars="200"/>
        <w:jc w:val="both"/>
        <w:rPr>
          <w:rFonts w:ascii="宋体" w:hAnsi="宋体"/>
          <w:color w:val="auto"/>
        </w:rPr>
      </w:pPr>
      <w:r>
        <w:rPr>
          <w:rFonts w:hint="eastAsia" w:ascii="宋体" w:hAnsi="宋体"/>
          <w:color w:val="auto"/>
        </w:rPr>
        <w:t>31.  签订商务合同</w:t>
      </w:r>
    </w:p>
    <w:p>
      <w:pPr>
        <w:pStyle w:val="84"/>
        <w:spacing w:line="500" w:lineRule="exact"/>
        <w:ind w:firstLine="480" w:firstLineChars="200"/>
        <w:jc w:val="both"/>
        <w:rPr>
          <w:rFonts w:ascii="宋体" w:hAnsi="宋体"/>
          <w:color w:val="auto"/>
        </w:rPr>
      </w:pPr>
      <w:r>
        <w:rPr>
          <w:rFonts w:hint="eastAsia" w:ascii="宋体" w:hAnsi="宋体"/>
          <w:color w:val="auto"/>
        </w:rPr>
        <w:t>31.1  中标供应商应当在收到《中标通知书》后的30日内与采购人签订合同。</w:t>
      </w:r>
    </w:p>
    <w:p>
      <w:pPr>
        <w:pStyle w:val="84"/>
        <w:spacing w:line="500" w:lineRule="exact"/>
        <w:ind w:firstLine="480" w:firstLineChars="200"/>
        <w:jc w:val="both"/>
        <w:rPr>
          <w:rFonts w:ascii="宋体" w:hAnsi="宋体"/>
          <w:color w:val="auto"/>
        </w:rPr>
      </w:pPr>
      <w:r>
        <w:rPr>
          <w:rFonts w:hint="eastAsia" w:ascii="宋体" w:hAnsi="宋体"/>
          <w:color w:val="auto"/>
        </w:rPr>
        <w:t>31.2  中标合同不得转让。合同分包需在投标文件中予以说明，并需经买方同意。否则，买方有权取消中标供应商的中标资格。</w:t>
      </w:r>
    </w:p>
    <w:p>
      <w:pPr>
        <w:pStyle w:val="84"/>
        <w:spacing w:line="500" w:lineRule="exact"/>
        <w:ind w:firstLine="480" w:firstLineChars="200"/>
        <w:jc w:val="both"/>
        <w:rPr>
          <w:rFonts w:ascii="宋体" w:hAnsi="宋体"/>
          <w:color w:val="auto"/>
        </w:rPr>
      </w:pPr>
      <w:r>
        <w:rPr>
          <w:rFonts w:hint="eastAsia" w:ascii="宋体" w:hAnsi="宋体"/>
          <w:color w:val="auto"/>
        </w:rPr>
        <w:t>31.3  如中标供应商拒签合同, 招标代理机构可从评委推荐出的中标候选人中按推荐顺序重新选定中标供应商，并组织中标供应商和买方签订商务合同。</w:t>
      </w:r>
    </w:p>
    <w:p>
      <w:pPr>
        <w:pStyle w:val="84"/>
        <w:spacing w:line="500" w:lineRule="exact"/>
        <w:ind w:firstLine="480" w:firstLineChars="200"/>
        <w:jc w:val="both"/>
        <w:rPr>
          <w:rFonts w:ascii="宋体" w:hAnsi="宋体"/>
          <w:color w:val="auto"/>
        </w:rPr>
      </w:pPr>
      <w:r>
        <w:rPr>
          <w:rFonts w:hint="eastAsia" w:ascii="宋体" w:hAnsi="宋体"/>
          <w:color w:val="auto"/>
        </w:rPr>
        <w:t xml:space="preserve">32.  商务合同的组成  </w:t>
      </w:r>
    </w:p>
    <w:p>
      <w:pPr>
        <w:pStyle w:val="84"/>
        <w:spacing w:line="500" w:lineRule="exact"/>
        <w:ind w:firstLine="480" w:firstLineChars="200"/>
        <w:jc w:val="both"/>
        <w:rPr>
          <w:rFonts w:ascii="宋体" w:hAnsi="宋体"/>
          <w:color w:val="auto"/>
        </w:rPr>
      </w:pPr>
      <w:r>
        <w:rPr>
          <w:rFonts w:hint="eastAsia" w:ascii="宋体" w:hAnsi="宋体"/>
          <w:color w:val="auto"/>
        </w:rPr>
        <w:t>32.1  下列文件均为商务合同不可分割的组成部分：</w:t>
      </w:r>
    </w:p>
    <w:p>
      <w:pPr>
        <w:pStyle w:val="84"/>
        <w:spacing w:line="500" w:lineRule="exact"/>
        <w:ind w:firstLine="480" w:firstLineChars="200"/>
        <w:jc w:val="both"/>
        <w:rPr>
          <w:rFonts w:ascii="宋体" w:hAnsi="宋体"/>
          <w:color w:val="auto"/>
        </w:rPr>
      </w:pPr>
      <w:r>
        <w:rPr>
          <w:rFonts w:hint="eastAsia" w:ascii="宋体" w:hAnsi="宋体"/>
          <w:color w:val="auto"/>
        </w:rPr>
        <w:t>32.1.1  招标文件；</w:t>
      </w:r>
    </w:p>
    <w:p>
      <w:pPr>
        <w:pStyle w:val="84"/>
        <w:spacing w:line="500" w:lineRule="exact"/>
        <w:ind w:firstLine="480" w:firstLineChars="200"/>
        <w:jc w:val="both"/>
        <w:rPr>
          <w:rFonts w:ascii="宋体" w:hAnsi="宋体"/>
          <w:color w:val="auto"/>
        </w:rPr>
      </w:pPr>
      <w:r>
        <w:rPr>
          <w:rFonts w:hint="eastAsia" w:ascii="宋体" w:hAnsi="宋体"/>
          <w:color w:val="auto"/>
        </w:rPr>
        <w:t>32.1.2  卖方中标的投标文件；</w:t>
      </w:r>
    </w:p>
    <w:p>
      <w:pPr>
        <w:pStyle w:val="84"/>
        <w:spacing w:line="500" w:lineRule="exact"/>
        <w:ind w:firstLine="480" w:firstLineChars="200"/>
        <w:jc w:val="both"/>
        <w:rPr>
          <w:rFonts w:ascii="宋体" w:hAnsi="宋体"/>
          <w:color w:val="auto"/>
        </w:rPr>
      </w:pPr>
      <w:r>
        <w:rPr>
          <w:rFonts w:hint="eastAsia" w:ascii="宋体" w:hAnsi="宋体"/>
          <w:color w:val="auto"/>
        </w:rPr>
        <w:t>32.1.3  中标通知书；</w:t>
      </w:r>
    </w:p>
    <w:p>
      <w:pPr>
        <w:pStyle w:val="84"/>
        <w:spacing w:line="500" w:lineRule="exact"/>
        <w:ind w:firstLine="480" w:firstLineChars="200"/>
        <w:rPr>
          <w:rFonts w:ascii="宋体" w:hAnsi="宋体"/>
          <w:color w:val="auto"/>
        </w:rPr>
      </w:pPr>
      <w:r>
        <w:rPr>
          <w:rFonts w:hint="eastAsia" w:ascii="宋体" w:hAnsi="宋体"/>
          <w:color w:val="auto"/>
        </w:rPr>
        <w:t>32.1.4  投标供应商澄清、说明或补正文件。</w:t>
      </w:r>
      <w:bookmarkStart w:id="12" w:name="_Toc7315"/>
    </w:p>
    <w:p>
      <w:pPr>
        <w:pStyle w:val="84"/>
        <w:spacing w:line="500" w:lineRule="exact"/>
        <w:jc w:val="center"/>
        <w:outlineLvl w:val="1"/>
        <w:rPr>
          <w:rFonts w:ascii="宋体" w:hAnsi="宋体"/>
          <w:color w:val="auto"/>
        </w:rPr>
      </w:pPr>
      <w:r>
        <w:rPr>
          <w:rFonts w:hint="eastAsia" w:ascii="宋体" w:hAnsi="宋体"/>
          <w:color w:val="auto"/>
        </w:rPr>
        <w:t>八、买方授标时更改采购货物数量的权利</w:t>
      </w:r>
      <w:bookmarkEnd w:id="12"/>
    </w:p>
    <w:p>
      <w:pPr>
        <w:pStyle w:val="84"/>
        <w:spacing w:line="500" w:lineRule="exact"/>
        <w:ind w:firstLine="480" w:firstLineChars="200"/>
        <w:rPr>
          <w:rFonts w:ascii="宋体" w:hAnsi="宋体"/>
          <w:color w:val="auto"/>
        </w:rPr>
      </w:pPr>
      <w:r>
        <w:rPr>
          <w:rFonts w:hint="eastAsia" w:ascii="宋体" w:hAnsi="宋体"/>
          <w:color w:val="auto"/>
        </w:rPr>
        <w:t>33.  招标方在授予合同时有权在“招标货物需求及技术规格要求”中规定的货物数量和服务予以局部增加或减少，但比例不超过10%，并且不得对单价或其它实质性内容做任何改变，对增加的数量按同类型中标价格支付货款。</w:t>
      </w:r>
    </w:p>
    <w:p>
      <w:pPr>
        <w:pStyle w:val="84"/>
        <w:spacing w:line="500" w:lineRule="exact"/>
        <w:jc w:val="center"/>
        <w:outlineLvl w:val="1"/>
        <w:rPr>
          <w:rFonts w:ascii="宋体" w:hAnsi="宋体"/>
          <w:color w:val="auto"/>
        </w:rPr>
      </w:pPr>
      <w:bookmarkStart w:id="13" w:name="_Toc5835"/>
      <w:r>
        <w:rPr>
          <w:rFonts w:hint="eastAsia" w:ascii="宋体" w:hAnsi="宋体"/>
          <w:color w:val="auto"/>
        </w:rPr>
        <w:t>九、其他事项</w:t>
      </w:r>
      <w:bookmarkEnd w:id="13"/>
    </w:p>
    <w:p>
      <w:pPr>
        <w:pStyle w:val="84"/>
        <w:spacing w:line="500" w:lineRule="exact"/>
        <w:ind w:firstLine="480" w:firstLineChars="200"/>
        <w:jc w:val="both"/>
        <w:rPr>
          <w:rFonts w:ascii="宋体" w:hAnsi="宋体"/>
          <w:color w:val="auto"/>
        </w:rPr>
      </w:pPr>
      <w:r>
        <w:rPr>
          <w:rFonts w:hint="eastAsia" w:ascii="宋体" w:hAnsi="宋体"/>
          <w:color w:val="auto"/>
        </w:rPr>
        <w:t>34.  中标服务费</w:t>
      </w:r>
    </w:p>
    <w:p>
      <w:pPr>
        <w:pStyle w:val="84"/>
        <w:spacing w:line="500" w:lineRule="exact"/>
        <w:ind w:firstLine="480" w:firstLineChars="200"/>
        <w:jc w:val="both"/>
        <w:rPr>
          <w:rFonts w:ascii="宋体" w:hAnsi="宋体"/>
          <w:color w:val="auto"/>
        </w:rPr>
      </w:pPr>
      <w:r>
        <w:rPr>
          <w:rFonts w:hint="eastAsia" w:ascii="宋体" w:hAnsi="宋体"/>
          <w:color w:val="auto"/>
        </w:rPr>
        <w:t>34.1  《中标通知书》核发后3天内，中标方必须向招标代理机构</w:t>
      </w:r>
      <w:r>
        <w:rPr>
          <w:rFonts w:hint="eastAsia" w:ascii="宋体" w:hAnsi="宋体" w:cs="宋体"/>
          <w:color w:val="auto"/>
        </w:rPr>
        <w:t>按照国家发改价格（2011）534号文及发改办价格[2015]299号文</w:t>
      </w:r>
      <w:r>
        <w:rPr>
          <w:rFonts w:hint="eastAsia" w:ascii="宋体" w:hAnsi="宋体"/>
          <w:color w:val="auto"/>
        </w:rPr>
        <w:t>的收费标准一次性付清中标服务费。</w:t>
      </w:r>
    </w:p>
    <w:p>
      <w:pPr>
        <w:pStyle w:val="84"/>
        <w:spacing w:line="500" w:lineRule="exact"/>
        <w:ind w:firstLine="480" w:firstLineChars="200"/>
        <w:jc w:val="both"/>
        <w:rPr>
          <w:rFonts w:ascii="宋体" w:hAnsi="宋体"/>
          <w:color w:val="auto"/>
        </w:rPr>
      </w:pPr>
      <w:r>
        <w:rPr>
          <w:rFonts w:hint="eastAsia" w:ascii="宋体" w:hAnsi="宋体"/>
          <w:color w:val="auto"/>
        </w:rPr>
        <w:t>34.2  中标服务费的计算基数：</w:t>
      </w:r>
      <w:r>
        <w:rPr>
          <w:rFonts w:hint="eastAsia" w:ascii="宋体" w:hAnsi="宋体"/>
          <w:b/>
          <w:color w:val="auto"/>
          <w:u w:val="single"/>
        </w:rPr>
        <w:t>中标通知书载明的中标金额</w:t>
      </w:r>
      <w:r>
        <w:rPr>
          <w:rFonts w:hint="eastAsia" w:ascii="宋体" w:hAnsi="宋体"/>
          <w:b/>
          <w:color w:val="auto"/>
        </w:rPr>
        <w:t>。</w:t>
      </w:r>
    </w:p>
    <w:p>
      <w:pPr>
        <w:pStyle w:val="84"/>
        <w:numPr>
          <w:ilvl w:val="0"/>
          <w:numId w:val="3"/>
        </w:numPr>
        <w:spacing w:line="500" w:lineRule="exact"/>
        <w:ind w:firstLine="480" w:firstLineChars="200"/>
        <w:jc w:val="both"/>
        <w:rPr>
          <w:rFonts w:ascii="宋体" w:hAnsi="宋体"/>
          <w:color w:val="auto"/>
        </w:rPr>
      </w:pPr>
      <w:r>
        <w:rPr>
          <w:rFonts w:hint="eastAsia" w:ascii="宋体" w:hAnsi="宋体"/>
          <w:color w:val="auto"/>
        </w:rPr>
        <w:t xml:space="preserve"> 本招标文件是根据《中华人民共和国政府采购法》的规定编制，解释权属新疆华域建设工程项目管理咨询有限公司。</w:t>
      </w:r>
    </w:p>
    <w:p>
      <w:pPr>
        <w:pStyle w:val="160"/>
        <w:spacing w:line="500" w:lineRule="exact"/>
        <w:jc w:val="center"/>
        <w:outlineLvl w:val="0"/>
        <w:rPr>
          <w:rFonts w:ascii="宋体" w:hAnsi="宋体"/>
          <w:b/>
          <w:color w:val="auto"/>
          <w:sz w:val="24"/>
        </w:rPr>
      </w:pPr>
    </w:p>
    <w:p>
      <w:pPr>
        <w:pStyle w:val="160"/>
        <w:spacing w:line="500" w:lineRule="exact"/>
        <w:jc w:val="center"/>
        <w:outlineLvl w:val="0"/>
        <w:rPr>
          <w:rFonts w:ascii="宋体" w:hAnsi="宋体"/>
          <w:b/>
          <w:color w:val="auto"/>
          <w:sz w:val="24"/>
        </w:rPr>
      </w:pPr>
    </w:p>
    <w:p>
      <w:pPr>
        <w:pStyle w:val="160"/>
        <w:spacing w:line="500" w:lineRule="exact"/>
        <w:jc w:val="both"/>
        <w:outlineLvl w:val="0"/>
        <w:rPr>
          <w:rFonts w:ascii="宋体" w:hAnsi="宋体"/>
          <w:b/>
          <w:color w:val="auto"/>
          <w:sz w:val="24"/>
        </w:rPr>
      </w:pPr>
    </w:p>
    <w:p>
      <w:pPr>
        <w:pStyle w:val="160"/>
        <w:spacing w:line="500" w:lineRule="exact"/>
        <w:jc w:val="both"/>
        <w:outlineLvl w:val="0"/>
        <w:rPr>
          <w:rFonts w:ascii="宋体" w:hAnsi="宋体"/>
          <w:b/>
          <w:color w:val="auto"/>
          <w:sz w:val="24"/>
        </w:rPr>
        <w:sectPr>
          <w:headerReference r:id="rId5" w:type="default"/>
          <w:footerReference r:id="rId6" w:type="default"/>
          <w:pgSz w:w="11906" w:h="16838"/>
          <w:pgMar w:top="1418" w:right="1134" w:bottom="1418" w:left="1418" w:header="851" w:footer="851" w:gutter="0"/>
          <w:pgNumType w:start="1"/>
          <w:cols w:space="720" w:num="1"/>
          <w:docGrid w:type="linesAndChars" w:linePitch="312" w:charSpace="0"/>
        </w:sectPr>
      </w:pPr>
    </w:p>
    <w:p>
      <w:pPr>
        <w:numPr>
          <w:ilvl w:val="0"/>
          <w:numId w:val="4"/>
        </w:numPr>
        <w:jc w:val="center"/>
        <w:rPr>
          <w:rFonts w:ascii="仿宋" w:hAnsi="仿宋" w:eastAsia="仿宋" w:cs="仿宋"/>
          <w:color w:val="auto"/>
          <w:spacing w:val="-3"/>
          <w:sz w:val="24"/>
          <w:szCs w:val="24"/>
        </w:rPr>
      </w:pPr>
      <w:bookmarkStart w:id="14" w:name="_Toc4714"/>
      <w:r>
        <w:rPr>
          <w:rFonts w:hint="eastAsia" w:ascii="宋体" w:hAnsi="宋体"/>
          <w:b/>
          <w:color w:val="auto"/>
          <w:sz w:val="24"/>
        </w:rPr>
        <w:t>货物需求一览表及技术规格要求</w:t>
      </w:r>
      <w:bookmarkEnd w:id="14"/>
      <w:bookmarkStart w:id="15" w:name="_Toc5541"/>
    </w:p>
    <w:tbl>
      <w:tblPr>
        <w:tblStyle w:val="42"/>
        <w:tblW w:w="9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698"/>
        <w:gridCol w:w="3297"/>
        <w:gridCol w:w="1950"/>
        <w:gridCol w:w="1300"/>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 xml:space="preserve">新型冠状病毒PCR实验室仪器设备配置一览表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分区</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用途</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试剂准备区</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超净工作台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配试剂</w:t>
            </w:r>
          </w:p>
        </w:tc>
        <w:tc>
          <w:tcPr>
            <w:tcW w:w="13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双人单面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低速离心机</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配置试剂离心</w:t>
            </w:r>
          </w:p>
        </w:tc>
        <w:tc>
          <w:tcPr>
            <w:tcW w:w="13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混均仪/旋涡混合器/涡旋震荡器</w:t>
            </w:r>
          </w:p>
        </w:tc>
        <w:tc>
          <w:tcPr>
            <w:tcW w:w="1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试剂混均</w:t>
            </w:r>
          </w:p>
        </w:tc>
        <w:tc>
          <w:tcPr>
            <w:tcW w:w="13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9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移液器</w:t>
            </w:r>
          </w:p>
        </w:tc>
        <w:tc>
          <w:tcPr>
            <w:tcW w:w="1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移液</w:t>
            </w:r>
          </w:p>
        </w:tc>
        <w:tc>
          <w:tcPr>
            <w:tcW w:w="13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各4只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9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八道移液器</w:t>
            </w:r>
          </w:p>
        </w:tc>
        <w:tc>
          <w:tcPr>
            <w:tcW w:w="1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移液</w:t>
            </w:r>
          </w:p>
        </w:tc>
        <w:tc>
          <w:tcPr>
            <w:tcW w:w="13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移液器支架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放移液器</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低温保存箱</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试剂存放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冷冻温度范围：-15℃～-30℃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紫外消毒车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空间消毒</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样本制备区</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生物安全柜</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样本处理</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电热恒温培养箱</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试剂存放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96孔核酸提取仪</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核酸提取</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八连排离心机</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配置试剂离心</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混均仪/旋涡混合器/涡旋震荡器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试剂混均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移液器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移液</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各4只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八道移液器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移液</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移液器支架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放移液器</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紫外消毒车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空间消毒</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超低温冰箱</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样本暂存</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医用冷藏箱</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试剂存放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低温保存箱</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试剂存放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冷冻温度范围：-15℃～-30℃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洗消间</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高压蒸汽灭菌器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废物消毒</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120L全自动内循环包含线上办证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扩增区</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荧光定量PCR仪</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核酸扩增</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医用冷藏箱</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试剂存放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紫外消毒车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空间消毒</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样本接收间</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生物安全柜</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样本处理</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医用冷藏箱</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试剂存放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低温保存箱</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试剂存放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冷冻温度范围：-15℃～-30℃</w:t>
            </w:r>
          </w:p>
        </w:tc>
      </w:tr>
    </w:tbl>
    <w:p>
      <w:pPr>
        <w:jc w:val="center"/>
        <w:rPr>
          <w:rFonts w:hint="eastAsia" w:ascii="宋体" w:hAnsi="宋体" w:eastAsia="宋体" w:cs="宋体"/>
          <w:sz w:val="24"/>
          <w:szCs w:val="24"/>
          <w:lang w:eastAsia="zh-CN"/>
        </w:rPr>
      </w:pPr>
    </w:p>
    <w:p>
      <w:pPr>
        <w:pStyle w:val="38"/>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全自动核酸提取仪技术参数</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1、★磁棒套：磁棒套自动装载功能，避免手动装载造成的耗材污染</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2、★加热板：升降式加热板位，可避免试剂挥发，升温速度快，温控效果好</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3、防滴落设计：磁珠防滴落设计，保障实验结果准确可靠</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4、设备外观</w:t>
      </w:r>
      <w:r>
        <w:rPr>
          <w:rFonts w:hint="eastAsia" w:ascii="宋体" w:hAnsi="宋体" w:eastAsia="宋体" w:cs="宋体"/>
          <w:sz w:val="24"/>
          <w:szCs w:val="24"/>
        </w:rPr>
        <w:tab/>
      </w:r>
      <w:r>
        <w:rPr>
          <w:rFonts w:hint="eastAsia" w:ascii="宋体" w:hAnsi="宋体" w:eastAsia="宋体" w:cs="宋体"/>
          <w:sz w:val="24"/>
          <w:szCs w:val="24"/>
        </w:rPr>
        <w:t>体积小，重量轻，节省实验室空间</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5、★试剂应用范围：支持6连条小人份试剂避免试剂浪费，开放式平台，应用范围广，可适配市面上大部分同类别检测</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6、样本通量：可同时在线1-96个样品的核酸提取</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7、处理体积：20ul-1000ul</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8、磁珠回收率＞95%</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9、★提取纯化孔间差异：经过提取纯化后产物的浓度孔间差异＜2%</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10、支持板类型：96孔深孔板</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11、★深孔板位≥8位，采用旋转式(非平板矩阵式)板位排布</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12、温控模式：96孔可升降式加热板位</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13、温控温度：室温-100℃，受热均匀</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14、温度控制：温度设定在65℃，温度值在设定值的±1℃内，波动度≤±1℃</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15、★磁棒模块、磁套模块结构：磁棒模块、磁套模块均采用电机精准控制结构，运动低噪声，低磨损，保证仪器长时间运行</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16、模块独立性：磁棒架、磁套架均采用独立模块，可避免仪器振动、共振</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17、震荡模式：多种震荡方式，震荡频率、振幅可调</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18、杀菌消毒：具有内置可定时紫外消毒功能</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19、显示屏：7寸触控彩色屏幕，支持中英文界面，简单易用</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20、程序管理：支持中英文界面切换、新建、编辑、删除模式程序，自由灵活编辑提取程序</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21、相关资质：具备一类备案凭证，取得国家相关批文，取得国家ISO9001、ISO13485质量管理体系认证</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全自动医用 PCR 分析系统参数</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 样本容量： 96 通量；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 反应体系：15-100uL；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 适用耗材：0.2ml PCR 管，8 联排管，96 孔板；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4. 检测时长：7 秒内完成 96 孔位的 6 种荧光通道的逐孔扫描，高效且无荧光边</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缘效应；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5. ★最大升降温速率：≥5℃/s；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6. 温度范围：4.0℃～99.0℃，温度准确性：≤0.5℃；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7. ★多区温控：8 分区独立控温方式；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8. 热循环系统：基于 Peltier 技术的半导体热电模块；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9. ★热盖性能：温度 50℃~108℃，热盖运行采用高精度多级传动机构，运行平</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稳，位置精准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10. 激发光源：LED 免维护光源，独特的恒流电源设计，使 LED 光源稳定可靠；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11. ★荧光检测模式：侧面扫描检测；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12. 动态范围：≥10 个数量级；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13. 指示灯：三种不同颜色的状态指示灯，准确反应实验状态；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14. 4 色激发光通道和 4 色检测光通道，另有 2 色定制通道，根据客户需求定制</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染料，可同时检测 6 个靶标；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15. 光学激发检测范围：300-800 nm/500-800 nm，可支持“FAM，SYBR-Green，</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HEX，JOE，VIC，TET，ROX，Texas-Red，CY5”等多种染料；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16. 数据稳定性好：6 个通道间有较强的抗干扰性；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17. 内部结构：独特的转盘设计，确保荧光采集激发光的一致性，每个通道互不</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干扰；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18. 分析软件应用：定性/绝对定量、标准溶解曲线、相对定量、终点法等基因分</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型，可自动进行数据分析、比对、作图；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19. 扫描模式：全板扫描，指定行扫描；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20. 有断电保护功能，保留数据不丢失；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21. 控温模式：试管控温，模块控温；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22. 检测组件：光电二极管检测系统；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23. ★激发和检测通道传播介质：双向 192 根稳定的耐高温光导纤维，稳定的光</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纤安装方式，光纤通光率强，灵敏度高，损耗小；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24. 荧光线性：线性回归系数 r≥0.99；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25. 报告模式：支持自定义报告单，EXCEL 、CSV 等导出格式；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26. 电源输入：220V、50Hz；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27. ★接口方式：随设备配置了两根连接线，USB 转串口线、RS232 串口线，两</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根线均可独立使用，可根据客户需求选择合适的连接线；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28. 体积重量：体积小巧，386mm×534mm×258mm，重量轻，仅 20kg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29. 配套试剂：开放平台，适用于国内外厂家所开发的临床试剂；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30. 注册证书：可提供有效期内的第三类 NMPA 注册证；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31. 软件：加热程序可以从外部导入，并在实验中直接编辑； </w:t>
      </w:r>
    </w:p>
    <w:p>
      <w:pPr>
        <w:keepNext w:val="0"/>
        <w:keepLines w:val="0"/>
        <w:pageBreakBefore w:val="0"/>
        <w:kinsoku/>
        <w:wordWrap/>
        <w:overflowPunct/>
        <w:topLinePunct w:val="0"/>
        <w:autoSpaceDE/>
        <w:autoSpaceDN/>
        <w:bidi w:val="0"/>
        <w:spacing w:line="500" w:lineRule="exact"/>
        <w:ind w:firstLine="484"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 软件界面可缩放，方便用户操作； </w:t>
      </w:r>
    </w:p>
    <w:p>
      <w:pPr>
        <w:keepNext w:val="0"/>
        <w:keepLines w:val="0"/>
        <w:pageBreakBefore w:val="0"/>
        <w:kinsoku/>
        <w:wordWrap/>
        <w:overflowPunct/>
        <w:topLinePunct w:val="0"/>
        <w:autoSpaceDE/>
        <w:autoSpaceDN/>
        <w:bidi w:val="0"/>
        <w:spacing w:line="500" w:lineRule="exact"/>
        <w:ind w:firstLine="484"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 包含中英文版，方便用户选择； </w:t>
      </w:r>
    </w:p>
    <w:p>
      <w:pPr>
        <w:keepNext w:val="0"/>
        <w:keepLines w:val="0"/>
        <w:pageBreakBefore w:val="0"/>
        <w:kinsoku/>
        <w:wordWrap/>
        <w:overflowPunct/>
        <w:topLinePunct w:val="0"/>
        <w:autoSpaceDE/>
        <w:autoSpaceDN/>
        <w:bidi w:val="0"/>
        <w:spacing w:line="500" w:lineRule="exact"/>
        <w:ind w:firstLine="484"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 可根据模板创建实验，方便用户操作，无需重复设置； </w:t>
      </w:r>
    </w:p>
    <w:p>
      <w:pPr>
        <w:keepNext w:val="0"/>
        <w:keepLines w:val="0"/>
        <w:pageBreakBefore w:val="0"/>
        <w:kinsoku/>
        <w:wordWrap/>
        <w:overflowPunct/>
        <w:topLinePunct w:val="0"/>
        <w:autoSpaceDE/>
        <w:autoSpaceDN/>
        <w:bidi w:val="0"/>
        <w:spacing w:line="500" w:lineRule="exact"/>
        <w:ind w:firstLine="484"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4. 可自动禁止电脑休眠； </w:t>
      </w:r>
    </w:p>
    <w:p>
      <w:pPr>
        <w:keepNext w:val="0"/>
        <w:keepLines w:val="0"/>
        <w:pageBreakBefore w:val="0"/>
        <w:kinsoku/>
        <w:wordWrap/>
        <w:overflowPunct/>
        <w:topLinePunct w:val="0"/>
        <w:autoSpaceDE/>
        <w:autoSpaceDN/>
        <w:bidi w:val="0"/>
        <w:spacing w:line="500" w:lineRule="exact"/>
        <w:ind w:firstLine="484"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 最近打开的实验和模板可按实验类型分类显示，方便用户打开查</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看； </w:t>
      </w:r>
    </w:p>
    <w:p>
      <w:pPr>
        <w:keepNext w:val="0"/>
        <w:keepLines w:val="0"/>
        <w:pageBreakBefore w:val="0"/>
        <w:kinsoku/>
        <w:wordWrap/>
        <w:overflowPunct/>
        <w:topLinePunct w:val="0"/>
        <w:autoSpaceDE/>
        <w:autoSpaceDN/>
        <w:bidi w:val="0"/>
        <w:spacing w:line="500" w:lineRule="exact"/>
        <w:ind w:firstLine="484"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6. 强大的报表设计编辑功能 </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p>
    <w:p>
      <w:pPr>
        <w:keepNext w:val="0"/>
        <w:keepLines w:val="0"/>
        <w:pageBreakBefore w:val="0"/>
        <w:tabs>
          <w:tab w:val="left" w:pos="10980"/>
        </w:tabs>
        <w:kinsoku/>
        <w:wordWrap/>
        <w:overflowPunct/>
        <w:topLinePunct w:val="0"/>
        <w:autoSpaceDE/>
        <w:autoSpaceDN/>
        <w:bidi w:val="0"/>
        <w:spacing w:line="500" w:lineRule="exact"/>
        <w:ind w:right="-445" w:rightChars="-210"/>
        <w:jc w:val="center"/>
        <w:textAlignment w:val="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2~8℃医用冷藏箱</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一、用   途：</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用于医疗行业冷藏疫苗、药品的专业冷藏设备，适用于药房、制药厂、医院、疾控预防控制中心、社区卫生服务中心、各等。</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二、主要技术参数：</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2.1、工作条件：环境温度16~32℃，环境湿度：20~80%RH，电压：198V~242V，频率：(50±1)Hz。</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2.2、样式：立式，玻璃门。</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2.3、有效容积：525L，带锁设计。</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2.4、外部尺寸（宽*深*高mm）：720*810*1961。</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2.5、内部尺寸（宽*深*高mm）：610*685*1264。</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2.6、净重/毛重（KG）：148/174。</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2.7、箱体材料：喷涂钢板。</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2.8、内胆材料：喷涂铝板。</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2.9、保温材料：无CFC聚氨酯发泡。</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2.10、箱内顶部LED照明系统，功耗低，亮度高，箱体内部一目了然。</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2.11、压缩机：采用名牌高效压缩机，品牌风扇电机，节能高效、静音。</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2.12、数码温度屏，视觉更柔和，显示精度0.1℃。</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themeColor="text1"/>
          <w:sz w:val="24"/>
          <w:szCs w:val="24"/>
        </w:rPr>
      </w:pPr>
      <w:r>
        <w:rPr>
          <w:rFonts w:hint="eastAsia" w:ascii="宋体" w:hAnsi="宋体" w:eastAsia="宋体" w:cs="宋体"/>
          <w:sz w:val="24"/>
          <w:szCs w:val="24"/>
        </w:rPr>
        <w:t>★</w:t>
      </w:r>
      <w:r>
        <w:rPr>
          <w:rFonts w:hint="eastAsia" w:ascii="宋体" w:hAnsi="宋体" w:eastAsia="宋体" w:cs="宋体"/>
          <w:color w:val="000000" w:themeColor="text1"/>
          <w:sz w:val="24"/>
          <w:szCs w:val="24"/>
        </w:rPr>
        <w:t>2.13、6个高密度钢丝浸塑搁架，带标签卡，方便存放物品标识，且易于清洗。</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themeColor="text1"/>
          <w:sz w:val="24"/>
          <w:szCs w:val="24"/>
        </w:rPr>
      </w:pPr>
      <w:r>
        <w:rPr>
          <w:rFonts w:hint="eastAsia" w:ascii="宋体" w:hAnsi="宋体" w:eastAsia="宋体" w:cs="宋体"/>
          <w:sz w:val="24"/>
          <w:szCs w:val="24"/>
        </w:rPr>
        <w:t>★</w:t>
      </w:r>
      <w:r>
        <w:rPr>
          <w:rFonts w:hint="eastAsia" w:ascii="宋体" w:hAnsi="宋体" w:eastAsia="宋体" w:cs="宋体"/>
          <w:color w:val="000000" w:themeColor="text1"/>
          <w:sz w:val="24"/>
          <w:szCs w:val="24"/>
        </w:rPr>
        <w:t>2.14、风冷式高效冷凝器，翅片式蒸发器，冷藏内置吸风风扇，制冷迅速；具备自然化霜功能，化霜过程中箱内温度仍保持在2~8℃范围内。</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themeColor="text1"/>
          <w:sz w:val="24"/>
          <w:szCs w:val="24"/>
        </w:rPr>
      </w:pPr>
      <w:r>
        <w:rPr>
          <w:rFonts w:hint="eastAsia" w:ascii="宋体" w:hAnsi="宋体" w:eastAsia="宋体" w:cs="宋体"/>
          <w:sz w:val="24"/>
          <w:szCs w:val="24"/>
        </w:rPr>
        <w:t>★</w:t>
      </w:r>
      <w:r>
        <w:rPr>
          <w:rFonts w:hint="eastAsia" w:ascii="宋体" w:hAnsi="宋体" w:eastAsia="宋体" w:cs="宋体"/>
          <w:color w:val="000000" w:themeColor="text1"/>
          <w:sz w:val="24"/>
          <w:szCs w:val="24"/>
        </w:rPr>
        <w:t>2.15、微电脑温度控制系统，内置上部温度、下部温度、控制/报警温度、环境温度、蒸发器温度、冷凝器温度、湿度传感器等7路传感器，确保运行状态安全稳定, 温度传感器置于箱内空气中，实时感应温度变化。</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2.16、风道式强制冷气循环系统，确保箱体内部温度均匀性。箱内温度波动范围±3℃，可通过设定温度使箱内温度保持在2~8℃范围内。</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2.17、声光报警功能：声音蜂鸣、报警代码3秒/次间隔闪烁，具备远程报警功能。具有高温、低温、传感器故警、开门、断电报警等多种功能，物品存放更安全。</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themeColor="text1"/>
          <w:sz w:val="24"/>
          <w:szCs w:val="24"/>
        </w:rPr>
      </w:pPr>
      <w:r>
        <w:rPr>
          <w:rFonts w:hint="eastAsia" w:ascii="宋体" w:hAnsi="宋体" w:eastAsia="宋体" w:cs="宋体"/>
          <w:sz w:val="24"/>
          <w:szCs w:val="24"/>
        </w:rPr>
        <w:t>★</w:t>
      </w:r>
      <w:r>
        <w:rPr>
          <w:rFonts w:hint="eastAsia" w:ascii="宋体" w:hAnsi="宋体" w:eastAsia="宋体" w:cs="宋体"/>
          <w:color w:val="000000" w:themeColor="text1"/>
          <w:sz w:val="24"/>
          <w:szCs w:val="24"/>
        </w:rPr>
        <w:t>2.18、断电报警后，蓄电池可提供不少于48小时显示及报警功能，并为温度记录打印机、USB端口供电。</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2.19、标配USB数据导出接口，接入U盘可自动存储当月及上月数据，数据PDF格式。U盘持续连接可自动持续存储温度数据。</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2.20、标配485接口、远程报警接口。</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themeColor="text1"/>
          <w:sz w:val="24"/>
          <w:szCs w:val="24"/>
        </w:rPr>
      </w:pPr>
      <w:r>
        <w:rPr>
          <w:rFonts w:hint="eastAsia" w:ascii="宋体" w:hAnsi="宋体" w:eastAsia="宋体" w:cs="宋体"/>
          <w:sz w:val="24"/>
          <w:szCs w:val="24"/>
        </w:rPr>
        <w:t>★</w:t>
      </w:r>
      <w:r>
        <w:rPr>
          <w:rFonts w:hint="eastAsia" w:ascii="宋体" w:hAnsi="宋体" w:eastAsia="宋体" w:cs="宋体"/>
          <w:color w:val="000000" w:themeColor="text1"/>
          <w:sz w:val="24"/>
          <w:szCs w:val="24"/>
        </w:rPr>
        <w:t>2.21、标配电加热玻璃门，门体加热模式：自动加热模式、常开加热模式、常关模式等，开门小角度自动关门功能。</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themeColor="text1"/>
          <w:sz w:val="24"/>
          <w:szCs w:val="24"/>
        </w:rPr>
      </w:pPr>
      <w:r>
        <w:rPr>
          <w:rFonts w:hint="eastAsia" w:ascii="宋体" w:hAnsi="宋体" w:eastAsia="宋体" w:cs="宋体"/>
          <w:sz w:val="24"/>
          <w:szCs w:val="24"/>
        </w:rPr>
        <w:t>★</w:t>
      </w:r>
      <w:r>
        <w:rPr>
          <w:rFonts w:hint="eastAsia" w:ascii="宋体" w:hAnsi="宋体" w:eastAsia="宋体" w:cs="宋体"/>
          <w:color w:val="000000" w:themeColor="text1"/>
          <w:sz w:val="24"/>
          <w:szCs w:val="24"/>
        </w:rPr>
        <w:t>2.22、当控制/报警传感器发生故障时，压缩机会按照规律智能开停，确保物品存储安全。</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themeColor="text1"/>
          <w:sz w:val="24"/>
          <w:szCs w:val="24"/>
        </w:rPr>
      </w:pPr>
      <w:r>
        <w:rPr>
          <w:rFonts w:hint="eastAsia" w:ascii="宋体" w:hAnsi="宋体" w:eastAsia="宋体" w:cs="宋体"/>
          <w:sz w:val="24"/>
          <w:szCs w:val="24"/>
        </w:rPr>
        <w:t>★</w:t>
      </w:r>
      <w:r>
        <w:rPr>
          <w:rFonts w:hint="eastAsia" w:ascii="宋体" w:hAnsi="宋体" w:eastAsia="宋体" w:cs="宋体"/>
          <w:color w:val="000000" w:themeColor="text1"/>
          <w:sz w:val="24"/>
          <w:szCs w:val="24"/>
        </w:rPr>
        <w:t>2.23、左侧标配1个测试孔，方便测试箱内温度。</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bCs/>
          <w:color w:val="000000"/>
          <w:sz w:val="24"/>
          <w:szCs w:val="24"/>
        </w:rPr>
        <w:t>2.24、资质：</w:t>
      </w:r>
      <w:r>
        <w:rPr>
          <w:rFonts w:hint="eastAsia" w:ascii="宋体" w:hAnsi="宋体" w:eastAsia="宋体" w:cs="宋体"/>
          <w:color w:val="000000"/>
          <w:sz w:val="24"/>
          <w:szCs w:val="24"/>
        </w:rPr>
        <w:t>医疗器械生产企业许可证、ISO9001质量管理体系认证ISO14001、环境管理体系认证ISO13485医疗器械质量管理体系认证、职业健康体系认证</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2.25、医疗器械产品注册证（按照货物的明确型号注册）</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三、服务要求：</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3.1、验收合格后，整机免费保修一年，压缩机等主要零部件免费保修五年，终身维修。</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3.2、接到维修通知后，2小时内响应，48小时内实施维修服务。</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3.3、终身免费提供技术服务、技术支持及咨询服务，在任何时候、任何地点均可享受到终生的免费咨询服务。</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themeColor="text1"/>
          <w:sz w:val="24"/>
          <w:szCs w:val="24"/>
        </w:rPr>
      </w:pP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p>
    <w:p>
      <w:pPr>
        <w:pStyle w:val="2"/>
        <w:rPr>
          <w:rFonts w:hint="eastAsia"/>
        </w:rPr>
      </w:pP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500" w:lineRule="exact"/>
        <w:jc w:val="both"/>
        <w:textAlignment w:val="auto"/>
        <w:rPr>
          <w:rFonts w:hint="eastAsia" w:ascii="宋体" w:hAnsi="宋体" w:eastAsia="宋体" w:cs="宋体"/>
          <w:b/>
          <w:color w:val="000000"/>
          <w:sz w:val="24"/>
          <w:szCs w:val="24"/>
        </w:rPr>
      </w:pPr>
    </w:p>
    <w:p>
      <w:pPr>
        <w:keepNext w:val="0"/>
        <w:keepLines w:val="0"/>
        <w:pageBreakBefore w:val="0"/>
        <w:kinsoku/>
        <w:wordWrap/>
        <w:overflowPunct/>
        <w:topLinePunct w:val="0"/>
        <w:autoSpaceDE/>
        <w:autoSpaceDN/>
        <w:bidi w:val="0"/>
        <w:adjustRightInd w:val="0"/>
        <w:snapToGrid w:val="0"/>
        <w:spacing w:line="500" w:lineRule="exact"/>
        <w:ind w:left="42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-86℃超低温冷冻储存箱</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一、功能描述：</w:t>
      </w:r>
      <w:r>
        <w:rPr>
          <w:rFonts w:hint="eastAsia" w:ascii="宋体" w:hAnsi="宋体" w:eastAsia="宋体" w:cs="宋体"/>
          <w:color w:val="000000"/>
          <w:sz w:val="24"/>
          <w:szCs w:val="24"/>
        </w:rPr>
        <w:t>保存生物制品、病毒、病菌、红细胞、白细胞、皮肤、骨骼、电子器件、特殊材料的低温试验等，适用于医院、血站、疾控中心、科研院所、电子化工等企业实验室、生物医学工程研究所等。</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二、技术要求及配置：</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2.1、工作条件：环境温度16~32℃，环境湿度：20~80%RH，电压：198V~242V，频率：(50±1)Hz。</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2.2、样式：立式。</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2.3、有效容积100L。</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2.4、数码温度显示，可实时显示箱内温度和各种设定参数（温度、电压、环境温度、压缩机运行状态等）。</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2.5、高精度微电脑温度控制系统，确保箱内温度保持在-40℃～-86℃范围内，显示精度0.1℃。</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2.6、内胆材料：采用全不锈钢材质内胆，抗腐蚀，使用寿命长，清洗方便。</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2.7、保温材料：采用加厚保温层及VIP保温板，多道门封设计，保温效果好。</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2.8、无氟环保制冷工质,自主知识产权的独特制冷回路，降温速度更快，温度更均匀,单级油滑润压缩机制冷技术，制冷能力更强。</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 xml:space="preserve">2.9、安全存储：完善的声光报警系统（高低温、电压异常、断电报警、传感器故障、冷凝器散热差、系统故障等），物品存储更安全； </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2.10、进口高效压缩机，动力强劲，质量更可靠，进口EBM低噪音风机，节能高效。冷凝风机及压缩机散热风机可根据环境温度变化及压缩机运行状态智能开停。</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2.11、测试孔设计，方便测试箱内温度。 </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2.12、标配温度记录打印机，可随时调阅温度数据。 *2.19、获得国家CQC节能认证和环保认证。</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2.13、可存储2英寸标准冻存盒63个，2ml内旋冻存管6300个。</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bCs/>
          <w:color w:val="000000"/>
          <w:sz w:val="24"/>
          <w:szCs w:val="24"/>
        </w:rPr>
        <w:t>2.14资质</w:t>
      </w:r>
      <w:r>
        <w:rPr>
          <w:rFonts w:hint="eastAsia" w:ascii="宋体" w:hAnsi="宋体" w:eastAsia="宋体" w:cs="宋体"/>
          <w:b/>
          <w:color w:val="000000"/>
          <w:sz w:val="24"/>
          <w:szCs w:val="24"/>
        </w:rPr>
        <w:t>：</w:t>
      </w:r>
      <w:r>
        <w:rPr>
          <w:rFonts w:hint="eastAsia" w:ascii="宋体" w:hAnsi="宋体" w:eastAsia="宋体" w:cs="宋体"/>
          <w:color w:val="000000"/>
          <w:sz w:val="24"/>
          <w:szCs w:val="24"/>
        </w:rPr>
        <w:t>医疗器械生产企业许可证、ISO9001质量管理体系认证ISO14001、环境管理体系认证ISO13485医疗器械质量管理体系认证、职业健康体系认证</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2.15、医疗器械产品注册证（按照货物的明确型号注册）</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三、服务要求：</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3.1、验收合格后，整机免费保修一年，压缩机等主要零部件免费保修五年，终身维修。</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3.2、接到维修通知后，2小时内响应，48小时内实施维修服务。</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3.3、终身免费提供技术服务、技术支持及咨询服务，在任何时候、任何地点均可享受到终生的免费咨询服务。</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-25度医用低温箱</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b/>
          <w:sz w:val="24"/>
          <w:szCs w:val="24"/>
        </w:rPr>
      </w:pP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一、用  途：</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可用于冷冻冰排、储存血浆、试剂及各种需要冷冻储存的物品。适用于医院、社区卫生服务中心、疾病预防控制中心、血站、高校实验室等。</w:t>
      </w:r>
    </w:p>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000000"/>
          <w:sz w:val="24"/>
          <w:szCs w:val="24"/>
        </w:rPr>
      </w:pP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二、主要参数指标：</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2.1、工作条件：环境温度16-32℃，环境湿度：20-80%，电压：220V±10% ， 频率：50±1HZ。</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2.2、样式：立式，双门。</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2.3、有效容积（L）：不小于450。</w:t>
      </w:r>
    </w:p>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2.4、箱体材质：箱体采用优质PCM钢板，表面色泽柔和。</w:t>
      </w:r>
    </w:p>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2.5、内胆材料：内壁为喷涂铝板材质，经久耐用、便于清洁。</w:t>
      </w:r>
    </w:p>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2.6、内部结构：上下两室，每室配置不少于六个ABS抽屉。</w:t>
      </w:r>
    </w:p>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2.7、箱体上下室标配两个测试孔，方便测试箱内温度变化。</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2.8、独立控温：双压缩机双系统，上室、下室可独立控温，系统可靠，丝管式蒸发器，丝管冷凝器，温度稳定，确保箱内温度均匀性。</w:t>
      </w:r>
    </w:p>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2.9、上下独立内藏式门把手设计，美观大方。</w:t>
      </w:r>
    </w:p>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2.10、箱体配锁，可一锁同时锁住上下室，防止随意开启，确保样本安全,上下室可选配外挂锁。</w:t>
      </w:r>
    </w:p>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2.11、前后4个万向轮（前面两个万向轮带锁止功能），方便箱体移动安放。</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2.12、压缩机：采用名牌高效压缩机，品牌风扇电机，节能高效、静音。</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2.13、保温材料：无CFC聚氨酯发泡保温层，环保无污染。</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2.14、制冷剂：无氟环保制冷剂，稳定可靠，不易燃易爆。</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2.15、精确控温：高清晰数码温度显示，上下室温度左右分区独立显示，高精度微电脑温度控制系统，确保箱体内温度保持在-10℃~-25℃范围内，显示精度0.1℃。</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2.16、声光报警系统：高低温报警、开门报警、断电报警、电池电量低报警、传感器故障报警等多重保障，全面保障样本安全。开门持续1分钟，指示灯闪烁及蜂鸣报警，门关闭报警消除。</w:t>
      </w:r>
    </w:p>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2.17、标配USB数据导出接口：接入U盘可自动存储当月及上月数据，数据输出PDF格式，最大存储条数100000条，最大存储时限48年。U盘持续连接可自动持续存储温度数据。</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2.18、具备医疗器械注册证，证书上型号和投标型号完全相符。</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2.19、医疗器械生产企业许可证、ISO9001质量管理体系认证ISO14001、环境管理体系认证\TUV医疗器械质量管理体系认证、职业健康体系认证</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三、服务要求：</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3.1、验收合格后，整机免费保修五年,易损件1年（照明灯、钥匙、门把手、电池），终身维修。</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3.2、接到维修通知后，2小时内响应，48小时内实施维修服务。</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3.3、终身免费提供技术服务、技术支持及咨询服务，在任何时候、任何地点均可享受到终生的免费咨询服务。</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color w:val="000000"/>
          <w:sz w:val="24"/>
          <w:szCs w:val="24"/>
        </w:rPr>
      </w:pP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医用洁净工作台</w:t>
      </w:r>
    </w:p>
    <w:p>
      <w:pPr>
        <w:keepNext w:val="0"/>
        <w:keepLines w:val="0"/>
        <w:pageBreakBefore w:val="0"/>
        <w:numPr>
          <w:ilvl w:val="0"/>
          <w:numId w:val="5"/>
        </w:numPr>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外部尺寸:1400mm×600mm×1750mm；</w:t>
      </w:r>
    </w:p>
    <w:p>
      <w:pPr>
        <w:keepNext w:val="0"/>
        <w:keepLines w:val="0"/>
        <w:pageBreakBefore w:val="0"/>
        <w:numPr>
          <w:ilvl w:val="0"/>
          <w:numId w:val="5"/>
        </w:numPr>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内部尺寸:1300mm ×500mm×600mm；</w:t>
      </w:r>
    </w:p>
    <w:p>
      <w:pPr>
        <w:keepNext w:val="0"/>
        <w:keepLines w:val="0"/>
        <w:pageBreakBefore w:val="0"/>
        <w:numPr>
          <w:ilvl w:val="0"/>
          <w:numId w:val="5"/>
        </w:numPr>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额定功率：750 W；</w:t>
      </w:r>
    </w:p>
    <w:p>
      <w:pPr>
        <w:keepNext w:val="0"/>
        <w:keepLines w:val="0"/>
        <w:pageBreakBefore w:val="0"/>
        <w:numPr>
          <w:ilvl w:val="0"/>
          <w:numId w:val="5"/>
        </w:numPr>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气流流速：0.30～0.45m/s；</w:t>
      </w:r>
    </w:p>
    <w:p>
      <w:pPr>
        <w:keepNext w:val="0"/>
        <w:keepLines w:val="0"/>
        <w:pageBreakBefore w:val="0"/>
        <w:numPr>
          <w:ilvl w:val="0"/>
          <w:numId w:val="5"/>
        </w:numPr>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紫外灯功率：40W；</w:t>
      </w:r>
    </w:p>
    <w:p>
      <w:pPr>
        <w:keepNext w:val="0"/>
        <w:keepLines w:val="0"/>
        <w:pageBreakBefore w:val="0"/>
        <w:numPr>
          <w:ilvl w:val="0"/>
          <w:numId w:val="5"/>
        </w:numPr>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LED日光灯功率：16W；</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7.噪音≤65dB(A)；</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8.风机转速:2460 RPM，流量：750 m³/h，功率90W；</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9. 产品安全性：菌落数≤0.5CFU/30min；</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10.照明：≥300lx；</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11.结构特点</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紫外灯延时5S开启，保护操作人员安全；</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福马脚轮设计，方便柜体移动与固定。</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12.具有医疗器械注册证</w:t>
      </w: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kern w:val="0"/>
          <w:sz w:val="24"/>
          <w:szCs w:val="24"/>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低速离心机</w:t>
      </w:r>
    </w:p>
    <w:p>
      <w:pPr>
        <w:keepNext w:val="0"/>
        <w:keepLines w:val="0"/>
        <w:pageBreakBefore w:val="0"/>
        <w:numPr>
          <w:ilvl w:val="0"/>
          <w:numId w:val="6"/>
        </w:numPr>
        <w:tabs>
          <w:tab w:val="left" w:pos="0"/>
          <w:tab w:val="clear" w:pos="720"/>
        </w:tabs>
        <w:kinsoku/>
        <w:wordWrap/>
        <w:overflowPunct/>
        <w:topLinePunct w:val="0"/>
        <w:autoSpaceDE/>
        <w:autoSpaceDN/>
        <w:bidi w:val="0"/>
        <w:spacing w:line="500" w:lineRule="exact"/>
        <w:ind w:hanging="726" w:hangingChars="3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结构类型：台式</w:t>
      </w:r>
    </w:p>
    <w:p>
      <w:pPr>
        <w:keepNext w:val="0"/>
        <w:keepLines w:val="0"/>
        <w:pageBreakBefore w:val="0"/>
        <w:numPr>
          <w:ilvl w:val="0"/>
          <w:numId w:val="6"/>
        </w:numPr>
        <w:tabs>
          <w:tab w:val="left" w:pos="0"/>
          <w:tab w:val="clear" w:pos="720"/>
        </w:tabs>
        <w:kinsoku/>
        <w:wordWrap/>
        <w:overflowPunct/>
        <w:topLinePunct w:val="0"/>
        <w:autoSpaceDE/>
        <w:autoSpaceDN/>
        <w:bidi w:val="0"/>
        <w:spacing w:line="500" w:lineRule="exact"/>
        <w:ind w:hanging="726" w:hangingChars="3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应用领域：医用、制药、食品</w:t>
      </w:r>
    </w:p>
    <w:p>
      <w:pPr>
        <w:keepNext w:val="0"/>
        <w:keepLines w:val="0"/>
        <w:pageBreakBefore w:val="0"/>
        <w:numPr>
          <w:ilvl w:val="0"/>
          <w:numId w:val="6"/>
        </w:numPr>
        <w:tabs>
          <w:tab w:val="left" w:pos="0"/>
          <w:tab w:val="clear" w:pos="720"/>
        </w:tabs>
        <w:kinsoku/>
        <w:wordWrap/>
        <w:overflowPunct/>
        <w:topLinePunct w:val="0"/>
        <w:autoSpaceDE/>
        <w:autoSpaceDN/>
        <w:bidi w:val="0"/>
        <w:spacing w:line="500" w:lineRule="exact"/>
        <w:ind w:hanging="726" w:hangingChars="3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分离因素Fr值范围：低速离心机</w:t>
      </w:r>
    </w:p>
    <w:p>
      <w:pPr>
        <w:keepNext w:val="0"/>
        <w:keepLines w:val="0"/>
        <w:pageBreakBefore w:val="0"/>
        <w:numPr>
          <w:ilvl w:val="0"/>
          <w:numId w:val="6"/>
        </w:numPr>
        <w:tabs>
          <w:tab w:val="left" w:pos="0"/>
          <w:tab w:val="clear" w:pos="720"/>
        </w:tabs>
        <w:kinsoku/>
        <w:wordWrap/>
        <w:overflowPunct/>
        <w:topLinePunct w:val="0"/>
        <w:autoSpaceDE/>
        <w:autoSpaceDN/>
        <w:bidi w:val="0"/>
        <w:spacing w:line="500" w:lineRule="exact"/>
        <w:ind w:hanging="726" w:hangingChars="3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电机功率：100W</w:t>
      </w:r>
    </w:p>
    <w:p>
      <w:pPr>
        <w:keepNext w:val="0"/>
        <w:keepLines w:val="0"/>
        <w:pageBreakBefore w:val="0"/>
        <w:numPr>
          <w:ilvl w:val="0"/>
          <w:numId w:val="6"/>
        </w:numPr>
        <w:tabs>
          <w:tab w:val="left" w:pos="0"/>
          <w:tab w:val="clear" w:pos="720"/>
        </w:tabs>
        <w:kinsoku/>
        <w:wordWrap/>
        <w:overflowPunct/>
        <w:topLinePunct w:val="0"/>
        <w:autoSpaceDE/>
        <w:autoSpaceDN/>
        <w:bidi w:val="0"/>
        <w:spacing w:line="500" w:lineRule="exact"/>
        <w:ind w:hanging="726" w:hangingChars="3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自动化程度：全自动</w:t>
      </w:r>
    </w:p>
    <w:p>
      <w:pPr>
        <w:keepNext w:val="0"/>
        <w:keepLines w:val="0"/>
        <w:pageBreakBefore w:val="0"/>
        <w:numPr>
          <w:ilvl w:val="0"/>
          <w:numId w:val="6"/>
        </w:numPr>
        <w:tabs>
          <w:tab w:val="left" w:pos="0"/>
          <w:tab w:val="clear" w:pos="720"/>
        </w:tabs>
        <w:kinsoku/>
        <w:wordWrap/>
        <w:overflowPunct/>
        <w:topLinePunct w:val="0"/>
        <w:autoSpaceDE/>
        <w:autoSpaceDN/>
        <w:bidi w:val="0"/>
        <w:spacing w:line="500" w:lineRule="exact"/>
        <w:ind w:hanging="726" w:hangingChars="3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最高转速：4000r/min</w:t>
      </w:r>
    </w:p>
    <w:p>
      <w:pPr>
        <w:keepNext w:val="0"/>
        <w:keepLines w:val="0"/>
        <w:pageBreakBefore w:val="0"/>
        <w:numPr>
          <w:ilvl w:val="0"/>
          <w:numId w:val="6"/>
        </w:numPr>
        <w:tabs>
          <w:tab w:val="left" w:pos="0"/>
          <w:tab w:val="clear" w:pos="720"/>
        </w:tabs>
        <w:kinsoku/>
        <w:wordWrap/>
        <w:overflowPunct/>
        <w:topLinePunct w:val="0"/>
        <w:autoSpaceDE/>
        <w:autoSpaceDN/>
        <w:bidi w:val="0"/>
        <w:spacing w:line="500" w:lineRule="exact"/>
        <w:ind w:hanging="726" w:hangingChars="3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最大相对离心力：2250g</w:t>
      </w:r>
    </w:p>
    <w:p>
      <w:pPr>
        <w:keepNext w:val="0"/>
        <w:keepLines w:val="0"/>
        <w:pageBreakBefore w:val="0"/>
        <w:numPr>
          <w:ilvl w:val="0"/>
          <w:numId w:val="6"/>
        </w:numPr>
        <w:tabs>
          <w:tab w:val="left" w:pos="0"/>
          <w:tab w:val="clear" w:pos="720"/>
        </w:tabs>
        <w:kinsoku/>
        <w:wordWrap/>
        <w:overflowPunct/>
        <w:topLinePunct w:val="0"/>
        <w:autoSpaceDE/>
        <w:autoSpaceDN/>
        <w:bidi w:val="0"/>
        <w:spacing w:line="500" w:lineRule="exact"/>
        <w:ind w:hanging="726" w:hangingChars="3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最大容量：6*50ml</w:t>
      </w:r>
    </w:p>
    <w:p>
      <w:pPr>
        <w:keepNext w:val="0"/>
        <w:keepLines w:val="0"/>
        <w:pageBreakBefore w:val="0"/>
        <w:numPr>
          <w:ilvl w:val="0"/>
          <w:numId w:val="6"/>
        </w:numPr>
        <w:tabs>
          <w:tab w:val="left" w:pos="0"/>
          <w:tab w:val="clear" w:pos="720"/>
        </w:tabs>
        <w:kinsoku/>
        <w:wordWrap/>
        <w:overflowPunct/>
        <w:topLinePunct w:val="0"/>
        <w:autoSpaceDE/>
        <w:autoSpaceDN/>
        <w:bidi w:val="0"/>
        <w:spacing w:line="500" w:lineRule="exact"/>
        <w:ind w:hanging="726" w:hangingChars="3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转速精度：±30r/min</w:t>
      </w:r>
    </w:p>
    <w:p>
      <w:pPr>
        <w:keepNext w:val="0"/>
        <w:keepLines w:val="0"/>
        <w:pageBreakBefore w:val="0"/>
        <w:numPr>
          <w:ilvl w:val="0"/>
          <w:numId w:val="6"/>
        </w:numPr>
        <w:tabs>
          <w:tab w:val="left" w:pos="0"/>
          <w:tab w:val="clear" w:pos="720"/>
        </w:tabs>
        <w:kinsoku/>
        <w:wordWrap/>
        <w:overflowPunct/>
        <w:topLinePunct w:val="0"/>
        <w:autoSpaceDE/>
        <w:autoSpaceDN/>
        <w:bidi w:val="0"/>
        <w:spacing w:line="500" w:lineRule="exact"/>
        <w:ind w:hanging="726" w:hangingChars="3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定时范围：1min～99min</w:t>
      </w:r>
    </w:p>
    <w:p>
      <w:pPr>
        <w:keepNext w:val="0"/>
        <w:keepLines w:val="0"/>
        <w:pageBreakBefore w:val="0"/>
        <w:numPr>
          <w:ilvl w:val="0"/>
          <w:numId w:val="6"/>
        </w:numPr>
        <w:tabs>
          <w:tab w:val="left" w:pos="0"/>
          <w:tab w:val="clear" w:pos="720"/>
        </w:tabs>
        <w:kinsoku/>
        <w:wordWrap/>
        <w:overflowPunct/>
        <w:topLinePunct w:val="0"/>
        <w:autoSpaceDE/>
        <w:autoSpaceDN/>
        <w:bidi w:val="0"/>
        <w:spacing w:line="500" w:lineRule="exact"/>
        <w:ind w:hanging="726" w:hangingChars="3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整机噪音：&lt;65dB</w:t>
      </w:r>
    </w:p>
    <w:p>
      <w:pPr>
        <w:keepNext w:val="0"/>
        <w:keepLines w:val="0"/>
        <w:pageBreakBefore w:val="0"/>
        <w:numPr>
          <w:ilvl w:val="0"/>
          <w:numId w:val="6"/>
        </w:numPr>
        <w:tabs>
          <w:tab w:val="left" w:pos="0"/>
          <w:tab w:val="clear" w:pos="720"/>
        </w:tabs>
        <w:kinsoku/>
        <w:wordWrap/>
        <w:overflowPunct/>
        <w:topLinePunct w:val="0"/>
        <w:autoSpaceDE/>
        <w:autoSpaceDN/>
        <w:bidi w:val="0"/>
        <w:spacing w:line="500" w:lineRule="exact"/>
        <w:ind w:hanging="726" w:hangingChars="3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电源：AC220V±22V 50/60Hz</w:t>
      </w:r>
    </w:p>
    <w:p>
      <w:pPr>
        <w:keepNext w:val="0"/>
        <w:keepLines w:val="0"/>
        <w:pageBreakBefore w:val="0"/>
        <w:numPr>
          <w:ilvl w:val="0"/>
          <w:numId w:val="6"/>
        </w:numPr>
        <w:tabs>
          <w:tab w:val="left" w:pos="0"/>
          <w:tab w:val="clear" w:pos="720"/>
        </w:tabs>
        <w:kinsoku/>
        <w:wordWrap/>
        <w:overflowPunct/>
        <w:topLinePunct w:val="0"/>
        <w:autoSpaceDE/>
        <w:autoSpaceDN/>
        <w:bidi w:val="0"/>
        <w:spacing w:line="500" w:lineRule="exact"/>
        <w:ind w:hanging="726" w:hangingChars="3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整机功率：150W</w:t>
      </w:r>
    </w:p>
    <w:p>
      <w:pPr>
        <w:keepNext w:val="0"/>
        <w:keepLines w:val="0"/>
        <w:pageBreakBefore w:val="0"/>
        <w:numPr>
          <w:ilvl w:val="0"/>
          <w:numId w:val="6"/>
        </w:numPr>
        <w:tabs>
          <w:tab w:val="left" w:pos="0"/>
          <w:tab w:val="clear" w:pos="720"/>
        </w:tabs>
        <w:kinsoku/>
        <w:wordWrap/>
        <w:overflowPunct/>
        <w:topLinePunct w:val="0"/>
        <w:autoSpaceDE/>
        <w:autoSpaceDN/>
        <w:bidi w:val="0"/>
        <w:spacing w:line="500" w:lineRule="exact"/>
        <w:ind w:hanging="726" w:hangingChars="3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外形尺寸：450mm×370mm×280mm</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净重：18KG</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bCs/>
          <w:kern w:val="0"/>
          <w:sz w:val="24"/>
          <w:szCs w:val="24"/>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移液器</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1、符合人机工程学外观设计，操作舒适便捷。</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2、精度高，精准分液，遵照EN/ISO8655标准校准。</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3、数字视窗，轻松设置量程，一目了然。</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4、可半支高温高压灭菌，且不会影响性能和舒适度。</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5、附带校准工具和硅脂，方便维修校准。</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6、产品内部气密性好，稳定精准不漏液。</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7、特殊吸头连件设计，易于观察密封情况。</w:t>
      </w:r>
    </w:p>
    <w:p>
      <w:pPr>
        <w:keepNext w:val="0"/>
        <w:keepLines w:val="0"/>
        <w:pageBreakBefore w:val="0"/>
        <w:kinsoku/>
        <w:wordWrap/>
        <w:overflowPunct/>
        <w:topLinePunct w:val="0"/>
        <w:autoSpaceDE/>
        <w:autoSpaceDN/>
        <w:bidi w:val="0"/>
        <w:spacing w:line="500" w:lineRule="exact"/>
        <w:ind w:firstLine="1936" w:firstLineChars="800"/>
        <w:jc w:val="left"/>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spacing w:line="500" w:lineRule="exact"/>
        <w:ind w:firstLine="1936" w:firstLineChars="800"/>
        <w:jc w:val="left"/>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b/>
          <w:bCs/>
          <w:sz w:val="24"/>
          <w:szCs w:val="24"/>
        </w:rPr>
        <w:t>移液器支架</w:t>
      </w:r>
    </w:p>
    <w:p>
      <w:pPr>
        <w:keepNext w:val="0"/>
        <w:keepLines w:val="0"/>
        <w:pageBreakBefore w:val="0"/>
        <w:numPr>
          <w:ilvl w:val="0"/>
          <w:numId w:val="7"/>
        </w:numPr>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线性移液器支架 可最多悬挂6支</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生物安全柜</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安全柜基本参数：</w:t>
      </w:r>
    </w:p>
    <w:p>
      <w:pPr>
        <w:keepNext w:val="0"/>
        <w:keepLines w:val="0"/>
        <w:pageBreakBefore w:val="0"/>
        <w:numPr>
          <w:ilvl w:val="0"/>
          <w:numId w:val="8"/>
        </w:numPr>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A2型，30%外排，70%循环</w:t>
      </w:r>
    </w:p>
    <w:p>
      <w:pPr>
        <w:keepNext w:val="0"/>
        <w:keepLines w:val="0"/>
        <w:pageBreakBefore w:val="0"/>
        <w:numPr>
          <w:ilvl w:val="0"/>
          <w:numId w:val="8"/>
        </w:numPr>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外形尺寸（mm） 1500×750×2250</w:t>
      </w:r>
    </w:p>
    <w:p>
      <w:pPr>
        <w:keepNext w:val="0"/>
        <w:keepLines w:val="0"/>
        <w:pageBreakBefore w:val="0"/>
        <w:numPr>
          <w:ilvl w:val="0"/>
          <w:numId w:val="8"/>
        </w:numPr>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工作区尺寸（mm） 1350 ×600×660</w:t>
      </w:r>
    </w:p>
    <w:p>
      <w:pPr>
        <w:keepNext w:val="0"/>
        <w:keepLines w:val="0"/>
        <w:pageBreakBefore w:val="0"/>
        <w:numPr>
          <w:ilvl w:val="0"/>
          <w:numId w:val="8"/>
        </w:numPr>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台面距离地面高度：750mm</w:t>
      </w:r>
    </w:p>
    <w:p>
      <w:pPr>
        <w:keepNext w:val="0"/>
        <w:keepLines w:val="0"/>
        <w:pageBreakBefore w:val="0"/>
        <w:numPr>
          <w:ilvl w:val="0"/>
          <w:numId w:val="8"/>
        </w:numPr>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风速： 平均下降风速：0.33±0.025m/s； 平均吸入口风速0.53±0.025m/s</w:t>
      </w:r>
    </w:p>
    <w:p>
      <w:pPr>
        <w:keepNext w:val="0"/>
        <w:keepLines w:val="0"/>
        <w:pageBreakBefore w:val="0"/>
        <w:numPr>
          <w:ilvl w:val="0"/>
          <w:numId w:val="8"/>
        </w:numPr>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系统排风总量：500 m³/h</w:t>
      </w:r>
    </w:p>
    <w:p>
      <w:pPr>
        <w:keepNext w:val="0"/>
        <w:keepLines w:val="0"/>
        <w:pageBreakBefore w:val="0"/>
        <w:numPr>
          <w:ilvl w:val="0"/>
          <w:numId w:val="8"/>
        </w:numPr>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额定功率：1850W（包含操作区插座负载500W）</w:t>
      </w:r>
    </w:p>
    <w:p>
      <w:pPr>
        <w:keepNext w:val="0"/>
        <w:keepLines w:val="0"/>
        <w:pageBreakBefore w:val="0"/>
        <w:numPr>
          <w:ilvl w:val="0"/>
          <w:numId w:val="8"/>
        </w:numPr>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噪音等级：≤67dB（A）</w:t>
      </w:r>
    </w:p>
    <w:p>
      <w:pPr>
        <w:keepNext w:val="0"/>
        <w:keepLines w:val="0"/>
        <w:pageBreakBefore w:val="0"/>
        <w:numPr>
          <w:ilvl w:val="0"/>
          <w:numId w:val="8"/>
        </w:numPr>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照明：≥1000lx</w:t>
      </w:r>
    </w:p>
    <w:p>
      <w:pPr>
        <w:keepNext w:val="0"/>
        <w:keepLines w:val="0"/>
        <w:pageBreakBefore w:val="0"/>
        <w:numPr>
          <w:ilvl w:val="0"/>
          <w:numId w:val="8"/>
        </w:numPr>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过滤效率:送风和排风过滤器均采用世界知名品牌的硼硅酸盐玻璃纤维材质的ULPA高效过滤器，对0.12μm颗粒过滤效率≥99.9995%</w:t>
      </w:r>
    </w:p>
    <w:p>
      <w:pPr>
        <w:keepNext w:val="0"/>
        <w:keepLines w:val="0"/>
        <w:pageBreakBefore w:val="0"/>
        <w:numPr>
          <w:ilvl w:val="0"/>
          <w:numId w:val="8"/>
        </w:numPr>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人员安全性：用碘化钾（KI）法测试，前窗操作口的保护因子应不小于1×105</w:t>
      </w:r>
    </w:p>
    <w:p>
      <w:pPr>
        <w:keepNext w:val="0"/>
        <w:keepLines w:val="0"/>
        <w:pageBreakBefore w:val="0"/>
        <w:numPr>
          <w:ilvl w:val="0"/>
          <w:numId w:val="8"/>
        </w:numPr>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福马脚轮设计：脚轮与支架一体化设计，安全柜即可通过脚轮安全移动，</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可以通过调节脚轮支脚进行固定和调平</w:t>
      </w:r>
    </w:p>
    <w:p>
      <w:pPr>
        <w:keepNext w:val="0"/>
        <w:keepLines w:val="0"/>
        <w:pageBreakBefore w:val="0"/>
        <w:numPr>
          <w:ilvl w:val="0"/>
          <w:numId w:val="8"/>
        </w:numPr>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电动控制前窗玻璃门，可同时采用脚踏控制、按键控制或遥控控制，玻璃门升降到安全操作高度时，自动停止升降，使操作更加方便；且玻璃门升降时不用直接接触玻璃，使实验人员更安全；</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14.资格证明和技术文件</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ISO9001质量管理认证</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ISO14001环境管理体系认证</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ISO13485及CE认证</w:t>
      </w:r>
    </w:p>
    <w:p>
      <w:pPr>
        <w:keepNext w:val="0"/>
        <w:keepLines w:val="0"/>
        <w:pageBreakBefore w:val="0"/>
        <w:numPr>
          <w:ilvl w:val="0"/>
          <w:numId w:val="8"/>
        </w:numPr>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国家食品药品监督管理局核发的生物安全柜产品注册证</w:t>
      </w:r>
    </w:p>
    <w:p>
      <w:pPr>
        <w:keepNext w:val="0"/>
        <w:keepLines w:val="0"/>
        <w:pageBreakBefore w:val="0"/>
        <w:kinsoku/>
        <w:wordWrap/>
        <w:overflowPunct/>
        <w:topLinePunct w:val="0"/>
        <w:autoSpaceDE/>
        <w:autoSpaceDN/>
        <w:bidi w:val="0"/>
        <w:spacing w:line="500" w:lineRule="exact"/>
        <w:jc w:val="both"/>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迷你8联排离心机</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1.最大转速：7000rpm</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2.最大相对离心力：2650×g</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3.样品处理量：0.2/0.5/1.5/2.0ml×8；8×4×0.2ml（PCR排管）</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4.适配转子：8×2/1.5ml转子（配0.2ml和0.5ml适配器）</w:t>
      </w:r>
    </w:p>
    <w:p>
      <w:pPr>
        <w:keepNext w:val="0"/>
        <w:keepLines w:val="0"/>
        <w:pageBreakBefore w:val="0"/>
        <w:kinsoku/>
        <w:wordWrap/>
        <w:overflowPunct/>
        <w:topLinePunct w:val="0"/>
        <w:autoSpaceDE/>
        <w:autoSpaceDN/>
        <w:bidi w:val="0"/>
        <w:spacing w:line="500" w:lineRule="exact"/>
        <w:ind w:firstLine="242" w:firstLineChars="100"/>
        <w:textAlignment w:val="auto"/>
        <w:rPr>
          <w:rFonts w:hint="eastAsia" w:ascii="宋体" w:hAnsi="宋体" w:eastAsia="宋体" w:cs="宋体"/>
          <w:sz w:val="24"/>
          <w:szCs w:val="24"/>
        </w:rPr>
      </w:pPr>
      <w:r>
        <w:rPr>
          <w:rFonts w:hint="eastAsia" w:ascii="宋体" w:hAnsi="宋体" w:eastAsia="宋体" w:cs="宋体"/>
          <w:sz w:val="24"/>
          <w:szCs w:val="24"/>
        </w:rPr>
        <w:t>8×4×0.2ml PCR排管转子</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5.电源参数：110VAC 60Hz；220VAC 50/60Hz</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6.功率：20W</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7.噪音：45dB（A）</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8.外形尺寸：178mm×178mm×115mm</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9.包装尺寸：320 mm×250 mm×210 mm</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bCs/>
          <w:sz w:val="24"/>
          <w:szCs w:val="24"/>
        </w:rPr>
      </w:pPr>
      <w:r>
        <w:rPr>
          <w:rFonts w:hint="eastAsia" w:ascii="宋体" w:hAnsi="宋体" w:eastAsia="宋体" w:cs="宋体"/>
          <w:sz w:val="24"/>
          <w:szCs w:val="24"/>
        </w:rPr>
        <w:t>10.设备净重：1kg</w:t>
      </w:r>
    </w:p>
    <w:p>
      <w:pPr>
        <w:keepNext w:val="0"/>
        <w:keepLines w:val="0"/>
        <w:pageBreakBefore w:val="0"/>
        <w:kinsoku/>
        <w:wordWrap/>
        <w:overflowPunct/>
        <w:topLinePunct w:val="0"/>
        <w:autoSpaceDE/>
        <w:autoSpaceDN/>
        <w:bidi w:val="0"/>
        <w:spacing w:line="500" w:lineRule="exact"/>
        <w:ind w:firstLine="1694" w:firstLineChars="700"/>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b/>
          <w:bCs/>
          <w:sz w:val="24"/>
          <w:szCs w:val="24"/>
        </w:rPr>
        <w:t>紫外线消毒车</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1.辐射照度 107μw/ cm2</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2.灯臂长度 960mm±3</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3.折合后离地面高度 1080mm±5</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4.灯臂可调节角度 0-180°</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5.灯管 30Wx2 支</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6.紫外线波长 253.7nm</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7.熔断器 F2AL250V</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8.外形尺寸 （H）1080MM*（W）280MM*（D）340MM</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b/>
          <w:bCs/>
          <w:sz w:val="24"/>
          <w:szCs w:val="24"/>
        </w:rPr>
        <w:t>立式灭菌器参数</w:t>
      </w:r>
    </w:p>
    <w:p>
      <w:pPr>
        <w:keepNext w:val="0"/>
        <w:keepLines w:val="0"/>
        <w:pageBreakBefore w:val="0"/>
        <w:numPr>
          <w:ilvl w:val="0"/>
          <w:numId w:val="9"/>
        </w:numPr>
        <w:kinsoku/>
        <w:wordWrap/>
        <w:overflowPunct/>
        <w:topLinePunct w:val="0"/>
        <w:autoSpaceDE/>
        <w:autoSpaceDN/>
        <w:bidi w:val="0"/>
        <w:spacing w:line="500" w:lineRule="exact"/>
        <w:jc w:val="left"/>
        <w:textAlignment w:val="auto"/>
        <w:rPr>
          <w:rFonts w:hint="eastAsia" w:ascii="宋体" w:hAnsi="宋体" w:eastAsia="宋体" w:cs="宋体"/>
          <w:color w:val="333333"/>
          <w:sz w:val="24"/>
          <w:szCs w:val="24"/>
          <w:shd w:val="clear" w:color="auto" w:fill="FFFFFF"/>
        </w:rPr>
      </w:pPr>
      <w:r>
        <w:rPr>
          <w:rFonts w:hint="eastAsia" w:ascii="宋体" w:hAnsi="宋体" w:eastAsia="宋体" w:cs="宋体"/>
          <w:b/>
          <w:bCs/>
          <w:color w:val="333333"/>
          <w:sz w:val="24"/>
          <w:szCs w:val="24"/>
          <w:shd w:val="clear" w:color="auto" w:fill="FFFFFF"/>
        </w:rPr>
        <w:t>产品技术特点</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1.额定工作压力0.23Mpa，</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2.额定工作温度134℃</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3.使用温度105～136℃</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4.产品符合</w:t>
      </w:r>
      <w:r>
        <w:rPr>
          <w:rFonts w:hint="eastAsia" w:ascii="宋体" w:hAnsi="宋体" w:eastAsia="宋体" w:cs="宋体"/>
          <w:sz w:val="24"/>
          <w:szCs w:val="24"/>
        </w:rPr>
        <w:t>YY 1007-2010标准，并可提供经国家食品药品监督管理局认可检验中心的检测报告。</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5.灭菌腔体、灭菌提篮均为优质不锈钢SUS304材质制成，内部抛光处理，汽水内循环。</w:t>
      </w:r>
    </w:p>
    <w:p>
      <w:pPr>
        <w:pStyle w:val="167"/>
        <w:keepNext w:val="0"/>
        <w:keepLines w:val="0"/>
        <w:pageBreakBefore w:val="0"/>
        <w:kinsoku/>
        <w:wordWrap/>
        <w:overflowPunct/>
        <w:topLinePunct w:val="0"/>
        <w:autoSpaceDE/>
        <w:autoSpaceDN/>
        <w:bidi w:val="0"/>
        <w:spacing w:line="500" w:lineRule="exact"/>
        <w:ind w:left="124" w:leftChars="-170" w:hanging="484" w:hangingChars="200"/>
        <w:jc w:val="left"/>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 xml:space="preserve">   6.手轮式平移门结构，并具有门安全联锁装置及门检测装置，有压力时门无法打开，门关闭不到位程序不能运行。</w:t>
      </w:r>
    </w:p>
    <w:p>
      <w:pPr>
        <w:pStyle w:val="167"/>
        <w:keepNext w:val="0"/>
        <w:keepLines w:val="0"/>
        <w:pageBreakBefore w:val="0"/>
        <w:kinsoku/>
        <w:wordWrap/>
        <w:overflowPunct/>
        <w:topLinePunct w:val="0"/>
        <w:autoSpaceDE/>
        <w:autoSpaceDN/>
        <w:bidi w:val="0"/>
        <w:spacing w:line="500" w:lineRule="exact"/>
        <w:ind w:left="366" w:leftChars="-170" w:hanging="726" w:hangingChars="300"/>
        <w:jc w:val="left"/>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 xml:space="preserve">   7.具有防干烧报警、超压自泄、超温保护、电力安全保护，所有报警具有声光警示。</w:t>
      </w:r>
    </w:p>
    <w:p>
      <w:pPr>
        <w:pStyle w:val="167"/>
        <w:keepNext w:val="0"/>
        <w:keepLines w:val="0"/>
        <w:pageBreakBefore w:val="0"/>
        <w:kinsoku/>
        <w:wordWrap/>
        <w:overflowPunct/>
        <w:topLinePunct w:val="0"/>
        <w:autoSpaceDE/>
        <w:autoSpaceDN/>
        <w:bidi w:val="0"/>
        <w:spacing w:line="50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color w:val="333333"/>
          <w:sz w:val="24"/>
          <w:szCs w:val="24"/>
          <w:shd w:val="clear" w:color="auto" w:fill="FFFFFF"/>
        </w:rPr>
        <w:t>8.</w:t>
      </w:r>
      <w:r>
        <w:rPr>
          <w:rFonts w:hint="eastAsia" w:ascii="宋体" w:hAnsi="宋体" w:eastAsia="宋体" w:cs="宋体"/>
          <w:sz w:val="24"/>
          <w:szCs w:val="24"/>
        </w:rPr>
        <w:t>LED数字显示灭菌腔内温度、时间和故障报警代码。</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9.自胀式硅橡胶密封圈，密封效果好，使用寿命长。</w:t>
      </w:r>
    </w:p>
    <w:p>
      <w:pPr>
        <w:pStyle w:val="167"/>
        <w:keepNext w:val="0"/>
        <w:keepLines w:val="0"/>
        <w:pageBreakBefore w:val="0"/>
        <w:kinsoku/>
        <w:wordWrap/>
        <w:overflowPunct/>
        <w:topLinePunct w:val="0"/>
        <w:autoSpaceDE/>
        <w:autoSpaceDN/>
        <w:bidi w:val="0"/>
        <w:spacing w:line="500" w:lineRule="exact"/>
        <w:ind w:left="-360" w:leftChars="-17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10 微电脑控制，具有器械、敷料、液体等五项固定程序，两项自定义程序，并具有干燥功能。</w:t>
      </w:r>
    </w:p>
    <w:p>
      <w:pPr>
        <w:pStyle w:val="167"/>
        <w:keepNext w:val="0"/>
        <w:keepLines w:val="0"/>
        <w:pageBreakBefore w:val="0"/>
        <w:kinsoku/>
        <w:wordWrap/>
        <w:overflowPunct/>
        <w:topLinePunct w:val="0"/>
        <w:autoSpaceDE/>
        <w:autoSpaceDN/>
        <w:bidi w:val="0"/>
        <w:spacing w:line="500" w:lineRule="exact"/>
        <w:ind w:left="-360" w:leftChars="-17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11.设备注水、升温、灭菌、排气、干燥整个流程全自动运行，灭菌完成后声光提醒。</w:t>
      </w: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b/>
          <w:bCs/>
          <w:sz w:val="24"/>
          <w:szCs w:val="24"/>
        </w:rPr>
        <w:t>电热恒温培养箱</w:t>
      </w:r>
    </w:p>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rPr>
        <w:t xml:space="preserve">精密的结构设计 </w:t>
      </w:r>
    </w:p>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 xml:space="preserve"> 巧妙的一体化结构设计避免破坏不锈钢内胆整体和谐性，大大的提高了产品品质</w:t>
      </w:r>
    </w:p>
    <w:p>
      <w:pPr>
        <w:keepNext w:val="0"/>
        <w:keepLines w:val="0"/>
        <w:pageBreakBefore w:val="0"/>
        <w:kinsoku/>
        <w:wordWrap/>
        <w:overflowPunct/>
        <w:topLinePunct w:val="0"/>
        <w:autoSpaceDE/>
        <w:autoSpaceDN/>
        <w:bidi w:val="0"/>
        <w:spacing w:before="222" w:line="500" w:lineRule="exact"/>
        <w:ind w:firstLine="19"/>
        <w:textAlignment w:val="auto"/>
        <w:outlineLvl w:val="0"/>
        <w:rPr>
          <w:rFonts w:hint="eastAsia" w:ascii="宋体" w:hAnsi="宋体" w:eastAsia="宋体" w:cs="宋体"/>
          <w:sz w:val="24"/>
          <w:szCs w:val="24"/>
        </w:rPr>
      </w:pPr>
      <w:r>
        <w:rPr>
          <w:rFonts w:hint="eastAsia" w:ascii="宋体" w:hAnsi="宋体" w:eastAsia="宋体" w:cs="宋体"/>
          <w:b/>
          <w:bCs/>
          <w:spacing w:val="-14"/>
          <w:w w:val="98"/>
          <w:sz w:val="24"/>
          <w:szCs w:val="24"/>
        </w:rPr>
        <w:t>精确的温度控制</w:t>
      </w:r>
    </w:p>
    <w:p>
      <w:pPr>
        <w:keepNext w:val="0"/>
        <w:keepLines w:val="0"/>
        <w:pageBreakBefore w:val="0"/>
        <w:kinsoku/>
        <w:wordWrap/>
        <w:overflowPunct/>
        <w:topLinePunct w:val="0"/>
        <w:autoSpaceDE/>
        <w:autoSpaceDN/>
        <w:bidi w:val="0"/>
        <w:spacing w:before="217" w:line="500" w:lineRule="exact"/>
        <w:ind w:firstLine="25"/>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7"/>
          <w:sz w:val="24"/>
          <w:szCs w:val="24"/>
        </w:rPr>
        <w:t>内腔各面采用铝箔包裹，优质保温棉填充内胆与隔板空隙，升温快，保温效果好，使温度更加均匀性。</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pacing w:val="-8"/>
          <w:sz w:val="24"/>
          <w:szCs w:val="24"/>
        </w:rPr>
      </w:pPr>
      <w:r>
        <w:rPr>
          <w:rFonts w:hint="eastAsia" w:ascii="宋体" w:hAnsi="宋体" w:eastAsia="宋体" w:cs="宋体"/>
          <w:sz w:val="24"/>
          <w:szCs w:val="24"/>
        </w:rPr>
        <w:t>★</w:t>
      </w:r>
      <w:r>
        <w:rPr>
          <w:rFonts w:hint="eastAsia" w:ascii="宋体" w:hAnsi="宋体" w:eastAsia="宋体" w:cs="宋体"/>
          <w:spacing w:val="-8"/>
          <w:sz w:val="24"/>
          <w:szCs w:val="24"/>
        </w:rPr>
        <w:t>温度传感器，采用专用的温度采集技术，超快响应、抗干扰能力强，确保产品具有极高的可靠性与卓越的长期稳定性</w:t>
      </w:r>
    </w:p>
    <w:p>
      <w:pPr>
        <w:keepNext w:val="0"/>
        <w:keepLines w:val="0"/>
        <w:pageBreakBefore w:val="0"/>
        <w:kinsoku/>
        <w:wordWrap/>
        <w:overflowPunct/>
        <w:topLinePunct w:val="0"/>
        <w:autoSpaceDE/>
        <w:autoSpaceDN/>
        <w:bidi w:val="0"/>
        <w:spacing w:before="191" w:line="500" w:lineRule="exact"/>
        <w:ind w:firstLine="24"/>
        <w:textAlignment w:val="auto"/>
        <w:outlineLvl w:val="0"/>
        <w:rPr>
          <w:rFonts w:hint="eastAsia" w:ascii="宋体" w:hAnsi="宋体" w:eastAsia="宋体" w:cs="宋体"/>
          <w:sz w:val="24"/>
          <w:szCs w:val="24"/>
        </w:rPr>
      </w:pPr>
      <w:r>
        <w:rPr>
          <w:rFonts w:hint="eastAsia" w:ascii="宋体" w:hAnsi="宋体" w:eastAsia="宋体" w:cs="宋体"/>
          <w:b/>
          <w:bCs/>
          <w:spacing w:val="-13"/>
          <w:w w:val="90"/>
          <w:sz w:val="24"/>
          <w:szCs w:val="24"/>
        </w:rPr>
        <w:t>无菌性</w:t>
      </w:r>
    </w:p>
    <w:p>
      <w:pPr>
        <w:keepNext w:val="0"/>
        <w:keepLines w:val="0"/>
        <w:pageBreakBefore w:val="0"/>
        <w:kinsoku/>
        <w:wordWrap/>
        <w:overflowPunct/>
        <w:topLinePunct w:val="0"/>
        <w:autoSpaceDE/>
        <w:autoSpaceDN/>
        <w:bidi w:val="0"/>
        <w:spacing w:before="216" w:line="500" w:lineRule="exact"/>
        <w:ind w:left="239" w:hanging="214"/>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4"/>
          <w:sz w:val="24"/>
          <w:szCs w:val="24"/>
        </w:rPr>
        <w:t>可选配紫外线杀菌，使其灯位于箱内顶部，可定期对箱体内部进行消毒，从而更有效杀灭箱体内循环空气和增湿盘水蒸汽浮菌，防止细胞培养期间的污染。</w:t>
      </w:r>
    </w:p>
    <w:p>
      <w:pPr>
        <w:keepNext w:val="0"/>
        <w:keepLines w:val="0"/>
        <w:pageBreakBefore w:val="0"/>
        <w:kinsoku/>
        <w:wordWrap/>
        <w:overflowPunct/>
        <w:topLinePunct w:val="0"/>
        <w:autoSpaceDE/>
        <w:autoSpaceDN/>
        <w:bidi w:val="0"/>
        <w:spacing w:before="192" w:line="500" w:lineRule="exact"/>
        <w:ind w:firstLine="10"/>
        <w:textAlignment w:val="auto"/>
        <w:outlineLvl w:val="0"/>
        <w:rPr>
          <w:rFonts w:hint="eastAsia" w:ascii="宋体" w:hAnsi="宋体" w:eastAsia="宋体" w:cs="宋体"/>
          <w:sz w:val="24"/>
          <w:szCs w:val="24"/>
        </w:rPr>
      </w:pPr>
      <w:r>
        <w:rPr>
          <w:rFonts w:hint="eastAsia" w:ascii="宋体" w:hAnsi="宋体" w:eastAsia="宋体" w:cs="宋体"/>
          <w:b/>
          <w:bCs/>
          <w:spacing w:val="-14"/>
          <w:w w:val="93"/>
          <w:sz w:val="24"/>
          <w:szCs w:val="24"/>
        </w:rPr>
        <w:t>安全保护</w:t>
      </w:r>
    </w:p>
    <w:p>
      <w:pPr>
        <w:keepNext w:val="0"/>
        <w:keepLines w:val="0"/>
        <w:pageBreakBefore w:val="0"/>
        <w:kinsoku/>
        <w:wordWrap/>
        <w:overflowPunct/>
        <w:topLinePunct w:val="0"/>
        <w:autoSpaceDE/>
        <w:autoSpaceDN/>
        <w:bidi w:val="0"/>
        <w:spacing w:before="215" w:line="500" w:lineRule="exact"/>
        <w:ind w:firstLine="25"/>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9"/>
          <w:sz w:val="24"/>
          <w:szCs w:val="24"/>
        </w:rPr>
        <w:t>对人员的保护——配置漏电流、过电压保护器。</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bCs/>
          <w:spacing w:val="-8"/>
          <w:sz w:val="24"/>
          <w:szCs w:val="24"/>
        </w:rPr>
      </w:pPr>
      <w:r>
        <w:rPr>
          <w:rFonts w:hint="eastAsia" w:ascii="宋体" w:hAnsi="宋体" w:eastAsia="宋体" w:cs="宋体"/>
          <w:b/>
          <w:bCs/>
          <w:spacing w:val="-8"/>
          <w:sz w:val="24"/>
          <w:szCs w:val="24"/>
        </w:rPr>
        <w:t xml:space="preserve">               </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bCs/>
          <w:spacing w:val="-8"/>
          <w:sz w:val="24"/>
          <w:szCs w:val="24"/>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8"/>
          <w:sz w:val="24"/>
          <w:szCs w:val="24"/>
        </w:rPr>
      </w:pPr>
      <w:r>
        <w:rPr>
          <w:rFonts w:hint="eastAsia" w:ascii="宋体" w:hAnsi="宋体" w:eastAsia="宋体" w:cs="宋体"/>
          <w:b/>
          <w:bCs/>
          <w:spacing w:val="-8"/>
          <w:sz w:val="24"/>
          <w:szCs w:val="24"/>
        </w:rPr>
        <w:t>旋涡混匀器</w:t>
      </w:r>
    </w:p>
    <w:p>
      <w:pPr>
        <w:pStyle w:val="37"/>
        <w:keepNext w:val="0"/>
        <w:keepLines w:val="0"/>
        <w:pageBreakBefore w:val="0"/>
        <w:widowControl/>
        <w:kinsoku/>
        <w:wordWrap/>
        <w:overflowPunct/>
        <w:topLinePunct w:val="0"/>
        <w:autoSpaceDE/>
        <w:autoSpaceDN/>
        <w:bidi w:val="0"/>
        <w:spacing w:beforeAutospacing="0" w:afterAutospacing="0" w:line="500" w:lineRule="exact"/>
        <w:textAlignment w:val="auto"/>
        <w:rPr>
          <w:rFonts w:hint="eastAsia" w:ascii="宋体" w:hAnsi="宋体" w:eastAsia="宋体" w:cs="宋体"/>
          <w:color w:val="4F4F4F"/>
          <w:sz w:val="24"/>
          <w:szCs w:val="24"/>
        </w:rPr>
      </w:pPr>
      <w:r>
        <w:rPr>
          <w:rFonts w:hint="eastAsia" w:ascii="宋体" w:hAnsi="宋体" w:eastAsia="宋体" w:cs="宋体"/>
          <w:color w:val="4F4F4F"/>
          <w:sz w:val="24"/>
          <w:szCs w:val="24"/>
        </w:rPr>
        <w:t>振动与旋涡混合方式：可调速控制，能从低速振动到高速旋涡混合。可根据需要选择适合的混台方式；多元功能：碗型振动台与平扳型振动的双重提供，可适应不同试管及容器的手动或自动的两种混合方式；自动与点振混合方式：三点开关可选择自动或点振混合方式；稳定操作：足够重量的整体设计为各种混合提供了稳定的操作平台。</w:t>
      </w:r>
    </w:p>
    <w:p>
      <w:pPr>
        <w:pStyle w:val="37"/>
        <w:keepNext w:val="0"/>
        <w:keepLines w:val="0"/>
        <w:pageBreakBefore w:val="0"/>
        <w:widowControl/>
        <w:kinsoku/>
        <w:wordWrap/>
        <w:overflowPunct/>
        <w:topLinePunct w:val="0"/>
        <w:autoSpaceDE/>
        <w:autoSpaceDN/>
        <w:bidi w:val="0"/>
        <w:spacing w:beforeAutospacing="0" w:afterAutospacing="0" w:line="500" w:lineRule="exact"/>
        <w:textAlignment w:val="auto"/>
        <w:rPr>
          <w:rFonts w:hint="eastAsia" w:ascii="宋体" w:hAnsi="宋体" w:eastAsia="宋体" w:cs="宋体"/>
          <w:color w:val="4F4F4F"/>
          <w:sz w:val="24"/>
          <w:szCs w:val="24"/>
        </w:rPr>
      </w:pPr>
      <w:r>
        <w:rPr>
          <w:rFonts w:hint="eastAsia" w:ascii="宋体" w:hAnsi="宋体" w:eastAsia="宋体" w:cs="宋体"/>
          <w:color w:val="4F4F4F"/>
          <w:sz w:val="24"/>
          <w:szCs w:val="24"/>
        </w:rPr>
        <w:t>电源：　　　　　　220V</w:t>
      </w:r>
    </w:p>
    <w:p>
      <w:pPr>
        <w:pStyle w:val="37"/>
        <w:keepNext w:val="0"/>
        <w:keepLines w:val="0"/>
        <w:pageBreakBefore w:val="0"/>
        <w:widowControl/>
        <w:kinsoku/>
        <w:wordWrap/>
        <w:overflowPunct/>
        <w:topLinePunct w:val="0"/>
        <w:autoSpaceDE/>
        <w:autoSpaceDN/>
        <w:bidi w:val="0"/>
        <w:spacing w:beforeAutospacing="0" w:afterAutospacing="0" w:line="500" w:lineRule="exact"/>
        <w:textAlignment w:val="auto"/>
        <w:rPr>
          <w:rFonts w:hint="eastAsia" w:ascii="宋体" w:hAnsi="宋体" w:eastAsia="宋体" w:cs="宋体"/>
          <w:color w:val="4F4F4F"/>
          <w:sz w:val="24"/>
          <w:szCs w:val="24"/>
        </w:rPr>
      </w:pPr>
      <w:r>
        <w:rPr>
          <w:rFonts w:hint="eastAsia" w:ascii="宋体" w:hAnsi="宋体" w:eastAsia="宋体" w:cs="宋体"/>
          <w:color w:val="4F4F4F"/>
          <w:sz w:val="24"/>
          <w:szCs w:val="24"/>
        </w:rPr>
        <w:t>功率：　　　　　　50W</w:t>
      </w:r>
    </w:p>
    <w:p>
      <w:pPr>
        <w:pStyle w:val="37"/>
        <w:keepNext w:val="0"/>
        <w:keepLines w:val="0"/>
        <w:pageBreakBefore w:val="0"/>
        <w:widowControl/>
        <w:kinsoku/>
        <w:wordWrap/>
        <w:overflowPunct/>
        <w:topLinePunct w:val="0"/>
        <w:autoSpaceDE/>
        <w:autoSpaceDN/>
        <w:bidi w:val="0"/>
        <w:spacing w:beforeAutospacing="0" w:afterAutospacing="0" w:line="500" w:lineRule="exact"/>
        <w:textAlignment w:val="auto"/>
        <w:rPr>
          <w:rFonts w:hint="eastAsia" w:ascii="宋体" w:hAnsi="宋体" w:eastAsia="宋体" w:cs="宋体"/>
          <w:color w:val="4F4F4F"/>
          <w:sz w:val="24"/>
          <w:szCs w:val="24"/>
        </w:rPr>
      </w:pPr>
      <w:r>
        <w:rPr>
          <w:rFonts w:hint="eastAsia" w:ascii="宋体" w:hAnsi="宋体" w:eastAsia="宋体" w:cs="宋体"/>
          <w:color w:val="4F4F4F"/>
          <w:sz w:val="24"/>
          <w:szCs w:val="24"/>
        </w:rPr>
        <w:t>转速：　　　　　　2800转/分</w:t>
      </w:r>
    </w:p>
    <w:p>
      <w:pPr>
        <w:pStyle w:val="37"/>
        <w:keepNext w:val="0"/>
        <w:keepLines w:val="0"/>
        <w:pageBreakBefore w:val="0"/>
        <w:widowControl/>
        <w:kinsoku/>
        <w:wordWrap/>
        <w:overflowPunct/>
        <w:topLinePunct w:val="0"/>
        <w:autoSpaceDE/>
        <w:autoSpaceDN/>
        <w:bidi w:val="0"/>
        <w:spacing w:beforeAutospacing="0" w:afterAutospacing="0" w:line="500" w:lineRule="exact"/>
        <w:textAlignment w:val="auto"/>
        <w:rPr>
          <w:rFonts w:hint="eastAsia" w:ascii="宋体" w:hAnsi="宋体" w:eastAsia="宋体" w:cs="宋体"/>
          <w:color w:val="4F4F4F"/>
          <w:sz w:val="24"/>
          <w:szCs w:val="24"/>
        </w:rPr>
      </w:pPr>
      <w:r>
        <w:rPr>
          <w:rFonts w:hint="eastAsia" w:ascii="宋体" w:hAnsi="宋体" w:eastAsia="宋体" w:cs="宋体"/>
          <w:color w:val="4F4F4F"/>
          <w:sz w:val="24"/>
          <w:szCs w:val="24"/>
        </w:rPr>
        <w:t>工作方式：　　　　　连续、点触、调速</w:t>
      </w:r>
    </w:p>
    <w:p>
      <w:pPr>
        <w:pStyle w:val="37"/>
        <w:keepNext w:val="0"/>
        <w:keepLines w:val="0"/>
        <w:pageBreakBefore w:val="0"/>
        <w:widowControl/>
        <w:kinsoku/>
        <w:wordWrap/>
        <w:overflowPunct/>
        <w:topLinePunct w:val="0"/>
        <w:autoSpaceDE/>
        <w:autoSpaceDN/>
        <w:bidi w:val="0"/>
        <w:spacing w:beforeAutospacing="0" w:afterAutospacing="0" w:line="500" w:lineRule="exact"/>
        <w:textAlignment w:val="auto"/>
        <w:rPr>
          <w:rFonts w:hint="eastAsia" w:ascii="宋体" w:hAnsi="宋体" w:eastAsia="宋体" w:cs="宋体"/>
          <w:color w:val="4F4F4F"/>
          <w:sz w:val="24"/>
          <w:szCs w:val="24"/>
        </w:rPr>
      </w:pPr>
      <w:r>
        <w:rPr>
          <w:rFonts w:hint="eastAsia" w:ascii="宋体" w:hAnsi="宋体" w:eastAsia="宋体" w:cs="宋体"/>
          <w:color w:val="4F4F4F"/>
          <w:sz w:val="24"/>
          <w:szCs w:val="24"/>
        </w:rPr>
        <w:t>工作台：　　　　　　碗型、平板型可调换</w:t>
      </w:r>
    </w:p>
    <w:p>
      <w:pPr>
        <w:pStyle w:val="37"/>
        <w:keepNext w:val="0"/>
        <w:keepLines w:val="0"/>
        <w:pageBreakBefore w:val="0"/>
        <w:widowControl/>
        <w:kinsoku/>
        <w:wordWrap/>
        <w:overflowPunct/>
        <w:topLinePunct w:val="0"/>
        <w:autoSpaceDE/>
        <w:autoSpaceDN/>
        <w:bidi w:val="0"/>
        <w:spacing w:beforeAutospacing="0" w:afterAutospacing="0" w:line="500" w:lineRule="exact"/>
        <w:textAlignment w:val="auto"/>
        <w:rPr>
          <w:rFonts w:hint="eastAsia" w:ascii="宋体" w:hAnsi="宋体" w:eastAsia="宋体" w:cs="宋体"/>
          <w:color w:val="4F4F4F"/>
          <w:sz w:val="24"/>
          <w:szCs w:val="24"/>
        </w:rPr>
      </w:pPr>
      <w:r>
        <w:rPr>
          <w:rFonts w:hint="eastAsia" w:ascii="宋体" w:hAnsi="宋体" w:eastAsia="宋体" w:cs="宋体"/>
          <w:color w:val="4F4F4F"/>
          <w:sz w:val="24"/>
          <w:szCs w:val="24"/>
        </w:rPr>
        <w:t>外形尺寸：　　　　　170×120×170mm</w:t>
      </w:r>
    </w:p>
    <w:p>
      <w:pPr>
        <w:pStyle w:val="37"/>
        <w:keepNext w:val="0"/>
        <w:keepLines w:val="0"/>
        <w:pageBreakBefore w:val="0"/>
        <w:widowControl/>
        <w:kinsoku/>
        <w:wordWrap/>
        <w:overflowPunct/>
        <w:topLinePunct w:val="0"/>
        <w:autoSpaceDE/>
        <w:autoSpaceDN/>
        <w:bidi w:val="0"/>
        <w:spacing w:beforeAutospacing="0" w:afterAutospacing="0" w:line="500" w:lineRule="exact"/>
        <w:textAlignment w:val="auto"/>
        <w:rPr>
          <w:rFonts w:hint="eastAsia" w:ascii="宋体" w:hAnsi="宋体" w:eastAsia="宋体" w:cs="宋体"/>
          <w:b/>
          <w:bCs/>
          <w:color w:val="4F4F4F"/>
          <w:sz w:val="24"/>
          <w:szCs w:val="24"/>
        </w:rPr>
      </w:pPr>
    </w:p>
    <w:p>
      <w:pPr>
        <w:pStyle w:val="37"/>
        <w:keepNext w:val="0"/>
        <w:keepLines w:val="0"/>
        <w:pageBreakBefore w:val="0"/>
        <w:widowControl/>
        <w:kinsoku/>
        <w:wordWrap/>
        <w:overflowPunct/>
        <w:topLinePunct w:val="0"/>
        <w:autoSpaceDE/>
        <w:autoSpaceDN/>
        <w:bidi w:val="0"/>
        <w:spacing w:beforeAutospacing="0" w:afterAutospacing="0" w:line="500" w:lineRule="exact"/>
        <w:jc w:val="center"/>
        <w:textAlignment w:val="auto"/>
        <w:rPr>
          <w:rFonts w:hint="eastAsia" w:ascii="宋体" w:hAnsi="宋体" w:eastAsia="宋体" w:cs="宋体"/>
          <w:b/>
          <w:bCs/>
          <w:color w:val="4F4F4F"/>
          <w:sz w:val="24"/>
          <w:szCs w:val="24"/>
        </w:rPr>
      </w:pPr>
      <w:r>
        <w:rPr>
          <w:rFonts w:hint="eastAsia" w:ascii="宋体" w:hAnsi="宋体" w:eastAsia="宋体" w:cs="宋体"/>
          <w:b/>
          <w:bCs/>
          <w:color w:val="4F4F4F"/>
          <w:sz w:val="24"/>
          <w:szCs w:val="24"/>
        </w:rPr>
        <w:t>八道移液器</w:t>
      </w:r>
    </w:p>
    <w:p>
      <w:pPr>
        <w:pStyle w:val="9"/>
        <w:keepNext w:val="0"/>
        <w:keepLines w:val="0"/>
        <w:pageBreakBefore w:val="0"/>
        <w:kinsoku/>
        <w:wordWrap/>
        <w:overflowPunct/>
        <w:topLinePunct w:val="0"/>
        <w:autoSpaceDE/>
        <w:autoSpaceDN/>
        <w:bidi w:val="0"/>
        <w:spacing w:line="500" w:lineRule="exact"/>
        <w:ind w:firstLine="0"/>
        <w:textAlignment w:val="auto"/>
        <w:rPr>
          <w:rFonts w:hint="eastAsia" w:ascii="宋体" w:hAnsi="宋体" w:eastAsia="宋体" w:cs="宋体"/>
          <w:b/>
          <w:bCs/>
          <w:sz w:val="24"/>
          <w:szCs w:val="24"/>
        </w:rPr>
      </w:pPr>
      <w:r>
        <w:rPr>
          <w:rFonts w:hint="eastAsia" w:ascii="宋体" w:hAnsi="宋体" w:eastAsia="宋体" w:cs="宋体"/>
          <w:b/>
          <w:bCs/>
          <w:sz w:val="24"/>
          <w:szCs w:val="24"/>
        </w:rPr>
        <w:t>产品性能及优越性说明：</w:t>
      </w:r>
    </w:p>
    <w:p>
      <w:pPr>
        <w:pStyle w:val="9"/>
        <w:keepNext w:val="0"/>
        <w:keepLines w:val="0"/>
        <w:pageBreakBefore w:val="0"/>
        <w:kinsoku/>
        <w:wordWrap/>
        <w:overflowPunct/>
        <w:topLinePunct w:val="0"/>
        <w:autoSpaceDE/>
        <w:autoSpaceDN/>
        <w:bidi w:val="0"/>
        <w:spacing w:line="500" w:lineRule="exact"/>
        <w:ind w:firstLine="0"/>
        <w:textAlignment w:val="auto"/>
        <w:rPr>
          <w:rFonts w:hint="eastAsia" w:ascii="宋体" w:hAnsi="宋体" w:eastAsia="宋体" w:cs="宋体"/>
          <w:sz w:val="24"/>
          <w:szCs w:val="24"/>
        </w:rPr>
      </w:pPr>
      <w:r>
        <w:rPr>
          <w:rFonts w:hint="eastAsia" w:ascii="宋体" w:hAnsi="宋体" w:eastAsia="宋体" w:cs="宋体"/>
          <w:sz w:val="24"/>
          <w:szCs w:val="24"/>
        </w:rPr>
        <w:t xml:space="preserve">1. 轻松地旋转活塞按钮选择分液量。 </w:t>
      </w:r>
    </w:p>
    <w:p>
      <w:pPr>
        <w:pStyle w:val="9"/>
        <w:keepNext w:val="0"/>
        <w:keepLines w:val="0"/>
        <w:pageBreakBefore w:val="0"/>
        <w:kinsoku/>
        <w:wordWrap/>
        <w:overflowPunct/>
        <w:topLinePunct w:val="0"/>
        <w:autoSpaceDE/>
        <w:autoSpaceDN/>
        <w:bidi w:val="0"/>
        <w:spacing w:line="500" w:lineRule="exact"/>
        <w:ind w:firstLine="0"/>
        <w:textAlignment w:val="auto"/>
        <w:rPr>
          <w:rFonts w:hint="eastAsia" w:ascii="宋体" w:hAnsi="宋体" w:eastAsia="宋体" w:cs="宋体"/>
          <w:sz w:val="24"/>
          <w:szCs w:val="24"/>
        </w:rPr>
      </w:pPr>
      <w:r>
        <w:rPr>
          <w:rFonts w:hint="eastAsia" w:ascii="宋体" w:hAnsi="宋体" w:eastAsia="宋体" w:cs="宋体"/>
          <w:sz w:val="24"/>
          <w:szCs w:val="24"/>
        </w:rPr>
        <w:t xml:space="preserve">2. 整个枪体在色彩搭配上，灰白色、蓝色相间，符合色彩美学设计。                </w:t>
      </w:r>
    </w:p>
    <w:p>
      <w:pPr>
        <w:pStyle w:val="9"/>
        <w:keepNext w:val="0"/>
        <w:keepLines w:val="0"/>
        <w:pageBreakBefore w:val="0"/>
        <w:kinsoku/>
        <w:wordWrap/>
        <w:overflowPunct/>
        <w:topLinePunct w:val="0"/>
        <w:autoSpaceDE/>
        <w:autoSpaceDN/>
        <w:bidi w:val="0"/>
        <w:spacing w:line="500" w:lineRule="exact"/>
        <w:ind w:firstLine="0"/>
        <w:textAlignment w:val="auto"/>
        <w:rPr>
          <w:rFonts w:hint="eastAsia" w:ascii="宋体" w:hAnsi="宋体" w:eastAsia="宋体" w:cs="宋体"/>
          <w:sz w:val="24"/>
          <w:szCs w:val="24"/>
        </w:rPr>
      </w:pPr>
      <w:r>
        <w:rPr>
          <w:rFonts w:hint="eastAsia" w:ascii="宋体" w:hAnsi="宋体" w:eastAsia="宋体" w:cs="宋体"/>
          <w:sz w:val="24"/>
          <w:szCs w:val="24"/>
        </w:rPr>
        <w:t xml:space="preserve">3. 人机工程学设计的指掌，便于全手轻松控制，可减少手部疲劳。 </w:t>
      </w:r>
    </w:p>
    <w:p>
      <w:pPr>
        <w:pStyle w:val="9"/>
        <w:keepNext w:val="0"/>
        <w:keepLines w:val="0"/>
        <w:pageBreakBefore w:val="0"/>
        <w:kinsoku/>
        <w:wordWrap/>
        <w:overflowPunct/>
        <w:topLinePunct w:val="0"/>
        <w:autoSpaceDE/>
        <w:autoSpaceDN/>
        <w:bidi w:val="0"/>
        <w:spacing w:line="500" w:lineRule="exact"/>
        <w:ind w:firstLine="0"/>
        <w:textAlignment w:val="auto"/>
        <w:rPr>
          <w:rFonts w:hint="eastAsia" w:ascii="宋体" w:hAnsi="宋体" w:eastAsia="宋体" w:cs="宋体"/>
          <w:sz w:val="24"/>
          <w:szCs w:val="24"/>
        </w:rPr>
      </w:pPr>
      <w:r>
        <w:rPr>
          <w:rFonts w:hint="eastAsia" w:ascii="宋体" w:hAnsi="宋体" w:eastAsia="宋体" w:cs="宋体"/>
          <w:sz w:val="24"/>
          <w:szCs w:val="24"/>
        </w:rPr>
        <w:t xml:space="preserve">4. 数字视窗，令所设定量程一目了然。 </w:t>
      </w:r>
    </w:p>
    <w:p>
      <w:pPr>
        <w:pStyle w:val="9"/>
        <w:keepNext w:val="0"/>
        <w:keepLines w:val="0"/>
        <w:pageBreakBefore w:val="0"/>
        <w:kinsoku/>
        <w:wordWrap/>
        <w:overflowPunct/>
        <w:topLinePunct w:val="0"/>
        <w:autoSpaceDE/>
        <w:autoSpaceDN/>
        <w:bidi w:val="0"/>
        <w:spacing w:line="500" w:lineRule="exact"/>
        <w:ind w:firstLine="0"/>
        <w:textAlignment w:val="auto"/>
        <w:rPr>
          <w:rFonts w:hint="eastAsia" w:ascii="宋体" w:hAnsi="宋体" w:eastAsia="宋体" w:cs="宋体"/>
          <w:sz w:val="24"/>
          <w:szCs w:val="24"/>
        </w:rPr>
      </w:pPr>
      <w:r>
        <w:rPr>
          <w:rFonts w:hint="eastAsia" w:ascii="宋体" w:hAnsi="宋体" w:eastAsia="宋体" w:cs="宋体"/>
          <w:sz w:val="24"/>
          <w:szCs w:val="24"/>
        </w:rPr>
        <w:t>5. 量程范围广（0.1-10000ul）。</w:t>
      </w:r>
    </w:p>
    <w:p>
      <w:pPr>
        <w:pStyle w:val="9"/>
        <w:keepNext w:val="0"/>
        <w:keepLines w:val="0"/>
        <w:pageBreakBefore w:val="0"/>
        <w:kinsoku/>
        <w:wordWrap/>
        <w:overflowPunct/>
        <w:topLinePunct w:val="0"/>
        <w:autoSpaceDE/>
        <w:autoSpaceDN/>
        <w:bidi w:val="0"/>
        <w:spacing w:line="500" w:lineRule="exact"/>
        <w:ind w:firstLine="0"/>
        <w:textAlignment w:val="auto"/>
        <w:rPr>
          <w:rFonts w:hint="eastAsia" w:ascii="宋体" w:hAnsi="宋体" w:eastAsia="宋体" w:cs="宋体"/>
          <w:sz w:val="24"/>
          <w:szCs w:val="24"/>
        </w:rPr>
      </w:pPr>
      <w:r>
        <w:rPr>
          <w:rFonts w:hint="eastAsia" w:ascii="宋体" w:hAnsi="宋体" w:eastAsia="宋体" w:cs="宋体"/>
          <w:sz w:val="24"/>
          <w:szCs w:val="24"/>
        </w:rPr>
        <w:t>6. 使用附件工具，能方便快捷地进行校准和维修。</w:t>
      </w:r>
    </w:p>
    <w:p>
      <w:pPr>
        <w:pStyle w:val="9"/>
        <w:keepNext w:val="0"/>
        <w:keepLines w:val="0"/>
        <w:pageBreakBefore w:val="0"/>
        <w:kinsoku/>
        <w:wordWrap/>
        <w:overflowPunct/>
        <w:topLinePunct w:val="0"/>
        <w:autoSpaceDE/>
        <w:autoSpaceDN/>
        <w:bidi w:val="0"/>
        <w:spacing w:line="500" w:lineRule="exact"/>
        <w:ind w:firstLine="0"/>
        <w:textAlignment w:val="auto"/>
        <w:rPr>
          <w:rFonts w:hint="eastAsia" w:ascii="宋体" w:hAnsi="宋体" w:eastAsia="宋体" w:cs="宋体"/>
          <w:sz w:val="24"/>
          <w:szCs w:val="24"/>
        </w:rPr>
      </w:pPr>
      <w:r>
        <w:rPr>
          <w:rFonts w:hint="eastAsia" w:ascii="宋体" w:hAnsi="宋体" w:eastAsia="宋体" w:cs="宋体"/>
          <w:sz w:val="24"/>
          <w:szCs w:val="24"/>
        </w:rPr>
        <w:t>7. 快捷轻便的管嘴推出器。</w:t>
      </w:r>
    </w:p>
    <w:p>
      <w:pPr>
        <w:pStyle w:val="9"/>
        <w:keepNext w:val="0"/>
        <w:keepLines w:val="0"/>
        <w:pageBreakBefore w:val="0"/>
        <w:kinsoku/>
        <w:wordWrap/>
        <w:overflowPunct/>
        <w:topLinePunct w:val="0"/>
        <w:autoSpaceDE/>
        <w:autoSpaceDN/>
        <w:bidi w:val="0"/>
        <w:spacing w:line="500" w:lineRule="exact"/>
        <w:ind w:firstLine="0"/>
        <w:textAlignment w:val="auto"/>
        <w:rPr>
          <w:rFonts w:hint="eastAsia" w:ascii="宋体" w:hAnsi="宋体" w:eastAsia="宋体" w:cs="宋体"/>
          <w:sz w:val="24"/>
          <w:szCs w:val="24"/>
        </w:rPr>
      </w:pPr>
      <w:r>
        <w:rPr>
          <w:rFonts w:hint="eastAsia" w:ascii="宋体" w:hAnsi="宋体" w:eastAsia="宋体" w:cs="宋体"/>
          <w:sz w:val="24"/>
          <w:szCs w:val="24"/>
        </w:rPr>
        <w:t xml:space="preserve">8. 10ul以上规格配有可替换疏水性滤芯，可防止移液器内部污染和损坏。                              </w:t>
      </w:r>
    </w:p>
    <w:p>
      <w:pPr>
        <w:pStyle w:val="37"/>
        <w:keepNext w:val="0"/>
        <w:keepLines w:val="0"/>
        <w:pageBreakBefore w:val="0"/>
        <w:widowControl/>
        <w:kinsoku/>
        <w:wordWrap/>
        <w:overflowPunct/>
        <w:topLinePunct w:val="0"/>
        <w:autoSpaceDE/>
        <w:autoSpaceDN/>
        <w:bidi w:val="0"/>
        <w:spacing w:beforeAutospacing="0" w:afterAutospacing="0" w:line="500" w:lineRule="exact"/>
        <w:ind w:firstLine="484" w:firstLineChars="200"/>
        <w:textAlignment w:val="auto"/>
        <w:rPr>
          <w:rFonts w:hint="eastAsia" w:ascii="宋体" w:hAnsi="宋体" w:eastAsia="宋体" w:cs="宋体"/>
          <w:color w:val="4F4F4F"/>
          <w:sz w:val="24"/>
          <w:szCs w:val="24"/>
        </w:rPr>
      </w:pPr>
      <w:r>
        <w:rPr>
          <w:rFonts w:hint="eastAsia" w:ascii="宋体" w:hAnsi="宋体" w:eastAsia="宋体" w:cs="宋体"/>
          <w:sz w:val="24"/>
          <w:szCs w:val="24"/>
        </w:rPr>
        <w:t>9. 可拆卸式管嘴连件，具有高性能的化学防腐性，且可以高温高压灭菌</w:t>
      </w:r>
    </w:p>
    <w:p>
      <w:pPr>
        <w:rPr>
          <w:rFonts w:asciiTheme="minorEastAsia" w:hAnsiTheme="minorEastAsia" w:cstheme="minorEastAsia"/>
          <w:spacing w:val="-8"/>
          <w:sz w:val="24"/>
          <w:szCs w:val="24"/>
        </w:rPr>
      </w:pPr>
    </w:p>
    <w:p>
      <w:pPr>
        <w:pStyle w:val="5"/>
        <w:ind w:left="0" w:leftChars="0" w:firstLine="0" w:firstLineChars="0"/>
        <w:rPr>
          <w:rFonts w:hint="eastAsia"/>
          <w:lang w:val="en-US" w:eastAsia="zh-CN"/>
        </w:rPr>
      </w:pPr>
    </w:p>
    <w:p>
      <w:pPr>
        <w:rPr>
          <w:rFonts w:hint="eastAsia" w:ascii="仿宋" w:hAnsi="仿宋" w:eastAsia="仿宋" w:cs="仿宋"/>
          <w:b/>
          <w:bCs/>
          <w:color w:val="auto"/>
          <w:sz w:val="28"/>
          <w:szCs w:val="28"/>
        </w:rPr>
      </w:pPr>
    </w:p>
    <w:p>
      <w:pPr>
        <w:rPr>
          <w:rFonts w:ascii="仿宋" w:hAnsi="仿宋" w:eastAsia="仿宋" w:cs="仿宋"/>
          <w:b/>
          <w:bCs/>
          <w:color w:val="auto"/>
          <w:sz w:val="28"/>
          <w:szCs w:val="28"/>
        </w:rPr>
      </w:pPr>
      <w:r>
        <w:rPr>
          <w:rFonts w:hint="eastAsia" w:ascii="仿宋" w:hAnsi="仿宋" w:eastAsia="仿宋" w:cs="仿宋"/>
          <w:b/>
          <w:bCs/>
          <w:color w:val="auto"/>
          <w:sz w:val="28"/>
          <w:szCs w:val="28"/>
        </w:rPr>
        <w:t>备注：（1）如果以上技术参数表述有某个特定品牌的规格型号，投标单位可参照该项目的技术标准选择其他品牌产品替代，并做出说明，原则上不能降低投标产品性能。</w:t>
      </w:r>
    </w:p>
    <w:p>
      <w:pPr>
        <w:rPr>
          <w:rFonts w:ascii="仿宋" w:hAnsi="仿宋" w:eastAsia="仿宋" w:cs="仿宋"/>
          <w:b/>
          <w:bCs/>
          <w:color w:val="auto"/>
          <w:sz w:val="28"/>
          <w:szCs w:val="28"/>
        </w:rPr>
      </w:pPr>
      <w:r>
        <w:rPr>
          <w:rFonts w:hint="eastAsia" w:ascii="仿宋" w:hAnsi="仿宋" w:eastAsia="仿宋" w:cs="仿宋"/>
          <w:b/>
          <w:bCs/>
          <w:color w:val="auto"/>
          <w:sz w:val="28"/>
          <w:szCs w:val="28"/>
        </w:rPr>
        <w:t>       （2）如果以上参数关于外观、功能或重量、尺寸（需现场定制或影响使用的情况除外）的表述为某一品牌独有的，可不作为必须满足的条件。投标人应在投标文件中对此种情况做出说明。</w:t>
      </w:r>
    </w:p>
    <w:p>
      <w:pPr>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pStyle w:val="181"/>
      </w:pPr>
    </w:p>
    <w:p>
      <w:pPr>
        <w:spacing w:line="500" w:lineRule="exact"/>
        <w:jc w:val="center"/>
        <w:outlineLvl w:val="0"/>
        <w:rPr>
          <w:rFonts w:ascii="宋体" w:hAnsi="宋体"/>
          <w:b/>
          <w:color w:val="auto"/>
          <w:sz w:val="30"/>
          <w:szCs w:val="30"/>
        </w:rPr>
      </w:pPr>
      <w:r>
        <w:rPr>
          <w:rFonts w:hint="eastAsia" w:ascii="宋体" w:hAnsi="宋体"/>
          <w:b/>
          <w:color w:val="auto"/>
          <w:sz w:val="30"/>
          <w:szCs w:val="30"/>
        </w:rPr>
        <w:t>第四章 合同条款</w:t>
      </w:r>
      <w:bookmarkEnd w:id="15"/>
    </w:p>
    <w:p>
      <w:pPr>
        <w:adjustRightInd w:val="0"/>
        <w:snapToGrid w:val="0"/>
        <w:spacing w:line="360" w:lineRule="auto"/>
        <w:jc w:val="both"/>
        <w:rPr>
          <w:rFonts w:hint="eastAsia" w:ascii="黑体"/>
          <w:color w:val="auto"/>
          <w:szCs w:val="21"/>
        </w:rPr>
      </w:pPr>
    </w:p>
    <w:p>
      <w:pPr>
        <w:adjustRightInd w:val="0"/>
        <w:snapToGrid w:val="0"/>
        <w:spacing w:line="360" w:lineRule="auto"/>
        <w:jc w:val="center"/>
        <w:rPr>
          <w:rFonts w:hint="eastAsia" w:ascii="黑体" w:eastAsia="宋体"/>
          <w:color w:val="auto"/>
          <w:sz w:val="44"/>
          <w:szCs w:val="44"/>
          <w:lang w:eastAsia="zh-CN"/>
        </w:rPr>
      </w:pPr>
      <w:r>
        <w:rPr>
          <w:rFonts w:hint="eastAsia" w:ascii="黑体"/>
          <w:color w:val="auto"/>
          <w:sz w:val="44"/>
          <w:szCs w:val="44"/>
          <w:lang w:eastAsia="zh-CN"/>
        </w:rPr>
        <w:t>霍城县卫生健康委员会</w:t>
      </w:r>
    </w:p>
    <w:p>
      <w:pPr>
        <w:tabs>
          <w:tab w:val="center" w:pos="4536"/>
          <w:tab w:val="left" w:pos="7560"/>
        </w:tabs>
        <w:adjustRightInd w:val="0"/>
        <w:snapToGrid w:val="0"/>
        <w:spacing w:line="360" w:lineRule="auto"/>
        <w:jc w:val="left"/>
        <w:rPr>
          <w:rFonts w:hint="eastAsia" w:ascii="黑体"/>
          <w:color w:val="auto"/>
          <w:sz w:val="30"/>
          <w:szCs w:val="30"/>
        </w:rPr>
      </w:pPr>
      <w:r>
        <w:rPr>
          <w:rFonts w:ascii="黑体"/>
          <w:color w:val="auto"/>
          <w:w w:val="110"/>
          <w:sz w:val="44"/>
          <w:szCs w:val="44"/>
        </w:rPr>
        <w:tab/>
      </w:r>
      <w:r>
        <w:rPr>
          <w:rFonts w:hint="eastAsia" w:ascii="黑体"/>
          <w:color w:val="auto"/>
          <w:w w:val="110"/>
          <w:sz w:val="44"/>
          <w:szCs w:val="44"/>
        </w:rPr>
        <w:t>采 购</w:t>
      </w:r>
      <w:r>
        <w:rPr>
          <w:rFonts w:ascii="黑体"/>
          <w:color w:val="auto"/>
          <w:w w:val="110"/>
          <w:sz w:val="44"/>
          <w:szCs w:val="44"/>
        </w:rPr>
        <w:t xml:space="preserve"> </w:t>
      </w:r>
      <w:r>
        <w:rPr>
          <w:rFonts w:hint="eastAsia" w:ascii="黑体"/>
          <w:color w:val="auto"/>
          <w:sz w:val="44"/>
          <w:szCs w:val="44"/>
        </w:rPr>
        <w:t>合</w:t>
      </w:r>
      <w:r>
        <w:rPr>
          <w:rFonts w:ascii="黑体"/>
          <w:color w:val="auto"/>
          <w:sz w:val="44"/>
          <w:szCs w:val="44"/>
        </w:rPr>
        <w:t xml:space="preserve"> </w:t>
      </w:r>
      <w:r>
        <w:rPr>
          <w:rFonts w:hint="eastAsia" w:ascii="黑体"/>
          <w:color w:val="auto"/>
          <w:sz w:val="44"/>
          <w:szCs w:val="44"/>
        </w:rPr>
        <w:t>同</w:t>
      </w:r>
      <w:r>
        <w:rPr>
          <w:rFonts w:ascii="黑体"/>
          <w:color w:val="auto"/>
          <w:sz w:val="30"/>
          <w:szCs w:val="30"/>
        </w:rPr>
        <w:tab/>
      </w:r>
    </w:p>
    <w:p>
      <w:pPr>
        <w:adjustRightInd w:val="0"/>
        <w:snapToGrid w:val="0"/>
        <w:spacing w:line="360" w:lineRule="auto"/>
        <w:ind w:firstLine="1060" w:firstLineChars="500"/>
        <w:rPr>
          <w:rFonts w:ascii="黑体"/>
          <w:color w:val="auto"/>
          <w:szCs w:val="21"/>
        </w:rPr>
      </w:pPr>
    </w:p>
    <w:p>
      <w:pPr>
        <w:adjustRightInd w:val="0"/>
        <w:snapToGrid w:val="0"/>
        <w:spacing w:line="360" w:lineRule="auto"/>
        <w:ind w:firstLine="1510" w:firstLineChars="500"/>
        <w:rPr>
          <w:rFonts w:hint="eastAsia" w:ascii="黑体"/>
          <w:color w:val="auto"/>
          <w:sz w:val="30"/>
          <w:szCs w:val="30"/>
        </w:rPr>
      </w:pPr>
      <w:r>
        <w:rPr>
          <w:rFonts w:hint="eastAsia" w:ascii="黑体"/>
          <w:color w:val="auto"/>
          <w:sz w:val="30"/>
          <w:szCs w:val="30"/>
        </w:rPr>
        <w:t>项目编号：</w:t>
      </w:r>
    </w:p>
    <w:p>
      <w:pPr>
        <w:adjustRightInd w:val="0"/>
        <w:snapToGrid w:val="0"/>
        <w:spacing w:line="360" w:lineRule="auto"/>
        <w:ind w:firstLine="1510" w:firstLineChars="500"/>
        <w:rPr>
          <w:rFonts w:hint="eastAsia" w:ascii="黑体"/>
          <w:color w:val="auto"/>
          <w:sz w:val="30"/>
          <w:szCs w:val="30"/>
        </w:rPr>
      </w:pPr>
      <w:r>
        <w:rPr>
          <w:rFonts w:hint="eastAsia" w:ascii="黑体"/>
          <w:color w:val="auto"/>
          <w:sz w:val="30"/>
          <w:szCs w:val="30"/>
        </w:rPr>
        <w:t>合同编号：</w:t>
      </w:r>
    </w:p>
    <w:p>
      <w:pPr>
        <w:adjustRightInd w:val="0"/>
        <w:snapToGrid w:val="0"/>
        <w:spacing w:line="360" w:lineRule="auto"/>
        <w:jc w:val="center"/>
        <w:rPr>
          <w:rFonts w:hint="eastAsia" w:ascii="黑体" w:hAnsi="宋体"/>
          <w:color w:val="auto"/>
          <w:sz w:val="30"/>
          <w:szCs w:val="30"/>
        </w:rPr>
      </w:pPr>
      <w:r>
        <w:rPr>
          <w:rFonts w:hint="eastAsia" w:ascii="黑体"/>
          <w:color w:val="auto"/>
          <w:sz w:val="30"/>
          <w:szCs w:val="30"/>
        </w:rPr>
        <w:t>（      年度）</w:t>
      </w:r>
    </w:p>
    <w:p>
      <w:pPr>
        <w:widowControl/>
        <w:adjustRightInd w:val="0"/>
        <w:snapToGrid w:val="0"/>
        <w:spacing w:line="360" w:lineRule="auto"/>
        <w:jc w:val="center"/>
        <w:rPr>
          <w:rFonts w:hint="eastAsia" w:ascii="黑体" w:cs="宋体"/>
          <w:color w:val="auto"/>
          <w:kern w:val="0"/>
          <w:szCs w:val="21"/>
        </w:rPr>
      </w:pPr>
      <w:r>
        <w:rPr>
          <w:rFonts w:hint="eastAsia" w:ascii="黑体"/>
          <w:color w:val="auto"/>
          <w:szCs w:val="21"/>
        </w:rPr>
        <w:t xml:space="preserve">      </w:t>
      </w:r>
    </w:p>
    <w:p>
      <w:pPr>
        <w:adjustRightInd w:val="0"/>
        <w:snapToGrid w:val="0"/>
        <w:spacing w:line="360" w:lineRule="auto"/>
        <w:rPr>
          <w:rFonts w:ascii="楷体_GB2312"/>
          <w:color w:val="auto"/>
          <w:szCs w:val="21"/>
        </w:rPr>
      </w:pPr>
      <w:r>
        <w:rPr>
          <w:rFonts w:ascii="楷体_GB2312"/>
          <w:color w:val="auto"/>
          <w:szCs w:val="21"/>
        </w:rPr>
        <w:t xml:space="preserve">          </w:t>
      </w:r>
    </w:p>
    <w:p>
      <w:pPr>
        <w:adjustRightInd w:val="0"/>
        <w:snapToGrid w:val="0"/>
        <w:spacing w:line="360" w:lineRule="auto"/>
        <w:rPr>
          <w:rFonts w:ascii="楷体_GB2312"/>
          <w:color w:val="auto"/>
          <w:szCs w:val="21"/>
        </w:rPr>
      </w:pPr>
    </w:p>
    <w:p>
      <w:pPr>
        <w:adjustRightInd w:val="0"/>
        <w:snapToGrid w:val="0"/>
        <w:spacing w:line="360" w:lineRule="auto"/>
        <w:rPr>
          <w:rFonts w:hint="eastAsia" w:ascii="楷体_GB2312"/>
          <w:color w:val="auto"/>
          <w:szCs w:val="21"/>
        </w:rPr>
      </w:pPr>
    </w:p>
    <w:p>
      <w:pPr>
        <w:adjustRightInd w:val="0"/>
        <w:snapToGrid w:val="0"/>
        <w:spacing w:line="360" w:lineRule="auto"/>
        <w:ind w:firstLine="972" w:firstLineChars="345"/>
        <w:rPr>
          <w:rFonts w:hint="eastAsia" w:ascii="黑体" w:eastAsia="宋体"/>
          <w:color w:val="auto"/>
          <w:sz w:val="28"/>
          <w:szCs w:val="28"/>
          <w:lang w:eastAsia="zh-CN"/>
        </w:rPr>
      </w:pPr>
      <w:r>
        <w:rPr>
          <w:rFonts w:hint="eastAsia" w:ascii="黑体"/>
          <w:color w:val="auto"/>
          <w:sz w:val="28"/>
          <w:szCs w:val="28"/>
        </w:rPr>
        <w:t>甲  方：</w:t>
      </w:r>
      <w:r>
        <w:rPr>
          <w:rFonts w:hint="eastAsia" w:ascii="黑体"/>
          <w:color w:val="auto"/>
          <w:sz w:val="28"/>
          <w:szCs w:val="28"/>
          <w:lang w:eastAsia="zh-CN"/>
        </w:rPr>
        <w:t>霍城县卫生健康委员会</w:t>
      </w:r>
    </w:p>
    <w:p>
      <w:pPr>
        <w:adjustRightInd w:val="0"/>
        <w:snapToGrid w:val="0"/>
        <w:spacing w:line="360" w:lineRule="auto"/>
        <w:ind w:firstLine="972" w:firstLineChars="345"/>
        <w:rPr>
          <w:rFonts w:hint="eastAsia" w:ascii="黑体" w:hAnsi="仿宋_GB2312"/>
          <w:color w:val="auto"/>
          <w:sz w:val="28"/>
          <w:szCs w:val="28"/>
        </w:rPr>
      </w:pPr>
      <w:r>
        <w:rPr>
          <w:rFonts w:hint="eastAsia" w:ascii="黑体"/>
          <w:color w:val="auto"/>
          <w:sz w:val="28"/>
          <w:szCs w:val="28"/>
        </w:rPr>
        <w:t>乙  方：</w:t>
      </w:r>
      <w:r>
        <w:rPr>
          <w:rFonts w:hint="eastAsia" w:ascii="黑体" w:hAnsi="仿宋_GB2312"/>
          <w:color w:val="auto"/>
          <w:sz w:val="28"/>
          <w:szCs w:val="28"/>
        </w:rPr>
        <w:t xml:space="preserve"> </w:t>
      </w:r>
    </w:p>
    <w:p>
      <w:pPr>
        <w:adjustRightInd w:val="0"/>
        <w:snapToGrid w:val="0"/>
        <w:spacing w:line="360" w:lineRule="auto"/>
        <w:jc w:val="center"/>
        <w:rPr>
          <w:rFonts w:hint="eastAsia" w:ascii="黑体"/>
          <w:color w:val="auto"/>
          <w:sz w:val="28"/>
          <w:szCs w:val="28"/>
        </w:rPr>
      </w:pPr>
    </w:p>
    <w:p>
      <w:pPr>
        <w:adjustRightInd w:val="0"/>
        <w:snapToGrid w:val="0"/>
        <w:spacing w:line="360" w:lineRule="auto"/>
        <w:jc w:val="center"/>
        <w:rPr>
          <w:rFonts w:ascii="楷体_GB2312"/>
          <w:color w:val="auto"/>
          <w:szCs w:val="21"/>
        </w:rPr>
      </w:pPr>
    </w:p>
    <w:p>
      <w:pPr>
        <w:adjustRightInd w:val="0"/>
        <w:snapToGrid w:val="0"/>
        <w:spacing w:line="360" w:lineRule="auto"/>
        <w:jc w:val="center"/>
        <w:rPr>
          <w:rFonts w:ascii="楷体_GB2312"/>
          <w:color w:val="auto"/>
          <w:szCs w:val="21"/>
        </w:rPr>
      </w:pPr>
    </w:p>
    <w:p>
      <w:pPr>
        <w:adjustRightInd w:val="0"/>
        <w:snapToGrid w:val="0"/>
        <w:spacing w:line="360" w:lineRule="auto"/>
        <w:jc w:val="center"/>
        <w:rPr>
          <w:rFonts w:ascii="楷体_GB2312"/>
          <w:color w:val="auto"/>
          <w:szCs w:val="21"/>
        </w:rPr>
      </w:pPr>
    </w:p>
    <w:p>
      <w:pPr>
        <w:adjustRightInd w:val="0"/>
        <w:snapToGrid w:val="0"/>
        <w:spacing w:line="360" w:lineRule="auto"/>
        <w:jc w:val="center"/>
        <w:rPr>
          <w:rFonts w:hint="eastAsia" w:ascii="楷体_GB2312"/>
          <w:color w:val="auto"/>
          <w:szCs w:val="21"/>
        </w:rPr>
      </w:pPr>
    </w:p>
    <w:p>
      <w:pPr>
        <w:adjustRightInd w:val="0"/>
        <w:snapToGrid w:val="0"/>
        <w:spacing w:line="360" w:lineRule="auto"/>
        <w:jc w:val="center"/>
        <w:rPr>
          <w:rFonts w:hint="eastAsia" w:ascii="楷体_GB2312"/>
          <w:color w:val="auto"/>
          <w:szCs w:val="21"/>
        </w:rPr>
      </w:pPr>
    </w:p>
    <w:p>
      <w:pPr>
        <w:adjustRightInd w:val="0"/>
        <w:snapToGrid w:val="0"/>
        <w:spacing w:line="360" w:lineRule="auto"/>
        <w:jc w:val="center"/>
        <w:rPr>
          <w:rFonts w:hint="eastAsia" w:ascii="楷体_GB2312"/>
          <w:color w:val="auto"/>
          <w:szCs w:val="21"/>
        </w:rPr>
      </w:pPr>
    </w:p>
    <w:p>
      <w:pPr>
        <w:adjustRightInd w:val="0"/>
        <w:snapToGrid w:val="0"/>
        <w:spacing w:line="360" w:lineRule="auto"/>
        <w:ind w:firstLine="1128" w:firstLineChars="400"/>
        <w:rPr>
          <w:rFonts w:ascii="宋体"/>
          <w:color w:val="auto"/>
          <w:sz w:val="28"/>
          <w:szCs w:val="28"/>
        </w:rPr>
      </w:pPr>
      <w:r>
        <w:rPr>
          <w:rFonts w:hint="eastAsia" w:ascii="宋体" w:hAnsi="宋体"/>
          <w:color w:val="auto"/>
          <w:sz w:val="28"/>
          <w:szCs w:val="28"/>
        </w:rPr>
        <w:t xml:space="preserve">合同签订地点：                            </w:t>
      </w:r>
      <w:r>
        <w:rPr>
          <w:rFonts w:ascii="宋体"/>
          <w:color w:val="auto"/>
          <w:sz w:val="28"/>
          <w:szCs w:val="28"/>
        </w:rPr>
        <w:t xml:space="preserve"> </w:t>
      </w:r>
    </w:p>
    <w:p>
      <w:pPr>
        <w:adjustRightInd w:val="0"/>
        <w:snapToGrid w:val="0"/>
        <w:spacing w:line="360" w:lineRule="auto"/>
        <w:jc w:val="center"/>
        <w:rPr>
          <w:rFonts w:hint="eastAsia" w:ascii="黑体"/>
          <w:color w:val="auto"/>
          <w:sz w:val="28"/>
          <w:szCs w:val="28"/>
        </w:rPr>
      </w:pPr>
      <w:r>
        <w:rPr>
          <w:rFonts w:hint="eastAsia" w:ascii="黑体"/>
          <w:color w:val="auto"/>
          <w:sz w:val="28"/>
          <w:szCs w:val="28"/>
        </w:rPr>
        <w:t>二O二</w:t>
      </w:r>
      <w:r>
        <w:rPr>
          <w:rFonts w:hint="eastAsia" w:ascii="黑体"/>
          <w:color w:val="auto"/>
          <w:sz w:val="28"/>
          <w:szCs w:val="28"/>
          <w:u w:val="single"/>
        </w:rPr>
        <w:t xml:space="preserve">    </w:t>
      </w:r>
      <w:r>
        <w:rPr>
          <w:rFonts w:hint="eastAsia" w:ascii="黑体"/>
          <w:color w:val="auto"/>
          <w:sz w:val="28"/>
          <w:szCs w:val="28"/>
        </w:rPr>
        <w:t>年</w:t>
      </w:r>
      <w:r>
        <w:rPr>
          <w:rFonts w:hint="eastAsia" w:ascii="黑体"/>
          <w:color w:val="auto"/>
          <w:sz w:val="28"/>
          <w:szCs w:val="28"/>
          <w:u w:val="single"/>
        </w:rPr>
        <w:t xml:space="preserve">   </w:t>
      </w:r>
      <w:r>
        <w:rPr>
          <w:rFonts w:hint="eastAsia" w:ascii="黑体"/>
          <w:color w:val="auto"/>
          <w:sz w:val="28"/>
          <w:szCs w:val="28"/>
        </w:rPr>
        <w:t>月</w:t>
      </w:r>
    </w:p>
    <w:p>
      <w:pPr>
        <w:adjustRightInd w:val="0"/>
        <w:snapToGrid w:val="0"/>
        <w:spacing w:line="360" w:lineRule="auto"/>
        <w:jc w:val="center"/>
        <w:rPr>
          <w:rFonts w:hint="eastAsia" w:ascii="黑体"/>
          <w:color w:val="auto"/>
          <w:sz w:val="28"/>
          <w:szCs w:val="28"/>
        </w:rPr>
      </w:pPr>
    </w:p>
    <w:p>
      <w:pPr>
        <w:adjustRightInd w:val="0"/>
        <w:snapToGrid w:val="0"/>
        <w:spacing w:line="360" w:lineRule="auto"/>
        <w:jc w:val="center"/>
        <w:rPr>
          <w:rFonts w:hint="eastAsia" w:ascii="黑体"/>
          <w:color w:val="auto"/>
          <w:szCs w:val="21"/>
        </w:rPr>
      </w:pPr>
    </w:p>
    <w:p>
      <w:pPr>
        <w:adjustRightInd w:val="0"/>
        <w:snapToGrid w:val="0"/>
        <w:spacing w:line="360" w:lineRule="auto"/>
        <w:jc w:val="center"/>
        <w:rPr>
          <w:rFonts w:hint="eastAsia" w:ascii="黑体"/>
          <w:color w:val="auto"/>
          <w:szCs w:val="21"/>
        </w:rPr>
      </w:pPr>
    </w:p>
    <w:p>
      <w:pPr>
        <w:pStyle w:val="40"/>
        <w:rPr>
          <w:rFonts w:hint="eastAsia"/>
          <w:color w:val="auto"/>
        </w:rPr>
      </w:pPr>
    </w:p>
    <w:p>
      <w:pPr>
        <w:adjustRightInd w:val="0"/>
        <w:snapToGrid w:val="0"/>
        <w:spacing w:line="360" w:lineRule="auto"/>
        <w:rPr>
          <w:rFonts w:hint="eastAsia" w:ascii="宋体" w:hAnsi="宋体"/>
          <w:color w:val="auto"/>
          <w:szCs w:val="21"/>
        </w:rPr>
      </w:pPr>
    </w:p>
    <w:p>
      <w:pPr>
        <w:adjustRightInd w:val="0"/>
        <w:snapToGrid w:val="0"/>
        <w:spacing w:line="360" w:lineRule="auto"/>
        <w:jc w:val="center"/>
        <w:rPr>
          <w:rFonts w:ascii="宋体" w:hAnsi="宋体"/>
          <w:color w:val="auto"/>
          <w:sz w:val="30"/>
          <w:szCs w:val="30"/>
        </w:rPr>
      </w:pPr>
      <w:r>
        <w:rPr>
          <w:rFonts w:hint="eastAsia" w:ascii="宋体" w:hAnsi="宋体"/>
          <w:color w:val="auto"/>
          <w:sz w:val="30"/>
          <w:szCs w:val="30"/>
        </w:rPr>
        <w:t>采 购 （专 用）</w:t>
      </w:r>
      <w:r>
        <w:rPr>
          <w:rFonts w:ascii="宋体" w:hAnsi="宋体"/>
          <w:color w:val="auto"/>
          <w:sz w:val="30"/>
          <w:szCs w:val="30"/>
        </w:rPr>
        <w:t xml:space="preserve"> </w:t>
      </w:r>
      <w:r>
        <w:rPr>
          <w:rFonts w:hint="eastAsia" w:ascii="宋体" w:hAnsi="宋体"/>
          <w:color w:val="auto"/>
          <w:sz w:val="30"/>
          <w:szCs w:val="30"/>
        </w:rPr>
        <w:t>合</w:t>
      </w:r>
      <w:r>
        <w:rPr>
          <w:rFonts w:ascii="宋体" w:hAnsi="宋体"/>
          <w:color w:val="auto"/>
          <w:sz w:val="30"/>
          <w:szCs w:val="30"/>
        </w:rPr>
        <w:t xml:space="preserve"> </w:t>
      </w:r>
      <w:r>
        <w:rPr>
          <w:rFonts w:hint="eastAsia" w:ascii="宋体" w:hAnsi="宋体"/>
          <w:color w:val="auto"/>
          <w:sz w:val="30"/>
          <w:szCs w:val="30"/>
        </w:rPr>
        <w:t>同</w:t>
      </w:r>
    </w:p>
    <w:p>
      <w:pPr>
        <w:adjustRightInd w:val="0"/>
        <w:snapToGrid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甲方：</w:t>
      </w:r>
      <w:r>
        <w:rPr>
          <w:rFonts w:hint="eastAsia" w:ascii="宋体" w:hAnsi="宋体" w:cs="宋体"/>
          <w:color w:val="auto"/>
          <w:sz w:val="24"/>
          <w:szCs w:val="24"/>
          <w:lang w:eastAsia="zh-CN"/>
        </w:rPr>
        <w:t>霍城县卫生健康委员会</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乙方：                                </w:t>
      </w:r>
    </w:p>
    <w:p>
      <w:pPr>
        <w:widowControl/>
        <w:adjustRightInd w:val="0"/>
        <w:snapToGrid w:val="0"/>
        <w:spacing w:line="360" w:lineRule="auto"/>
        <w:ind w:left="182" w:leftChars="86" w:firstLine="379" w:firstLineChars="171"/>
        <w:rPr>
          <w:rFonts w:hint="eastAsia" w:ascii="宋体" w:hAnsi="宋体" w:eastAsia="宋体" w:cs="宋体"/>
          <w:color w:val="auto"/>
          <w:sz w:val="22"/>
          <w:szCs w:val="22"/>
        </w:rPr>
      </w:pPr>
      <w:r>
        <w:rPr>
          <w:rFonts w:hint="eastAsia" w:ascii="宋体" w:hAnsi="宋体" w:cs="宋体"/>
          <w:color w:val="auto"/>
          <w:sz w:val="22"/>
          <w:szCs w:val="22"/>
          <w:lang w:eastAsia="zh-CN"/>
        </w:rPr>
        <w:t>霍城县卫生健康委员会</w:t>
      </w:r>
      <w:r>
        <w:rPr>
          <w:rFonts w:hint="eastAsia" w:ascii="宋体" w:hAnsi="宋体" w:eastAsia="宋体" w:cs="宋体"/>
          <w:color w:val="auto"/>
          <w:sz w:val="22"/>
          <w:szCs w:val="22"/>
        </w:rPr>
        <w:t>（以下简称甲方）经</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组织的招标采购，选定</w:t>
      </w:r>
      <w:r>
        <w:rPr>
          <w:rFonts w:hint="eastAsia" w:ascii="宋体" w:hAnsi="宋体" w:eastAsia="宋体" w:cs="宋体"/>
          <w:color w:val="auto"/>
          <w:sz w:val="22"/>
          <w:szCs w:val="22"/>
          <w:u w:val="single"/>
        </w:rPr>
        <w:t xml:space="preserve">                                                                                    （                  （</w:t>
      </w:r>
      <w:r>
        <w:rPr>
          <w:rFonts w:hint="eastAsia" w:ascii="宋体" w:hAnsi="宋体" w:eastAsia="宋体" w:cs="宋体"/>
          <w:color w:val="auto"/>
          <w:sz w:val="22"/>
          <w:szCs w:val="22"/>
        </w:rPr>
        <w:t>以下简称乙方</w:t>
      </w:r>
      <w:r>
        <w:rPr>
          <w:rFonts w:hint="eastAsia" w:ascii="宋体" w:hAnsi="宋体" w:eastAsia="宋体" w:cs="宋体"/>
          <w:color w:val="auto"/>
          <w:sz w:val="22"/>
          <w:szCs w:val="22"/>
          <w:u w:val="single"/>
        </w:rPr>
        <w:t>）</w:t>
      </w:r>
      <w:r>
        <w:rPr>
          <w:rFonts w:hint="eastAsia" w:ascii="宋体" w:hAnsi="宋体" w:eastAsia="宋体" w:cs="宋体"/>
          <w:color w:val="auto"/>
          <w:sz w:val="22"/>
          <w:szCs w:val="22"/>
        </w:rPr>
        <w:t>：为提供</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产品的</w:t>
      </w:r>
      <w:r>
        <w:rPr>
          <w:rFonts w:hint="eastAsia" w:ascii="宋体" w:hAnsi="宋体" w:eastAsia="宋体" w:cs="宋体"/>
          <w:color w:val="auto"/>
          <w:sz w:val="22"/>
          <w:szCs w:val="22"/>
          <w:u w:val="single"/>
        </w:rPr>
        <w:t>中标单位</w:t>
      </w:r>
      <w:r>
        <w:rPr>
          <w:rFonts w:hint="eastAsia" w:ascii="宋体" w:hAnsi="宋体" w:eastAsia="宋体" w:cs="宋体"/>
          <w:color w:val="auto"/>
          <w:sz w:val="22"/>
          <w:szCs w:val="22"/>
        </w:rPr>
        <w:t>。依据《中华人民共和国民法典》、《中华人民共和国政府采购法》及相关法律、法规，经甲、乙双方共同协商，按下述条款签署本合同。</w:t>
      </w:r>
    </w:p>
    <w:p>
      <w:pPr>
        <w:widowControl/>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一、合同标的、规格、数量、单价 </w:t>
      </w:r>
    </w:p>
    <w:tbl>
      <w:tblPr>
        <w:tblStyle w:val="42"/>
        <w:tblW w:w="0" w:type="auto"/>
        <w:jc w:val="center"/>
        <w:tblLayout w:type="fixed"/>
        <w:tblCellMar>
          <w:top w:w="0" w:type="dxa"/>
          <w:left w:w="108" w:type="dxa"/>
          <w:bottom w:w="0" w:type="dxa"/>
          <w:right w:w="108" w:type="dxa"/>
        </w:tblCellMar>
      </w:tblPr>
      <w:tblGrid>
        <w:gridCol w:w="855"/>
        <w:gridCol w:w="1266"/>
        <w:gridCol w:w="851"/>
        <w:gridCol w:w="119"/>
        <w:gridCol w:w="609"/>
        <w:gridCol w:w="242"/>
        <w:gridCol w:w="732"/>
        <w:gridCol w:w="850"/>
        <w:gridCol w:w="1559"/>
        <w:gridCol w:w="1276"/>
        <w:gridCol w:w="996"/>
        <w:gridCol w:w="262"/>
        <w:gridCol w:w="543"/>
        <w:gridCol w:w="259"/>
      </w:tblGrid>
      <w:tr>
        <w:tblPrEx>
          <w:tblCellMar>
            <w:top w:w="0" w:type="dxa"/>
            <w:left w:w="108" w:type="dxa"/>
            <w:bottom w:w="0" w:type="dxa"/>
            <w:right w:w="108" w:type="dxa"/>
          </w:tblCellMar>
        </w:tblPrEx>
        <w:trPr>
          <w:cantSplit/>
          <w:trHeight w:val="453" w:hRule="exact"/>
          <w:jc w:val="center"/>
        </w:trPr>
        <w:tc>
          <w:tcPr>
            <w:tcW w:w="855"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项目序号</w:t>
            </w:r>
          </w:p>
        </w:tc>
        <w:tc>
          <w:tcPr>
            <w:tcW w:w="1266"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名   称</w:t>
            </w:r>
          </w:p>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（通用名）</w:t>
            </w:r>
          </w:p>
        </w:tc>
        <w:tc>
          <w:tcPr>
            <w:tcW w:w="851"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国产/进口</w:t>
            </w:r>
          </w:p>
        </w:tc>
        <w:tc>
          <w:tcPr>
            <w:tcW w:w="728" w:type="dxa"/>
            <w:gridSpan w:val="2"/>
            <w:tcBorders>
              <w:top w:val="single" w:color="auto" w:sz="4" w:space="0"/>
              <w:left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color w:val="auto"/>
                <w:sz w:val="22"/>
                <w:szCs w:val="22"/>
              </w:rPr>
            </w:pPr>
          </w:p>
        </w:tc>
        <w:tc>
          <w:tcPr>
            <w:tcW w:w="974" w:type="dxa"/>
            <w:gridSpan w:val="2"/>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技术参 数</w:t>
            </w:r>
          </w:p>
        </w:tc>
        <w:tc>
          <w:tcPr>
            <w:tcW w:w="850" w:type="dxa"/>
            <w:tcBorders>
              <w:top w:val="single" w:color="auto" w:sz="4" w:space="0"/>
              <w:left w:val="single" w:color="auto" w:sz="4" w:space="0"/>
              <w:right w:val="single" w:color="auto" w:sz="4"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投标方报价</w:t>
            </w:r>
          </w:p>
        </w:tc>
        <w:tc>
          <w:tcPr>
            <w:tcW w:w="1276"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合同总价</w:t>
            </w:r>
          </w:p>
        </w:tc>
        <w:tc>
          <w:tcPr>
            <w:tcW w:w="996"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金额大写</w:t>
            </w:r>
          </w:p>
        </w:tc>
        <w:tc>
          <w:tcPr>
            <w:tcW w:w="262" w:type="dxa"/>
            <w:tcBorders>
              <w:top w:val="single" w:color="auto" w:sz="4" w:space="0"/>
            </w:tcBorders>
            <w:noWrap w:val="0"/>
            <w:vAlign w:val="top"/>
          </w:tcPr>
          <w:p>
            <w:pPr>
              <w:widowControl/>
              <w:adjustRightInd w:val="0"/>
              <w:snapToGrid w:val="0"/>
              <w:jc w:val="left"/>
              <w:rPr>
                <w:rFonts w:hint="eastAsia" w:ascii="宋体" w:hAnsi="宋体" w:eastAsia="宋体" w:cs="宋体"/>
                <w:color w:val="auto"/>
                <w:sz w:val="22"/>
                <w:szCs w:val="22"/>
              </w:rPr>
            </w:pPr>
          </w:p>
          <w:p>
            <w:pPr>
              <w:widowControl/>
              <w:adjustRightInd w:val="0"/>
              <w:snapToGrid w:val="0"/>
              <w:jc w:val="left"/>
              <w:rPr>
                <w:rFonts w:hint="eastAsia" w:ascii="宋体" w:hAnsi="宋体" w:eastAsia="宋体" w:cs="宋体"/>
                <w:color w:val="auto"/>
                <w:sz w:val="22"/>
                <w:szCs w:val="22"/>
              </w:rPr>
            </w:pPr>
          </w:p>
        </w:tc>
        <w:tc>
          <w:tcPr>
            <w:tcW w:w="802" w:type="dxa"/>
            <w:gridSpan w:val="2"/>
            <w:vMerge w:val="restart"/>
            <w:tcBorders>
              <w:top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sz w:val="22"/>
                <w:szCs w:val="22"/>
              </w:rPr>
            </w:pPr>
          </w:p>
          <w:p>
            <w:pPr>
              <w:widowControl/>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收货人及电话</w:t>
            </w:r>
          </w:p>
        </w:tc>
      </w:tr>
      <w:tr>
        <w:tblPrEx>
          <w:tblCellMar>
            <w:top w:w="0" w:type="dxa"/>
            <w:left w:w="108" w:type="dxa"/>
            <w:bottom w:w="0" w:type="dxa"/>
            <w:right w:w="108" w:type="dxa"/>
          </w:tblCellMar>
        </w:tblPrEx>
        <w:trPr>
          <w:cantSplit/>
          <w:trHeight w:val="411" w:hRule="atLeast"/>
          <w:jc w:val="center"/>
        </w:trPr>
        <w:tc>
          <w:tcPr>
            <w:tcW w:w="855"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66"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1"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728" w:type="dxa"/>
            <w:gridSpan w:val="2"/>
            <w:tcBorders>
              <w:left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品名型号</w:t>
            </w:r>
          </w:p>
        </w:tc>
        <w:tc>
          <w:tcPr>
            <w:tcW w:w="974" w:type="dxa"/>
            <w:gridSpan w:val="2"/>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0" w:type="dxa"/>
            <w:tcBorders>
              <w:left w:val="single" w:color="auto" w:sz="4" w:space="0"/>
              <w:right w:val="single" w:color="auto" w:sz="4"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数量</w:t>
            </w:r>
          </w:p>
        </w:tc>
        <w:tc>
          <w:tcPr>
            <w:tcW w:w="1559" w:type="dxa"/>
            <w:tcBorders>
              <w:top w:val="single" w:color="auto" w:sz="4" w:space="0"/>
              <w:left w:val="single" w:color="auto" w:sz="4" w:space="0"/>
              <w:right w:val="single" w:color="auto" w:sz="4" w:space="0"/>
            </w:tcBorders>
            <w:noWrap w:val="0"/>
            <w:vAlign w:val="center"/>
          </w:tcPr>
          <w:p>
            <w:pPr>
              <w:adjustRightInd w:val="0"/>
              <w:snapToGrid w:val="0"/>
              <w:spacing w:line="360" w:lineRule="auto"/>
              <w:ind w:left="165"/>
              <w:jc w:val="center"/>
              <w:rPr>
                <w:rFonts w:hint="eastAsia" w:ascii="宋体" w:hAnsi="宋体" w:eastAsia="宋体" w:cs="宋体"/>
                <w:color w:val="auto"/>
                <w:sz w:val="22"/>
                <w:szCs w:val="22"/>
              </w:rPr>
            </w:pPr>
            <w:r>
              <w:rPr>
                <w:rFonts w:hint="eastAsia" w:ascii="宋体" w:hAnsi="宋体" w:eastAsia="宋体" w:cs="宋体"/>
                <w:color w:val="auto"/>
                <w:sz w:val="22"/>
                <w:szCs w:val="22"/>
              </w:rPr>
              <w:t>单价（元/</w:t>
            </w:r>
          </w:p>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支）</w:t>
            </w:r>
          </w:p>
        </w:tc>
        <w:tc>
          <w:tcPr>
            <w:tcW w:w="1276"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996"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262" w:type="dxa"/>
            <w:tcBorders>
              <w:bottom w:val="single" w:color="auto" w:sz="4" w:space="0"/>
            </w:tcBorders>
            <w:noWrap w:val="0"/>
            <w:vAlign w:val="top"/>
          </w:tcPr>
          <w:p>
            <w:pPr>
              <w:widowControl/>
              <w:adjustRightInd w:val="0"/>
              <w:snapToGrid w:val="0"/>
              <w:jc w:val="left"/>
              <w:rPr>
                <w:rFonts w:hint="eastAsia" w:ascii="宋体" w:hAnsi="宋体" w:eastAsia="宋体" w:cs="宋体"/>
                <w:color w:val="auto"/>
                <w:sz w:val="22"/>
                <w:szCs w:val="22"/>
              </w:rPr>
            </w:pPr>
          </w:p>
        </w:tc>
        <w:tc>
          <w:tcPr>
            <w:tcW w:w="802" w:type="dxa"/>
            <w:gridSpan w:val="2"/>
            <w:vMerge w:val="continue"/>
            <w:tcBorders>
              <w:bottom w:val="single" w:color="auto" w:sz="4" w:space="0"/>
              <w:right w:val="single" w:color="auto" w:sz="4" w:space="0"/>
            </w:tcBorders>
            <w:noWrap w:val="0"/>
            <w:vAlign w:val="top"/>
          </w:tcPr>
          <w:p>
            <w:pPr>
              <w:widowControl/>
              <w:adjustRightInd w:val="0"/>
              <w:snapToGrid w:val="0"/>
              <w:jc w:val="left"/>
              <w:rPr>
                <w:rFonts w:hint="eastAsia" w:ascii="宋体" w:hAnsi="宋体" w:eastAsia="宋体" w:cs="宋体"/>
                <w:color w:val="auto"/>
                <w:sz w:val="22"/>
                <w:szCs w:val="22"/>
              </w:rPr>
            </w:pPr>
          </w:p>
        </w:tc>
      </w:tr>
      <w:tr>
        <w:tblPrEx>
          <w:tblCellMar>
            <w:top w:w="0" w:type="dxa"/>
            <w:left w:w="108" w:type="dxa"/>
            <w:bottom w:w="0" w:type="dxa"/>
            <w:right w:w="108" w:type="dxa"/>
          </w:tblCellMar>
        </w:tblPrEx>
        <w:trPr>
          <w:cantSplit/>
          <w:trHeight w:val="803" w:hRule="atLeast"/>
          <w:jc w:val="center"/>
        </w:trPr>
        <w:tc>
          <w:tcPr>
            <w:tcW w:w="855"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6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1" w:type="dxa"/>
            <w:tcBorders>
              <w:top w:val="single" w:color="auto" w:sz="4"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728" w:type="dxa"/>
            <w:gridSpan w:val="2"/>
            <w:tcBorders>
              <w:top w:val="single" w:color="auto" w:sz="4" w:space="0"/>
              <w:left w:val="single" w:color="auto" w:sz="6" w:space="0"/>
              <w:bottom w:val="single" w:color="auto" w:sz="4" w:space="0"/>
              <w:right w:val="single" w:color="auto" w:sz="6"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974" w:type="dxa"/>
            <w:gridSpan w:val="2"/>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76" w:type="dxa"/>
            <w:tcBorders>
              <w:top w:val="single" w:color="auto" w:sz="4" w:space="0"/>
              <w:left w:val="single" w:color="auto" w:sz="4"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996" w:type="dxa"/>
            <w:tcBorders>
              <w:top w:val="single" w:color="auto" w:sz="4" w:space="0"/>
              <w:left w:val="single" w:color="auto" w:sz="6"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262" w:type="dxa"/>
            <w:tcBorders>
              <w:top w:val="single" w:color="auto" w:sz="4" w:space="0"/>
              <w:left w:val="single" w:color="auto" w:sz="4" w:space="0"/>
            </w:tcBorders>
            <w:noWrap w:val="0"/>
            <w:vAlign w:val="top"/>
          </w:tcPr>
          <w:p>
            <w:pPr>
              <w:widowControl/>
              <w:adjustRightInd w:val="0"/>
              <w:snapToGrid w:val="0"/>
              <w:jc w:val="left"/>
              <w:rPr>
                <w:rFonts w:hint="eastAsia" w:ascii="宋体" w:hAnsi="宋体" w:eastAsia="宋体" w:cs="宋体"/>
                <w:color w:val="auto"/>
                <w:sz w:val="22"/>
                <w:szCs w:val="22"/>
              </w:rPr>
            </w:pPr>
          </w:p>
        </w:tc>
        <w:tc>
          <w:tcPr>
            <w:tcW w:w="802" w:type="dxa"/>
            <w:gridSpan w:val="2"/>
            <w:tcBorders>
              <w:top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eastAsia="宋体" w:cs="宋体"/>
                <w:color w:val="auto"/>
                <w:sz w:val="22"/>
                <w:szCs w:val="22"/>
              </w:rPr>
            </w:pPr>
          </w:p>
        </w:tc>
      </w:tr>
      <w:tr>
        <w:tblPrEx>
          <w:tblCellMar>
            <w:top w:w="0" w:type="dxa"/>
            <w:left w:w="108" w:type="dxa"/>
            <w:bottom w:w="0" w:type="dxa"/>
            <w:right w:w="108" w:type="dxa"/>
          </w:tblCellMar>
        </w:tblPrEx>
        <w:trPr>
          <w:cantSplit/>
          <w:trHeight w:val="551" w:hRule="atLeast"/>
          <w:jc w:val="center"/>
        </w:trPr>
        <w:tc>
          <w:tcPr>
            <w:tcW w:w="855"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6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1" w:type="dxa"/>
            <w:tcBorders>
              <w:top w:val="single" w:color="auto" w:sz="4"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728" w:type="dxa"/>
            <w:gridSpan w:val="2"/>
            <w:tcBorders>
              <w:top w:val="single" w:color="auto" w:sz="4" w:space="0"/>
              <w:left w:val="single" w:color="auto" w:sz="6" w:space="0"/>
              <w:bottom w:val="single" w:color="auto" w:sz="4" w:space="0"/>
              <w:right w:val="single" w:color="auto" w:sz="6"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974" w:type="dxa"/>
            <w:gridSpan w:val="2"/>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76" w:type="dxa"/>
            <w:tcBorders>
              <w:top w:val="single" w:color="auto" w:sz="4" w:space="0"/>
              <w:left w:val="single" w:color="auto" w:sz="4"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996" w:type="dxa"/>
            <w:tcBorders>
              <w:top w:val="single" w:color="auto" w:sz="4" w:space="0"/>
              <w:left w:val="single" w:color="auto" w:sz="6" w:space="0"/>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sz w:val="22"/>
                <w:szCs w:val="22"/>
              </w:rPr>
            </w:pPr>
          </w:p>
        </w:tc>
        <w:tc>
          <w:tcPr>
            <w:tcW w:w="262" w:type="dxa"/>
            <w:tcBorders>
              <w:top w:val="single" w:color="auto" w:sz="4" w:space="0"/>
              <w:left w:val="single" w:color="auto" w:sz="4" w:space="0"/>
              <w:bottom w:val="single" w:color="auto" w:sz="4" w:space="0"/>
            </w:tcBorders>
            <w:noWrap w:val="0"/>
            <w:vAlign w:val="center"/>
          </w:tcPr>
          <w:p>
            <w:pPr>
              <w:widowControl/>
              <w:adjustRightInd w:val="0"/>
              <w:snapToGrid w:val="0"/>
              <w:jc w:val="left"/>
              <w:rPr>
                <w:rFonts w:hint="eastAsia" w:ascii="宋体" w:hAnsi="宋体" w:eastAsia="宋体" w:cs="宋体"/>
                <w:color w:val="auto"/>
                <w:sz w:val="22"/>
                <w:szCs w:val="22"/>
              </w:rPr>
            </w:pPr>
          </w:p>
        </w:tc>
        <w:tc>
          <w:tcPr>
            <w:tcW w:w="802" w:type="dxa"/>
            <w:gridSpan w:val="2"/>
            <w:tcBorders>
              <w:top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eastAsia="宋体" w:cs="宋体"/>
                <w:color w:val="auto"/>
                <w:sz w:val="22"/>
                <w:szCs w:val="22"/>
              </w:rPr>
            </w:pPr>
          </w:p>
        </w:tc>
      </w:tr>
      <w:tr>
        <w:tblPrEx>
          <w:tblCellMar>
            <w:top w:w="0" w:type="dxa"/>
            <w:left w:w="108" w:type="dxa"/>
            <w:bottom w:w="0" w:type="dxa"/>
            <w:right w:w="108" w:type="dxa"/>
          </w:tblCellMar>
        </w:tblPrEx>
        <w:trPr>
          <w:cantSplit/>
          <w:trHeight w:val="755" w:hRule="atLeast"/>
          <w:jc w:val="center"/>
        </w:trPr>
        <w:tc>
          <w:tcPr>
            <w:tcW w:w="2121" w:type="dxa"/>
            <w:gridSpan w:val="2"/>
            <w:tcBorders>
              <w:top w:val="single" w:color="auto" w:sz="4"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合同总价</w:t>
            </w:r>
          </w:p>
        </w:tc>
        <w:tc>
          <w:tcPr>
            <w:tcW w:w="851" w:type="dxa"/>
            <w:tcBorders>
              <w:top w:val="single" w:color="auto" w:sz="4" w:space="0"/>
              <w:left w:val="single" w:color="auto" w:sz="6" w:space="0"/>
              <w:bottom w:val="single" w:color="auto" w:sz="4" w:space="0"/>
              <w:right w:val="single" w:color="auto" w:sz="6" w:space="0"/>
            </w:tcBorders>
            <w:noWrap w:val="0"/>
            <w:vAlign w:val="top"/>
          </w:tcPr>
          <w:p>
            <w:pPr>
              <w:adjustRightInd w:val="0"/>
              <w:snapToGrid w:val="0"/>
              <w:spacing w:line="360" w:lineRule="auto"/>
              <w:rPr>
                <w:rFonts w:hint="eastAsia" w:ascii="宋体" w:hAnsi="宋体" w:eastAsia="宋体" w:cs="宋体"/>
                <w:color w:val="auto"/>
                <w:sz w:val="22"/>
                <w:szCs w:val="22"/>
              </w:rPr>
            </w:pPr>
          </w:p>
        </w:tc>
        <w:tc>
          <w:tcPr>
            <w:tcW w:w="970" w:type="dxa"/>
            <w:gridSpan w:val="3"/>
            <w:tcBorders>
              <w:top w:val="single" w:color="auto" w:sz="4" w:space="0"/>
              <w:left w:val="single" w:color="auto" w:sz="6" w:space="0"/>
              <w:bottom w:val="single" w:color="auto" w:sz="4" w:space="0"/>
            </w:tcBorders>
            <w:noWrap w:val="0"/>
            <w:vAlign w:val="top"/>
          </w:tcPr>
          <w:p>
            <w:pPr>
              <w:adjustRightInd w:val="0"/>
              <w:snapToGrid w:val="0"/>
              <w:spacing w:line="360" w:lineRule="auto"/>
              <w:rPr>
                <w:rFonts w:hint="eastAsia" w:ascii="宋体" w:hAnsi="宋体" w:eastAsia="宋体" w:cs="宋体"/>
                <w:color w:val="auto"/>
                <w:sz w:val="22"/>
                <w:szCs w:val="22"/>
              </w:rPr>
            </w:pPr>
          </w:p>
        </w:tc>
        <w:tc>
          <w:tcPr>
            <w:tcW w:w="6477" w:type="dxa"/>
            <w:gridSpan w:val="8"/>
            <w:tcBorders>
              <w:right w:val="single" w:color="auto" w:sz="4" w:space="0"/>
            </w:tcBorders>
            <w:noWrap w:val="0"/>
            <w:vAlign w:val="top"/>
          </w:tcPr>
          <w:p>
            <w:pPr>
              <w:adjustRightInd w:val="0"/>
              <w:snapToGrid w:val="0"/>
              <w:spacing w:line="360" w:lineRule="auto"/>
              <w:rPr>
                <w:rFonts w:hint="eastAsia" w:ascii="宋体" w:hAnsi="宋体" w:eastAsia="宋体" w:cs="宋体"/>
                <w:color w:val="auto"/>
                <w:kern w:val="0"/>
                <w:sz w:val="22"/>
                <w:szCs w:val="22"/>
              </w:rPr>
            </w:pPr>
          </w:p>
          <w:p>
            <w:pPr>
              <w:adjustRightInd w:val="0"/>
              <w:snapToGrid w:val="0"/>
              <w:spacing w:line="360" w:lineRule="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人民币大写</w:t>
            </w:r>
            <w:r>
              <w:rPr>
                <w:rFonts w:hint="eastAsia" w:ascii="宋体" w:hAnsi="宋体" w:eastAsia="宋体" w:cs="宋体"/>
                <w:color w:val="auto"/>
                <w:kern w:val="0"/>
                <w:sz w:val="22"/>
                <w:szCs w:val="22"/>
                <w:u w:val="single"/>
              </w:rPr>
              <w:t xml:space="preserve">：                       </w:t>
            </w:r>
            <w:r>
              <w:rPr>
                <w:rFonts w:hint="eastAsia" w:ascii="宋体" w:hAnsi="宋体" w:eastAsia="宋体" w:cs="宋体"/>
                <w:color w:val="auto"/>
                <w:sz w:val="22"/>
                <w:szCs w:val="22"/>
              </w:rPr>
              <w:t xml:space="preserve"> </w:t>
            </w:r>
            <w:r>
              <w:rPr>
                <w:rFonts w:hint="eastAsia" w:ascii="宋体" w:hAnsi="宋体" w:eastAsia="宋体" w:cs="宋体"/>
                <w:color w:val="auto"/>
                <w:kern w:val="0"/>
                <w:sz w:val="22"/>
                <w:szCs w:val="22"/>
              </w:rPr>
              <w:t>（小写￥</w:t>
            </w:r>
            <w:r>
              <w:rPr>
                <w:rFonts w:hint="eastAsia" w:ascii="宋体" w:hAnsi="宋体" w:eastAsia="宋体" w:cs="宋体"/>
                <w:color w:val="auto"/>
                <w:sz w:val="22"/>
                <w:szCs w:val="22"/>
              </w:rPr>
              <w:t xml:space="preserve">      </w:t>
            </w:r>
            <w:r>
              <w:rPr>
                <w:rFonts w:hint="eastAsia" w:ascii="宋体" w:hAnsi="宋体" w:eastAsia="宋体" w:cs="宋体"/>
                <w:color w:val="auto"/>
                <w:kern w:val="0"/>
                <w:sz w:val="22"/>
                <w:szCs w:val="22"/>
              </w:rPr>
              <w:t>元）</w:t>
            </w:r>
          </w:p>
          <w:p>
            <w:pPr>
              <w:widowControl/>
              <w:adjustRightInd w:val="0"/>
              <w:snapToGrid w:val="0"/>
              <w:jc w:val="left"/>
              <w:rPr>
                <w:rFonts w:hint="eastAsia" w:ascii="宋体" w:hAnsi="宋体" w:eastAsia="宋体" w:cs="宋体"/>
                <w:color w:val="auto"/>
                <w:sz w:val="22"/>
                <w:szCs w:val="22"/>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1"/>
          <w:wBefore w:w="3091" w:type="dxa"/>
          <w:wAfter w:w="259" w:type="dxa"/>
          <w:trHeight w:val="100" w:hRule="atLeast"/>
          <w:jc w:val="center"/>
        </w:trPr>
        <w:tc>
          <w:tcPr>
            <w:tcW w:w="851" w:type="dxa"/>
            <w:gridSpan w:val="2"/>
            <w:tcBorders>
              <w:top w:val="single" w:color="auto" w:sz="4" w:space="0"/>
            </w:tcBorders>
            <w:noWrap w:val="0"/>
            <w:vAlign w:val="top"/>
          </w:tcPr>
          <w:p>
            <w:pPr>
              <w:tabs>
                <w:tab w:val="left" w:pos="540"/>
              </w:tabs>
              <w:adjustRightInd w:val="0"/>
              <w:snapToGrid w:val="0"/>
              <w:spacing w:line="360" w:lineRule="auto"/>
              <w:rPr>
                <w:rFonts w:hint="eastAsia" w:ascii="宋体" w:hAnsi="宋体" w:eastAsia="宋体" w:cs="宋体"/>
                <w:color w:val="auto"/>
                <w:sz w:val="22"/>
                <w:szCs w:val="22"/>
              </w:rPr>
            </w:pPr>
          </w:p>
        </w:tc>
        <w:tc>
          <w:tcPr>
            <w:tcW w:w="6218" w:type="dxa"/>
            <w:gridSpan w:val="7"/>
            <w:tcBorders>
              <w:top w:val="single" w:color="auto" w:sz="4" w:space="0"/>
            </w:tcBorders>
            <w:noWrap w:val="0"/>
            <w:vAlign w:val="top"/>
          </w:tcPr>
          <w:p>
            <w:pPr>
              <w:tabs>
                <w:tab w:val="left" w:pos="540"/>
              </w:tabs>
              <w:adjustRightInd w:val="0"/>
              <w:snapToGrid w:val="0"/>
              <w:spacing w:line="360" w:lineRule="auto"/>
              <w:rPr>
                <w:rFonts w:hint="eastAsia" w:ascii="宋体" w:hAnsi="宋体" w:eastAsia="宋体" w:cs="宋体"/>
                <w:color w:val="auto"/>
                <w:sz w:val="22"/>
                <w:szCs w:val="22"/>
              </w:rPr>
            </w:pPr>
          </w:p>
        </w:tc>
      </w:tr>
    </w:tbl>
    <w:p>
      <w:pPr>
        <w:adjustRightInd w:val="0"/>
        <w:snapToGrid w:val="0"/>
        <w:spacing w:line="360" w:lineRule="auto"/>
        <w:rPr>
          <w:rFonts w:hint="eastAsia" w:ascii="宋体" w:hAnsi="宋体" w:eastAsia="宋体" w:cs="宋体"/>
          <w:color w:val="auto"/>
          <w:spacing w:val="-20"/>
          <w:sz w:val="22"/>
          <w:szCs w:val="22"/>
        </w:rPr>
      </w:pPr>
      <w:r>
        <w:rPr>
          <w:rFonts w:hint="eastAsia" w:ascii="宋体" w:hAnsi="宋体" w:eastAsia="宋体" w:cs="宋体"/>
          <w:color w:val="auto"/>
          <w:spacing w:val="-20"/>
          <w:sz w:val="22"/>
          <w:szCs w:val="22"/>
        </w:rPr>
        <w:t>说      明：</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（一） 合同总价包含到达交货地点的运杂费、技术服务（相关技术指导）、运输费、保险费、培训及其他各项费用。</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（二）合同总价包括乙方销售本合同产品，国家根据现行税法向乙方征收的与履行合同有关的一切税费。</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（三） 合同总价一次包死，不受市场价格变化的影响，并作为结算的唯一依据。</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二、产品质量要求</w:t>
      </w:r>
    </w:p>
    <w:p>
      <w:pPr>
        <w:adjustRightInd w:val="0"/>
        <w:snapToGrid w:val="0"/>
        <w:spacing w:line="360" w:lineRule="auto"/>
        <w:ind w:firstLine="444"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（一） 国家标准：</w:t>
      </w:r>
      <w:r>
        <w:rPr>
          <w:rFonts w:hint="eastAsia" w:ascii="宋体" w:hAnsi="宋体" w:eastAsia="宋体" w:cs="宋体"/>
          <w:color w:val="auto"/>
          <w:sz w:val="22"/>
          <w:szCs w:val="22"/>
          <w:u w:val="single"/>
        </w:rPr>
        <w:t xml:space="preserve">                            </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（二）行业标准：</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                             </w:t>
      </w:r>
    </w:p>
    <w:p>
      <w:pPr>
        <w:adjustRightInd w:val="0"/>
        <w:snapToGrid w:val="0"/>
        <w:spacing w:line="360" w:lineRule="auto"/>
        <w:ind w:firstLine="444"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（三） 样品标准：</w:t>
      </w:r>
      <w:r>
        <w:rPr>
          <w:rFonts w:hint="eastAsia" w:ascii="宋体" w:hAnsi="宋体" w:eastAsia="宋体" w:cs="宋体"/>
          <w:color w:val="auto"/>
          <w:sz w:val="22"/>
          <w:szCs w:val="22"/>
          <w:u w:val="single"/>
        </w:rPr>
        <w:t xml:space="preserve">  乙方按甲方要求制作样品，该样品由甲乙双方封样，由甲方保存 </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w:t>
      </w:r>
      <w:r>
        <w:rPr>
          <w:rFonts w:hint="eastAsia" w:ascii="宋体" w:hAnsi="宋体" w:eastAsia="宋体" w:cs="宋体"/>
          <w:color w:val="auto"/>
          <w:sz w:val="22"/>
          <w:szCs w:val="22"/>
          <w:highlight w:val="yellow"/>
          <w:u w:val="single"/>
        </w:rPr>
        <w:t>7</w:t>
      </w:r>
      <w:r>
        <w:rPr>
          <w:rFonts w:hint="eastAsia" w:ascii="宋体" w:hAnsi="宋体" w:eastAsia="宋体" w:cs="宋体"/>
          <w:color w:val="auto"/>
          <w:sz w:val="22"/>
          <w:szCs w:val="22"/>
        </w:rPr>
        <w:t>天内，免费负责更换新的产品。对造成的损失甲方保留索赔的权利。</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（五）因乙方产品发生知识产权纠纷、质量问题导致的产品被监管部门没收、罚款或召回及因第三方主张民事权利等造成的甲方经济损失和相关费用均由乙方承担。</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三、包装方式及包装品处理</w:t>
      </w:r>
    </w:p>
    <w:p>
      <w:pPr>
        <w:adjustRightInd w:val="0"/>
        <w:snapToGrid w:val="0"/>
        <w:spacing w:line="360" w:lineRule="auto"/>
        <w:ind w:firstLine="444"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（一）包装方式：</w:t>
      </w:r>
      <w:r>
        <w:rPr>
          <w:rFonts w:hint="eastAsia" w:ascii="宋体" w:hAnsi="宋体" w:eastAsia="宋体" w:cs="宋体"/>
          <w:color w:val="auto"/>
          <w:sz w:val="22"/>
          <w:szCs w:val="22"/>
          <w:u w:val="single"/>
        </w:rPr>
        <w:t xml:space="preserve">                           </w:t>
      </w:r>
    </w:p>
    <w:p>
      <w:pPr>
        <w:adjustRightInd w:val="0"/>
        <w:snapToGrid w:val="0"/>
        <w:spacing w:line="360" w:lineRule="auto"/>
        <w:ind w:firstLine="444"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（二）包装品处理：</w:t>
      </w:r>
      <w:r>
        <w:rPr>
          <w:rFonts w:hint="eastAsia" w:ascii="宋体" w:hAnsi="宋体" w:eastAsia="宋体" w:cs="宋体"/>
          <w:color w:val="auto"/>
          <w:sz w:val="22"/>
          <w:szCs w:val="22"/>
          <w:u w:val="single"/>
        </w:rPr>
        <w:t xml:space="preserve">                         </w:t>
      </w:r>
    </w:p>
    <w:p>
      <w:pPr>
        <w:numPr>
          <w:ilvl w:val="0"/>
          <w:numId w:val="10"/>
        </w:num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交货方式</w:t>
      </w:r>
    </w:p>
    <w:p>
      <w:pPr>
        <w:adjustRightInd w:val="0"/>
        <w:snapToGrid w:val="0"/>
        <w:spacing w:line="360" w:lineRule="auto"/>
        <w:ind w:firstLine="444"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（一）交货期限：</w:t>
      </w:r>
      <w:r>
        <w:rPr>
          <w:rFonts w:hint="eastAsia" w:ascii="宋体" w:hAnsi="宋体" w:eastAsia="宋体" w:cs="宋体"/>
          <w:color w:val="auto"/>
          <w:sz w:val="22"/>
          <w:szCs w:val="22"/>
          <w:u w:val="single"/>
        </w:rPr>
        <w:t xml:space="preserve">                                </w:t>
      </w:r>
    </w:p>
    <w:p>
      <w:pPr>
        <w:adjustRightInd w:val="0"/>
        <w:snapToGrid w:val="0"/>
        <w:spacing w:line="360" w:lineRule="auto"/>
        <w:ind w:firstLine="444"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 xml:space="preserve">（二）交货地点： </w:t>
      </w:r>
      <w:r>
        <w:rPr>
          <w:rFonts w:hint="eastAsia" w:ascii="宋体" w:hAnsi="宋体" w:eastAsia="宋体" w:cs="宋体"/>
          <w:color w:val="auto"/>
          <w:sz w:val="22"/>
          <w:szCs w:val="22"/>
          <w:u w:val="single"/>
        </w:rPr>
        <w:t xml:space="preserve">  甲方指定地点。 </w:t>
      </w:r>
    </w:p>
    <w:p>
      <w:pPr>
        <w:adjustRightInd w:val="0"/>
        <w:snapToGrid w:val="0"/>
        <w:spacing w:line="360" w:lineRule="auto"/>
        <w:ind w:firstLine="444"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（三）运输方式：</w:t>
      </w:r>
      <w:r>
        <w:rPr>
          <w:rFonts w:hint="eastAsia" w:ascii="宋体" w:hAnsi="宋体" w:eastAsia="宋体" w:cs="宋体"/>
          <w:color w:val="auto"/>
          <w:sz w:val="22"/>
          <w:szCs w:val="22"/>
          <w:u w:val="single"/>
        </w:rPr>
        <w:t xml:space="preserve">  乙方负责运输到甲方指定地点               </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根据国家相关部门规定，产品需特殊方式运输的，如冷链运输的，配送由具备冷链储存、运输条件乙方或乙方委托具备冷链储存、运输条件的企业负责配送。配送要符合新修改条例及各级卫生主管部门和食品药品监督管理部门的相关规定，遵守储存、运输管理规范，保证产品质量。产品储存、运输的全过程应当始终处于规定的温度环境，不得脱离冷链，每批货物需配备自动温度记录器，按要求做好全程温度记录，并能够现场读取。</w:t>
      </w:r>
    </w:p>
    <w:p>
      <w:pPr>
        <w:pStyle w:val="18"/>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四）风险承担：在乙方将产品交付甲方前标的物的毁损、灭失风险由乙方承担。甲方已付乙方的费用中已包含货物的保险费用，乙方应当按规定购买保险。除货物在交付甲方前的损失由乙方承担外，乙方仍应承担货物损失总额30%的违约金。</w:t>
      </w:r>
    </w:p>
    <w:p>
      <w:pPr>
        <w:numPr>
          <w:ilvl w:val="0"/>
          <w:numId w:val="10"/>
        </w:num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验收</w:t>
      </w:r>
    </w:p>
    <w:p>
      <w:pPr>
        <w:adjustRightInd w:val="0"/>
        <w:snapToGrid w:val="0"/>
        <w:spacing w:line="360" w:lineRule="auto"/>
        <w:ind w:left="424" w:left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 xml:space="preserve"> （一）验收时间：</w:t>
      </w:r>
      <w:r>
        <w:rPr>
          <w:rFonts w:hint="eastAsia" w:ascii="宋体" w:hAnsi="宋体" w:eastAsia="宋体" w:cs="宋体"/>
          <w:color w:val="auto"/>
          <w:sz w:val="22"/>
          <w:szCs w:val="22"/>
          <w:u w:val="single"/>
        </w:rPr>
        <w:t xml:space="preserve"> 货到现场验收 。   </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（二）验收方式：</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验收按照下列要求验收，如一项不合格，视同产品不合格：</w:t>
      </w:r>
    </w:p>
    <w:p>
      <w:pPr>
        <w:adjustRightInd w:val="0"/>
        <w:snapToGrid w:val="0"/>
        <w:spacing w:line="360" w:lineRule="auto"/>
        <w:ind w:firstLine="681" w:firstLineChars="307"/>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 1 \* GB2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⑴</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t>资料验收：供方交货前应按合同规定的要求，提供相关的技术资料。</w:t>
      </w:r>
    </w:p>
    <w:p>
      <w:pPr>
        <w:adjustRightInd w:val="0"/>
        <w:snapToGrid w:val="0"/>
        <w:spacing w:line="360" w:lineRule="auto"/>
        <w:ind w:left="212" w:leftChars="100" w:firstLine="459" w:firstLineChars="207"/>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 2 \* GB2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⑵</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t xml:space="preserve">实物验收：包括产品名称、数量、规格和包装等外观形态。质保期剩余期限不得低于该产品限定质保期的 </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w:t>
      </w:r>
    </w:p>
    <w:p>
      <w:pPr>
        <w:adjustRightInd w:val="0"/>
        <w:snapToGrid w:val="0"/>
        <w:spacing w:line="360" w:lineRule="auto"/>
        <w:ind w:firstLine="681" w:firstLineChars="307"/>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 3 \* GB2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⑶</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t>产品质量抽检复核。</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（三）安装验收：</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产品如需安装验收，自设备正常运转</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highlight w:val="yellow"/>
          <w:u w:val="single"/>
          <w:lang w:val="en-US" w:eastAsia="zh-CN"/>
        </w:rPr>
        <w:t xml:space="preserve">   </w:t>
      </w:r>
      <w:r>
        <w:rPr>
          <w:rFonts w:hint="eastAsia" w:ascii="宋体" w:hAnsi="宋体" w:eastAsia="宋体" w:cs="宋体"/>
          <w:color w:val="auto"/>
          <w:sz w:val="22"/>
          <w:szCs w:val="22"/>
        </w:rPr>
        <w:t>天后，视为验收合格。</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四）特殊产品（指疫苗等生物产品）乙方交货时，同时应当提供该批产品由药品检验机构依法签发的生物制品每批检验合格或者审核批准证明复印件，并加盖企业印章。销售进口产品的，还应当提供进口药品通关单复印件，并加盖企业印章。甲方在产品质量保证期内有权进行抽检复核，如发现产品质量问题，乙方应按照甲方要求及时予以退换。</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（五）质量争议：对产品质量发生争议由</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检验机构进行检验，检验费由违约方承担。  </w:t>
      </w:r>
    </w:p>
    <w:p>
      <w:pPr>
        <w:adjustRightInd w:val="0"/>
        <w:snapToGrid w:val="0"/>
        <w:spacing w:line="360" w:lineRule="auto"/>
        <w:ind w:firstLine="666" w:firstLineChars="300"/>
        <w:rPr>
          <w:rFonts w:hint="eastAsia" w:ascii="宋体" w:hAnsi="宋体" w:eastAsia="宋体" w:cs="宋体"/>
          <w:color w:val="auto"/>
          <w:sz w:val="22"/>
          <w:szCs w:val="22"/>
        </w:rPr>
      </w:pPr>
      <w:r>
        <w:rPr>
          <w:rFonts w:hint="eastAsia" w:ascii="宋体" w:hAnsi="宋体" w:eastAsia="宋体" w:cs="宋体"/>
          <w:color w:val="auto"/>
          <w:sz w:val="22"/>
          <w:szCs w:val="22"/>
        </w:rPr>
        <w:t>（六）  乙方接到甲方对产品质量提出异议的通知后，天内负责处理并通知甲方处理情况，否则即视为默认甲方提出的异议和处理意见。</w:t>
      </w:r>
    </w:p>
    <w:p>
      <w:pPr>
        <w:adjustRightInd w:val="0"/>
        <w:snapToGrid w:val="0"/>
        <w:spacing w:line="360" w:lineRule="auto"/>
        <w:ind w:firstLine="666" w:firstLineChars="300"/>
        <w:rPr>
          <w:rFonts w:hint="eastAsia" w:ascii="宋体" w:hAnsi="宋体" w:eastAsia="宋体" w:cs="宋体"/>
          <w:color w:val="auto"/>
          <w:sz w:val="22"/>
          <w:szCs w:val="22"/>
        </w:rPr>
      </w:pPr>
      <w:r>
        <w:rPr>
          <w:rFonts w:hint="eastAsia" w:ascii="宋体" w:hAnsi="宋体" w:eastAsia="宋体" w:cs="宋体"/>
          <w:color w:val="auto"/>
          <w:sz w:val="22"/>
          <w:szCs w:val="22"/>
        </w:rPr>
        <w:t xml:space="preserve">（七）甲方因使用、保管、保养不善等造成产品质量下降的，不得提出异议。 </w:t>
      </w:r>
    </w:p>
    <w:p>
      <w:pPr>
        <w:adjustRightInd w:val="0"/>
        <w:snapToGrid w:val="0"/>
        <w:spacing w:line="360" w:lineRule="auto"/>
        <w:ind w:firstLine="666" w:firstLineChars="300"/>
        <w:rPr>
          <w:rFonts w:hint="eastAsia" w:ascii="宋体" w:hAnsi="宋体" w:eastAsia="宋体" w:cs="宋体"/>
          <w:color w:val="auto"/>
          <w:sz w:val="22"/>
          <w:szCs w:val="22"/>
        </w:rPr>
      </w:pPr>
      <w:r>
        <w:rPr>
          <w:rFonts w:hint="eastAsia" w:ascii="宋体" w:hAnsi="宋体" w:eastAsia="宋体" w:cs="宋体"/>
          <w:color w:val="auto"/>
          <w:sz w:val="22"/>
          <w:szCs w:val="22"/>
        </w:rPr>
        <w:t xml:space="preserve">（八）货物符合合同约定的技术规范要求和验收标准的，甲方签署验收合格证明 。                    </w:t>
      </w:r>
    </w:p>
    <w:p>
      <w:pPr>
        <w:adjustRightInd w:val="0"/>
        <w:snapToGrid w:val="0"/>
        <w:spacing w:line="360" w:lineRule="auto"/>
        <w:ind w:firstLine="444" w:firstLineChars="200"/>
        <w:outlineLvl w:val="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六、款项支付</w:t>
      </w:r>
    </w:p>
    <w:p>
      <w:pPr>
        <w:adjustRightInd w:val="0"/>
        <w:snapToGrid w:val="0"/>
        <w:spacing w:line="360" w:lineRule="auto"/>
        <w:ind w:firstLine="333" w:firstLineChars="150"/>
        <w:rPr>
          <w:rFonts w:hint="eastAsia" w:ascii="宋体" w:hAnsi="宋体" w:eastAsia="宋体" w:cs="宋体"/>
          <w:color w:val="auto"/>
          <w:sz w:val="22"/>
          <w:szCs w:val="22"/>
        </w:rPr>
      </w:pPr>
      <w:r>
        <w:rPr>
          <w:rFonts w:hint="eastAsia" w:ascii="宋体" w:hAnsi="宋体" w:eastAsia="宋体" w:cs="宋体"/>
          <w:color w:val="auto"/>
          <w:sz w:val="22"/>
          <w:szCs w:val="22"/>
        </w:rPr>
        <w:t>（一）履约保证金</w:t>
      </w:r>
    </w:p>
    <w:p>
      <w:pPr>
        <w:adjustRightInd w:val="0"/>
        <w:snapToGrid w:val="0"/>
        <w:spacing w:line="360" w:lineRule="auto"/>
        <w:ind w:firstLine="333" w:firstLineChars="150"/>
        <w:rPr>
          <w:rFonts w:hint="eastAsia" w:ascii="宋体" w:hAnsi="宋体" w:eastAsia="宋体" w:cs="宋体"/>
          <w:color w:val="auto"/>
          <w:sz w:val="22"/>
          <w:szCs w:val="22"/>
        </w:rPr>
      </w:pPr>
      <w:r>
        <w:rPr>
          <w:rFonts w:hint="eastAsia" w:ascii="宋体" w:hAnsi="宋体" w:eastAsia="宋体" w:cs="宋体"/>
          <w:color w:val="auto"/>
          <w:sz w:val="22"/>
          <w:szCs w:val="22"/>
        </w:rPr>
        <w:t xml:space="preserve">   为保证乙方能够按合同履约，乙方应交付10%履约保证金</w:t>
      </w:r>
      <w:r>
        <w:rPr>
          <w:rFonts w:hint="eastAsia" w:ascii="宋体" w:hAnsi="宋体" w:eastAsia="宋体" w:cs="宋体"/>
          <w:color w:val="auto"/>
          <w:sz w:val="22"/>
          <w:szCs w:val="22"/>
          <w:u w:val="single"/>
        </w:rPr>
        <w:t xml:space="preserve">           元。</w:t>
      </w:r>
      <w:r>
        <w:rPr>
          <w:rFonts w:hint="eastAsia" w:ascii="宋体" w:hAnsi="宋体" w:eastAsia="宋体" w:cs="宋体"/>
          <w:color w:val="auto"/>
          <w:sz w:val="22"/>
          <w:szCs w:val="22"/>
        </w:rPr>
        <w:t>如物资为设备类，则该履约金自动转为质保金，保证金在质保期开始计算时，转为质保金，待质保期届满（无违约责任）后返还（无息）。如乙方有违约行为，甲方可用该保证金冲抵甲方的损失及乙方的违约金。</w:t>
      </w:r>
    </w:p>
    <w:p>
      <w:pPr>
        <w:adjustRightInd w:val="0"/>
        <w:snapToGrid w:val="0"/>
        <w:spacing w:line="360" w:lineRule="auto"/>
        <w:ind w:firstLine="333" w:firstLineChars="150"/>
        <w:rPr>
          <w:rFonts w:hint="eastAsia" w:ascii="宋体" w:hAnsi="宋体" w:eastAsia="宋体" w:cs="宋体"/>
          <w:color w:val="auto"/>
          <w:sz w:val="22"/>
          <w:szCs w:val="22"/>
        </w:rPr>
      </w:pPr>
      <w:r>
        <w:rPr>
          <w:rFonts w:hint="eastAsia" w:ascii="宋体" w:hAnsi="宋体" w:eastAsia="宋体" w:cs="宋体"/>
          <w:color w:val="auto"/>
          <w:sz w:val="22"/>
          <w:szCs w:val="22"/>
        </w:rPr>
        <w:t>（二）货款支付：</w:t>
      </w:r>
    </w:p>
    <w:p>
      <w:pPr>
        <w:adjustRightInd w:val="0"/>
        <w:snapToGrid w:val="0"/>
        <w:spacing w:line="360" w:lineRule="auto"/>
        <w:ind w:firstLine="333" w:firstLineChars="150"/>
        <w:rPr>
          <w:rFonts w:hint="eastAsia" w:ascii="宋体" w:hAnsi="宋体" w:eastAsia="宋体" w:cs="宋体"/>
          <w:color w:val="auto"/>
          <w:sz w:val="22"/>
          <w:szCs w:val="22"/>
        </w:rPr>
      </w:pPr>
      <w:r>
        <w:rPr>
          <w:rFonts w:hint="eastAsia" w:ascii="宋体" w:hAnsi="宋体" w:eastAsia="宋体" w:cs="宋体"/>
          <w:color w:val="auto"/>
          <w:sz w:val="22"/>
          <w:szCs w:val="22"/>
        </w:rPr>
        <w:t>合同总价包含到达交货地点的运杂费、技术服务（相关技术指导）、运输费、保险费、培训、税费及其他各项费用。</w:t>
      </w:r>
    </w:p>
    <w:p>
      <w:pPr>
        <w:numPr>
          <w:ilvl w:val="0"/>
          <w:numId w:val="11"/>
        </w:numPr>
        <w:adjustRightInd w:val="0"/>
        <w:snapToGrid w:val="0"/>
        <w:spacing w:line="360" w:lineRule="auto"/>
        <w:ind w:firstLine="333" w:firstLineChars="150"/>
        <w:rPr>
          <w:rFonts w:hint="eastAsia" w:ascii="宋体" w:hAnsi="宋体" w:eastAsia="宋体" w:cs="宋体"/>
          <w:color w:val="auto"/>
          <w:sz w:val="22"/>
          <w:szCs w:val="22"/>
        </w:rPr>
      </w:pPr>
      <w:r>
        <w:rPr>
          <w:rFonts w:hint="eastAsia" w:ascii="宋体" w:hAnsi="宋体" w:eastAsia="宋体" w:cs="宋体"/>
          <w:color w:val="auto"/>
          <w:sz w:val="22"/>
          <w:szCs w:val="22"/>
        </w:rPr>
        <w:t>双方约定，合同签订后，乙方向甲方交纳10%履约金</w:t>
      </w:r>
      <w:r>
        <w:rPr>
          <w:rFonts w:hint="eastAsia" w:ascii="宋体" w:hAnsi="宋体" w:eastAsia="宋体" w:cs="宋体"/>
          <w:color w:val="auto"/>
          <w:sz w:val="22"/>
          <w:szCs w:val="22"/>
          <w:u w:val="single"/>
        </w:rPr>
        <w:t xml:space="preserve">           元</w:t>
      </w:r>
      <w:r>
        <w:rPr>
          <w:rFonts w:hint="eastAsia" w:ascii="宋体" w:hAnsi="宋体" w:eastAsia="宋体" w:cs="宋体"/>
          <w:color w:val="auto"/>
          <w:sz w:val="22"/>
          <w:szCs w:val="22"/>
        </w:rPr>
        <w:t>后，乙方向甲方开具合同全额发票，甲方收到履约金和全额发票后向乙方支付全额货款。乙方按照甲方需求分批次供货，待所有货物验收合格后，甲方向乙方无息退款履约金</w:t>
      </w:r>
      <w:r>
        <w:rPr>
          <w:rFonts w:hint="eastAsia" w:ascii="宋体" w:hAnsi="宋体" w:eastAsia="宋体" w:cs="宋体"/>
          <w:color w:val="auto"/>
          <w:sz w:val="22"/>
          <w:szCs w:val="22"/>
          <w:u w:val="single"/>
        </w:rPr>
        <w:t xml:space="preserve">           元。</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 xml:space="preserve">（2）质保金为货款总额 </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 %  </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  元，质保期届满</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工作日返回。</w:t>
      </w:r>
    </w:p>
    <w:p>
      <w:pPr>
        <w:adjustRightInd w:val="0"/>
        <w:snapToGrid w:val="0"/>
        <w:spacing w:line="360" w:lineRule="auto"/>
        <w:ind w:firstLine="333" w:firstLineChars="150"/>
        <w:rPr>
          <w:rFonts w:hint="eastAsia" w:ascii="宋体" w:hAnsi="宋体" w:eastAsia="宋体" w:cs="宋体"/>
          <w:color w:val="auto"/>
          <w:sz w:val="22"/>
          <w:szCs w:val="22"/>
        </w:rPr>
      </w:pPr>
      <w:r>
        <w:rPr>
          <w:rFonts w:hint="eastAsia" w:ascii="宋体" w:hAnsi="宋体" w:eastAsia="宋体" w:cs="宋体"/>
          <w:color w:val="auto"/>
          <w:sz w:val="22"/>
          <w:szCs w:val="22"/>
        </w:rPr>
        <w:t>（3）双方约定，合同签订后，乙方按照甲方需求一次性供货，所有货物验收合格后，乙方向甲方开具合同全额发票，甲方收到发票后向乙方支付货款</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w:t>
      </w:r>
    </w:p>
    <w:p>
      <w:pPr>
        <w:adjustRightInd w:val="0"/>
        <w:snapToGrid w:val="0"/>
        <w:spacing w:line="360" w:lineRule="auto"/>
        <w:ind w:firstLine="333" w:firstLineChars="150"/>
        <w:rPr>
          <w:rFonts w:hint="eastAsia" w:ascii="宋体" w:hAnsi="宋体" w:eastAsia="宋体" w:cs="宋体"/>
          <w:color w:val="auto"/>
          <w:kern w:val="0"/>
          <w:sz w:val="22"/>
          <w:szCs w:val="22"/>
        </w:rPr>
      </w:pPr>
      <w:r>
        <w:rPr>
          <w:rFonts w:hint="eastAsia" w:ascii="宋体" w:hAnsi="宋体" w:eastAsia="宋体" w:cs="宋体"/>
          <w:color w:val="auto"/>
          <w:sz w:val="22"/>
          <w:szCs w:val="22"/>
        </w:rPr>
        <w:t>（4）</w:t>
      </w:r>
      <w:r>
        <w:rPr>
          <w:rFonts w:hint="eastAsia" w:ascii="宋体" w:hAnsi="宋体" w:eastAsia="宋体" w:cs="宋体"/>
          <w:color w:val="auto"/>
          <w:kern w:val="0"/>
          <w:sz w:val="22"/>
          <w:szCs w:val="22"/>
        </w:rPr>
        <w:t>付款要求：甲方财务凭下列单据支付货款（按甲乙各方的义务提交）：</w:t>
      </w:r>
    </w:p>
    <w:p>
      <w:pPr>
        <w:widowControl/>
        <w:shd w:val="clear" w:color="auto" w:fill="FFFFFF"/>
        <w:adjustRightInd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（a）全额发票（原件及复印件各1份）；（b）合同复印件（1份）；（c）中标通知书原件及复印件（1份）（d）自治区疾控中心采购验收单；（e）乙方供货清单（盖章） ； （f）自治区疾控中心物资采购廉洁合同（见附件1）；（g）自治区疾控中心使用科室付款说明  ；（h）供应商评价表（见附件2需由使用科室签字确认）；应乙方提交单据不全导致甲方财务未能付款的，甲方不承担逾期付款责任。</w:t>
      </w:r>
    </w:p>
    <w:p>
      <w:pPr>
        <w:widowControl/>
        <w:shd w:val="clear" w:color="auto" w:fill="FFFFFF"/>
        <w:adjustRightInd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xml:space="preserve">   （三）付款信息:</w:t>
      </w:r>
    </w:p>
    <w:p>
      <w:pPr>
        <w:widowControl/>
        <w:shd w:val="clear" w:color="auto" w:fill="FFFFFF"/>
        <w:adjustRightInd w:val="0"/>
        <w:snapToGrid w:val="0"/>
        <w:spacing w:line="360" w:lineRule="auto"/>
        <w:jc w:val="left"/>
        <w:rPr>
          <w:rFonts w:hint="eastAsia" w:ascii="宋体" w:hAnsi="宋体" w:eastAsia="宋体" w:cs="宋体"/>
          <w:color w:val="auto"/>
          <w:sz w:val="22"/>
          <w:szCs w:val="22"/>
        </w:rPr>
      </w:pPr>
      <w:r>
        <w:rPr>
          <w:rFonts w:hint="eastAsia" w:ascii="宋体" w:hAnsi="宋体" w:eastAsia="宋体" w:cs="宋体"/>
          <w:color w:val="auto"/>
          <w:kern w:val="0"/>
          <w:sz w:val="22"/>
          <w:szCs w:val="22"/>
        </w:rPr>
        <w:t>甲方：</w:t>
      </w:r>
      <w:r>
        <w:rPr>
          <w:rFonts w:hint="eastAsia" w:ascii="宋体" w:hAnsi="宋体" w:eastAsia="宋体" w:cs="宋体"/>
          <w:color w:val="auto"/>
          <w:sz w:val="22"/>
          <w:szCs w:val="22"/>
        </w:rPr>
        <w:t>税</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号：</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 xml:space="preserve">           乙方：税</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 xml:space="preserve">号：           </w:t>
      </w:r>
    </w:p>
    <w:p>
      <w:pPr>
        <w:adjustRightInd w:val="0"/>
        <w:snapToGrid w:val="0"/>
        <w:spacing w:line="360" w:lineRule="exact"/>
        <w:ind w:firstLine="777" w:firstLineChars="350"/>
        <w:rPr>
          <w:rFonts w:hint="eastAsia" w:ascii="宋体" w:hAnsi="宋体" w:eastAsia="宋体" w:cs="宋体"/>
          <w:color w:val="auto"/>
          <w:sz w:val="22"/>
          <w:szCs w:val="22"/>
        </w:rPr>
      </w:pPr>
      <w:r>
        <w:rPr>
          <w:rFonts w:hint="eastAsia" w:ascii="宋体" w:hAnsi="宋体" w:eastAsia="宋体" w:cs="宋体"/>
          <w:color w:val="auto"/>
          <w:sz w:val="22"/>
          <w:szCs w:val="22"/>
        </w:rPr>
        <w:t>开 户 行：</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 xml:space="preserve">      开 户 行：</w:t>
      </w:r>
    </w:p>
    <w:p>
      <w:pPr>
        <w:tabs>
          <w:tab w:val="center" w:pos="5070"/>
        </w:tabs>
        <w:adjustRightInd w:val="0"/>
        <w:snapToGrid w:val="0"/>
        <w:spacing w:line="360" w:lineRule="exact"/>
        <w:ind w:firstLine="777" w:firstLineChars="350"/>
        <w:rPr>
          <w:rFonts w:hint="eastAsia" w:ascii="宋体" w:hAnsi="宋体" w:eastAsia="宋体" w:cs="宋体"/>
          <w:color w:val="auto"/>
          <w:sz w:val="22"/>
          <w:szCs w:val="22"/>
        </w:rPr>
      </w:pPr>
      <w:r>
        <w:rPr>
          <w:rFonts w:hint="eastAsia" w:ascii="宋体" w:hAnsi="宋体" w:eastAsia="宋体" w:cs="宋体"/>
          <w:color w:val="auto"/>
          <w:sz w:val="22"/>
          <w:szCs w:val="22"/>
        </w:rPr>
        <w:t>开户行号：</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 xml:space="preserve">                   开户行号：</w:t>
      </w:r>
    </w:p>
    <w:p>
      <w:pPr>
        <w:widowControl/>
        <w:shd w:val="clear" w:color="auto" w:fill="FFFFFF"/>
        <w:adjustRightInd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color w:val="auto"/>
          <w:sz w:val="22"/>
          <w:szCs w:val="22"/>
        </w:rPr>
        <w:t xml:space="preserve"> </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 xml:space="preserve">帐 </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 xml:space="preserve">  号:                </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 xml:space="preserve">帐  </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 xml:space="preserve"> 号：   </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七、延期交货与核定损失额</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如果乙方未能按合同规定的时间按期交货(不可抗力除外)，在乙方同意支付核定损失额的条件下，甲方可适当延长交货期。核定损失额的支付将从未付款或从履约保证金中扣除。核定损失额计付比率为每迟交1天，按货物全额的</w:t>
      </w:r>
      <w:r>
        <w:rPr>
          <w:rFonts w:hint="eastAsia" w:ascii="宋体" w:hAnsi="宋体" w:eastAsia="宋体" w:cs="宋体"/>
          <w:color w:val="auto"/>
          <w:sz w:val="22"/>
          <w:szCs w:val="22"/>
          <w:highlight w:val="yellow"/>
          <w:u w:val="single"/>
        </w:rPr>
        <w:t xml:space="preserve"> </w:t>
      </w:r>
      <w:r>
        <w:rPr>
          <w:rFonts w:hint="eastAsia" w:ascii="宋体" w:hAnsi="宋体" w:cs="宋体"/>
          <w:color w:val="auto"/>
          <w:sz w:val="22"/>
          <w:szCs w:val="22"/>
          <w:highlight w:val="yellow"/>
          <w:u w:val="single"/>
          <w:lang w:val="en-US" w:eastAsia="zh-CN"/>
        </w:rPr>
        <w:t xml:space="preserve">   </w:t>
      </w:r>
      <w:r>
        <w:rPr>
          <w:rFonts w:hint="eastAsia" w:ascii="宋体" w:hAnsi="宋体" w:eastAsia="宋体" w:cs="宋体"/>
          <w:color w:val="auto"/>
          <w:sz w:val="22"/>
          <w:szCs w:val="22"/>
          <w:u w:val="single"/>
        </w:rPr>
        <w:t>%</w:t>
      </w:r>
      <w:r>
        <w:rPr>
          <w:rFonts w:hint="eastAsia" w:ascii="宋体" w:hAnsi="宋体" w:eastAsia="宋体" w:cs="宋体"/>
          <w:color w:val="auto"/>
          <w:sz w:val="22"/>
          <w:szCs w:val="22"/>
        </w:rPr>
        <w:t>。如果乙方</w:t>
      </w:r>
      <w:r>
        <w:rPr>
          <w:rFonts w:hint="eastAsia" w:ascii="宋体" w:hAnsi="宋体" w:eastAsia="宋体" w:cs="宋体"/>
          <w:color w:val="auto"/>
          <w:sz w:val="22"/>
          <w:szCs w:val="22"/>
          <w:highlight w:val="yellow"/>
          <w:u w:val="single"/>
        </w:rPr>
        <w:t xml:space="preserve"> </w:t>
      </w:r>
      <w:r>
        <w:rPr>
          <w:rFonts w:hint="eastAsia" w:ascii="宋体" w:hAnsi="宋体" w:cs="宋体"/>
          <w:color w:val="auto"/>
          <w:sz w:val="22"/>
          <w:szCs w:val="22"/>
          <w:highlight w:val="yellow"/>
          <w:u w:val="single"/>
          <w:lang w:val="en-US" w:eastAsia="zh-CN"/>
        </w:rPr>
        <w:t xml:space="preserve">   </w:t>
      </w:r>
      <w:r>
        <w:rPr>
          <w:rFonts w:hint="eastAsia" w:ascii="宋体" w:hAnsi="宋体" w:eastAsia="宋体" w:cs="宋体"/>
          <w:color w:val="auto"/>
          <w:sz w:val="22"/>
          <w:szCs w:val="22"/>
        </w:rPr>
        <w:t>天后仍不能交货，甲方有权因乙方违约终止合同，而乙方仍有义务支付上述迟交核定损失金额。</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八、保密</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双方保证对从另一方取得且无法自公开渠道获得的商业秘密（技术信息、经济信息及其他商业秘密）予以保密。未经对方同意不得向任何第三方泄露该商业秘密。</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九、保修与售后服务</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（一）、质保期为</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年， 自产品最终验收合格之日起至质保期届满且经甲方确认无任何质量问题时止。在质保期内因产品质量造成产品不能正常使用，影响不能正常工作时间从质保期扣除。</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（二）、接到甲方通知，乙方应在</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小时内派遣相关人员到达现场</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小时内维修完毕；发生紧急抢修事故的，乙方应在接到甲方通知后立即赶往现场排除故障。乙方未在约定时间到达现场，甲方可另选第三方修复，相关费用由乙方承担。乙方未在约定时间内修复的或同一产品经</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 次维修后仍不能稳定、可靠运行的，甲方有权要求乙方免费更换。</w:t>
      </w:r>
      <w:r>
        <w:rPr>
          <w:rStyle w:val="170"/>
          <w:rFonts w:hint="eastAsia" w:ascii="宋体" w:hAnsi="宋体" w:eastAsia="宋体" w:cs="宋体"/>
          <w:color w:val="auto"/>
          <w:sz w:val="22"/>
          <w:szCs w:val="22"/>
        </w:rPr>
        <w:t>返修或更换部件后的产品保修期应重新计算。</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（三）、在质保期内，乙方应对产品出现的质量及安全问题负责处理解决并承担一切费用。</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 xml:space="preserve">（四）、质保期届满后，乙方对本合同项下产品提供终身维修服务，且维修时只收取所需维修部件的成本费              </w:t>
      </w:r>
    </w:p>
    <w:p>
      <w:pPr>
        <w:adjustRightInd w:val="0"/>
        <w:snapToGrid w:val="0"/>
        <w:spacing w:line="360" w:lineRule="auto"/>
        <w:ind w:firstLine="325" w:firstLineChars="147"/>
        <w:rPr>
          <w:rFonts w:hint="eastAsia" w:ascii="宋体" w:hAnsi="宋体" w:eastAsia="宋体" w:cs="宋体"/>
          <w:color w:val="auto"/>
          <w:sz w:val="22"/>
          <w:szCs w:val="22"/>
        </w:rPr>
      </w:pPr>
      <w:r>
        <w:rPr>
          <w:rFonts w:hint="eastAsia" w:ascii="宋体" w:hAnsi="宋体" w:eastAsia="宋体" w:cs="宋体"/>
          <w:color w:val="auto"/>
          <w:sz w:val="22"/>
          <w:szCs w:val="22"/>
        </w:rPr>
        <w:t>十、不可抗力</w:t>
      </w:r>
    </w:p>
    <w:p>
      <w:pPr>
        <w:adjustRightInd w:val="0"/>
        <w:snapToGrid w:val="0"/>
        <w:spacing w:line="360" w:lineRule="auto"/>
        <w:ind w:firstLine="325" w:firstLineChars="147"/>
        <w:rPr>
          <w:rFonts w:hint="eastAsia" w:ascii="宋体" w:hAnsi="宋体" w:eastAsia="宋体" w:cs="宋体"/>
          <w:color w:val="auto"/>
          <w:sz w:val="22"/>
          <w:szCs w:val="22"/>
        </w:rPr>
      </w:pPr>
      <w:r>
        <w:rPr>
          <w:rFonts w:hint="eastAsia" w:ascii="宋体" w:hAnsi="宋体" w:eastAsia="宋体" w:cs="宋体"/>
          <w:color w:val="auto"/>
          <w:sz w:val="22"/>
          <w:szCs w:val="22"/>
        </w:rPr>
        <w:t>本合同所称不可抗力是指不能预见、不能克服、不能避免并对另一方造成重大影响的客观事件。包括但不限于自然灾害如洪水、地震、火灾和风暴等以及社会事件如战争、动乱、政府行为等。</w:t>
      </w:r>
    </w:p>
    <w:p>
      <w:pPr>
        <w:adjustRightInd w:val="0"/>
        <w:snapToGrid w:val="0"/>
        <w:spacing w:line="360" w:lineRule="auto"/>
        <w:ind w:left="220" w:leftChars="104" w:firstLine="103" w:firstLineChars="47"/>
        <w:rPr>
          <w:rFonts w:hint="eastAsia" w:ascii="宋体" w:hAnsi="宋体" w:eastAsia="宋体" w:cs="宋体"/>
          <w:color w:val="auto"/>
          <w:sz w:val="22"/>
          <w:szCs w:val="22"/>
        </w:rPr>
      </w:pPr>
      <w:r>
        <w:rPr>
          <w:rFonts w:hint="eastAsia" w:ascii="宋体" w:hAnsi="宋体" w:eastAsia="宋体" w:cs="宋体"/>
          <w:color w:val="auto"/>
          <w:sz w:val="22"/>
          <w:szCs w:val="22"/>
        </w:rPr>
        <w:t>如遇不可抗力事件的一方导致合同无法履行时，应立即将事故情况书面告知另一方，并在</w:t>
      </w:r>
      <w:r>
        <w:rPr>
          <w:rFonts w:hint="eastAsia" w:ascii="宋体" w:hAnsi="宋体" w:eastAsia="宋体" w:cs="宋体"/>
          <w:color w:val="auto"/>
          <w:sz w:val="22"/>
          <w:szCs w:val="22"/>
          <w:highlight w:val="yellow"/>
          <w:u w:val="single"/>
        </w:rPr>
        <w:t>3</w:t>
      </w:r>
      <w:r>
        <w:rPr>
          <w:rFonts w:hint="eastAsia" w:ascii="宋体" w:hAnsi="宋体" w:eastAsia="宋体" w:cs="宋体"/>
          <w:color w:val="auto"/>
          <w:sz w:val="22"/>
          <w:szCs w:val="22"/>
        </w:rPr>
        <w:t>天内，提供事故详情。</w:t>
      </w:r>
    </w:p>
    <w:p>
      <w:pPr>
        <w:adjustRightInd w:val="0"/>
        <w:snapToGrid w:val="0"/>
        <w:spacing w:line="360" w:lineRule="auto"/>
        <w:ind w:firstLine="325" w:firstLineChars="147"/>
        <w:rPr>
          <w:rFonts w:hint="eastAsia" w:ascii="宋体" w:hAnsi="宋体" w:eastAsia="宋体" w:cs="宋体"/>
          <w:color w:val="auto"/>
          <w:sz w:val="22"/>
          <w:szCs w:val="22"/>
        </w:rPr>
      </w:pPr>
      <w:r>
        <w:rPr>
          <w:rFonts w:hint="eastAsia" w:ascii="宋体" w:hAnsi="宋体" w:eastAsia="宋体" w:cs="宋体"/>
          <w:color w:val="auto"/>
          <w:sz w:val="22"/>
          <w:szCs w:val="22"/>
        </w:rPr>
        <w:t>十一、违约责任</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（一）、在补救违约而采取的任何其他措施未能实现的情况下，即在乙方收到甲方发出的违约整改通知后</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highlight w:val="yellow"/>
          <w:u w:val="single"/>
        </w:rPr>
        <w:t>3</w:t>
      </w:r>
      <w:r>
        <w:rPr>
          <w:rFonts w:hint="eastAsia" w:ascii="宋体" w:hAnsi="宋体" w:eastAsia="宋体" w:cs="宋体"/>
          <w:color w:val="auto"/>
          <w:sz w:val="22"/>
          <w:szCs w:val="22"/>
        </w:rPr>
        <w:t>天内(或经甲方书面确认的更长时间内)仍未纠正其下述任何一种违约行为，甲方可向乙方发出书面解除通知，终止全部或部分合同条款：</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(1)如果乙方未能在合同规定的期限内或甲方准许的任何延期内交付部分或全部产品。</w:t>
      </w:r>
    </w:p>
    <w:p>
      <w:pPr>
        <w:adjustRightInd w:val="0"/>
        <w:snapToGrid w:val="0"/>
        <w:spacing w:line="360" w:lineRule="auto"/>
        <w:ind w:firstLine="111" w:firstLineChars="50"/>
        <w:rPr>
          <w:rFonts w:hint="eastAsia" w:ascii="宋体" w:hAnsi="宋体" w:eastAsia="宋体" w:cs="宋体"/>
          <w:color w:val="auto"/>
          <w:sz w:val="22"/>
          <w:szCs w:val="22"/>
        </w:rPr>
      </w:pPr>
      <w:r>
        <w:rPr>
          <w:rFonts w:hint="eastAsia" w:ascii="宋体" w:hAnsi="宋体" w:eastAsia="宋体" w:cs="宋体"/>
          <w:color w:val="auto"/>
          <w:sz w:val="22"/>
          <w:szCs w:val="22"/>
        </w:rPr>
        <w:t xml:space="preserve">   (2)乙方未能履行合同项下的其它义务。</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（二）、因乙方违约致使甲方终止合同时，乙方除退还甲方已付全部货款及资金占用费外，应无条件承担合同总价30%的违约金。</w:t>
      </w:r>
    </w:p>
    <w:p>
      <w:pPr>
        <w:adjustRightInd w:val="0"/>
        <w:snapToGrid w:val="0"/>
        <w:spacing w:line="360" w:lineRule="auto"/>
        <w:ind w:firstLine="333" w:firstLineChars="150"/>
        <w:rPr>
          <w:rFonts w:hint="eastAsia" w:ascii="宋体" w:hAnsi="宋体" w:eastAsia="宋体" w:cs="宋体"/>
          <w:color w:val="auto"/>
          <w:sz w:val="22"/>
          <w:szCs w:val="22"/>
        </w:rPr>
      </w:pPr>
      <w:r>
        <w:rPr>
          <w:rFonts w:hint="eastAsia" w:ascii="宋体" w:hAnsi="宋体" w:eastAsia="宋体" w:cs="宋体"/>
          <w:color w:val="auto"/>
          <w:sz w:val="22"/>
          <w:szCs w:val="22"/>
        </w:rPr>
        <w:t>（三）、严禁乙方转让合同，若乙方违约，则甲方有权终止合同，乙方承担合同总价30%的违约金。</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（四）：任何一方违约应承担守约方因主张权利而支付的所有费用，包含且不限于误工费、差旅费、住宿费、交通费、律师费等。</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十二、其它事项</w:t>
      </w:r>
    </w:p>
    <w:p>
      <w:pPr>
        <w:adjustRightInd w:val="0"/>
        <w:snapToGrid w:val="0"/>
        <w:spacing w:line="360" w:lineRule="auto"/>
        <w:ind w:firstLine="444"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（一）、招投标文件均作为合同不可分割的部分。解释顺序为招标文件、投标文件、合同、合同附件。</w:t>
      </w:r>
    </w:p>
    <w:p>
      <w:pPr>
        <w:adjustRightInd w:val="0"/>
        <w:snapToGrid w:val="0"/>
        <w:spacing w:line="360" w:lineRule="auto"/>
        <w:ind w:left="362" w:leftChars="171" w:firstLine="111" w:firstLineChars="50"/>
        <w:rPr>
          <w:rFonts w:hint="eastAsia" w:ascii="宋体" w:hAnsi="宋体" w:eastAsia="宋体" w:cs="宋体"/>
          <w:color w:val="auto"/>
          <w:sz w:val="22"/>
          <w:szCs w:val="22"/>
        </w:rPr>
      </w:pPr>
      <w:r>
        <w:rPr>
          <w:rFonts w:hint="eastAsia" w:ascii="宋体" w:hAnsi="宋体" w:eastAsia="宋体" w:cs="宋体"/>
          <w:color w:val="auto"/>
          <w:sz w:val="22"/>
          <w:szCs w:val="22"/>
        </w:rPr>
        <w:t>（二）、合同未尽事宜，由甲、乙双方协商，作为合同的补充与原合同具有同等法律效力。</w:t>
      </w:r>
    </w:p>
    <w:p>
      <w:pPr>
        <w:adjustRightInd w:val="0"/>
        <w:snapToGrid w:val="0"/>
        <w:spacing w:line="360" w:lineRule="auto"/>
        <w:ind w:left="362" w:leftChars="171" w:firstLine="111" w:firstLineChars="50"/>
        <w:rPr>
          <w:rFonts w:hint="eastAsia" w:ascii="宋体" w:hAnsi="宋体" w:eastAsia="宋体" w:cs="宋体"/>
          <w:color w:val="auto"/>
          <w:sz w:val="22"/>
          <w:szCs w:val="22"/>
        </w:rPr>
      </w:pPr>
      <w:r>
        <w:rPr>
          <w:rFonts w:hint="eastAsia" w:ascii="宋体" w:hAnsi="宋体" w:eastAsia="宋体" w:cs="宋体"/>
          <w:color w:val="auto"/>
          <w:sz w:val="22"/>
          <w:szCs w:val="22"/>
        </w:rPr>
        <w:t>（三）、双方如对履行合同发生争执，应友好协商解决，如协商不成，任何一方均可向甲方所在地法院提起诉讼。</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十三、 通知和送达</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甲、乙双方因履行本合同而相互发出或者提供的所有通知、文件、材料等均以本合同所列明的地址、电子邮箱、传真送达。一方迁址或者变更邮箱、传真电话的，应当五日内书面通知对方。</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以当面交付文件方式送达的，交付之时视为送达；以电子邮件方式送达的，发出电子邮件时视为送达；以传真方式送达的，发出传真时视为送达；以邮寄方式送达的，邮件交邮当日视为送达。</w:t>
      </w:r>
    </w:p>
    <w:p>
      <w:pPr>
        <w:adjustRightInd w:val="0"/>
        <w:snapToGrid w:val="0"/>
        <w:spacing w:line="360" w:lineRule="auto"/>
        <w:rPr>
          <w:rFonts w:hint="eastAsia" w:ascii="宋体" w:hAnsi="宋体" w:eastAsia="宋体" w:cs="宋体"/>
          <w:color w:val="auto"/>
          <w:sz w:val="22"/>
          <w:szCs w:val="22"/>
        </w:rPr>
      </w:pP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十四、本合同签订时间、地点、履行期限</w:t>
      </w:r>
    </w:p>
    <w:p>
      <w:pPr>
        <w:adjustRightInd w:val="0"/>
        <w:snapToGrid w:val="0"/>
        <w:spacing w:line="360" w:lineRule="auto"/>
        <w:rPr>
          <w:rFonts w:hint="eastAsia" w:ascii="宋体" w:hAnsi="宋体" w:eastAsia="宋体" w:cs="宋体"/>
          <w:color w:val="auto"/>
          <w:sz w:val="22"/>
          <w:szCs w:val="22"/>
          <w:u w:val="single"/>
        </w:rPr>
      </w:pPr>
      <w:r>
        <w:rPr>
          <w:rFonts w:hint="eastAsia" w:ascii="宋体" w:hAnsi="宋体" w:eastAsia="宋体" w:cs="宋体"/>
          <w:color w:val="auto"/>
          <w:sz w:val="22"/>
          <w:szCs w:val="22"/>
        </w:rPr>
        <w:t xml:space="preserve">      （一）签订时间：</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（二）签订地点：</w:t>
      </w:r>
    </w:p>
    <w:p>
      <w:pPr>
        <w:adjustRightInd w:val="0"/>
        <w:snapToGrid w:val="0"/>
        <w:spacing w:line="360" w:lineRule="auto"/>
        <w:ind w:firstLine="651" w:firstLineChars="294"/>
        <w:rPr>
          <w:rFonts w:hint="eastAsia" w:ascii="宋体" w:hAnsi="宋体" w:eastAsia="宋体" w:cs="宋体"/>
          <w:color w:val="auto"/>
          <w:sz w:val="22"/>
          <w:szCs w:val="22"/>
        </w:rPr>
      </w:pPr>
      <w:r>
        <w:rPr>
          <w:rFonts w:hint="eastAsia" w:ascii="宋体" w:hAnsi="宋体" w:eastAsia="宋体" w:cs="宋体"/>
          <w:color w:val="auto"/>
          <w:sz w:val="22"/>
          <w:szCs w:val="22"/>
        </w:rPr>
        <w:t>（三）履行期限：本合同供求关系时间自二零二</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年</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月</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日起至二零二</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年</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月</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日，有效期限为</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个月。</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十四、合同签订及生效：本合同一式四份，甲方执叁份、乙方执壹份，双方签字并盖章后生效。</w:t>
      </w:r>
    </w:p>
    <w:p>
      <w:pPr>
        <w:adjustRightInd w:val="0"/>
        <w:snapToGrid w:val="0"/>
        <w:spacing w:line="360" w:lineRule="auto"/>
        <w:rPr>
          <w:rFonts w:hint="eastAsia" w:ascii="宋体" w:hAnsi="宋体" w:eastAsia="宋体" w:cs="宋体"/>
          <w:color w:val="auto"/>
          <w:sz w:val="22"/>
          <w:szCs w:val="22"/>
        </w:rPr>
      </w:pPr>
    </w:p>
    <w:p>
      <w:pPr>
        <w:adjustRightInd w:val="0"/>
        <w:snapToGrid w:val="0"/>
        <w:spacing w:line="360" w:lineRule="auto"/>
        <w:ind w:left="-362" w:leftChars="-171" w:firstLine="1200" w:firstLineChars="541"/>
        <w:rPr>
          <w:rFonts w:hint="eastAsia" w:ascii="宋体" w:hAnsi="宋体" w:eastAsia="宋体" w:cs="宋体"/>
          <w:color w:val="auto"/>
          <w:sz w:val="22"/>
          <w:szCs w:val="22"/>
        </w:rPr>
      </w:pPr>
      <w:r>
        <w:rPr>
          <w:rFonts w:hint="eastAsia" w:ascii="宋体" w:hAnsi="宋体" w:eastAsia="宋体" w:cs="宋体"/>
          <w:color w:val="auto"/>
          <w:sz w:val="22"/>
          <w:szCs w:val="22"/>
        </w:rPr>
        <w:t>甲    方                                      乙    方</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单位名称：                                  单位名称： </w:t>
      </w:r>
    </w:p>
    <w:p>
      <w:pPr>
        <w:adjustRightInd w:val="0"/>
        <w:snapToGrid w:val="0"/>
        <w:spacing w:line="360" w:lineRule="auto"/>
        <w:ind w:right="-510" w:rightChars="-241" w:firstLine="1221" w:firstLineChars="550"/>
        <w:jc w:val="left"/>
        <w:rPr>
          <w:rFonts w:hint="eastAsia" w:ascii="宋体" w:hAnsi="宋体" w:eastAsia="宋体" w:cs="宋体"/>
          <w:color w:val="auto"/>
          <w:sz w:val="22"/>
          <w:szCs w:val="22"/>
        </w:rPr>
      </w:pPr>
      <w:r>
        <w:rPr>
          <w:rFonts w:hint="eastAsia" w:ascii="宋体" w:hAnsi="宋体" w:eastAsia="宋体" w:cs="宋体"/>
          <w:color w:val="auto"/>
          <w:sz w:val="22"/>
          <w:szCs w:val="22"/>
        </w:rPr>
        <w:t>（盖章）                                （盖章）</w:t>
      </w:r>
    </w:p>
    <w:p>
      <w:pPr>
        <w:adjustRightInd w:val="0"/>
        <w:snapToGrid w:val="0"/>
        <w:spacing w:line="360" w:lineRule="auto"/>
        <w:ind w:left="6429" w:leftChars="-57" w:right="-510" w:rightChars="-241" w:hanging="6549" w:hangingChars="2950"/>
        <w:rPr>
          <w:rFonts w:hint="eastAsia" w:ascii="宋体" w:hAnsi="宋体" w:eastAsia="宋体" w:cs="宋体"/>
          <w:color w:val="auto"/>
          <w:sz w:val="22"/>
          <w:szCs w:val="22"/>
        </w:rPr>
      </w:pPr>
      <w:r>
        <w:rPr>
          <w:rFonts w:hint="eastAsia" w:ascii="宋体" w:hAnsi="宋体" w:eastAsia="宋体" w:cs="宋体"/>
          <w:color w:val="auto"/>
          <w:sz w:val="22"/>
          <w:szCs w:val="22"/>
        </w:rPr>
        <w:t xml:space="preserve">地    址：                                   地  址： </w:t>
      </w:r>
    </w:p>
    <w:p>
      <w:pPr>
        <w:adjustRightInd w:val="0"/>
        <w:snapToGrid w:val="0"/>
        <w:spacing w:line="360" w:lineRule="auto"/>
        <w:ind w:left="6969" w:leftChars="3078" w:right="-510" w:rightChars="-241" w:hanging="444" w:hangingChars="200"/>
        <w:rPr>
          <w:rFonts w:hint="eastAsia" w:ascii="宋体" w:hAnsi="宋体" w:eastAsia="宋体" w:cs="宋体"/>
          <w:color w:val="auto"/>
          <w:sz w:val="22"/>
          <w:szCs w:val="22"/>
        </w:rPr>
      </w:pPr>
    </w:p>
    <w:p>
      <w:pPr>
        <w:adjustRightInd w:val="0"/>
        <w:snapToGrid w:val="0"/>
        <w:spacing w:line="360" w:lineRule="auto"/>
        <w:ind w:left="-362" w:leftChars="-171" w:right="-510" w:rightChars="-241" w:firstLine="222" w:firstLineChars="100"/>
        <w:rPr>
          <w:rFonts w:hint="eastAsia" w:ascii="宋体" w:hAnsi="宋体" w:eastAsia="宋体" w:cs="宋体"/>
          <w:color w:val="auto"/>
          <w:sz w:val="22"/>
          <w:szCs w:val="22"/>
        </w:rPr>
      </w:pPr>
      <w:r>
        <w:rPr>
          <w:rFonts w:hint="eastAsia" w:ascii="宋体" w:hAnsi="宋体" w:eastAsia="宋体" w:cs="宋体"/>
          <w:color w:val="auto"/>
          <w:sz w:val="22"/>
          <w:szCs w:val="22"/>
        </w:rPr>
        <w:t xml:space="preserve">法定代表人：                                  法定代表人（签字）： </w:t>
      </w:r>
    </w:p>
    <w:p>
      <w:pPr>
        <w:adjustRightInd w:val="0"/>
        <w:snapToGrid w:val="0"/>
        <w:spacing w:line="360" w:lineRule="auto"/>
        <w:ind w:left="-362" w:leftChars="-171" w:right="-510" w:rightChars="-241" w:firstLine="222" w:firstLineChars="100"/>
        <w:rPr>
          <w:rFonts w:hint="eastAsia" w:ascii="宋体" w:hAnsi="宋体" w:eastAsia="宋体" w:cs="宋体"/>
          <w:color w:val="auto"/>
          <w:sz w:val="22"/>
          <w:szCs w:val="22"/>
        </w:rPr>
      </w:pPr>
      <w:r>
        <w:rPr>
          <w:rFonts w:hint="eastAsia" w:ascii="宋体" w:hAnsi="宋体" w:eastAsia="宋体" w:cs="宋体"/>
          <w:color w:val="auto"/>
          <w:sz w:val="22"/>
          <w:szCs w:val="22"/>
        </w:rPr>
        <w:t>代 理 人：                                    代 理 人（签字）：</w:t>
      </w:r>
    </w:p>
    <w:p>
      <w:pPr>
        <w:adjustRightInd w:val="0"/>
        <w:snapToGrid w:val="0"/>
        <w:spacing w:line="360" w:lineRule="auto"/>
        <w:ind w:left="-362" w:leftChars="-171" w:right="-510" w:rightChars="-241" w:firstLine="222" w:firstLineChars="100"/>
        <w:rPr>
          <w:rFonts w:hint="eastAsia" w:ascii="宋体" w:hAnsi="宋体" w:eastAsia="宋体" w:cs="宋体"/>
          <w:color w:val="auto"/>
          <w:sz w:val="22"/>
          <w:szCs w:val="22"/>
        </w:rPr>
      </w:pPr>
      <w:r>
        <w:rPr>
          <w:rFonts w:hint="eastAsia" w:ascii="宋体" w:hAnsi="宋体" w:eastAsia="宋体" w:cs="宋体"/>
          <w:color w:val="auto"/>
          <w:sz w:val="22"/>
          <w:szCs w:val="22"/>
        </w:rPr>
        <w:t xml:space="preserve">联系电话：                                   联系电话：            </w:t>
      </w:r>
    </w:p>
    <w:p>
      <w:pPr>
        <w:adjustRightInd w:val="0"/>
        <w:snapToGrid w:val="0"/>
        <w:spacing w:line="360" w:lineRule="auto"/>
        <w:ind w:left="-362" w:leftChars="-171" w:right="-510" w:rightChars="-241" w:firstLine="6438" w:firstLineChars="2900"/>
        <w:rPr>
          <w:rFonts w:hint="eastAsia" w:ascii="宋体" w:hAnsi="宋体" w:eastAsia="宋体" w:cs="宋体"/>
          <w:color w:val="auto"/>
          <w:sz w:val="22"/>
          <w:szCs w:val="22"/>
        </w:rPr>
      </w:pPr>
      <w:r>
        <w:rPr>
          <w:rFonts w:hint="eastAsia" w:ascii="宋体" w:hAnsi="宋体" w:eastAsia="宋体" w:cs="宋体"/>
          <w:color w:val="auto"/>
          <w:sz w:val="22"/>
          <w:szCs w:val="22"/>
        </w:rPr>
        <w:t xml:space="preserve">                                                                        </w:t>
      </w:r>
    </w:p>
    <w:p>
      <w:pPr>
        <w:tabs>
          <w:tab w:val="left" w:pos="6720"/>
        </w:tabs>
        <w:adjustRightInd w:val="0"/>
        <w:snapToGrid w:val="0"/>
        <w:spacing w:line="360" w:lineRule="auto"/>
        <w:ind w:left="-362" w:leftChars="-171" w:right="-510" w:rightChars="-241" w:firstLine="2664" w:firstLineChars="1200"/>
        <w:rPr>
          <w:rFonts w:ascii="宋体" w:hAnsi="宋体"/>
          <w:b/>
          <w:color w:val="auto"/>
        </w:rPr>
      </w:pPr>
      <w:r>
        <w:rPr>
          <w:rFonts w:hint="eastAsia" w:ascii="宋体" w:hAnsi="宋体" w:eastAsia="宋体" w:cs="宋体"/>
          <w:color w:val="auto"/>
          <w:sz w:val="22"/>
          <w:szCs w:val="22"/>
        </w:rPr>
        <w:t xml:space="preserve">                                          </w:t>
      </w:r>
    </w:p>
    <w:p>
      <w:pPr>
        <w:spacing w:line="500" w:lineRule="exact"/>
        <w:jc w:val="center"/>
        <w:outlineLvl w:val="0"/>
        <w:rPr>
          <w:rFonts w:ascii="宋体" w:hAnsi="宋体"/>
          <w:b/>
          <w:color w:val="auto"/>
        </w:rPr>
      </w:pPr>
      <w:r>
        <w:rPr>
          <w:rFonts w:ascii="宋体" w:hAnsi="宋体"/>
          <w:b/>
          <w:color w:val="auto"/>
        </w:rPr>
        <w:br w:type="page"/>
      </w:r>
      <w:bookmarkStart w:id="16" w:name="_Toc19169"/>
      <w:r>
        <w:rPr>
          <w:rFonts w:hint="eastAsia" w:ascii="宋体" w:hAnsi="宋体"/>
          <w:b/>
          <w:color w:val="auto"/>
          <w:sz w:val="30"/>
          <w:szCs w:val="30"/>
        </w:rPr>
        <w:t>第五章 投标文件格式</w:t>
      </w:r>
      <w:bookmarkEnd w:id="16"/>
    </w:p>
    <w:p>
      <w:pPr>
        <w:pStyle w:val="84"/>
        <w:spacing w:line="500" w:lineRule="exact"/>
        <w:ind w:firstLine="7986" w:firstLineChars="3300"/>
        <w:jc w:val="both"/>
        <w:rPr>
          <w:rFonts w:ascii="宋体" w:hAnsi="宋体"/>
          <w:b/>
          <w:color w:val="auto"/>
        </w:rPr>
      </w:pPr>
      <w:r>
        <w:rPr>
          <w:rFonts w:hint="eastAsia" w:ascii="宋体" w:hAnsi="宋体"/>
          <w:b/>
          <w:color w:val="auto"/>
        </w:rPr>
        <w:t>正本/副本</w:t>
      </w:r>
    </w:p>
    <w:p>
      <w:pPr>
        <w:pStyle w:val="84"/>
        <w:spacing w:line="500" w:lineRule="exact"/>
        <w:jc w:val="center"/>
        <w:rPr>
          <w:rFonts w:ascii="宋体" w:hAnsi="宋体"/>
          <w:b/>
          <w:color w:val="auto"/>
          <w:sz w:val="30"/>
          <w:szCs w:val="30"/>
        </w:rPr>
      </w:pPr>
    </w:p>
    <w:p>
      <w:pPr>
        <w:pStyle w:val="84"/>
        <w:spacing w:line="500" w:lineRule="exact"/>
        <w:jc w:val="center"/>
        <w:rPr>
          <w:rFonts w:ascii="宋体" w:hAnsi="宋体"/>
          <w:b/>
          <w:color w:val="auto"/>
          <w:sz w:val="30"/>
          <w:szCs w:val="30"/>
        </w:rPr>
      </w:pPr>
    </w:p>
    <w:p>
      <w:pPr>
        <w:pStyle w:val="84"/>
        <w:spacing w:line="500" w:lineRule="exact"/>
        <w:jc w:val="center"/>
        <w:rPr>
          <w:rFonts w:ascii="宋体" w:hAnsi="宋体"/>
          <w:b/>
          <w:color w:val="auto"/>
          <w:sz w:val="30"/>
          <w:szCs w:val="30"/>
        </w:rPr>
      </w:pPr>
    </w:p>
    <w:p>
      <w:pPr>
        <w:pStyle w:val="84"/>
        <w:spacing w:line="500" w:lineRule="exact"/>
        <w:jc w:val="center"/>
        <w:rPr>
          <w:rFonts w:ascii="宋体" w:hAnsi="宋体"/>
          <w:b/>
          <w:color w:val="auto"/>
          <w:sz w:val="30"/>
          <w:szCs w:val="30"/>
        </w:rPr>
      </w:pPr>
    </w:p>
    <w:p>
      <w:pPr>
        <w:pStyle w:val="84"/>
        <w:spacing w:line="500" w:lineRule="exact"/>
        <w:jc w:val="center"/>
        <w:rPr>
          <w:rFonts w:ascii="宋体" w:hAnsi="宋体"/>
          <w:b/>
          <w:color w:val="auto"/>
          <w:sz w:val="30"/>
          <w:szCs w:val="30"/>
        </w:rPr>
      </w:pPr>
    </w:p>
    <w:p>
      <w:pPr>
        <w:pStyle w:val="84"/>
        <w:spacing w:line="500" w:lineRule="exact"/>
        <w:jc w:val="center"/>
        <w:rPr>
          <w:rFonts w:ascii="宋体" w:hAnsi="宋体"/>
          <w:color w:val="auto"/>
          <w:sz w:val="44"/>
          <w:szCs w:val="44"/>
        </w:rPr>
      </w:pPr>
      <w:r>
        <w:rPr>
          <w:rFonts w:hint="eastAsia" w:ascii="宋体" w:hAnsi="宋体"/>
          <w:b/>
          <w:color w:val="auto"/>
          <w:sz w:val="44"/>
          <w:szCs w:val="44"/>
        </w:rPr>
        <w:t>投标文件</w:t>
      </w:r>
    </w:p>
    <w:p>
      <w:pPr>
        <w:pStyle w:val="84"/>
        <w:spacing w:line="500" w:lineRule="exact"/>
        <w:jc w:val="both"/>
        <w:rPr>
          <w:rFonts w:ascii="宋体" w:hAnsi="宋体"/>
          <w:color w:val="auto"/>
        </w:rPr>
      </w:pPr>
    </w:p>
    <w:p>
      <w:pPr>
        <w:pStyle w:val="84"/>
        <w:spacing w:line="500" w:lineRule="exact"/>
        <w:jc w:val="both"/>
        <w:rPr>
          <w:rFonts w:ascii="宋体" w:hAnsi="宋体"/>
          <w:color w:val="auto"/>
        </w:rPr>
      </w:pPr>
    </w:p>
    <w:p>
      <w:pPr>
        <w:pStyle w:val="84"/>
        <w:spacing w:line="500" w:lineRule="exact"/>
        <w:jc w:val="both"/>
        <w:rPr>
          <w:rFonts w:ascii="宋体" w:hAnsi="宋体"/>
          <w:color w:val="auto"/>
        </w:rPr>
      </w:pPr>
    </w:p>
    <w:p>
      <w:pPr>
        <w:pStyle w:val="84"/>
        <w:spacing w:line="500" w:lineRule="exact"/>
        <w:jc w:val="both"/>
        <w:rPr>
          <w:rFonts w:ascii="宋体" w:hAnsi="宋体"/>
          <w:color w:val="auto"/>
        </w:rPr>
      </w:pPr>
    </w:p>
    <w:p>
      <w:pPr>
        <w:pStyle w:val="84"/>
        <w:spacing w:line="500" w:lineRule="exact"/>
        <w:jc w:val="both"/>
        <w:rPr>
          <w:rFonts w:ascii="宋体" w:hAnsi="宋体"/>
          <w:color w:val="auto"/>
        </w:rPr>
      </w:pPr>
    </w:p>
    <w:p>
      <w:pPr>
        <w:pStyle w:val="84"/>
        <w:spacing w:line="500" w:lineRule="exact"/>
        <w:jc w:val="both"/>
        <w:rPr>
          <w:rFonts w:ascii="宋体" w:hAnsi="宋体"/>
          <w:color w:val="auto"/>
        </w:rPr>
      </w:pPr>
    </w:p>
    <w:p>
      <w:pPr>
        <w:pStyle w:val="84"/>
        <w:spacing w:line="500" w:lineRule="exact"/>
        <w:ind w:firstLine="567"/>
        <w:jc w:val="both"/>
        <w:rPr>
          <w:rFonts w:ascii="宋体" w:hAnsi="宋体"/>
          <w:color w:val="auto"/>
        </w:rPr>
      </w:pPr>
    </w:p>
    <w:p>
      <w:pPr>
        <w:spacing w:line="500" w:lineRule="exact"/>
        <w:ind w:firstLine="604" w:firstLineChars="200"/>
        <w:rPr>
          <w:rFonts w:ascii="宋体" w:hAnsi="宋体"/>
          <w:color w:val="auto"/>
          <w:kern w:val="0"/>
          <w:sz w:val="30"/>
          <w:szCs w:val="30"/>
        </w:rPr>
      </w:pPr>
      <w:r>
        <w:rPr>
          <w:rFonts w:hint="eastAsia" w:ascii="宋体" w:hAnsi="宋体"/>
          <w:color w:val="auto"/>
          <w:kern w:val="0"/>
          <w:sz w:val="30"/>
          <w:szCs w:val="30"/>
        </w:rPr>
        <w:t xml:space="preserve">招标项目名称：                        </w:t>
      </w:r>
    </w:p>
    <w:p>
      <w:pPr>
        <w:spacing w:line="500" w:lineRule="exact"/>
        <w:ind w:left="1680" w:hanging="1680"/>
        <w:jc w:val="center"/>
        <w:rPr>
          <w:rFonts w:ascii="宋体" w:hAnsi="宋体"/>
          <w:color w:val="auto"/>
          <w:kern w:val="0"/>
          <w:sz w:val="30"/>
          <w:szCs w:val="30"/>
        </w:rPr>
      </w:pPr>
      <w:r>
        <w:rPr>
          <w:rFonts w:hint="eastAsia" w:ascii="宋体" w:hAnsi="宋体"/>
          <w:color w:val="auto"/>
          <w:kern w:val="0"/>
          <w:sz w:val="30"/>
          <w:szCs w:val="30"/>
        </w:rPr>
        <w:t xml:space="preserve">             </w:t>
      </w:r>
    </w:p>
    <w:p>
      <w:pPr>
        <w:pStyle w:val="84"/>
        <w:spacing w:line="500" w:lineRule="exact"/>
        <w:ind w:firstLine="604" w:firstLineChars="200"/>
        <w:jc w:val="both"/>
        <w:rPr>
          <w:rFonts w:ascii="宋体" w:hAnsi="宋体"/>
          <w:color w:val="auto"/>
          <w:sz w:val="30"/>
          <w:szCs w:val="30"/>
        </w:rPr>
      </w:pPr>
      <w:r>
        <w:rPr>
          <w:rFonts w:hint="eastAsia" w:ascii="宋体" w:hAnsi="宋体"/>
          <w:color w:val="auto"/>
          <w:sz w:val="30"/>
          <w:szCs w:val="30"/>
        </w:rPr>
        <w:t xml:space="preserve">招标文件编号： </w:t>
      </w:r>
    </w:p>
    <w:p>
      <w:pPr>
        <w:pStyle w:val="84"/>
        <w:spacing w:line="500" w:lineRule="exact"/>
        <w:ind w:firstLine="567"/>
        <w:jc w:val="both"/>
        <w:rPr>
          <w:rFonts w:ascii="宋体" w:hAnsi="宋体"/>
          <w:color w:val="auto"/>
          <w:sz w:val="30"/>
          <w:szCs w:val="30"/>
        </w:rPr>
      </w:pPr>
    </w:p>
    <w:p>
      <w:pPr>
        <w:pStyle w:val="84"/>
        <w:spacing w:line="500" w:lineRule="exact"/>
        <w:ind w:firstLine="604" w:firstLineChars="200"/>
        <w:jc w:val="both"/>
        <w:rPr>
          <w:rFonts w:ascii="宋体" w:hAnsi="宋体"/>
          <w:color w:val="auto"/>
          <w:sz w:val="30"/>
          <w:szCs w:val="30"/>
        </w:rPr>
      </w:pPr>
      <w:r>
        <w:rPr>
          <w:rFonts w:hint="eastAsia" w:ascii="宋体" w:hAnsi="宋体"/>
          <w:color w:val="auto"/>
          <w:sz w:val="30"/>
          <w:szCs w:val="30"/>
        </w:rPr>
        <w:t>投标单位名称（加盖公章） ：</w:t>
      </w:r>
      <w:r>
        <w:rPr>
          <w:rFonts w:ascii="宋体" w:hAnsi="宋体"/>
          <w:color w:val="auto"/>
          <w:sz w:val="30"/>
          <w:szCs w:val="30"/>
        </w:rPr>
        <w:t xml:space="preserve"> </w:t>
      </w:r>
    </w:p>
    <w:p>
      <w:pPr>
        <w:pStyle w:val="84"/>
        <w:spacing w:line="500" w:lineRule="exact"/>
        <w:ind w:firstLine="567"/>
        <w:jc w:val="both"/>
        <w:rPr>
          <w:rFonts w:ascii="宋体" w:hAnsi="宋体"/>
          <w:color w:val="auto"/>
          <w:sz w:val="30"/>
          <w:szCs w:val="30"/>
        </w:rPr>
      </w:pPr>
    </w:p>
    <w:p>
      <w:pPr>
        <w:pStyle w:val="84"/>
        <w:spacing w:line="500" w:lineRule="exact"/>
        <w:ind w:firstLine="604" w:firstLineChars="200"/>
        <w:jc w:val="both"/>
        <w:rPr>
          <w:rFonts w:ascii="宋体" w:hAnsi="宋体"/>
          <w:color w:val="auto"/>
          <w:sz w:val="30"/>
          <w:szCs w:val="30"/>
        </w:rPr>
      </w:pPr>
      <w:r>
        <w:rPr>
          <w:rFonts w:hint="eastAsia" w:ascii="宋体" w:hAnsi="宋体"/>
          <w:color w:val="auto"/>
          <w:sz w:val="30"/>
          <w:szCs w:val="30"/>
        </w:rPr>
        <w:t>法定代表人（加盖公章）：</w:t>
      </w:r>
      <w:r>
        <w:rPr>
          <w:rFonts w:ascii="宋体" w:hAnsi="宋体"/>
          <w:color w:val="auto"/>
          <w:sz w:val="30"/>
          <w:szCs w:val="30"/>
        </w:rPr>
        <w:t xml:space="preserve"> </w:t>
      </w:r>
    </w:p>
    <w:p>
      <w:pPr>
        <w:pStyle w:val="84"/>
        <w:spacing w:line="500" w:lineRule="exact"/>
        <w:ind w:firstLine="604" w:firstLineChars="200"/>
        <w:jc w:val="both"/>
        <w:rPr>
          <w:rFonts w:ascii="宋体" w:hAnsi="宋体"/>
          <w:color w:val="auto"/>
          <w:sz w:val="30"/>
          <w:szCs w:val="30"/>
        </w:rPr>
      </w:pPr>
    </w:p>
    <w:p>
      <w:pPr>
        <w:pStyle w:val="84"/>
        <w:spacing w:line="500" w:lineRule="exact"/>
        <w:ind w:firstLine="604" w:firstLineChars="200"/>
        <w:jc w:val="both"/>
        <w:rPr>
          <w:rFonts w:ascii="宋体" w:hAnsi="宋体"/>
          <w:color w:val="auto"/>
          <w:sz w:val="30"/>
          <w:szCs w:val="30"/>
        </w:rPr>
      </w:pPr>
      <w:r>
        <w:rPr>
          <w:rFonts w:hint="eastAsia" w:ascii="宋体" w:hAnsi="宋体"/>
          <w:color w:val="auto"/>
          <w:sz w:val="30"/>
          <w:szCs w:val="30"/>
        </w:rPr>
        <w:t>项目联系人及联系方式：</w:t>
      </w:r>
    </w:p>
    <w:p>
      <w:pPr>
        <w:pStyle w:val="84"/>
        <w:spacing w:line="500" w:lineRule="exact"/>
        <w:jc w:val="both"/>
        <w:rPr>
          <w:rFonts w:ascii="宋体" w:hAnsi="宋体"/>
          <w:color w:val="auto"/>
        </w:rPr>
      </w:pPr>
      <w:r>
        <w:rPr>
          <w:rFonts w:ascii="宋体" w:hAnsi="宋体"/>
          <w:color w:val="auto"/>
          <w:sz w:val="30"/>
          <w:szCs w:val="30"/>
        </w:rPr>
        <w:t xml:space="preserve"> </w:t>
      </w:r>
    </w:p>
    <w:p>
      <w:pPr>
        <w:pStyle w:val="84"/>
        <w:spacing w:line="500" w:lineRule="exact"/>
        <w:ind w:firstLine="604" w:firstLineChars="200"/>
        <w:jc w:val="both"/>
        <w:rPr>
          <w:rFonts w:ascii="宋体" w:hAnsi="宋体"/>
          <w:color w:val="auto"/>
          <w:sz w:val="30"/>
          <w:szCs w:val="30"/>
        </w:rPr>
      </w:pPr>
      <w:r>
        <w:rPr>
          <w:rFonts w:hint="eastAsia" w:ascii="宋体" w:hAnsi="宋体"/>
          <w:color w:val="auto"/>
          <w:sz w:val="30"/>
          <w:szCs w:val="30"/>
        </w:rPr>
        <w:t>日   期：</w:t>
      </w:r>
    </w:p>
    <w:p>
      <w:pPr>
        <w:pStyle w:val="84"/>
        <w:spacing w:line="500" w:lineRule="exact"/>
        <w:jc w:val="both"/>
        <w:rPr>
          <w:rFonts w:ascii="宋体" w:hAnsi="宋体"/>
          <w:color w:val="auto"/>
        </w:rPr>
      </w:pPr>
    </w:p>
    <w:p>
      <w:pPr>
        <w:pStyle w:val="84"/>
        <w:spacing w:line="500" w:lineRule="exact"/>
        <w:jc w:val="both"/>
        <w:rPr>
          <w:rFonts w:ascii="宋体" w:hAnsi="宋体"/>
          <w:color w:val="auto"/>
        </w:rPr>
      </w:pPr>
    </w:p>
    <w:p>
      <w:pPr>
        <w:pStyle w:val="84"/>
        <w:spacing w:line="500" w:lineRule="exact"/>
        <w:jc w:val="center"/>
        <w:rPr>
          <w:rFonts w:ascii="宋体" w:hAnsi="宋体"/>
          <w:b/>
          <w:color w:val="auto"/>
        </w:rPr>
      </w:pPr>
      <w:r>
        <w:rPr>
          <w:rFonts w:hint="eastAsia" w:ascii="宋体" w:hAnsi="宋体"/>
          <w:b/>
          <w:color w:val="auto"/>
        </w:rPr>
        <w:t>目  录</w:t>
      </w:r>
    </w:p>
    <w:p>
      <w:pPr>
        <w:pStyle w:val="24"/>
        <w:numPr>
          <w:ilvl w:val="0"/>
          <w:numId w:val="12"/>
        </w:numPr>
        <w:spacing w:line="440" w:lineRule="exact"/>
        <w:ind w:firstLine="484" w:firstLineChars="200"/>
        <w:jc w:val="center"/>
        <w:rPr>
          <w:rFonts w:ascii="Times New Roman" w:hAnsi="Times New Roman"/>
          <w:color w:val="auto"/>
          <w:sz w:val="24"/>
          <w:szCs w:val="24"/>
        </w:rPr>
      </w:pPr>
      <w:r>
        <w:rPr>
          <w:rFonts w:hint="eastAsia" w:ascii="Times New Roman" w:hAnsi="Times New Roman"/>
          <w:color w:val="auto"/>
          <w:sz w:val="24"/>
          <w:szCs w:val="24"/>
        </w:rPr>
        <w:t>商务部分</w:t>
      </w:r>
    </w:p>
    <w:p>
      <w:pPr>
        <w:pStyle w:val="24"/>
        <w:spacing w:line="440" w:lineRule="exact"/>
        <w:rPr>
          <w:rFonts w:ascii="Times New Roman" w:hAnsi="Times New Roman"/>
          <w:color w:val="auto"/>
          <w:sz w:val="24"/>
          <w:szCs w:val="24"/>
        </w:rPr>
      </w:pP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一、投标函</w:t>
      </w:r>
      <w:r>
        <w:rPr>
          <w:rFonts w:ascii="Times New Roman" w:hAnsi="Times New Roman"/>
          <w:color w:val="auto"/>
          <w:sz w:val="24"/>
          <w:szCs w:val="24"/>
        </w:rPr>
        <w:t>(</w:t>
      </w:r>
      <w:r>
        <w:rPr>
          <w:rFonts w:hint="eastAsia" w:ascii="Times New Roman" w:hAnsi="Times New Roman"/>
          <w:color w:val="auto"/>
          <w:sz w:val="24"/>
          <w:szCs w:val="24"/>
        </w:rPr>
        <w:t>格式附后</w:t>
      </w:r>
      <w:r>
        <w:rPr>
          <w:rFonts w:ascii="Times New Roman" w:hAnsi="Times New Roman"/>
          <w:color w:val="auto"/>
          <w:sz w:val="24"/>
          <w:szCs w:val="24"/>
        </w:rPr>
        <w:t>)</w:t>
      </w: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附件</w:t>
      </w:r>
      <w:r>
        <w:rPr>
          <w:rFonts w:ascii="Times New Roman" w:hAnsi="Times New Roman"/>
          <w:color w:val="auto"/>
          <w:sz w:val="24"/>
          <w:szCs w:val="24"/>
        </w:rPr>
        <w:t>1</w:t>
      </w:r>
      <w:r>
        <w:rPr>
          <w:rFonts w:hint="eastAsia" w:ascii="Times New Roman" w:hAnsi="Times New Roman"/>
          <w:color w:val="auto"/>
          <w:sz w:val="24"/>
          <w:szCs w:val="24"/>
        </w:rPr>
        <w:t>-1　法定代表人身份证明复印件</w:t>
      </w:r>
      <w:r>
        <w:rPr>
          <w:rFonts w:ascii="Times New Roman" w:hAnsi="Times New Roman"/>
          <w:color w:val="auto"/>
          <w:sz w:val="24"/>
          <w:szCs w:val="24"/>
        </w:rPr>
        <w:t>(</w:t>
      </w:r>
      <w:r>
        <w:rPr>
          <w:rFonts w:hint="eastAsia" w:ascii="Times New Roman" w:hAnsi="Times New Roman"/>
          <w:color w:val="auto"/>
          <w:sz w:val="24"/>
          <w:szCs w:val="24"/>
        </w:rPr>
        <w:t>法定代表人参加投标</w:t>
      </w:r>
      <w:r>
        <w:rPr>
          <w:rFonts w:ascii="Times New Roman" w:hAnsi="Times New Roman"/>
          <w:color w:val="auto"/>
          <w:sz w:val="24"/>
          <w:szCs w:val="24"/>
        </w:rPr>
        <w:t>)</w:t>
      </w: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附件1-2　法定代表人授权书</w:t>
      </w:r>
      <w:r>
        <w:rPr>
          <w:rFonts w:ascii="Times New Roman" w:hAnsi="Times New Roman"/>
          <w:color w:val="auto"/>
          <w:sz w:val="24"/>
          <w:szCs w:val="24"/>
        </w:rPr>
        <w:t>(</w:t>
      </w:r>
      <w:r>
        <w:rPr>
          <w:rFonts w:hint="eastAsia" w:ascii="Times New Roman" w:hAnsi="Times New Roman"/>
          <w:color w:val="auto"/>
          <w:sz w:val="24"/>
          <w:szCs w:val="24"/>
        </w:rPr>
        <w:t>授权代表参加投标</w:t>
      </w:r>
      <w:r>
        <w:rPr>
          <w:rFonts w:ascii="Times New Roman" w:hAnsi="Times New Roman"/>
          <w:color w:val="auto"/>
          <w:sz w:val="24"/>
          <w:szCs w:val="24"/>
        </w:rPr>
        <w:t>)</w:t>
      </w: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附件1-3　授权委托书</w:t>
      </w:r>
      <w:r>
        <w:rPr>
          <w:rFonts w:ascii="Times New Roman" w:hAnsi="Times New Roman"/>
          <w:color w:val="auto"/>
          <w:sz w:val="24"/>
          <w:szCs w:val="24"/>
        </w:rPr>
        <w:t>(</w:t>
      </w:r>
      <w:r>
        <w:rPr>
          <w:rFonts w:hint="eastAsia" w:ascii="Times New Roman" w:hAnsi="Times New Roman"/>
          <w:color w:val="auto"/>
          <w:sz w:val="24"/>
          <w:szCs w:val="24"/>
        </w:rPr>
        <w:t>格式二</w:t>
      </w:r>
      <w:r>
        <w:rPr>
          <w:rFonts w:ascii="Times New Roman" w:hAnsi="Times New Roman"/>
          <w:color w:val="auto"/>
          <w:sz w:val="24"/>
          <w:szCs w:val="24"/>
        </w:rPr>
        <w:t>)(</w:t>
      </w:r>
      <w:r>
        <w:rPr>
          <w:rFonts w:hint="eastAsia" w:ascii="Times New Roman" w:hAnsi="Times New Roman"/>
          <w:color w:val="auto"/>
          <w:sz w:val="24"/>
          <w:szCs w:val="24"/>
        </w:rPr>
        <w:t>适用于自然人委托投标</w:t>
      </w:r>
      <w:r>
        <w:rPr>
          <w:rFonts w:ascii="Times New Roman" w:hAnsi="Times New Roman"/>
          <w:color w:val="auto"/>
          <w:sz w:val="24"/>
          <w:szCs w:val="24"/>
        </w:rPr>
        <w:t>)</w:t>
      </w: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二、开标一览表</w:t>
      </w:r>
      <w:r>
        <w:rPr>
          <w:rFonts w:ascii="Times New Roman" w:hAnsi="Times New Roman"/>
          <w:color w:val="auto"/>
          <w:sz w:val="24"/>
          <w:szCs w:val="24"/>
        </w:rPr>
        <w:t>(</w:t>
      </w:r>
      <w:r>
        <w:rPr>
          <w:rFonts w:hint="eastAsia" w:ascii="Times New Roman" w:hAnsi="Times New Roman"/>
          <w:color w:val="auto"/>
          <w:sz w:val="24"/>
          <w:szCs w:val="24"/>
        </w:rPr>
        <w:t>格式附后</w:t>
      </w:r>
      <w:r>
        <w:rPr>
          <w:rFonts w:ascii="Times New Roman" w:hAnsi="Times New Roman"/>
          <w:color w:val="auto"/>
          <w:sz w:val="24"/>
          <w:szCs w:val="24"/>
        </w:rPr>
        <w:t>)</w:t>
      </w: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三、分项价格表</w:t>
      </w:r>
      <w:r>
        <w:rPr>
          <w:rFonts w:ascii="Times New Roman" w:hAnsi="Times New Roman"/>
          <w:color w:val="auto"/>
          <w:sz w:val="24"/>
          <w:szCs w:val="24"/>
        </w:rPr>
        <w:t>(</w:t>
      </w:r>
      <w:r>
        <w:rPr>
          <w:rFonts w:hint="eastAsia" w:ascii="Times New Roman" w:hAnsi="Times New Roman"/>
          <w:color w:val="auto"/>
          <w:sz w:val="24"/>
          <w:szCs w:val="24"/>
        </w:rPr>
        <w:t>格式附后</w:t>
      </w:r>
      <w:r>
        <w:rPr>
          <w:rFonts w:ascii="Times New Roman" w:hAnsi="Times New Roman"/>
          <w:color w:val="auto"/>
          <w:sz w:val="24"/>
          <w:szCs w:val="24"/>
        </w:rPr>
        <w:t>)</w:t>
      </w: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四、商务条款偏离表</w:t>
      </w:r>
      <w:r>
        <w:rPr>
          <w:rFonts w:ascii="Times New Roman" w:hAnsi="Times New Roman"/>
          <w:color w:val="auto"/>
          <w:sz w:val="24"/>
          <w:szCs w:val="24"/>
        </w:rPr>
        <w:t>(</w:t>
      </w:r>
      <w:r>
        <w:rPr>
          <w:rFonts w:hint="eastAsia" w:ascii="Times New Roman" w:hAnsi="Times New Roman"/>
          <w:color w:val="auto"/>
          <w:sz w:val="24"/>
          <w:szCs w:val="24"/>
        </w:rPr>
        <w:t>格式附后</w:t>
      </w:r>
      <w:r>
        <w:rPr>
          <w:rFonts w:ascii="Times New Roman" w:hAnsi="Times New Roman"/>
          <w:color w:val="auto"/>
          <w:sz w:val="24"/>
          <w:szCs w:val="24"/>
        </w:rPr>
        <w:t>)</w:t>
      </w:r>
    </w:p>
    <w:p>
      <w:pPr>
        <w:pStyle w:val="24"/>
        <w:spacing w:line="440" w:lineRule="exact"/>
        <w:ind w:firstLine="484" w:firstLineChars="200"/>
        <w:rPr>
          <w:rFonts w:hint="eastAsia" w:ascii="Times New Roman" w:hAnsi="Times New Roman" w:eastAsia="宋体"/>
          <w:color w:val="auto"/>
          <w:sz w:val="24"/>
          <w:szCs w:val="24"/>
          <w:lang w:eastAsia="zh-CN"/>
        </w:rPr>
      </w:pPr>
      <w:r>
        <w:rPr>
          <w:rFonts w:hint="eastAsia" w:ascii="Times New Roman" w:hAnsi="Times New Roman"/>
          <w:color w:val="auto"/>
          <w:sz w:val="24"/>
          <w:szCs w:val="24"/>
        </w:rPr>
        <w:t>五、投标保证金</w:t>
      </w:r>
      <w:r>
        <w:rPr>
          <w:rFonts w:hint="eastAsia" w:ascii="Times New Roman" w:hAnsi="Times New Roman"/>
          <w:color w:val="auto"/>
          <w:sz w:val="24"/>
          <w:szCs w:val="24"/>
          <w:lang w:eastAsia="zh-CN"/>
        </w:rPr>
        <w:t>汇款凭证</w:t>
      </w: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六、供应商的资格证明材料</w:t>
      </w:r>
    </w:p>
    <w:p>
      <w:pPr>
        <w:pStyle w:val="24"/>
        <w:spacing w:line="440" w:lineRule="exact"/>
        <w:ind w:firstLine="484" w:firstLineChars="200"/>
        <w:rPr>
          <w:rFonts w:ascii="Times New Roman" w:hAnsi="Times New Roman"/>
          <w:color w:val="auto"/>
          <w:sz w:val="24"/>
          <w:szCs w:val="24"/>
        </w:rPr>
      </w:pPr>
      <w:r>
        <w:rPr>
          <w:rFonts w:ascii="Times New Roman" w:hAnsi="Times New Roman"/>
          <w:color w:val="auto"/>
          <w:sz w:val="24"/>
          <w:szCs w:val="24"/>
        </w:rPr>
        <w:t>(</w:t>
      </w:r>
      <w:r>
        <w:rPr>
          <w:rFonts w:hint="eastAsia" w:ascii="Times New Roman" w:hAnsi="Times New Roman"/>
          <w:color w:val="auto"/>
          <w:sz w:val="24"/>
          <w:szCs w:val="24"/>
        </w:rPr>
        <w:t>一</w:t>
      </w:r>
      <w:r>
        <w:rPr>
          <w:rFonts w:ascii="Times New Roman" w:hAnsi="Times New Roman"/>
          <w:color w:val="auto"/>
          <w:sz w:val="24"/>
          <w:szCs w:val="24"/>
        </w:rPr>
        <w:t>)</w:t>
      </w:r>
      <w:r>
        <w:rPr>
          <w:rFonts w:hint="eastAsia" w:ascii="Times New Roman" w:hAnsi="Times New Roman"/>
          <w:color w:val="auto"/>
          <w:sz w:val="24"/>
          <w:szCs w:val="24"/>
        </w:rPr>
        <w:t>供应商基本情况表</w:t>
      </w:r>
    </w:p>
    <w:p>
      <w:pPr>
        <w:pStyle w:val="24"/>
        <w:spacing w:line="440" w:lineRule="exact"/>
        <w:ind w:firstLine="484" w:firstLineChars="200"/>
        <w:rPr>
          <w:rFonts w:ascii="Times New Roman" w:hAnsi="Times New Roman"/>
          <w:color w:val="auto"/>
          <w:sz w:val="24"/>
          <w:szCs w:val="24"/>
        </w:rPr>
      </w:pPr>
      <w:r>
        <w:rPr>
          <w:rFonts w:hint="eastAsia" w:ascii="Times New Roman" w:hAnsi="Times New Roman"/>
          <w:color w:val="auto"/>
          <w:sz w:val="24"/>
          <w:szCs w:val="24"/>
        </w:rPr>
        <w:t>附件2-1　法人或者其他组织的营业执照副本复印件或自然人的身份证明复印件</w:t>
      </w:r>
    </w:p>
    <w:p>
      <w:pPr>
        <w:pStyle w:val="24"/>
        <w:spacing w:line="440" w:lineRule="exact"/>
        <w:ind w:firstLine="484" w:firstLineChars="200"/>
        <w:rPr>
          <w:rFonts w:ascii="Times New Roman" w:hAnsi="Times New Roman"/>
          <w:color w:val="auto"/>
          <w:sz w:val="24"/>
          <w:szCs w:val="24"/>
        </w:rPr>
      </w:pPr>
      <w:r>
        <w:rPr>
          <w:rFonts w:hint="eastAsia" w:ascii="Times New Roman" w:hAnsi="Times New Roman"/>
          <w:color w:val="auto"/>
          <w:sz w:val="24"/>
          <w:szCs w:val="24"/>
        </w:rPr>
        <w:t>附件2-2　法人或者其他组织的税务登记证副本复印件(按规定可不进行税务登记的不提供)</w:t>
      </w:r>
    </w:p>
    <w:p>
      <w:pPr>
        <w:pStyle w:val="24"/>
        <w:spacing w:line="440" w:lineRule="exact"/>
        <w:ind w:firstLine="484" w:firstLineChars="200"/>
        <w:rPr>
          <w:rFonts w:ascii="Times New Roman" w:hAnsi="Times New Roman"/>
          <w:color w:val="auto"/>
          <w:sz w:val="24"/>
          <w:szCs w:val="24"/>
        </w:rPr>
      </w:pPr>
      <w:r>
        <w:rPr>
          <w:rFonts w:hint="eastAsia" w:ascii="Times New Roman" w:hAnsi="Times New Roman"/>
          <w:color w:val="auto"/>
          <w:sz w:val="24"/>
          <w:szCs w:val="24"/>
        </w:rPr>
        <w:t>附件2-3 “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w:t>
      </w:r>
    </w:p>
    <w:p>
      <w:pPr>
        <w:pStyle w:val="24"/>
        <w:spacing w:line="440" w:lineRule="exact"/>
        <w:ind w:firstLine="484" w:firstLineChars="200"/>
        <w:rPr>
          <w:rFonts w:ascii="Times New Roman" w:hAnsi="Times New Roman"/>
          <w:color w:val="auto"/>
          <w:sz w:val="24"/>
          <w:szCs w:val="24"/>
        </w:rPr>
      </w:pPr>
      <w:r>
        <w:rPr>
          <w:rFonts w:hint="eastAsia" w:ascii="Times New Roman" w:hAnsi="Times New Roman"/>
          <w:color w:val="auto"/>
          <w:sz w:val="24"/>
          <w:szCs w:val="24"/>
        </w:rPr>
        <w:t>附件2-4　具备履行合同所必需的设备和专业技术能力的证明材料</w:t>
      </w:r>
    </w:p>
    <w:p>
      <w:pPr>
        <w:pStyle w:val="84"/>
        <w:spacing w:line="500" w:lineRule="exact"/>
        <w:ind w:firstLine="484" w:firstLineChars="200"/>
        <w:jc w:val="both"/>
        <w:outlineLvl w:val="1"/>
        <w:rPr>
          <w:color w:val="auto"/>
          <w:kern w:val="2"/>
        </w:rPr>
      </w:pPr>
      <w:bookmarkStart w:id="17" w:name="_Toc27448"/>
      <w:bookmarkStart w:id="18" w:name="_Toc1976"/>
      <w:bookmarkStart w:id="19" w:name="_Toc19159"/>
      <w:r>
        <w:rPr>
          <w:rFonts w:hint="eastAsia"/>
          <w:color w:val="auto"/>
          <w:kern w:val="2"/>
        </w:rPr>
        <w:t>七、项目业绩表</w:t>
      </w:r>
      <w:bookmarkEnd w:id="17"/>
      <w:bookmarkEnd w:id="18"/>
      <w:bookmarkEnd w:id="19"/>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八、提供符合政府采购政策的证明材料</w:t>
      </w: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附件3-1　中小企业声明函</w:t>
      </w:r>
      <w:r>
        <w:rPr>
          <w:rFonts w:ascii="Times New Roman" w:hAnsi="Times New Roman"/>
          <w:color w:val="auto"/>
          <w:sz w:val="24"/>
          <w:szCs w:val="24"/>
        </w:rPr>
        <w:t>(</w:t>
      </w:r>
      <w:r>
        <w:rPr>
          <w:rFonts w:hint="eastAsia" w:ascii="Times New Roman" w:hAnsi="Times New Roman"/>
          <w:color w:val="auto"/>
          <w:sz w:val="24"/>
          <w:szCs w:val="24"/>
        </w:rPr>
        <w:t>格式附后</w:t>
      </w:r>
      <w:r>
        <w:rPr>
          <w:rFonts w:ascii="Times New Roman" w:hAnsi="Times New Roman"/>
          <w:color w:val="auto"/>
          <w:sz w:val="24"/>
          <w:szCs w:val="24"/>
        </w:rPr>
        <w:t>)</w:t>
      </w: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附件3-1　</w:t>
      </w:r>
      <w:r>
        <w:rPr>
          <w:rFonts w:hint="eastAsia"/>
          <w:color w:val="auto"/>
          <w:sz w:val="24"/>
          <w:szCs w:val="24"/>
        </w:rPr>
        <w:t>“</w:t>
      </w:r>
      <w:r>
        <w:rPr>
          <w:rFonts w:hint="eastAsia" w:ascii="Times New Roman" w:hAnsi="Times New Roman"/>
          <w:color w:val="auto"/>
          <w:sz w:val="24"/>
          <w:szCs w:val="24"/>
        </w:rPr>
        <w:t>节能产品</w:t>
      </w:r>
      <w:r>
        <w:rPr>
          <w:rFonts w:hint="eastAsia"/>
          <w:color w:val="auto"/>
          <w:sz w:val="24"/>
          <w:szCs w:val="24"/>
        </w:rPr>
        <w:t>”“</w:t>
      </w:r>
      <w:r>
        <w:rPr>
          <w:rFonts w:hint="eastAsia" w:ascii="Times New Roman" w:hAnsi="Times New Roman"/>
          <w:color w:val="auto"/>
          <w:sz w:val="24"/>
          <w:szCs w:val="24"/>
        </w:rPr>
        <w:t>环境标志产品</w:t>
      </w:r>
      <w:r>
        <w:rPr>
          <w:rFonts w:hint="eastAsia"/>
          <w:color w:val="auto"/>
          <w:sz w:val="24"/>
          <w:szCs w:val="24"/>
        </w:rPr>
        <w:t>”</w:t>
      </w:r>
      <w:r>
        <w:rPr>
          <w:rFonts w:hint="eastAsia" w:ascii="Times New Roman" w:hAnsi="Times New Roman"/>
          <w:color w:val="auto"/>
          <w:sz w:val="24"/>
          <w:szCs w:val="24"/>
        </w:rPr>
        <w:t>、信息安全认证产品等政府采购法律法规要求的其他证明材料</w:t>
      </w:r>
    </w:p>
    <w:p>
      <w:pPr>
        <w:spacing w:line="50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九、投标供应商认为有必要提供的声明及文件资料。</w:t>
      </w:r>
    </w:p>
    <w:p>
      <w:pPr>
        <w:spacing w:line="500" w:lineRule="exact"/>
        <w:rPr>
          <w:rFonts w:asciiTheme="minorEastAsia" w:hAnsiTheme="minorEastAsia" w:eastAsiaTheme="minorEastAsia" w:cstheme="minorEastAsia"/>
          <w:color w:val="auto"/>
          <w:sz w:val="24"/>
          <w:szCs w:val="24"/>
        </w:rPr>
      </w:pPr>
    </w:p>
    <w:p>
      <w:pPr>
        <w:spacing w:line="500" w:lineRule="exact"/>
        <w:rPr>
          <w:rFonts w:asciiTheme="minorEastAsia" w:hAnsiTheme="minorEastAsia" w:eastAsiaTheme="minorEastAsia" w:cstheme="minorEastAsia"/>
          <w:color w:val="auto"/>
          <w:sz w:val="24"/>
          <w:szCs w:val="24"/>
        </w:rPr>
      </w:pPr>
    </w:p>
    <w:p>
      <w:pPr>
        <w:spacing w:line="500" w:lineRule="exact"/>
        <w:ind w:firstLine="484" w:firstLineChars="200"/>
        <w:rPr>
          <w:rFonts w:ascii="宋体" w:hAnsi="宋体"/>
          <w:b/>
          <w:color w:val="auto"/>
          <w:sz w:val="24"/>
          <w:szCs w:val="24"/>
        </w:rPr>
      </w:pPr>
    </w:p>
    <w:p>
      <w:pPr>
        <w:spacing w:line="500" w:lineRule="exact"/>
        <w:jc w:val="center"/>
        <w:rPr>
          <w:rFonts w:ascii="宋体" w:hAnsi="宋体"/>
          <w:b/>
          <w:color w:val="auto"/>
          <w:sz w:val="24"/>
          <w:szCs w:val="24"/>
        </w:rPr>
      </w:pPr>
      <w:r>
        <w:rPr>
          <w:rFonts w:hint="eastAsia"/>
          <w:color w:val="auto"/>
          <w:sz w:val="24"/>
          <w:szCs w:val="24"/>
        </w:rPr>
        <w:t>第二部分　技术部分</w:t>
      </w:r>
    </w:p>
    <w:p>
      <w:pPr>
        <w:spacing w:line="500" w:lineRule="exact"/>
        <w:ind w:firstLine="484" w:firstLineChars="200"/>
        <w:rPr>
          <w:rFonts w:ascii="宋体" w:hAnsi="宋体"/>
          <w:b/>
          <w:bCs/>
          <w:color w:val="auto"/>
          <w:sz w:val="24"/>
          <w:szCs w:val="24"/>
        </w:rPr>
      </w:pPr>
      <w:r>
        <w:rPr>
          <w:rFonts w:hint="eastAsia" w:ascii="宋体" w:hAnsi="宋体"/>
          <w:b/>
          <w:bCs/>
          <w:color w:val="auto"/>
          <w:sz w:val="24"/>
          <w:szCs w:val="24"/>
        </w:rPr>
        <w:t>(1) 项目实施方案、技术方案或服务方案；</w:t>
      </w:r>
    </w:p>
    <w:p>
      <w:pPr>
        <w:spacing w:line="500" w:lineRule="exact"/>
        <w:ind w:firstLine="484" w:firstLineChars="200"/>
        <w:rPr>
          <w:rFonts w:ascii="宋体" w:hAnsi="宋体"/>
          <w:b/>
          <w:bCs/>
          <w:color w:val="auto"/>
          <w:sz w:val="24"/>
          <w:szCs w:val="24"/>
        </w:rPr>
      </w:pPr>
      <w:r>
        <w:rPr>
          <w:rFonts w:hint="eastAsia" w:ascii="宋体" w:hAnsi="宋体"/>
          <w:b/>
          <w:bCs/>
          <w:color w:val="auto"/>
          <w:sz w:val="24"/>
          <w:szCs w:val="24"/>
        </w:rPr>
        <w:t>(2) 投标供应商必须提供投标设备的详细配置及参数说明；</w:t>
      </w:r>
    </w:p>
    <w:p>
      <w:pPr>
        <w:spacing w:line="500" w:lineRule="exact"/>
        <w:ind w:firstLine="484" w:firstLineChars="200"/>
        <w:rPr>
          <w:rFonts w:ascii="宋体" w:hAnsi="宋体"/>
          <w:b/>
          <w:bCs/>
          <w:color w:val="auto"/>
          <w:sz w:val="24"/>
          <w:szCs w:val="24"/>
        </w:rPr>
      </w:pPr>
      <w:r>
        <w:rPr>
          <w:rFonts w:hint="eastAsia" w:ascii="宋体" w:hAnsi="宋体"/>
          <w:b/>
          <w:bCs/>
          <w:color w:val="auto"/>
          <w:sz w:val="24"/>
          <w:szCs w:val="24"/>
        </w:rPr>
        <w:t>(3) 质量保证措施；</w:t>
      </w:r>
    </w:p>
    <w:p>
      <w:pPr>
        <w:spacing w:line="500" w:lineRule="exact"/>
        <w:ind w:firstLine="484" w:firstLineChars="200"/>
        <w:rPr>
          <w:rFonts w:ascii="宋体" w:hAnsi="宋体"/>
          <w:b/>
          <w:bCs/>
          <w:color w:val="auto"/>
          <w:sz w:val="24"/>
          <w:szCs w:val="24"/>
        </w:rPr>
      </w:pPr>
      <w:r>
        <w:rPr>
          <w:rFonts w:hint="eastAsia" w:ascii="宋体" w:hAnsi="宋体"/>
          <w:b/>
          <w:bCs/>
          <w:color w:val="auto"/>
          <w:sz w:val="24"/>
          <w:szCs w:val="24"/>
        </w:rPr>
        <w:t>(4) 针对本项目执行进度计划；</w:t>
      </w:r>
    </w:p>
    <w:p>
      <w:pPr>
        <w:spacing w:line="500" w:lineRule="exact"/>
        <w:ind w:firstLine="484" w:firstLineChars="200"/>
        <w:rPr>
          <w:rFonts w:ascii="宋体" w:hAnsi="宋体"/>
          <w:b/>
          <w:bCs/>
          <w:color w:val="auto"/>
          <w:sz w:val="24"/>
          <w:szCs w:val="24"/>
        </w:rPr>
      </w:pPr>
      <w:r>
        <w:rPr>
          <w:rFonts w:hint="eastAsia" w:ascii="宋体" w:hAnsi="宋体"/>
          <w:b/>
          <w:bCs/>
          <w:color w:val="auto"/>
          <w:sz w:val="24"/>
          <w:szCs w:val="24"/>
        </w:rPr>
        <w:t>(5) 技术条款偏离表；</w:t>
      </w:r>
    </w:p>
    <w:p>
      <w:pPr>
        <w:spacing w:line="500" w:lineRule="exact"/>
        <w:ind w:left="967" w:leftChars="228" w:hanging="484" w:hangingChars="200"/>
        <w:rPr>
          <w:rFonts w:ascii="宋体" w:hAnsi="宋体"/>
          <w:b/>
          <w:bCs/>
          <w:color w:val="auto"/>
          <w:sz w:val="24"/>
          <w:szCs w:val="24"/>
        </w:rPr>
      </w:pPr>
      <w:r>
        <w:rPr>
          <w:rFonts w:hint="eastAsia" w:ascii="宋体" w:hAnsi="宋体"/>
          <w:b/>
          <w:bCs/>
          <w:color w:val="auto"/>
          <w:sz w:val="24"/>
          <w:szCs w:val="24"/>
        </w:rPr>
        <w:t>(6) 有关的产品（包括但不限于检验报告、产品注册证、指标、产品技术性能详述、验收标准等）；</w:t>
      </w:r>
    </w:p>
    <w:p>
      <w:pPr>
        <w:spacing w:line="500" w:lineRule="exact"/>
        <w:ind w:firstLine="484" w:firstLineChars="200"/>
        <w:rPr>
          <w:rFonts w:ascii="宋体" w:hAnsi="宋体"/>
          <w:b/>
          <w:bCs/>
          <w:color w:val="auto"/>
          <w:sz w:val="24"/>
          <w:szCs w:val="24"/>
        </w:rPr>
      </w:pPr>
      <w:r>
        <w:rPr>
          <w:rFonts w:hint="eastAsia" w:ascii="宋体" w:hAnsi="宋体"/>
          <w:b/>
          <w:bCs/>
          <w:color w:val="auto"/>
          <w:sz w:val="24"/>
          <w:szCs w:val="24"/>
        </w:rPr>
        <w:t>(7) 投标人售后服务承诺；</w:t>
      </w:r>
    </w:p>
    <w:p>
      <w:pPr>
        <w:spacing w:line="500" w:lineRule="exact"/>
        <w:ind w:firstLine="484" w:firstLineChars="200"/>
        <w:rPr>
          <w:rFonts w:ascii="宋体" w:hAnsi="宋体"/>
          <w:b/>
          <w:bCs/>
          <w:color w:val="auto"/>
          <w:sz w:val="24"/>
          <w:szCs w:val="24"/>
        </w:rPr>
      </w:pPr>
      <w:r>
        <w:rPr>
          <w:rFonts w:hint="eastAsia" w:ascii="宋体" w:hAnsi="宋体"/>
          <w:color w:val="auto"/>
          <w:sz w:val="24"/>
          <w:szCs w:val="24"/>
        </w:rPr>
        <w:t>(8) 投标供应商认为有必要提供的声明及文件资料。</w:t>
      </w:r>
    </w:p>
    <w:p>
      <w:pPr>
        <w:pStyle w:val="24"/>
        <w:spacing w:line="440" w:lineRule="exact"/>
        <w:ind w:firstLine="484" w:firstLineChars="200"/>
        <w:jc w:val="center"/>
        <w:rPr>
          <w:b/>
          <w:color w:val="auto"/>
          <w:sz w:val="24"/>
          <w:szCs w:val="24"/>
        </w:rPr>
      </w:pPr>
      <w:r>
        <w:rPr>
          <w:rFonts w:ascii="Times New Roman" w:hAnsi="Times New Roman"/>
          <w:color w:val="auto"/>
          <w:sz w:val="24"/>
          <w:szCs w:val="24"/>
        </w:rPr>
        <w:br w:type="page"/>
      </w:r>
    </w:p>
    <w:p>
      <w:pPr>
        <w:pStyle w:val="84"/>
        <w:spacing w:line="500" w:lineRule="exact"/>
        <w:jc w:val="center"/>
        <w:rPr>
          <w:rFonts w:ascii="宋体" w:hAnsi="宋体"/>
          <w:b/>
          <w:color w:val="auto"/>
        </w:rPr>
      </w:pPr>
      <w:r>
        <w:rPr>
          <w:rFonts w:hint="eastAsia" w:ascii="宋体" w:hAnsi="宋体"/>
          <w:b/>
          <w:color w:val="auto"/>
        </w:rPr>
        <w:t>一、投标函</w:t>
      </w:r>
    </w:p>
    <w:p>
      <w:pPr>
        <w:pStyle w:val="84"/>
        <w:spacing w:line="500" w:lineRule="exact"/>
        <w:rPr>
          <w:rFonts w:ascii="宋体" w:hAnsi="宋体"/>
          <w:color w:val="auto"/>
        </w:rPr>
      </w:pPr>
      <w:r>
        <w:rPr>
          <w:rFonts w:hint="eastAsia" w:ascii="宋体" w:hAnsi="宋体"/>
          <w:color w:val="auto"/>
        </w:rPr>
        <w:t>新疆华域建设工程项目管理咨询有限公司：</w:t>
      </w:r>
    </w:p>
    <w:p>
      <w:pPr>
        <w:pStyle w:val="84"/>
        <w:spacing w:line="500" w:lineRule="exact"/>
        <w:ind w:firstLine="567"/>
        <w:jc w:val="both"/>
        <w:rPr>
          <w:rFonts w:ascii="宋体" w:hAnsi="宋体"/>
          <w:color w:val="auto"/>
        </w:rPr>
      </w:pPr>
      <w:r>
        <w:rPr>
          <w:rFonts w:hint="eastAsia" w:ascii="宋体" w:hAnsi="宋体"/>
          <w:color w:val="auto"/>
        </w:rPr>
        <w:t>我们收到你们</w:t>
      </w:r>
      <w:r>
        <w:rPr>
          <w:rFonts w:ascii="宋体" w:hAnsi="宋体"/>
          <w:color w:val="auto"/>
          <w:u w:val="single"/>
        </w:rPr>
        <w:t xml:space="preserve">               </w:t>
      </w:r>
      <w:r>
        <w:rPr>
          <w:rFonts w:hint="eastAsia" w:ascii="宋体" w:hAnsi="宋体"/>
          <w:color w:val="auto"/>
        </w:rPr>
        <w:t>号招标文件，经认真研究，我们决定参加投标。</w:t>
      </w:r>
    </w:p>
    <w:p>
      <w:pPr>
        <w:pStyle w:val="84"/>
        <w:spacing w:line="500" w:lineRule="exact"/>
        <w:ind w:firstLine="567"/>
        <w:jc w:val="both"/>
        <w:rPr>
          <w:rFonts w:ascii="宋体" w:hAnsi="宋体"/>
          <w:color w:val="auto"/>
        </w:rPr>
      </w:pPr>
      <w:r>
        <w:rPr>
          <w:rFonts w:hint="eastAsia" w:ascii="宋体" w:hAnsi="宋体"/>
          <w:color w:val="auto"/>
        </w:rPr>
        <w:t>⒈按照招标文件中的一切要求，提供招标设备、安装及技术服务投标总价</w:t>
      </w:r>
      <w:r>
        <w:rPr>
          <w:rFonts w:ascii="宋体" w:hAnsi="宋体"/>
          <w:color w:val="auto"/>
        </w:rPr>
        <w:t xml:space="preserve"> </w:t>
      </w:r>
      <w:r>
        <w:rPr>
          <w:rFonts w:ascii="宋体" w:hAnsi="宋体"/>
          <w:color w:val="auto"/>
          <w:u w:val="single"/>
        </w:rPr>
        <w:t xml:space="preserve">       </w:t>
      </w:r>
      <w:r>
        <w:rPr>
          <w:rFonts w:hint="eastAsia" w:ascii="宋体" w:hAnsi="宋体"/>
          <w:color w:val="auto"/>
        </w:rPr>
        <w:t>元（人民币大写）￥：</w:t>
      </w:r>
      <w:r>
        <w:rPr>
          <w:rFonts w:ascii="宋体" w:hAnsi="宋体"/>
          <w:color w:val="auto"/>
          <w:u w:val="single"/>
        </w:rPr>
        <w:t xml:space="preserve">        </w:t>
      </w:r>
      <w:r>
        <w:rPr>
          <w:rFonts w:hint="eastAsia" w:ascii="宋体" w:hAnsi="宋体"/>
          <w:color w:val="auto"/>
        </w:rPr>
        <w:t>元人民币。</w:t>
      </w:r>
    </w:p>
    <w:p>
      <w:pPr>
        <w:pStyle w:val="84"/>
        <w:spacing w:line="500" w:lineRule="exact"/>
        <w:ind w:firstLine="567"/>
        <w:jc w:val="both"/>
        <w:rPr>
          <w:rFonts w:ascii="宋体" w:hAnsi="宋体"/>
          <w:color w:val="auto"/>
        </w:rPr>
      </w:pPr>
      <w:r>
        <w:rPr>
          <w:rFonts w:hint="eastAsia" w:ascii="宋体" w:hAnsi="宋体"/>
          <w:color w:val="auto"/>
        </w:rPr>
        <w:t>⒉如果我们投标书被接受，我们将履行招标文件中规定的每一项要求，按期、按质、按量完成交货和完工任务。</w:t>
      </w:r>
    </w:p>
    <w:p>
      <w:pPr>
        <w:pStyle w:val="84"/>
        <w:spacing w:line="500" w:lineRule="exact"/>
        <w:ind w:firstLine="567"/>
        <w:jc w:val="both"/>
        <w:rPr>
          <w:rFonts w:ascii="宋体" w:hAnsi="宋体"/>
          <w:color w:val="auto"/>
        </w:rPr>
      </w:pPr>
      <w:r>
        <w:rPr>
          <w:rFonts w:hint="eastAsia" w:ascii="宋体" w:hAnsi="宋体"/>
          <w:color w:val="auto"/>
        </w:rPr>
        <w:t>⒊我们同意按招标文件的规定，本投标书的有效期为开标后</w:t>
      </w:r>
      <w:r>
        <w:rPr>
          <w:rFonts w:ascii="宋体" w:hAnsi="宋体"/>
          <w:color w:val="auto"/>
        </w:rPr>
        <w:t xml:space="preserve"> </w:t>
      </w:r>
      <w:r>
        <w:rPr>
          <w:rFonts w:hint="eastAsia" w:ascii="宋体" w:hAnsi="宋体"/>
          <w:b/>
          <w:color w:val="auto"/>
          <w:u w:val="single"/>
        </w:rPr>
        <w:t>60</w:t>
      </w:r>
      <w:r>
        <w:rPr>
          <w:rFonts w:hint="eastAsia" w:ascii="宋体" w:hAnsi="宋体"/>
          <w:color w:val="auto"/>
        </w:rPr>
        <w:t xml:space="preserve"> 天。</w:t>
      </w:r>
    </w:p>
    <w:p>
      <w:pPr>
        <w:pStyle w:val="84"/>
        <w:spacing w:line="500" w:lineRule="exact"/>
        <w:ind w:firstLine="567"/>
        <w:jc w:val="both"/>
        <w:rPr>
          <w:rFonts w:ascii="宋体" w:hAnsi="宋体"/>
          <w:color w:val="auto"/>
        </w:rPr>
      </w:pPr>
      <w:r>
        <w:rPr>
          <w:rFonts w:hint="eastAsia" w:ascii="宋体" w:hAnsi="宋体"/>
          <w:color w:val="auto"/>
        </w:rPr>
        <w:t>⒋我们愿意提供招标人在招标文件中要求的所有资料。</w:t>
      </w:r>
    </w:p>
    <w:p>
      <w:pPr>
        <w:pStyle w:val="84"/>
        <w:spacing w:line="500" w:lineRule="exact"/>
        <w:ind w:firstLine="567"/>
        <w:jc w:val="both"/>
        <w:rPr>
          <w:rFonts w:ascii="宋体" w:hAnsi="宋体"/>
          <w:color w:val="auto"/>
        </w:rPr>
      </w:pPr>
      <w:r>
        <w:rPr>
          <w:rFonts w:hint="eastAsia" w:ascii="宋体" w:hAnsi="宋体"/>
          <w:color w:val="auto"/>
        </w:rPr>
        <w:t>⒌我们认为你们有选择或拒绝任何投标者中标的权力。我们理解，最低报价不是中标的唯一条件。</w:t>
      </w:r>
    </w:p>
    <w:p>
      <w:pPr>
        <w:pStyle w:val="84"/>
        <w:spacing w:line="500" w:lineRule="exact"/>
        <w:ind w:firstLine="567"/>
        <w:jc w:val="both"/>
        <w:rPr>
          <w:rFonts w:ascii="宋体" w:hAnsi="宋体"/>
          <w:color w:val="auto"/>
        </w:rPr>
      </w:pPr>
      <w:r>
        <w:rPr>
          <w:rFonts w:hint="eastAsia" w:ascii="宋体" w:hAnsi="宋体"/>
          <w:color w:val="auto"/>
        </w:rPr>
        <w:t>⒍我们愿按合同法履行自己的全部责任。</w:t>
      </w:r>
    </w:p>
    <w:p>
      <w:pPr>
        <w:pStyle w:val="84"/>
        <w:spacing w:line="500" w:lineRule="exact"/>
        <w:ind w:firstLine="567"/>
        <w:jc w:val="both"/>
        <w:rPr>
          <w:rFonts w:ascii="宋体" w:hAnsi="宋体"/>
          <w:color w:val="auto"/>
        </w:rPr>
      </w:pPr>
      <w:r>
        <w:rPr>
          <w:rFonts w:hint="eastAsia" w:ascii="宋体" w:hAnsi="宋体"/>
          <w:color w:val="auto"/>
        </w:rPr>
        <w:t>⒎我方愿意遵守国家有关规定及招标文件中规定的收费标准，承付中标服务费。</w:t>
      </w:r>
    </w:p>
    <w:p>
      <w:pPr>
        <w:pStyle w:val="84"/>
        <w:spacing w:line="500" w:lineRule="exact"/>
        <w:ind w:firstLine="567"/>
        <w:jc w:val="both"/>
        <w:rPr>
          <w:rFonts w:ascii="宋体" w:hAnsi="宋体"/>
          <w:color w:val="auto"/>
        </w:rPr>
      </w:pPr>
      <w:r>
        <w:rPr>
          <w:rFonts w:hint="eastAsia" w:ascii="宋体" w:hAnsi="宋体"/>
          <w:color w:val="auto"/>
        </w:rPr>
        <w:t>⒏该项投标在开标后的全过程中保持有效，不作任何更改和变动。</w:t>
      </w:r>
    </w:p>
    <w:p>
      <w:pPr>
        <w:pStyle w:val="84"/>
        <w:spacing w:line="500" w:lineRule="exact"/>
        <w:ind w:firstLine="567"/>
        <w:jc w:val="both"/>
        <w:rPr>
          <w:rFonts w:ascii="宋体" w:hAnsi="宋体"/>
          <w:color w:val="auto"/>
        </w:rPr>
      </w:pPr>
      <w:r>
        <w:rPr>
          <w:rFonts w:hint="eastAsia" w:ascii="宋体" w:hAnsi="宋体"/>
          <w:color w:val="auto"/>
        </w:rPr>
        <w:t>⒐我们同意按招标文件规定，交纳</w:t>
      </w:r>
      <w:r>
        <w:rPr>
          <w:rFonts w:ascii="宋体" w:hAnsi="宋体"/>
          <w:color w:val="auto"/>
          <w:u w:val="single"/>
        </w:rPr>
        <w:t xml:space="preserve">        </w:t>
      </w:r>
      <w:r>
        <w:rPr>
          <w:rFonts w:hint="eastAsia" w:ascii="宋体" w:hAnsi="宋体"/>
          <w:color w:val="auto"/>
          <w:u w:val="single"/>
        </w:rPr>
        <w:t xml:space="preserve">   </w:t>
      </w:r>
      <w:r>
        <w:rPr>
          <w:rFonts w:hint="eastAsia" w:ascii="宋体" w:hAnsi="宋体"/>
          <w:color w:val="auto"/>
        </w:rPr>
        <w:t>万元的投标保证金。</w:t>
      </w:r>
    </w:p>
    <w:p>
      <w:pPr>
        <w:pStyle w:val="84"/>
        <w:spacing w:line="500" w:lineRule="exact"/>
        <w:ind w:firstLine="567"/>
        <w:jc w:val="both"/>
        <w:rPr>
          <w:rFonts w:ascii="宋体" w:hAnsi="宋体"/>
          <w:color w:val="auto"/>
        </w:rPr>
      </w:pPr>
      <w:r>
        <w:rPr>
          <w:rFonts w:hint="eastAsia" w:ascii="宋体" w:hAnsi="宋体"/>
          <w:color w:val="auto"/>
        </w:rPr>
        <w:t>⒑综合说明：</w:t>
      </w:r>
    </w:p>
    <w:p>
      <w:pPr>
        <w:pStyle w:val="84"/>
        <w:spacing w:line="500" w:lineRule="exact"/>
        <w:ind w:firstLine="567"/>
        <w:jc w:val="both"/>
        <w:rPr>
          <w:rFonts w:ascii="宋体" w:hAnsi="宋体"/>
          <w:color w:val="auto"/>
        </w:rPr>
      </w:pPr>
      <w:r>
        <w:rPr>
          <w:rFonts w:hint="eastAsia" w:ascii="宋体" w:hAnsi="宋体"/>
          <w:color w:val="auto"/>
        </w:rPr>
        <w:t>（1）设备的详细技术参数、技术条件、技术标准、拟达到的质量标准和保险期限。</w:t>
      </w:r>
    </w:p>
    <w:p>
      <w:pPr>
        <w:pStyle w:val="84"/>
        <w:spacing w:line="500" w:lineRule="exact"/>
        <w:ind w:firstLine="567"/>
        <w:jc w:val="both"/>
        <w:rPr>
          <w:rFonts w:ascii="宋体" w:hAnsi="宋体"/>
          <w:color w:val="auto"/>
        </w:rPr>
      </w:pPr>
      <w:r>
        <w:rPr>
          <w:rFonts w:hint="eastAsia" w:ascii="宋体" w:hAnsi="宋体"/>
          <w:color w:val="auto"/>
        </w:rPr>
        <w:t>（2）易损件、备品备件、专用工具及供应方式。</w:t>
      </w:r>
    </w:p>
    <w:p>
      <w:pPr>
        <w:pStyle w:val="84"/>
        <w:spacing w:line="500" w:lineRule="exact"/>
        <w:ind w:firstLine="567"/>
        <w:jc w:val="both"/>
        <w:rPr>
          <w:rFonts w:ascii="宋体" w:hAnsi="宋体"/>
          <w:color w:val="auto"/>
        </w:rPr>
      </w:pPr>
      <w:r>
        <w:rPr>
          <w:rFonts w:hint="eastAsia" w:ascii="宋体" w:hAnsi="宋体"/>
          <w:color w:val="auto"/>
        </w:rPr>
        <w:t>（3）技术服务。</w:t>
      </w:r>
    </w:p>
    <w:p>
      <w:pPr>
        <w:pStyle w:val="84"/>
        <w:spacing w:line="500" w:lineRule="exact"/>
        <w:ind w:firstLine="567"/>
        <w:jc w:val="both"/>
        <w:rPr>
          <w:rFonts w:ascii="宋体" w:hAnsi="宋体"/>
          <w:color w:val="auto"/>
        </w:rPr>
      </w:pPr>
      <w:r>
        <w:rPr>
          <w:rFonts w:hint="eastAsia" w:ascii="宋体" w:hAnsi="宋体"/>
          <w:color w:val="auto"/>
        </w:rPr>
        <w:t>（4）运输方式。</w:t>
      </w:r>
    </w:p>
    <w:p>
      <w:pPr>
        <w:pStyle w:val="84"/>
        <w:spacing w:line="500" w:lineRule="exact"/>
        <w:ind w:firstLine="567"/>
        <w:jc w:val="both"/>
        <w:rPr>
          <w:rFonts w:ascii="宋体" w:hAnsi="宋体"/>
          <w:color w:val="auto"/>
        </w:rPr>
      </w:pPr>
      <w:r>
        <w:rPr>
          <w:rFonts w:hint="eastAsia" w:ascii="宋体" w:hAnsi="宋体"/>
          <w:color w:val="auto"/>
        </w:rPr>
        <w:t>（5）要求招标人提供的配合。</w:t>
      </w:r>
    </w:p>
    <w:p>
      <w:pPr>
        <w:pStyle w:val="84"/>
        <w:spacing w:line="500" w:lineRule="exact"/>
        <w:ind w:firstLine="567"/>
        <w:jc w:val="both"/>
        <w:rPr>
          <w:rFonts w:ascii="宋体" w:hAnsi="宋体"/>
          <w:color w:val="auto"/>
        </w:rPr>
      </w:pPr>
      <w:r>
        <w:rPr>
          <w:rFonts w:hint="eastAsia" w:ascii="宋体" w:hAnsi="宋体"/>
          <w:color w:val="auto"/>
        </w:rPr>
        <w:t>（6）对招标文件内容有不同意见的偏离说明。</w:t>
      </w:r>
    </w:p>
    <w:p>
      <w:pPr>
        <w:pStyle w:val="84"/>
        <w:spacing w:line="500" w:lineRule="exact"/>
        <w:ind w:firstLine="567"/>
        <w:jc w:val="both"/>
        <w:rPr>
          <w:rFonts w:ascii="宋体" w:hAnsi="宋体"/>
          <w:color w:val="auto"/>
        </w:rPr>
      </w:pPr>
      <w:r>
        <w:rPr>
          <w:rFonts w:hint="eastAsia" w:ascii="宋体" w:hAnsi="宋体"/>
          <w:color w:val="auto"/>
        </w:rPr>
        <w:t>（7）其它。</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附件1－1：法定代表人身份证明复印件(法定代表人参加投标)</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附件1－2：法定代表人授权书(授权代表参加投标)</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附件1－3：授权委托书(自然人提供)</w:t>
      </w:r>
    </w:p>
    <w:p>
      <w:pPr>
        <w:spacing w:line="500" w:lineRule="exact"/>
        <w:rPr>
          <w:rFonts w:asciiTheme="minorEastAsia" w:hAnsiTheme="minorEastAsia" w:eastAsiaTheme="minorEastAsia" w:cstheme="minorEastAsia"/>
          <w:color w:val="auto"/>
          <w:sz w:val="24"/>
          <w:szCs w:val="24"/>
        </w:rPr>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投标人名称：____________投标人公章：____________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投标人地址：____________邮编：____________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电话：____________传真：____________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法定代表人或投标人代表(签字或盖章)：____________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日期：____________</w:t>
      </w: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附件1－1　法定代表人身份证明复印件(法定代表人参加投标的)</w:t>
      </w:r>
    </w:p>
    <w:p>
      <w:pPr>
        <w:spacing w:line="500" w:lineRule="exact"/>
        <w:rPr>
          <w:rFonts w:asciiTheme="minorEastAsia" w:hAnsiTheme="minorEastAsia" w:eastAsiaTheme="minorEastAsia" w:cstheme="minorEastAsia"/>
          <w:color w:val="auto"/>
          <w:sz w:val="24"/>
          <w:szCs w:val="24"/>
        </w:rPr>
      </w:pPr>
    </w:p>
    <w:tbl>
      <w:tblPr>
        <w:tblStyle w:val="42"/>
        <w:tblW w:w="5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vAlign w:val="center"/>
          </w:tcPr>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法定代表人身份证明复印件</w:t>
            </w:r>
          </w:p>
        </w:tc>
      </w:tr>
    </w:tbl>
    <w:p>
      <w:pPr>
        <w:spacing w:line="500" w:lineRule="exact"/>
        <w:rPr>
          <w:rFonts w:asciiTheme="minorEastAsia" w:hAnsiTheme="minorEastAsia" w:eastAsiaTheme="minorEastAsia" w:cstheme="minorEastAsia"/>
          <w:color w:val="auto"/>
          <w:sz w:val="24"/>
          <w:szCs w:val="24"/>
        </w:rPr>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附件1－2　法定代表人授权委托书(授权代表参加投标的)</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法定代表人授权委托书(格式一)(适用于法人投标)</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____________(投标人名称)的法定代表人________(姓名、职务)授权________(投标人代表姓名、职务)为本公司的投标人代表，就________(项目名称)投标及相关事务代表本公司处理与之有关的一切事务。</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委托期限：____________________。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代理人无转委托权。</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本授权书于______年____月____日签字生效，特此声明。</w:t>
      </w:r>
    </w:p>
    <w:tbl>
      <w:tblPr>
        <w:tblStyle w:val="42"/>
        <w:tblpPr w:leftFromText="180" w:rightFromText="180" w:vertAnchor="text" w:horzAnchor="page" w:tblpX="6661" w:tblpY="414"/>
        <w:tblOverlap w:val="never"/>
        <w:tblW w:w="40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3" w:hRule="atLeast"/>
        </w:trPr>
        <w:tc>
          <w:tcPr>
            <w:tcW w:w="4020" w:type="dxa"/>
            <w:tcBorders>
              <w:top w:val="single" w:color="auto" w:sz="4" w:space="0"/>
              <w:bottom w:val="single" w:color="auto" w:sz="4" w:space="0"/>
            </w:tcBorders>
            <w:vAlign w:val="center"/>
          </w:tcPr>
          <w:p>
            <w:pPr>
              <w:spacing w:line="5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授权代表身份证明复印件</w:t>
            </w:r>
          </w:p>
          <w:p>
            <w:pPr>
              <w:spacing w:line="5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（正反面）</w:t>
            </w:r>
          </w:p>
        </w:tc>
      </w:tr>
    </w:tbl>
    <w:tbl>
      <w:tblPr>
        <w:tblStyle w:val="42"/>
        <w:tblpPr w:leftFromText="180" w:rightFromText="180" w:vertAnchor="text" w:horzAnchor="page" w:tblpX="1969" w:tblpY="450"/>
        <w:tblOverlap w:val="never"/>
        <w:tblW w:w="41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61" w:hRule="atLeast"/>
        </w:trPr>
        <w:tc>
          <w:tcPr>
            <w:tcW w:w="4100" w:type="dxa"/>
            <w:tcBorders>
              <w:top w:val="single" w:color="auto" w:sz="4" w:space="0"/>
              <w:bottom w:val="single" w:color="auto" w:sz="4" w:space="0"/>
            </w:tcBorders>
            <w:vAlign w:val="center"/>
          </w:tcPr>
          <w:p>
            <w:pPr>
              <w:spacing w:line="5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法定代表人身份证明复印件</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（正反面）</w:t>
            </w:r>
          </w:p>
        </w:tc>
      </w:tr>
    </w:tbl>
    <w:p>
      <w:pPr>
        <w:spacing w:line="500" w:lineRule="exact"/>
        <w:rPr>
          <w:rFonts w:asciiTheme="minorEastAsia" w:hAnsiTheme="minorEastAsia" w:eastAsiaTheme="minorEastAsia" w:cstheme="minorEastAsia"/>
          <w:color w:val="auto"/>
          <w:sz w:val="24"/>
          <w:szCs w:val="24"/>
        </w:rPr>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投标人名称(公章)：____________________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法定代表人(签字或盖章)：____________________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授权代表(签字或盖章)：____________________</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______年____月____日</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说明：授权用投标专用章的，与公章具有相同法律效力。</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r>
        <w:rPr>
          <w:rFonts w:hint="eastAsia" w:asciiTheme="minorEastAsia" w:hAnsiTheme="minorEastAsia" w:eastAsiaTheme="minorEastAsia" w:cstheme="minorEastAsia"/>
          <w:color w:val="auto"/>
          <w:sz w:val="24"/>
          <w:szCs w:val="24"/>
        </w:rPr>
        <w:t>　　附件1－3</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授权委托书(格式二)(适用于自然人投标)</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致：____________(采购人或采购代理机构)</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我________(姓名)系自然人，现授权委托____________(姓名)以本人名义参加____________(项目名称)的投标活动，并代表本人全权办理针对上述项目的投标、签约等具体事务和签署相关文件。</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本人对被授权人的签字事项负全部责任。</w:t>
      </w: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授权委托代理期限：从　　　年　　月　　日起至　　　年　　月　　日止。</w:t>
      </w:r>
    </w:p>
    <w:p>
      <w:pPr>
        <w:spacing w:line="500" w:lineRule="exact"/>
        <w:rPr>
          <w:rFonts w:asciiTheme="minorEastAsia" w:hAnsiTheme="minorEastAsia" w:eastAsiaTheme="minorEastAsia" w:cstheme="minorEastAsia"/>
          <w:color w:val="auto"/>
          <w:sz w:val="24"/>
          <w:szCs w:val="24"/>
        </w:rPr>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代理人无转委托权，特此委托。</w:t>
      </w:r>
    </w:p>
    <w:p>
      <w:pPr>
        <w:spacing w:line="500" w:lineRule="exact"/>
        <w:rPr>
          <w:rFonts w:asciiTheme="minorEastAsia" w:hAnsiTheme="minorEastAsia" w:eastAsiaTheme="minorEastAsia" w:cstheme="minorEastAsia"/>
          <w:color w:val="auto"/>
          <w:sz w:val="24"/>
          <w:szCs w:val="24"/>
        </w:rPr>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我已在下面签字，以资证明。</w:t>
      </w:r>
    </w:p>
    <w:p>
      <w:pPr>
        <w:spacing w:line="500" w:lineRule="exact"/>
        <w:rPr>
          <w:rFonts w:asciiTheme="minorEastAsia" w:hAnsiTheme="minorEastAsia" w:eastAsiaTheme="minorEastAsia" w:cstheme="minorEastAsia"/>
          <w:color w:val="auto"/>
          <w:sz w:val="24"/>
          <w:szCs w:val="24"/>
        </w:rPr>
      </w:pPr>
    </w:p>
    <w:p>
      <w:pPr>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自然人签字并在签名处加盖食指指印：　　　　年　　月　　日</w:t>
      </w:r>
    </w:p>
    <w:p>
      <w:pPr>
        <w:spacing w:line="500" w:lineRule="exact"/>
        <w:rPr>
          <w:rFonts w:ascii="宋体" w:hAnsi="宋体"/>
          <w:color w:val="auto"/>
          <w:sz w:val="24"/>
          <w:szCs w:val="24"/>
        </w:rPr>
      </w:pPr>
      <w:r>
        <w:rPr>
          <w:rFonts w:ascii="宋体" w:hAnsi="宋体"/>
          <w:color w:val="auto"/>
          <w:kern w:val="0"/>
          <w:sz w:val="24"/>
          <w:szCs w:val="24"/>
        </w:rPr>
        <w:t xml:space="preserve">  </w:t>
      </w:r>
    </w:p>
    <w:p>
      <w:pPr>
        <w:spacing w:line="500" w:lineRule="exact"/>
        <w:rPr>
          <w:rFonts w:ascii="宋体" w:hAnsi="宋体"/>
          <w:color w:val="auto"/>
          <w:sz w:val="24"/>
          <w:szCs w:val="24"/>
        </w:rPr>
        <w:sectPr>
          <w:pgSz w:w="11906" w:h="16838"/>
          <w:pgMar w:top="1417" w:right="1134" w:bottom="1417" w:left="1417" w:header="851" w:footer="850" w:gutter="0"/>
          <w:cols w:space="0" w:num="1"/>
          <w:docGrid w:type="linesAndChars" w:linePitch="322" w:charSpace="535"/>
        </w:sectPr>
      </w:pPr>
    </w:p>
    <w:p>
      <w:pPr>
        <w:pStyle w:val="147"/>
        <w:spacing w:line="500" w:lineRule="exact"/>
        <w:jc w:val="center"/>
        <w:rPr>
          <w:rFonts w:ascii="宋体" w:hAnsi="宋体"/>
          <w:b/>
          <w:bCs/>
          <w:color w:val="auto"/>
          <w:szCs w:val="24"/>
        </w:rPr>
      </w:pPr>
      <w:r>
        <w:rPr>
          <w:rFonts w:hint="eastAsia" w:ascii="宋体" w:hAnsi="宋体"/>
          <w:b/>
          <w:bCs/>
          <w:color w:val="auto"/>
          <w:szCs w:val="24"/>
        </w:rPr>
        <w:t>二、开标一览表</w:t>
      </w:r>
    </w:p>
    <w:p>
      <w:pPr>
        <w:pStyle w:val="24"/>
        <w:ind w:firstLine="424" w:firstLineChars="200"/>
        <w:jc w:val="center"/>
        <w:rPr>
          <w:rFonts w:ascii="Times New Roman" w:hAnsi="Times New Roman"/>
          <w:color w:val="auto"/>
        </w:rPr>
      </w:pPr>
    </w:p>
    <w:tbl>
      <w:tblPr>
        <w:tblStyle w:val="42"/>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2130"/>
        <w:gridCol w:w="3420"/>
        <w:gridCol w:w="1236"/>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052"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序号</w:t>
            </w:r>
          </w:p>
        </w:tc>
        <w:tc>
          <w:tcPr>
            <w:tcW w:w="2130"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项目名称</w:t>
            </w:r>
          </w:p>
        </w:tc>
        <w:tc>
          <w:tcPr>
            <w:tcW w:w="3420" w:type="dxa"/>
            <w:vAlign w:val="center"/>
          </w:tcPr>
          <w:p>
            <w:pPr>
              <w:pStyle w:val="24"/>
              <w:jc w:val="center"/>
              <w:rPr>
                <w:rFonts w:ascii="Times New Roman" w:hAnsi="Times New Roman"/>
                <w:color w:val="auto"/>
                <w:sz w:val="24"/>
                <w:szCs w:val="24"/>
              </w:rPr>
            </w:pPr>
          </w:p>
        </w:tc>
        <w:tc>
          <w:tcPr>
            <w:tcW w:w="1236"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项目编号</w:t>
            </w:r>
          </w:p>
        </w:tc>
        <w:tc>
          <w:tcPr>
            <w:tcW w:w="1727" w:type="dxa"/>
            <w:vAlign w:val="center"/>
          </w:tcPr>
          <w:p>
            <w:pPr>
              <w:pStyle w:val="24"/>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052"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1</w:t>
            </w:r>
          </w:p>
        </w:tc>
        <w:tc>
          <w:tcPr>
            <w:tcW w:w="2130"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总报价人民币</w:t>
            </w:r>
          </w:p>
        </w:tc>
        <w:tc>
          <w:tcPr>
            <w:tcW w:w="6383" w:type="dxa"/>
            <w:gridSpan w:val="3"/>
            <w:vAlign w:val="center"/>
          </w:tcPr>
          <w:p>
            <w:pPr>
              <w:pStyle w:val="24"/>
              <w:jc w:val="left"/>
              <w:rPr>
                <w:rFonts w:ascii="Times New Roman" w:hAnsi="Times New Roman" w:eastAsia="MingLiU_HKSCS"/>
                <w:color w:val="auto"/>
                <w:sz w:val="24"/>
                <w:szCs w:val="24"/>
              </w:rPr>
            </w:pPr>
            <w:r>
              <w:rPr>
                <w:rFonts w:hint="eastAsia" w:ascii="Times New Roman" w:hAnsi="Times New Roman"/>
                <w:color w:val="auto"/>
                <w:sz w:val="24"/>
                <w:szCs w:val="24"/>
              </w:rPr>
              <w:t>大写：人民币</w:t>
            </w:r>
            <w:r>
              <w:rPr>
                <w:rFonts w:ascii="Times New Roman" w:hAnsi="Times New Roman"/>
                <w:color w:val="auto"/>
                <w:sz w:val="24"/>
                <w:szCs w:val="24"/>
              </w:rPr>
              <w:t>______</w:t>
            </w:r>
            <w:r>
              <w:rPr>
                <w:rFonts w:hint="eastAsia" w:ascii="Times New Roman" w:hAnsi="Times New Roman"/>
                <w:color w:val="auto"/>
                <w:sz w:val="24"/>
                <w:szCs w:val="24"/>
              </w:rPr>
              <w:t>元</w:t>
            </w:r>
          </w:p>
          <w:p>
            <w:pPr>
              <w:pStyle w:val="24"/>
              <w:jc w:val="left"/>
              <w:rPr>
                <w:rFonts w:ascii="Times New Roman" w:hAnsi="Times New Roman" w:eastAsia="MingLiU_HKSCS"/>
                <w:color w:val="auto"/>
                <w:sz w:val="24"/>
                <w:szCs w:val="24"/>
              </w:rPr>
            </w:pPr>
            <w:r>
              <w:rPr>
                <w:rFonts w:hint="eastAsia" w:ascii="Times New Roman" w:hAnsi="Times New Roman"/>
                <w:color w:val="auto"/>
                <w:sz w:val="24"/>
                <w:szCs w:val="24"/>
              </w:rPr>
              <w:t>小写：￥</w:t>
            </w:r>
            <w:r>
              <w:rPr>
                <w:rFonts w:ascii="Times New Roman" w:hAnsi="Times New Roman"/>
                <w:color w:val="auto"/>
                <w:sz w:val="24"/>
                <w:szCs w:val="24"/>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52"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2</w:t>
            </w:r>
          </w:p>
        </w:tc>
        <w:tc>
          <w:tcPr>
            <w:tcW w:w="2130" w:type="dxa"/>
            <w:vAlign w:val="center"/>
          </w:tcPr>
          <w:p>
            <w:pPr>
              <w:pStyle w:val="24"/>
              <w:jc w:val="center"/>
              <w:rPr>
                <w:rFonts w:hint="eastAsia" w:ascii="Times New Roman" w:hAnsi="Times New Roman" w:eastAsia="宋体"/>
                <w:color w:val="auto"/>
                <w:sz w:val="24"/>
                <w:szCs w:val="24"/>
                <w:lang w:eastAsia="zh-CN"/>
              </w:rPr>
            </w:pPr>
            <w:r>
              <w:rPr>
                <w:rFonts w:hint="eastAsia" w:ascii="Times New Roman" w:hAnsi="Times New Roman"/>
                <w:color w:val="auto"/>
                <w:sz w:val="24"/>
                <w:szCs w:val="24"/>
                <w:lang w:eastAsia="zh-CN"/>
              </w:rPr>
              <w:t>合同履约期限</w:t>
            </w:r>
          </w:p>
        </w:tc>
        <w:tc>
          <w:tcPr>
            <w:tcW w:w="6383" w:type="dxa"/>
            <w:gridSpan w:val="3"/>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052"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3</w:t>
            </w:r>
          </w:p>
        </w:tc>
        <w:tc>
          <w:tcPr>
            <w:tcW w:w="2130"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质保期</w:t>
            </w:r>
          </w:p>
        </w:tc>
        <w:tc>
          <w:tcPr>
            <w:tcW w:w="6383" w:type="dxa"/>
            <w:gridSpan w:val="3"/>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052"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4</w:t>
            </w:r>
          </w:p>
        </w:tc>
        <w:tc>
          <w:tcPr>
            <w:tcW w:w="2130"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付款方式</w:t>
            </w:r>
          </w:p>
        </w:tc>
        <w:tc>
          <w:tcPr>
            <w:tcW w:w="6383" w:type="dxa"/>
            <w:gridSpan w:val="3"/>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52" w:type="dxa"/>
            <w:vAlign w:val="center"/>
          </w:tcPr>
          <w:p>
            <w:pPr>
              <w:pStyle w:val="24"/>
              <w:jc w:val="center"/>
              <w:rPr>
                <w:rFonts w:ascii="Times New Roman" w:hAnsi="Times New Roman"/>
                <w:color w:val="auto"/>
                <w:sz w:val="24"/>
                <w:szCs w:val="24"/>
              </w:rPr>
            </w:pPr>
          </w:p>
        </w:tc>
        <w:tc>
          <w:tcPr>
            <w:tcW w:w="2130"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备注</w:t>
            </w:r>
          </w:p>
        </w:tc>
        <w:tc>
          <w:tcPr>
            <w:tcW w:w="6383" w:type="dxa"/>
            <w:gridSpan w:val="3"/>
            <w:vAlign w:val="center"/>
          </w:tcPr>
          <w:p>
            <w:pPr>
              <w:pStyle w:val="24"/>
              <w:jc w:val="center"/>
              <w:rPr>
                <w:rFonts w:ascii="Times New Roman" w:hAnsi="Times New Roman" w:eastAsia="MingLiU_HKSCS"/>
                <w:color w:val="auto"/>
                <w:sz w:val="24"/>
                <w:szCs w:val="24"/>
              </w:rPr>
            </w:pPr>
          </w:p>
        </w:tc>
      </w:tr>
    </w:tbl>
    <w:p>
      <w:pPr>
        <w:pStyle w:val="147"/>
        <w:spacing w:line="500" w:lineRule="exact"/>
        <w:ind w:firstLine="484" w:firstLineChars="200"/>
        <w:rPr>
          <w:rFonts w:ascii="宋体" w:hAnsi="宋体"/>
          <w:b/>
          <w:bCs/>
          <w:color w:val="auto"/>
          <w:szCs w:val="24"/>
        </w:rPr>
      </w:pPr>
      <w:r>
        <w:rPr>
          <w:rFonts w:hint="eastAsia" w:ascii="宋体" w:hAnsi="宋体"/>
          <w:b/>
          <w:bCs/>
          <w:color w:val="auto"/>
          <w:szCs w:val="24"/>
        </w:rPr>
        <w:t>注：1、请将本开标一览表单独密封一份</w:t>
      </w:r>
    </w:p>
    <w:p>
      <w:pPr>
        <w:pStyle w:val="147"/>
        <w:spacing w:line="500" w:lineRule="exact"/>
        <w:ind w:firstLine="968" w:firstLineChars="400"/>
        <w:rPr>
          <w:rFonts w:ascii="宋体" w:hAnsi="宋体"/>
          <w:b/>
          <w:bCs/>
          <w:color w:val="auto"/>
          <w:szCs w:val="24"/>
        </w:rPr>
      </w:pPr>
      <w:r>
        <w:rPr>
          <w:rFonts w:hint="eastAsia" w:ascii="宋体" w:hAnsi="宋体"/>
          <w:b/>
          <w:bCs/>
          <w:color w:val="auto"/>
          <w:szCs w:val="24"/>
        </w:rPr>
        <w:t>2、以上条款请参考投标须知</w:t>
      </w:r>
    </w:p>
    <w:p>
      <w:pPr>
        <w:pStyle w:val="147"/>
        <w:spacing w:line="500" w:lineRule="exact"/>
        <w:ind w:firstLine="484" w:firstLineChars="200"/>
        <w:rPr>
          <w:rFonts w:ascii="宋体" w:hAnsi="宋体"/>
          <w:b/>
          <w:bCs/>
          <w:color w:val="auto"/>
          <w:szCs w:val="24"/>
        </w:rPr>
      </w:pPr>
    </w:p>
    <w:p>
      <w:pPr>
        <w:pStyle w:val="147"/>
        <w:spacing w:line="500" w:lineRule="exact"/>
        <w:ind w:firstLine="484" w:firstLineChars="200"/>
        <w:rPr>
          <w:rFonts w:ascii="宋体" w:hAnsi="宋体"/>
          <w:b/>
          <w:bCs/>
          <w:color w:val="auto"/>
          <w:szCs w:val="24"/>
        </w:rPr>
      </w:pPr>
    </w:p>
    <w:p>
      <w:pPr>
        <w:pStyle w:val="147"/>
        <w:spacing w:line="500" w:lineRule="exact"/>
        <w:ind w:firstLine="484" w:firstLineChars="200"/>
        <w:rPr>
          <w:rFonts w:ascii="宋体" w:hAnsi="宋体"/>
          <w:b/>
          <w:bCs/>
          <w:color w:val="auto"/>
          <w:szCs w:val="24"/>
        </w:rPr>
      </w:pPr>
    </w:p>
    <w:p>
      <w:pPr>
        <w:pStyle w:val="147"/>
        <w:spacing w:line="500" w:lineRule="exact"/>
        <w:ind w:firstLine="484" w:firstLineChars="200"/>
        <w:rPr>
          <w:rFonts w:ascii="宋体" w:hAnsi="宋体"/>
          <w:b/>
          <w:bCs/>
          <w:color w:val="auto"/>
          <w:szCs w:val="24"/>
        </w:rPr>
      </w:pPr>
      <w:r>
        <w:rPr>
          <w:rFonts w:hint="eastAsia" w:ascii="宋体" w:hAnsi="宋体"/>
          <w:b/>
          <w:bCs/>
          <w:color w:val="auto"/>
          <w:szCs w:val="24"/>
        </w:rPr>
        <w:t xml:space="preserve"> </w:t>
      </w:r>
    </w:p>
    <w:p>
      <w:pPr>
        <w:adjustRightInd w:val="0"/>
        <w:snapToGrid w:val="0"/>
        <w:spacing w:line="360" w:lineRule="auto"/>
        <w:ind w:firstLine="484" w:firstLineChars="200"/>
        <w:rPr>
          <w:rFonts w:ascii="宋体" w:hAnsi="宋体"/>
          <w:color w:val="auto"/>
          <w:sz w:val="24"/>
          <w:szCs w:val="21"/>
        </w:rPr>
      </w:pPr>
      <w:r>
        <w:rPr>
          <w:rFonts w:hint="eastAsia" w:ascii="宋体" w:hAnsi="宋体"/>
          <w:color w:val="auto"/>
          <w:sz w:val="24"/>
          <w:szCs w:val="21"/>
        </w:rPr>
        <w:t>投标人（盖单位章）：</w:t>
      </w:r>
    </w:p>
    <w:p>
      <w:pPr>
        <w:adjustRightInd w:val="0"/>
        <w:snapToGrid w:val="0"/>
        <w:spacing w:line="360" w:lineRule="auto"/>
        <w:ind w:left="483" w:leftChars="228" w:firstLine="9438" w:firstLineChars="3900"/>
        <w:rPr>
          <w:rFonts w:ascii="宋体" w:hAnsi="宋体"/>
          <w:color w:val="auto"/>
          <w:sz w:val="24"/>
          <w:szCs w:val="21"/>
        </w:rPr>
      </w:pPr>
      <w:r>
        <w:rPr>
          <w:rFonts w:hint="eastAsia" w:ascii="宋体" w:hAnsi="宋体"/>
          <w:color w:val="auto"/>
          <w:sz w:val="24"/>
          <w:szCs w:val="21"/>
        </w:rPr>
        <w:t xml:space="preserve"> 法定代表人或其委托代理人签字：</w:t>
      </w:r>
      <w:r>
        <w:rPr>
          <w:rFonts w:hint="eastAsia" w:ascii="宋体" w:hAnsi="宋体"/>
          <w:color w:val="auto"/>
          <w:sz w:val="24"/>
          <w:szCs w:val="21"/>
          <w:u w:val="single"/>
        </w:rPr>
        <w:t xml:space="preserve">       </w:t>
      </w:r>
    </w:p>
    <w:p>
      <w:pPr>
        <w:adjustRightInd w:val="0"/>
        <w:snapToGrid w:val="0"/>
        <w:spacing w:line="360" w:lineRule="auto"/>
        <w:ind w:left="483" w:leftChars="228" w:right="24" w:firstLine="9438" w:firstLineChars="3900"/>
        <w:rPr>
          <w:rFonts w:ascii="宋体" w:hAnsi="宋体"/>
          <w:bCs/>
          <w:color w:val="auto"/>
          <w:sz w:val="36"/>
          <w:szCs w:val="28"/>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pStyle w:val="147"/>
        <w:spacing w:line="500" w:lineRule="exact"/>
        <w:ind w:firstLine="484" w:firstLineChars="200"/>
        <w:rPr>
          <w:rFonts w:ascii="宋体" w:hAnsi="宋体"/>
          <w:b/>
          <w:bCs/>
          <w:color w:val="auto"/>
          <w:szCs w:val="24"/>
        </w:rPr>
      </w:pPr>
    </w:p>
    <w:p>
      <w:pPr>
        <w:pStyle w:val="147"/>
        <w:spacing w:line="500" w:lineRule="exact"/>
        <w:ind w:firstLine="484" w:firstLineChars="200"/>
        <w:rPr>
          <w:rFonts w:ascii="宋体" w:hAnsi="宋体"/>
          <w:b/>
          <w:bCs/>
          <w:color w:val="auto"/>
          <w:szCs w:val="24"/>
        </w:rPr>
      </w:pPr>
    </w:p>
    <w:p>
      <w:pPr>
        <w:pStyle w:val="147"/>
        <w:spacing w:line="500" w:lineRule="exact"/>
        <w:ind w:firstLine="484" w:firstLineChars="200"/>
        <w:rPr>
          <w:rFonts w:ascii="宋体" w:hAnsi="宋体"/>
          <w:b/>
          <w:bCs/>
          <w:color w:val="auto"/>
          <w:szCs w:val="24"/>
        </w:rPr>
      </w:pPr>
    </w:p>
    <w:p>
      <w:pPr>
        <w:pStyle w:val="147"/>
        <w:spacing w:line="500" w:lineRule="exact"/>
        <w:ind w:firstLine="484" w:firstLineChars="200"/>
        <w:rPr>
          <w:rFonts w:ascii="宋体" w:hAnsi="宋体"/>
          <w:b/>
          <w:bCs/>
          <w:color w:val="auto"/>
          <w:szCs w:val="24"/>
        </w:rPr>
      </w:pPr>
    </w:p>
    <w:p>
      <w:pPr>
        <w:pStyle w:val="147"/>
        <w:spacing w:line="500" w:lineRule="exact"/>
        <w:rPr>
          <w:rFonts w:ascii="宋体" w:hAnsi="宋体"/>
          <w:b/>
          <w:bCs/>
          <w:color w:val="auto"/>
          <w:szCs w:val="24"/>
        </w:rPr>
      </w:pPr>
    </w:p>
    <w:p>
      <w:pPr>
        <w:spacing w:line="500" w:lineRule="exact"/>
        <w:jc w:val="center"/>
        <w:rPr>
          <w:rFonts w:ascii="宋体" w:hAnsi="宋体"/>
          <w:b/>
          <w:bCs/>
          <w:color w:val="auto"/>
          <w:sz w:val="24"/>
          <w:szCs w:val="24"/>
        </w:rPr>
      </w:pPr>
      <w:r>
        <w:rPr>
          <w:rFonts w:hint="eastAsia" w:ascii="宋体" w:hAnsi="宋体"/>
          <w:b/>
          <w:bCs/>
          <w:color w:val="auto"/>
          <w:sz w:val="24"/>
          <w:szCs w:val="24"/>
        </w:rPr>
        <w:t>三、投标分项报价明细表</w:t>
      </w:r>
    </w:p>
    <w:p>
      <w:pPr>
        <w:pStyle w:val="24"/>
        <w:ind w:firstLine="424" w:firstLineChars="200"/>
        <w:jc w:val="center"/>
        <w:rPr>
          <w:rFonts w:ascii="Times New Roman" w:hAnsi="Times New Roman"/>
          <w:color w:val="auto"/>
        </w:rPr>
      </w:pPr>
    </w:p>
    <w:p>
      <w:pPr>
        <w:pStyle w:val="24"/>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　项目名称：</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项目编号：　</w:t>
      </w:r>
    </w:p>
    <w:p>
      <w:pPr>
        <w:pStyle w:val="24"/>
        <w:ind w:firstLine="484" w:firstLineChars="200"/>
        <w:rPr>
          <w:rFonts w:ascii="Times New Roman" w:hAnsi="Times New Roman"/>
          <w:color w:val="auto"/>
          <w:sz w:val="24"/>
          <w:szCs w:val="24"/>
        </w:rPr>
      </w:pPr>
      <w:r>
        <w:rPr>
          <w:rFonts w:hint="eastAsia" w:ascii="Times New Roman" w:hAnsi="Times New Roman"/>
          <w:color w:val="auto"/>
          <w:sz w:val="24"/>
          <w:szCs w:val="24"/>
        </w:rPr>
        <w:t>　包号：</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金额单位：元</w:t>
      </w:r>
    </w:p>
    <w:tbl>
      <w:tblPr>
        <w:tblStyle w:val="42"/>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62"/>
        <w:gridCol w:w="861"/>
        <w:gridCol w:w="862"/>
        <w:gridCol w:w="862"/>
        <w:gridCol w:w="195"/>
        <w:gridCol w:w="666"/>
        <w:gridCol w:w="326"/>
        <w:gridCol w:w="536"/>
        <w:gridCol w:w="861"/>
        <w:gridCol w:w="862"/>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序号</w:t>
            </w:r>
          </w:p>
        </w:tc>
        <w:tc>
          <w:tcPr>
            <w:tcW w:w="862"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货物</w:t>
            </w:r>
          </w:p>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名称</w:t>
            </w:r>
          </w:p>
        </w:tc>
        <w:tc>
          <w:tcPr>
            <w:tcW w:w="861"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品牌</w:t>
            </w:r>
          </w:p>
        </w:tc>
        <w:tc>
          <w:tcPr>
            <w:tcW w:w="862"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生产</w:t>
            </w:r>
          </w:p>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厂家</w:t>
            </w:r>
          </w:p>
        </w:tc>
        <w:tc>
          <w:tcPr>
            <w:tcW w:w="862"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规格</w:t>
            </w:r>
          </w:p>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型号</w:t>
            </w:r>
          </w:p>
        </w:tc>
        <w:tc>
          <w:tcPr>
            <w:tcW w:w="861" w:type="dxa"/>
            <w:gridSpan w:val="2"/>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单价</w:t>
            </w:r>
          </w:p>
        </w:tc>
        <w:tc>
          <w:tcPr>
            <w:tcW w:w="862" w:type="dxa"/>
            <w:gridSpan w:val="2"/>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数量</w:t>
            </w:r>
          </w:p>
        </w:tc>
        <w:tc>
          <w:tcPr>
            <w:tcW w:w="861"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合计</w:t>
            </w:r>
          </w:p>
        </w:tc>
        <w:tc>
          <w:tcPr>
            <w:tcW w:w="862"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中小</w:t>
            </w:r>
          </w:p>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企业</w:t>
            </w:r>
          </w:p>
        </w:tc>
        <w:tc>
          <w:tcPr>
            <w:tcW w:w="1154" w:type="dxa"/>
            <w:vAlign w:val="center"/>
          </w:tcPr>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政策功能类型及编号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24"/>
              <w:jc w:val="center"/>
              <w:rPr>
                <w:rFonts w:ascii="Times New Roman" w:hAnsi="Times New Roman"/>
                <w:color w:val="auto"/>
                <w:sz w:val="24"/>
                <w:szCs w:val="24"/>
              </w:rPr>
            </w:pPr>
            <w:r>
              <w:rPr>
                <w:rFonts w:ascii="Times New Roman" w:hAnsi="Times New Roman"/>
                <w:color w:val="auto"/>
                <w:sz w:val="24"/>
                <w:szCs w:val="24"/>
              </w:rPr>
              <w:t>1</w:t>
            </w:r>
          </w:p>
        </w:tc>
        <w:tc>
          <w:tcPr>
            <w:tcW w:w="862" w:type="dxa"/>
            <w:vAlign w:val="center"/>
          </w:tcPr>
          <w:p>
            <w:pPr>
              <w:pStyle w:val="24"/>
              <w:jc w:val="center"/>
              <w:rPr>
                <w:rFonts w:ascii="Times New Roman" w:hAnsi="Times New Roman"/>
                <w:color w:val="auto"/>
                <w:sz w:val="24"/>
                <w:szCs w:val="24"/>
              </w:rPr>
            </w:pPr>
          </w:p>
        </w:tc>
        <w:tc>
          <w:tcPr>
            <w:tcW w:w="861"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861" w:type="dxa"/>
            <w:gridSpan w:val="2"/>
            <w:vAlign w:val="center"/>
          </w:tcPr>
          <w:p>
            <w:pPr>
              <w:pStyle w:val="24"/>
              <w:jc w:val="center"/>
              <w:rPr>
                <w:rFonts w:ascii="Times New Roman" w:hAnsi="Times New Roman"/>
                <w:color w:val="auto"/>
                <w:sz w:val="24"/>
                <w:szCs w:val="24"/>
              </w:rPr>
            </w:pPr>
          </w:p>
        </w:tc>
        <w:tc>
          <w:tcPr>
            <w:tcW w:w="862" w:type="dxa"/>
            <w:gridSpan w:val="2"/>
            <w:vAlign w:val="center"/>
          </w:tcPr>
          <w:p>
            <w:pPr>
              <w:pStyle w:val="24"/>
              <w:jc w:val="center"/>
              <w:rPr>
                <w:rFonts w:ascii="Times New Roman" w:hAnsi="Times New Roman"/>
                <w:color w:val="auto"/>
                <w:sz w:val="24"/>
                <w:szCs w:val="24"/>
              </w:rPr>
            </w:pPr>
          </w:p>
        </w:tc>
        <w:tc>
          <w:tcPr>
            <w:tcW w:w="861"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1154" w:type="dxa"/>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24"/>
              <w:jc w:val="center"/>
              <w:rPr>
                <w:rFonts w:ascii="Times New Roman" w:hAnsi="Times New Roman"/>
                <w:color w:val="auto"/>
                <w:sz w:val="24"/>
                <w:szCs w:val="24"/>
              </w:rPr>
            </w:pPr>
            <w:r>
              <w:rPr>
                <w:rFonts w:ascii="Times New Roman" w:hAnsi="Times New Roman"/>
                <w:color w:val="auto"/>
                <w:sz w:val="24"/>
                <w:szCs w:val="24"/>
              </w:rPr>
              <w:t>2</w:t>
            </w:r>
          </w:p>
        </w:tc>
        <w:tc>
          <w:tcPr>
            <w:tcW w:w="862" w:type="dxa"/>
            <w:vAlign w:val="center"/>
          </w:tcPr>
          <w:p>
            <w:pPr>
              <w:pStyle w:val="24"/>
              <w:jc w:val="center"/>
              <w:rPr>
                <w:rFonts w:ascii="Times New Roman" w:hAnsi="Times New Roman"/>
                <w:color w:val="auto"/>
                <w:sz w:val="24"/>
                <w:szCs w:val="24"/>
              </w:rPr>
            </w:pPr>
          </w:p>
        </w:tc>
        <w:tc>
          <w:tcPr>
            <w:tcW w:w="861"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861" w:type="dxa"/>
            <w:gridSpan w:val="2"/>
            <w:vAlign w:val="center"/>
          </w:tcPr>
          <w:p>
            <w:pPr>
              <w:pStyle w:val="24"/>
              <w:jc w:val="center"/>
              <w:rPr>
                <w:rFonts w:ascii="Times New Roman" w:hAnsi="Times New Roman"/>
                <w:color w:val="auto"/>
                <w:sz w:val="24"/>
                <w:szCs w:val="24"/>
              </w:rPr>
            </w:pPr>
          </w:p>
        </w:tc>
        <w:tc>
          <w:tcPr>
            <w:tcW w:w="862" w:type="dxa"/>
            <w:gridSpan w:val="2"/>
            <w:vAlign w:val="center"/>
          </w:tcPr>
          <w:p>
            <w:pPr>
              <w:pStyle w:val="24"/>
              <w:jc w:val="center"/>
              <w:rPr>
                <w:rFonts w:ascii="Times New Roman" w:hAnsi="Times New Roman"/>
                <w:color w:val="auto"/>
                <w:sz w:val="24"/>
                <w:szCs w:val="24"/>
              </w:rPr>
            </w:pPr>
          </w:p>
        </w:tc>
        <w:tc>
          <w:tcPr>
            <w:tcW w:w="861"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1154" w:type="dxa"/>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24"/>
              <w:jc w:val="center"/>
              <w:rPr>
                <w:rFonts w:ascii="Times New Roman" w:hAnsi="Times New Roman"/>
                <w:color w:val="auto"/>
                <w:sz w:val="24"/>
                <w:szCs w:val="24"/>
              </w:rPr>
            </w:pPr>
            <w:r>
              <w:rPr>
                <w:rFonts w:ascii="Times New Roman" w:hAnsi="Times New Roman"/>
                <w:color w:val="auto"/>
                <w:sz w:val="24"/>
                <w:szCs w:val="24"/>
              </w:rPr>
              <w:t>3</w:t>
            </w:r>
          </w:p>
        </w:tc>
        <w:tc>
          <w:tcPr>
            <w:tcW w:w="862" w:type="dxa"/>
            <w:vAlign w:val="center"/>
          </w:tcPr>
          <w:p>
            <w:pPr>
              <w:pStyle w:val="24"/>
              <w:jc w:val="center"/>
              <w:rPr>
                <w:rFonts w:ascii="Times New Roman" w:hAnsi="Times New Roman"/>
                <w:color w:val="auto"/>
                <w:sz w:val="24"/>
                <w:szCs w:val="24"/>
              </w:rPr>
            </w:pPr>
          </w:p>
        </w:tc>
        <w:tc>
          <w:tcPr>
            <w:tcW w:w="861"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861" w:type="dxa"/>
            <w:gridSpan w:val="2"/>
            <w:vAlign w:val="center"/>
          </w:tcPr>
          <w:p>
            <w:pPr>
              <w:pStyle w:val="24"/>
              <w:jc w:val="center"/>
              <w:rPr>
                <w:rFonts w:ascii="Times New Roman" w:hAnsi="Times New Roman"/>
                <w:color w:val="auto"/>
                <w:sz w:val="24"/>
                <w:szCs w:val="24"/>
              </w:rPr>
            </w:pPr>
          </w:p>
        </w:tc>
        <w:tc>
          <w:tcPr>
            <w:tcW w:w="862" w:type="dxa"/>
            <w:gridSpan w:val="2"/>
            <w:vAlign w:val="center"/>
          </w:tcPr>
          <w:p>
            <w:pPr>
              <w:pStyle w:val="24"/>
              <w:jc w:val="center"/>
              <w:rPr>
                <w:rFonts w:ascii="Times New Roman" w:hAnsi="Times New Roman"/>
                <w:color w:val="auto"/>
                <w:sz w:val="24"/>
                <w:szCs w:val="24"/>
              </w:rPr>
            </w:pPr>
          </w:p>
        </w:tc>
        <w:tc>
          <w:tcPr>
            <w:tcW w:w="861"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1154" w:type="dxa"/>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24"/>
              <w:jc w:val="center"/>
              <w:rPr>
                <w:rFonts w:ascii="Times New Roman" w:hAnsi="Times New Roman"/>
                <w:color w:val="auto"/>
                <w:sz w:val="24"/>
                <w:szCs w:val="24"/>
              </w:rPr>
            </w:pPr>
            <w:r>
              <w:rPr>
                <w:rFonts w:hint="eastAsia" w:ascii="MS Mincho" w:hAnsi="MS Mincho" w:eastAsia="MS Mincho" w:cs="MS Mincho"/>
                <w:color w:val="auto"/>
                <w:sz w:val="24"/>
                <w:szCs w:val="24"/>
              </w:rPr>
              <w:t>⋮</w:t>
            </w:r>
          </w:p>
        </w:tc>
        <w:tc>
          <w:tcPr>
            <w:tcW w:w="862" w:type="dxa"/>
            <w:vAlign w:val="center"/>
          </w:tcPr>
          <w:p>
            <w:pPr>
              <w:pStyle w:val="24"/>
              <w:jc w:val="center"/>
              <w:rPr>
                <w:rFonts w:ascii="Times New Roman" w:hAnsi="Times New Roman"/>
                <w:color w:val="auto"/>
                <w:sz w:val="24"/>
                <w:szCs w:val="24"/>
              </w:rPr>
            </w:pPr>
          </w:p>
        </w:tc>
        <w:tc>
          <w:tcPr>
            <w:tcW w:w="861"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861" w:type="dxa"/>
            <w:gridSpan w:val="2"/>
            <w:vAlign w:val="center"/>
          </w:tcPr>
          <w:p>
            <w:pPr>
              <w:pStyle w:val="24"/>
              <w:jc w:val="center"/>
              <w:rPr>
                <w:rFonts w:ascii="Times New Roman" w:hAnsi="Times New Roman"/>
                <w:color w:val="auto"/>
                <w:sz w:val="24"/>
                <w:szCs w:val="24"/>
              </w:rPr>
            </w:pPr>
          </w:p>
        </w:tc>
        <w:tc>
          <w:tcPr>
            <w:tcW w:w="862" w:type="dxa"/>
            <w:gridSpan w:val="2"/>
            <w:vAlign w:val="center"/>
          </w:tcPr>
          <w:p>
            <w:pPr>
              <w:pStyle w:val="24"/>
              <w:jc w:val="center"/>
              <w:rPr>
                <w:rFonts w:ascii="Times New Roman" w:hAnsi="Times New Roman"/>
                <w:color w:val="auto"/>
                <w:sz w:val="24"/>
                <w:szCs w:val="24"/>
              </w:rPr>
            </w:pPr>
          </w:p>
        </w:tc>
        <w:tc>
          <w:tcPr>
            <w:tcW w:w="861"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1154" w:type="dxa"/>
            <w:vAlign w:val="center"/>
          </w:tcPr>
          <w:p>
            <w:pPr>
              <w:pStyle w:val="24"/>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gridSpan w:val="2"/>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备品备件</w:t>
            </w:r>
            <w:r>
              <w:rPr>
                <w:rFonts w:ascii="Times New Roman" w:hAnsi="Times New Roman"/>
                <w:color w:val="auto"/>
                <w:sz w:val="24"/>
                <w:szCs w:val="24"/>
              </w:rPr>
              <w:t>(</w:t>
            </w:r>
            <w:r>
              <w:rPr>
                <w:rFonts w:hint="eastAsia" w:ascii="Times New Roman" w:hAnsi="Times New Roman"/>
                <w:color w:val="auto"/>
                <w:sz w:val="24"/>
                <w:szCs w:val="24"/>
              </w:rPr>
              <w:t>包括专用工具等</w:t>
            </w:r>
            <w:r>
              <w:rPr>
                <w:rFonts w:ascii="Times New Roman" w:hAnsi="Times New Roman"/>
                <w:color w:val="auto"/>
                <w:sz w:val="24"/>
                <w:szCs w:val="24"/>
              </w:rPr>
              <w:t>)</w:t>
            </w:r>
          </w:p>
        </w:tc>
        <w:tc>
          <w:tcPr>
            <w:tcW w:w="861"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861" w:type="dxa"/>
            <w:gridSpan w:val="2"/>
            <w:vAlign w:val="center"/>
          </w:tcPr>
          <w:p>
            <w:pPr>
              <w:pStyle w:val="24"/>
              <w:jc w:val="center"/>
              <w:rPr>
                <w:rFonts w:ascii="Times New Roman" w:hAnsi="Times New Roman"/>
                <w:color w:val="auto"/>
                <w:sz w:val="24"/>
                <w:szCs w:val="24"/>
              </w:rPr>
            </w:pPr>
          </w:p>
        </w:tc>
        <w:tc>
          <w:tcPr>
            <w:tcW w:w="862" w:type="dxa"/>
            <w:gridSpan w:val="2"/>
            <w:vAlign w:val="center"/>
          </w:tcPr>
          <w:p>
            <w:pPr>
              <w:pStyle w:val="24"/>
              <w:jc w:val="center"/>
              <w:rPr>
                <w:rFonts w:ascii="Times New Roman" w:hAnsi="Times New Roman"/>
                <w:color w:val="auto"/>
                <w:sz w:val="24"/>
                <w:szCs w:val="24"/>
              </w:rPr>
            </w:pPr>
          </w:p>
        </w:tc>
        <w:tc>
          <w:tcPr>
            <w:tcW w:w="861"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MingLiU_HKSCS" w:hAnsi="MingLiU_HKSCS" w:eastAsia="MingLiU_HKSCS" w:cs="MingLiU_HKSCS"/>
                <w:color w:val="auto"/>
                <w:sz w:val="24"/>
                <w:szCs w:val="24"/>
              </w:rPr>
            </w:pPr>
          </w:p>
        </w:tc>
        <w:tc>
          <w:tcPr>
            <w:tcW w:w="1154" w:type="dxa"/>
            <w:vAlign w:val="center"/>
          </w:tcPr>
          <w:p>
            <w:pPr>
              <w:pStyle w:val="24"/>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gridSpan w:val="2"/>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耗材</w:t>
            </w:r>
          </w:p>
        </w:tc>
        <w:tc>
          <w:tcPr>
            <w:tcW w:w="861"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Times New Roman" w:hAnsi="Times New Roman"/>
                <w:color w:val="auto"/>
                <w:sz w:val="24"/>
                <w:szCs w:val="24"/>
              </w:rPr>
            </w:pPr>
          </w:p>
        </w:tc>
        <w:tc>
          <w:tcPr>
            <w:tcW w:w="861" w:type="dxa"/>
            <w:gridSpan w:val="2"/>
            <w:vAlign w:val="center"/>
          </w:tcPr>
          <w:p>
            <w:pPr>
              <w:pStyle w:val="24"/>
              <w:jc w:val="center"/>
              <w:rPr>
                <w:rFonts w:ascii="Times New Roman" w:hAnsi="Times New Roman"/>
                <w:color w:val="auto"/>
                <w:sz w:val="24"/>
                <w:szCs w:val="24"/>
              </w:rPr>
            </w:pPr>
          </w:p>
        </w:tc>
        <w:tc>
          <w:tcPr>
            <w:tcW w:w="862" w:type="dxa"/>
            <w:gridSpan w:val="2"/>
            <w:vAlign w:val="center"/>
          </w:tcPr>
          <w:p>
            <w:pPr>
              <w:pStyle w:val="24"/>
              <w:jc w:val="center"/>
              <w:rPr>
                <w:rFonts w:ascii="Times New Roman" w:hAnsi="Times New Roman"/>
                <w:color w:val="auto"/>
                <w:sz w:val="24"/>
                <w:szCs w:val="24"/>
              </w:rPr>
            </w:pPr>
          </w:p>
        </w:tc>
        <w:tc>
          <w:tcPr>
            <w:tcW w:w="861" w:type="dxa"/>
            <w:vAlign w:val="center"/>
          </w:tcPr>
          <w:p>
            <w:pPr>
              <w:pStyle w:val="24"/>
              <w:jc w:val="center"/>
              <w:rPr>
                <w:rFonts w:ascii="Times New Roman" w:hAnsi="Times New Roman"/>
                <w:color w:val="auto"/>
                <w:sz w:val="24"/>
                <w:szCs w:val="24"/>
              </w:rPr>
            </w:pPr>
          </w:p>
        </w:tc>
        <w:tc>
          <w:tcPr>
            <w:tcW w:w="862" w:type="dxa"/>
            <w:vAlign w:val="center"/>
          </w:tcPr>
          <w:p>
            <w:pPr>
              <w:pStyle w:val="24"/>
              <w:jc w:val="center"/>
              <w:rPr>
                <w:rFonts w:ascii="MingLiU_HKSCS" w:hAnsi="MingLiU_HKSCS" w:eastAsia="MingLiU_HKSCS" w:cs="MingLiU_HKSCS"/>
                <w:color w:val="auto"/>
                <w:sz w:val="24"/>
                <w:szCs w:val="24"/>
              </w:rPr>
            </w:pPr>
          </w:p>
        </w:tc>
        <w:tc>
          <w:tcPr>
            <w:tcW w:w="1154" w:type="dxa"/>
            <w:vAlign w:val="center"/>
          </w:tcPr>
          <w:p>
            <w:pPr>
              <w:pStyle w:val="24"/>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gridSpan w:val="2"/>
            <w:vAlign w:val="center"/>
          </w:tcPr>
          <w:p>
            <w:pPr>
              <w:pStyle w:val="24"/>
              <w:jc w:val="center"/>
              <w:rPr>
                <w:rFonts w:ascii="MingLiU_HKSCS" w:hAnsi="MingLiU_HKSCS" w:eastAsia="MingLiU_HKSCS" w:cs="MingLiU_HKSCS"/>
                <w:color w:val="auto"/>
                <w:sz w:val="24"/>
                <w:szCs w:val="24"/>
              </w:rPr>
            </w:pPr>
            <w:r>
              <w:rPr>
                <w:rFonts w:hint="eastAsia" w:ascii="Times New Roman" w:hAnsi="Times New Roman"/>
                <w:color w:val="auto"/>
                <w:sz w:val="24"/>
                <w:szCs w:val="24"/>
              </w:rPr>
              <w:t>货物费合计</w:t>
            </w:r>
          </w:p>
        </w:tc>
        <w:tc>
          <w:tcPr>
            <w:tcW w:w="7185" w:type="dxa"/>
            <w:gridSpan w:val="10"/>
            <w:vAlign w:val="center"/>
          </w:tcPr>
          <w:p>
            <w:pPr>
              <w:pStyle w:val="24"/>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vAlign w:val="center"/>
          </w:tcPr>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包装</w:t>
            </w:r>
          </w:p>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运输</w:t>
            </w:r>
          </w:p>
          <w:p>
            <w:pPr>
              <w:pStyle w:val="24"/>
              <w:jc w:val="center"/>
              <w:rPr>
                <w:rFonts w:ascii="MingLiU_HKSCS" w:hAnsi="MingLiU_HKSCS" w:eastAsia="MingLiU_HKSCS" w:cs="MingLiU_HKSCS"/>
                <w:color w:val="auto"/>
                <w:sz w:val="24"/>
                <w:szCs w:val="24"/>
              </w:rPr>
            </w:pPr>
            <w:r>
              <w:rPr>
                <w:rFonts w:hint="eastAsia" w:ascii="Times New Roman" w:hAnsi="Times New Roman"/>
                <w:color w:val="auto"/>
                <w:sz w:val="24"/>
                <w:szCs w:val="24"/>
              </w:rPr>
              <w:t>费</w:t>
            </w:r>
          </w:p>
        </w:tc>
        <w:tc>
          <w:tcPr>
            <w:tcW w:w="1723" w:type="dxa"/>
            <w:gridSpan w:val="2"/>
            <w:vAlign w:val="center"/>
          </w:tcPr>
          <w:p>
            <w:pPr>
              <w:pStyle w:val="24"/>
              <w:jc w:val="center"/>
              <w:rPr>
                <w:rFonts w:ascii="MingLiU_HKSCS" w:hAnsi="MingLiU_HKSCS" w:eastAsia="MingLiU_HKSCS" w:cs="MingLiU_HKSCS"/>
                <w:color w:val="auto"/>
                <w:sz w:val="24"/>
                <w:szCs w:val="24"/>
              </w:rPr>
            </w:pPr>
            <w:r>
              <w:rPr>
                <w:rFonts w:hint="eastAsia" w:ascii="Times New Roman" w:hAnsi="Times New Roman"/>
                <w:color w:val="auto"/>
                <w:sz w:val="24"/>
                <w:szCs w:val="24"/>
              </w:rPr>
              <w:t>包装费</w:t>
            </w:r>
          </w:p>
        </w:tc>
        <w:tc>
          <w:tcPr>
            <w:tcW w:w="1919" w:type="dxa"/>
            <w:gridSpan w:val="3"/>
            <w:vAlign w:val="center"/>
          </w:tcPr>
          <w:p>
            <w:pPr>
              <w:pStyle w:val="24"/>
              <w:jc w:val="center"/>
              <w:rPr>
                <w:rFonts w:ascii="MingLiU_HKSCS" w:hAnsi="MingLiU_HKSCS" w:eastAsia="MingLiU_HKSCS" w:cs="MingLiU_HKSCS"/>
                <w:color w:val="auto"/>
                <w:sz w:val="24"/>
                <w:szCs w:val="24"/>
              </w:rPr>
            </w:pPr>
          </w:p>
        </w:tc>
        <w:tc>
          <w:tcPr>
            <w:tcW w:w="992" w:type="dxa"/>
            <w:gridSpan w:val="2"/>
            <w:vMerge w:val="restart"/>
            <w:vAlign w:val="center"/>
          </w:tcPr>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安装</w:t>
            </w:r>
          </w:p>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调试费</w:t>
            </w:r>
          </w:p>
        </w:tc>
        <w:tc>
          <w:tcPr>
            <w:tcW w:w="1397" w:type="dxa"/>
            <w:gridSpan w:val="2"/>
            <w:vAlign w:val="center"/>
          </w:tcPr>
          <w:p>
            <w:pPr>
              <w:pStyle w:val="24"/>
              <w:jc w:val="center"/>
              <w:rPr>
                <w:rFonts w:ascii="MingLiU_HKSCS" w:hAnsi="MingLiU_HKSCS" w:eastAsia="MingLiU_HKSCS" w:cs="MingLiU_HKSCS"/>
                <w:color w:val="auto"/>
                <w:sz w:val="24"/>
                <w:szCs w:val="24"/>
              </w:rPr>
            </w:pPr>
            <w:r>
              <w:rPr>
                <w:rFonts w:hint="eastAsia" w:ascii="Times New Roman" w:hAnsi="Times New Roman"/>
                <w:color w:val="auto"/>
                <w:sz w:val="24"/>
                <w:szCs w:val="24"/>
              </w:rPr>
              <w:t>安装费</w:t>
            </w:r>
          </w:p>
        </w:tc>
        <w:tc>
          <w:tcPr>
            <w:tcW w:w="2016" w:type="dxa"/>
            <w:gridSpan w:val="2"/>
            <w:vAlign w:val="center"/>
          </w:tcPr>
          <w:p>
            <w:pPr>
              <w:pStyle w:val="24"/>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4"/>
              <w:jc w:val="center"/>
              <w:rPr>
                <w:rFonts w:ascii="Times New Roman" w:hAnsi="Times New Roman" w:eastAsia="MingLiU_HKSCS"/>
                <w:color w:val="auto"/>
                <w:sz w:val="24"/>
                <w:szCs w:val="24"/>
              </w:rPr>
            </w:pPr>
          </w:p>
        </w:tc>
        <w:tc>
          <w:tcPr>
            <w:tcW w:w="1723" w:type="dxa"/>
            <w:gridSpan w:val="2"/>
            <w:vAlign w:val="center"/>
          </w:tcPr>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运输费</w:t>
            </w:r>
          </w:p>
        </w:tc>
        <w:tc>
          <w:tcPr>
            <w:tcW w:w="1919" w:type="dxa"/>
            <w:gridSpan w:val="3"/>
            <w:vAlign w:val="center"/>
          </w:tcPr>
          <w:p>
            <w:pPr>
              <w:pStyle w:val="24"/>
              <w:jc w:val="center"/>
              <w:rPr>
                <w:rFonts w:ascii="Times New Roman" w:hAnsi="Times New Roman" w:eastAsia="MingLiU_HKSCS"/>
                <w:color w:val="auto"/>
                <w:sz w:val="24"/>
                <w:szCs w:val="24"/>
              </w:rPr>
            </w:pPr>
          </w:p>
        </w:tc>
        <w:tc>
          <w:tcPr>
            <w:tcW w:w="992" w:type="dxa"/>
            <w:gridSpan w:val="2"/>
            <w:vMerge w:val="continue"/>
            <w:vAlign w:val="center"/>
          </w:tcPr>
          <w:p>
            <w:pPr>
              <w:pStyle w:val="24"/>
              <w:jc w:val="center"/>
              <w:rPr>
                <w:rFonts w:ascii="Times New Roman" w:hAnsi="Times New Roman"/>
                <w:color w:val="auto"/>
                <w:sz w:val="24"/>
                <w:szCs w:val="24"/>
              </w:rPr>
            </w:pPr>
          </w:p>
        </w:tc>
        <w:tc>
          <w:tcPr>
            <w:tcW w:w="1397" w:type="dxa"/>
            <w:gridSpan w:val="2"/>
            <w:vAlign w:val="center"/>
          </w:tcPr>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调试费</w:t>
            </w:r>
          </w:p>
        </w:tc>
        <w:tc>
          <w:tcPr>
            <w:tcW w:w="2016" w:type="dxa"/>
            <w:gridSpan w:val="2"/>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4"/>
              <w:jc w:val="center"/>
              <w:rPr>
                <w:rFonts w:ascii="Times New Roman" w:hAnsi="Times New Roman" w:eastAsia="MingLiU_HKSCS"/>
                <w:color w:val="auto"/>
                <w:sz w:val="24"/>
                <w:szCs w:val="24"/>
              </w:rPr>
            </w:pPr>
          </w:p>
        </w:tc>
        <w:tc>
          <w:tcPr>
            <w:tcW w:w="1723" w:type="dxa"/>
            <w:gridSpan w:val="2"/>
            <w:vAlign w:val="center"/>
          </w:tcPr>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装卸费</w:t>
            </w:r>
          </w:p>
        </w:tc>
        <w:tc>
          <w:tcPr>
            <w:tcW w:w="1919" w:type="dxa"/>
            <w:gridSpan w:val="3"/>
            <w:vAlign w:val="center"/>
          </w:tcPr>
          <w:p>
            <w:pPr>
              <w:pStyle w:val="24"/>
              <w:jc w:val="center"/>
              <w:rPr>
                <w:rFonts w:ascii="Times New Roman" w:hAnsi="Times New Roman" w:eastAsia="MingLiU_HKSCS"/>
                <w:color w:val="auto"/>
                <w:sz w:val="24"/>
                <w:szCs w:val="24"/>
              </w:rPr>
            </w:pPr>
          </w:p>
        </w:tc>
        <w:tc>
          <w:tcPr>
            <w:tcW w:w="992" w:type="dxa"/>
            <w:gridSpan w:val="2"/>
            <w:vMerge w:val="continue"/>
            <w:vAlign w:val="center"/>
          </w:tcPr>
          <w:p>
            <w:pPr>
              <w:pStyle w:val="24"/>
              <w:jc w:val="center"/>
              <w:rPr>
                <w:rFonts w:ascii="Times New Roman" w:hAnsi="Times New Roman" w:eastAsia="MingLiU_HKSCS"/>
                <w:color w:val="auto"/>
                <w:sz w:val="24"/>
                <w:szCs w:val="24"/>
              </w:rPr>
            </w:pPr>
          </w:p>
        </w:tc>
        <w:tc>
          <w:tcPr>
            <w:tcW w:w="1397" w:type="dxa"/>
            <w:gridSpan w:val="2"/>
            <w:vAlign w:val="center"/>
          </w:tcPr>
          <w:p>
            <w:pPr>
              <w:pStyle w:val="24"/>
              <w:jc w:val="center"/>
              <w:rPr>
                <w:rFonts w:ascii="Times New Roman" w:hAnsi="Times New Roman" w:eastAsia="MingLiU_HKSCS"/>
                <w:color w:val="auto"/>
                <w:sz w:val="24"/>
                <w:szCs w:val="24"/>
              </w:rPr>
            </w:pPr>
            <w:r>
              <w:rPr>
                <w:rFonts w:hint="eastAsia"/>
                <w:color w:val="auto"/>
                <w:sz w:val="24"/>
                <w:szCs w:val="24"/>
              </w:rPr>
              <w:t>…</w:t>
            </w:r>
          </w:p>
        </w:tc>
        <w:tc>
          <w:tcPr>
            <w:tcW w:w="2016" w:type="dxa"/>
            <w:gridSpan w:val="2"/>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4"/>
              <w:jc w:val="center"/>
              <w:rPr>
                <w:rFonts w:ascii="Times New Roman" w:hAnsi="Times New Roman"/>
                <w:color w:val="auto"/>
                <w:sz w:val="24"/>
                <w:szCs w:val="24"/>
              </w:rPr>
            </w:pPr>
          </w:p>
        </w:tc>
        <w:tc>
          <w:tcPr>
            <w:tcW w:w="1723" w:type="dxa"/>
            <w:gridSpan w:val="2"/>
            <w:vAlign w:val="center"/>
          </w:tcPr>
          <w:p>
            <w:pPr>
              <w:pStyle w:val="24"/>
              <w:jc w:val="center"/>
              <w:rPr>
                <w:rFonts w:ascii="MingLiU_HKSCS" w:hAnsi="MingLiU_HKSCS" w:eastAsia="MingLiU_HKSCS" w:cs="MingLiU_HKSCS"/>
                <w:color w:val="auto"/>
                <w:sz w:val="24"/>
                <w:szCs w:val="24"/>
              </w:rPr>
            </w:pPr>
            <w:r>
              <w:rPr>
                <w:rFonts w:hint="eastAsia" w:ascii="Times New Roman" w:hAnsi="Times New Roman"/>
                <w:color w:val="auto"/>
                <w:sz w:val="24"/>
                <w:szCs w:val="24"/>
              </w:rPr>
              <w:t>保险费</w:t>
            </w:r>
          </w:p>
        </w:tc>
        <w:tc>
          <w:tcPr>
            <w:tcW w:w="1919" w:type="dxa"/>
            <w:gridSpan w:val="3"/>
            <w:vAlign w:val="center"/>
          </w:tcPr>
          <w:p>
            <w:pPr>
              <w:pStyle w:val="24"/>
              <w:jc w:val="center"/>
              <w:rPr>
                <w:rFonts w:ascii="MingLiU_HKSCS" w:hAnsi="MingLiU_HKSCS" w:eastAsia="MingLiU_HKSCS" w:cs="MingLiU_HKSCS"/>
                <w:color w:val="auto"/>
                <w:sz w:val="24"/>
                <w:szCs w:val="24"/>
              </w:rPr>
            </w:pPr>
          </w:p>
        </w:tc>
        <w:tc>
          <w:tcPr>
            <w:tcW w:w="992" w:type="dxa"/>
            <w:gridSpan w:val="2"/>
            <w:vMerge w:val="continue"/>
            <w:vAlign w:val="center"/>
          </w:tcPr>
          <w:p>
            <w:pPr>
              <w:pStyle w:val="24"/>
              <w:jc w:val="center"/>
              <w:rPr>
                <w:rFonts w:ascii="MingLiU_HKSCS" w:hAnsi="MingLiU_HKSCS" w:eastAsia="MingLiU_HKSCS" w:cs="MingLiU_HKSCS"/>
                <w:color w:val="auto"/>
                <w:sz w:val="24"/>
                <w:szCs w:val="24"/>
              </w:rPr>
            </w:pPr>
          </w:p>
        </w:tc>
        <w:tc>
          <w:tcPr>
            <w:tcW w:w="1397" w:type="dxa"/>
            <w:gridSpan w:val="2"/>
            <w:vAlign w:val="center"/>
          </w:tcPr>
          <w:p>
            <w:pPr>
              <w:pStyle w:val="24"/>
              <w:jc w:val="center"/>
              <w:rPr>
                <w:rFonts w:ascii="MingLiU_HKSCS" w:hAnsi="MingLiU_HKSCS" w:eastAsia="MingLiU_HKSCS" w:cs="MingLiU_HKSCS"/>
                <w:color w:val="auto"/>
                <w:sz w:val="24"/>
                <w:szCs w:val="24"/>
              </w:rPr>
            </w:pPr>
            <w:r>
              <w:rPr>
                <w:rFonts w:hint="eastAsia" w:ascii="Times New Roman" w:hAnsi="Times New Roman"/>
                <w:color w:val="auto"/>
                <w:sz w:val="24"/>
                <w:szCs w:val="24"/>
              </w:rPr>
              <w:t>小计</w:t>
            </w:r>
          </w:p>
        </w:tc>
        <w:tc>
          <w:tcPr>
            <w:tcW w:w="2016" w:type="dxa"/>
            <w:gridSpan w:val="2"/>
            <w:vAlign w:val="center"/>
          </w:tcPr>
          <w:p>
            <w:pPr>
              <w:pStyle w:val="24"/>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4"/>
              <w:jc w:val="center"/>
              <w:rPr>
                <w:rFonts w:ascii="Times New Roman" w:hAnsi="Times New Roman" w:eastAsia="MingLiU_HKSCS"/>
                <w:color w:val="auto"/>
                <w:sz w:val="24"/>
                <w:szCs w:val="24"/>
              </w:rPr>
            </w:pPr>
          </w:p>
        </w:tc>
        <w:tc>
          <w:tcPr>
            <w:tcW w:w="1723" w:type="dxa"/>
            <w:gridSpan w:val="2"/>
            <w:vAlign w:val="center"/>
          </w:tcPr>
          <w:p>
            <w:pPr>
              <w:pStyle w:val="24"/>
              <w:jc w:val="center"/>
              <w:rPr>
                <w:rFonts w:ascii="Times New Roman" w:hAnsi="Times New Roman" w:eastAsia="MingLiU_HKSCS"/>
                <w:color w:val="auto"/>
                <w:sz w:val="24"/>
                <w:szCs w:val="24"/>
              </w:rPr>
            </w:pPr>
            <w:r>
              <w:rPr>
                <w:rFonts w:hint="eastAsia"/>
                <w:color w:val="auto"/>
                <w:sz w:val="24"/>
                <w:szCs w:val="24"/>
              </w:rPr>
              <w:t>…</w:t>
            </w:r>
          </w:p>
        </w:tc>
        <w:tc>
          <w:tcPr>
            <w:tcW w:w="1919" w:type="dxa"/>
            <w:gridSpan w:val="3"/>
            <w:vAlign w:val="center"/>
          </w:tcPr>
          <w:p>
            <w:pPr>
              <w:pStyle w:val="24"/>
              <w:jc w:val="center"/>
              <w:rPr>
                <w:rFonts w:ascii="Times New Roman" w:hAnsi="Times New Roman" w:eastAsia="MingLiU_HKSCS"/>
                <w:color w:val="auto"/>
                <w:sz w:val="24"/>
                <w:szCs w:val="24"/>
              </w:rPr>
            </w:pPr>
          </w:p>
        </w:tc>
        <w:tc>
          <w:tcPr>
            <w:tcW w:w="992" w:type="dxa"/>
            <w:gridSpan w:val="2"/>
            <w:vMerge w:val="restart"/>
            <w:vAlign w:val="center"/>
          </w:tcPr>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售后</w:t>
            </w:r>
          </w:p>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服务费</w:t>
            </w:r>
          </w:p>
        </w:tc>
        <w:tc>
          <w:tcPr>
            <w:tcW w:w="1397" w:type="dxa"/>
            <w:gridSpan w:val="2"/>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培训费</w:t>
            </w:r>
          </w:p>
        </w:tc>
        <w:tc>
          <w:tcPr>
            <w:tcW w:w="2016" w:type="dxa"/>
            <w:gridSpan w:val="2"/>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4"/>
              <w:jc w:val="center"/>
              <w:rPr>
                <w:rFonts w:ascii="Times New Roman" w:hAnsi="Times New Roman" w:eastAsia="MingLiU_HKSCS"/>
                <w:color w:val="auto"/>
                <w:sz w:val="24"/>
                <w:szCs w:val="24"/>
              </w:rPr>
            </w:pPr>
          </w:p>
        </w:tc>
        <w:tc>
          <w:tcPr>
            <w:tcW w:w="1723" w:type="dxa"/>
            <w:gridSpan w:val="2"/>
            <w:vAlign w:val="center"/>
          </w:tcPr>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小计</w:t>
            </w:r>
          </w:p>
        </w:tc>
        <w:tc>
          <w:tcPr>
            <w:tcW w:w="1919" w:type="dxa"/>
            <w:gridSpan w:val="3"/>
            <w:vAlign w:val="center"/>
          </w:tcPr>
          <w:p>
            <w:pPr>
              <w:pStyle w:val="24"/>
              <w:jc w:val="center"/>
              <w:rPr>
                <w:rFonts w:ascii="Times New Roman" w:hAnsi="Times New Roman" w:eastAsia="MingLiU_HKSCS"/>
                <w:color w:val="auto"/>
                <w:sz w:val="24"/>
                <w:szCs w:val="24"/>
              </w:rPr>
            </w:pPr>
          </w:p>
        </w:tc>
        <w:tc>
          <w:tcPr>
            <w:tcW w:w="992" w:type="dxa"/>
            <w:gridSpan w:val="2"/>
            <w:vMerge w:val="continue"/>
            <w:vAlign w:val="center"/>
          </w:tcPr>
          <w:p>
            <w:pPr>
              <w:pStyle w:val="24"/>
              <w:jc w:val="center"/>
              <w:rPr>
                <w:rFonts w:ascii="Times New Roman" w:hAnsi="Times New Roman"/>
                <w:color w:val="auto"/>
                <w:sz w:val="24"/>
                <w:szCs w:val="24"/>
              </w:rPr>
            </w:pPr>
          </w:p>
        </w:tc>
        <w:tc>
          <w:tcPr>
            <w:tcW w:w="1397" w:type="dxa"/>
            <w:gridSpan w:val="2"/>
            <w:vAlign w:val="center"/>
          </w:tcPr>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技术服务费</w:t>
            </w:r>
          </w:p>
        </w:tc>
        <w:tc>
          <w:tcPr>
            <w:tcW w:w="2016" w:type="dxa"/>
            <w:gridSpan w:val="2"/>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vAlign w:val="center"/>
          </w:tcPr>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其他</w:t>
            </w:r>
          </w:p>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费用</w:t>
            </w:r>
          </w:p>
        </w:tc>
        <w:tc>
          <w:tcPr>
            <w:tcW w:w="1723" w:type="dxa"/>
            <w:gridSpan w:val="2"/>
            <w:vAlign w:val="center"/>
          </w:tcPr>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代理费</w:t>
            </w:r>
          </w:p>
        </w:tc>
        <w:tc>
          <w:tcPr>
            <w:tcW w:w="862" w:type="dxa"/>
            <w:vAlign w:val="center"/>
          </w:tcPr>
          <w:p>
            <w:pPr>
              <w:pStyle w:val="24"/>
              <w:jc w:val="center"/>
              <w:rPr>
                <w:rFonts w:ascii="Times New Roman" w:hAnsi="Times New Roman" w:eastAsia="MingLiU_HKSCS"/>
                <w:color w:val="auto"/>
                <w:sz w:val="24"/>
                <w:szCs w:val="24"/>
              </w:rPr>
            </w:pPr>
          </w:p>
        </w:tc>
        <w:tc>
          <w:tcPr>
            <w:tcW w:w="1057" w:type="dxa"/>
            <w:gridSpan w:val="2"/>
            <w:vAlign w:val="center"/>
          </w:tcPr>
          <w:p>
            <w:pPr>
              <w:pStyle w:val="24"/>
              <w:jc w:val="center"/>
              <w:rPr>
                <w:rFonts w:ascii="Times New Roman" w:hAnsi="Times New Roman" w:eastAsia="MingLiU_HKSCS"/>
                <w:color w:val="auto"/>
                <w:sz w:val="24"/>
                <w:szCs w:val="24"/>
              </w:rPr>
            </w:pPr>
          </w:p>
        </w:tc>
        <w:tc>
          <w:tcPr>
            <w:tcW w:w="992" w:type="dxa"/>
            <w:gridSpan w:val="2"/>
            <w:vMerge w:val="continue"/>
            <w:vAlign w:val="center"/>
          </w:tcPr>
          <w:p>
            <w:pPr>
              <w:pStyle w:val="24"/>
              <w:jc w:val="center"/>
              <w:rPr>
                <w:rFonts w:ascii="Times New Roman" w:hAnsi="Times New Roman" w:eastAsia="MingLiU_HKSCS"/>
                <w:color w:val="auto"/>
                <w:sz w:val="24"/>
                <w:szCs w:val="24"/>
              </w:rPr>
            </w:pPr>
          </w:p>
        </w:tc>
        <w:tc>
          <w:tcPr>
            <w:tcW w:w="1397" w:type="dxa"/>
            <w:gridSpan w:val="2"/>
            <w:vAlign w:val="center"/>
          </w:tcPr>
          <w:p>
            <w:pPr>
              <w:pStyle w:val="24"/>
              <w:jc w:val="center"/>
              <w:rPr>
                <w:rFonts w:ascii="Times New Roman" w:hAnsi="Times New Roman" w:eastAsia="MingLiU_HKSCS"/>
                <w:color w:val="auto"/>
                <w:sz w:val="24"/>
                <w:szCs w:val="24"/>
              </w:rPr>
            </w:pPr>
            <w:r>
              <w:rPr>
                <w:rFonts w:hint="eastAsia"/>
                <w:color w:val="auto"/>
                <w:sz w:val="24"/>
                <w:szCs w:val="24"/>
              </w:rPr>
              <w:t>…</w:t>
            </w:r>
          </w:p>
        </w:tc>
        <w:tc>
          <w:tcPr>
            <w:tcW w:w="2016" w:type="dxa"/>
            <w:gridSpan w:val="2"/>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4"/>
              <w:jc w:val="center"/>
              <w:rPr>
                <w:rFonts w:ascii="Times New Roman" w:hAnsi="Times New Roman"/>
                <w:color w:val="auto"/>
                <w:sz w:val="24"/>
                <w:szCs w:val="24"/>
              </w:rPr>
            </w:pPr>
          </w:p>
        </w:tc>
        <w:tc>
          <w:tcPr>
            <w:tcW w:w="1723" w:type="dxa"/>
            <w:gridSpan w:val="2"/>
            <w:vAlign w:val="center"/>
          </w:tcPr>
          <w:p>
            <w:pPr>
              <w:pStyle w:val="24"/>
              <w:jc w:val="center"/>
              <w:rPr>
                <w:rFonts w:ascii="Times New Roman" w:hAnsi="Times New Roman" w:eastAsia="MingLiU_HKSCS"/>
                <w:color w:val="auto"/>
                <w:sz w:val="24"/>
                <w:szCs w:val="24"/>
              </w:rPr>
            </w:pPr>
            <w:r>
              <w:rPr>
                <w:rFonts w:hint="eastAsia"/>
                <w:color w:val="auto"/>
                <w:sz w:val="24"/>
                <w:szCs w:val="24"/>
              </w:rPr>
              <w:t>…</w:t>
            </w:r>
          </w:p>
        </w:tc>
        <w:tc>
          <w:tcPr>
            <w:tcW w:w="862" w:type="dxa"/>
            <w:vAlign w:val="center"/>
          </w:tcPr>
          <w:p>
            <w:pPr>
              <w:pStyle w:val="24"/>
              <w:jc w:val="center"/>
              <w:rPr>
                <w:rFonts w:ascii="Times New Roman" w:hAnsi="Times New Roman" w:eastAsia="MingLiU_HKSCS"/>
                <w:color w:val="auto"/>
                <w:sz w:val="24"/>
                <w:szCs w:val="24"/>
              </w:rPr>
            </w:pPr>
          </w:p>
        </w:tc>
        <w:tc>
          <w:tcPr>
            <w:tcW w:w="1057" w:type="dxa"/>
            <w:gridSpan w:val="2"/>
            <w:vAlign w:val="center"/>
          </w:tcPr>
          <w:p>
            <w:pPr>
              <w:pStyle w:val="24"/>
              <w:jc w:val="center"/>
              <w:rPr>
                <w:rFonts w:ascii="Times New Roman" w:hAnsi="Times New Roman" w:eastAsia="MingLiU_HKSCS"/>
                <w:color w:val="auto"/>
                <w:sz w:val="24"/>
                <w:szCs w:val="24"/>
              </w:rPr>
            </w:pPr>
          </w:p>
        </w:tc>
        <w:tc>
          <w:tcPr>
            <w:tcW w:w="992" w:type="dxa"/>
            <w:gridSpan w:val="2"/>
            <w:vMerge w:val="continue"/>
            <w:vAlign w:val="center"/>
          </w:tcPr>
          <w:p>
            <w:pPr>
              <w:pStyle w:val="24"/>
              <w:jc w:val="center"/>
              <w:rPr>
                <w:rFonts w:ascii="Times New Roman" w:hAnsi="Times New Roman" w:eastAsia="MingLiU_HKSCS"/>
                <w:color w:val="auto"/>
                <w:sz w:val="24"/>
                <w:szCs w:val="24"/>
              </w:rPr>
            </w:pPr>
          </w:p>
        </w:tc>
        <w:tc>
          <w:tcPr>
            <w:tcW w:w="1397" w:type="dxa"/>
            <w:gridSpan w:val="2"/>
            <w:vAlign w:val="center"/>
          </w:tcPr>
          <w:p>
            <w:pPr>
              <w:pStyle w:val="24"/>
              <w:jc w:val="center"/>
              <w:rPr>
                <w:rFonts w:ascii="Times New Roman" w:hAnsi="Times New Roman" w:eastAsia="MingLiU_HKSCS"/>
                <w:color w:val="auto"/>
                <w:sz w:val="24"/>
                <w:szCs w:val="24"/>
              </w:rPr>
            </w:pPr>
          </w:p>
        </w:tc>
        <w:tc>
          <w:tcPr>
            <w:tcW w:w="2016" w:type="dxa"/>
            <w:gridSpan w:val="2"/>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4"/>
              <w:jc w:val="center"/>
              <w:rPr>
                <w:rFonts w:ascii="Times New Roman" w:hAnsi="Times New Roman" w:eastAsia="MingLiU_HKSCS"/>
                <w:color w:val="auto"/>
                <w:sz w:val="24"/>
                <w:szCs w:val="24"/>
              </w:rPr>
            </w:pPr>
          </w:p>
        </w:tc>
        <w:tc>
          <w:tcPr>
            <w:tcW w:w="1723" w:type="dxa"/>
            <w:gridSpan w:val="2"/>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小计</w:t>
            </w:r>
          </w:p>
        </w:tc>
        <w:tc>
          <w:tcPr>
            <w:tcW w:w="862" w:type="dxa"/>
            <w:vAlign w:val="center"/>
          </w:tcPr>
          <w:p>
            <w:pPr>
              <w:pStyle w:val="24"/>
              <w:jc w:val="center"/>
              <w:rPr>
                <w:rFonts w:ascii="Times New Roman" w:hAnsi="Times New Roman" w:eastAsia="MingLiU_HKSCS"/>
                <w:color w:val="auto"/>
                <w:sz w:val="24"/>
                <w:szCs w:val="24"/>
              </w:rPr>
            </w:pPr>
          </w:p>
        </w:tc>
        <w:tc>
          <w:tcPr>
            <w:tcW w:w="1057" w:type="dxa"/>
            <w:gridSpan w:val="2"/>
            <w:vAlign w:val="center"/>
          </w:tcPr>
          <w:p>
            <w:pPr>
              <w:pStyle w:val="24"/>
              <w:jc w:val="center"/>
              <w:rPr>
                <w:rFonts w:ascii="Times New Roman" w:hAnsi="Times New Roman" w:eastAsia="MingLiU_HKSCS"/>
                <w:color w:val="auto"/>
                <w:sz w:val="24"/>
                <w:szCs w:val="24"/>
              </w:rPr>
            </w:pPr>
          </w:p>
        </w:tc>
        <w:tc>
          <w:tcPr>
            <w:tcW w:w="992" w:type="dxa"/>
            <w:gridSpan w:val="2"/>
            <w:vMerge w:val="continue"/>
            <w:vAlign w:val="center"/>
          </w:tcPr>
          <w:p>
            <w:pPr>
              <w:pStyle w:val="24"/>
              <w:jc w:val="center"/>
              <w:rPr>
                <w:rFonts w:ascii="Times New Roman" w:hAnsi="Times New Roman" w:eastAsia="MingLiU_HKSCS"/>
                <w:color w:val="auto"/>
                <w:sz w:val="24"/>
                <w:szCs w:val="24"/>
              </w:rPr>
            </w:pPr>
          </w:p>
        </w:tc>
        <w:tc>
          <w:tcPr>
            <w:tcW w:w="1397" w:type="dxa"/>
            <w:gridSpan w:val="2"/>
            <w:vAlign w:val="center"/>
          </w:tcPr>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小计</w:t>
            </w:r>
          </w:p>
        </w:tc>
        <w:tc>
          <w:tcPr>
            <w:tcW w:w="2016" w:type="dxa"/>
            <w:gridSpan w:val="2"/>
            <w:vAlign w:val="center"/>
          </w:tcPr>
          <w:p>
            <w:pPr>
              <w:pStyle w:val="24"/>
              <w:jc w:val="center"/>
              <w:rPr>
                <w:rFonts w:ascii="Times New Roman" w:hAnsi="Times New Roman" w:eastAsia="MingLiU_HKSCS"/>
                <w:color w:val="auto"/>
                <w:sz w:val="24"/>
                <w:szCs w:val="24"/>
              </w:rPr>
            </w:pPr>
          </w:p>
        </w:tc>
      </w:tr>
    </w:tbl>
    <w:p>
      <w:pPr>
        <w:pStyle w:val="24"/>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说明：本表中的政策功能类型及编号是指产品在最新一期节能、环保清单内的编号。</w:t>
      </w:r>
    </w:p>
    <w:p>
      <w:pPr>
        <w:pStyle w:val="147"/>
        <w:spacing w:line="500" w:lineRule="exact"/>
        <w:ind w:firstLine="484" w:firstLineChars="200"/>
        <w:rPr>
          <w:rFonts w:ascii="宋体" w:hAnsi="宋体"/>
          <w:b/>
          <w:bCs/>
          <w:color w:val="auto"/>
          <w:szCs w:val="24"/>
        </w:rPr>
      </w:pPr>
    </w:p>
    <w:p>
      <w:pPr>
        <w:pStyle w:val="147"/>
        <w:spacing w:line="500" w:lineRule="exact"/>
        <w:ind w:firstLine="484" w:firstLineChars="200"/>
        <w:rPr>
          <w:rFonts w:ascii="宋体" w:hAnsi="宋体"/>
          <w:b/>
          <w:bCs/>
          <w:color w:val="auto"/>
          <w:szCs w:val="24"/>
        </w:rPr>
      </w:pPr>
    </w:p>
    <w:p>
      <w:pPr>
        <w:pStyle w:val="147"/>
        <w:spacing w:line="500" w:lineRule="exact"/>
        <w:ind w:firstLine="484" w:firstLineChars="200"/>
        <w:rPr>
          <w:rFonts w:ascii="宋体" w:hAnsi="宋体"/>
          <w:b/>
          <w:bCs/>
          <w:color w:val="auto"/>
          <w:szCs w:val="24"/>
        </w:rPr>
      </w:pPr>
    </w:p>
    <w:p>
      <w:pPr>
        <w:adjustRightInd w:val="0"/>
        <w:snapToGrid w:val="0"/>
        <w:spacing w:line="360" w:lineRule="auto"/>
        <w:ind w:firstLine="484" w:firstLineChars="200"/>
        <w:rPr>
          <w:rFonts w:ascii="宋体" w:hAnsi="宋体"/>
          <w:color w:val="auto"/>
          <w:sz w:val="24"/>
          <w:szCs w:val="21"/>
        </w:rPr>
      </w:pPr>
      <w:r>
        <w:rPr>
          <w:rFonts w:hint="eastAsia" w:ascii="宋体" w:hAnsi="宋体"/>
          <w:color w:val="auto"/>
          <w:sz w:val="24"/>
          <w:szCs w:val="21"/>
        </w:rPr>
        <w:t>投标人（盖单位章）：</w:t>
      </w:r>
    </w:p>
    <w:p>
      <w:pPr>
        <w:adjustRightInd w:val="0"/>
        <w:snapToGrid w:val="0"/>
        <w:spacing w:line="360" w:lineRule="auto"/>
        <w:ind w:left="483" w:leftChars="228" w:firstLine="9438" w:firstLineChars="3900"/>
        <w:rPr>
          <w:rFonts w:ascii="宋体" w:hAnsi="宋体"/>
          <w:color w:val="auto"/>
          <w:sz w:val="24"/>
          <w:szCs w:val="21"/>
        </w:rPr>
      </w:pPr>
      <w:r>
        <w:rPr>
          <w:rFonts w:hint="eastAsia" w:ascii="宋体" w:hAnsi="宋体"/>
          <w:color w:val="auto"/>
          <w:sz w:val="24"/>
          <w:szCs w:val="21"/>
        </w:rPr>
        <w:t xml:space="preserve"> 法定代表人或其委托代理人签字：</w:t>
      </w:r>
      <w:r>
        <w:rPr>
          <w:rFonts w:hint="eastAsia" w:ascii="宋体" w:hAnsi="宋体"/>
          <w:color w:val="auto"/>
          <w:sz w:val="24"/>
          <w:szCs w:val="21"/>
          <w:u w:val="single"/>
        </w:rPr>
        <w:t xml:space="preserve">       </w:t>
      </w:r>
    </w:p>
    <w:p>
      <w:pPr>
        <w:adjustRightInd w:val="0"/>
        <w:snapToGrid w:val="0"/>
        <w:spacing w:line="360" w:lineRule="auto"/>
        <w:ind w:left="483" w:leftChars="228" w:right="24" w:firstLine="9438" w:firstLineChars="3900"/>
        <w:rPr>
          <w:rFonts w:ascii="宋体" w:hAnsi="宋体"/>
          <w:bCs/>
          <w:color w:val="auto"/>
          <w:sz w:val="36"/>
          <w:szCs w:val="28"/>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spacing w:line="500" w:lineRule="exact"/>
        <w:ind w:firstLine="7744" w:firstLineChars="3200"/>
        <w:rPr>
          <w:rFonts w:ascii="宋体" w:hAnsi="宋体"/>
          <w:color w:val="auto"/>
          <w:sz w:val="24"/>
          <w:szCs w:val="24"/>
        </w:rPr>
      </w:pPr>
      <w:r>
        <w:rPr>
          <w:rFonts w:ascii="宋体" w:hAnsi="宋体"/>
          <w:color w:val="auto"/>
          <w:sz w:val="24"/>
          <w:szCs w:val="24"/>
        </w:rPr>
        <w:br w:type="page"/>
      </w:r>
    </w:p>
    <w:p>
      <w:pPr>
        <w:pStyle w:val="84"/>
        <w:spacing w:line="500" w:lineRule="exact"/>
        <w:jc w:val="center"/>
        <w:rPr>
          <w:rFonts w:ascii="宋体" w:hAnsi="宋体"/>
          <w:b/>
          <w:color w:val="auto"/>
        </w:rPr>
      </w:pPr>
      <w:r>
        <w:rPr>
          <w:rFonts w:hint="eastAsia" w:ascii="宋体" w:hAnsi="宋体"/>
          <w:b/>
          <w:color w:val="auto"/>
        </w:rPr>
        <w:t>四、商务条款偏离表</w:t>
      </w:r>
    </w:p>
    <w:p>
      <w:pPr>
        <w:pStyle w:val="84"/>
        <w:spacing w:line="500" w:lineRule="exact"/>
        <w:jc w:val="center"/>
        <w:rPr>
          <w:rFonts w:ascii="宋体" w:hAnsi="宋体"/>
          <w:color w:val="auto"/>
        </w:rPr>
      </w:pPr>
    </w:p>
    <w:p>
      <w:pPr>
        <w:pStyle w:val="24"/>
        <w:ind w:firstLine="484" w:firstLineChars="200"/>
        <w:rPr>
          <w:rFonts w:ascii="Times New Roman" w:hAnsi="Times New Roman"/>
          <w:color w:val="auto"/>
        </w:rPr>
      </w:pPr>
      <w:r>
        <w:rPr>
          <w:rFonts w:hint="eastAsia" w:ascii="Times New Roman" w:hAnsi="Times New Roman"/>
          <w:color w:val="auto"/>
          <w:sz w:val="24"/>
          <w:szCs w:val="24"/>
        </w:rPr>
        <w:t>项目名称：</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项目编号：　</w:t>
      </w:r>
      <w:r>
        <w:rPr>
          <w:rFonts w:hint="eastAsia"/>
          <w:color w:val="auto"/>
        </w:rPr>
        <w:t xml:space="preserve">       </w:t>
      </w:r>
    </w:p>
    <w:tbl>
      <w:tblPr>
        <w:tblStyle w:val="42"/>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2017"/>
        <w:gridCol w:w="2017"/>
        <w:gridCol w:w="2017"/>
        <w:gridCol w:w="1161"/>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517"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序号</w:t>
            </w:r>
          </w:p>
        </w:tc>
        <w:tc>
          <w:tcPr>
            <w:tcW w:w="2017"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招标文件条目号</w:t>
            </w:r>
          </w:p>
        </w:tc>
        <w:tc>
          <w:tcPr>
            <w:tcW w:w="2017"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招标文件的商务条款</w:t>
            </w:r>
          </w:p>
        </w:tc>
        <w:tc>
          <w:tcPr>
            <w:tcW w:w="2017"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投标文件的商务条款</w:t>
            </w:r>
          </w:p>
        </w:tc>
        <w:tc>
          <w:tcPr>
            <w:tcW w:w="1161" w:type="dxa"/>
            <w:vAlign w:val="center"/>
          </w:tcPr>
          <w:p>
            <w:pPr>
              <w:pStyle w:val="24"/>
              <w:jc w:val="center"/>
              <w:rPr>
                <w:rFonts w:ascii="Times New Roman" w:hAnsi="Times New Roman"/>
                <w:color w:val="auto"/>
                <w:sz w:val="24"/>
                <w:szCs w:val="24"/>
              </w:rPr>
            </w:pPr>
            <w:r>
              <w:rPr>
                <w:rFonts w:hint="eastAsia" w:ascii="Times New Roman" w:hAnsi="Times New Roman"/>
                <w:color w:val="auto"/>
                <w:sz w:val="24"/>
                <w:szCs w:val="24"/>
              </w:rPr>
              <w:t>偏离</w:t>
            </w:r>
          </w:p>
        </w:tc>
        <w:tc>
          <w:tcPr>
            <w:tcW w:w="931" w:type="dxa"/>
            <w:vAlign w:val="center"/>
          </w:tcPr>
          <w:p>
            <w:pPr>
              <w:pStyle w:val="24"/>
              <w:jc w:val="center"/>
              <w:rPr>
                <w:rFonts w:ascii="Times New Roman" w:hAnsi="Times New Roman" w:eastAsia="MingLiU_HKSCS"/>
                <w:color w:val="auto"/>
                <w:sz w:val="24"/>
                <w:szCs w:val="24"/>
              </w:rPr>
            </w:pPr>
            <w:r>
              <w:rPr>
                <w:rFonts w:hint="eastAsia" w:ascii="Times New Roman" w:hAnsi="Times New Roman"/>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517" w:type="dxa"/>
            <w:vAlign w:val="center"/>
          </w:tcPr>
          <w:p>
            <w:pPr>
              <w:pStyle w:val="24"/>
              <w:jc w:val="center"/>
              <w:rPr>
                <w:rFonts w:ascii="Times New Roman" w:hAnsi="Times New Roman"/>
                <w:color w:val="auto"/>
                <w:sz w:val="24"/>
                <w:szCs w:val="24"/>
              </w:rPr>
            </w:pPr>
          </w:p>
        </w:tc>
        <w:tc>
          <w:tcPr>
            <w:tcW w:w="2017" w:type="dxa"/>
            <w:vAlign w:val="center"/>
          </w:tcPr>
          <w:p>
            <w:pPr>
              <w:pStyle w:val="24"/>
              <w:jc w:val="center"/>
              <w:rPr>
                <w:rFonts w:ascii="Times New Roman" w:hAnsi="Times New Roman"/>
                <w:color w:val="auto"/>
                <w:sz w:val="24"/>
                <w:szCs w:val="24"/>
              </w:rPr>
            </w:pPr>
          </w:p>
        </w:tc>
        <w:tc>
          <w:tcPr>
            <w:tcW w:w="2017" w:type="dxa"/>
            <w:vAlign w:val="center"/>
          </w:tcPr>
          <w:p>
            <w:pPr>
              <w:pStyle w:val="24"/>
              <w:jc w:val="center"/>
              <w:rPr>
                <w:rFonts w:ascii="Times New Roman" w:hAnsi="Times New Roman"/>
                <w:color w:val="auto"/>
                <w:sz w:val="24"/>
                <w:szCs w:val="24"/>
              </w:rPr>
            </w:pPr>
          </w:p>
        </w:tc>
        <w:tc>
          <w:tcPr>
            <w:tcW w:w="2017" w:type="dxa"/>
            <w:vAlign w:val="center"/>
          </w:tcPr>
          <w:p>
            <w:pPr>
              <w:pStyle w:val="24"/>
              <w:jc w:val="center"/>
              <w:rPr>
                <w:rFonts w:ascii="Times New Roman" w:hAnsi="Times New Roman"/>
                <w:color w:val="auto"/>
                <w:sz w:val="24"/>
                <w:szCs w:val="24"/>
              </w:rPr>
            </w:pPr>
          </w:p>
        </w:tc>
        <w:tc>
          <w:tcPr>
            <w:tcW w:w="1161" w:type="dxa"/>
            <w:vAlign w:val="center"/>
          </w:tcPr>
          <w:p>
            <w:pPr>
              <w:pStyle w:val="24"/>
              <w:jc w:val="center"/>
              <w:rPr>
                <w:rFonts w:ascii="Times New Roman" w:hAnsi="Times New Roman"/>
                <w:color w:val="auto"/>
                <w:sz w:val="24"/>
                <w:szCs w:val="24"/>
              </w:rPr>
            </w:pPr>
          </w:p>
        </w:tc>
        <w:tc>
          <w:tcPr>
            <w:tcW w:w="931" w:type="dxa"/>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517" w:type="dxa"/>
            <w:vAlign w:val="center"/>
          </w:tcPr>
          <w:p>
            <w:pPr>
              <w:pStyle w:val="24"/>
              <w:jc w:val="center"/>
              <w:rPr>
                <w:rFonts w:ascii="Times New Roman" w:hAnsi="Times New Roman"/>
                <w:color w:val="auto"/>
                <w:sz w:val="24"/>
                <w:szCs w:val="24"/>
              </w:rPr>
            </w:pPr>
          </w:p>
        </w:tc>
        <w:tc>
          <w:tcPr>
            <w:tcW w:w="2017" w:type="dxa"/>
            <w:vAlign w:val="center"/>
          </w:tcPr>
          <w:p>
            <w:pPr>
              <w:pStyle w:val="24"/>
              <w:jc w:val="center"/>
              <w:rPr>
                <w:rFonts w:ascii="Times New Roman" w:hAnsi="Times New Roman"/>
                <w:color w:val="auto"/>
                <w:sz w:val="24"/>
                <w:szCs w:val="24"/>
              </w:rPr>
            </w:pPr>
          </w:p>
        </w:tc>
        <w:tc>
          <w:tcPr>
            <w:tcW w:w="2017" w:type="dxa"/>
            <w:vAlign w:val="center"/>
          </w:tcPr>
          <w:p>
            <w:pPr>
              <w:pStyle w:val="24"/>
              <w:jc w:val="center"/>
              <w:rPr>
                <w:rFonts w:ascii="Times New Roman" w:hAnsi="Times New Roman"/>
                <w:color w:val="auto"/>
                <w:sz w:val="24"/>
                <w:szCs w:val="24"/>
              </w:rPr>
            </w:pPr>
          </w:p>
        </w:tc>
        <w:tc>
          <w:tcPr>
            <w:tcW w:w="2017" w:type="dxa"/>
            <w:vAlign w:val="center"/>
          </w:tcPr>
          <w:p>
            <w:pPr>
              <w:pStyle w:val="24"/>
              <w:jc w:val="center"/>
              <w:rPr>
                <w:rFonts w:ascii="Times New Roman" w:hAnsi="Times New Roman"/>
                <w:color w:val="auto"/>
                <w:sz w:val="24"/>
                <w:szCs w:val="24"/>
              </w:rPr>
            </w:pPr>
          </w:p>
        </w:tc>
        <w:tc>
          <w:tcPr>
            <w:tcW w:w="1161" w:type="dxa"/>
            <w:vAlign w:val="center"/>
          </w:tcPr>
          <w:p>
            <w:pPr>
              <w:pStyle w:val="24"/>
              <w:jc w:val="center"/>
              <w:rPr>
                <w:rFonts w:ascii="Times New Roman" w:hAnsi="Times New Roman"/>
                <w:color w:val="auto"/>
                <w:sz w:val="24"/>
                <w:szCs w:val="24"/>
              </w:rPr>
            </w:pPr>
          </w:p>
        </w:tc>
        <w:tc>
          <w:tcPr>
            <w:tcW w:w="931" w:type="dxa"/>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517" w:type="dxa"/>
            <w:vAlign w:val="center"/>
          </w:tcPr>
          <w:p>
            <w:pPr>
              <w:pStyle w:val="24"/>
              <w:jc w:val="center"/>
              <w:rPr>
                <w:rFonts w:ascii="Times New Roman" w:hAnsi="Times New Roman"/>
                <w:color w:val="auto"/>
                <w:sz w:val="24"/>
                <w:szCs w:val="24"/>
              </w:rPr>
            </w:pPr>
          </w:p>
        </w:tc>
        <w:tc>
          <w:tcPr>
            <w:tcW w:w="2017" w:type="dxa"/>
            <w:vAlign w:val="center"/>
          </w:tcPr>
          <w:p>
            <w:pPr>
              <w:pStyle w:val="24"/>
              <w:jc w:val="center"/>
              <w:rPr>
                <w:rFonts w:ascii="Times New Roman" w:hAnsi="Times New Roman"/>
                <w:color w:val="auto"/>
                <w:sz w:val="24"/>
                <w:szCs w:val="24"/>
              </w:rPr>
            </w:pPr>
          </w:p>
        </w:tc>
        <w:tc>
          <w:tcPr>
            <w:tcW w:w="2017" w:type="dxa"/>
            <w:vAlign w:val="center"/>
          </w:tcPr>
          <w:p>
            <w:pPr>
              <w:pStyle w:val="24"/>
              <w:jc w:val="center"/>
              <w:rPr>
                <w:rFonts w:ascii="Times New Roman" w:hAnsi="Times New Roman"/>
                <w:color w:val="auto"/>
                <w:sz w:val="24"/>
                <w:szCs w:val="24"/>
              </w:rPr>
            </w:pPr>
          </w:p>
        </w:tc>
        <w:tc>
          <w:tcPr>
            <w:tcW w:w="2017" w:type="dxa"/>
            <w:vAlign w:val="center"/>
          </w:tcPr>
          <w:p>
            <w:pPr>
              <w:pStyle w:val="24"/>
              <w:jc w:val="center"/>
              <w:rPr>
                <w:rFonts w:ascii="Times New Roman" w:hAnsi="Times New Roman"/>
                <w:color w:val="auto"/>
                <w:sz w:val="24"/>
                <w:szCs w:val="24"/>
              </w:rPr>
            </w:pPr>
          </w:p>
        </w:tc>
        <w:tc>
          <w:tcPr>
            <w:tcW w:w="1161" w:type="dxa"/>
            <w:vAlign w:val="center"/>
          </w:tcPr>
          <w:p>
            <w:pPr>
              <w:pStyle w:val="24"/>
              <w:jc w:val="center"/>
              <w:rPr>
                <w:rFonts w:ascii="Times New Roman" w:hAnsi="Times New Roman"/>
                <w:color w:val="auto"/>
                <w:sz w:val="24"/>
                <w:szCs w:val="24"/>
              </w:rPr>
            </w:pPr>
          </w:p>
        </w:tc>
        <w:tc>
          <w:tcPr>
            <w:tcW w:w="931" w:type="dxa"/>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517" w:type="dxa"/>
            <w:vAlign w:val="center"/>
          </w:tcPr>
          <w:p>
            <w:pPr>
              <w:pStyle w:val="24"/>
              <w:jc w:val="center"/>
              <w:rPr>
                <w:rFonts w:ascii="Times New Roman" w:hAnsi="Times New Roman"/>
                <w:color w:val="auto"/>
                <w:sz w:val="24"/>
                <w:szCs w:val="24"/>
              </w:rPr>
            </w:pPr>
          </w:p>
        </w:tc>
        <w:tc>
          <w:tcPr>
            <w:tcW w:w="2017" w:type="dxa"/>
            <w:vAlign w:val="center"/>
          </w:tcPr>
          <w:p>
            <w:pPr>
              <w:pStyle w:val="24"/>
              <w:jc w:val="center"/>
              <w:rPr>
                <w:rFonts w:ascii="Times New Roman" w:hAnsi="Times New Roman"/>
                <w:color w:val="auto"/>
                <w:sz w:val="24"/>
                <w:szCs w:val="24"/>
              </w:rPr>
            </w:pPr>
          </w:p>
        </w:tc>
        <w:tc>
          <w:tcPr>
            <w:tcW w:w="2017" w:type="dxa"/>
            <w:vAlign w:val="center"/>
          </w:tcPr>
          <w:p>
            <w:pPr>
              <w:pStyle w:val="24"/>
              <w:jc w:val="center"/>
              <w:rPr>
                <w:rFonts w:ascii="Times New Roman" w:hAnsi="Times New Roman"/>
                <w:color w:val="auto"/>
                <w:sz w:val="24"/>
                <w:szCs w:val="24"/>
              </w:rPr>
            </w:pPr>
          </w:p>
        </w:tc>
        <w:tc>
          <w:tcPr>
            <w:tcW w:w="2017" w:type="dxa"/>
            <w:vAlign w:val="center"/>
          </w:tcPr>
          <w:p>
            <w:pPr>
              <w:pStyle w:val="24"/>
              <w:jc w:val="center"/>
              <w:rPr>
                <w:rFonts w:ascii="Times New Roman" w:hAnsi="Times New Roman"/>
                <w:color w:val="auto"/>
                <w:sz w:val="24"/>
                <w:szCs w:val="24"/>
              </w:rPr>
            </w:pPr>
          </w:p>
        </w:tc>
        <w:tc>
          <w:tcPr>
            <w:tcW w:w="1161" w:type="dxa"/>
            <w:vAlign w:val="center"/>
          </w:tcPr>
          <w:p>
            <w:pPr>
              <w:pStyle w:val="24"/>
              <w:jc w:val="center"/>
              <w:rPr>
                <w:rFonts w:ascii="Times New Roman" w:hAnsi="Times New Roman"/>
                <w:color w:val="auto"/>
                <w:sz w:val="24"/>
                <w:szCs w:val="24"/>
              </w:rPr>
            </w:pPr>
          </w:p>
        </w:tc>
        <w:tc>
          <w:tcPr>
            <w:tcW w:w="931" w:type="dxa"/>
            <w:vAlign w:val="center"/>
          </w:tcPr>
          <w:p>
            <w:pPr>
              <w:pStyle w:val="2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517" w:type="dxa"/>
            <w:vAlign w:val="center"/>
          </w:tcPr>
          <w:p>
            <w:pPr>
              <w:pStyle w:val="24"/>
              <w:jc w:val="center"/>
              <w:rPr>
                <w:rFonts w:ascii="Times New Roman" w:hAnsi="Times New Roman"/>
                <w:color w:val="auto"/>
                <w:sz w:val="24"/>
                <w:szCs w:val="24"/>
              </w:rPr>
            </w:pPr>
          </w:p>
        </w:tc>
        <w:tc>
          <w:tcPr>
            <w:tcW w:w="2017" w:type="dxa"/>
            <w:vAlign w:val="center"/>
          </w:tcPr>
          <w:p>
            <w:pPr>
              <w:pStyle w:val="24"/>
              <w:jc w:val="center"/>
              <w:rPr>
                <w:rFonts w:ascii="Times New Roman" w:hAnsi="Times New Roman"/>
                <w:color w:val="auto"/>
                <w:sz w:val="24"/>
                <w:szCs w:val="24"/>
              </w:rPr>
            </w:pPr>
          </w:p>
        </w:tc>
        <w:tc>
          <w:tcPr>
            <w:tcW w:w="2017" w:type="dxa"/>
            <w:vAlign w:val="center"/>
          </w:tcPr>
          <w:p>
            <w:pPr>
              <w:pStyle w:val="24"/>
              <w:jc w:val="center"/>
              <w:rPr>
                <w:rFonts w:ascii="Times New Roman" w:hAnsi="Times New Roman"/>
                <w:color w:val="auto"/>
                <w:sz w:val="24"/>
                <w:szCs w:val="24"/>
              </w:rPr>
            </w:pPr>
          </w:p>
        </w:tc>
        <w:tc>
          <w:tcPr>
            <w:tcW w:w="2017" w:type="dxa"/>
            <w:vAlign w:val="center"/>
          </w:tcPr>
          <w:p>
            <w:pPr>
              <w:pStyle w:val="24"/>
              <w:jc w:val="center"/>
              <w:rPr>
                <w:rFonts w:ascii="Times New Roman" w:hAnsi="Times New Roman"/>
                <w:color w:val="auto"/>
                <w:sz w:val="24"/>
                <w:szCs w:val="24"/>
              </w:rPr>
            </w:pPr>
          </w:p>
        </w:tc>
        <w:tc>
          <w:tcPr>
            <w:tcW w:w="1161" w:type="dxa"/>
            <w:vAlign w:val="center"/>
          </w:tcPr>
          <w:p>
            <w:pPr>
              <w:pStyle w:val="24"/>
              <w:jc w:val="center"/>
              <w:rPr>
                <w:rFonts w:ascii="Times New Roman" w:hAnsi="Times New Roman"/>
                <w:color w:val="auto"/>
                <w:sz w:val="24"/>
                <w:szCs w:val="24"/>
              </w:rPr>
            </w:pPr>
          </w:p>
        </w:tc>
        <w:tc>
          <w:tcPr>
            <w:tcW w:w="931" w:type="dxa"/>
            <w:vAlign w:val="center"/>
          </w:tcPr>
          <w:p>
            <w:pPr>
              <w:pStyle w:val="24"/>
              <w:jc w:val="center"/>
              <w:rPr>
                <w:rFonts w:ascii="Times New Roman" w:hAnsi="Times New Roman" w:eastAsia="MingLiU_HKSCS"/>
                <w:color w:val="auto"/>
                <w:sz w:val="24"/>
                <w:szCs w:val="24"/>
              </w:rPr>
            </w:pPr>
          </w:p>
        </w:tc>
      </w:tr>
    </w:tbl>
    <w:p>
      <w:pPr>
        <w:pStyle w:val="84"/>
        <w:spacing w:line="500" w:lineRule="exact"/>
        <w:jc w:val="center"/>
        <w:rPr>
          <w:rFonts w:ascii="宋体" w:hAnsi="宋体"/>
          <w:color w:val="auto"/>
        </w:rPr>
      </w:pPr>
      <w:r>
        <w:rPr>
          <w:rFonts w:hint="eastAsia" w:ascii="宋体" w:hAnsi="宋体"/>
          <w:color w:val="auto"/>
        </w:rPr>
        <w:t xml:space="preserve">说明：如有偏离，则必须注明“偏离”；未注明偏离的，视为完全响应。                                               </w:t>
      </w:r>
    </w:p>
    <w:p>
      <w:pPr>
        <w:pStyle w:val="84"/>
        <w:spacing w:line="500" w:lineRule="exact"/>
        <w:jc w:val="center"/>
        <w:rPr>
          <w:rFonts w:ascii="宋体" w:hAnsi="宋体"/>
          <w:color w:val="auto"/>
        </w:rPr>
      </w:pPr>
    </w:p>
    <w:p>
      <w:pPr>
        <w:pStyle w:val="84"/>
        <w:spacing w:line="500" w:lineRule="exact"/>
        <w:jc w:val="center"/>
        <w:rPr>
          <w:rFonts w:ascii="宋体" w:hAnsi="宋体"/>
          <w:color w:val="auto"/>
        </w:rPr>
      </w:pPr>
    </w:p>
    <w:p>
      <w:pPr>
        <w:pStyle w:val="84"/>
        <w:spacing w:line="500" w:lineRule="exact"/>
        <w:jc w:val="center"/>
        <w:rPr>
          <w:rFonts w:ascii="宋体" w:hAnsi="宋体"/>
          <w:color w:val="auto"/>
        </w:rPr>
      </w:pPr>
    </w:p>
    <w:p>
      <w:pPr>
        <w:pStyle w:val="84"/>
        <w:spacing w:line="500" w:lineRule="exact"/>
        <w:jc w:val="center"/>
        <w:rPr>
          <w:rFonts w:ascii="宋体" w:hAnsi="宋体"/>
          <w:color w:val="auto"/>
        </w:rPr>
      </w:pPr>
    </w:p>
    <w:p>
      <w:pPr>
        <w:adjustRightInd w:val="0"/>
        <w:snapToGrid w:val="0"/>
        <w:spacing w:line="360" w:lineRule="auto"/>
        <w:ind w:firstLine="484" w:firstLineChars="200"/>
        <w:rPr>
          <w:rFonts w:ascii="宋体" w:hAnsi="宋体"/>
          <w:color w:val="auto"/>
          <w:sz w:val="24"/>
          <w:szCs w:val="21"/>
        </w:rPr>
      </w:pPr>
      <w:r>
        <w:rPr>
          <w:rFonts w:hint="eastAsia" w:ascii="宋体" w:hAnsi="宋体"/>
          <w:color w:val="auto"/>
          <w:sz w:val="24"/>
          <w:szCs w:val="21"/>
        </w:rPr>
        <w:t>投标人（盖单位章）：</w:t>
      </w:r>
    </w:p>
    <w:p>
      <w:pPr>
        <w:adjustRightInd w:val="0"/>
        <w:snapToGrid w:val="0"/>
        <w:spacing w:line="360" w:lineRule="auto"/>
        <w:ind w:left="483" w:leftChars="228" w:firstLine="9438" w:firstLineChars="3900"/>
        <w:rPr>
          <w:rFonts w:ascii="宋体" w:hAnsi="宋体"/>
          <w:color w:val="auto"/>
          <w:sz w:val="24"/>
          <w:szCs w:val="21"/>
        </w:rPr>
      </w:pPr>
      <w:r>
        <w:rPr>
          <w:rFonts w:hint="eastAsia" w:ascii="宋体" w:hAnsi="宋体"/>
          <w:color w:val="auto"/>
          <w:sz w:val="24"/>
          <w:szCs w:val="21"/>
        </w:rPr>
        <w:t xml:space="preserve"> 法定代表人或其委托代理人签字：</w:t>
      </w:r>
      <w:r>
        <w:rPr>
          <w:rFonts w:hint="eastAsia" w:ascii="宋体" w:hAnsi="宋体"/>
          <w:color w:val="auto"/>
          <w:sz w:val="24"/>
          <w:szCs w:val="21"/>
          <w:u w:val="single"/>
        </w:rPr>
        <w:t xml:space="preserve">       </w:t>
      </w:r>
    </w:p>
    <w:p>
      <w:pPr>
        <w:adjustRightInd w:val="0"/>
        <w:snapToGrid w:val="0"/>
        <w:spacing w:line="360" w:lineRule="auto"/>
        <w:ind w:left="483" w:leftChars="228" w:right="24" w:firstLine="9438" w:firstLineChars="3900"/>
        <w:rPr>
          <w:rFonts w:ascii="宋体" w:hAnsi="宋体"/>
          <w:color w:val="auto"/>
          <w:sz w:val="24"/>
          <w:szCs w:val="21"/>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adjustRightInd w:val="0"/>
        <w:snapToGrid w:val="0"/>
        <w:spacing w:line="360" w:lineRule="auto"/>
        <w:ind w:left="483" w:leftChars="228" w:right="24" w:firstLine="9438" w:firstLineChars="3900"/>
        <w:rPr>
          <w:rFonts w:ascii="宋体" w:hAnsi="宋体"/>
          <w:color w:val="auto"/>
          <w:sz w:val="24"/>
          <w:szCs w:val="21"/>
        </w:rPr>
      </w:pPr>
    </w:p>
    <w:p>
      <w:pPr>
        <w:adjustRightInd w:val="0"/>
        <w:snapToGrid w:val="0"/>
        <w:spacing w:line="360" w:lineRule="auto"/>
        <w:ind w:left="483" w:leftChars="228" w:right="24" w:firstLine="9438" w:firstLineChars="3900"/>
        <w:rPr>
          <w:rFonts w:ascii="宋体" w:hAnsi="宋体"/>
          <w:color w:val="auto"/>
          <w:sz w:val="24"/>
          <w:szCs w:val="21"/>
        </w:rPr>
      </w:pPr>
    </w:p>
    <w:p>
      <w:pPr>
        <w:adjustRightInd w:val="0"/>
        <w:snapToGrid w:val="0"/>
        <w:spacing w:line="360" w:lineRule="auto"/>
        <w:ind w:left="483" w:leftChars="228" w:right="24" w:firstLine="9438" w:firstLineChars="3900"/>
        <w:rPr>
          <w:rFonts w:ascii="宋体" w:hAnsi="宋体"/>
          <w:color w:val="auto"/>
          <w:sz w:val="24"/>
          <w:szCs w:val="21"/>
        </w:rPr>
      </w:pPr>
    </w:p>
    <w:p>
      <w:pPr>
        <w:adjustRightInd w:val="0"/>
        <w:snapToGrid w:val="0"/>
        <w:spacing w:line="360" w:lineRule="auto"/>
        <w:ind w:left="483" w:leftChars="228" w:right="24" w:firstLine="9438" w:firstLineChars="3900"/>
        <w:rPr>
          <w:rFonts w:ascii="宋体" w:hAnsi="宋体"/>
          <w:color w:val="auto"/>
          <w:sz w:val="24"/>
          <w:szCs w:val="21"/>
        </w:rPr>
      </w:pPr>
    </w:p>
    <w:p>
      <w:pPr>
        <w:adjustRightInd w:val="0"/>
        <w:snapToGrid w:val="0"/>
        <w:spacing w:line="360" w:lineRule="auto"/>
        <w:ind w:left="483" w:leftChars="228" w:right="24" w:firstLine="9438" w:firstLineChars="3900"/>
        <w:rPr>
          <w:rFonts w:ascii="宋体" w:hAnsi="宋体"/>
          <w:color w:val="auto"/>
          <w:sz w:val="24"/>
          <w:szCs w:val="21"/>
        </w:rPr>
      </w:pPr>
    </w:p>
    <w:p>
      <w:pPr>
        <w:pStyle w:val="24"/>
        <w:jc w:val="center"/>
        <w:rPr>
          <w:rFonts w:ascii="Times New Roman" w:hAnsi="Times New Roman"/>
          <w:b/>
          <w:bCs/>
          <w:color w:val="auto"/>
          <w:sz w:val="24"/>
          <w:szCs w:val="24"/>
        </w:rPr>
      </w:pPr>
      <w:r>
        <w:rPr>
          <w:rFonts w:hint="eastAsia" w:ascii="Times New Roman" w:hAnsi="Times New Roman"/>
          <w:b/>
          <w:bCs/>
          <w:color w:val="auto"/>
          <w:sz w:val="24"/>
          <w:szCs w:val="24"/>
        </w:rPr>
        <w:t>五、投标保证金</w:t>
      </w:r>
    </w:p>
    <w:p>
      <w:pPr>
        <w:pStyle w:val="24"/>
        <w:rPr>
          <w:rFonts w:ascii="Times New Roman" w:hAnsi="Times New Roman"/>
          <w:b/>
          <w:bCs/>
          <w:color w:val="auto"/>
          <w:sz w:val="24"/>
          <w:szCs w:val="24"/>
        </w:rPr>
      </w:pPr>
    </w:p>
    <w:p>
      <w:pPr>
        <w:tabs>
          <w:tab w:val="left" w:pos="814"/>
        </w:tabs>
        <w:jc w:val="center"/>
        <w:rPr>
          <w:b/>
          <w:color w:val="auto"/>
          <w:sz w:val="24"/>
          <w:szCs w:val="24"/>
        </w:rPr>
      </w:pPr>
      <w:r>
        <w:rPr>
          <w:rFonts w:hint="eastAsia"/>
          <w:b/>
          <w:color w:val="auto"/>
          <w:sz w:val="24"/>
          <w:szCs w:val="24"/>
        </w:rPr>
        <w:t>保证金汇款声明函</w:t>
      </w:r>
      <w:r>
        <w:rPr>
          <w:b/>
          <w:color w:val="auto"/>
          <w:sz w:val="24"/>
          <w:szCs w:val="24"/>
        </w:rPr>
        <w:t>(</w:t>
      </w:r>
      <w:r>
        <w:rPr>
          <w:rFonts w:hint="eastAsia"/>
          <w:b/>
          <w:color w:val="auto"/>
          <w:sz w:val="24"/>
          <w:szCs w:val="24"/>
        </w:rPr>
        <w:t>适用银行转账</w:t>
      </w:r>
      <w:r>
        <w:rPr>
          <w:b/>
          <w:color w:val="auto"/>
          <w:sz w:val="24"/>
          <w:szCs w:val="24"/>
        </w:rPr>
        <w:t>)</w:t>
      </w:r>
    </w:p>
    <w:p>
      <w:pPr>
        <w:pStyle w:val="24"/>
        <w:spacing w:line="500" w:lineRule="exact"/>
        <w:rPr>
          <w:rFonts w:ascii="Times New Roman" w:hAnsi="Times New Roman" w:eastAsia="MingLiU_HKSCS"/>
          <w:color w:val="auto"/>
          <w:sz w:val="24"/>
          <w:szCs w:val="24"/>
        </w:rPr>
      </w:pPr>
      <w:r>
        <w:rPr>
          <w:rFonts w:hint="eastAsia" w:ascii="Times New Roman" w:hAnsi="Times New Roman"/>
          <w:color w:val="auto"/>
          <w:sz w:val="24"/>
          <w:szCs w:val="24"/>
        </w:rPr>
        <w:t>致：</w:t>
      </w:r>
      <w:r>
        <w:rPr>
          <w:rFonts w:ascii="Times New Roman" w:hAnsi="Times New Roman"/>
          <w:color w:val="auto"/>
          <w:sz w:val="24"/>
          <w:szCs w:val="24"/>
        </w:rPr>
        <w:t>____________(</w:t>
      </w:r>
      <w:r>
        <w:rPr>
          <w:rFonts w:hint="eastAsia" w:ascii="Times New Roman" w:hAnsi="Times New Roman"/>
          <w:color w:val="auto"/>
          <w:sz w:val="24"/>
          <w:szCs w:val="24"/>
        </w:rPr>
        <w:t>采购人或采购代理机构</w:t>
      </w:r>
      <w:r>
        <w:rPr>
          <w:rFonts w:ascii="Times New Roman" w:hAnsi="Times New Roman"/>
          <w:color w:val="auto"/>
          <w:sz w:val="24"/>
          <w:szCs w:val="24"/>
        </w:rPr>
        <w:t>)</w:t>
      </w:r>
    </w:p>
    <w:p>
      <w:pPr>
        <w:pStyle w:val="24"/>
        <w:spacing w:line="50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我方为</w:t>
      </w:r>
      <w:r>
        <w:rPr>
          <w:rFonts w:ascii="Times New Roman" w:hAnsi="Times New Roman"/>
          <w:color w:val="auto"/>
          <w:sz w:val="24"/>
          <w:szCs w:val="24"/>
        </w:rPr>
        <w:t>____________(</w:t>
      </w:r>
      <w:r>
        <w:rPr>
          <w:rFonts w:hint="eastAsia" w:ascii="Times New Roman" w:hAnsi="Times New Roman"/>
          <w:color w:val="auto"/>
          <w:sz w:val="24"/>
          <w:szCs w:val="24"/>
        </w:rPr>
        <w:t>项目名称</w:t>
      </w:r>
      <w:r>
        <w:rPr>
          <w:rFonts w:ascii="Times New Roman" w:hAnsi="Times New Roman"/>
          <w:color w:val="auto"/>
          <w:sz w:val="24"/>
          <w:szCs w:val="24"/>
        </w:rPr>
        <w:t>)(</w:t>
      </w:r>
      <w:r>
        <w:rPr>
          <w:rFonts w:hint="eastAsia" w:ascii="Times New Roman" w:hAnsi="Times New Roman"/>
          <w:color w:val="auto"/>
          <w:sz w:val="24"/>
          <w:szCs w:val="24"/>
        </w:rPr>
        <w:t>项目编号：</w:t>
      </w:r>
      <w:r>
        <w:rPr>
          <w:rFonts w:ascii="Times New Roman" w:hAnsi="Times New Roman"/>
          <w:color w:val="auto"/>
          <w:sz w:val="24"/>
          <w:szCs w:val="24"/>
        </w:rPr>
        <w:t>________)</w:t>
      </w:r>
      <w:r>
        <w:rPr>
          <w:rFonts w:hint="eastAsia" w:ascii="Times New Roman" w:hAnsi="Times New Roman"/>
          <w:color w:val="auto"/>
          <w:sz w:val="24"/>
          <w:szCs w:val="24"/>
        </w:rPr>
        <w:t>递交保证金人民币</w:t>
      </w:r>
      <w:r>
        <w:rPr>
          <w:rFonts w:ascii="Times New Roman" w:hAnsi="Times New Roman"/>
          <w:color w:val="auto"/>
          <w:sz w:val="24"/>
          <w:szCs w:val="24"/>
        </w:rPr>
        <w:t>________</w:t>
      </w:r>
      <w:r>
        <w:rPr>
          <w:rFonts w:hint="eastAsia" w:ascii="Times New Roman" w:hAnsi="Times New Roman"/>
          <w:color w:val="auto"/>
          <w:sz w:val="24"/>
          <w:szCs w:val="24"/>
        </w:rPr>
        <w:t>元</w:t>
      </w:r>
      <w:r>
        <w:rPr>
          <w:rFonts w:ascii="Times New Roman" w:hAnsi="Times New Roman"/>
          <w:color w:val="auto"/>
          <w:sz w:val="24"/>
          <w:szCs w:val="24"/>
        </w:rPr>
        <w:t>(</w:t>
      </w:r>
      <w:r>
        <w:rPr>
          <w:rFonts w:hint="eastAsia" w:ascii="Times New Roman" w:hAnsi="Times New Roman"/>
          <w:color w:val="auto"/>
          <w:sz w:val="24"/>
          <w:szCs w:val="24"/>
        </w:rPr>
        <w:t>大写</w:t>
      </w:r>
      <w:r>
        <w:rPr>
          <w:rFonts w:ascii="Times New Roman" w:hAnsi="Times New Roman"/>
          <w:color w:val="auto"/>
          <w:sz w:val="24"/>
          <w:szCs w:val="24"/>
        </w:rPr>
        <w:t>(</w:t>
      </w:r>
      <w:r>
        <w:rPr>
          <w:rFonts w:hint="eastAsia" w:ascii="Times New Roman" w:hAnsi="Times New Roman"/>
          <w:color w:val="auto"/>
          <w:sz w:val="24"/>
          <w:szCs w:val="24"/>
        </w:rPr>
        <w:t>人民币　　元</w:t>
      </w:r>
      <w:r>
        <w:rPr>
          <w:rFonts w:ascii="Times New Roman" w:hAnsi="Times New Roman"/>
          <w:color w:val="auto"/>
          <w:sz w:val="24"/>
          <w:szCs w:val="24"/>
        </w:rPr>
        <w:t>)</w:t>
      </w:r>
      <w:r>
        <w:rPr>
          <w:rFonts w:hint="eastAsia" w:ascii="Times New Roman" w:hAnsi="Times New Roman"/>
          <w:color w:val="auto"/>
          <w:sz w:val="24"/>
          <w:szCs w:val="24"/>
        </w:rPr>
        <w:t>已于</w:t>
      </w:r>
      <w:r>
        <w:rPr>
          <w:rFonts w:ascii="Times New Roman" w:hAnsi="Times New Roman"/>
          <w:color w:val="auto"/>
          <w:sz w:val="24"/>
          <w:szCs w:val="24"/>
        </w:rPr>
        <w:t>______</w:t>
      </w:r>
      <w:r>
        <w:rPr>
          <w:rFonts w:hint="eastAsia" w:ascii="Times New Roman" w:hAnsi="Times New Roman"/>
          <w:color w:val="auto"/>
          <w:sz w:val="24"/>
          <w:szCs w:val="24"/>
        </w:rPr>
        <w:t>年</w:t>
      </w:r>
      <w:r>
        <w:rPr>
          <w:rFonts w:ascii="Times New Roman" w:hAnsi="Times New Roman"/>
          <w:color w:val="auto"/>
          <w:sz w:val="24"/>
          <w:szCs w:val="24"/>
        </w:rPr>
        <w:t>____</w:t>
      </w:r>
      <w:r>
        <w:rPr>
          <w:rFonts w:hint="eastAsia" w:ascii="Times New Roman" w:hAnsi="Times New Roman"/>
          <w:color w:val="auto"/>
          <w:sz w:val="24"/>
          <w:szCs w:val="24"/>
        </w:rPr>
        <w:t>月</w:t>
      </w:r>
      <w:r>
        <w:rPr>
          <w:rFonts w:ascii="Times New Roman" w:hAnsi="Times New Roman"/>
          <w:color w:val="auto"/>
          <w:sz w:val="24"/>
          <w:szCs w:val="24"/>
        </w:rPr>
        <w:t>____</w:t>
      </w:r>
      <w:r>
        <w:rPr>
          <w:rFonts w:hint="eastAsia" w:ascii="Times New Roman" w:hAnsi="Times New Roman"/>
          <w:color w:val="auto"/>
          <w:sz w:val="24"/>
          <w:szCs w:val="24"/>
        </w:rPr>
        <w:t>日以银行主动划账方式划入你方账户。</w:t>
      </w:r>
    </w:p>
    <w:p>
      <w:pPr>
        <w:pStyle w:val="24"/>
        <w:spacing w:line="50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详见附件：投标保证金收据复印件（代理公司开具）。</w:t>
      </w:r>
    </w:p>
    <w:p>
      <w:pPr>
        <w:pStyle w:val="24"/>
        <w:spacing w:line="50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退还保证金时请按以下内容划入我方账户。若因内容不全、错误、字迹潦草模糊导致该项目保证金未能及时退还或退还过程中发生错误</w:t>
      </w:r>
      <w:r>
        <w:rPr>
          <w:rFonts w:hint="eastAsia" w:ascii="Times New Roman" w:hAnsi="Times New Roman" w:eastAsia="MingLiU_HKSCS"/>
          <w:color w:val="auto"/>
          <w:sz w:val="24"/>
          <w:szCs w:val="24"/>
        </w:rPr>
        <w:t>，</w:t>
      </w:r>
      <w:r>
        <w:rPr>
          <w:rFonts w:hint="eastAsia" w:ascii="Times New Roman" w:hAnsi="Times New Roman"/>
          <w:color w:val="auto"/>
          <w:sz w:val="24"/>
          <w:szCs w:val="24"/>
        </w:rPr>
        <w:t>我方将承担全部责任和损失。</w:t>
      </w:r>
    </w:p>
    <w:p>
      <w:pPr>
        <w:pStyle w:val="24"/>
        <w:spacing w:line="50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单位全称：</w:t>
      </w:r>
    </w:p>
    <w:p>
      <w:pPr>
        <w:pStyle w:val="24"/>
        <w:spacing w:line="50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开户银行：</w:t>
      </w:r>
    </w:p>
    <w:p>
      <w:pPr>
        <w:pStyle w:val="24"/>
        <w:spacing w:line="500" w:lineRule="exact"/>
        <w:ind w:firstLine="484" w:firstLineChars="200"/>
        <w:rPr>
          <w:rFonts w:ascii="Times New Roman" w:hAnsi="Times New Roman"/>
          <w:color w:val="auto"/>
          <w:sz w:val="24"/>
          <w:szCs w:val="24"/>
        </w:rPr>
      </w:pPr>
      <w:r>
        <w:rPr>
          <w:rFonts w:hint="eastAsia" w:ascii="Times New Roman" w:hAnsi="Times New Roman"/>
          <w:color w:val="auto"/>
          <w:sz w:val="24"/>
          <w:szCs w:val="24"/>
        </w:rPr>
        <w:t>开户账号：</w:t>
      </w:r>
    </w:p>
    <w:p>
      <w:pPr>
        <w:pStyle w:val="24"/>
        <w:spacing w:line="500" w:lineRule="exact"/>
        <w:ind w:firstLine="484" w:firstLineChars="200"/>
        <w:rPr>
          <w:rFonts w:ascii="Times New Roman" w:hAnsi="Times New Roman"/>
          <w:color w:val="auto"/>
          <w:sz w:val="24"/>
          <w:szCs w:val="24"/>
        </w:rPr>
      </w:pPr>
    </w:p>
    <w:p>
      <w:pPr>
        <w:pStyle w:val="24"/>
        <w:spacing w:line="500" w:lineRule="exact"/>
        <w:ind w:firstLine="484" w:firstLineChars="200"/>
        <w:rPr>
          <w:rFonts w:ascii="Times New Roman" w:hAnsi="Times New Roman"/>
          <w:color w:val="auto"/>
          <w:sz w:val="24"/>
          <w:szCs w:val="24"/>
        </w:rPr>
      </w:pPr>
    </w:p>
    <w:p>
      <w:pPr>
        <w:pStyle w:val="24"/>
        <w:spacing w:line="500" w:lineRule="exact"/>
        <w:ind w:firstLine="968" w:firstLineChars="400"/>
        <w:rPr>
          <w:rFonts w:ascii="Times New Roman" w:hAnsi="Times New Roman" w:eastAsia="MingLiU_HKSCS"/>
          <w:color w:val="auto"/>
          <w:sz w:val="24"/>
          <w:szCs w:val="24"/>
        </w:rPr>
      </w:pPr>
      <w:r>
        <w:rPr>
          <w:rFonts w:hint="eastAsia" w:ascii="Times New Roman" w:hAnsi="Times New Roman"/>
          <w:color w:val="auto"/>
          <w:sz w:val="24"/>
          <w:szCs w:val="24"/>
        </w:rPr>
        <w:t>投标人</w:t>
      </w:r>
      <w:r>
        <w:rPr>
          <w:rFonts w:ascii="Times New Roman" w:hAnsi="Times New Roman"/>
          <w:color w:val="auto"/>
          <w:sz w:val="24"/>
          <w:szCs w:val="24"/>
        </w:rPr>
        <w:t>(</w:t>
      </w:r>
      <w:r>
        <w:rPr>
          <w:rFonts w:hint="eastAsia" w:ascii="Times New Roman" w:hAnsi="Times New Roman"/>
          <w:color w:val="auto"/>
          <w:sz w:val="24"/>
          <w:szCs w:val="24"/>
        </w:rPr>
        <w:t>公章</w:t>
      </w:r>
      <w:r>
        <w:rPr>
          <w:rFonts w:ascii="Times New Roman" w:hAnsi="Times New Roman"/>
          <w:color w:val="auto"/>
          <w:sz w:val="24"/>
          <w:szCs w:val="24"/>
        </w:rPr>
        <w:t>)</w:t>
      </w:r>
      <w:r>
        <w:rPr>
          <w:rFonts w:hint="eastAsia" w:ascii="Times New Roman" w:hAnsi="Times New Roman"/>
          <w:color w:val="auto"/>
          <w:sz w:val="24"/>
          <w:szCs w:val="24"/>
        </w:rPr>
        <w:t>：　</w:t>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　</w:t>
      </w:r>
    </w:p>
    <w:p>
      <w:pPr>
        <w:pStyle w:val="24"/>
        <w:spacing w:line="500" w:lineRule="exact"/>
        <w:ind w:firstLine="968" w:firstLineChars="400"/>
        <w:rPr>
          <w:rFonts w:ascii="Times New Roman" w:hAnsi="Times New Roman" w:eastAsia="MingLiU_HKSCS"/>
          <w:color w:val="auto"/>
          <w:sz w:val="24"/>
          <w:szCs w:val="24"/>
        </w:rPr>
      </w:pPr>
      <w:r>
        <w:rPr>
          <w:rFonts w:hint="eastAsia" w:ascii="Times New Roman" w:hAnsi="Times New Roman"/>
          <w:color w:val="auto"/>
          <w:sz w:val="24"/>
          <w:szCs w:val="24"/>
        </w:rPr>
        <w:t>地址：　</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　</w:t>
      </w:r>
    </w:p>
    <w:p>
      <w:pPr>
        <w:pStyle w:val="24"/>
        <w:spacing w:line="500" w:lineRule="exact"/>
        <w:ind w:firstLine="968" w:firstLineChars="400"/>
        <w:rPr>
          <w:rFonts w:ascii="Times New Roman" w:hAnsi="Times New Roman" w:eastAsia="MingLiU_HKSCS"/>
          <w:color w:val="auto"/>
          <w:sz w:val="24"/>
          <w:szCs w:val="24"/>
        </w:rPr>
      </w:pPr>
      <w:r>
        <w:rPr>
          <w:rFonts w:hint="eastAsia" w:ascii="Times New Roman" w:hAnsi="Times New Roman"/>
          <w:color w:val="auto"/>
          <w:sz w:val="24"/>
          <w:szCs w:val="24"/>
        </w:rPr>
        <w:t>项目联系人：</w:t>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　　</w:t>
      </w:r>
    </w:p>
    <w:p>
      <w:pPr>
        <w:pStyle w:val="24"/>
        <w:spacing w:line="500" w:lineRule="exact"/>
        <w:ind w:firstLine="968" w:firstLineChars="400"/>
        <w:rPr>
          <w:rFonts w:ascii="Times New Roman" w:hAnsi="Times New Roman" w:eastAsia="MingLiU_HKSCS"/>
          <w:color w:val="auto"/>
          <w:sz w:val="24"/>
          <w:szCs w:val="24"/>
        </w:rPr>
      </w:pPr>
      <w:r>
        <w:rPr>
          <w:rFonts w:hint="eastAsia" w:ascii="Times New Roman" w:hAnsi="Times New Roman"/>
          <w:color w:val="auto"/>
          <w:sz w:val="24"/>
          <w:szCs w:val="24"/>
        </w:rPr>
        <w:t>联系方式：　　</w:t>
      </w:r>
      <w:r>
        <w:rPr>
          <w:rFonts w:ascii="Times New Roman" w:hAnsi="Times New Roman"/>
          <w:color w:val="auto"/>
          <w:sz w:val="24"/>
          <w:szCs w:val="24"/>
        </w:rPr>
        <w:tab/>
      </w:r>
      <w:r>
        <w:rPr>
          <w:rFonts w:ascii="Times New Roman" w:hAnsi="Times New Roman"/>
          <w:color w:val="auto"/>
          <w:sz w:val="24"/>
          <w:szCs w:val="24"/>
        </w:rPr>
        <w:tab/>
      </w:r>
    </w:p>
    <w:p>
      <w:pPr>
        <w:pStyle w:val="24"/>
        <w:spacing w:line="500" w:lineRule="exact"/>
        <w:ind w:firstLine="484" w:firstLineChars="200"/>
        <w:rPr>
          <w:rFonts w:ascii="Times New Roman" w:hAnsi="Times New Roman" w:eastAsia="MingLiU_HKSCS"/>
          <w:color w:val="auto"/>
          <w:sz w:val="24"/>
          <w:szCs w:val="24"/>
        </w:rPr>
      </w:pPr>
    </w:p>
    <w:tbl>
      <w:tblPr>
        <w:tblStyle w:val="42"/>
        <w:tblW w:w="59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1" w:hRule="atLeast"/>
          <w:jc w:val="center"/>
        </w:trPr>
        <w:tc>
          <w:tcPr>
            <w:tcW w:w="5913" w:type="dxa"/>
            <w:tcBorders>
              <w:top w:val="single" w:color="auto" w:sz="4" w:space="0"/>
              <w:bottom w:val="single" w:color="auto" w:sz="4" w:space="0"/>
            </w:tcBorders>
            <w:vAlign w:val="center"/>
          </w:tcPr>
          <w:p>
            <w:pPr>
              <w:pStyle w:val="24"/>
              <w:spacing w:line="500" w:lineRule="exact"/>
              <w:jc w:val="center"/>
              <w:rPr>
                <w:rFonts w:ascii="Times New Roman" w:hAnsi="Times New Roman"/>
                <w:color w:val="auto"/>
                <w:sz w:val="24"/>
                <w:szCs w:val="24"/>
              </w:rPr>
            </w:pPr>
            <w:r>
              <w:rPr>
                <w:rFonts w:hint="eastAsia" w:ascii="Times New Roman" w:hAnsi="Times New Roman"/>
                <w:color w:val="auto"/>
                <w:sz w:val="24"/>
                <w:szCs w:val="24"/>
              </w:rPr>
              <w:t>投标保证金</w:t>
            </w:r>
            <w:r>
              <w:rPr>
                <w:rFonts w:hint="eastAsia" w:ascii="Times New Roman" w:hAnsi="Times New Roman"/>
                <w:color w:val="auto"/>
                <w:sz w:val="24"/>
                <w:szCs w:val="24"/>
                <w:lang w:eastAsia="zh-CN"/>
              </w:rPr>
              <w:t>汇款凭证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1" w:hRule="atLeast"/>
          <w:jc w:val="center"/>
        </w:trPr>
        <w:tc>
          <w:tcPr>
            <w:tcW w:w="5913" w:type="dxa"/>
            <w:tcBorders>
              <w:top w:val="single" w:color="auto" w:sz="4" w:space="0"/>
              <w:bottom w:val="single" w:color="auto" w:sz="4" w:space="0"/>
            </w:tcBorders>
            <w:vAlign w:val="center"/>
          </w:tcPr>
          <w:p>
            <w:pPr>
              <w:pStyle w:val="24"/>
              <w:spacing w:line="500" w:lineRule="exact"/>
              <w:jc w:val="center"/>
              <w:rPr>
                <w:rFonts w:ascii="Times New Roman" w:hAnsi="Times New Roman"/>
                <w:color w:val="auto"/>
                <w:sz w:val="24"/>
                <w:szCs w:val="24"/>
              </w:rPr>
            </w:pPr>
            <w:r>
              <w:rPr>
                <w:rFonts w:hint="eastAsia" w:ascii="Times New Roman" w:hAnsi="Times New Roman"/>
                <w:color w:val="auto"/>
                <w:sz w:val="24"/>
                <w:szCs w:val="24"/>
              </w:rPr>
              <w:t>开户行许可证复印件</w:t>
            </w:r>
          </w:p>
        </w:tc>
      </w:tr>
    </w:tbl>
    <w:p>
      <w:pPr>
        <w:adjustRightInd w:val="0"/>
        <w:snapToGrid w:val="0"/>
        <w:spacing w:line="360" w:lineRule="auto"/>
        <w:ind w:right="24"/>
        <w:rPr>
          <w:rFonts w:ascii="宋体" w:hAnsi="宋体"/>
          <w:color w:val="auto"/>
          <w:sz w:val="24"/>
          <w:szCs w:val="21"/>
        </w:rPr>
      </w:pPr>
    </w:p>
    <w:p>
      <w:pPr>
        <w:pStyle w:val="84"/>
        <w:spacing w:line="500" w:lineRule="exact"/>
        <w:jc w:val="center"/>
        <w:rPr>
          <w:rFonts w:ascii="宋体" w:hAnsi="宋体"/>
          <w:b/>
          <w:color w:val="auto"/>
        </w:rPr>
      </w:pPr>
    </w:p>
    <w:p>
      <w:pPr>
        <w:pStyle w:val="24"/>
        <w:ind w:firstLine="484" w:firstLineChars="200"/>
        <w:jc w:val="center"/>
        <w:rPr>
          <w:b/>
          <w:color w:val="auto"/>
          <w:sz w:val="24"/>
          <w:szCs w:val="24"/>
        </w:rPr>
      </w:pPr>
    </w:p>
    <w:p>
      <w:pPr>
        <w:pStyle w:val="24"/>
        <w:ind w:firstLine="484" w:firstLineChars="200"/>
        <w:jc w:val="center"/>
        <w:rPr>
          <w:b/>
          <w:color w:val="auto"/>
          <w:sz w:val="24"/>
          <w:szCs w:val="24"/>
        </w:rPr>
      </w:pPr>
      <w:r>
        <w:rPr>
          <w:rFonts w:hint="eastAsia"/>
          <w:b/>
          <w:color w:val="auto"/>
          <w:sz w:val="24"/>
          <w:szCs w:val="24"/>
        </w:rPr>
        <w:t>六、投标人具备投标资格的证明文件</w:t>
      </w:r>
    </w:p>
    <w:p>
      <w:pPr>
        <w:pStyle w:val="24"/>
        <w:ind w:firstLine="484" w:firstLineChars="200"/>
        <w:jc w:val="center"/>
        <w:rPr>
          <w:b/>
          <w:color w:val="auto"/>
          <w:sz w:val="24"/>
          <w:szCs w:val="24"/>
        </w:rPr>
      </w:pPr>
      <w:r>
        <w:rPr>
          <w:rFonts w:hint="eastAsia"/>
          <w:b/>
          <w:color w:val="auto"/>
          <w:sz w:val="24"/>
          <w:szCs w:val="24"/>
        </w:rPr>
        <w:t>（一）供应商基本情况表</w:t>
      </w:r>
    </w:p>
    <w:p>
      <w:pPr>
        <w:pStyle w:val="24"/>
        <w:spacing w:line="440" w:lineRule="exact"/>
        <w:ind w:firstLine="424" w:firstLineChars="200"/>
        <w:rPr>
          <w:rFonts w:asciiTheme="minorEastAsia" w:hAnsiTheme="minorEastAsia" w:eastAsiaTheme="minorEastAsia" w:cstheme="minorEastAsia"/>
          <w:color w:val="auto"/>
          <w:sz w:val="24"/>
          <w:szCs w:val="24"/>
        </w:rPr>
      </w:pPr>
      <w:r>
        <w:rPr>
          <w:rFonts w:hint="eastAsia" w:ascii="Times New Roman" w:hAnsi="Times New Roman"/>
          <w:color w:val="auto"/>
        </w:rPr>
        <w:t>　</w:t>
      </w:r>
      <w:r>
        <w:rPr>
          <w:rFonts w:hint="eastAsia" w:asciiTheme="minorEastAsia" w:hAnsiTheme="minorEastAsia" w:eastAsiaTheme="minorEastAsia" w:cstheme="minorEastAsia"/>
          <w:color w:val="auto"/>
          <w:sz w:val="24"/>
          <w:szCs w:val="24"/>
        </w:rPr>
        <w:t>投标人：(公章)</w:t>
      </w:r>
    </w:p>
    <w:tbl>
      <w:tblPr>
        <w:tblStyle w:val="42"/>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991"/>
        <w:gridCol w:w="2154"/>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943"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w:t>
            </w:r>
          </w:p>
        </w:tc>
        <w:tc>
          <w:tcPr>
            <w:tcW w:w="1991"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p>
        </w:tc>
        <w:tc>
          <w:tcPr>
            <w:tcW w:w="1528" w:type="dxa"/>
            <w:vAlign w:val="center"/>
          </w:tcPr>
          <w:p>
            <w:pPr>
              <w:pStyle w:val="24"/>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943"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统一社会信用代码</w:t>
            </w:r>
          </w:p>
        </w:tc>
        <w:tc>
          <w:tcPr>
            <w:tcW w:w="1991"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邮政编码</w:t>
            </w:r>
          </w:p>
        </w:tc>
        <w:tc>
          <w:tcPr>
            <w:tcW w:w="1528" w:type="dxa"/>
            <w:vAlign w:val="center"/>
          </w:tcPr>
          <w:p>
            <w:pPr>
              <w:pStyle w:val="24"/>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943"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w:t>
            </w:r>
          </w:p>
        </w:tc>
        <w:tc>
          <w:tcPr>
            <w:tcW w:w="1991"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tc>
        <w:tc>
          <w:tcPr>
            <w:tcW w:w="1528" w:type="dxa"/>
            <w:vAlign w:val="center"/>
          </w:tcPr>
          <w:p>
            <w:pPr>
              <w:pStyle w:val="24"/>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943"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电子邮箱</w:t>
            </w:r>
          </w:p>
        </w:tc>
        <w:tc>
          <w:tcPr>
            <w:tcW w:w="1991"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传真</w:t>
            </w:r>
          </w:p>
        </w:tc>
        <w:tc>
          <w:tcPr>
            <w:tcW w:w="1528" w:type="dxa"/>
            <w:vAlign w:val="center"/>
          </w:tcPr>
          <w:p>
            <w:pPr>
              <w:pStyle w:val="24"/>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943"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上年营业收入</w:t>
            </w:r>
          </w:p>
        </w:tc>
        <w:tc>
          <w:tcPr>
            <w:tcW w:w="1991"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员工总人数</w:t>
            </w:r>
          </w:p>
        </w:tc>
        <w:tc>
          <w:tcPr>
            <w:tcW w:w="1528" w:type="dxa"/>
            <w:vAlign w:val="center"/>
          </w:tcPr>
          <w:p>
            <w:pPr>
              <w:pStyle w:val="24"/>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943"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基本账户开户行及账号</w:t>
            </w:r>
          </w:p>
        </w:tc>
        <w:tc>
          <w:tcPr>
            <w:tcW w:w="1991"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1528" w:type="dxa"/>
            <w:vAlign w:val="center"/>
          </w:tcPr>
          <w:p>
            <w:pPr>
              <w:pStyle w:val="24"/>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943"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税务登记机关</w:t>
            </w:r>
          </w:p>
        </w:tc>
        <w:tc>
          <w:tcPr>
            <w:tcW w:w="1991"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1528" w:type="dxa"/>
            <w:vAlign w:val="center"/>
          </w:tcPr>
          <w:p>
            <w:pPr>
              <w:pStyle w:val="24"/>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943"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资质名称</w:t>
            </w:r>
          </w:p>
        </w:tc>
        <w:tc>
          <w:tcPr>
            <w:tcW w:w="1991"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等级</w:t>
            </w:r>
          </w:p>
        </w:tc>
        <w:tc>
          <w:tcPr>
            <w:tcW w:w="2154"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发证机关</w:t>
            </w:r>
          </w:p>
        </w:tc>
        <w:tc>
          <w:tcPr>
            <w:tcW w:w="1528"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943"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1991"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1528" w:type="dxa"/>
            <w:vAlign w:val="center"/>
          </w:tcPr>
          <w:p>
            <w:pPr>
              <w:pStyle w:val="24"/>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943"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1991"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1528" w:type="dxa"/>
            <w:vAlign w:val="center"/>
          </w:tcPr>
          <w:p>
            <w:pPr>
              <w:pStyle w:val="24"/>
              <w:spacing w:line="440" w:lineRule="exact"/>
              <w:jc w:val="center"/>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943" w:type="dxa"/>
            <w:vAlign w:val="center"/>
          </w:tcPr>
          <w:p>
            <w:pPr>
              <w:pStyle w:val="24"/>
              <w:spacing w:line="44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c>
          <w:tcPr>
            <w:tcW w:w="1991"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2154" w:type="dxa"/>
            <w:vAlign w:val="center"/>
          </w:tcPr>
          <w:p>
            <w:pPr>
              <w:pStyle w:val="24"/>
              <w:spacing w:line="440" w:lineRule="exact"/>
              <w:jc w:val="center"/>
              <w:rPr>
                <w:rFonts w:asciiTheme="minorEastAsia" w:hAnsiTheme="minorEastAsia" w:eastAsiaTheme="minorEastAsia" w:cstheme="minorEastAsia"/>
                <w:color w:val="auto"/>
                <w:sz w:val="24"/>
                <w:szCs w:val="24"/>
              </w:rPr>
            </w:pPr>
          </w:p>
        </w:tc>
        <w:tc>
          <w:tcPr>
            <w:tcW w:w="1528" w:type="dxa"/>
            <w:vAlign w:val="center"/>
          </w:tcPr>
          <w:p>
            <w:pPr>
              <w:pStyle w:val="24"/>
              <w:spacing w:line="440" w:lineRule="exact"/>
              <w:jc w:val="center"/>
              <w:rPr>
                <w:rFonts w:asciiTheme="minorEastAsia" w:hAnsiTheme="minorEastAsia" w:eastAsiaTheme="minorEastAsia" w:cstheme="minorEastAsia"/>
                <w:color w:val="auto"/>
                <w:sz w:val="24"/>
                <w:szCs w:val="24"/>
              </w:rPr>
            </w:pPr>
          </w:p>
        </w:tc>
      </w:tr>
    </w:tbl>
    <w:p>
      <w:pPr>
        <w:pStyle w:val="24"/>
        <w:spacing w:line="440" w:lineRule="exact"/>
        <w:ind w:firstLine="484" w:firstLineChars="200"/>
        <w:rPr>
          <w:rFonts w:asciiTheme="minorEastAsia" w:hAnsiTheme="minorEastAsia" w:eastAsiaTheme="minorEastAsia" w:cstheme="minorEastAsia"/>
          <w:color w:val="auto"/>
          <w:sz w:val="24"/>
          <w:szCs w:val="24"/>
        </w:rPr>
      </w:pPr>
    </w:p>
    <w:p>
      <w:pPr>
        <w:pStyle w:val="24"/>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附件2-1　法人或者其他组织的营业执照副本复印件或自然人的身份证明复印件</w:t>
      </w:r>
    </w:p>
    <w:p>
      <w:pPr>
        <w:pStyle w:val="24"/>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(示例略)</w:t>
      </w:r>
    </w:p>
    <w:p>
      <w:pPr>
        <w:pStyle w:val="24"/>
        <w:spacing w:line="440" w:lineRule="exact"/>
        <w:ind w:firstLine="484" w:firstLineChars="200"/>
        <w:rPr>
          <w:rFonts w:asciiTheme="minorEastAsia" w:hAnsiTheme="minorEastAsia" w:eastAsiaTheme="minorEastAsia" w:cstheme="minorEastAsia"/>
          <w:color w:val="auto"/>
          <w:sz w:val="24"/>
          <w:szCs w:val="24"/>
        </w:rPr>
      </w:pPr>
    </w:p>
    <w:p>
      <w:pPr>
        <w:pStyle w:val="24"/>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附件2-2　法人或者其他组织的税务登记证副本复印件(按规定可不进行税务登记的不提供)</w:t>
      </w:r>
    </w:p>
    <w:p>
      <w:pPr>
        <w:pStyle w:val="24"/>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(示例略)</w:t>
      </w:r>
    </w:p>
    <w:p>
      <w:pPr>
        <w:pStyle w:val="24"/>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附件2-3 “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w:t>
      </w:r>
    </w:p>
    <w:p>
      <w:pPr>
        <w:pStyle w:val="24"/>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(示例略)</w:t>
      </w:r>
    </w:p>
    <w:p>
      <w:pPr>
        <w:pStyle w:val="24"/>
        <w:spacing w:line="440" w:lineRule="exact"/>
        <w:ind w:firstLine="484" w:firstLineChars="200"/>
        <w:rPr>
          <w:rFonts w:asciiTheme="minorEastAsia" w:hAnsiTheme="minorEastAsia" w:eastAsiaTheme="minorEastAsia" w:cstheme="minorEastAsia"/>
          <w:color w:val="auto"/>
          <w:sz w:val="24"/>
          <w:szCs w:val="24"/>
        </w:rPr>
      </w:pPr>
    </w:p>
    <w:p>
      <w:pPr>
        <w:pStyle w:val="24"/>
        <w:spacing w:line="440" w:lineRule="exact"/>
        <w:ind w:firstLine="484"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附件2-4　具备履行合同所必需的设备和专业技术能力的证明材料(示例略)</w:t>
      </w:r>
    </w:p>
    <w:p>
      <w:pPr>
        <w:pStyle w:val="84"/>
        <w:spacing w:line="500" w:lineRule="exact"/>
        <w:jc w:val="center"/>
        <w:rPr>
          <w:rFonts w:ascii="宋体" w:hAnsi="宋体"/>
          <w:b/>
          <w:color w:val="auto"/>
        </w:rPr>
      </w:pPr>
      <w:r>
        <w:rPr>
          <w:color w:val="auto"/>
        </w:rPr>
        <w:br w:type="page"/>
      </w:r>
    </w:p>
    <w:p>
      <w:pPr>
        <w:pStyle w:val="84"/>
        <w:spacing w:line="500" w:lineRule="exact"/>
        <w:jc w:val="center"/>
        <w:rPr>
          <w:rFonts w:ascii="宋体" w:hAnsi="宋体"/>
          <w:b/>
          <w:color w:val="auto"/>
          <w:kern w:val="2"/>
        </w:rPr>
      </w:pPr>
      <w:r>
        <w:rPr>
          <w:rFonts w:hint="eastAsia" w:ascii="宋体" w:hAnsi="宋体"/>
          <w:b/>
          <w:color w:val="auto"/>
          <w:kern w:val="2"/>
        </w:rPr>
        <w:t>七、项目业绩表（2019年</w:t>
      </w:r>
      <w:r>
        <w:rPr>
          <w:rFonts w:hint="eastAsia" w:ascii="宋体" w:hAnsi="宋体"/>
          <w:b/>
          <w:color w:val="auto"/>
          <w:kern w:val="2"/>
          <w:lang w:val="en-US" w:eastAsia="zh-CN"/>
        </w:rPr>
        <w:t>12</w:t>
      </w:r>
      <w:r>
        <w:rPr>
          <w:rFonts w:hint="eastAsia" w:ascii="宋体" w:hAnsi="宋体"/>
          <w:b/>
          <w:color w:val="auto"/>
          <w:kern w:val="2"/>
        </w:rPr>
        <w:t>月01日至今）</w:t>
      </w:r>
    </w:p>
    <w:p>
      <w:pPr>
        <w:pStyle w:val="84"/>
        <w:spacing w:line="500" w:lineRule="exact"/>
        <w:jc w:val="center"/>
        <w:rPr>
          <w:rFonts w:ascii="宋体" w:hAnsi="宋体"/>
          <w:color w:val="auto"/>
        </w:rPr>
      </w:pPr>
    </w:p>
    <w:p>
      <w:pPr>
        <w:pStyle w:val="84"/>
        <w:spacing w:line="500" w:lineRule="exact"/>
        <w:ind w:hanging="23"/>
        <w:rPr>
          <w:rFonts w:ascii="宋体" w:hAnsi="宋体"/>
          <w:color w:val="auto"/>
        </w:rPr>
      </w:pPr>
      <w:r>
        <w:rPr>
          <w:rFonts w:hint="eastAsia"/>
          <w:color w:val="auto"/>
        </w:rPr>
        <w:t>项目名称：</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rFonts w:hint="eastAsia"/>
          <w:color w:val="auto"/>
        </w:rPr>
        <w:t>项目编号：　</w:t>
      </w:r>
    </w:p>
    <w:tbl>
      <w:tblPr>
        <w:tblStyle w:val="42"/>
        <w:tblW w:w="93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565"/>
        <w:gridCol w:w="1305"/>
        <w:gridCol w:w="1515"/>
        <w:gridCol w:w="163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72" w:type="dxa"/>
            <w:vAlign w:val="center"/>
          </w:tcPr>
          <w:p>
            <w:pPr>
              <w:pStyle w:val="84"/>
              <w:spacing w:line="360" w:lineRule="exact"/>
              <w:jc w:val="center"/>
              <w:rPr>
                <w:rFonts w:ascii="宋体" w:hAnsi="宋体"/>
                <w:color w:val="auto"/>
              </w:rPr>
            </w:pPr>
            <w:r>
              <w:rPr>
                <w:rFonts w:hint="eastAsia" w:ascii="宋体" w:hAnsi="宋体"/>
                <w:color w:val="auto"/>
              </w:rPr>
              <w:t>序号</w:t>
            </w:r>
          </w:p>
        </w:tc>
        <w:tc>
          <w:tcPr>
            <w:tcW w:w="2565" w:type="dxa"/>
            <w:vAlign w:val="center"/>
          </w:tcPr>
          <w:p>
            <w:pPr>
              <w:pStyle w:val="84"/>
              <w:spacing w:line="360" w:lineRule="exact"/>
              <w:jc w:val="center"/>
              <w:rPr>
                <w:rFonts w:ascii="宋体" w:hAnsi="宋体"/>
                <w:color w:val="auto"/>
              </w:rPr>
            </w:pPr>
            <w:r>
              <w:rPr>
                <w:rFonts w:hint="eastAsia" w:ascii="宋体" w:hAnsi="宋体"/>
                <w:color w:val="auto"/>
              </w:rPr>
              <w:t>项目名称</w:t>
            </w:r>
          </w:p>
        </w:tc>
        <w:tc>
          <w:tcPr>
            <w:tcW w:w="1305" w:type="dxa"/>
            <w:vAlign w:val="center"/>
          </w:tcPr>
          <w:p>
            <w:pPr>
              <w:pStyle w:val="84"/>
              <w:spacing w:line="360" w:lineRule="exact"/>
              <w:jc w:val="center"/>
              <w:rPr>
                <w:rFonts w:ascii="宋体" w:hAnsi="宋体"/>
                <w:color w:val="auto"/>
              </w:rPr>
            </w:pPr>
            <w:r>
              <w:rPr>
                <w:rFonts w:hint="eastAsia" w:ascii="宋体" w:hAnsi="宋体"/>
                <w:color w:val="auto"/>
              </w:rPr>
              <w:t>签订合同时间</w:t>
            </w:r>
          </w:p>
        </w:tc>
        <w:tc>
          <w:tcPr>
            <w:tcW w:w="1515" w:type="dxa"/>
            <w:vAlign w:val="center"/>
          </w:tcPr>
          <w:p>
            <w:pPr>
              <w:pStyle w:val="84"/>
              <w:spacing w:line="360" w:lineRule="exact"/>
              <w:jc w:val="center"/>
              <w:rPr>
                <w:rFonts w:ascii="宋体" w:hAnsi="宋体"/>
                <w:color w:val="auto"/>
              </w:rPr>
            </w:pPr>
            <w:r>
              <w:rPr>
                <w:rFonts w:hint="eastAsia" w:ascii="宋体" w:hAnsi="宋体"/>
                <w:color w:val="auto"/>
              </w:rPr>
              <w:t>合同金额（万元）</w:t>
            </w:r>
          </w:p>
        </w:tc>
        <w:tc>
          <w:tcPr>
            <w:tcW w:w="1635" w:type="dxa"/>
            <w:vAlign w:val="center"/>
          </w:tcPr>
          <w:p>
            <w:pPr>
              <w:pStyle w:val="84"/>
              <w:spacing w:line="360" w:lineRule="exact"/>
              <w:jc w:val="center"/>
              <w:rPr>
                <w:rFonts w:ascii="宋体" w:hAnsi="宋体"/>
                <w:color w:val="auto"/>
              </w:rPr>
            </w:pPr>
            <w:r>
              <w:rPr>
                <w:rFonts w:hint="eastAsia" w:ascii="宋体" w:hAnsi="宋体"/>
                <w:color w:val="auto"/>
              </w:rPr>
              <w:t>业绩证明材料所在页码</w:t>
            </w:r>
          </w:p>
        </w:tc>
        <w:tc>
          <w:tcPr>
            <w:tcW w:w="1590" w:type="dxa"/>
            <w:vAlign w:val="center"/>
          </w:tcPr>
          <w:p>
            <w:pPr>
              <w:pStyle w:val="84"/>
              <w:spacing w:line="360" w:lineRule="exact"/>
              <w:jc w:val="center"/>
              <w:rPr>
                <w:rFonts w:ascii="宋体" w:hAnsi="宋体"/>
                <w:color w:val="auto"/>
              </w:rPr>
            </w:pPr>
            <w:r>
              <w:rPr>
                <w:rFonts w:hint="eastAsia" w:ascii="宋体" w:hAns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4"/>
              <w:spacing w:line="500" w:lineRule="exact"/>
              <w:rPr>
                <w:rFonts w:ascii="宋体" w:hAnsi="宋体"/>
                <w:color w:val="auto"/>
              </w:rPr>
            </w:pPr>
          </w:p>
        </w:tc>
        <w:tc>
          <w:tcPr>
            <w:tcW w:w="2565" w:type="dxa"/>
          </w:tcPr>
          <w:p>
            <w:pPr>
              <w:pStyle w:val="84"/>
              <w:spacing w:line="500" w:lineRule="exact"/>
              <w:rPr>
                <w:rFonts w:ascii="宋体" w:hAnsi="宋体"/>
                <w:color w:val="auto"/>
              </w:rPr>
            </w:pPr>
          </w:p>
        </w:tc>
        <w:tc>
          <w:tcPr>
            <w:tcW w:w="1305" w:type="dxa"/>
          </w:tcPr>
          <w:p>
            <w:pPr>
              <w:pStyle w:val="84"/>
              <w:spacing w:line="500" w:lineRule="exact"/>
              <w:rPr>
                <w:rFonts w:ascii="宋体" w:hAnsi="宋体"/>
                <w:color w:val="auto"/>
              </w:rPr>
            </w:pPr>
          </w:p>
        </w:tc>
        <w:tc>
          <w:tcPr>
            <w:tcW w:w="1515" w:type="dxa"/>
          </w:tcPr>
          <w:p>
            <w:pPr>
              <w:pStyle w:val="84"/>
              <w:spacing w:line="500" w:lineRule="exact"/>
              <w:rPr>
                <w:rFonts w:ascii="宋体" w:hAnsi="宋体"/>
                <w:color w:val="auto"/>
              </w:rPr>
            </w:pPr>
          </w:p>
        </w:tc>
        <w:tc>
          <w:tcPr>
            <w:tcW w:w="1635" w:type="dxa"/>
          </w:tcPr>
          <w:p>
            <w:pPr>
              <w:pStyle w:val="84"/>
              <w:spacing w:line="500" w:lineRule="exact"/>
              <w:rPr>
                <w:rFonts w:ascii="宋体" w:hAnsi="宋体"/>
                <w:color w:val="auto"/>
              </w:rPr>
            </w:pPr>
          </w:p>
        </w:tc>
        <w:tc>
          <w:tcPr>
            <w:tcW w:w="1590" w:type="dxa"/>
          </w:tcPr>
          <w:p>
            <w:pPr>
              <w:pStyle w:val="84"/>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4"/>
              <w:spacing w:line="500" w:lineRule="exact"/>
              <w:rPr>
                <w:rFonts w:ascii="宋体" w:hAnsi="宋体"/>
                <w:color w:val="auto"/>
              </w:rPr>
            </w:pPr>
          </w:p>
        </w:tc>
        <w:tc>
          <w:tcPr>
            <w:tcW w:w="2565" w:type="dxa"/>
          </w:tcPr>
          <w:p>
            <w:pPr>
              <w:pStyle w:val="84"/>
              <w:spacing w:line="500" w:lineRule="exact"/>
              <w:rPr>
                <w:rFonts w:ascii="宋体" w:hAnsi="宋体"/>
                <w:color w:val="auto"/>
              </w:rPr>
            </w:pPr>
          </w:p>
        </w:tc>
        <w:tc>
          <w:tcPr>
            <w:tcW w:w="1305" w:type="dxa"/>
          </w:tcPr>
          <w:p>
            <w:pPr>
              <w:pStyle w:val="84"/>
              <w:spacing w:line="500" w:lineRule="exact"/>
              <w:rPr>
                <w:rFonts w:ascii="宋体" w:hAnsi="宋体"/>
                <w:color w:val="auto"/>
              </w:rPr>
            </w:pPr>
          </w:p>
        </w:tc>
        <w:tc>
          <w:tcPr>
            <w:tcW w:w="1515" w:type="dxa"/>
          </w:tcPr>
          <w:p>
            <w:pPr>
              <w:pStyle w:val="84"/>
              <w:spacing w:line="500" w:lineRule="exact"/>
              <w:rPr>
                <w:rFonts w:ascii="宋体" w:hAnsi="宋体"/>
                <w:color w:val="auto"/>
              </w:rPr>
            </w:pPr>
          </w:p>
        </w:tc>
        <w:tc>
          <w:tcPr>
            <w:tcW w:w="1635" w:type="dxa"/>
          </w:tcPr>
          <w:p>
            <w:pPr>
              <w:pStyle w:val="84"/>
              <w:spacing w:line="500" w:lineRule="exact"/>
              <w:rPr>
                <w:rFonts w:ascii="宋体" w:hAnsi="宋体"/>
                <w:color w:val="auto"/>
              </w:rPr>
            </w:pPr>
          </w:p>
        </w:tc>
        <w:tc>
          <w:tcPr>
            <w:tcW w:w="1590" w:type="dxa"/>
          </w:tcPr>
          <w:p>
            <w:pPr>
              <w:pStyle w:val="84"/>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4"/>
              <w:spacing w:line="500" w:lineRule="exact"/>
              <w:rPr>
                <w:rFonts w:ascii="宋体" w:hAnsi="宋体"/>
                <w:color w:val="auto"/>
              </w:rPr>
            </w:pPr>
          </w:p>
        </w:tc>
        <w:tc>
          <w:tcPr>
            <w:tcW w:w="2565" w:type="dxa"/>
          </w:tcPr>
          <w:p>
            <w:pPr>
              <w:pStyle w:val="84"/>
              <w:spacing w:line="500" w:lineRule="exact"/>
              <w:rPr>
                <w:rFonts w:ascii="宋体" w:hAnsi="宋体"/>
                <w:color w:val="auto"/>
              </w:rPr>
            </w:pPr>
          </w:p>
        </w:tc>
        <w:tc>
          <w:tcPr>
            <w:tcW w:w="1305" w:type="dxa"/>
          </w:tcPr>
          <w:p>
            <w:pPr>
              <w:pStyle w:val="84"/>
              <w:spacing w:line="500" w:lineRule="exact"/>
              <w:rPr>
                <w:rFonts w:ascii="宋体" w:hAnsi="宋体"/>
                <w:color w:val="auto"/>
              </w:rPr>
            </w:pPr>
          </w:p>
        </w:tc>
        <w:tc>
          <w:tcPr>
            <w:tcW w:w="1515" w:type="dxa"/>
          </w:tcPr>
          <w:p>
            <w:pPr>
              <w:pStyle w:val="84"/>
              <w:spacing w:line="500" w:lineRule="exact"/>
              <w:rPr>
                <w:rFonts w:ascii="宋体" w:hAnsi="宋体"/>
                <w:color w:val="auto"/>
              </w:rPr>
            </w:pPr>
          </w:p>
        </w:tc>
        <w:tc>
          <w:tcPr>
            <w:tcW w:w="1635" w:type="dxa"/>
          </w:tcPr>
          <w:p>
            <w:pPr>
              <w:pStyle w:val="84"/>
              <w:spacing w:line="500" w:lineRule="exact"/>
              <w:rPr>
                <w:rFonts w:ascii="宋体" w:hAnsi="宋体"/>
                <w:color w:val="auto"/>
              </w:rPr>
            </w:pPr>
          </w:p>
        </w:tc>
        <w:tc>
          <w:tcPr>
            <w:tcW w:w="1590" w:type="dxa"/>
          </w:tcPr>
          <w:p>
            <w:pPr>
              <w:pStyle w:val="84"/>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4"/>
              <w:spacing w:line="500" w:lineRule="exact"/>
              <w:rPr>
                <w:rFonts w:ascii="宋体" w:hAnsi="宋体"/>
                <w:color w:val="auto"/>
              </w:rPr>
            </w:pPr>
          </w:p>
        </w:tc>
        <w:tc>
          <w:tcPr>
            <w:tcW w:w="2565" w:type="dxa"/>
          </w:tcPr>
          <w:p>
            <w:pPr>
              <w:pStyle w:val="84"/>
              <w:spacing w:line="500" w:lineRule="exact"/>
              <w:rPr>
                <w:rFonts w:ascii="宋体" w:hAnsi="宋体"/>
                <w:color w:val="auto"/>
              </w:rPr>
            </w:pPr>
          </w:p>
        </w:tc>
        <w:tc>
          <w:tcPr>
            <w:tcW w:w="1305" w:type="dxa"/>
          </w:tcPr>
          <w:p>
            <w:pPr>
              <w:pStyle w:val="84"/>
              <w:spacing w:line="500" w:lineRule="exact"/>
              <w:rPr>
                <w:rFonts w:ascii="宋体" w:hAnsi="宋体"/>
                <w:color w:val="auto"/>
              </w:rPr>
            </w:pPr>
          </w:p>
        </w:tc>
        <w:tc>
          <w:tcPr>
            <w:tcW w:w="1515" w:type="dxa"/>
          </w:tcPr>
          <w:p>
            <w:pPr>
              <w:pStyle w:val="84"/>
              <w:spacing w:line="500" w:lineRule="exact"/>
              <w:rPr>
                <w:rFonts w:ascii="宋体" w:hAnsi="宋体"/>
                <w:color w:val="auto"/>
              </w:rPr>
            </w:pPr>
          </w:p>
        </w:tc>
        <w:tc>
          <w:tcPr>
            <w:tcW w:w="1635" w:type="dxa"/>
          </w:tcPr>
          <w:p>
            <w:pPr>
              <w:pStyle w:val="84"/>
              <w:spacing w:line="500" w:lineRule="exact"/>
              <w:rPr>
                <w:rFonts w:ascii="宋体" w:hAnsi="宋体"/>
                <w:color w:val="auto"/>
              </w:rPr>
            </w:pPr>
          </w:p>
        </w:tc>
        <w:tc>
          <w:tcPr>
            <w:tcW w:w="1590" w:type="dxa"/>
          </w:tcPr>
          <w:p>
            <w:pPr>
              <w:pStyle w:val="84"/>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4"/>
              <w:spacing w:line="500" w:lineRule="exact"/>
              <w:rPr>
                <w:rFonts w:ascii="宋体" w:hAnsi="宋体"/>
                <w:color w:val="auto"/>
              </w:rPr>
            </w:pPr>
          </w:p>
        </w:tc>
        <w:tc>
          <w:tcPr>
            <w:tcW w:w="2565" w:type="dxa"/>
          </w:tcPr>
          <w:p>
            <w:pPr>
              <w:pStyle w:val="84"/>
              <w:spacing w:line="500" w:lineRule="exact"/>
              <w:rPr>
                <w:rFonts w:ascii="宋体" w:hAnsi="宋体"/>
                <w:color w:val="auto"/>
              </w:rPr>
            </w:pPr>
          </w:p>
        </w:tc>
        <w:tc>
          <w:tcPr>
            <w:tcW w:w="1305" w:type="dxa"/>
          </w:tcPr>
          <w:p>
            <w:pPr>
              <w:pStyle w:val="84"/>
              <w:spacing w:line="500" w:lineRule="exact"/>
              <w:rPr>
                <w:rFonts w:ascii="宋体" w:hAnsi="宋体"/>
                <w:color w:val="auto"/>
              </w:rPr>
            </w:pPr>
          </w:p>
        </w:tc>
        <w:tc>
          <w:tcPr>
            <w:tcW w:w="1515" w:type="dxa"/>
          </w:tcPr>
          <w:p>
            <w:pPr>
              <w:pStyle w:val="84"/>
              <w:spacing w:line="500" w:lineRule="exact"/>
              <w:rPr>
                <w:rFonts w:ascii="宋体" w:hAnsi="宋体"/>
                <w:color w:val="auto"/>
              </w:rPr>
            </w:pPr>
          </w:p>
        </w:tc>
        <w:tc>
          <w:tcPr>
            <w:tcW w:w="1635" w:type="dxa"/>
          </w:tcPr>
          <w:p>
            <w:pPr>
              <w:pStyle w:val="84"/>
              <w:spacing w:line="500" w:lineRule="exact"/>
              <w:rPr>
                <w:rFonts w:ascii="宋体" w:hAnsi="宋体"/>
                <w:color w:val="auto"/>
              </w:rPr>
            </w:pPr>
          </w:p>
        </w:tc>
        <w:tc>
          <w:tcPr>
            <w:tcW w:w="1590" w:type="dxa"/>
          </w:tcPr>
          <w:p>
            <w:pPr>
              <w:pStyle w:val="84"/>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4"/>
              <w:spacing w:line="500" w:lineRule="exact"/>
              <w:rPr>
                <w:rFonts w:ascii="宋体" w:hAnsi="宋体"/>
                <w:color w:val="auto"/>
              </w:rPr>
            </w:pPr>
          </w:p>
        </w:tc>
        <w:tc>
          <w:tcPr>
            <w:tcW w:w="2565" w:type="dxa"/>
          </w:tcPr>
          <w:p>
            <w:pPr>
              <w:pStyle w:val="84"/>
              <w:spacing w:line="500" w:lineRule="exact"/>
              <w:rPr>
                <w:rFonts w:ascii="宋体" w:hAnsi="宋体"/>
                <w:color w:val="auto"/>
              </w:rPr>
            </w:pPr>
          </w:p>
        </w:tc>
        <w:tc>
          <w:tcPr>
            <w:tcW w:w="1305" w:type="dxa"/>
          </w:tcPr>
          <w:p>
            <w:pPr>
              <w:pStyle w:val="84"/>
              <w:spacing w:line="500" w:lineRule="exact"/>
              <w:rPr>
                <w:rFonts w:ascii="宋体" w:hAnsi="宋体"/>
                <w:color w:val="auto"/>
              </w:rPr>
            </w:pPr>
          </w:p>
        </w:tc>
        <w:tc>
          <w:tcPr>
            <w:tcW w:w="1515" w:type="dxa"/>
          </w:tcPr>
          <w:p>
            <w:pPr>
              <w:pStyle w:val="84"/>
              <w:spacing w:line="500" w:lineRule="exact"/>
              <w:rPr>
                <w:rFonts w:ascii="宋体" w:hAnsi="宋体"/>
                <w:color w:val="auto"/>
              </w:rPr>
            </w:pPr>
          </w:p>
        </w:tc>
        <w:tc>
          <w:tcPr>
            <w:tcW w:w="1635" w:type="dxa"/>
          </w:tcPr>
          <w:p>
            <w:pPr>
              <w:pStyle w:val="84"/>
              <w:spacing w:line="500" w:lineRule="exact"/>
              <w:rPr>
                <w:rFonts w:ascii="宋体" w:hAnsi="宋体"/>
                <w:color w:val="auto"/>
              </w:rPr>
            </w:pPr>
          </w:p>
        </w:tc>
        <w:tc>
          <w:tcPr>
            <w:tcW w:w="1590" w:type="dxa"/>
          </w:tcPr>
          <w:p>
            <w:pPr>
              <w:pStyle w:val="84"/>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4"/>
              <w:spacing w:line="500" w:lineRule="exact"/>
              <w:rPr>
                <w:rFonts w:ascii="宋体" w:hAnsi="宋体"/>
                <w:color w:val="auto"/>
              </w:rPr>
            </w:pPr>
          </w:p>
        </w:tc>
        <w:tc>
          <w:tcPr>
            <w:tcW w:w="2565" w:type="dxa"/>
          </w:tcPr>
          <w:p>
            <w:pPr>
              <w:pStyle w:val="84"/>
              <w:spacing w:line="500" w:lineRule="exact"/>
              <w:rPr>
                <w:rFonts w:ascii="宋体" w:hAnsi="宋体"/>
                <w:color w:val="auto"/>
              </w:rPr>
            </w:pPr>
          </w:p>
        </w:tc>
        <w:tc>
          <w:tcPr>
            <w:tcW w:w="1305" w:type="dxa"/>
          </w:tcPr>
          <w:p>
            <w:pPr>
              <w:pStyle w:val="84"/>
              <w:spacing w:line="500" w:lineRule="exact"/>
              <w:rPr>
                <w:rFonts w:ascii="宋体" w:hAnsi="宋体"/>
                <w:color w:val="auto"/>
              </w:rPr>
            </w:pPr>
          </w:p>
        </w:tc>
        <w:tc>
          <w:tcPr>
            <w:tcW w:w="1515" w:type="dxa"/>
          </w:tcPr>
          <w:p>
            <w:pPr>
              <w:pStyle w:val="84"/>
              <w:spacing w:line="500" w:lineRule="exact"/>
              <w:rPr>
                <w:rFonts w:ascii="宋体" w:hAnsi="宋体"/>
                <w:color w:val="auto"/>
              </w:rPr>
            </w:pPr>
          </w:p>
        </w:tc>
        <w:tc>
          <w:tcPr>
            <w:tcW w:w="1635" w:type="dxa"/>
          </w:tcPr>
          <w:p>
            <w:pPr>
              <w:pStyle w:val="84"/>
              <w:spacing w:line="500" w:lineRule="exact"/>
              <w:rPr>
                <w:rFonts w:ascii="宋体" w:hAnsi="宋体"/>
                <w:color w:val="auto"/>
              </w:rPr>
            </w:pPr>
          </w:p>
        </w:tc>
        <w:tc>
          <w:tcPr>
            <w:tcW w:w="1590" w:type="dxa"/>
          </w:tcPr>
          <w:p>
            <w:pPr>
              <w:pStyle w:val="84"/>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4"/>
              <w:spacing w:line="500" w:lineRule="exact"/>
              <w:rPr>
                <w:rFonts w:ascii="宋体" w:hAnsi="宋体"/>
                <w:color w:val="auto"/>
              </w:rPr>
            </w:pPr>
          </w:p>
        </w:tc>
        <w:tc>
          <w:tcPr>
            <w:tcW w:w="2565" w:type="dxa"/>
          </w:tcPr>
          <w:p>
            <w:pPr>
              <w:pStyle w:val="84"/>
              <w:spacing w:line="500" w:lineRule="exact"/>
              <w:rPr>
                <w:rFonts w:ascii="宋体" w:hAnsi="宋体"/>
                <w:color w:val="auto"/>
              </w:rPr>
            </w:pPr>
          </w:p>
        </w:tc>
        <w:tc>
          <w:tcPr>
            <w:tcW w:w="1305" w:type="dxa"/>
          </w:tcPr>
          <w:p>
            <w:pPr>
              <w:pStyle w:val="84"/>
              <w:spacing w:line="500" w:lineRule="exact"/>
              <w:rPr>
                <w:rFonts w:ascii="宋体" w:hAnsi="宋体"/>
                <w:color w:val="auto"/>
              </w:rPr>
            </w:pPr>
          </w:p>
        </w:tc>
        <w:tc>
          <w:tcPr>
            <w:tcW w:w="1515" w:type="dxa"/>
          </w:tcPr>
          <w:p>
            <w:pPr>
              <w:pStyle w:val="84"/>
              <w:spacing w:line="500" w:lineRule="exact"/>
              <w:rPr>
                <w:rFonts w:ascii="宋体" w:hAnsi="宋体"/>
                <w:color w:val="auto"/>
              </w:rPr>
            </w:pPr>
          </w:p>
        </w:tc>
        <w:tc>
          <w:tcPr>
            <w:tcW w:w="1635" w:type="dxa"/>
          </w:tcPr>
          <w:p>
            <w:pPr>
              <w:pStyle w:val="84"/>
              <w:spacing w:line="500" w:lineRule="exact"/>
              <w:rPr>
                <w:rFonts w:ascii="宋体" w:hAnsi="宋体"/>
                <w:color w:val="auto"/>
              </w:rPr>
            </w:pPr>
          </w:p>
        </w:tc>
        <w:tc>
          <w:tcPr>
            <w:tcW w:w="1590" w:type="dxa"/>
          </w:tcPr>
          <w:p>
            <w:pPr>
              <w:pStyle w:val="84"/>
              <w:spacing w:line="500" w:lineRule="exact"/>
              <w:rPr>
                <w:rFonts w:ascii="宋体" w:hAnsi="宋体"/>
                <w:color w:val="auto"/>
              </w:rPr>
            </w:pPr>
          </w:p>
        </w:tc>
      </w:tr>
    </w:tbl>
    <w:p>
      <w:pPr>
        <w:spacing w:line="500" w:lineRule="exact"/>
        <w:ind w:firstLine="484" w:firstLineChars="200"/>
        <w:rPr>
          <w:rFonts w:ascii="宋体" w:hAnsi="宋体"/>
          <w:color w:val="auto"/>
          <w:sz w:val="24"/>
          <w:szCs w:val="24"/>
        </w:rPr>
      </w:pPr>
      <w:r>
        <w:rPr>
          <w:rFonts w:hint="eastAsia" w:ascii="宋体" w:hAnsi="宋体" w:cs="仿宋_GB2312"/>
          <w:color w:val="auto"/>
          <w:sz w:val="24"/>
          <w:szCs w:val="24"/>
        </w:rPr>
        <w:t>注：</w:t>
      </w:r>
      <w:r>
        <w:rPr>
          <w:rFonts w:hint="eastAsia" w:ascii="宋体" w:hAnsi="宋体" w:cs="仿宋_GB2312"/>
          <w:b/>
          <w:bCs/>
          <w:color w:val="auto"/>
          <w:sz w:val="24"/>
          <w:szCs w:val="24"/>
        </w:rPr>
        <w:t>近两年（2019年</w:t>
      </w:r>
      <w:r>
        <w:rPr>
          <w:rFonts w:hint="eastAsia" w:ascii="宋体" w:hAnsi="宋体" w:cs="仿宋_GB2312"/>
          <w:b/>
          <w:bCs/>
          <w:color w:val="auto"/>
          <w:sz w:val="24"/>
          <w:szCs w:val="24"/>
          <w:lang w:val="en-US" w:eastAsia="zh-CN"/>
        </w:rPr>
        <w:t>12</w:t>
      </w:r>
      <w:r>
        <w:rPr>
          <w:rFonts w:hint="eastAsia" w:ascii="宋体" w:hAnsi="宋体" w:cs="仿宋_GB2312"/>
          <w:b/>
          <w:bCs/>
          <w:color w:val="auto"/>
          <w:sz w:val="24"/>
          <w:szCs w:val="24"/>
        </w:rPr>
        <w:t>月01日至今）类似项目（附合同或中标通知书或成交通知书）。</w:t>
      </w:r>
    </w:p>
    <w:p>
      <w:pPr>
        <w:adjustRightInd w:val="0"/>
        <w:snapToGrid w:val="0"/>
        <w:spacing w:line="360" w:lineRule="auto"/>
        <w:ind w:firstLine="484" w:firstLineChars="200"/>
        <w:rPr>
          <w:rFonts w:ascii="宋体" w:hAnsi="宋体"/>
          <w:color w:val="auto"/>
          <w:sz w:val="24"/>
          <w:szCs w:val="21"/>
        </w:rPr>
      </w:pPr>
    </w:p>
    <w:p>
      <w:pPr>
        <w:adjustRightInd w:val="0"/>
        <w:snapToGrid w:val="0"/>
        <w:spacing w:line="360" w:lineRule="auto"/>
        <w:rPr>
          <w:rFonts w:ascii="宋体" w:hAnsi="宋体"/>
          <w:color w:val="auto"/>
          <w:sz w:val="24"/>
          <w:szCs w:val="21"/>
        </w:rPr>
      </w:pPr>
    </w:p>
    <w:p>
      <w:pPr>
        <w:adjustRightInd w:val="0"/>
        <w:snapToGrid w:val="0"/>
        <w:spacing w:line="360" w:lineRule="auto"/>
        <w:ind w:firstLine="484" w:firstLineChars="200"/>
        <w:rPr>
          <w:rFonts w:ascii="宋体" w:hAnsi="宋体"/>
          <w:color w:val="auto"/>
          <w:sz w:val="24"/>
          <w:szCs w:val="21"/>
        </w:rPr>
      </w:pPr>
    </w:p>
    <w:p>
      <w:pPr>
        <w:adjustRightInd w:val="0"/>
        <w:snapToGrid w:val="0"/>
        <w:spacing w:line="360" w:lineRule="auto"/>
        <w:ind w:firstLine="484" w:firstLineChars="200"/>
        <w:rPr>
          <w:rFonts w:ascii="宋体" w:hAnsi="宋体"/>
          <w:color w:val="auto"/>
          <w:sz w:val="24"/>
          <w:szCs w:val="21"/>
        </w:rPr>
      </w:pPr>
      <w:r>
        <w:rPr>
          <w:rFonts w:hint="eastAsia" w:ascii="宋体" w:hAnsi="宋体"/>
          <w:color w:val="auto"/>
          <w:sz w:val="24"/>
          <w:szCs w:val="21"/>
        </w:rPr>
        <w:t>投标人（盖单位章）：</w:t>
      </w:r>
    </w:p>
    <w:p>
      <w:pPr>
        <w:adjustRightInd w:val="0"/>
        <w:snapToGrid w:val="0"/>
        <w:spacing w:line="360" w:lineRule="auto"/>
        <w:ind w:left="483" w:leftChars="228" w:firstLine="9438" w:firstLineChars="3900"/>
        <w:rPr>
          <w:rFonts w:ascii="宋体" w:hAnsi="宋体"/>
          <w:color w:val="auto"/>
          <w:sz w:val="24"/>
          <w:szCs w:val="21"/>
        </w:rPr>
      </w:pPr>
      <w:r>
        <w:rPr>
          <w:rFonts w:hint="eastAsia" w:ascii="宋体" w:hAnsi="宋体"/>
          <w:color w:val="auto"/>
          <w:sz w:val="24"/>
          <w:szCs w:val="21"/>
        </w:rPr>
        <w:t xml:space="preserve"> 法定代表人或其委托代理人签字：</w:t>
      </w:r>
      <w:r>
        <w:rPr>
          <w:rFonts w:hint="eastAsia" w:ascii="宋体" w:hAnsi="宋体"/>
          <w:color w:val="auto"/>
          <w:sz w:val="24"/>
          <w:szCs w:val="21"/>
          <w:u w:val="single"/>
        </w:rPr>
        <w:t xml:space="preserve">       </w:t>
      </w:r>
    </w:p>
    <w:p>
      <w:pPr>
        <w:adjustRightInd w:val="0"/>
        <w:snapToGrid w:val="0"/>
        <w:spacing w:line="360" w:lineRule="auto"/>
        <w:ind w:left="483" w:leftChars="228" w:right="24" w:firstLine="9438" w:firstLineChars="3900"/>
        <w:rPr>
          <w:rFonts w:ascii="宋体" w:hAnsi="宋体"/>
          <w:color w:val="auto"/>
          <w:sz w:val="24"/>
          <w:szCs w:val="21"/>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adjustRightInd w:val="0"/>
        <w:snapToGrid w:val="0"/>
        <w:spacing w:line="360" w:lineRule="auto"/>
        <w:ind w:left="483" w:leftChars="228" w:right="24" w:firstLine="9438" w:firstLineChars="3900"/>
        <w:rPr>
          <w:rFonts w:ascii="宋体" w:hAnsi="宋体"/>
          <w:color w:val="auto"/>
          <w:sz w:val="24"/>
          <w:szCs w:val="21"/>
        </w:rPr>
      </w:pPr>
    </w:p>
    <w:p>
      <w:pPr>
        <w:spacing w:line="500" w:lineRule="exact"/>
        <w:rPr>
          <w:rFonts w:ascii="宋体" w:hAnsi="宋体"/>
          <w:color w:val="auto"/>
          <w:sz w:val="24"/>
          <w:szCs w:val="24"/>
        </w:rPr>
      </w:pPr>
    </w:p>
    <w:p>
      <w:pPr>
        <w:pStyle w:val="2"/>
        <w:rPr>
          <w:color w:val="auto"/>
        </w:rPr>
      </w:pPr>
    </w:p>
    <w:p>
      <w:pPr>
        <w:pStyle w:val="24"/>
        <w:ind w:firstLine="424" w:firstLineChars="200"/>
        <w:rPr>
          <w:color w:val="auto"/>
          <w:szCs w:val="24"/>
        </w:rPr>
      </w:pPr>
    </w:p>
    <w:p>
      <w:pPr>
        <w:pStyle w:val="24"/>
        <w:jc w:val="center"/>
        <w:rPr>
          <w:rFonts w:ascii="Times New Roman" w:hAnsi="Times New Roman" w:eastAsia="MingLiU_HKSCS"/>
          <w:b/>
          <w:bCs/>
          <w:color w:val="auto"/>
          <w:sz w:val="24"/>
          <w:szCs w:val="24"/>
        </w:rPr>
      </w:pPr>
      <w:r>
        <w:rPr>
          <w:rFonts w:hint="eastAsia" w:ascii="Times New Roman" w:hAnsi="Times New Roman"/>
          <w:b/>
          <w:bCs/>
          <w:color w:val="auto"/>
          <w:sz w:val="24"/>
          <w:szCs w:val="24"/>
        </w:rPr>
        <w:t>八、提供符合政府采购政策的证明材料</w:t>
      </w:r>
    </w:p>
    <w:p>
      <w:pPr>
        <w:pStyle w:val="24"/>
        <w:spacing w:line="440" w:lineRule="exact"/>
        <w:ind w:firstLine="484" w:firstLineChars="200"/>
        <w:rPr>
          <w:rFonts w:ascii="Times New Roman" w:hAnsi="Times New Roman"/>
          <w:color w:val="auto"/>
          <w:sz w:val="24"/>
          <w:szCs w:val="24"/>
        </w:rPr>
      </w:pPr>
      <w:r>
        <w:rPr>
          <w:rFonts w:hint="eastAsia" w:ascii="Times New Roman" w:hAnsi="Times New Roman"/>
          <w:color w:val="auto"/>
          <w:sz w:val="24"/>
          <w:szCs w:val="24"/>
        </w:rPr>
        <w:t>附件3-1</w:t>
      </w:r>
    </w:p>
    <w:p>
      <w:pPr>
        <w:tabs>
          <w:tab w:val="left" w:pos="814"/>
        </w:tabs>
        <w:spacing w:line="440" w:lineRule="exact"/>
        <w:jc w:val="center"/>
        <w:rPr>
          <w:color w:val="auto"/>
          <w:sz w:val="24"/>
          <w:szCs w:val="24"/>
        </w:rPr>
      </w:pPr>
      <w:r>
        <w:rPr>
          <w:rFonts w:hint="eastAsia"/>
          <w:color w:val="auto"/>
          <w:sz w:val="24"/>
          <w:szCs w:val="24"/>
        </w:rPr>
        <w:t>中小企业声明函</w:t>
      </w: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本单位郑重声明</w:t>
      </w:r>
      <w:r>
        <w:rPr>
          <w:rFonts w:hint="eastAsia" w:ascii="Times New Roman" w:hAnsi="Times New Roman" w:eastAsia="MingLiU_HKSCS"/>
          <w:color w:val="auto"/>
          <w:sz w:val="24"/>
          <w:szCs w:val="24"/>
        </w:rPr>
        <w:t>，</w:t>
      </w:r>
      <w:r>
        <w:rPr>
          <w:rFonts w:hint="eastAsia" w:ascii="Times New Roman" w:hAnsi="Times New Roman"/>
          <w:color w:val="auto"/>
          <w:sz w:val="24"/>
          <w:szCs w:val="24"/>
        </w:rPr>
        <w:t>根据《政府采购促进中小企业发展暂行办法》</w:t>
      </w:r>
      <w:r>
        <w:rPr>
          <w:rFonts w:ascii="Times New Roman" w:hAnsi="Times New Roman"/>
          <w:color w:val="auto"/>
          <w:sz w:val="24"/>
          <w:szCs w:val="24"/>
        </w:rPr>
        <w:t>(</w:t>
      </w:r>
      <w:r>
        <w:rPr>
          <w:rFonts w:hint="eastAsia" w:ascii="Times New Roman" w:hAnsi="Times New Roman"/>
          <w:color w:val="auto"/>
          <w:sz w:val="24"/>
          <w:szCs w:val="24"/>
        </w:rPr>
        <w:t>财库〔</w:t>
      </w:r>
      <w:r>
        <w:rPr>
          <w:rFonts w:ascii="Times New Roman" w:hAnsi="Times New Roman"/>
          <w:color w:val="auto"/>
          <w:sz w:val="24"/>
          <w:szCs w:val="24"/>
        </w:rPr>
        <w:t>2011</w:t>
      </w:r>
      <w:r>
        <w:rPr>
          <w:rFonts w:hint="eastAsia" w:ascii="Times New Roman" w:hAnsi="Times New Roman"/>
          <w:color w:val="auto"/>
          <w:sz w:val="24"/>
          <w:szCs w:val="24"/>
        </w:rPr>
        <w:t>〕</w:t>
      </w:r>
      <w:r>
        <w:rPr>
          <w:rFonts w:ascii="Times New Roman" w:hAnsi="Times New Roman"/>
          <w:color w:val="auto"/>
          <w:sz w:val="24"/>
          <w:szCs w:val="24"/>
        </w:rPr>
        <w:t>181</w:t>
      </w:r>
      <w:r>
        <w:rPr>
          <w:rFonts w:hint="eastAsia" w:ascii="Times New Roman" w:hAnsi="Times New Roman"/>
          <w:color w:val="auto"/>
          <w:sz w:val="24"/>
          <w:szCs w:val="24"/>
        </w:rPr>
        <w:t>号</w:t>
      </w:r>
      <w:r>
        <w:rPr>
          <w:rFonts w:ascii="Times New Roman" w:hAnsi="Times New Roman"/>
          <w:color w:val="auto"/>
          <w:sz w:val="24"/>
          <w:szCs w:val="24"/>
        </w:rPr>
        <w:t>)</w:t>
      </w:r>
      <w:r>
        <w:rPr>
          <w:rFonts w:hint="eastAsia" w:ascii="Times New Roman" w:hAnsi="Times New Roman"/>
          <w:color w:val="auto"/>
          <w:sz w:val="24"/>
          <w:szCs w:val="24"/>
        </w:rPr>
        <w:t>的规定</w:t>
      </w:r>
      <w:r>
        <w:rPr>
          <w:rFonts w:hint="eastAsia" w:ascii="Times New Roman" w:hAnsi="Times New Roman" w:eastAsia="MingLiU_HKSCS"/>
          <w:color w:val="auto"/>
          <w:sz w:val="24"/>
          <w:szCs w:val="24"/>
        </w:rPr>
        <w:t>，</w:t>
      </w:r>
      <w:r>
        <w:rPr>
          <w:rFonts w:hint="eastAsia" w:ascii="Times New Roman" w:hAnsi="Times New Roman"/>
          <w:color w:val="auto"/>
          <w:sz w:val="24"/>
          <w:szCs w:val="24"/>
        </w:rPr>
        <w:t>本单位为</w:t>
      </w:r>
      <w:r>
        <w:rPr>
          <w:rFonts w:ascii="Times New Roman" w:hAnsi="Times New Roman"/>
          <w:color w:val="auto"/>
          <w:sz w:val="24"/>
          <w:szCs w:val="24"/>
        </w:rPr>
        <w:t>____________(</w:t>
      </w:r>
      <w:r>
        <w:rPr>
          <w:rFonts w:hint="eastAsia" w:ascii="Times New Roman" w:hAnsi="Times New Roman"/>
          <w:color w:val="auto"/>
          <w:sz w:val="24"/>
          <w:szCs w:val="24"/>
        </w:rPr>
        <w:t>请填写：中型、小型、微型</w:t>
      </w:r>
      <w:r>
        <w:rPr>
          <w:rFonts w:ascii="Times New Roman" w:hAnsi="Times New Roman"/>
          <w:color w:val="auto"/>
          <w:sz w:val="24"/>
          <w:szCs w:val="24"/>
        </w:rPr>
        <w:t>)</w:t>
      </w:r>
      <w:r>
        <w:rPr>
          <w:rFonts w:hint="eastAsia" w:ascii="Times New Roman" w:hAnsi="Times New Roman"/>
          <w:color w:val="auto"/>
          <w:sz w:val="24"/>
          <w:szCs w:val="24"/>
        </w:rPr>
        <w:t>企业。即</w:t>
      </w:r>
      <w:r>
        <w:rPr>
          <w:rFonts w:hint="eastAsia" w:ascii="Times New Roman" w:hAnsi="Times New Roman" w:eastAsia="MingLiU_HKSCS"/>
          <w:color w:val="auto"/>
          <w:sz w:val="24"/>
          <w:szCs w:val="24"/>
        </w:rPr>
        <w:t>，</w:t>
      </w:r>
      <w:r>
        <w:rPr>
          <w:rFonts w:hint="eastAsia" w:ascii="Times New Roman" w:hAnsi="Times New Roman"/>
          <w:color w:val="auto"/>
          <w:sz w:val="24"/>
          <w:szCs w:val="24"/>
        </w:rPr>
        <w:t>本单位同时满足以下条件：</w:t>
      </w:r>
    </w:p>
    <w:p>
      <w:pPr>
        <w:pStyle w:val="24"/>
        <w:spacing w:line="440" w:lineRule="exact"/>
        <w:ind w:firstLine="484" w:firstLineChars="200"/>
        <w:rPr>
          <w:rFonts w:ascii="Times New Roman" w:hAnsi="Times New Roman" w:eastAsia="MingLiU_HKSCS"/>
          <w:color w:val="auto"/>
          <w:sz w:val="24"/>
          <w:szCs w:val="24"/>
        </w:rPr>
      </w:pPr>
      <w:r>
        <w:rPr>
          <w:rFonts w:ascii="Times New Roman" w:hAnsi="Times New Roman"/>
          <w:color w:val="auto"/>
          <w:sz w:val="24"/>
          <w:szCs w:val="24"/>
        </w:rPr>
        <w:t>1.</w:t>
      </w:r>
      <w:r>
        <w:rPr>
          <w:rFonts w:hint="eastAsia" w:ascii="Times New Roman" w:hAnsi="Times New Roman"/>
          <w:color w:val="auto"/>
          <w:sz w:val="24"/>
          <w:szCs w:val="24"/>
        </w:rPr>
        <w:t>根据《工业和信息化部　国家统计局　国家发展和改革委员会　财政部关于印发中小企业划型标准规定的通知》</w:t>
      </w:r>
      <w:r>
        <w:rPr>
          <w:rFonts w:ascii="Times New Roman" w:hAnsi="Times New Roman"/>
          <w:color w:val="auto"/>
          <w:sz w:val="24"/>
          <w:szCs w:val="24"/>
        </w:rPr>
        <w:t>(</w:t>
      </w:r>
      <w:r>
        <w:rPr>
          <w:rFonts w:hint="eastAsia" w:ascii="Times New Roman" w:hAnsi="Times New Roman"/>
          <w:color w:val="auto"/>
          <w:sz w:val="24"/>
          <w:szCs w:val="24"/>
        </w:rPr>
        <w:t>工信部联企业〔</w:t>
      </w:r>
      <w:r>
        <w:rPr>
          <w:rFonts w:ascii="Times New Roman" w:hAnsi="Times New Roman"/>
          <w:color w:val="auto"/>
          <w:sz w:val="24"/>
          <w:szCs w:val="24"/>
        </w:rPr>
        <w:t>2011</w:t>
      </w:r>
      <w:r>
        <w:rPr>
          <w:rFonts w:hint="eastAsia" w:ascii="Times New Roman" w:hAnsi="Times New Roman"/>
          <w:color w:val="auto"/>
          <w:sz w:val="24"/>
          <w:szCs w:val="24"/>
        </w:rPr>
        <w:t>〕</w:t>
      </w:r>
      <w:r>
        <w:rPr>
          <w:rFonts w:ascii="Times New Roman" w:hAnsi="Times New Roman"/>
          <w:color w:val="auto"/>
          <w:sz w:val="24"/>
          <w:szCs w:val="24"/>
        </w:rPr>
        <w:t>300</w:t>
      </w:r>
      <w:r>
        <w:rPr>
          <w:rFonts w:hint="eastAsia" w:ascii="Times New Roman" w:hAnsi="Times New Roman"/>
          <w:color w:val="auto"/>
          <w:sz w:val="24"/>
          <w:szCs w:val="24"/>
        </w:rPr>
        <w:t>号</w:t>
      </w:r>
      <w:r>
        <w:rPr>
          <w:rFonts w:ascii="Times New Roman" w:hAnsi="Times New Roman"/>
          <w:color w:val="auto"/>
          <w:sz w:val="24"/>
          <w:szCs w:val="24"/>
        </w:rPr>
        <w:t>)</w:t>
      </w:r>
      <w:r>
        <w:rPr>
          <w:rFonts w:hint="eastAsia" w:ascii="Times New Roman" w:hAnsi="Times New Roman"/>
          <w:color w:val="auto"/>
          <w:sz w:val="24"/>
          <w:szCs w:val="24"/>
        </w:rPr>
        <w:t>规定的划分标准</w:t>
      </w:r>
      <w:r>
        <w:rPr>
          <w:rFonts w:hint="eastAsia" w:ascii="Times New Roman" w:hAnsi="Times New Roman" w:eastAsia="MingLiU_HKSCS"/>
          <w:color w:val="auto"/>
          <w:sz w:val="24"/>
          <w:szCs w:val="24"/>
        </w:rPr>
        <w:t>，</w:t>
      </w:r>
      <w:r>
        <w:rPr>
          <w:rFonts w:hint="eastAsia" w:ascii="Times New Roman" w:hAnsi="Times New Roman"/>
          <w:color w:val="auto"/>
          <w:sz w:val="24"/>
          <w:szCs w:val="24"/>
        </w:rPr>
        <w:t>本单位为</w:t>
      </w:r>
      <w:r>
        <w:rPr>
          <w:rFonts w:ascii="Times New Roman" w:hAnsi="Times New Roman"/>
          <w:color w:val="auto"/>
          <w:sz w:val="24"/>
          <w:szCs w:val="24"/>
        </w:rPr>
        <w:t>______(</w:t>
      </w:r>
      <w:r>
        <w:rPr>
          <w:rFonts w:hint="eastAsia" w:ascii="Times New Roman" w:hAnsi="Times New Roman"/>
          <w:color w:val="auto"/>
          <w:sz w:val="24"/>
          <w:szCs w:val="24"/>
        </w:rPr>
        <w:t>请填写：中型、小型、微型</w:t>
      </w:r>
      <w:r>
        <w:rPr>
          <w:rFonts w:ascii="Times New Roman" w:hAnsi="Times New Roman"/>
          <w:color w:val="auto"/>
          <w:sz w:val="24"/>
          <w:szCs w:val="24"/>
        </w:rPr>
        <w:t>)</w:t>
      </w:r>
      <w:r>
        <w:rPr>
          <w:rFonts w:hint="eastAsia" w:ascii="Times New Roman" w:hAnsi="Times New Roman"/>
          <w:color w:val="auto"/>
          <w:sz w:val="24"/>
          <w:szCs w:val="24"/>
        </w:rPr>
        <w:t>企业。</w:t>
      </w:r>
    </w:p>
    <w:p>
      <w:pPr>
        <w:pStyle w:val="24"/>
        <w:spacing w:line="440" w:lineRule="exact"/>
        <w:ind w:firstLine="484" w:firstLineChars="200"/>
        <w:rPr>
          <w:rFonts w:ascii="Times New Roman" w:hAnsi="Times New Roman" w:eastAsia="MingLiU_HKSCS"/>
          <w:color w:val="auto"/>
          <w:sz w:val="24"/>
          <w:szCs w:val="24"/>
        </w:rPr>
      </w:pPr>
      <w:r>
        <w:rPr>
          <w:rFonts w:ascii="Times New Roman" w:hAnsi="Times New Roman"/>
          <w:color w:val="auto"/>
          <w:sz w:val="24"/>
          <w:szCs w:val="24"/>
        </w:rPr>
        <w:t>2.</w:t>
      </w:r>
      <w:r>
        <w:rPr>
          <w:rFonts w:hint="eastAsia" w:ascii="Times New Roman" w:hAnsi="Times New Roman"/>
          <w:color w:val="auto"/>
          <w:sz w:val="24"/>
          <w:szCs w:val="24"/>
        </w:rPr>
        <w:t>本单位参加</w:t>
      </w:r>
      <w:r>
        <w:rPr>
          <w:rFonts w:ascii="Times New Roman" w:hAnsi="Times New Roman"/>
          <w:color w:val="auto"/>
          <w:sz w:val="24"/>
          <w:szCs w:val="24"/>
        </w:rPr>
        <w:t>____________</w:t>
      </w:r>
      <w:r>
        <w:rPr>
          <w:rFonts w:hint="eastAsia" w:ascii="Times New Roman" w:hAnsi="Times New Roman"/>
          <w:color w:val="auto"/>
          <w:sz w:val="24"/>
          <w:szCs w:val="24"/>
        </w:rPr>
        <w:t>单位的</w:t>
      </w:r>
      <w:r>
        <w:rPr>
          <w:rFonts w:ascii="Times New Roman" w:hAnsi="Times New Roman"/>
          <w:color w:val="auto"/>
          <w:sz w:val="24"/>
          <w:szCs w:val="24"/>
        </w:rPr>
        <w:t>____________</w:t>
      </w:r>
      <w:r>
        <w:rPr>
          <w:rFonts w:hint="eastAsia" w:ascii="Times New Roman" w:hAnsi="Times New Roman"/>
          <w:color w:val="auto"/>
          <w:sz w:val="24"/>
          <w:szCs w:val="24"/>
        </w:rPr>
        <w:t>项目采购活动提供本企业制造的货物</w:t>
      </w:r>
      <w:r>
        <w:rPr>
          <w:rFonts w:hint="eastAsia" w:ascii="Times New Roman" w:hAnsi="Times New Roman" w:eastAsia="MingLiU_HKSCS"/>
          <w:color w:val="auto"/>
          <w:sz w:val="24"/>
          <w:szCs w:val="24"/>
        </w:rPr>
        <w:t>，</w:t>
      </w:r>
      <w:r>
        <w:rPr>
          <w:rFonts w:hint="eastAsia" w:ascii="Times New Roman" w:hAnsi="Times New Roman"/>
          <w:color w:val="auto"/>
          <w:sz w:val="24"/>
          <w:szCs w:val="24"/>
        </w:rPr>
        <w:t>由本企业提供服务</w:t>
      </w:r>
      <w:r>
        <w:rPr>
          <w:rFonts w:hint="eastAsia" w:ascii="Times New Roman" w:hAnsi="Times New Roman" w:eastAsia="MingLiU_HKSCS"/>
          <w:color w:val="auto"/>
          <w:sz w:val="24"/>
          <w:szCs w:val="24"/>
        </w:rPr>
        <w:t>，</w:t>
      </w:r>
      <w:r>
        <w:rPr>
          <w:rFonts w:hint="eastAsia" w:ascii="Times New Roman" w:hAnsi="Times New Roman"/>
          <w:color w:val="auto"/>
          <w:sz w:val="24"/>
          <w:szCs w:val="24"/>
        </w:rPr>
        <w:t>或者提供其他</w:t>
      </w:r>
      <w:r>
        <w:rPr>
          <w:rFonts w:ascii="Times New Roman" w:hAnsi="Times New Roman"/>
          <w:color w:val="auto"/>
          <w:sz w:val="24"/>
          <w:szCs w:val="24"/>
        </w:rPr>
        <w:t>____________(</w:t>
      </w:r>
      <w:r>
        <w:rPr>
          <w:rFonts w:hint="eastAsia" w:ascii="Times New Roman" w:hAnsi="Times New Roman"/>
          <w:color w:val="auto"/>
          <w:sz w:val="24"/>
          <w:szCs w:val="24"/>
        </w:rPr>
        <w:t>请填写：中型、小型、微型</w:t>
      </w:r>
      <w:r>
        <w:rPr>
          <w:rFonts w:ascii="Times New Roman" w:hAnsi="Times New Roman"/>
          <w:color w:val="auto"/>
          <w:sz w:val="24"/>
          <w:szCs w:val="24"/>
        </w:rPr>
        <w:t>)</w:t>
      </w:r>
      <w:r>
        <w:rPr>
          <w:rFonts w:hint="eastAsia" w:ascii="Times New Roman" w:hAnsi="Times New Roman"/>
          <w:color w:val="auto"/>
          <w:sz w:val="24"/>
          <w:szCs w:val="24"/>
        </w:rPr>
        <w:t>企业制造的货物。本条所称货物不包括使用大型企业注册商标的货物。</w:t>
      </w: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本单位对上述声明的真实性负责。如有虚假</w:t>
      </w:r>
      <w:r>
        <w:rPr>
          <w:rFonts w:hint="eastAsia" w:ascii="Times New Roman" w:hAnsi="Times New Roman" w:eastAsia="MingLiU_HKSCS"/>
          <w:color w:val="auto"/>
          <w:sz w:val="24"/>
          <w:szCs w:val="24"/>
        </w:rPr>
        <w:t>，</w:t>
      </w:r>
      <w:r>
        <w:rPr>
          <w:rFonts w:hint="eastAsia" w:ascii="Times New Roman" w:hAnsi="Times New Roman"/>
          <w:color w:val="auto"/>
          <w:sz w:val="24"/>
          <w:szCs w:val="24"/>
        </w:rPr>
        <w:t>将依法承担相应责任。</w:t>
      </w:r>
    </w:p>
    <w:p>
      <w:pPr>
        <w:pStyle w:val="24"/>
        <w:spacing w:line="440" w:lineRule="exact"/>
        <w:ind w:firstLine="484" w:firstLineChars="200"/>
        <w:rPr>
          <w:rFonts w:ascii="Times New Roman" w:hAnsi="Times New Roman" w:eastAsia="MingLiU_HKSCS"/>
          <w:color w:val="auto"/>
          <w:sz w:val="24"/>
          <w:szCs w:val="24"/>
        </w:rPr>
      </w:pPr>
    </w:p>
    <w:p>
      <w:pPr>
        <w:pStyle w:val="24"/>
        <w:spacing w:line="440" w:lineRule="exact"/>
        <w:ind w:firstLine="484" w:firstLineChars="200"/>
        <w:jc w:val="right"/>
        <w:rPr>
          <w:rFonts w:ascii="Times New Roman" w:hAnsi="Times New Roman" w:eastAsia="MingLiU_HKSCS"/>
          <w:color w:val="auto"/>
          <w:sz w:val="24"/>
          <w:szCs w:val="24"/>
        </w:rPr>
      </w:pPr>
      <w:r>
        <w:rPr>
          <w:rFonts w:hint="eastAsia" w:ascii="Times New Roman" w:hAnsi="Times New Roman"/>
          <w:color w:val="auto"/>
          <w:sz w:val="24"/>
          <w:szCs w:val="24"/>
        </w:rPr>
        <w:t>企业名称</w:t>
      </w:r>
      <w:r>
        <w:rPr>
          <w:rFonts w:ascii="Times New Roman" w:hAnsi="Times New Roman"/>
          <w:color w:val="auto"/>
          <w:sz w:val="24"/>
          <w:szCs w:val="24"/>
        </w:rPr>
        <w:t>(</w:t>
      </w:r>
      <w:r>
        <w:rPr>
          <w:rFonts w:hint="eastAsia" w:ascii="Times New Roman" w:hAnsi="Times New Roman"/>
          <w:color w:val="auto"/>
          <w:sz w:val="24"/>
          <w:szCs w:val="24"/>
        </w:rPr>
        <w:t>公章</w:t>
      </w:r>
      <w:r>
        <w:rPr>
          <w:rFonts w:ascii="Times New Roman" w:hAnsi="Times New Roman"/>
          <w:color w:val="auto"/>
          <w:sz w:val="24"/>
          <w:szCs w:val="24"/>
        </w:rPr>
        <w:t>)</w:t>
      </w:r>
      <w:r>
        <w:rPr>
          <w:rFonts w:hint="eastAsia" w:ascii="Times New Roman" w:hAnsi="Times New Roman"/>
          <w:color w:val="auto"/>
          <w:sz w:val="24"/>
          <w:szCs w:val="24"/>
        </w:rPr>
        <w:t>：</w:t>
      </w:r>
      <w:r>
        <w:rPr>
          <w:rFonts w:ascii="Times New Roman" w:hAnsi="Times New Roman"/>
          <w:color w:val="auto"/>
          <w:sz w:val="24"/>
          <w:szCs w:val="24"/>
        </w:rPr>
        <w:t>____________</w:t>
      </w:r>
      <w:r>
        <w:rPr>
          <w:rFonts w:ascii="Times New Roman" w:hAnsi="Times New Roman"/>
          <w:color w:val="auto"/>
          <w:sz w:val="24"/>
          <w:szCs w:val="24"/>
        </w:rPr>
        <w:tab/>
      </w:r>
      <w:r>
        <w:rPr>
          <w:rFonts w:ascii="Times New Roman" w:hAnsi="Times New Roman"/>
          <w:color w:val="auto"/>
          <w:sz w:val="24"/>
          <w:szCs w:val="24"/>
        </w:rPr>
        <w:tab/>
      </w:r>
    </w:p>
    <w:p>
      <w:pPr>
        <w:pStyle w:val="24"/>
        <w:spacing w:line="440" w:lineRule="exact"/>
        <w:ind w:firstLine="484" w:firstLineChars="200"/>
        <w:jc w:val="center"/>
        <w:rPr>
          <w:rFonts w:ascii="Times New Roman" w:hAnsi="Times New Roman" w:eastAsia="MingLiU_HKSCS"/>
          <w:color w:val="auto"/>
          <w:sz w:val="24"/>
          <w:szCs w:val="24"/>
        </w:rPr>
      </w:pPr>
      <w:r>
        <w:rPr>
          <w:rFonts w:hint="eastAsia" w:ascii="Times New Roman" w:hAnsi="Times New Roman"/>
          <w:color w:val="auto"/>
          <w:sz w:val="24"/>
          <w:szCs w:val="24"/>
        </w:rPr>
        <w:t xml:space="preserve">                                      日  期：</w:t>
      </w:r>
      <w:r>
        <w:rPr>
          <w:rFonts w:ascii="Times New Roman" w:hAnsi="Times New Roman"/>
          <w:color w:val="auto"/>
          <w:sz w:val="24"/>
          <w:szCs w:val="24"/>
        </w:rPr>
        <w:t>________________________</w:t>
      </w:r>
      <w:r>
        <w:rPr>
          <w:rFonts w:ascii="Times New Roman" w:hAnsi="Times New Roman"/>
          <w:color w:val="auto"/>
          <w:sz w:val="24"/>
          <w:szCs w:val="24"/>
        </w:rPr>
        <w:tab/>
      </w:r>
    </w:p>
    <w:p>
      <w:pPr>
        <w:pStyle w:val="24"/>
        <w:spacing w:line="440" w:lineRule="exact"/>
        <w:ind w:firstLine="484" w:firstLineChars="200"/>
        <w:rPr>
          <w:rFonts w:ascii="Times New Roman" w:hAnsi="Times New Roman" w:eastAsia="MingLiU_HKSCS"/>
          <w:color w:val="auto"/>
          <w:sz w:val="24"/>
          <w:szCs w:val="24"/>
        </w:rPr>
      </w:pP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备注：</w:t>
      </w:r>
      <w:r>
        <w:rPr>
          <w:rFonts w:ascii="Times New Roman" w:hAnsi="Times New Roman"/>
          <w:color w:val="auto"/>
          <w:sz w:val="24"/>
          <w:szCs w:val="24"/>
        </w:rPr>
        <w:t>1.</w:t>
      </w:r>
      <w:r>
        <w:rPr>
          <w:rFonts w:hint="eastAsia" w:ascii="Times New Roman" w:hAnsi="Times New Roman"/>
          <w:color w:val="auto"/>
          <w:sz w:val="24"/>
          <w:szCs w:val="24"/>
        </w:rPr>
        <w:t>填写前请认真阅读《工业和信息化部　国家统计局　国家发展和改革委员会　财政部关于印发中小企业划型标准规定的通知》</w:t>
      </w:r>
      <w:r>
        <w:rPr>
          <w:rFonts w:ascii="Times New Roman" w:hAnsi="Times New Roman"/>
          <w:color w:val="auto"/>
          <w:sz w:val="24"/>
          <w:szCs w:val="24"/>
        </w:rPr>
        <w:t>(</w:t>
      </w:r>
      <w:r>
        <w:rPr>
          <w:rFonts w:hint="eastAsia" w:ascii="Times New Roman" w:hAnsi="Times New Roman"/>
          <w:color w:val="auto"/>
          <w:sz w:val="24"/>
          <w:szCs w:val="24"/>
        </w:rPr>
        <w:t>工信部联企业〔</w:t>
      </w:r>
      <w:r>
        <w:rPr>
          <w:rFonts w:ascii="Times New Roman" w:hAnsi="Times New Roman"/>
          <w:color w:val="auto"/>
          <w:sz w:val="24"/>
          <w:szCs w:val="24"/>
        </w:rPr>
        <w:t>2011</w:t>
      </w:r>
      <w:r>
        <w:rPr>
          <w:rFonts w:hint="eastAsia" w:ascii="Times New Roman" w:hAnsi="Times New Roman"/>
          <w:color w:val="auto"/>
          <w:sz w:val="24"/>
          <w:szCs w:val="24"/>
        </w:rPr>
        <w:t>〕</w:t>
      </w:r>
      <w:r>
        <w:rPr>
          <w:rFonts w:ascii="Times New Roman" w:hAnsi="Times New Roman"/>
          <w:color w:val="auto"/>
          <w:sz w:val="24"/>
          <w:szCs w:val="24"/>
        </w:rPr>
        <w:t>300</w:t>
      </w:r>
      <w:r>
        <w:rPr>
          <w:rFonts w:hint="eastAsia" w:ascii="Times New Roman" w:hAnsi="Times New Roman"/>
          <w:color w:val="auto"/>
          <w:sz w:val="24"/>
          <w:szCs w:val="24"/>
        </w:rPr>
        <w:t>号</w:t>
      </w:r>
      <w:r>
        <w:rPr>
          <w:rFonts w:ascii="Times New Roman" w:hAnsi="Times New Roman"/>
          <w:color w:val="auto"/>
          <w:sz w:val="24"/>
          <w:szCs w:val="24"/>
        </w:rPr>
        <w:t>)</w:t>
      </w:r>
      <w:r>
        <w:rPr>
          <w:rFonts w:hint="eastAsia" w:ascii="Times New Roman" w:hAnsi="Times New Roman"/>
          <w:color w:val="auto"/>
          <w:sz w:val="24"/>
          <w:szCs w:val="24"/>
        </w:rPr>
        <w:t>和《财政部　工业和信息化部关于印发〈政府采购促进中小企业发展暂行办法〉的通知》</w:t>
      </w:r>
      <w:r>
        <w:rPr>
          <w:rFonts w:ascii="Times New Roman" w:hAnsi="Times New Roman"/>
          <w:color w:val="auto"/>
          <w:sz w:val="24"/>
          <w:szCs w:val="24"/>
        </w:rPr>
        <w:t>(</w:t>
      </w:r>
      <w:r>
        <w:rPr>
          <w:rFonts w:hint="eastAsia" w:ascii="Times New Roman" w:hAnsi="Times New Roman"/>
          <w:color w:val="auto"/>
          <w:sz w:val="24"/>
          <w:szCs w:val="24"/>
        </w:rPr>
        <w:t>财库〔</w:t>
      </w:r>
      <w:r>
        <w:rPr>
          <w:rFonts w:ascii="Times New Roman" w:hAnsi="Times New Roman"/>
          <w:color w:val="auto"/>
          <w:sz w:val="24"/>
          <w:szCs w:val="24"/>
        </w:rPr>
        <w:t>2011</w:t>
      </w:r>
      <w:r>
        <w:rPr>
          <w:rFonts w:hint="eastAsia" w:ascii="Times New Roman" w:hAnsi="Times New Roman"/>
          <w:color w:val="auto"/>
          <w:sz w:val="24"/>
          <w:szCs w:val="24"/>
        </w:rPr>
        <w:t>〕</w:t>
      </w:r>
      <w:r>
        <w:rPr>
          <w:rFonts w:ascii="Times New Roman" w:hAnsi="Times New Roman"/>
          <w:color w:val="auto"/>
          <w:sz w:val="24"/>
          <w:szCs w:val="24"/>
        </w:rPr>
        <w:t>181</w:t>
      </w:r>
      <w:r>
        <w:rPr>
          <w:rFonts w:hint="eastAsia" w:ascii="Times New Roman" w:hAnsi="Times New Roman"/>
          <w:color w:val="auto"/>
          <w:sz w:val="24"/>
          <w:szCs w:val="24"/>
        </w:rPr>
        <w:t>号</w:t>
      </w:r>
      <w:r>
        <w:rPr>
          <w:rFonts w:ascii="Times New Roman" w:hAnsi="Times New Roman"/>
          <w:color w:val="auto"/>
          <w:sz w:val="24"/>
          <w:szCs w:val="24"/>
        </w:rPr>
        <w:t>)</w:t>
      </w:r>
      <w:r>
        <w:rPr>
          <w:rFonts w:hint="eastAsia" w:ascii="Times New Roman" w:hAnsi="Times New Roman"/>
          <w:color w:val="auto"/>
          <w:sz w:val="24"/>
          <w:szCs w:val="24"/>
        </w:rPr>
        <w:t>相关规定。</w:t>
      </w:r>
    </w:p>
    <w:p>
      <w:pPr>
        <w:pStyle w:val="24"/>
        <w:spacing w:line="440" w:lineRule="exact"/>
        <w:ind w:firstLine="484" w:firstLineChars="200"/>
        <w:rPr>
          <w:rFonts w:ascii="Times New Roman" w:hAnsi="Times New Roman" w:eastAsia="MingLiU_HKSCS"/>
          <w:color w:val="auto"/>
          <w:sz w:val="24"/>
          <w:szCs w:val="24"/>
        </w:rPr>
      </w:pPr>
      <w:r>
        <w:rPr>
          <w:rFonts w:ascii="Times New Roman" w:hAnsi="Times New Roman"/>
          <w:color w:val="auto"/>
          <w:sz w:val="24"/>
          <w:szCs w:val="24"/>
        </w:rPr>
        <w:br w:type="page"/>
      </w:r>
      <w:r>
        <w:rPr>
          <w:rFonts w:hint="eastAsia" w:ascii="Times New Roman" w:hAnsi="Times New Roman"/>
          <w:color w:val="auto"/>
          <w:sz w:val="24"/>
          <w:szCs w:val="24"/>
        </w:rPr>
        <w:t>附件3-</w:t>
      </w:r>
      <w:r>
        <w:rPr>
          <w:rFonts w:ascii="Times New Roman" w:hAnsi="Times New Roman"/>
          <w:color w:val="auto"/>
          <w:sz w:val="24"/>
          <w:szCs w:val="24"/>
        </w:rPr>
        <w:t>2</w:t>
      </w:r>
      <w:r>
        <w:rPr>
          <w:rFonts w:hint="eastAsia" w:ascii="Times New Roman" w:hAnsi="Times New Roman"/>
          <w:color w:val="auto"/>
          <w:sz w:val="24"/>
          <w:szCs w:val="24"/>
        </w:rPr>
        <w:t>　</w:t>
      </w:r>
      <w:r>
        <w:rPr>
          <w:rFonts w:hint="eastAsia"/>
          <w:color w:val="auto"/>
          <w:sz w:val="24"/>
          <w:szCs w:val="24"/>
        </w:rPr>
        <w:t>“</w:t>
      </w:r>
      <w:r>
        <w:rPr>
          <w:rFonts w:hint="eastAsia" w:ascii="Times New Roman" w:hAnsi="Times New Roman"/>
          <w:color w:val="auto"/>
          <w:sz w:val="24"/>
          <w:szCs w:val="24"/>
        </w:rPr>
        <w:t>节能产品</w:t>
      </w:r>
      <w:r>
        <w:rPr>
          <w:rFonts w:hint="eastAsia"/>
          <w:color w:val="auto"/>
          <w:sz w:val="24"/>
          <w:szCs w:val="24"/>
        </w:rPr>
        <w:t>”“</w:t>
      </w:r>
      <w:r>
        <w:rPr>
          <w:rFonts w:hint="eastAsia" w:ascii="Times New Roman" w:hAnsi="Times New Roman"/>
          <w:color w:val="auto"/>
          <w:sz w:val="24"/>
          <w:szCs w:val="24"/>
        </w:rPr>
        <w:t>环境标志产品</w:t>
      </w:r>
      <w:r>
        <w:rPr>
          <w:rFonts w:hint="eastAsia"/>
          <w:color w:val="auto"/>
          <w:sz w:val="24"/>
          <w:szCs w:val="24"/>
        </w:rPr>
        <w:t>”</w:t>
      </w:r>
      <w:r>
        <w:rPr>
          <w:rFonts w:hint="eastAsia" w:ascii="Times New Roman" w:hAnsi="Times New Roman"/>
          <w:color w:val="auto"/>
          <w:sz w:val="24"/>
          <w:szCs w:val="24"/>
        </w:rPr>
        <w:t>、信息安全认证产品等政府采购法律法规规定的其他证明材料文件</w:t>
      </w:r>
    </w:p>
    <w:p>
      <w:pPr>
        <w:pStyle w:val="24"/>
        <w:spacing w:line="440" w:lineRule="exact"/>
        <w:ind w:firstLine="484" w:firstLineChars="200"/>
        <w:rPr>
          <w:rFonts w:ascii="Times New Roman" w:hAnsi="Times New Roman" w:eastAsia="MingLiU_HKSCS"/>
          <w:color w:val="auto"/>
          <w:sz w:val="24"/>
          <w:szCs w:val="24"/>
        </w:rPr>
      </w:pPr>
      <w:r>
        <w:rPr>
          <w:rFonts w:hint="eastAsia" w:ascii="Times New Roman" w:hAnsi="Times New Roman"/>
          <w:color w:val="auto"/>
          <w:sz w:val="24"/>
          <w:szCs w:val="24"/>
        </w:rPr>
        <w:t>说明：</w:t>
      </w:r>
    </w:p>
    <w:p>
      <w:pPr>
        <w:pStyle w:val="24"/>
        <w:spacing w:line="440" w:lineRule="exact"/>
        <w:ind w:firstLine="484" w:firstLineChars="200"/>
        <w:rPr>
          <w:rFonts w:ascii="Times New Roman" w:hAnsi="Times New Roman" w:eastAsia="MingLiU_HKSCS"/>
          <w:color w:val="auto"/>
          <w:sz w:val="24"/>
          <w:szCs w:val="24"/>
        </w:rPr>
      </w:pPr>
      <w:r>
        <w:rPr>
          <w:rFonts w:ascii="Times New Roman" w:hAnsi="Times New Roman"/>
          <w:color w:val="auto"/>
          <w:sz w:val="24"/>
          <w:szCs w:val="24"/>
        </w:rPr>
        <w:t>1.</w:t>
      </w:r>
      <w:r>
        <w:rPr>
          <w:rFonts w:hint="eastAsia" w:ascii="Times New Roman" w:hAnsi="Times New Roman"/>
          <w:color w:val="auto"/>
          <w:sz w:val="24"/>
          <w:szCs w:val="24"/>
        </w:rPr>
        <w:t>供应商提供的产品属于《节能产品政府采购清单》内产品</w:t>
      </w:r>
      <w:r>
        <w:rPr>
          <w:rFonts w:hint="eastAsia" w:ascii="Times New Roman" w:hAnsi="Times New Roman" w:eastAsia="MingLiU_HKSCS"/>
          <w:color w:val="auto"/>
          <w:sz w:val="24"/>
          <w:szCs w:val="24"/>
        </w:rPr>
        <w:t>，</w:t>
      </w:r>
      <w:r>
        <w:rPr>
          <w:rFonts w:hint="eastAsia" w:ascii="Times New Roman" w:hAnsi="Times New Roman"/>
          <w:color w:val="auto"/>
          <w:sz w:val="24"/>
          <w:szCs w:val="24"/>
        </w:rPr>
        <w:t>应同时提供有效期内的节能产品证书及最新一期的节能产品政府采购清单首页及产品所在页的复印件</w:t>
      </w:r>
      <w:r>
        <w:rPr>
          <w:rFonts w:ascii="Times New Roman" w:hAnsi="Times New Roman"/>
          <w:color w:val="auto"/>
          <w:sz w:val="24"/>
          <w:szCs w:val="24"/>
        </w:rPr>
        <w:t>(</w:t>
      </w:r>
      <w:r>
        <w:rPr>
          <w:rFonts w:hint="eastAsia" w:ascii="Times New Roman" w:hAnsi="Times New Roman"/>
          <w:color w:val="auto"/>
          <w:sz w:val="24"/>
          <w:szCs w:val="24"/>
        </w:rPr>
        <w:t>均需要加盖供应商公章</w:t>
      </w:r>
      <w:r>
        <w:rPr>
          <w:rFonts w:ascii="Times New Roman" w:hAnsi="Times New Roman"/>
          <w:color w:val="auto"/>
          <w:sz w:val="24"/>
          <w:szCs w:val="24"/>
        </w:rPr>
        <w:t>)</w:t>
      </w:r>
      <w:r>
        <w:rPr>
          <w:rFonts w:hint="eastAsia" w:ascii="Times New Roman" w:hAnsi="Times New Roman"/>
          <w:color w:val="auto"/>
          <w:sz w:val="24"/>
          <w:szCs w:val="24"/>
        </w:rPr>
        <w:t>；</w:t>
      </w:r>
    </w:p>
    <w:p>
      <w:pPr>
        <w:pStyle w:val="24"/>
        <w:spacing w:line="440" w:lineRule="exact"/>
        <w:ind w:firstLine="484" w:firstLineChars="200"/>
        <w:rPr>
          <w:rFonts w:ascii="Times New Roman" w:hAnsi="Times New Roman" w:eastAsia="MingLiU_HKSCS"/>
          <w:color w:val="auto"/>
          <w:sz w:val="24"/>
          <w:szCs w:val="24"/>
        </w:rPr>
      </w:pPr>
      <w:r>
        <w:rPr>
          <w:rFonts w:ascii="Times New Roman" w:hAnsi="Times New Roman"/>
          <w:color w:val="auto"/>
          <w:sz w:val="24"/>
          <w:szCs w:val="24"/>
        </w:rPr>
        <w:t>2.</w:t>
      </w:r>
      <w:r>
        <w:rPr>
          <w:rFonts w:hint="eastAsia" w:ascii="Times New Roman" w:hAnsi="Times New Roman"/>
          <w:color w:val="auto"/>
          <w:sz w:val="24"/>
          <w:szCs w:val="24"/>
        </w:rPr>
        <w:t>供应商提供的产品属于《环境标志产品政府采购清单》内产品</w:t>
      </w:r>
      <w:r>
        <w:rPr>
          <w:rFonts w:hint="eastAsia" w:ascii="Times New Roman" w:hAnsi="Times New Roman" w:eastAsia="MingLiU_HKSCS"/>
          <w:color w:val="auto"/>
          <w:sz w:val="24"/>
          <w:szCs w:val="24"/>
        </w:rPr>
        <w:t>，</w:t>
      </w:r>
      <w:r>
        <w:rPr>
          <w:rFonts w:hint="eastAsia" w:ascii="Times New Roman" w:hAnsi="Times New Roman"/>
          <w:color w:val="auto"/>
          <w:sz w:val="24"/>
          <w:szCs w:val="24"/>
        </w:rPr>
        <w:t>应同时提供有效期内的环境标志产品证书及最新一期的环境标志产品政府采购清单首页及产品所在页的复印件</w:t>
      </w:r>
      <w:r>
        <w:rPr>
          <w:rFonts w:ascii="Times New Roman" w:hAnsi="Times New Roman"/>
          <w:color w:val="auto"/>
          <w:sz w:val="24"/>
          <w:szCs w:val="24"/>
        </w:rPr>
        <w:t>(</w:t>
      </w:r>
      <w:r>
        <w:rPr>
          <w:rFonts w:hint="eastAsia" w:ascii="Times New Roman" w:hAnsi="Times New Roman"/>
          <w:color w:val="auto"/>
          <w:sz w:val="24"/>
          <w:szCs w:val="24"/>
        </w:rPr>
        <w:t>均需要加盖供应商公章</w:t>
      </w:r>
      <w:r>
        <w:rPr>
          <w:rFonts w:ascii="Times New Roman" w:hAnsi="Times New Roman"/>
          <w:color w:val="auto"/>
          <w:sz w:val="24"/>
          <w:szCs w:val="24"/>
        </w:rPr>
        <w:t>)</w:t>
      </w:r>
      <w:r>
        <w:rPr>
          <w:rFonts w:hint="eastAsia" w:ascii="Times New Roman" w:hAnsi="Times New Roman"/>
          <w:color w:val="auto"/>
          <w:sz w:val="24"/>
          <w:szCs w:val="24"/>
        </w:rPr>
        <w:t>；</w:t>
      </w:r>
    </w:p>
    <w:p>
      <w:pPr>
        <w:pStyle w:val="24"/>
        <w:spacing w:line="440" w:lineRule="exact"/>
        <w:ind w:firstLine="484" w:firstLineChars="200"/>
        <w:rPr>
          <w:rFonts w:ascii="Times New Roman" w:hAnsi="Times New Roman"/>
          <w:color w:val="auto"/>
          <w:sz w:val="24"/>
          <w:szCs w:val="24"/>
        </w:rPr>
      </w:pPr>
      <w:r>
        <w:rPr>
          <w:rFonts w:ascii="Times New Roman" w:hAnsi="Times New Roman"/>
          <w:color w:val="auto"/>
          <w:sz w:val="24"/>
          <w:szCs w:val="24"/>
        </w:rPr>
        <w:t>3.</w:t>
      </w:r>
      <w:r>
        <w:rPr>
          <w:rFonts w:hint="eastAsia" w:ascii="Times New Roman" w:hAnsi="Times New Roman"/>
          <w:color w:val="auto"/>
          <w:sz w:val="24"/>
          <w:szCs w:val="24"/>
        </w:rPr>
        <w:t>供应商提供的产品属于信息安全认证产品的</w:t>
      </w:r>
      <w:r>
        <w:rPr>
          <w:rFonts w:hint="eastAsia" w:ascii="Times New Roman" w:hAnsi="Times New Roman" w:eastAsia="MingLiU_HKSCS"/>
          <w:color w:val="auto"/>
          <w:sz w:val="24"/>
          <w:szCs w:val="24"/>
        </w:rPr>
        <w:t>，</w:t>
      </w:r>
      <w:r>
        <w:rPr>
          <w:rFonts w:hint="eastAsia" w:ascii="Times New Roman" w:hAnsi="Times New Roman"/>
          <w:color w:val="auto"/>
          <w:sz w:val="24"/>
          <w:szCs w:val="24"/>
        </w:rPr>
        <w:t>应提供相关证明；</w:t>
      </w:r>
    </w:p>
    <w:p>
      <w:pPr>
        <w:pStyle w:val="24"/>
        <w:spacing w:line="440" w:lineRule="exact"/>
        <w:ind w:firstLine="484" w:firstLineChars="200"/>
        <w:rPr>
          <w:rFonts w:ascii="Times New Roman" w:hAnsi="Times New Roman" w:eastAsia="MingLiU_HKSCS"/>
          <w:color w:val="auto"/>
          <w:sz w:val="24"/>
          <w:szCs w:val="24"/>
        </w:rPr>
      </w:pPr>
      <w:r>
        <w:rPr>
          <w:rFonts w:ascii="Times New Roman" w:hAnsi="Times New Roman"/>
          <w:color w:val="auto"/>
          <w:sz w:val="24"/>
          <w:szCs w:val="24"/>
        </w:rPr>
        <w:t>4.</w:t>
      </w:r>
      <w:r>
        <w:rPr>
          <w:rFonts w:hint="eastAsia" w:ascii="Times New Roman" w:hAnsi="Times New Roman"/>
          <w:color w:val="auto"/>
          <w:sz w:val="24"/>
          <w:szCs w:val="24"/>
        </w:rPr>
        <w:t>未按上述要求提供、填写的</w:t>
      </w:r>
      <w:r>
        <w:rPr>
          <w:rFonts w:hint="eastAsia" w:ascii="Times New Roman" w:hAnsi="Times New Roman" w:eastAsia="MingLiU_HKSCS"/>
          <w:color w:val="auto"/>
          <w:sz w:val="24"/>
          <w:szCs w:val="24"/>
        </w:rPr>
        <w:t>，</w:t>
      </w:r>
      <w:r>
        <w:rPr>
          <w:rFonts w:hint="eastAsia" w:ascii="Times New Roman" w:hAnsi="Times New Roman"/>
          <w:color w:val="auto"/>
          <w:sz w:val="24"/>
          <w:szCs w:val="24"/>
        </w:rPr>
        <w:t>评标时不予以考虑。</w:t>
      </w:r>
    </w:p>
    <w:p>
      <w:pPr>
        <w:pStyle w:val="24"/>
        <w:spacing w:line="440" w:lineRule="exact"/>
        <w:ind w:firstLine="484" w:firstLineChars="200"/>
        <w:rPr>
          <w:rFonts w:ascii="Times New Roman" w:hAnsi="Times New Roman" w:eastAsia="MingLiU_HKSCS"/>
          <w:color w:val="auto"/>
          <w:sz w:val="24"/>
          <w:szCs w:val="24"/>
        </w:rPr>
      </w:pPr>
      <w:r>
        <w:rPr>
          <w:rFonts w:ascii="Times New Roman" w:hAnsi="Times New Roman"/>
          <w:color w:val="auto"/>
          <w:sz w:val="24"/>
          <w:szCs w:val="24"/>
        </w:rPr>
        <w:t>(</w:t>
      </w:r>
      <w:r>
        <w:rPr>
          <w:rFonts w:hint="eastAsia" w:ascii="Times New Roman" w:hAnsi="Times New Roman"/>
          <w:color w:val="auto"/>
          <w:sz w:val="24"/>
          <w:szCs w:val="24"/>
        </w:rPr>
        <w:t>示例略</w:t>
      </w:r>
      <w:r>
        <w:rPr>
          <w:rFonts w:ascii="Times New Roman" w:hAnsi="Times New Roman"/>
          <w:color w:val="auto"/>
          <w:sz w:val="24"/>
          <w:szCs w:val="24"/>
        </w:rPr>
        <w:t>)</w:t>
      </w:r>
    </w:p>
    <w:p>
      <w:pPr>
        <w:pStyle w:val="147"/>
        <w:spacing w:line="500" w:lineRule="exact"/>
        <w:rPr>
          <w:rFonts w:ascii="宋体" w:hAnsi="宋体"/>
          <w:color w:val="auto"/>
          <w:szCs w:val="24"/>
        </w:rPr>
      </w:pPr>
    </w:p>
    <w:p>
      <w:pPr>
        <w:spacing w:line="500" w:lineRule="exact"/>
        <w:rPr>
          <w:rFonts w:ascii="宋体" w:hAnsi="宋体"/>
          <w:color w:val="auto"/>
          <w:sz w:val="24"/>
          <w:szCs w:val="24"/>
        </w:rPr>
      </w:pPr>
      <w:r>
        <w:rPr>
          <w:rFonts w:hint="eastAsia" w:ascii="宋体" w:hAnsi="宋体" w:cs="仿宋_GB2312"/>
          <w:color w:val="auto"/>
          <w:sz w:val="24"/>
          <w:szCs w:val="24"/>
        </w:rPr>
        <w:t xml:space="preserve"> </w:t>
      </w:r>
    </w:p>
    <w:p>
      <w:pPr>
        <w:pStyle w:val="84"/>
        <w:spacing w:line="500" w:lineRule="exact"/>
        <w:jc w:val="both"/>
        <w:rPr>
          <w:rFonts w:ascii="宋体" w:hAnsi="宋体"/>
          <w:b/>
          <w:color w:val="auto"/>
        </w:rPr>
      </w:pPr>
    </w:p>
    <w:p>
      <w:pPr>
        <w:pStyle w:val="84"/>
        <w:spacing w:line="500" w:lineRule="exact"/>
        <w:jc w:val="both"/>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r>
        <w:rPr>
          <w:rFonts w:hint="eastAsia" w:ascii="宋体" w:hAnsi="宋体"/>
          <w:b/>
          <w:color w:val="auto"/>
        </w:rPr>
        <w:t>九、技术规格偏离表</w:t>
      </w:r>
    </w:p>
    <w:p>
      <w:pPr>
        <w:pStyle w:val="84"/>
        <w:spacing w:line="500" w:lineRule="exact"/>
        <w:jc w:val="center"/>
        <w:rPr>
          <w:rFonts w:ascii="宋体" w:hAnsi="宋体"/>
          <w:color w:val="auto"/>
        </w:rPr>
      </w:pPr>
    </w:p>
    <w:p>
      <w:pPr>
        <w:pStyle w:val="84"/>
        <w:spacing w:line="500" w:lineRule="exact"/>
        <w:ind w:hanging="23"/>
        <w:rPr>
          <w:rFonts w:ascii="宋体" w:hAnsi="宋体"/>
          <w:color w:val="auto"/>
          <w:u w:val="single"/>
        </w:rPr>
      </w:pPr>
      <w:r>
        <w:rPr>
          <w:rFonts w:hint="eastAsia"/>
          <w:color w:val="auto"/>
        </w:rPr>
        <w:t>项目名称：</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rFonts w:hint="eastAsia"/>
          <w:color w:val="auto"/>
        </w:rPr>
        <w:t>项目编号：</w:t>
      </w:r>
    </w:p>
    <w:tbl>
      <w:tblPr>
        <w:tblStyle w:val="42"/>
        <w:tblW w:w="9532"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314"/>
        <w:gridCol w:w="1388"/>
        <w:gridCol w:w="1260"/>
        <w:gridCol w:w="129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pStyle w:val="84"/>
              <w:spacing w:line="500" w:lineRule="exact"/>
              <w:jc w:val="center"/>
              <w:rPr>
                <w:rFonts w:ascii="宋体" w:hAnsi="宋体"/>
                <w:color w:val="auto"/>
              </w:rPr>
            </w:pPr>
            <w:r>
              <w:rPr>
                <w:rFonts w:hint="eastAsia" w:ascii="宋体" w:hAnsi="宋体"/>
                <w:color w:val="auto"/>
              </w:rPr>
              <w:t>序号</w:t>
            </w:r>
          </w:p>
        </w:tc>
        <w:tc>
          <w:tcPr>
            <w:tcW w:w="3314" w:type="dxa"/>
            <w:vAlign w:val="center"/>
          </w:tcPr>
          <w:p>
            <w:pPr>
              <w:pStyle w:val="84"/>
              <w:spacing w:line="500" w:lineRule="exact"/>
              <w:jc w:val="center"/>
              <w:rPr>
                <w:rFonts w:ascii="宋体" w:hAnsi="宋体"/>
                <w:color w:val="auto"/>
              </w:rPr>
            </w:pPr>
            <w:r>
              <w:rPr>
                <w:rFonts w:hint="eastAsia" w:ascii="宋体" w:hAnsi="宋体"/>
                <w:color w:val="auto"/>
              </w:rPr>
              <w:t>货物名称</w:t>
            </w:r>
          </w:p>
        </w:tc>
        <w:tc>
          <w:tcPr>
            <w:tcW w:w="1388" w:type="dxa"/>
            <w:vAlign w:val="center"/>
          </w:tcPr>
          <w:p>
            <w:pPr>
              <w:pStyle w:val="84"/>
              <w:spacing w:line="500" w:lineRule="exact"/>
              <w:jc w:val="center"/>
              <w:rPr>
                <w:rFonts w:ascii="宋体" w:hAnsi="宋体"/>
                <w:color w:val="auto"/>
              </w:rPr>
            </w:pPr>
            <w:r>
              <w:rPr>
                <w:rFonts w:hint="eastAsia" w:ascii="宋体" w:hAnsi="宋体"/>
                <w:color w:val="auto"/>
              </w:rPr>
              <w:t>招标规格</w:t>
            </w:r>
          </w:p>
        </w:tc>
        <w:tc>
          <w:tcPr>
            <w:tcW w:w="1260" w:type="dxa"/>
            <w:vAlign w:val="center"/>
          </w:tcPr>
          <w:p>
            <w:pPr>
              <w:pStyle w:val="84"/>
              <w:spacing w:line="500" w:lineRule="exact"/>
              <w:jc w:val="center"/>
              <w:rPr>
                <w:rFonts w:ascii="宋体" w:hAnsi="宋体"/>
                <w:color w:val="auto"/>
              </w:rPr>
            </w:pPr>
            <w:r>
              <w:rPr>
                <w:rFonts w:hint="eastAsia" w:ascii="宋体" w:hAnsi="宋体"/>
                <w:color w:val="auto"/>
              </w:rPr>
              <w:t>投标规格</w:t>
            </w:r>
          </w:p>
        </w:tc>
        <w:tc>
          <w:tcPr>
            <w:tcW w:w="1290" w:type="dxa"/>
            <w:vAlign w:val="center"/>
          </w:tcPr>
          <w:p>
            <w:pPr>
              <w:pStyle w:val="84"/>
              <w:spacing w:line="500" w:lineRule="exact"/>
              <w:jc w:val="center"/>
              <w:rPr>
                <w:rFonts w:ascii="宋体" w:hAnsi="宋体"/>
                <w:color w:val="auto"/>
              </w:rPr>
            </w:pPr>
            <w:r>
              <w:rPr>
                <w:rFonts w:hint="eastAsia" w:ascii="宋体" w:hAnsi="宋体"/>
                <w:color w:val="auto"/>
              </w:rPr>
              <w:t>偏离</w:t>
            </w:r>
          </w:p>
        </w:tc>
        <w:tc>
          <w:tcPr>
            <w:tcW w:w="1440" w:type="dxa"/>
            <w:vAlign w:val="center"/>
          </w:tcPr>
          <w:p>
            <w:pPr>
              <w:pStyle w:val="84"/>
              <w:spacing w:line="500" w:lineRule="exact"/>
              <w:jc w:val="center"/>
              <w:rPr>
                <w:rFonts w:ascii="宋体" w:hAnsi="宋体"/>
                <w:color w:val="auto"/>
              </w:rPr>
            </w:pPr>
            <w:r>
              <w:rPr>
                <w:rFonts w:hint="eastAsia" w:ascii="宋体" w:hAns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4"/>
              <w:spacing w:line="500" w:lineRule="exact"/>
              <w:rPr>
                <w:rFonts w:ascii="宋体" w:hAnsi="宋体"/>
                <w:color w:val="auto"/>
              </w:rPr>
            </w:pPr>
          </w:p>
        </w:tc>
        <w:tc>
          <w:tcPr>
            <w:tcW w:w="3314" w:type="dxa"/>
          </w:tcPr>
          <w:p>
            <w:pPr>
              <w:pStyle w:val="84"/>
              <w:spacing w:line="500" w:lineRule="exact"/>
              <w:rPr>
                <w:rFonts w:ascii="宋体" w:hAnsi="宋体"/>
                <w:color w:val="auto"/>
              </w:rPr>
            </w:pPr>
          </w:p>
        </w:tc>
        <w:tc>
          <w:tcPr>
            <w:tcW w:w="1388" w:type="dxa"/>
          </w:tcPr>
          <w:p>
            <w:pPr>
              <w:pStyle w:val="84"/>
              <w:spacing w:line="500" w:lineRule="exact"/>
              <w:rPr>
                <w:rFonts w:ascii="宋体" w:hAnsi="宋体"/>
                <w:color w:val="auto"/>
              </w:rPr>
            </w:pPr>
          </w:p>
        </w:tc>
        <w:tc>
          <w:tcPr>
            <w:tcW w:w="1260" w:type="dxa"/>
          </w:tcPr>
          <w:p>
            <w:pPr>
              <w:pStyle w:val="84"/>
              <w:spacing w:line="500" w:lineRule="exact"/>
              <w:rPr>
                <w:rFonts w:ascii="宋体" w:hAnsi="宋体"/>
                <w:color w:val="auto"/>
              </w:rPr>
            </w:pPr>
          </w:p>
        </w:tc>
        <w:tc>
          <w:tcPr>
            <w:tcW w:w="1290" w:type="dxa"/>
          </w:tcPr>
          <w:p>
            <w:pPr>
              <w:pStyle w:val="84"/>
              <w:spacing w:line="500" w:lineRule="exact"/>
              <w:rPr>
                <w:rFonts w:ascii="宋体" w:hAnsi="宋体"/>
                <w:color w:val="auto"/>
              </w:rPr>
            </w:pPr>
          </w:p>
        </w:tc>
        <w:tc>
          <w:tcPr>
            <w:tcW w:w="1440" w:type="dxa"/>
          </w:tcPr>
          <w:p>
            <w:pPr>
              <w:pStyle w:val="84"/>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4"/>
              <w:spacing w:line="500" w:lineRule="exact"/>
              <w:rPr>
                <w:rFonts w:ascii="宋体" w:hAnsi="宋体"/>
                <w:color w:val="auto"/>
              </w:rPr>
            </w:pPr>
          </w:p>
        </w:tc>
        <w:tc>
          <w:tcPr>
            <w:tcW w:w="3314" w:type="dxa"/>
          </w:tcPr>
          <w:p>
            <w:pPr>
              <w:pStyle w:val="84"/>
              <w:spacing w:line="500" w:lineRule="exact"/>
              <w:rPr>
                <w:rFonts w:ascii="宋体" w:hAnsi="宋体"/>
                <w:color w:val="auto"/>
              </w:rPr>
            </w:pPr>
          </w:p>
        </w:tc>
        <w:tc>
          <w:tcPr>
            <w:tcW w:w="1388" w:type="dxa"/>
          </w:tcPr>
          <w:p>
            <w:pPr>
              <w:pStyle w:val="84"/>
              <w:spacing w:line="500" w:lineRule="exact"/>
              <w:rPr>
                <w:rFonts w:ascii="宋体" w:hAnsi="宋体"/>
                <w:color w:val="auto"/>
              </w:rPr>
            </w:pPr>
          </w:p>
        </w:tc>
        <w:tc>
          <w:tcPr>
            <w:tcW w:w="1260" w:type="dxa"/>
          </w:tcPr>
          <w:p>
            <w:pPr>
              <w:pStyle w:val="84"/>
              <w:spacing w:line="500" w:lineRule="exact"/>
              <w:rPr>
                <w:rFonts w:ascii="宋体" w:hAnsi="宋体"/>
                <w:color w:val="auto"/>
              </w:rPr>
            </w:pPr>
          </w:p>
        </w:tc>
        <w:tc>
          <w:tcPr>
            <w:tcW w:w="1290" w:type="dxa"/>
          </w:tcPr>
          <w:p>
            <w:pPr>
              <w:pStyle w:val="84"/>
              <w:spacing w:line="500" w:lineRule="exact"/>
              <w:rPr>
                <w:rFonts w:ascii="宋体" w:hAnsi="宋体"/>
                <w:color w:val="auto"/>
              </w:rPr>
            </w:pPr>
          </w:p>
        </w:tc>
        <w:tc>
          <w:tcPr>
            <w:tcW w:w="1440" w:type="dxa"/>
          </w:tcPr>
          <w:p>
            <w:pPr>
              <w:pStyle w:val="84"/>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4"/>
              <w:spacing w:line="500" w:lineRule="exact"/>
              <w:rPr>
                <w:rFonts w:ascii="宋体" w:hAnsi="宋体"/>
                <w:color w:val="auto"/>
              </w:rPr>
            </w:pPr>
          </w:p>
        </w:tc>
        <w:tc>
          <w:tcPr>
            <w:tcW w:w="3314" w:type="dxa"/>
          </w:tcPr>
          <w:p>
            <w:pPr>
              <w:pStyle w:val="84"/>
              <w:spacing w:line="500" w:lineRule="exact"/>
              <w:rPr>
                <w:rFonts w:ascii="宋体" w:hAnsi="宋体"/>
                <w:color w:val="auto"/>
              </w:rPr>
            </w:pPr>
          </w:p>
        </w:tc>
        <w:tc>
          <w:tcPr>
            <w:tcW w:w="1388" w:type="dxa"/>
          </w:tcPr>
          <w:p>
            <w:pPr>
              <w:pStyle w:val="84"/>
              <w:spacing w:line="500" w:lineRule="exact"/>
              <w:rPr>
                <w:rFonts w:ascii="宋体" w:hAnsi="宋体"/>
                <w:color w:val="auto"/>
              </w:rPr>
            </w:pPr>
          </w:p>
        </w:tc>
        <w:tc>
          <w:tcPr>
            <w:tcW w:w="1260" w:type="dxa"/>
          </w:tcPr>
          <w:p>
            <w:pPr>
              <w:pStyle w:val="84"/>
              <w:spacing w:line="500" w:lineRule="exact"/>
              <w:rPr>
                <w:rFonts w:ascii="宋体" w:hAnsi="宋体"/>
                <w:color w:val="auto"/>
              </w:rPr>
            </w:pPr>
          </w:p>
        </w:tc>
        <w:tc>
          <w:tcPr>
            <w:tcW w:w="1290" w:type="dxa"/>
          </w:tcPr>
          <w:p>
            <w:pPr>
              <w:pStyle w:val="84"/>
              <w:spacing w:line="500" w:lineRule="exact"/>
              <w:rPr>
                <w:rFonts w:ascii="宋体" w:hAnsi="宋体"/>
                <w:color w:val="auto"/>
              </w:rPr>
            </w:pPr>
          </w:p>
        </w:tc>
        <w:tc>
          <w:tcPr>
            <w:tcW w:w="1440" w:type="dxa"/>
          </w:tcPr>
          <w:p>
            <w:pPr>
              <w:pStyle w:val="84"/>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4"/>
              <w:spacing w:line="500" w:lineRule="exact"/>
              <w:rPr>
                <w:rFonts w:ascii="宋体" w:hAnsi="宋体"/>
                <w:color w:val="auto"/>
              </w:rPr>
            </w:pPr>
          </w:p>
        </w:tc>
        <w:tc>
          <w:tcPr>
            <w:tcW w:w="3314" w:type="dxa"/>
          </w:tcPr>
          <w:p>
            <w:pPr>
              <w:pStyle w:val="84"/>
              <w:spacing w:line="500" w:lineRule="exact"/>
              <w:rPr>
                <w:rFonts w:ascii="宋体" w:hAnsi="宋体"/>
                <w:color w:val="auto"/>
              </w:rPr>
            </w:pPr>
          </w:p>
        </w:tc>
        <w:tc>
          <w:tcPr>
            <w:tcW w:w="1388" w:type="dxa"/>
          </w:tcPr>
          <w:p>
            <w:pPr>
              <w:pStyle w:val="84"/>
              <w:spacing w:line="500" w:lineRule="exact"/>
              <w:rPr>
                <w:rFonts w:ascii="宋体" w:hAnsi="宋体"/>
                <w:color w:val="auto"/>
              </w:rPr>
            </w:pPr>
          </w:p>
        </w:tc>
        <w:tc>
          <w:tcPr>
            <w:tcW w:w="1260" w:type="dxa"/>
          </w:tcPr>
          <w:p>
            <w:pPr>
              <w:pStyle w:val="84"/>
              <w:spacing w:line="500" w:lineRule="exact"/>
              <w:rPr>
                <w:rFonts w:ascii="宋体" w:hAnsi="宋体"/>
                <w:color w:val="auto"/>
              </w:rPr>
            </w:pPr>
          </w:p>
        </w:tc>
        <w:tc>
          <w:tcPr>
            <w:tcW w:w="1290" w:type="dxa"/>
          </w:tcPr>
          <w:p>
            <w:pPr>
              <w:pStyle w:val="84"/>
              <w:spacing w:line="500" w:lineRule="exact"/>
              <w:rPr>
                <w:rFonts w:ascii="宋体" w:hAnsi="宋体"/>
                <w:color w:val="auto"/>
              </w:rPr>
            </w:pPr>
          </w:p>
        </w:tc>
        <w:tc>
          <w:tcPr>
            <w:tcW w:w="1440" w:type="dxa"/>
          </w:tcPr>
          <w:p>
            <w:pPr>
              <w:pStyle w:val="84"/>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4"/>
              <w:spacing w:line="500" w:lineRule="exact"/>
              <w:rPr>
                <w:rFonts w:ascii="宋体" w:hAnsi="宋体"/>
                <w:color w:val="auto"/>
              </w:rPr>
            </w:pPr>
          </w:p>
        </w:tc>
        <w:tc>
          <w:tcPr>
            <w:tcW w:w="3314" w:type="dxa"/>
          </w:tcPr>
          <w:p>
            <w:pPr>
              <w:pStyle w:val="84"/>
              <w:spacing w:line="500" w:lineRule="exact"/>
              <w:rPr>
                <w:rFonts w:ascii="宋体" w:hAnsi="宋体"/>
                <w:color w:val="auto"/>
              </w:rPr>
            </w:pPr>
          </w:p>
        </w:tc>
        <w:tc>
          <w:tcPr>
            <w:tcW w:w="1388" w:type="dxa"/>
          </w:tcPr>
          <w:p>
            <w:pPr>
              <w:pStyle w:val="84"/>
              <w:spacing w:line="500" w:lineRule="exact"/>
              <w:rPr>
                <w:rFonts w:ascii="宋体" w:hAnsi="宋体"/>
                <w:color w:val="auto"/>
              </w:rPr>
            </w:pPr>
          </w:p>
        </w:tc>
        <w:tc>
          <w:tcPr>
            <w:tcW w:w="1260" w:type="dxa"/>
          </w:tcPr>
          <w:p>
            <w:pPr>
              <w:pStyle w:val="84"/>
              <w:spacing w:line="500" w:lineRule="exact"/>
              <w:rPr>
                <w:rFonts w:ascii="宋体" w:hAnsi="宋体"/>
                <w:color w:val="auto"/>
              </w:rPr>
            </w:pPr>
          </w:p>
        </w:tc>
        <w:tc>
          <w:tcPr>
            <w:tcW w:w="1290" w:type="dxa"/>
          </w:tcPr>
          <w:p>
            <w:pPr>
              <w:pStyle w:val="84"/>
              <w:spacing w:line="500" w:lineRule="exact"/>
              <w:rPr>
                <w:rFonts w:ascii="宋体" w:hAnsi="宋体"/>
                <w:color w:val="auto"/>
              </w:rPr>
            </w:pPr>
          </w:p>
        </w:tc>
        <w:tc>
          <w:tcPr>
            <w:tcW w:w="1440" w:type="dxa"/>
          </w:tcPr>
          <w:p>
            <w:pPr>
              <w:pStyle w:val="84"/>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4"/>
              <w:spacing w:line="500" w:lineRule="exact"/>
              <w:rPr>
                <w:rFonts w:ascii="宋体" w:hAnsi="宋体"/>
                <w:color w:val="auto"/>
              </w:rPr>
            </w:pPr>
          </w:p>
        </w:tc>
        <w:tc>
          <w:tcPr>
            <w:tcW w:w="3314" w:type="dxa"/>
          </w:tcPr>
          <w:p>
            <w:pPr>
              <w:pStyle w:val="84"/>
              <w:spacing w:line="500" w:lineRule="exact"/>
              <w:rPr>
                <w:rFonts w:ascii="宋体" w:hAnsi="宋体"/>
                <w:color w:val="auto"/>
              </w:rPr>
            </w:pPr>
          </w:p>
        </w:tc>
        <w:tc>
          <w:tcPr>
            <w:tcW w:w="1388" w:type="dxa"/>
          </w:tcPr>
          <w:p>
            <w:pPr>
              <w:pStyle w:val="84"/>
              <w:spacing w:line="500" w:lineRule="exact"/>
              <w:rPr>
                <w:rFonts w:ascii="宋体" w:hAnsi="宋体"/>
                <w:color w:val="auto"/>
              </w:rPr>
            </w:pPr>
          </w:p>
        </w:tc>
        <w:tc>
          <w:tcPr>
            <w:tcW w:w="1260" w:type="dxa"/>
          </w:tcPr>
          <w:p>
            <w:pPr>
              <w:pStyle w:val="84"/>
              <w:spacing w:line="500" w:lineRule="exact"/>
              <w:rPr>
                <w:rFonts w:ascii="宋体" w:hAnsi="宋体"/>
                <w:color w:val="auto"/>
              </w:rPr>
            </w:pPr>
          </w:p>
        </w:tc>
        <w:tc>
          <w:tcPr>
            <w:tcW w:w="1290" w:type="dxa"/>
          </w:tcPr>
          <w:p>
            <w:pPr>
              <w:pStyle w:val="84"/>
              <w:spacing w:line="500" w:lineRule="exact"/>
              <w:rPr>
                <w:rFonts w:ascii="宋体" w:hAnsi="宋体"/>
                <w:color w:val="auto"/>
              </w:rPr>
            </w:pPr>
          </w:p>
        </w:tc>
        <w:tc>
          <w:tcPr>
            <w:tcW w:w="1440" w:type="dxa"/>
          </w:tcPr>
          <w:p>
            <w:pPr>
              <w:pStyle w:val="84"/>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4"/>
              <w:spacing w:line="500" w:lineRule="exact"/>
              <w:rPr>
                <w:rFonts w:ascii="宋体" w:hAnsi="宋体"/>
                <w:color w:val="auto"/>
              </w:rPr>
            </w:pPr>
          </w:p>
        </w:tc>
        <w:tc>
          <w:tcPr>
            <w:tcW w:w="3314" w:type="dxa"/>
          </w:tcPr>
          <w:p>
            <w:pPr>
              <w:pStyle w:val="84"/>
              <w:spacing w:line="500" w:lineRule="exact"/>
              <w:rPr>
                <w:rFonts w:ascii="宋体" w:hAnsi="宋体"/>
                <w:color w:val="auto"/>
              </w:rPr>
            </w:pPr>
          </w:p>
        </w:tc>
        <w:tc>
          <w:tcPr>
            <w:tcW w:w="1388" w:type="dxa"/>
          </w:tcPr>
          <w:p>
            <w:pPr>
              <w:pStyle w:val="84"/>
              <w:spacing w:line="500" w:lineRule="exact"/>
              <w:rPr>
                <w:rFonts w:ascii="宋体" w:hAnsi="宋体"/>
                <w:color w:val="auto"/>
              </w:rPr>
            </w:pPr>
          </w:p>
        </w:tc>
        <w:tc>
          <w:tcPr>
            <w:tcW w:w="1260" w:type="dxa"/>
          </w:tcPr>
          <w:p>
            <w:pPr>
              <w:pStyle w:val="84"/>
              <w:spacing w:line="500" w:lineRule="exact"/>
              <w:rPr>
                <w:rFonts w:ascii="宋体" w:hAnsi="宋体"/>
                <w:color w:val="auto"/>
              </w:rPr>
            </w:pPr>
          </w:p>
        </w:tc>
        <w:tc>
          <w:tcPr>
            <w:tcW w:w="1290" w:type="dxa"/>
          </w:tcPr>
          <w:p>
            <w:pPr>
              <w:pStyle w:val="84"/>
              <w:spacing w:line="500" w:lineRule="exact"/>
              <w:rPr>
                <w:rFonts w:ascii="宋体" w:hAnsi="宋体"/>
                <w:color w:val="auto"/>
              </w:rPr>
            </w:pPr>
          </w:p>
        </w:tc>
        <w:tc>
          <w:tcPr>
            <w:tcW w:w="1440" w:type="dxa"/>
          </w:tcPr>
          <w:p>
            <w:pPr>
              <w:pStyle w:val="84"/>
              <w:spacing w:line="500" w:lineRule="exact"/>
              <w:rPr>
                <w:rFonts w:ascii="宋体" w:hAnsi="宋体"/>
                <w:color w:val="auto"/>
              </w:rPr>
            </w:pPr>
          </w:p>
        </w:tc>
      </w:tr>
    </w:tbl>
    <w:p>
      <w:pPr>
        <w:spacing w:line="500" w:lineRule="exact"/>
        <w:rPr>
          <w:rFonts w:ascii="宋体" w:hAnsi="宋体"/>
          <w:color w:val="auto"/>
          <w:sz w:val="24"/>
          <w:szCs w:val="24"/>
        </w:rPr>
      </w:pPr>
      <w:r>
        <w:rPr>
          <w:rFonts w:ascii="宋体" w:hAnsi="宋体"/>
          <w:color w:val="auto"/>
          <w:kern w:val="0"/>
          <w:sz w:val="24"/>
          <w:szCs w:val="24"/>
        </w:rPr>
        <w:t xml:space="preserve">                        </w:t>
      </w:r>
    </w:p>
    <w:p>
      <w:pPr>
        <w:pStyle w:val="84"/>
        <w:spacing w:line="500" w:lineRule="exact"/>
        <w:rPr>
          <w:rFonts w:ascii="宋体" w:hAnsi="宋体"/>
          <w:color w:val="auto"/>
        </w:rPr>
      </w:pPr>
    </w:p>
    <w:p>
      <w:pPr>
        <w:pStyle w:val="84"/>
        <w:spacing w:line="500" w:lineRule="exact"/>
        <w:rPr>
          <w:rFonts w:ascii="宋体" w:hAnsi="宋体"/>
          <w:b/>
          <w:color w:val="auto"/>
        </w:rPr>
      </w:pPr>
      <w:r>
        <w:rPr>
          <w:rFonts w:hint="eastAsia" w:ascii="宋体" w:hAnsi="宋体"/>
          <w:color w:val="auto"/>
        </w:rPr>
        <w:t>注:若有偏离,请将具体偏离条款在</w:t>
      </w:r>
      <w:r>
        <w:rPr>
          <w:rFonts w:ascii="宋体" w:hAnsi="宋体"/>
          <w:color w:val="auto"/>
        </w:rPr>
        <w:t>”</w:t>
      </w:r>
      <w:r>
        <w:rPr>
          <w:rFonts w:hint="eastAsia" w:ascii="宋体" w:hAnsi="宋体"/>
          <w:color w:val="auto"/>
        </w:rPr>
        <w:t>偏离</w:t>
      </w:r>
      <w:r>
        <w:rPr>
          <w:rFonts w:ascii="宋体" w:hAnsi="宋体"/>
          <w:color w:val="auto"/>
        </w:rPr>
        <w:t>”</w:t>
      </w:r>
      <w:r>
        <w:rPr>
          <w:rFonts w:hint="eastAsia" w:ascii="宋体" w:hAnsi="宋体"/>
          <w:color w:val="auto"/>
        </w:rPr>
        <w:t>一栏中详细说明;若无偏离,请在</w:t>
      </w:r>
      <w:r>
        <w:rPr>
          <w:rFonts w:ascii="宋体" w:hAnsi="宋体"/>
          <w:color w:val="auto"/>
        </w:rPr>
        <w:t>”</w:t>
      </w:r>
      <w:r>
        <w:rPr>
          <w:rFonts w:hint="eastAsia" w:ascii="宋体" w:hAnsi="宋体"/>
          <w:color w:val="auto"/>
        </w:rPr>
        <w:t>偏离</w:t>
      </w:r>
      <w:r>
        <w:rPr>
          <w:rFonts w:ascii="宋体" w:hAnsi="宋体"/>
          <w:color w:val="auto"/>
        </w:rPr>
        <w:t>”</w:t>
      </w:r>
      <w:r>
        <w:rPr>
          <w:rFonts w:hint="eastAsia" w:ascii="宋体" w:hAnsi="宋体"/>
          <w:color w:val="auto"/>
        </w:rPr>
        <w:t>一栏中标注</w:t>
      </w:r>
      <w:r>
        <w:rPr>
          <w:rFonts w:ascii="宋体" w:hAnsi="宋体"/>
          <w:color w:val="auto"/>
        </w:rPr>
        <w:t>”</w:t>
      </w:r>
      <w:r>
        <w:rPr>
          <w:rFonts w:hint="eastAsia" w:ascii="宋体" w:hAnsi="宋体"/>
          <w:color w:val="auto"/>
        </w:rPr>
        <w:t>无</w:t>
      </w:r>
      <w:r>
        <w:rPr>
          <w:rFonts w:ascii="宋体" w:hAnsi="宋体"/>
          <w:color w:val="auto"/>
        </w:rPr>
        <w:t>”</w:t>
      </w:r>
      <w:r>
        <w:rPr>
          <w:rFonts w:hint="eastAsia" w:ascii="宋体" w:hAnsi="宋体"/>
          <w:color w:val="auto"/>
        </w:rPr>
        <w:t>字样.</w:t>
      </w:r>
    </w:p>
    <w:p>
      <w:pPr>
        <w:pStyle w:val="84"/>
        <w:spacing w:line="500" w:lineRule="exact"/>
        <w:rPr>
          <w:rFonts w:ascii="宋体" w:hAnsi="宋体"/>
          <w:b/>
          <w:color w:val="auto"/>
        </w:rPr>
      </w:pPr>
    </w:p>
    <w:p>
      <w:pPr>
        <w:pStyle w:val="84"/>
        <w:spacing w:line="500" w:lineRule="exact"/>
        <w:rPr>
          <w:rFonts w:ascii="宋体" w:hAnsi="宋体"/>
          <w:b/>
          <w:color w:val="auto"/>
        </w:rPr>
      </w:pPr>
    </w:p>
    <w:p>
      <w:pPr>
        <w:adjustRightInd w:val="0"/>
        <w:snapToGrid w:val="0"/>
        <w:spacing w:line="360" w:lineRule="auto"/>
        <w:ind w:firstLine="484" w:firstLineChars="200"/>
        <w:rPr>
          <w:rFonts w:ascii="宋体" w:hAnsi="宋体"/>
          <w:color w:val="auto"/>
          <w:sz w:val="24"/>
          <w:szCs w:val="21"/>
        </w:rPr>
      </w:pPr>
    </w:p>
    <w:p>
      <w:pPr>
        <w:adjustRightInd w:val="0"/>
        <w:snapToGrid w:val="0"/>
        <w:spacing w:line="360" w:lineRule="auto"/>
        <w:ind w:firstLine="484" w:firstLineChars="200"/>
        <w:rPr>
          <w:rFonts w:ascii="宋体" w:hAnsi="宋体"/>
          <w:color w:val="auto"/>
          <w:sz w:val="24"/>
          <w:szCs w:val="21"/>
        </w:rPr>
      </w:pPr>
      <w:r>
        <w:rPr>
          <w:rFonts w:hint="eastAsia" w:ascii="宋体" w:hAnsi="宋体"/>
          <w:color w:val="auto"/>
          <w:sz w:val="24"/>
          <w:szCs w:val="21"/>
        </w:rPr>
        <w:t>投标人（盖单位章）：</w:t>
      </w:r>
    </w:p>
    <w:p>
      <w:pPr>
        <w:adjustRightInd w:val="0"/>
        <w:snapToGrid w:val="0"/>
        <w:spacing w:line="360" w:lineRule="auto"/>
        <w:ind w:left="483" w:leftChars="228" w:firstLine="9438" w:firstLineChars="3900"/>
        <w:rPr>
          <w:rFonts w:ascii="宋体" w:hAnsi="宋体"/>
          <w:color w:val="auto"/>
          <w:sz w:val="24"/>
          <w:szCs w:val="21"/>
        </w:rPr>
      </w:pPr>
      <w:r>
        <w:rPr>
          <w:rFonts w:hint="eastAsia" w:ascii="宋体" w:hAnsi="宋体"/>
          <w:color w:val="auto"/>
          <w:sz w:val="24"/>
          <w:szCs w:val="21"/>
        </w:rPr>
        <w:t xml:space="preserve"> 法定代表人或其委托代理人签字：</w:t>
      </w:r>
      <w:r>
        <w:rPr>
          <w:rFonts w:hint="eastAsia" w:ascii="宋体" w:hAnsi="宋体"/>
          <w:color w:val="auto"/>
          <w:sz w:val="24"/>
          <w:szCs w:val="21"/>
          <w:u w:val="single"/>
        </w:rPr>
        <w:t xml:space="preserve">       </w:t>
      </w:r>
    </w:p>
    <w:p>
      <w:pPr>
        <w:adjustRightInd w:val="0"/>
        <w:snapToGrid w:val="0"/>
        <w:spacing w:line="360" w:lineRule="auto"/>
        <w:ind w:left="483" w:leftChars="228" w:right="24" w:firstLine="9438" w:firstLineChars="3900"/>
        <w:rPr>
          <w:rFonts w:ascii="宋体" w:hAnsi="宋体"/>
          <w:bCs/>
          <w:color w:val="auto"/>
          <w:sz w:val="36"/>
          <w:szCs w:val="28"/>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pStyle w:val="84"/>
        <w:spacing w:line="500" w:lineRule="exact"/>
        <w:rPr>
          <w:rFonts w:ascii="宋体" w:hAnsi="宋体"/>
          <w:b/>
          <w:color w:val="auto"/>
        </w:rPr>
      </w:pPr>
    </w:p>
    <w:p>
      <w:pPr>
        <w:pStyle w:val="84"/>
        <w:spacing w:line="500" w:lineRule="exact"/>
        <w:rPr>
          <w:rFonts w:ascii="宋体" w:hAnsi="宋体"/>
          <w:b/>
          <w:color w:val="auto"/>
        </w:rPr>
      </w:pPr>
    </w:p>
    <w:p>
      <w:pPr>
        <w:pStyle w:val="84"/>
        <w:spacing w:line="500" w:lineRule="exact"/>
        <w:jc w:val="center"/>
        <w:rPr>
          <w:rFonts w:ascii="宋体" w:hAnsi="宋体"/>
          <w:b/>
          <w:color w:val="auto"/>
        </w:rPr>
      </w:pPr>
      <w:r>
        <w:rPr>
          <w:rFonts w:hint="eastAsia" w:ascii="宋体" w:hAnsi="宋体"/>
          <w:b/>
          <w:color w:val="auto"/>
        </w:rPr>
        <w:br w:type="page"/>
      </w:r>
    </w:p>
    <w:p>
      <w:pPr>
        <w:pStyle w:val="84"/>
        <w:spacing w:line="500" w:lineRule="exact"/>
        <w:jc w:val="center"/>
        <w:rPr>
          <w:rFonts w:ascii="宋体" w:hAnsi="宋体"/>
          <w:b/>
          <w:color w:val="auto"/>
        </w:rPr>
      </w:pPr>
      <w:r>
        <w:rPr>
          <w:rFonts w:hint="eastAsia" w:ascii="宋体" w:hAnsi="宋体"/>
          <w:b/>
          <w:color w:val="auto"/>
        </w:rPr>
        <w:t>十、售后服务承诺书</w:t>
      </w:r>
    </w:p>
    <w:p>
      <w:pPr>
        <w:pStyle w:val="84"/>
        <w:spacing w:line="500" w:lineRule="exact"/>
        <w:rPr>
          <w:rFonts w:ascii="宋体" w:hAnsi="宋体"/>
          <w:bCs/>
          <w:color w:val="auto"/>
        </w:rPr>
      </w:pPr>
      <w:r>
        <w:rPr>
          <w:rFonts w:hint="eastAsia" w:ascii="宋体" w:hAnsi="宋体"/>
          <w:bCs/>
          <w:color w:val="auto"/>
        </w:rPr>
        <w:t>该承诺书格式由投标商自行确定。</w:t>
      </w:r>
    </w:p>
    <w:p>
      <w:pPr>
        <w:tabs>
          <w:tab w:val="left" w:pos="6521"/>
        </w:tabs>
        <w:spacing w:line="500" w:lineRule="exact"/>
        <w:ind w:left="-53" w:leftChars="-171" w:hanging="309" w:hangingChars="128"/>
        <w:rPr>
          <w:rFonts w:ascii="宋体" w:hAnsi="宋体"/>
          <w:color w:val="auto"/>
          <w:sz w:val="24"/>
          <w:szCs w:val="24"/>
        </w:rPr>
      </w:pPr>
      <w:r>
        <w:rPr>
          <w:rFonts w:hint="eastAsia" w:ascii="宋体" w:hAnsi="宋体"/>
          <w:color w:val="auto"/>
          <w:sz w:val="24"/>
          <w:szCs w:val="24"/>
        </w:rPr>
        <w:t xml:space="preserve">       1、应提供配套设备的免费保修，质保期：质保期</w:t>
      </w:r>
      <w:r>
        <w:rPr>
          <w:rFonts w:hint="eastAsia" w:ascii="宋体" w:hAnsi="宋体"/>
          <w:color w:val="auto"/>
          <w:sz w:val="24"/>
          <w:szCs w:val="24"/>
          <w:u w:val="single"/>
        </w:rPr>
        <w:t xml:space="preserve">  </w:t>
      </w:r>
      <w:r>
        <w:rPr>
          <w:rFonts w:hint="eastAsia" w:ascii="宋体" w:hAnsi="宋体"/>
          <w:color w:val="auto"/>
          <w:sz w:val="24"/>
          <w:szCs w:val="24"/>
        </w:rPr>
        <w:t>年，在新疆本地有售后服务网点（三包：包退、包换、包修）；</w:t>
      </w:r>
    </w:p>
    <w:p>
      <w:pPr>
        <w:spacing w:line="500" w:lineRule="exact"/>
        <w:ind w:left="-402" w:leftChars="-190" w:firstLine="48" w:firstLineChars="20"/>
        <w:rPr>
          <w:rFonts w:ascii="宋体" w:hAnsi="宋体"/>
          <w:color w:val="auto"/>
          <w:sz w:val="24"/>
          <w:szCs w:val="24"/>
        </w:rPr>
      </w:pPr>
      <w:r>
        <w:rPr>
          <w:rFonts w:hint="eastAsia" w:ascii="宋体" w:hAnsi="宋体"/>
          <w:color w:val="auto"/>
          <w:sz w:val="24"/>
          <w:szCs w:val="24"/>
        </w:rPr>
        <w:t xml:space="preserve">       2、售后服务：提供相关的技术培训和技术资料，包括安装、调试等，质保期限内免费维护。</w:t>
      </w:r>
    </w:p>
    <w:p>
      <w:pPr>
        <w:spacing w:line="500" w:lineRule="exact"/>
        <w:ind w:left="-53" w:leftChars="-171" w:hanging="309" w:hangingChars="128"/>
        <w:rPr>
          <w:rFonts w:ascii="宋体" w:hAnsi="宋体"/>
          <w:color w:val="auto"/>
          <w:sz w:val="24"/>
          <w:szCs w:val="24"/>
        </w:rPr>
      </w:pPr>
      <w:r>
        <w:rPr>
          <w:rFonts w:hint="eastAsia" w:ascii="宋体" w:hAnsi="宋体"/>
          <w:color w:val="auto"/>
          <w:sz w:val="24"/>
          <w:szCs w:val="24"/>
        </w:rPr>
        <w:t xml:space="preserve">       3、保修期内和保修期后，如设备出现故障，2小时售后响应，8小时问题解决，保修期内免费维修，保修期外只收取材料成本费，免人工费，主要零配件送达时间不超过3天，每超一天按日设备的检查费赔偿。</w:t>
      </w:r>
    </w:p>
    <w:p>
      <w:pPr>
        <w:spacing w:line="500" w:lineRule="exact"/>
        <w:ind w:left="-53" w:leftChars="-171" w:hanging="309" w:hangingChars="128"/>
        <w:rPr>
          <w:rFonts w:ascii="宋体" w:hAnsi="宋体"/>
          <w:bCs/>
          <w:color w:val="auto"/>
          <w:sz w:val="24"/>
          <w:szCs w:val="24"/>
        </w:rPr>
      </w:pPr>
      <w:r>
        <w:rPr>
          <w:rFonts w:hint="eastAsia" w:ascii="宋体" w:hAnsi="宋体"/>
          <w:color w:val="auto"/>
          <w:sz w:val="24"/>
          <w:szCs w:val="24"/>
        </w:rPr>
        <w:t xml:space="preserve">       4、</w:t>
      </w:r>
      <w:r>
        <w:rPr>
          <w:rFonts w:hint="eastAsia" w:ascii="宋体" w:hAnsi="宋体"/>
          <w:bCs/>
          <w:color w:val="auto"/>
          <w:sz w:val="24"/>
          <w:szCs w:val="24"/>
        </w:rPr>
        <w:t>请提供一份详细的售后服务承诺书和计划书。</w:t>
      </w:r>
    </w:p>
    <w:p>
      <w:pPr>
        <w:spacing w:line="500" w:lineRule="exact"/>
        <w:ind w:firstLine="484" w:firstLineChars="200"/>
        <w:rPr>
          <w:rFonts w:ascii="宋体" w:hAnsi="宋体"/>
          <w:color w:val="auto"/>
          <w:sz w:val="24"/>
          <w:szCs w:val="24"/>
        </w:rPr>
      </w:pPr>
      <w:r>
        <w:rPr>
          <w:rFonts w:hint="eastAsia" w:ascii="宋体" w:hAnsi="宋体"/>
          <w:bCs/>
          <w:color w:val="auto"/>
          <w:sz w:val="24"/>
          <w:szCs w:val="24"/>
        </w:rPr>
        <w:t>（注：投标人可适当增加售后服务内容）</w:t>
      </w:r>
    </w:p>
    <w:p>
      <w:pPr>
        <w:pStyle w:val="84"/>
        <w:spacing w:line="500" w:lineRule="exact"/>
        <w:rPr>
          <w:rFonts w:ascii="宋体" w:hAnsi="宋体"/>
          <w:bCs/>
          <w:color w:val="auto"/>
        </w:rPr>
      </w:pPr>
    </w:p>
    <w:p>
      <w:pPr>
        <w:pStyle w:val="84"/>
        <w:spacing w:line="500" w:lineRule="exact"/>
        <w:rPr>
          <w:rFonts w:ascii="宋体" w:hAnsi="宋体"/>
          <w:color w:val="auto"/>
        </w:rPr>
      </w:pPr>
    </w:p>
    <w:p>
      <w:pPr>
        <w:pStyle w:val="84"/>
        <w:spacing w:line="500" w:lineRule="exact"/>
        <w:ind w:firstLine="4235" w:firstLineChars="1750"/>
        <w:rPr>
          <w:rFonts w:ascii="宋体" w:hAnsi="宋体"/>
          <w:color w:val="auto"/>
        </w:rPr>
      </w:pPr>
    </w:p>
    <w:p>
      <w:pPr>
        <w:adjustRightInd w:val="0"/>
        <w:snapToGrid w:val="0"/>
        <w:spacing w:line="360" w:lineRule="auto"/>
        <w:ind w:firstLine="424" w:firstLineChars="200"/>
        <w:rPr>
          <w:rFonts w:ascii="宋体" w:hAnsi="宋体"/>
          <w:color w:val="auto"/>
          <w:sz w:val="24"/>
          <w:szCs w:val="21"/>
        </w:rPr>
      </w:pPr>
      <w:r>
        <w:rPr>
          <w:rFonts w:hint="eastAsia" w:ascii="宋体" w:hAnsi="宋体"/>
          <w:color w:val="auto"/>
        </w:rPr>
        <w:t xml:space="preserve">                                           </w:t>
      </w:r>
    </w:p>
    <w:p>
      <w:pPr>
        <w:adjustRightInd w:val="0"/>
        <w:snapToGrid w:val="0"/>
        <w:spacing w:line="360" w:lineRule="auto"/>
        <w:ind w:firstLine="484" w:firstLineChars="200"/>
        <w:rPr>
          <w:rFonts w:ascii="宋体" w:hAnsi="宋体"/>
          <w:color w:val="auto"/>
          <w:sz w:val="24"/>
          <w:szCs w:val="21"/>
        </w:rPr>
      </w:pPr>
      <w:r>
        <w:rPr>
          <w:rFonts w:hint="eastAsia" w:ascii="宋体" w:hAnsi="宋体"/>
          <w:color w:val="auto"/>
          <w:sz w:val="24"/>
          <w:szCs w:val="21"/>
        </w:rPr>
        <w:t>投标人（盖单位章）：</w:t>
      </w:r>
    </w:p>
    <w:p>
      <w:pPr>
        <w:adjustRightInd w:val="0"/>
        <w:snapToGrid w:val="0"/>
        <w:spacing w:line="360" w:lineRule="auto"/>
        <w:ind w:left="483" w:leftChars="228" w:firstLine="9438" w:firstLineChars="3900"/>
        <w:rPr>
          <w:rFonts w:ascii="宋体" w:hAnsi="宋体"/>
          <w:color w:val="auto"/>
          <w:sz w:val="24"/>
          <w:szCs w:val="21"/>
        </w:rPr>
      </w:pPr>
      <w:r>
        <w:rPr>
          <w:rFonts w:hint="eastAsia" w:ascii="宋体" w:hAnsi="宋体"/>
          <w:color w:val="auto"/>
          <w:sz w:val="24"/>
          <w:szCs w:val="21"/>
        </w:rPr>
        <w:t xml:space="preserve"> 法定代表人或其委托代理人签字：</w:t>
      </w:r>
      <w:r>
        <w:rPr>
          <w:rFonts w:hint="eastAsia" w:ascii="宋体" w:hAnsi="宋体"/>
          <w:color w:val="auto"/>
          <w:sz w:val="24"/>
          <w:szCs w:val="21"/>
          <w:u w:val="single"/>
        </w:rPr>
        <w:t xml:space="preserve">       </w:t>
      </w:r>
    </w:p>
    <w:p>
      <w:pPr>
        <w:adjustRightInd w:val="0"/>
        <w:snapToGrid w:val="0"/>
        <w:spacing w:line="360" w:lineRule="auto"/>
        <w:ind w:left="483" w:leftChars="228" w:right="24" w:firstLine="9438" w:firstLineChars="3900"/>
        <w:rPr>
          <w:rFonts w:ascii="宋体" w:hAnsi="宋体"/>
          <w:bCs/>
          <w:color w:val="auto"/>
          <w:sz w:val="36"/>
          <w:szCs w:val="28"/>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pStyle w:val="84"/>
        <w:spacing w:line="500" w:lineRule="exact"/>
        <w:ind w:firstLine="8591" w:firstLineChars="3550"/>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color w:val="auto"/>
        </w:rPr>
      </w:pPr>
    </w:p>
    <w:sectPr>
      <w:headerReference r:id="rId7" w:type="first"/>
      <w:footerReference r:id="rId9" w:type="first"/>
      <w:footerReference r:id="rId8" w:type="default"/>
      <w:pgSz w:w="11906" w:h="16838"/>
      <w:pgMar w:top="1417" w:right="1134" w:bottom="1417" w:left="1417" w:header="851" w:footer="850" w:gutter="0"/>
      <w:cols w:space="0" w:num="1"/>
      <w:docGrid w:type="linesAndChars" w:linePitch="322" w:charSpace="5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EU-F1">
    <w:altName w:val="黑体"/>
    <w:panose1 w:val="00000000000000000000"/>
    <w:charset w:val="86"/>
    <w:family w:val="script"/>
    <w:pitch w:val="default"/>
    <w:sig w:usb0="00000000" w:usb1="00000000" w:usb2="00000010" w:usb3="00000000" w:csb0="00040000" w:csb1="00000000"/>
  </w:font>
  <w:font w:name="font-weight : 400">
    <w:altName w:val="Courier New"/>
    <w:panose1 w:val="00000000000000000000"/>
    <w:charset w:val="00"/>
    <w:family w:val="auto"/>
    <w:pitch w:val="default"/>
    <w:sig w:usb0="00000000" w:usb1="00000000" w:usb2="00000000" w:usb3="00000000" w:csb0="00040001" w:csb1="00000000"/>
  </w:font>
  <w:font w:name="Arial Black">
    <w:panose1 w:val="020B0A040201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MingLiU_HKSCS">
    <w:panose1 w:val="02020500000000000000"/>
    <w:charset w:val="88"/>
    <w:family w:val="roman"/>
    <w:pitch w:val="default"/>
    <w:sig w:usb0="A00002FF" w:usb1="38CFFCFA" w:usb2="00000016" w:usb3="00000000" w:csb0="0010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Fackk7gBAABUAwAADgAAAAAAAAABACAAAAAeAQAAZHJzL2Uyb0RvYy54bWxQSwUGAAAAAAYABgBZ&#10;AQAASAU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42</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path/>
          <v:fill on="f" focussize="0,0"/>
          <v:stroke on="f" weight="0.5pt" joinstyle="miter"/>
          <v:imagedata o:title=""/>
          <o:lock v:ext="edit"/>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w:r>
    <w:r>
      <w:rPr>
        <w:rFonts w:hint="eastAsia"/>
      </w:rPr>
      <w:t>新疆华域建设工程项目管理咨询有限公司编制                                     联系电话：18690293446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dashDotStroked" w:color="auto" w:sz="24" w:space="1"/>
      </w:pBdr>
      <w:tabs>
        <w:tab w:val="left" w:pos="2528"/>
        <w:tab w:val="center" w:pos="4737"/>
      </w:tabs>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path/>
          <v:fill on="f" focussize="0,0"/>
          <v:stroke on="f" weight="0.5pt" joinstyle="miter"/>
          <v:imagedata o:title=""/>
          <o:lock v:ext="edit"/>
          <v:textbox inset="0mm,0mm,0mm,0mm" style="mso-fit-shape-to-text:t;">
            <w:txbxContent>
              <w:p>
                <w:pPr>
                  <w:pStyle w:val="28"/>
                </w:pPr>
                <w:r>
                  <w:fldChar w:fldCharType="begin"/>
                </w:r>
                <w:r>
                  <w:instrText xml:space="preserve"> PAGE  \* MERGEFORMAT </w:instrText>
                </w:r>
                <w:r>
                  <w:fldChar w:fldCharType="separate"/>
                </w:r>
                <w:r>
                  <w:t>49</w:t>
                </w:r>
                <w:r>
                  <w:fldChar w:fldCharType="end"/>
                </w:r>
              </w:p>
            </w:txbxContent>
          </v:textbox>
        </v:shape>
      </w:pict>
    </w:r>
    <w:r>
      <w:rPr>
        <w:rFonts w:hint="eastAsia"/>
      </w:rPr>
      <w:t xml:space="preserve">新疆华域建设工程项目管理咨询有限公司编制 </w:t>
    </w:r>
    <w:r>
      <w:rPr>
        <w:rFonts w:hint="eastAsia"/>
        <w:b/>
        <w:i/>
      </w:rPr>
      <w:tab/>
    </w:r>
    <w:r>
      <w:rPr>
        <w:rFonts w:hint="eastAsia"/>
        <w:b/>
        <w:i/>
      </w:rPr>
      <w:t xml:space="preserve">                             </w:t>
    </w:r>
    <w:r>
      <w:rPr>
        <w:rFonts w:hint="eastAsia"/>
        <w:b/>
        <w:i/>
      </w:rPr>
      <w:tab/>
    </w:r>
    <w:r>
      <w:rPr>
        <w:rFonts w:hint="eastAsia"/>
      </w:rPr>
      <w:t>联系电话：18690293446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dashDotStroked" w:color="auto" w:sz="24"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jc w:val="both"/>
      <w:rPr>
        <w:rFonts w:hint="eastAsia" w:eastAsia="宋体"/>
        <w:b/>
        <w:bCs/>
        <w:i/>
        <w:iCs/>
        <w:spacing w:val="6"/>
        <w:w w:val="90"/>
        <w:szCs w:val="22"/>
        <w:lang w:eastAsia="zh-CN"/>
      </w:rPr>
    </w:pPr>
    <w:r>
      <w:rPr>
        <w:rFonts w:hint="eastAsia"/>
        <w:b/>
        <w:bCs/>
        <w:i/>
        <w:iCs/>
        <w:spacing w:val="6"/>
        <w:w w:val="90"/>
        <w:szCs w:val="22"/>
        <w:lang w:eastAsia="zh-CN"/>
      </w:rPr>
      <w:t>霍城县妇幼保健院建设核酸检测(PCR）实验室采购项目</w:t>
    </w:r>
    <w:r>
      <w:rPr>
        <w:rFonts w:hint="eastAsia"/>
        <w:b/>
        <w:bCs/>
        <w:i/>
        <w:iCs/>
        <w:spacing w:val="6"/>
        <w:w w:val="90"/>
        <w:szCs w:val="22"/>
      </w:rPr>
      <w:t xml:space="preserve">                           </w:t>
    </w:r>
    <w:r>
      <w:rPr>
        <w:rFonts w:hint="eastAsia"/>
        <w:b/>
        <w:bCs/>
        <w:i/>
        <w:iCs/>
        <w:spacing w:val="6"/>
        <w:w w:val="90"/>
      </w:rPr>
      <w:t>项目编号</w:t>
    </w:r>
    <w:r>
      <w:rPr>
        <w:rFonts w:hint="eastAsia"/>
        <w:b/>
        <w:bCs/>
        <w:i/>
        <w:iCs/>
        <w:spacing w:val="6"/>
        <w:w w:val="90"/>
        <w:szCs w:val="22"/>
      </w:rPr>
      <w:t>：</w:t>
    </w:r>
    <w:r>
      <w:rPr>
        <w:rFonts w:hint="eastAsia"/>
        <w:b/>
        <w:bCs/>
        <w:i/>
        <w:iCs/>
        <w:spacing w:val="6"/>
        <w:w w:val="90"/>
        <w:szCs w:val="22"/>
        <w:lang w:eastAsia="zh-CN"/>
      </w:rPr>
      <w:t>HYYL-2021-138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dashDotStroked" w:color="auto" w:sz="24" w:space="1"/>
      </w:pBdr>
      <w:jc w:val="both"/>
    </w:pPr>
    <w:r>
      <w:rPr>
        <w:rFonts w:hint="eastAsia"/>
        <w:b/>
        <w:bCs/>
        <w:i/>
        <w:iCs/>
      </w:rPr>
      <w:t>新疆冠农天府果蔬食品有限责任公司饮料前处理设备招标文件                                                                                    编号0689-xtgj0412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1DBD6"/>
    <w:multiLevelType w:val="singleLevel"/>
    <w:tmpl w:val="8261DBD6"/>
    <w:lvl w:ilvl="0" w:tentative="0">
      <w:start w:val="1"/>
      <w:numFmt w:val="decimal"/>
      <w:lvlText w:val="%1."/>
      <w:lvlJc w:val="left"/>
      <w:pPr>
        <w:tabs>
          <w:tab w:val="left" w:pos="312"/>
        </w:tabs>
      </w:pPr>
    </w:lvl>
  </w:abstractNum>
  <w:abstractNum w:abstractNumId="1">
    <w:nsid w:val="921C3A65"/>
    <w:multiLevelType w:val="singleLevel"/>
    <w:tmpl w:val="921C3A65"/>
    <w:lvl w:ilvl="0" w:tentative="0">
      <w:start w:val="3"/>
      <w:numFmt w:val="chineseCounting"/>
      <w:suff w:val="space"/>
      <w:lvlText w:val="第%1章"/>
      <w:lvlJc w:val="left"/>
      <w:rPr>
        <w:rFonts w:hint="eastAsia"/>
      </w:rPr>
    </w:lvl>
  </w:abstractNum>
  <w:abstractNum w:abstractNumId="2">
    <w:nsid w:val="A4A77EA1"/>
    <w:multiLevelType w:val="singleLevel"/>
    <w:tmpl w:val="A4A77EA1"/>
    <w:lvl w:ilvl="0" w:tentative="0">
      <w:start w:val="5"/>
      <w:numFmt w:val="chineseCounting"/>
      <w:suff w:val="nothing"/>
      <w:lvlText w:val="%1、"/>
      <w:lvlJc w:val="left"/>
      <w:rPr>
        <w:rFonts w:hint="eastAsia"/>
      </w:rPr>
    </w:lvl>
  </w:abstractNum>
  <w:abstractNum w:abstractNumId="3">
    <w:nsid w:val="BBCCB3CA"/>
    <w:multiLevelType w:val="singleLevel"/>
    <w:tmpl w:val="BBCCB3CA"/>
    <w:lvl w:ilvl="0" w:tentative="0">
      <w:start w:val="1"/>
      <w:numFmt w:val="decimal"/>
      <w:suff w:val="nothing"/>
      <w:lvlText w:val="（%1）"/>
      <w:lvlJc w:val="left"/>
    </w:lvl>
  </w:abstractNum>
  <w:abstractNum w:abstractNumId="4">
    <w:nsid w:val="E38A0821"/>
    <w:multiLevelType w:val="singleLevel"/>
    <w:tmpl w:val="E38A0821"/>
    <w:lvl w:ilvl="0" w:tentative="0">
      <w:start w:val="4"/>
      <w:numFmt w:val="chineseCounting"/>
      <w:suff w:val="nothing"/>
      <w:lvlText w:val="%1、"/>
      <w:lvlJc w:val="left"/>
      <w:rPr>
        <w:rFonts w:hint="eastAsia"/>
      </w:rPr>
    </w:lvl>
  </w:abstractNum>
  <w:abstractNum w:abstractNumId="5">
    <w:nsid w:val="FF9B5890"/>
    <w:multiLevelType w:val="singleLevel"/>
    <w:tmpl w:val="FF9B5890"/>
    <w:lvl w:ilvl="0" w:tentative="0">
      <w:start w:val="1"/>
      <w:numFmt w:val="decimal"/>
      <w:lvlText w:val="%1."/>
      <w:lvlJc w:val="left"/>
      <w:pPr>
        <w:tabs>
          <w:tab w:val="left" w:pos="312"/>
        </w:tabs>
      </w:pPr>
    </w:lvl>
  </w:abstractNum>
  <w:abstractNum w:abstractNumId="6">
    <w:nsid w:val="14E96932"/>
    <w:multiLevelType w:val="multilevel"/>
    <w:tmpl w:val="14E96932"/>
    <w:lvl w:ilvl="0" w:tentative="0">
      <w:start w:val="1"/>
      <w:numFmt w:val="decimal"/>
      <w:lvlText w:val="%1."/>
      <w:lvlJc w:val="left"/>
      <w:pPr>
        <w:tabs>
          <w:tab w:val="left" w:pos="720"/>
        </w:tabs>
        <w:ind w:left="720" w:hanging="360"/>
      </w:pPr>
      <w:rPr>
        <w:rFonts w:ascii="宋体" w:hAnsi="宋体" w:eastAsia="宋体" w:cs="Times New Roman"/>
      </w:rPr>
    </w:lvl>
    <w:lvl w:ilvl="1" w:tentative="0">
      <w:start w:val="1"/>
      <w:numFmt w:val="bullet"/>
      <w:lvlText w:val=""/>
      <w:lvlJc w:val="left"/>
      <w:pPr>
        <w:tabs>
          <w:tab w:val="left" w:pos="1440"/>
        </w:tabs>
        <w:ind w:left="1440" w:hanging="360"/>
      </w:pPr>
      <w:rPr>
        <w:rFonts w:hint="default" w:ascii="Wingdings 2" w:hAnsi="Wingdings 2"/>
      </w:rPr>
    </w:lvl>
    <w:lvl w:ilvl="2" w:tentative="0">
      <w:start w:val="1"/>
      <w:numFmt w:val="bullet"/>
      <w:lvlText w:val=""/>
      <w:lvlJc w:val="left"/>
      <w:pPr>
        <w:tabs>
          <w:tab w:val="left" w:pos="2160"/>
        </w:tabs>
        <w:ind w:left="2160" w:hanging="360"/>
      </w:pPr>
      <w:rPr>
        <w:rFonts w:hint="default" w:ascii="Wingdings 2" w:hAnsi="Wingdings 2"/>
      </w:rPr>
    </w:lvl>
    <w:lvl w:ilvl="3" w:tentative="0">
      <w:start w:val="1"/>
      <w:numFmt w:val="bullet"/>
      <w:lvlText w:val=""/>
      <w:lvlJc w:val="left"/>
      <w:pPr>
        <w:tabs>
          <w:tab w:val="left" w:pos="2880"/>
        </w:tabs>
        <w:ind w:left="2880" w:hanging="360"/>
      </w:pPr>
      <w:rPr>
        <w:rFonts w:hint="default" w:ascii="Wingdings 2" w:hAnsi="Wingdings 2"/>
      </w:rPr>
    </w:lvl>
    <w:lvl w:ilvl="4" w:tentative="0">
      <w:start w:val="1"/>
      <w:numFmt w:val="bullet"/>
      <w:lvlText w:val=""/>
      <w:lvlJc w:val="left"/>
      <w:pPr>
        <w:tabs>
          <w:tab w:val="left" w:pos="3600"/>
        </w:tabs>
        <w:ind w:left="3600" w:hanging="360"/>
      </w:pPr>
      <w:rPr>
        <w:rFonts w:hint="default" w:ascii="Wingdings 2" w:hAnsi="Wingdings 2"/>
      </w:rPr>
    </w:lvl>
    <w:lvl w:ilvl="5" w:tentative="0">
      <w:start w:val="1"/>
      <w:numFmt w:val="bullet"/>
      <w:lvlText w:val=""/>
      <w:lvlJc w:val="left"/>
      <w:pPr>
        <w:tabs>
          <w:tab w:val="left" w:pos="4320"/>
        </w:tabs>
        <w:ind w:left="4320" w:hanging="360"/>
      </w:pPr>
      <w:rPr>
        <w:rFonts w:hint="default" w:ascii="Wingdings 2" w:hAnsi="Wingdings 2"/>
      </w:rPr>
    </w:lvl>
    <w:lvl w:ilvl="6" w:tentative="0">
      <w:start w:val="1"/>
      <w:numFmt w:val="bullet"/>
      <w:lvlText w:val=""/>
      <w:lvlJc w:val="left"/>
      <w:pPr>
        <w:tabs>
          <w:tab w:val="left" w:pos="5040"/>
        </w:tabs>
        <w:ind w:left="5040" w:hanging="360"/>
      </w:pPr>
      <w:rPr>
        <w:rFonts w:hint="default" w:ascii="Wingdings 2" w:hAnsi="Wingdings 2"/>
      </w:rPr>
    </w:lvl>
    <w:lvl w:ilvl="7" w:tentative="0">
      <w:start w:val="1"/>
      <w:numFmt w:val="bullet"/>
      <w:lvlText w:val=""/>
      <w:lvlJc w:val="left"/>
      <w:pPr>
        <w:tabs>
          <w:tab w:val="left" w:pos="5760"/>
        </w:tabs>
        <w:ind w:left="5760" w:hanging="360"/>
      </w:pPr>
      <w:rPr>
        <w:rFonts w:hint="default" w:ascii="Wingdings 2" w:hAnsi="Wingdings 2"/>
      </w:rPr>
    </w:lvl>
    <w:lvl w:ilvl="8" w:tentative="0">
      <w:start w:val="1"/>
      <w:numFmt w:val="bullet"/>
      <w:lvlText w:val=""/>
      <w:lvlJc w:val="left"/>
      <w:pPr>
        <w:tabs>
          <w:tab w:val="left" w:pos="6480"/>
        </w:tabs>
        <w:ind w:left="6480" w:hanging="360"/>
      </w:pPr>
      <w:rPr>
        <w:rFonts w:hint="default" w:ascii="Wingdings 2" w:hAnsi="Wingdings 2"/>
      </w:rPr>
    </w:lvl>
  </w:abstractNum>
  <w:abstractNum w:abstractNumId="7">
    <w:nsid w:val="557E9046"/>
    <w:multiLevelType w:val="singleLevel"/>
    <w:tmpl w:val="557E9046"/>
    <w:lvl w:ilvl="0" w:tentative="0">
      <w:start w:val="4"/>
      <w:numFmt w:val="decimal"/>
      <w:suff w:val="space"/>
      <w:lvlText w:val="%1."/>
      <w:lvlJc w:val="left"/>
    </w:lvl>
  </w:abstractNum>
  <w:abstractNum w:abstractNumId="8">
    <w:nsid w:val="5626ED99"/>
    <w:multiLevelType w:val="singleLevel"/>
    <w:tmpl w:val="5626ED99"/>
    <w:lvl w:ilvl="0" w:tentative="0">
      <w:start w:val="2"/>
      <w:numFmt w:val="chineseCounting"/>
      <w:suff w:val="nothing"/>
      <w:lvlText w:val="%1、"/>
      <w:lvlJc w:val="left"/>
    </w:lvl>
  </w:abstractNum>
  <w:abstractNum w:abstractNumId="9">
    <w:nsid w:val="56C54F3E"/>
    <w:multiLevelType w:val="singleLevel"/>
    <w:tmpl w:val="56C54F3E"/>
    <w:lvl w:ilvl="0" w:tentative="0">
      <w:start w:val="35"/>
      <w:numFmt w:val="decimal"/>
      <w:suff w:val="space"/>
      <w:lvlText w:val="%1."/>
      <w:lvlJc w:val="left"/>
    </w:lvl>
  </w:abstractNum>
  <w:abstractNum w:abstractNumId="10">
    <w:nsid w:val="711076C1"/>
    <w:multiLevelType w:val="singleLevel"/>
    <w:tmpl w:val="711076C1"/>
    <w:lvl w:ilvl="0" w:tentative="0">
      <w:start w:val="1"/>
      <w:numFmt w:val="decimal"/>
      <w:lvlText w:val="%1."/>
      <w:lvlJc w:val="left"/>
      <w:pPr>
        <w:tabs>
          <w:tab w:val="left" w:pos="312"/>
        </w:tabs>
      </w:pPr>
    </w:lvl>
  </w:abstractNum>
  <w:abstractNum w:abstractNumId="11">
    <w:nsid w:val="75CC0A7A"/>
    <w:multiLevelType w:val="singleLevel"/>
    <w:tmpl w:val="75CC0A7A"/>
    <w:lvl w:ilvl="0" w:tentative="0">
      <w:start w:val="1"/>
      <w:numFmt w:val="chineseCounting"/>
      <w:suff w:val="nothing"/>
      <w:lvlText w:val="第%1部分　"/>
      <w:lvlJc w:val="left"/>
      <w:rPr>
        <w:rFonts w:hint="eastAsia"/>
      </w:rPr>
    </w:lvl>
  </w:abstractNum>
  <w:num w:numId="1">
    <w:abstractNumId w:val="2"/>
  </w:num>
  <w:num w:numId="2">
    <w:abstractNumId w:val="7"/>
  </w:num>
  <w:num w:numId="3">
    <w:abstractNumId w:val="9"/>
  </w:num>
  <w:num w:numId="4">
    <w:abstractNumId w:val="1"/>
  </w:num>
  <w:num w:numId="5">
    <w:abstractNumId w:val="10"/>
  </w:num>
  <w:num w:numId="6">
    <w:abstractNumId w:val="6"/>
  </w:num>
  <w:num w:numId="7">
    <w:abstractNumId w:val="5"/>
  </w:num>
  <w:num w:numId="8">
    <w:abstractNumId w:val="0"/>
  </w:num>
  <w:num w:numId="9">
    <w:abstractNumId w:val="8"/>
  </w:num>
  <w:num w:numId="10">
    <w:abstractNumId w:val="4"/>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6"/>
  <w:drawingGridVerticalSpacing w:val="161"/>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2958"/>
    <w:rsid w:val="0000410D"/>
    <w:rsid w:val="000042F6"/>
    <w:rsid w:val="00007CE3"/>
    <w:rsid w:val="00007D52"/>
    <w:rsid w:val="000118CC"/>
    <w:rsid w:val="0001428B"/>
    <w:rsid w:val="0001523B"/>
    <w:rsid w:val="0001575D"/>
    <w:rsid w:val="00017701"/>
    <w:rsid w:val="00021149"/>
    <w:rsid w:val="00023198"/>
    <w:rsid w:val="000245DA"/>
    <w:rsid w:val="00025131"/>
    <w:rsid w:val="000318F0"/>
    <w:rsid w:val="000320FE"/>
    <w:rsid w:val="0003438C"/>
    <w:rsid w:val="00036D18"/>
    <w:rsid w:val="000405FA"/>
    <w:rsid w:val="00046156"/>
    <w:rsid w:val="000465DD"/>
    <w:rsid w:val="000471D9"/>
    <w:rsid w:val="000608F0"/>
    <w:rsid w:val="00061477"/>
    <w:rsid w:val="00063AA6"/>
    <w:rsid w:val="00073CE3"/>
    <w:rsid w:val="000749FB"/>
    <w:rsid w:val="00076449"/>
    <w:rsid w:val="0008027B"/>
    <w:rsid w:val="00080555"/>
    <w:rsid w:val="00081C31"/>
    <w:rsid w:val="00082085"/>
    <w:rsid w:val="0008603D"/>
    <w:rsid w:val="0008632D"/>
    <w:rsid w:val="000863B7"/>
    <w:rsid w:val="000920A6"/>
    <w:rsid w:val="00092A0D"/>
    <w:rsid w:val="00094AF7"/>
    <w:rsid w:val="00095934"/>
    <w:rsid w:val="000A0CAB"/>
    <w:rsid w:val="000A1846"/>
    <w:rsid w:val="000A300B"/>
    <w:rsid w:val="000A32DB"/>
    <w:rsid w:val="000A61BA"/>
    <w:rsid w:val="000A64A5"/>
    <w:rsid w:val="000A6A6A"/>
    <w:rsid w:val="000A72BD"/>
    <w:rsid w:val="000A7A13"/>
    <w:rsid w:val="000B302C"/>
    <w:rsid w:val="000B5D99"/>
    <w:rsid w:val="000B772E"/>
    <w:rsid w:val="000C0E24"/>
    <w:rsid w:val="000C24E3"/>
    <w:rsid w:val="000C2EAA"/>
    <w:rsid w:val="000C48BF"/>
    <w:rsid w:val="000C730D"/>
    <w:rsid w:val="000C78C3"/>
    <w:rsid w:val="000D0119"/>
    <w:rsid w:val="000D29C5"/>
    <w:rsid w:val="000D509E"/>
    <w:rsid w:val="000D537D"/>
    <w:rsid w:val="000D61B9"/>
    <w:rsid w:val="000E0910"/>
    <w:rsid w:val="000E0AFE"/>
    <w:rsid w:val="000F29A1"/>
    <w:rsid w:val="000F50B5"/>
    <w:rsid w:val="000F6FBF"/>
    <w:rsid w:val="001027AB"/>
    <w:rsid w:val="00103B90"/>
    <w:rsid w:val="0010562A"/>
    <w:rsid w:val="00105EA4"/>
    <w:rsid w:val="001108EC"/>
    <w:rsid w:val="001120FA"/>
    <w:rsid w:val="00113306"/>
    <w:rsid w:val="00113E5B"/>
    <w:rsid w:val="001141AC"/>
    <w:rsid w:val="00117AED"/>
    <w:rsid w:val="00120412"/>
    <w:rsid w:val="00124834"/>
    <w:rsid w:val="00127434"/>
    <w:rsid w:val="0013377B"/>
    <w:rsid w:val="001402B6"/>
    <w:rsid w:val="00140C3B"/>
    <w:rsid w:val="00142AF8"/>
    <w:rsid w:val="00142E3A"/>
    <w:rsid w:val="001451DB"/>
    <w:rsid w:val="00145F67"/>
    <w:rsid w:val="0015628F"/>
    <w:rsid w:val="001577AB"/>
    <w:rsid w:val="00160456"/>
    <w:rsid w:val="00162456"/>
    <w:rsid w:val="00164095"/>
    <w:rsid w:val="00165FAF"/>
    <w:rsid w:val="0016700B"/>
    <w:rsid w:val="00171237"/>
    <w:rsid w:val="001724E7"/>
    <w:rsid w:val="00172A27"/>
    <w:rsid w:val="00181781"/>
    <w:rsid w:val="00181C36"/>
    <w:rsid w:val="0018269B"/>
    <w:rsid w:val="00182D78"/>
    <w:rsid w:val="00185787"/>
    <w:rsid w:val="0018666A"/>
    <w:rsid w:val="00192296"/>
    <w:rsid w:val="001928DD"/>
    <w:rsid w:val="00192E25"/>
    <w:rsid w:val="00193C1B"/>
    <w:rsid w:val="00195FB1"/>
    <w:rsid w:val="001A05A3"/>
    <w:rsid w:val="001B0376"/>
    <w:rsid w:val="001B1C83"/>
    <w:rsid w:val="001B3671"/>
    <w:rsid w:val="001B519C"/>
    <w:rsid w:val="001C2A56"/>
    <w:rsid w:val="001C6975"/>
    <w:rsid w:val="001C69B7"/>
    <w:rsid w:val="001D2306"/>
    <w:rsid w:val="001D7DC7"/>
    <w:rsid w:val="001E02B1"/>
    <w:rsid w:val="001E3B6A"/>
    <w:rsid w:val="001E4C3B"/>
    <w:rsid w:val="001E7225"/>
    <w:rsid w:val="001E7300"/>
    <w:rsid w:val="001F05C3"/>
    <w:rsid w:val="001F2E69"/>
    <w:rsid w:val="001F3DC6"/>
    <w:rsid w:val="001F5BFF"/>
    <w:rsid w:val="001F6FD8"/>
    <w:rsid w:val="002006EA"/>
    <w:rsid w:val="002020EE"/>
    <w:rsid w:val="00206A0F"/>
    <w:rsid w:val="00207843"/>
    <w:rsid w:val="00213E21"/>
    <w:rsid w:val="00214900"/>
    <w:rsid w:val="0021591D"/>
    <w:rsid w:val="002166FD"/>
    <w:rsid w:val="00216D7B"/>
    <w:rsid w:val="0022016C"/>
    <w:rsid w:val="00221A9C"/>
    <w:rsid w:val="00223013"/>
    <w:rsid w:val="00224344"/>
    <w:rsid w:val="002244CA"/>
    <w:rsid w:val="00232FC0"/>
    <w:rsid w:val="002373C4"/>
    <w:rsid w:val="0024082E"/>
    <w:rsid w:val="00250352"/>
    <w:rsid w:val="002528CF"/>
    <w:rsid w:val="00253DC4"/>
    <w:rsid w:val="00255673"/>
    <w:rsid w:val="00260007"/>
    <w:rsid w:val="00263777"/>
    <w:rsid w:val="0026551E"/>
    <w:rsid w:val="00266FA8"/>
    <w:rsid w:val="0027115D"/>
    <w:rsid w:val="002715DA"/>
    <w:rsid w:val="00271660"/>
    <w:rsid w:val="00277DE0"/>
    <w:rsid w:val="002838A3"/>
    <w:rsid w:val="00284B15"/>
    <w:rsid w:val="00285D91"/>
    <w:rsid w:val="00290C67"/>
    <w:rsid w:val="002918EA"/>
    <w:rsid w:val="00295F8C"/>
    <w:rsid w:val="002A0DA4"/>
    <w:rsid w:val="002A1BAB"/>
    <w:rsid w:val="002A205D"/>
    <w:rsid w:val="002A2898"/>
    <w:rsid w:val="002A3B32"/>
    <w:rsid w:val="002A7458"/>
    <w:rsid w:val="002A7A07"/>
    <w:rsid w:val="002A7EE3"/>
    <w:rsid w:val="002B1BB1"/>
    <w:rsid w:val="002B4689"/>
    <w:rsid w:val="002B4824"/>
    <w:rsid w:val="002C4C5C"/>
    <w:rsid w:val="002C7F21"/>
    <w:rsid w:val="002D07D0"/>
    <w:rsid w:val="002D20F2"/>
    <w:rsid w:val="002D443F"/>
    <w:rsid w:val="002D6424"/>
    <w:rsid w:val="002D6705"/>
    <w:rsid w:val="002E0100"/>
    <w:rsid w:val="002E3019"/>
    <w:rsid w:val="002E6E30"/>
    <w:rsid w:val="002E70C2"/>
    <w:rsid w:val="002F3FE4"/>
    <w:rsid w:val="002F60D5"/>
    <w:rsid w:val="00301266"/>
    <w:rsid w:val="003015FF"/>
    <w:rsid w:val="00303671"/>
    <w:rsid w:val="00303946"/>
    <w:rsid w:val="00304B12"/>
    <w:rsid w:val="00314C51"/>
    <w:rsid w:val="0031574C"/>
    <w:rsid w:val="00315823"/>
    <w:rsid w:val="00316FEF"/>
    <w:rsid w:val="003202EE"/>
    <w:rsid w:val="00320BB5"/>
    <w:rsid w:val="00321199"/>
    <w:rsid w:val="0032349B"/>
    <w:rsid w:val="003246E7"/>
    <w:rsid w:val="00324BDC"/>
    <w:rsid w:val="00333671"/>
    <w:rsid w:val="0033573D"/>
    <w:rsid w:val="00337C17"/>
    <w:rsid w:val="00340702"/>
    <w:rsid w:val="00353BD6"/>
    <w:rsid w:val="00355A49"/>
    <w:rsid w:val="00360DDF"/>
    <w:rsid w:val="00363538"/>
    <w:rsid w:val="00364DF6"/>
    <w:rsid w:val="003660CC"/>
    <w:rsid w:val="003662BF"/>
    <w:rsid w:val="00372A7A"/>
    <w:rsid w:val="00376E99"/>
    <w:rsid w:val="00377FD1"/>
    <w:rsid w:val="00380C6C"/>
    <w:rsid w:val="00385302"/>
    <w:rsid w:val="00385F32"/>
    <w:rsid w:val="003973BE"/>
    <w:rsid w:val="003976FC"/>
    <w:rsid w:val="003A1318"/>
    <w:rsid w:val="003A2818"/>
    <w:rsid w:val="003A5F34"/>
    <w:rsid w:val="003A6325"/>
    <w:rsid w:val="003A65C6"/>
    <w:rsid w:val="003B0365"/>
    <w:rsid w:val="003B4CCF"/>
    <w:rsid w:val="003B73FB"/>
    <w:rsid w:val="003C10C4"/>
    <w:rsid w:val="003C19A1"/>
    <w:rsid w:val="003C573C"/>
    <w:rsid w:val="003D09A9"/>
    <w:rsid w:val="003D372E"/>
    <w:rsid w:val="003D37EF"/>
    <w:rsid w:val="003D482A"/>
    <w:rsid w:val="003D4ACB"/>
    <w:rsid w:val="003D7C10"/>
    <w:rsid w:val="003D7D91"/>
    <w:rsid w:val="003E3345"/>
    <w:rsid w:val="003E68FB"/>
    <w:rsid w:val="003E6CAB"/>
    <w:rsid w:val="003F13BB"/>
    <w:rsid w:val="003F174E"/>
    <w:rsid w:val="003F6C62"/>
    <w:rsid w:val="003F76E7"/>
    <w:rsid w:val="00402216"/>
    <w:rsid w:val="004029F5"/>
    <w:rsid w:val="00402E92"/>
    <w:rsid w:val="004043CD"/>
    <w:rsid w:val="00405E6E"/>
    <w:rsid w:val="00405F7E"/>
    <w:rsid w:val="0040697E"/>
    <w:rsid w:val="00411E33"/>
    <w:rsid w:val="00413B0E"/>
    <w:rsid w:val="004162E8"/>
    <w:rsid w:val="004170D4"/>
    <w:rsid w:val="00420553"/>
    <w:rsid w:val="0042256D"/>
    <w:rsid w:val="00423AD4"/>
    <w:rsid w:val="00424084"/>
    <w:rsid w:val="0042591D"/>
    <w:rsid w:val="00425B1A"/>
    <w:rsid w:val="004262EE"/>
    <w:rsid w:val="004265A0"/>
    <w:rsid w:val="004266A7"/>
    <w:rsid w:val="00430BC9"/>
    <w:rsid w:val="00430C59"/>
    <w:rsid w:val="00431F2A"/>
    <w:rsid w:val="0043225A"/>
    <w:rsid w:val="00432383"/>
    <w:rsid w:val="00432721"/>
    <w:rsid w:val="004333F4"/>
    <w:rsid w:val="0043439A"/>
    <w:rsid w:val="00435312"/>
    <w:rsid w:val="00435A0E"/>
    <w:rsid w:val="0043788E"/>
    <w:rsid w:val="00441D83"/>
    <w:rsid w:val="00445107"/>
    <w:rsid w:val="0044662E"/>
    <w:rsid w:val="00446D16"/>
    <w:rsid w:val="0045001C"/>
    <w:rsid w:val="004513BB"/>
    <w:rsid w:val="004514AD"/>
    <w:rsid w:val="00453CB1"/>
    <w:rsid w:val="00454388"/>
    <w:rsid w:val="004565A9"/>
    <w:rsid w:val="00467897"/>
    <w:rsid w:val="00471055"/>
    <w:rsid w:val="00472863"/>
    <w:rsid w:val="00475608"/>
    <w:rsid w:val="004816CB"/>
    <w:rsid w:val="00482C3C"/>
    <w:rsid w:val="00483A2D"/>
    <w:rsid w:val="00483B56"/>
    <w:rsid w:val="004927A0"/>
    <w:rsid w:val="00496805"/>
    <w:rsid w:val="004A002E"/>
    <w:rsid w:val="004A21DE"/>
    <w:rsid w:val="004A489F"/>
    <w:rsid w:val="004A49FD"/>
    <w:rsid w:val="004A7FBF"/>
    <w:rsid w:val="004B3A67"/>
    <w:rsid w:val="004C25E3"/>
    <w:rsid w:val="004C2B0C"/>
    <w:rsid w:val="004C35EA"/>
    <w:rsid w:val="004D102B"/>
    <w:rsid w:val="004D11C8"/>
    <w:rsid w:val="004D18A4"/>
    <w:rsid w:val="004D1EE8"/>
    <w:rsid w:val="004D47A9"/>
    <w:rsid w:val="004D4C10"/>
    <w:rsid w:val="004D5A53"/>
    <w:rsid w:val="004D5CDE"/>
    <w:rsid w:val="004E0305"/>
    <w:rsid w:val="004E411A"/>
    <w:rsid w:val="004F1A8B"/>
    <w:rsid w:val="004F37AB"/>
    <w:rsid w:val="004F4263"/>
    <w:rsid w:val="004F4A65"/>
    <w:rsid w:val="004F4F57"/>
    <w:rsid w:val="004F64B9"/>
    <w:rsid w:val="004F7B04"/>
    <w:rsid w:val="005006FD"/>
    <w:rsid w:val="00505211"/>
    <w:rsid w:val="0050785B"/>
    <w:rsid w:val="00513FF1"/>
    <w:rsid w:val="0052039E"/>
    <w:rsid w:val="005204A4"/>
    <w:rsid w:val="0052140B"/>
    <w:rsid w:val="00522AD3"/>
    <w:rsid w:val="00523D98"/>
    <w:rsid w:val="0052484C"/>
    <w:rsid w:val="0052732F"/>
    <w:rsid w:val="005277C0"/>
    <w:rsid w:val="0053134E"/>
    <w:rsid w:val="005326D9"/>
    <w:rsid w:val="005378BF"/>
    <w:rsid w:val="00544C0F"/>
    <w:rsid w:val="00546A46"/>
    <w:rsid w:val="00547576"/>
    <w:rsid w:val="00550CFF"/>
    <w:rsid w:val="00553F62"/>
    <w:rsid w:val="00554F42"/>
    <w:rsid w:val="0055623C"/>
    <w:rsid w:val="00560388"/>
    <w:rsid w:val="00560EA2"/>
    <w:rsid w:val="0056297C"/>
    <w:rsid w:val="005641A0"/>
    <w:rsid w:val="00570279"/>
    <w:rsid w:val="005715CB"/>
    <w:rsid w:val="005723C3"/>
    <w:rsid w:val="00573B23"/>
    <w:rsid w:val="00576024"/>
    <w:rsid w:val="005765D9"/>
    <w:rsid w:val="005827C3"/>
    <w:rsid w:val="0059060E"/>
    <w:rsid w:val="0059062E"/>
    <w:rsid w:val="005907DC"/>
    <w:rsid w:val="0059584A"/>
    <w:rsid w:val="005963C3"/>
    <w:rsid w:val="00596A2C"/>
    <w:rsid w:val="005A015E"/>
    <w:rsid w:val="005A2423"/>
    <w:rsid w:val="005A384C"/>
    <w:rsid w:val="005A4A72"/>
    <w:rsid w:val="005A5861"/>
    <w:rsid w:val="005A5B6C"/>
    <w:rsid w:val="005A6783"/>
    <w:rsid w:val="005A7248"/>
    <w:rsid w:val="005A7679"/>
    <w:rsid w:val="005B0A35"/>
    <w:rsid w:val="005B1104"/>
    <w:rsid w:val="005B2616"/>
    <w:rsid w:val="005B6FBC"/>
    <w:rsid w:val="005C2070"/>
    <w:rsid w:val="005C3A3E"/>
    <w:rsid w:val="005C7F97"/>
    <w:rsid w:val="005D5667"/>
    <w:rsid w:val="005D6DD0"/>
    <w:rsid w:val="005E6E4F"/>
    <w:rsid w:val="005E7759"/>
    <w:rsid w:val="005F213D"/>
    <w:rsid w:val="005F420E"/>
    <w:rsid w:val="005F6D56"/>
    <w:rsid w:val="00600F89"/>
    <w:rsid w:val="00601596"/>
    <w:rsid w:val="00603CEF"/>
    <w:rsid w:val="00604351"/>
    <w:rsid w:val="00607102"/>
    <w:rsid w:val="0060784B"/>
    <w:rsid w:val="00613443"/>
    <w:rsid w:val="00620A37"/>
    <w:rsid w:val="00620B6E"/>
    <w:rsid w:val="00623135"/>
    <w:rsid w:val="006257E8"/>
    <w:rsid w:val="00625CD0"/>
    <w:rsid w:val="00635843"/>
    <w:rsid w:val="00636AE0"/>
    <w:rsid w:val="0063706C"/>
    <w:rsid w:val="00641AF0"/>
    <w:rsid w:val="00643E91"/>
    <w:rsid w:val="00644372"/>
    <w:rsid w:val="00644792"/>
    <w:rsid w:val="00645946"/>
    <w:rsid w:val="00647377"/>
    <w:rsid w:val="0064752B"/>
    <w:rsid w:val="00647948"/>
    <w:rsid w:val="00651E00"/>
    <w:rsid w:val="00655C12"/>
    <w:rsid w:val="006665E5"/>
    <w:rsid w:val="00666936"/>
    <w:rsid w:val="00666EB8"/>
    <w:rsid w:val="00670293"/>
    <w:rsid w:val="00671396"/>
    <w:rsid w:val="00671D45"/>
    <w:rsid w:val="00674784"/>
    <w:rsid w:val="00680408"/>
    <w:rsid w:val="006841B0"/>
    <w:rsid w:val="00684C13"/>
    <w:rsid w:val="00684D7B"/>
    <w:rsid w:val="00685B64"/>
    <w:rsid w:val="006866CC"/>
    <w:rsid w:val="0069201A"/>
    <w:rsid w:val="00693EBF"/>
    <w:rsid w:val="00694F8C"/>
    <w:rsid w:val="006975E4"/>
    <w:rsid w:val="006A13AF"/>
    <w:rsid w:val="006A32C0"/>
    <w:rsid w:val="006A4628"/>
    <w:rsid w:val="006B0392"/>
    <w:rsid w:val="006B13FD"/>
    <w:rsid w:val="006B259F"/>
    <w:rsid w:val="006B3729"/>
    <w:rsid w:val="006B4184"/>
    <w:rsid w:val="006B498A"/>
    <w:rsid w:val="006B6090"/>
    <w:rsid w:val="006B6B2F"/>
    <w:rsid w:val="006B7FC7"/>
    <w:rsid w:val="006C3EF3"/>
    <w:rsid w:val="006C4F5D"/>
    <w:rsid w:val="006C5B29"/>
    <w:rsid w:val="006C767A"/>
    <w:rsid w:val="006D37E3"/>
    <w:rsid w:val="006D4382"/>
    <w:rsid w:val="006D5FCC"/>
    <w:rsid w:val="006E235E"/>
    <w:rsid w:val="006E7052"/>
    <w:rsid w:val="006F2BF1"/>
    <w:rsid w:val="006F534D"/>
    <w:rsid w:val="006F7C2A"/>
    <w:rsid w:val="006F7C4A"/>
    <w:rsid w:val="00702924"/>
    <w:rsid w:val="00703552"/>
    <w:rsid w:val="00704BE4"/>
    <w:rsid w:val="00705ACB"/>
    <w:rsid w:val="00705D75"/>
    <w:rsid w:val="007066CE"/>
    <w:rsid w:val="00707C19"/>
    <w:rsid w:val="0071057E"/>
    <w:rsid w:val="00713E92"/>
    <w:rsid w:val="007200F1"/>
    <w:rsid w:val="0072458B"/>
    <w:rsid w:val="007262AA"/>
    <w:rsid w:val="007265B7"/>
    <w:rsid w:val="007453AE"/>
    <w:rsid w:val="00745C76"/>
    <w:rsid w:val="007467D2"/>
    <w:rsid w:val="007500BE"/>
    <w:rsid w:val="0075154E"/>
    <w:rsid w:val="00752E69"/>
    <w:rsid w:val="007542C6"/>
    <w:rsid w:val="00755EAD"/>
    <w:rsid w:val="007560F5"/>
    <w:rsid w:val="00757496"/>
    <w:rsid w:val="007618E6"/>
    <w:rsid w:val="00767B9E"/>
    <w:rsid w:val="00770CEE"/>
    <w:rsid w:val="007809D6"/>
    <w:rsid w:val="0078380A"/>
    <w:rsid w:val="00784F30"/>
    <w:rsid w:val="00787D2D"/>
    <w:rsid w:val="00790F39"/>
    <w:rsid w:val="0079392E"/>
    <w:rsid w:val="00797FF8"/>
    <w:rsid w:val="007A05B0"/>
    <w:rsid w:val="007A1E9F"/>
    <w:rsid w:val="007A28F8"/>
    <w:rsid w:val="007A2DE2"/>
    <w:rsid w:val="007A3939"/>
    <w:rsid w:val="007A394A"/>
    <w:rsid w:val="007A759D"/>
    <w:rsid w:val="007B4204"/>
    <w:rsid w:val="007B4F7F"/>
    <w:rsid w:val="007B5E38"/>
    <w:rsid w:val="007C0375"/>
    <w:rsid w:val="007C0610"/>
    <w:rsid w:val="007C28DA"/>
    <w:rsid w:val="007C2DD5"/>
    <w:rsid w:val="007C46B2"/>
    <w:rsid w:val="007C58F0"/>
    <w:rsid w:val="007C63C9"/>
    <w:rsid w:val="007D2289"/>
    <w:rsid w:val="007D2619"/>
    <w:rsid w:val="007D27C4"/>
    <w:rsid w:val="007D3970"/>
    <w:rsid w:val="007D5520"/>
    <w:rsid w:val="007E03EE"/>
    <w:rsid w:val="007E16D9"/>
    <w:rsid w:val="007F13E1"/>
    <w:rsid w:val="007F3C30"/>
    <w:rsid w:val="007F4062"/>
    <w:rsid w:val="007F4BC9"/>
    <w:rsid w:val="007F4C31"/>
    <w:rsid w:val="007F4CE4"/>
    <w:rsid w:val="007F777F"/>
    <w:rsid w:val="00801B9D"/>
    <w:rsid w:val="00804759"/>
    <w:rsid w:val="00810865"/>
    <w:rsid w:val="00814A80"/>
    <w:rsid w:val="00815DF6"/>
    <w:rsid w:val="00816826"/>
    <w:rsid w:val="008170CE"/>
    <w:rsid w:val="00820EEF"/>
    <w:rsid w:val="00824912"/>
    <w:rsid w:val="00824D2A"/>
    <w:rsid w:val="008254B5"/>
    <w:rsid w:val="00830668"/>
    <w:rsid w:val="008343AA"/>
    <w:rsid w:val="00837837"/>
    <w:rsid w:val="00841800"/>
    <w:rsid w:val="00843716"/>
    <w:rsid w:val="00843E22"/>
    <w:rsid w:val="00846D08"/>
    <w:rsid w:val="00855E5B"/>
    <w:rsid w:val="00857006"/>
    <w:rsid w:val="00857B79"/>
    <w:rsid w:val="008664CF"/>
    <w:rsid w:val="0086787A"/>
    <w:rsid w:val="00871C6F"/>
    <w:rsid w:val="008723FF"/>
    <w:rsid w:val="0087691D"/>
    <w:rsid w:val="00877FA3"/>
    <w:rsid w:val="00880DC0"/>
    <w:rsid w:val="00882D6C"/>
    <w:rsid w:val="00885D84"/>
    <w:rsid w:val="00886341"/>
    <w:rsid w:val="008875FA"/>
    <w:rsid w:val="00893F50"/>
    <w:rsid w:val="0089530C"/>
    <w:rsid w:val="008A1699"/>
    <w:rsid w:val="008A357E"/>
    <w:rsid w:val="008A76AE"/>
    <w:rsid w:val="008A7B56"/>
    <w:rsid w:val="008B0615"/>
    <w:rsid w:val="008B22AA"/>
    <w:rsid w:val="008B2D9E"/>
    <w:rsid w:val="008B67BC"/>
    <w:rsid w:val="008B78AF"/>
    <w:rsid w:val="008B7BE1"/>
    <w:rsid w:val="008C24B4"/>
    <w:rsid w:val="008C4292"/>
    <w:rsid w:val="008C784F"/>
    <w:rsid w:val="008D0491"/>
    <w:rsid w:val="008D06DC"/>
    <w:rsid w:val="008D083B"/>
    <w:rsid w:val="008D474F"/>
    <w:rsid w:val="008D7750"/>
    <w:rsid w:val="008E19CB"/>
    <w:rsid w:val="008E21D8"/>
    <w:rsid w:val="008E228B"/>
    <w:rsid w:val="008E5185"/>
    <w:rsid w:val="008E62DF"/>
    <w:rsid w:val="008E7C39"/>
    <w:rsid w:val="008F1E89"/>
    <w:rsid w:val="008F4299"/>
    <w:rsid w:val="008F5E1E"/>
    <w:rsid w:val="008F61E4"/>
    <w:rsid w:val="008F724A"/>
    <w:rsid w:val="009000FE"/>
    <w:rsid w:val="00901138"/>
    <w:rsid w:val="0090145A"/>
    <w:rsid w:val="009030CD"/>
    <w:rsid w:val="00903F1F"/>
    <w:rsid w:val="00904AE0"/>
    <w:rsid w:val="00906130"/>
    <w:rsid w:val="00916377"/>
    <w:rsid w:val="0092248D"/>
    <w:rsid w:val="009236B1"/>
    <w:rsid w:val="0092582A"/>
    <w:rsid w:val="009266CF"/>
    <w:rsid w:val="00930B24"/>
    <w:rsid w:val="00931AF3"/>
    <w:rsid w:val="009326B0"/>
    <w:rsid w:val="00937D91"/>
    <w:rsid w:val="009463D8"/>
    <w:rsid w:val="00947EF3"/>
    <w:rsid w:val="00947FFE"/>
    <w:rsid w:val="00951E2C"/>
    <w:rsid w:val="00954F43"/>
    <w:rsid w:val="009550EA"/>
    <w:rsid w:val="009566F7"/>
    <w:rsid w:val="009602DB"/>
    <w:rsid w:val="00961267"/>
    <w:rsid w:val="009619F3"/>
    <w:rsid w:val="009621E9"/>
    <w:rsid w:val="009643D2"/>
    <w:rsid w:val="009643DB"/>
    <w:rsid w:val="0096456B"/>
    <w:rsid w:val="00966329"/>
    <w:rsid w:val="00967280"/>
    <w:rsid w:val="00972303"/>
    <w:rsid w:val="0097352D"/>
    <w:rsid w:val="00974EBD"/>
    <w:rsid w:val="00976084"/>
    <w:rsid w:val="0097697E"/>
    <w:rsid w:val="00987521"/>
    <w:rsid w:val="00992F46"/>
    <w:rsid w:val="00994532"/>
    <w:rsid w:val="00994CDA"/>
    <w:rsid w:val="00994E0A"/>
    <w:rsid w:val="00996C68"/>
    <w:rsid w:val="009A0C38"/>
    <w:rsid w:val="009A17AC"/>
    <w:rsid w:val="009A1B98"/>
    <w:rsid w:val="009A2243"/>
    <w:rsid w:val="009A2296"/>
    <w:rsid w:val="009A2D92"/>
    <w:rsid w:val="009A432A"/>
    <w:rsid w:val="009A48B8"/>
    <w:rsid w:val="009A66E4"/>
    <w:rsid w:val="009B1A25"/>
    <w:rsid w:val="009B4FE6"/>
    <w:rsid w:val="009B5C8C"/>
    <w:rsid w:val="009B6711"/>
    <w:rsid w:val="009B7FEC"/>
    <w:rsid w:val="009C1730"/>
    <w:rsid w:val="009C78C4"/>
    <w:rsid w:val="009D2C85"/>
    <w:rsid w:val="009D4669"/>
    <w:rsid w:val="009D57F3"/>
    <w:rsid w:val="009D64D2"/>
    <w:rsid w:val="009D76E1"/>
    <w:rsid w:val="009E0421"/>
    <w:rsid w:val="009E2088"/>
    <w:rsid w:val="009E339C"/>
    <w:rsid w:val="009E3DB4"/>
    <w:rsid w:val="009E49AD"/>
    <w:rsid w:val="009F1BA4"/>
    <w:rsid w:val="009F5310"/>
    <w:rsid w:val="00A02774"/>
    <w:rsid w:val="00A030FB"/>
    <w:rsid w:val="00A05023"/>
    <w:rsid w:val="00A064F0"/>
    <w:rsid w:val="00A10928"/>
    <w:rsid w:val="00A128EB"/>
    <w:rsid w:val="00A13285"/>
    <w:rsid w:val="00A162EA"/>
    <w:rsid w:val="00A22374"/>
    <w:rsid w:val="00A250B0"/>
    <w:rsid w:val="00A26671"/>
    <w:rsid w:val="00A313E3"/>
    <w:rsid w:val="00A33B95"/>
    <w:rsid w:val="00A41E85"/>
    <w:rsid w:val="00A44EE4"/>
    <w:rsid w:val="00A45DD8"/>
    <w:rsid w:val="00A470F3"/>
    <w:rsid w:val="00A518EA"/>
    <w:rsid w:val="00A51E70"/>
    <w:rsid w:val="00A55B2D"/>
    <w:rsid w:val="00A622EA"/>
    <w:rsid w:val="00A63D48"/>
    <w:rsid w:val="00A660C9"/>
    <w:rsid w:val="00A66378"/>
    <w:rsid w:val="00A71415"/>
    <w:rsid w:val="00A771A9"/>
    <w:rsid w:val="00A84D99"/>
    <w:rsid w:val="00A9061C"/>
    <w:rsid w:val="00A91EDA"/>
    <w:rsid w:val="00A937B3"/>
    <w:rsid w:val="00A943F2"/>
    <w:rsid w:val="00A979EF"/>
    <w:rsid w:val="00A97C1C"/>
    <w:rsid w:val="00AA29E2"/>
    <w:rsid w:val="00AB016F"/>
    <w:rsid w:val="00AB1AB9"/>
    <w:rsid w:val="00AB3429"/>
    <w:rsid w:val="00AB53EB"/>
    <w:rsid w:val="00AB5C80"/>
    <w:rsid w:val="00AB7A8A"/>
    <w:rsid w:val="00AC0190"/>
    <w:rsid w:val="00AC1036"/>
    <w:rsid w:val="00AC3FE6"/>
    <w:rsid w:val="00AC444A"/>
    <w:rsid w:val="00AD1838"/>
    <w:rsid w:val="00AD21F5"/>
    <w:rsid w:val="00AD3FF5"/>
    <w:rsid w:val="00AE05CB"/>
    <w:rsid w:val="00AE7A95"/>
    <w:rsid w:val="00AF0962"/>
    <w:rsid w:val="00AF1032"/>
    <w:rsid w:val="00AF2FB4"/>
    <w:rsid w:val="00B002BF"/>
    <w:rsid w:val="00B059AB"/>
    <w:rsid w:val="00B062A9"/>
    <w:rsid w:val="00B075DE"/>
    <w:rsid w:val="00B101C8"/>
    <w:rsid w:val="00B1079D"/>
    <w:rsid w:val="00B10B89"/>
    <w:rsid w:val="00B10C73"/>
    <w:rsid w:val="00B14BC7"/>
    <w:rsid w:val="00B1598F"/>
    <w:rsid w:val="00B1616E"/>
    <w:rsid w:val="00B17D91"/>
    <w:rsid w:val="00B219B8"/>
    <w:rsid w:val="00B23191"/>
    <w:rsid w:val="00B232BA"/>
    <w:rsid w:val="00B26686"/>
    <w:rsid w:val="00B26808"/>
    <w:rsid w:val="00B26947"/>
    <w:rsid w:val="00B305DF"/>
    <w:rsid w:val="00B3525C"/>
    <w:rsid w:val="00B356AD"/>
    <w:rsid w:val="00B36B0D"/>
    <w:rsid w:val="00B42D20"/>
    <w:rsid w:val="00B55FE0"/>
    <w:rsid w:val="00B574B7"/>
    <w:rsid w:val="00B60B6A"/>
    <w:rsid w:val="00B62900"/>
    <w:rsid w:val="00B650F1"/>
    <w:rsid w:val="00B651A7"/>
    <w:rsid w:val="00B709DD"/>
    <w:rsid w:val="00B811BE"/>
    <w:rsid w:val="00B81AF4"/>
    <w:rsid w:val="00B831CB"/>
    <w:rsid w:val="00B844A7"/>
    <w:rsid w:val="00B90B7A"/>
    <w:rsid w:val="00B92F53"/>
    <w:rsid w:val="00B9516C"/>
    <w:rsid w:val="00B95255"/>
    <w:rsid w:val="00B9542C"/>
    <w:rsid w:val="00B9636D"/>
    <w:rsid w:val="00B96641"/>
    <w:rsid w:val="00B9706C"/>
    <w:rsid w:val="00BA4351"/>
    <w:rsid w:val="00BB0C10"/>
    <w:rsid w:val="00BB1888"/>
    <w:rsid w:val="00BB1A3A"/>
    <w:rsid w:val="00BB4D14"/>
    <w:rsid w:val="00BB54E4"/>
    <w:rsid w:val="00BC3BC1"/>
    <w:rsid w:val="00BC5B7D"/>
    <w:rsid w:val="00BD121E"/>
    <w:rsid w:val="00BD256A"/>
    <w:rsid w:val="00BD2AD6"/>
    <w:rsid w:val="00BD2F3F"/>
    <w:rsid w:val="00BD358F"/>
    <w:rsid w:val="00BE030A"/>
    <w:rsid w:val="00BE0B3E"/>
    <w:rsid w:val="00BE258E"/>
    <w:rsid w:val="00BE48C9"/>
    <w:rsid w:val="00BE55D0"/>
    <w:rsid w:val="00BF13E9"/>
    <w:rsid w:val="00BF3447"/>
    <w:rsid w:val="00C016DF"/>
    <w:rsid w:val="00C037CC"/>
    <w:rsid w:val="00C03D15"/>
    <w:rsid w:val="00C05514"/>
    <w:rsid w:val="00C05A1F"/>
    <w:rsid w:val="00C1141F"/>
    <w:rsid w:val="00C151E7"/>
    <w:rsid w:val="00C15559"/>
    <w:rsid w:val="00C16720"/>
    <w:rsid w:val="00C17051"/>
    <w:rsid w:val="00C204CA"/>
    <w:rsid w:val="00C217FF"/>
    <w:rsid w:val="00C218B4"/>
    <w:rsid w:val="00C2217A"/>
    <w:rsid w:val="00C22903"/>
    <w:rsid w:val="00C22A2C"/>
    <w:rsid w:val="00C26D42"/>
    <w:rsid w:val="00C26E72"/>
    <w:rsid w:val="00C3192B"/>
    <w:rsid w:val="00C34E87"/>
    <w:rsid w:val="00C40AFC"/>
    <w:rsid w:val="00C42111"/>
    <w:rsid w:val="00C42D7D"/>
    <w:rsid w:val="00C42E1F"/>
    <w:rsid w:val="00C4464D"/>
    <w:rsid w:val="00C45366"/>
    <w:rsid w:val="00C50699"/>
    <w:rsid w:val="00C52B03"/>
    <w:rsid w:val="00C53276"/>
    <w:rsid w:val="00C53D3C"/>
    <w:rsid w:val="00C54DE6"/>
    <w:rsid w:val="00C61AD0"/>
    <w:rsid w:val="00C620DD"/>
    <w:rsid w:val="00C624A4"/>
    <w:rsid w:val="00C62743"/>
    <w:rsid w:val="00C62F75"/>
    <w:rsid w:val="00C6360A"/>
    <w:rsid w:val="00C66896"/>
    <w:rsid w:val="00C7058F"/>
    <w:rsid w:val="00C71DBF"/>
    <w:rsid w:val="00C742C8"/>
    <w:rsid w:val="00C77551"/>
    <w:rsid w:val="00C82252"/>
    <w:rsid w:val="00C825BB"/>
    <w:rsid w:val="00C91880"/>
    <w:rsid w:val="00C91892"/>
    <w:rsid w:val="00C93307"/>
    <w:rsid w:val="00C969F4"/>
    <w:rsid w:val="00C97A7F"/>
    <w:rsid w:val="00C97EAE"/>
    <w:rsid w:val="00CA092F"/>
    <w:rsid w:val="00CA2E37"/>
    <w:rsid w:val="00CA4AAC"/>
    <w:rsid w:val="00CA5E18"/>
    <w:rsid w:val="00CB0474"/>
    <w:rsid w:val="00CB6BD0"/>
    <w:rsid w:val="00CC2206"/>
    <w:rsid w:val="00CC3012"/>
    <w:rsid w:val="00CC62AA"/>
    <w:rsid w:val="00CD053C"/>
    <w:rsid w:val="00CE3149"/>
    <w:rsid w:val="00CE6CCA"/>
    <w:rsid w:val="00CE6D4B"/>
    <w:rsid w:val="00CE7F9D"/>
    <w:rsid w:val="00CF22A8"/>
    <w:rsid w:val="00CF253D"/>
    <w:rsid w:val="00CF4D62"/>
    <w:rsid w:val="00D03205"/>
    <w:rsid w:val="00D038AB"/>
    <w:rsid w:val="00D12260"/>
    <w:rsid w:val="00D13E5E"/>
    <w:rsid w:val="00D14689"/>
    <w:rsid w:val="00D15425"/>
    <w:rsid w:val="00D16E24"/>
    <w:rsid w:val="00D22F1F"/>
    <w:rsid w:val="00D23C82"/>
    <w:rsid w:val="00D261C7"/>
    <w:rsid w:val="00D26A95"/>
    <w:rsid w:val="00D3082C"/>
    <w:rsid w:val="00D31030"/>
    <w:rsid w:val="00D31123"/>
    <w:rsid w:val="00D34A82"/>
    <w:rsid w:val="00D36ED7"/>
    <w:rsid w:val="00D37A6B"/>
    <w:rsid w:val="00D407D8"/>
    <w:rsid w:val="00D45E3D"/>
    <w:rsid w:val="00D46D22"/>
    <w:rsid w:val="00D46F47"/>
    <w:rsid w:val="00D64594"/>
    <w:rsid w:val="00D64A1F"/>
    <w:rsid w:val="00D660F0"/>
    <w:rsid w:val="00D7089C"/>
    <w:rsid w:val="00D72D75"/>
    <w:rsid w:val="00D74045"/>
    <w:rsid w:val="00D74D13"/>
    <w:rsid w:val="00D77537"/>
    <w:rsid w:val="00D82311"/>
    <w:rsid w:val="00D82468"/>
    <w:rsid w:val="00D82809"/>
    <w:rsid w:val="00D848E6"/>
    <w:rsid w:val="00D93559"/>
    <w:rsid w:val="00D94AFC"/>
    <w:rsid w:val="00D9589C"/>
    <w:rsid w:val="00D969D2"/>
    <w:rsid w:val="00D979FC"/>
    <w:rsid w:val="00DA311C"/>
    <w:rsid w:val="00DA50DC"/>
    <w:rsid w:val="00DA5F4A"/>
    <w:rsid w:val="00DA666D"/>
    <w:rsid w:val="00DB2B67"/>
    <w:rsid w:val="00DB41E4"/>
    <w:rsid w:val="00DB530C"/>
    <w:rsid w:val="00DB779C"/>
    <w:rsid w:val="00DC0156"/>
    <w:rsid w:val="00DC105F"/>
    <w:rsid w:val="00DC40CF"/>
    <w:rsid w:val="00DC4657"/>
    <w:rsid w:val="00DC4757"/>
    <w:rsid w:val="00DC4B25"/>
    <w:rsid w:val="00DC4C5D"/>
    <w:rsid w:val="00DC62E9"/>
    <w:rsid w:val="00DC6894"/>
    <w:rsid w:val="00DC7E9E"/>
    <w:rsid w:val="00DD10A3"/>
    <w:rsid w:val="00DD15C6"/>
    <w:rsid w:val="00DD2C7B"/>
    <w:rsid w:val="00DE015E"/>
    <w:rsid w:val="00DE1429"/>
    <w:rsid w:val="00DE79C1"/>
    <w:rsid w:val="00DF2020"/>
    <w:rsid w:val="00DF399A"/>
    <w:rsid w:val="00DF4689"/>
    <w:rsid w:val="00DF52AF"/>
    <w:rsid w:val="00DF79E9"/>
    <w:rsid w:val="00E01AF6"/>
    <w:rsid w:val="00E02D0B"/>
    <w:rsid w:val="00E03F42"/>
    <w:rsid w:val="00E1115C"/>
    <w:rsid w:val="00E1307A"/>
    <w:rsid w:val="00E13249"/>
    <w:rsid w:val="00E171B9"/>
    <w:rsid w:val="00E17BA8"/>
    <w:rsid w:val="00E17F92"/>
    <w:rsid w:val="00E2006E"/>
    <w:rsid w:val="00E201EA"/>
    <w:rsid w:val="00E20C09"/>
    <w:rsid w:val="00E21CF1"/>
    <w:rsid w:val="00E31564"/>
    <w:rsid w:val="00E33BA4"/>
    <w:rsid w:val="00E33DD1"/>
    <w:rsid w:val="00E37E8E"/>
    <w:rsid w:val="00E40880"/>
    <w:rsid w:val="00E4200D"/>
    <w:rsid w:val="00E4260B"/>
    <w:rsid w:val="00E5316B"/>
    <w:rsid w:val="00E555EC"/>
    <w:rsid w:val="00E62296"/>
    <w:rsid w:val="00E62992"/>
    <w:rsid w:val="00E653A9"/>
    <w:rsid w:val="00E67DA4"/>
    <w:rsid w:val="00E73AE3"/>
    <w:rsid w:val="00E74EA2"/>
    <w:rsid w:val="00E762A4"/>
    <w:rsid w:val="00E803D3"/>
    <w:rsid w:val="00E80792"/>
    <w:rsid w:val="00E843C1"/>
    <w:rsid w:val="00E852EE"/>
    <w:rsid w:val="00E8542C"/>
    <w:rsid w:val="00E865A3"/>
    <w:rsid w:val="00E868EA"/>
    <w:rsid w:val="00E90099"/>
    <w:rsid w:val="00E9092C"/>
    <w:rsid w:val="00E913E0"/>
    <w:rsid w:val="00E926D4"/>
    <w:rsid w:val="00E94095"/>
    <w:rsid w:val="00E95F4E"/>
    <w:rsid w:val="00EA0D02"/>
    <w:rsid w:val="00EA16FC"/>
    <w:rsid w:val="00EA204F"/>
    <w:rsid w:val="00EA3AD5"/>
    <w:rsid w:val="00EA6051"/>
    <w:rsid w:val="00EB19D9"/>
    <w:rsid w:val="00EB5840"/>
    <w:rsid w:val="00EC07C9"/>
    <w:rsid w:val="00EC2C6C"/>
    <w:rsid w:val="00EC4455"/>
    <w:rsid w:val="00EC5999"/>
    <w:rsid w:val="00EC739F"/>
    <w:rsid w:val="00ED0359"/>
    <w:rsid w:val="00ED09F2"/>
    <w:rsid w:val="00ED1B79"/>
    <w:rsid w:val="00ED4085"/>
    <w:rsid w:val="00ED426B"/>
    <w:rsid w:val="00EE02AA"/>
    <w:rsid w:val="00EE0685"/>
    <w:rsid w:val="00EE06AC"/>
    <w:rsid w:val="00EE0728"/>
    <w:rsid w:val="00EE4110"/>
    <w:rsid w:val="00EE57DB"/>
    <w:rsid w:val="00EE71FF"/>
    <w:rsid w:val="00EE7A00"/>
    <w:rsid w:val="00EF11C7"/>
    <w:rsid w:val="00EF248F"/>
    <w:rsid w:val="00EF2D58"/>
    <w:rsid w:val="00EF317F"/>
    <w:rsid w:val="00EF333B"/>
    <w:rsid w:val="00EF75EA"/>
    <w:rsid w:val="00F00B6E"/>
    <w:rsid w:val="00F01330"/>
    <w:rsid w:val="00F02295"/>
    <w:rsid w:val="00F07EF5"/>
    <w:rsid w:val="00F12A03"/>
    <w:rsid w:val="00F12DFE"/>
    <w:rsid w:val="00F1558E"/>
    <w:rsid w:val="00F212DE"/>
    <w:rsid w:val="00F21E04"/>
    <w:rsid w:val="00F23BC2"/>
    <w:rsid w:val="00F23E92"/>
    <w:rsid w:val="00F305C1"/>
    <w:rsid w:val="00F3604B"/>
    <w:rsid w:val="00F36174"/>
    <w:rsid w:val="00F421EC"/>
    <w:rsid w:val="00F42F44"/>
    <w:rsid w:val="00F4564A"/>
    <w:rsid w:val="00F4566B"/>
    <w:rsid w:val="00F46B06"/>
    <w:rsid w:val="00F51EEA"/>
    <w:rsid w:val="00F5388E"/>
    <w:rsid w:val="00F65767"/>
    <w:rsid w:val="00F71B5C"/>
    <w:rsid w:val="00F71EC8"/>
    <w:rsid w:val="00F766A5"/>
    <w:rsid w:val="00F77C25"/>
    <w:rsid w:val="00F80144"/>
    <w:rsid w:val="00FA109B"/>
    <w:rsid w:val="00FA5F06"/>
    <w:rsid w:val="00FA7F09"/>
    <w:rsid w:val="00FB4A85"/>
    <w:rsid w:val="00FB656E"/>
    <w:rsid w:val="00FB7BFB"/>
    <w:rsid w:val="00FC0936"/>
    <w:rsid w:val="00FC1740"/>
    <w:rsid w:val="00FC18C9"/>
    <w:rsid w:val="00FC4285"/>
    <w:rsid w:val="00FC4677"/>
    <w:rsid w:val="00FC4837"/>
    <w:rsid w:val="00FC4DD2"/>
    <w:rsid w:val="00FC5050"/>
    <w:rsid w:val="00FC59F8"/>
    <w:rsid w:val="00FD2899"/>
    <w:rsid w:val="00FE05B3"/>
    <w:rsid w:val="00FE288C"/>
    <w:rsid w:val="00FE2CFB"/>
    <w:rsid w:val="00FE4201"/>
    <w:rsid w:val="00FF253D"/>
    <w:rsid w:val="00FF3B09"/>
    <w:rsid w:val="00FF4DA6"/>
    <w:rsid w:val="01123FC7"/>
    <w:rsid w:val="011B366C"/>
    <w:rsid w:val="01205FF5"/>
    <w:rsid w:val="01245970"/>
    <w:rsid w:val="01266B4E"/>
    <w:rsid w:val="012F0349"/>
    <w:rsid w:val="01300B7D"/>
    <w:rsid w:val="0134426E"/>
    <w:rsid w:val="015271C4"/>
    <w:rsid w:val="0164316A"/>
    <w:rsid w:val="016E515C"/>
    <w:rsid w:val="018777BD"/>
    <w:rsid w:val="018B7181"/>
    <w:rsid w:val="019930A0"/>
    <w:rsid w:val="01A84E8C"/>
    <w:rsid w:val="01B47EAA"/>
    <w:rsid w:val="01B96893"/>
    <w:rsid w:val="01CA6801"/>
    <w:rsid w:val="01CE4CED"/>
    <w:rsid w:val="01CE74DB"/>
    <w:rsid w:val="01D74ABA"/>
    <w:rsid w:val="01DF420A"/>
    <w:rsid w:val="01FC178F"/>
    <w:rsid w:val="021F2DD6"/>
    <w:rsid w:val="022E4F2E"/>
    <w:rsid w:val="02393605"/>
    <w:rsid w:val="023B0C67"/>
    <w:rsid w:val="023F6F47"/>
    <w:rsid w:val="024740A5"/>
    <w:rsid w:val="0258455C"/>
    <w:rsid w:val="025C45D7"/>
    <w:rsid w:val="02630DB5"/>
    <w:rsid w:val="0264487D"/>
    <w:rsid w:val="026C441F"/>
    <w:rsid w:val="02704714"/>
    <w:rsid w:val="02736862"/>
    <w:rsid w:val="027436E7"/>
    <w:rsid w:val="02880D90"/>
    <w:rsid w:val="029167E5"/>
    <w:rsid w:val="02A84AA8"/>
    <w:rsid w:val="02AB1DCE"/>
    <w:rsid w:val="02AC03EA"/>
    <w:rsid w:val="02AD6AB8"/>
    <w:rsid w:val="02CB27DE"/>
    <w:rsid w:val="02DD1A3D"/>
    <w:rsid w:val="02E6582A"/>
    <w:rsid w:val="02E75A2B"/>
    <w:rsid w:val="02ED1C6E"/>
    <w:rsid w:val="02F510C4"/>
    <w:rsid w:val="02FF41F8"/>
    <w:rsid w:val="0308049B"/>
    <w:rsid w:val="030F0E37"/>
    <w:rsid w:val="03114264"/>
    <w:rsid w:val="031911C4"/>
    <w:rsid w:val="03247493"/>
    <w:rsid w:val="03374508"/>
    <w:rsid w:val="03383AF0"/>
    <w:rsid w:val="033F247B"/>
    <w:rsid w:val="035B061A"/>
    <w:rsid w:val="037574B5"/>
    <w:rsid w:val="037C40D3"/>
    <w:rsid w:val="038010B6"/>
    <w:rsid w:val="038E1DE2"/>
    <w:rsid w:val="038F5DDA"/>
    <w:rsid w:val="03953513"/>
    <w:rsid w:val="03961D94"/>
    <w:rsid w:val="039A1F2C"/>
    <w:rsid w:val="03AF48E2"/>
    <w:rsid w:val="03B20DE8"/>
    <w:rsid w:val="03B30A19"/>
    <w:rsid w:val="03B452C8"/>
    <w:rsid w:val="03B86986"/>
    <w:rsid w:val="03BB6210"/>
    <w:rsid w:val="03CC01FC"/>
    <w:rsid w:val="03D273D3"/>
    <w:rsid w:val="03DF69CC"/>
    <w:rsid w:val="03EA0C3C"/>
    <w:rsid w:val="03F25847"/>
    <w:rsid w:val="04065355"/>
    <w:rsid w:val="040D0A86"/>
    <w:rsid w:val="040D2B24"/>
    <w:rsid w:val="0410628C"/>
    <w:rsid w:val="04132705"/>
    <w:rsid w:val="041A6DE2"/>
    <w:rsid w:val="041D42EE"/>
    <w:rsid w:val="042E6C5C"/>
    <w:rsid w:val="04307EBA"/>
    <w:rsid w:val="04376E6F"/>
    <w:rsid w:val="04394E96"/>
    <w:rsid w:val="043F5BE6"/>
    <w:rsid w:val="044C38C9"/>
    <w:rsid w:val="044F5B43"/>
    <w:rsid w:val="045141F7"/>
    <w:rsid w:val="04606842"/>
    <w:rsid w:val="04676C57"/>
    <w:rsid w:val="046E585D"/>
    <w:rsid w:val="049518DC"/>
    <w:rsid w:val="049931DA"/>
    <w:rsid w:val="049936CB"/>
    <w:rsid w:val="04A835B0"/>
    <w:rsid w:val="04B23BDE"/>
    <w:rsid w:val="04D122B2"/>
    <w:rsid w:val="04D5567E"/>
    <w:rsid w:val="04E62562"/>
    <w:rsid w:val="04F60642"/>
    <w:rsid w:val="05033D51"/>
    <w:rsid w:val="050976A7"/>
    <w:rsid w:val="05097AD0"/>
    <w:rsid w:val="052D7277"/>
    <w:rsid w:val="052D76F7"/>
    <w:rsid w:val="053A25D2"/>
    <w:rsid w:val="054E3C79"/>
    <w:rsid w:val="0571303E"/>
    <w:rsid w:val="05733EF8"/>
    <w:rsid w:val="05857E4A"/>
    <w:rsid w:val="058E18F0"/>
    <w:rsid w:val="0590643D"/>
    <w:rsid w:val="05A36B4E"/>
    <w:rsid w:val="05A37551"/>
    <w:rsid w:val="05A653A3"/>
    <w:rsid w:val="05B05288"/>
    <w:rsid w:val="05C32A8A"/>
    <w:rsid w:val="05CC560F"/>
    <w:rsid w:val="05E55CA3"/>
    <w:rsid w:val="05F60745"/>
    <w:rsid w:val="05F96A38"/>
    <w:rsid w:val="05FD161B"/>
    <w:rsid w:val="061B1FC9"/>
    <w:rsid w:val="062D43AF"/>
    <w:rsid w:val="062E616A"/>
    <w:rsid w:val="063A5FAD"/>
    <w:rsid w:val="06427797"/>
    <w:rsid w:val="06576405"/>
    <w:rsid w:val="066C6D88"/>
    <w:rsid w:val="066D4080"/>
    <w:rsid w:val="066E30C6"/>
    <w:rsid w:val="068544F4"/>
    <w:rsid w:val="0696400B"/>
    <w:rsid w:val="06983857"/>
    <w:rsid w:val="06AB60C8"/>
    <w:rsid w:val="06BB2D1A"/>
    <w:rsid w:val="06E04994"/>
    <w:rsid w:val="06EE0A13"/>
    <w:rsid w:val="07053B29"/>
    <w:rsid w:val="074100DB"/>
    <w:rsid w:val="07415891"/>
    <w:rsid w:val="07441A0A"/>
    <w:rsid w:val="07467179"/>
    <w:rsid w:val="07503DB2"/>
    <w:rsid w:val="07605C36"/>
    <w:rsid w:val="076B78B2"/>
    <w:rsid w:val="078A61D7"/>
    <w:rsid w:val="07977450"/>
    <w:rsid w:val="07AB2B93"/>
    <w:rsid w:val="07AB6B5D"/>
    <w:rsid w:val="07BF0CE0"/>
    <w:rsid w:val="07D55B21"/>
    <w:rsid w:val="07E95BF8"/>
    <w:rsid w:val="07EC37C7"/>
    <w:rsid w:val="07EF3D0B"/>
    <w:rsid w:val="08110EF9"/>
    <w:rsid w:val="08185A21"/>
    <w:rsid w:val="08260274"/>
    <w:rsid w:val="08322769"/>
    <w:rsid w:val="08432814"/>
    <w:rsid w:val="08471A5B"/>
    <w:rsid w:val="084F1E39"/>
    <w:rsid w:val="0850247E"/>
    <w:rsid w:val="085F3A9E"/>
    <w:rsid w:val="086A4C7F"/>
    <w:rsid w:val="086E387E"/>
    <w:rsid w:val="08716E9D"/>
    <w:rsid w:val="088B6196"/>
    <w:rsid w:val="08943174"/>
    <w:rsid w:val="08A3063C"/>
    <w:rsid w:val="08AC5BF4"/>
    <w:rsid w:val="08B66B1E"/>
    <w:rsid w:val="08B84D5E"/>
    <w:rsid w:val="08BC1E22"/>
    <w:rsid w:val="08BC424C"/>
    <w:rsid w:val="08CF0315"/>
    <w:rsid w:val="08D54F10"/>
    <w:rsid w:val="08D5519F"/>
    <w:rsid w:val="08D63091"/>
    <w:rsid w:val="08DB054F"/>
    <w:rsid w:val="08DF14FC"/>
    <w:rsid w:val="08E07916"/>
    <w:rsid w:val="08E6565D"/>
    <w:rsid w:val="08F75DD1"/>
    <w:rsid w:val="08FB6552"/>
    <w:rsid w:val="090573DB"/>
    <w:rsid w:val="09063119"/>
    <w:rsid w:val="090C6B18"/>
    <w:rsid w:val="094A0B8A"/>
    <w:rsid w:val="095173CE"/>
    <w:rsid w:val="095B4567"/>
    <w:rsid w:val="09807C53"/>
    <w:rsid w:val="098370B5"/>
    <w:rsid w:val="09882AB7"/>
    <w:rsid w:val="09931E3A"/>
    <w:rsid w:val="09A41DAD"/>
    <w:rsid w:val="09B71528"/>
    <w:rsid w:val="09CC7A7D"/>
    <w:rsid w:val="09CD0F25"/>
    <w:rsid w:val="09D03841"/>
    <w:rsid w:val="09DE3664"/>
    <w:rsid w:val="09E92ED1"/>
    <w:rsid w:val="09F91244"/>
    <w:rsid w:val="0A1F15FB"/>
    <w:rsid w:val="0A2C071D"/>
    <w:rsid w:val="0A3D4528"/>
    <w:rsid w:val="0A4B1B7E"/>
    <w:rsid w:val="0A710074"/>
    <w:rsid w:val="0A83621E"/>
    <w:rsid w:val="0A8A3A55"/>
    <w:rsid w:val="0A910579"/>
    <w:rsid w:val="0AA471DC"/>
    <w:rsid w:val="0AA81586"/>
    <w:rsid w:val="0AAB0424"/>
    <w:rsid w:val="0ACB551D"/>
    <w:rsid w:val="0AD57AEE"/>
    <w:rsid w:val="0AE81BCD"/>
    <w:rsid w:val="0AF875BB"/>
    <w:rsid w:val="0B0D77B0"/>
    <w:rsid w:val="0B120BC0"/>
    <w:rsid w:val="0B154457"/>
    <w:rsid w:val="0B2C2BD9"/>
    <w:rsid w:val="0B521F72"/>
    <w:rsid w:val="0B7061D0"/>
    <w:rsid w:val="0BA32227"/>
    <w:rsid w:val="0BC1638D"/>
    <w:rsid w:val="0BD03425"/>
    <w:rsid w:val="0BDF73C9"/>
    <w:rsid w:val="0BE53D69"/>
    <w:rsid w:val="0BED03D4"/>
    <w:rsid w:val="0BF24FCD"/>
    <w:rsid w:val="0BFD183B"/>
    <w:rsid w:val="0C022484"/>
    <w:rsid w:val="0C0C004C"/>
    <w:rsid w:val="0C221140"/>
    <w:rsid w:val="0C2225A8"/>
    <w:rsid w:val="0C2A4341"/>
    <w:rsid w:val="0C363B3B"/>
    <w:rsid w:val="0C4A05B3"/>
    <w:rsid w:val="0C5739E5"/>
    <w:rsid w:val="0C723B2C"/>
    <w:rsid w:val="0C8A23DC"/>
    <w:rsid w:val="0C995F25"/>
    <w:rsid w:val="0CA45752"/>
    <w:rsid w:val="0CA65117"/>
    <w:rsid w:val="0CCB01B3"/>
    <w:rsid w:val="0CD452D2"/>
    <w:rsid w:val="0CD856A2"/>
    <w:rsid w:val="0CE246D9"/>
    <w:rsid w:val="0CEF5913"/>
    <w:rsid w:val="0CF008DF"/>
    <w:rsid w:val="0D085F86"/>
    <w:rsid w:val="0D114EFD"/>
    <w:rsid w:val="0D176F5D"/>
    <w:rsid w:val="0D1E1060"/>
    <w:rsid w:val="0D444A4E"/>
    <w:rsid w:val="0D453CD6"/>
    <w:rsid w:val="0D4A21BC"/>
    <w:rsid w:val="0D4E1C5B"/>
    <w:rsid w:val="0D507564"/>
    <w:rsid w:val="0D5C09C6"/>
    <w:rsid w:val="0D7B08D7"/>
    <w:rsid w:val="0D840A30"/>
    <w:rsid w:val="0D842EA4"/>
    <w:rsid w:val="0D8A5121"/>
    <w:rsid w:val="0D9B651F"/>
    <w:rsid w:val="0D9E6986"/>
    <w:rsid w:val="0D9F765C"/>
    <w:rsid w:val="0DAA67CC"/>
    <w:rsid w:val="0DAB3902"/>
    <w:rsid w:val="0DB02216"/>
    <w:rsid w:val="0DBB25E5"/>
    <w:rsid w:val="0DBB3DEE"/>
    <w:rsid w:val="0DBE05B5"/>
    <w:rsid w:val="0DC40C23"/>
    <w:rsid w:val="0DD87E3D"/>
    <w:rsid w:val="0DED43E2"/>
    <w:rsid w:val="0DF310F1"/>
    <w:rsid w:val="0DFC08E3"/>
    <w:rsid w:val="0E057540"/>
    <w:rsid w:val="0E064EAF"/>
    <w:rsid w:val="0E277C23"/>
    <w:rsid w:val="0E297B90"/>
    <w:rsid w:val="0E2C597B"/>
    <w:rsid w:val="0E2F2E6C"/>
    <w:rsid w:val="0E3258EC"/>
    <w:rsid w:val="0E3B0F4C"/>
    <w:rsid w:val="0E470BCF"/>
    <w:rsid w:val="0E49138D"/>
    <w:rsid w:val="0E501642"/>
    <w:rsid w:val="0E525A71"/>
    <w:rsid w:val="0E5E0E10"/>
    <w:rsid w:val="0E72175C"/>
    <w:rsid w:val="0E8063EE"/>
    <w:rsid w:val="0E96523D"/>
    <w:rsid w:val="0E9863C3"/>
    <w:rsid w:val="0E9C196B"/>
    <w:rsid w:val="0EB0743D"/>
    <w:rsid w:val="0EB3632D"/>
    <w:rsid w:val="0EC73A40"/>
    <w:rsid w:val="0ED91A92"/>
    <w:rsid w:val="0EE1181F"/>
    <w:rsid w:val="0EE647EA"/>
    <w:rsid w:val="0F06074C"/>
    <w:rsid w:val="0F0912BA"/>
    <w:rsid w:val="0F0B570A"/>
    <w:rsid w:val="0F116A7F"/>
    <w:rsid w:val="0F1172EE"/>
    <w:rsid w:val="0F143830"/>
    <w:rsid w:val="0F171639"/>
    <w:rsid w:val="0F2A0640"/>
    <w:rsid w:val="0F336BE3"/>
    <w:rsid w:val="0F3477C4"/>
    <w:rsid w:val="0F43050A"/>
    <w:rsid w:val="0F4D7AA5"/>
    <w:rsid w:val="0F4E46B2"/>
    <w:rsid w:val="0F69654D"/>
    <w:rsid w:val="0F6F5EDB"/>
    <w:rsid w:val="0F747DA4"/>
    <w:rsid w:val="0F7F5123"/>
    <w:rsid w:val="0F802BF3"/>
    <w:rsid w:val="0F80674F"/>
    <w:rsid w:val="0F9B01A2"/>
    <w:rsid w:val="0F9E22A6"/>
    <w:rsid w:val="0FA52931"/>
    <w:rsid w:val="0FA856AF"/>
    <w:rsid w:val="0FB00328"/>
    <w:rsid w:val="0FBC07B5"/>
    <w:rsid w:val="0FD138A0"/>
    <w:rsid w:val="0FD54874"/>
    <w:rsid w:val="0FDD6E40"/>
    <w:rsid w:val="0FE23055"/>
    <w:rsid w:val="0FE7657C"/>
    <w:rsid w:val="0FEB270F"/>
    <w:rsid w:val="0FED4EEB"/>
    <w:rsid w:val="0FF60C5B"/>
    <w:rsid w:val="0FF95815"/>
    <w:rsid w:val="0FFD08B8"/>
    <w:rsid w:val="10013B1C"/>
    <w:rsid w:val="10114703"/>
    <w:rsid w:val="1012342B"/>
    <w:rsid w:val="1039465D"/>
    <w:rsid w:val="10487E60"/>
    <w:rsid w:val="106377CF"/>
    <w:rsid w:val="10755FEF"/>
    <w:rsid w:val="108134D8"/>
    <w:rsid w:val="108452F1"/>
    <w:rsid w:val="10A31257"/>
    <w:rsid w:val="10AB0366"/>
    <w:rsid w:val="10C60B0F"/>
    <w:rsid w:val="10D57DA2"/>
    <w:rsid w:val="10D61B8B"/>
    <w:rsid w:val="10D82AB5"/>
    <w:rsid w:val="10F954EA"/>
    <w:rsid w:val="10FD7157"/>
    <w:rsid w:val="110173CE"/>
    <w:rsid w:val="111607B1"/>
    <w:rsid w:val="111657CB"/>
    <w:rsid w:val="112F634C"/>
    <w:rsid w:val="114E47FD"/>
    <w:rsid w:val="1160385B"/>
    <w:rsid w:val="11691059"/>
    <w:rsid w:val="116E5CB8"/>
    <w:rsid w:val="11732F7A"/>
    <w:rsid w:val="117A10F4"/>
    <w:rsid w:val="117E2FF4"/>
    <w:rsid w:val="11891F31"/>
    <w:rsid w:val="118F505C"/>
    <w:rsid w:val="11A014A1"/>
    <w:rsid w:val="11AB6319"/>
    <w:rsid w:val="11C33CAB"/>
    <w:rsid w:val="11C47791"/>
    <w:rsid w:val="11D36388"/>
    <w:rsid w:val="11E25779"/>
    <w:rsid w:val="11E2632F"/>
    <w:rsid w:val="11EB1098"/>
    <w:rsid w:val="11EF4C81"/>
    <w:rsid w:val="11F026A2"/>
    <w:rsid w:val="11F1673D"/>
    <w:rsid w:val="11F16F19"/>
    <w:rsid w:val="11F356CB"/>
    <w:rsid w:val="120D4A8F"/>
    <w:rsid w:val="120F04B7"/>
    <w:rsid w:val="12135059"/>
    <w:rsid w:val="12337E9F"/>
    <w:rsid w:val="12347BAF"/>
    <w:rsid w:val="1235563B"/>
    <w:rsid w:val="124245DC"/>
    <w:rsid w:val="124654D2"/>
    <w:rsid w:val="12487613"/>
    <w:rsid w:val="124957CD"/>
    <w:rsid w:val="124C25C7"/>
    <w:rsid w:val="12572C7C"/>
    <w:rsid w:val="12790101"/>
    <w:rsid w:val="127D0B06"/>
    <w:rsid w:val="127E79CB"/>
    <w:rsid w:val="12974270"/>
    <w:rsid w:val="12A87D7A"/>
    <w:rsid w:val="12AF6741"/>
    <w:rsid w:val="12B72BC7"/>
    <w:rsid w:val="12C73C93"/>
    <w:rsid w:val="12DC5C5D"/>
    <w:rsid w:val="12EC45E1"/>
    <w:rsid w:val="130D3566"/>
    <w:rsid w:val="130E4054"/>
    <w:rsid w:val="1310259A"/>
    <w:rsid w:val="1327213E"/>
    <w:rsid w:val="13304CCE"/>
    <w:rsid w:val="13321644"/>
    <w:rsid w:val="133A243A"/>
    <w:rsid w:val="133E6F1C"/>
    <w:rsid w:val="13547EB8"/>
    <w:rsid w:val="136876E7"/>
    <w:rsid w:val="136F5C41"/>
    <w:rsid w:val="137A6820"/>
    <w:rsid w:val="13880A27"/>
    <w:rsid w:val="139364DD"/>
    <w:rsid w:val="13B442DF"/>
    <w:rsid w:val="13BE05D9"/>
    <w:rsid w:val="13DD40E1"/>
    <w:rsid w:val="13DE7D5C"/>
    <w:rsid w:val="13F45CBA"/>
    <w:rsid w:val="13FF4EF2"/>
    <w:rsid w:val="140718B9"/>
    <w:rsid w:val="14187D7A"/>
    <w:rsid w:val="142431B7"/>
    <w:rsid w:val="14287C10"/>
    <w:rsid w:val="142927D2"/>
    <w:rsid w:val="142A5599"/>
    <w:rsid w:val="144251E1"/>
    <w:rsid w:val="14547269"/>
    <w:rsid w:val="1471026F"/>
    <w:rsid w:val="14711E05"/>
    <w:rsid w:val="147D18EF"/>
    <w:rsid w:val="148E47F4"/>
    <w:rsid w:val="149A7EB6"/>
    <w:rsid w:val="14A14FAE"/>
    <w:rsid w:val="14A515D8"/>
    <w:rsid w:val="14A53B9A"/>
    <w:rsid w:val="14BD3DA4"/>
    <w:rsid w:val="14C04FF5"/>
    <w:rsid w:val="14C0703A"/>
    <w:rsid w:val="14D61CA1"/>
    <w:rsid w:val="14EC071B"/>
    <w:rsid w:val="150A3C59"/>
    <w:rsid w:val="15194058"/>
    <w:rsid w:val="151B555B"/>
    <w:rsid w:val="151C5314"/>
    <w:rsid w:val="152513D7"/>
    <w:rsid w:val="152A747A"/>
    <w:rsid w:val="153772B0"/>
    <w:rsid w:val="153956D8"/>
    <w:rsid w:val="15517106"/>
    <w:rsid w:val="1553051E"/>
    <w:rsid w:val="15537F35"/>
    <w:rsid w:val="15566B23"/>
    <w:rsid w:val="155B0D1A"/>
    <w:rsid w:val="156132B5"/>
    <w:rsid w:val="15713898"/>
    <w:rsid w:val="15940400"/>
    <w:rsid w:val="15A220E7"/>
    <w:rsid w:val="15AD307D"/>
    <w:rsid w:val="15B41340"/>
    <w:rsid w:val="15C26136"/>
    <w:rsid w:val="15C93DCD"/>
    <w:rsid w:val="15D87730"/>
    <w:rsid w:val="15E85BA5"/>
    <w:rsid w:val="15FB3FD4"/>
    <w:rsid w:val="16050D64"/>
    <w:rsid w:val="16125CDB"/>
    <w:rsid w:val="162E7C61"/>
    <w:rsid w:val="16501FE8"/>
    <w:rsid w:val="165F5CC4"/>
    <w:rsid w:val="166718DF"/>
    <w:rsid w:val="16797F90"/>
    <w:rsid w:val="167A324D"/>
    <w:rsid w:val="16807A7B"/>
    <w:rsid w:val="168B03F9"/>
    <w:rsid w:val="16A40FF1"/>
    <w:rsid w:val="16A66FE5"/>
    <w:rsid w:val="16AA7C9E"/>
    <w:rsid w:val="16D536AD"/>
    <w:rsid w:val="16F317FF"/>
    <w:rsid w:val="16F61079"/>
    <w:rsid w:val="16FC40CC"/>
    <w:rsid w:val="17107819"/>
    <w:rsid w:val="1713592B"/>
    <w:rsid w:val="171724AF"/>
    <w:rsid w:val="17257EBD"/>
    <w:rsid w:val="173A1167"/>
    <w:rsid w:val="174C3125"/>
    <w:rsid w:val="174D05AF"/>
    <w:rsid w:val="17582195"/>
    <w:rsid w:val="175A5E16"/>
    <w:rsid w:val="176E561B"/>
    <w:rsid w:val="1783114D"/>
    <w:rsid w:val="178C0803"/>
    <w:rsid w:val="179D078F"/>
    <w:rsid w:val="17A56106"/>
    <w:rsid w:val="17B01689"/>
    <w:rsid w:val="17BA2651"/>
    <w:rsid w:val="17BB4CAD"/>
    <w:rsid w:val="17CB3578"/>
    <w:rsid w:val="17DC55DB"/>
    <w:rsid w:val="17DC74E7"/>
    <w:rsid w:val="17E66F68"/>
    <w:rsid w:val="17EA3022"/>
    <w:rsid w:val="17EC2D37"/>
    <w:rsid w:val="17FC197D"/>
    <w:rsid w:val="180E5BD0"/>
    <w:rsid w:val="1815568F"/>
    <w:rsid w:val="181B6745"/>
    <w:rsid w:val="181E21FF"/>
    <w:rsid w:val="182417F2"/>
    <w:rsid w:val="182A24B6"/>
    <w:rsid w:val="182A435C"/>
    <w:rsid w:val="182F3471"/>
    <w:rsid w:val="184A2FE7"/>
    <w:rsid w:val="184D2E9A"/>
    <w:rsid w:val="18506409"/>
    <w:rsid w:val="18631AFF"/>
    <w:rsid w:val="186C62F3"/>
    <w:rsid w:val="186D10E2"/>
    <w:rsid w:val="186F25AF"/>
    <w:rsid w:val="18736391"/>
    <w:rsid w:val="18750889"/>
    <w:rsid w:val="187F3982"/>
    <w:rsid w:val="187F6C6E"/>
    <w:rsid w:val="188B4496"/>
    <w:rsid w:val="188B49AE"/>
    <w:rsid w:val="18B07CBC"/>
    <w:rsid w:val="18B7047A"/>
    <w:rsid w:val="18DB3633"/>
    <w:rsid w:val="18EF7E4E"/>
    <w:rsid w:val="19036F3C"/>
    <w:rsid w:val="190662EB"/>
    <w:rsid w:val="19111349"/>
    <w:rsid w:val="19170735"/>
    <w:rsid w:val="19287D1F"/>
    <w:rsid w:val="19296872"/>
    <w:rsid w:val="193C6F70"/>
    <w:rsid w:val="19422035"/>
    <w:rsid w:val="19452E4D"/>
    <w:rsid w:val="19490459"/>
    <w:rsid w:val="19576666"/>
    <w:rsid w:val="196071E6"/>
    <w:rsid w:val="196E1445"/>
    <w:rsid w:val="197A4BF5"/>
    <w:rsid w:val="197E07F4"/>
    <w:rsid w:val="19995465"/>
    <w:rsid w:val="199A6F37"/>
    <w:rsid w:val="19A1656E"/>
    <w:rsid w:val="19AC18DF"/>
    <w:rsid w:val="19CC156A"/>
    <w:rsid w:val="19D92823"/>
    <w:rsid w:val="19EF018C"/>
    <w:rsid w:val="19F87D26"/>
    <w:rsid w:val="1A0462C0"/>
    <w:rsid w:val="1A206975"/>
    <w:rsid w:val="1A254109"/>
    <w:rsid w:val="1A2D5F17"/>
    <w:rsid w:val="1A3E7E25"/>
    <w:rsid w:val="1A3F1EAD"/>
    <w:rsid w:val="1A426095"/>
    <w:rsid w:val="1A4557A6"/>
    <w:rsid w:val="1A5522BE"/>
    <w:rsid w:val="1A5F7E3C"/>
    <w:rsid w:val="1A697B62"/>
    <w:rsid w:val="1A7A1400"/>
    <w:rsid w:val="1A932CD8"/>
    <w:rsid w:val="1A976890"/>
    <w:rsid w:val="1AA17EB7"/>
    <w:rsid w:val="1AB632B9"/>
    <w:rsid w:val="1AC07580"/>
    <w:rsid w:val="1ACD092F"/>
    <w:rsid w:val="1ACF43A8"/>
    <w:rsid w:val="1AD911F0"/>
    <w:rsid w:val="1AE07500"/>
    <w:rsid w:val="1AE55E86"/>
    <w:rsid w:val="1B0D66A2"/>
    <w:rsid w:val="1B381D2F"/>
    <w:rsid w:val="1B445933"/>
    <w:rsid w:val="1B481CDF"/>
    <w:rsid w:val="1B4B40CA"/>
    <w:rsid w:val="1B4B554B"/>
    <w:rsid w:val="1B6C629B"/>
    <w:rsid w:val="1B6F68D0"/>
    <w:rsid w:val="1B7156EB"/>
    <w:rsid w:val="1B882CE4"/>
    <w:rsid w:val="1B967C32"/>
    <w:rsid w:val="1B9F706E"/>
    <w:rsid w:val="1BAF1FC9"/>
    <w:rsid w:val="1BC0081E"/>
    <w:rsid w:val="1BC8251B"/>
    <w:rsid w:val="1BD53889"/>
    <w:rsid w:val="1BD5544D"/>
    <w:rsid w:val="1BD81AB5"/>
    <w:rsid w:val="1BDB12A2"/>
    <w:rsid w:val="1BE41607"/>
    <w:rsid w:val="1BEB497F"/>
    <w:rsid w:val="1BF10AEE"/>
    <w:rsid w:val="1C0605E3"/>
    <w:rsid w:val="1C080D97"/>
    <w:rsid w:val="1C1828C9"/>
    <w:rsid w:val="1C3554F4"/>
    <w:rsid w:val="1C387D56"/>
    <w:rsid w:val="1C4B290D"/>
    <w:rsid w:val="1C4E226E"/>
    <w:rsid w:val="1C557FDC"/>
    <w:rsid w:val="1C5E726F"/>
    <w:rsid w:val="1C62455E"/>
    <w:rsid w:val="1C731196"/>
    <w:rsid w:val="1C972D31"/>
    <w:rsid w:val="1CA52F57"/>
    <w:rsid w:val="1CA64855"/>
    <w:rsid w:val="1CB112A1"/>
    <w:rsid w:val="1CC023A9"/>
    <w:rsid w:val="1CC5472F"/>
    <w:rsid w:val="1CC95B0B"/>
    <w:rsid w:val="1CCA5AF2"/>
    <w:rsid w:val="1CED3BEF"/>
    <w:rsid w:val="1CF665ED"/>
    <w:rsid w:val="1CF7094F"/>
    <w:rsid w:val="1D0B4491"/>
    <w:rsid w:val="1D0C0612"/>
    <w:rsid w:val="1D0D55CC"/>
    <w:rsid w:val="1D0E5989"/>
    <w:rsid w:val="1D141CEA"/>
    <w:rsid w:val="1D1B0A25"/>
    <w:rsid w:val="1D3E5302"/>
    <w:rsid w:val="1D4410B0"/>
    <w:rsid w:val="1D4A617E"/>
    <w:rsid w:val="1D6A356E"/>
    <w:rsid w:val="1D7C32DA"/>
    <w:rsid w:val="1D93284D"/>
    <w:rsid w:val="1DA1677D"/>
    <w:rsid w:val="1DB530CD"/>
    <w:rsid w:val="1DCB6348"/>
    <w:rsid w:val="1DCC661D"/>
    <w:rsid w:val="1DD95967"/>
    <w:rsid w:val="1DE4047F"/>
    <w:rsid w:val="1DE845C4"/>
    <w:rsid w:val="1E0803E8"/>
    <w:rsid w:val="1E496D32"/>
    <w:rsid w:val="1E534646"/>
    <w:rsid w:val="1E6E228D"/>
    <w:rsid w:val="1E74359A"/>
    <w:rsid w:val="1E7E617D"/>
    <w:rsid w:val="1E85569E"/>
    <w:rsid w:val="1E8E510F"/>
    <w:rsid w:val="1EB51DA1"/>
    <w:rsid w:val="1EB95209"/>
    <w:rsid w:val="1EC304A0"/>
    <w:rsid w:val="1EC5769F"/>
    <w:rsid w:val="1ED07B38"/>
    <w:rsid w:val="1EDC2E3F"/>
    <w:rsid w:val="1EEB092B"/>
    <w:rsid w:val="1EEC602D"/>
    <w:rsid w:val="1F05478A"/>
    <w:rsid w:val="1F1B7CA3"/>
    <w:rsid w:val="1F1E53CF"/>
    <w:rsid w:val="1F237967"/>
    <w:rsid w:val="1F254512"/>
    <w:rsid w:val="1F2627AC"/>
    <w:rsid w:val="1F2D10E6"/>
    <w:rsid w:val="1F2F224F"/>
    <w:rsid w:val="1F395569"/>
    <w:rsid w:val="1F455659"/>
    <w:rsid w:val="1F4B5E7F"/>
    <w:rsid w:val="1F4C5BF7"/>
    <w:rsid w:val="1F5B28CE"/>
    <w:rsid w:val="1F657D0C"/>
    <w:rsid w:val="1F6979B6"/>
    <w:rsid w:val="1F72556F"/>
    <w:rsid w:val="1F7E5F86"/>
    <w:rsid w:val="1FA06DAB"/>
    <w:rsid w:val="1FCB6265"/>
    <w:rsid w:val="1FD15B0F"/>
    <w:rsid w:val="1FED1DBC"/>
    <w:rsid w:val="1FEE752F"/>
    <w:rsid w:val="200448C8"/>
    <w:rsid w:val="201C43CA"/>
    <w:rsid w:val="20366690"/>
    <w:rsid w:val="20472CCB"/>
    <w:rsid w:val="204957B6"/>
    <w:rsid w:val="20556B97"/>
    <w:rsid w:val="205763CF"/>
    <w:rsid w:val="2058435A"/>
    <w:rsid w:val="20621A95"/>
    <w:rsid w:val="20654644"/>
    <w:rsid w:val="209D6C94"/>
    <w:rsid w:val="20AD543D"/>
    <w:rsid w:val="20B25FCF"/>
    <w:rsid w:val="20BC0DBB"/>
    <w:rsid w:val="20BD56CD"/>
    <w:rsid w:val="20C06125"/>
    <w:rsid w:val="20C77E55"/>
    <w:rsid w:val="20C834A1"/>
    <w:rsid w:val="20D04B8A"/>
    <w:rsid w:val="20D07B1A"/>
    <w:rsid w:val="20D43414"/>
    <w:rsid w:val="20D9527E"/>
    <w:rsid w:val="20EC60B5"/>
    <w:rsid w:val="20EE157B"/>
    <w:rsid w:val="20F2289B"/>
    <w:rsid w:val="20FF0F4A"/>
    <w:rsid w:val="21365855"/>
    <w:rsid w:val="213B2CE3"/>
    <w:rsid w:val="214449C7"/>
    <w:rsid w:val="21445AFF"/>
    <w:rsid w:val="214724AD"/>
    <w:rsid w:val="21505030"/>
    <w:rsid w:val="215E5F39"/>
    <w:rsid w:val="2172200F"/>
    <w:rsid w:val="217A2512"/>
    <w:rsid w:val="218B5D70"/>
    <w:rsid w:val="218E706D"/>
    <w:rsid w:val="21946FAC"/>
    <w:rsid w:val="21AB685E"/>
    <w:rsid w:val="21BD140E"/>
    <w:rsid w:val="21C554DA"/>
    <w:rsid w:val="21CA0299"/>
    <w:rsid w:val="21D50405"/>
    <w:rsid w:val="21D62E26"/>
    <w:rsid w:val="21DC3C47"/>
    <w:rsid w:val="21FE77C8"/>
    <w:rsid w:val="220B31DB"/>
    <w:rsid w:val="221978DB"/>
    <w:rsid w:val="22313E1D"/>
    <w:rsid w:val="22366690"/>
    <w:rsid w:val="2240670E"/>
    <w:rsid w:val="225450B2"/>
    <w:rsid w:val="225C011E"/>
    <w:rsid w:val="22761FFE"/>
    <w:rsid w:val="22780EDC"/>
    <w:rsid w:val="229B229A"/>
    <w:rsid w:val="22B81432"/>
    <w:rsid w:val="22C914F5"/>
    <w:rsid w:val="22E42414"/>
    <w:rsid w:val="22EB58EA"/>
    <w:rsid w:val="22F60FBA"/>
    <w:rsid w:val="22F84022"/>
    <w:rsid w:val="23221FC8"/>
    <w:rsid w:val="232526DB"/>
    <w:rsid w:val="233678D8"/>
    <w:rsid w:val="233B5A2D"/>
    <w:rsid w:val="23407AD6"/>
    <w:rsid w:val="2343452F"/>
    <w:rsid w:val="23452FEB"/>
    <w:rsid w:val="23465E46"/>
    <w:rsid w:val="234879AD"/>
    <w:rsid w:val="234E7B58"/>
    <w:rsid w:val="235407DD"/>
    <w:rsid w:val="23624275"/>
    <w:rsid w:val="2368589E"/>
    <w:rsid w:val="237A2F3D"/>
    <w:rsid w:val="23932D28"/>
    <w:rsid w:val="23C166F5"/>
    <w:rsid w:val="23D24643"/>
    <w:rsid w:val="23D510C2"/>
    <w:rsid w:val="24030090"/>
    <w:rsid w:val="242957FB"/>
    <w:rsid w:val="242C19C1"/>
    <w:rsid w:val="242E5C60"/>
    <w:rsid w:val="24315A90"/>
    <w:rsid w:val="243B5E41"/>
    <w:rsid w:val="2441078A"/>
    <w:rsid w:val="24467834"/>
    <w:rsid w:val="24580723"/>
    <w:rsid w:val="24591836"/>
    <w:rsid w:val="24614A76"/>
    <w:rsid w:val="246D74A8"/>
    <w:rsid w:val="24810E42"/>
    <w:rsid w:val="24866B6A"/>
    <w:rsid w:val="24975C9E"/>
    <w:rsid w:val="24996B92"/>
    <w:rsid w:val="249E2CA0"/>
    <w:rsid w:val="24A2111C"/>
    <w:rsid w:val="24A2688B"/>
    <w:rsid w:val="24B335BC"/>
    <w:rsid w:val="24B83E54"/>
    <w:rsid w:val="24D176B8"/>
    <w:rsid w:val="24D17B47"/>
    <w:rsid w:val="24D20D2B"/>
    <w:rsid w:val="24F626DF"/>
    <w:rsid w:val="24FD3FF8"/>
    <w:rsid w:val="251B67E8"/>
    <w:rsid w:val="251C0ED7"/>
    <w:rsid w:val="2546405F"/>
    <w:rsid w:val="255F5E07"/>
    <w:rsid w:val="256E2074"/>
    <w:rsid w:val="25873166"/>
    <w:rsid w:val="25A3369F"/>
    <w:rsid w:val="25AB7C58"/>
    <w:rsid w:val="25AF59D2"/>
    <w:rsid w:val="25C175AE"/>
    <w:rsid w:val="25C304B4"/>
    <w:rsid w:val="25C307CD"/>
    <w:rsid w:val="25C64226"/>
    <w:rsid w:val="25D43324"/>
    <w:rsid w:val="25DB6356"/>
    <w:rsid w:val="25EB4F45"/>
    <w:rsid w:val="260239D9"/>
    <w:rsid w:val="26041B03"/>
    <w:rsid w:val="26052AE1"/>
    <w:rsid w:val="262026BE"/>
    <w:rsid w:val="26293FFE"/>
    <w:rsid w:val="26300137"/>
    <w:rsid w:val="26305B4A"/>
    <w:rsid w:val="263E7FA4"/>
    <w:rsid w:val="264F36E6"/>
    <w:rsid w:val="26745CE7"/>
    <w:rsid w:val="26846839"/>
    <w:rsid w:val="26A26BA6"/>
    <w:rsid w:val="26A7770A"/>
    <w:rsid w:val="26B224AD"/>
    <w:rsid w:val="26BB1F37"/>
    <w:rsid w:val="26F706FA"/>
    <w:rsid w:val="26FC6EB6"/>
    <w:rsid w:val="2710523C"/>
    <w:rsid w:val="271F1575"/>
    <w:rsid w:val="27243460"/>
    <w:rsid w:val="272F5CFE"/>
    <w:rsid w:val="27354ACB"/>
    <w:rsid w:val="275E7EA3"/>
    <w:rsid w:val="27667051"/>
    <w:rsid w:val="27890553"/>
    <w:rsid w:val="27932A0B"/>
    <w:rsid w:val="279A534A"/>
    <w:rsid w:val="27A72A3C"/>
    <w:rsid w:val="27A8071A"/>
    <w:rsid w:val="27AB3BBB"/>
    <w:rsid w:val="27B23802"/>
    <w:rsid w:val="27B7684F"/>
    <w:rsid w:val="27B824E1"/>
    <w:rsid w:val="27D02914"/>
    <w:rsid w:val="27D50E18"/>
    <w:rsid w:val="27EC416C"/>
    <w:rsid w:val="27FF6A4F"/>
    <w:rsid w:val="28000201"/>
    <w:rsid w:val="2806428D"/>
    <w:rsid w:val="28086732"/>
    <w:rsid w:val="280F43F8"/>
    <w:rsid w:val="281B6DFB"/>
    <w:rsid w:val="28232013"/>
    <w:rsid w:val="28310424"/>
    <w:rsid w:val="28345755"/>
    <w:rsid w:val="28360D50"/>
    <w:rsid w:val="283B2E0A"/>
    <w:rsid w:val="2841649F"/>
    <w:rsid w:val="28587717"/>
    <w:rsid w:val="286B2F3A"/>
    <w:rsid w:val="286C79F6"/>
    <w:rsid w:val="287577D2"/>
    <w:rsid w:val="28955BF8"/>
    <w:rsid w:val="28962ABE"/>
    <w:rsid w:val="289D4161"/>
    <w:rsid w:val="28AC2FF0"/>
    <w:rsid w:val="28B144AB"/>
    <w:rsid w:val="28BB24F3"/>
    <w:rsid w:val="28BC0562"/>
    <w:rsid w:val="28C0170D"/>
    <w:rsid w:val="28C46903"/>
    <w:rsid w:val="28C61AA0"/>
    <w:rsid w:val="28D95C23"/>
    <w:rsid w:val="28F91D5E"/>
    <w:rsid w:val="29013C50"/>
    <w:rsid w:val="29265AF3"/>
    <w:rsid w:val="292D3977"/>
    <w:rsid w:val="292F5926"/>
    <w:rsid w:val="29337ADD"/>
    <w:rsid w:val="29363B54"/>
    <w:rsid w:val="294544E1"/>
    <w:rsid w:val="29485EE3"/>
    <w:rsid w:val="295D2A0D"/>
    <w:rsid w:val="29682EAD"/>
    <w:rsid w:val="296B37FE"/>
    <w:rsid w:val="29742F43"/>
    <w:rsid w:val="298B171B"/>
    <w:rsid w:val="29974AB9"/>
    <w:rsid w:val="29B821A4"/>
    <w:rsid w:val="29C20001"/>
    <w:rsid w:val="29C21BB6"/>
    <w:rsid w:val="29C5558D"/>
    <w:rsid w:val="29DB7423"/>
    <w:rsid w:val="29DF6AB6"/>
    <w:rsid w:val="29E66885"/>
    <w:rsid w:val="29FF28F3"/>
    <w:rsid w:val="2A1738F0"/>
    <w:rsid w:val="2A182CBF"/>
    <w:rsid w:val="2A1C138C"/>
    <w:rsid w:val="2A203B32"/>
    <w:rsid w:val="2A2B7E43"/>
    <w:rsid w:val="2A5E36F7"/>
    <w:rsid w:val="2A7C5E0E"/>
    <w:rsid w:val="2A7F6E86"/>
    <w:rsid w:val="2A8936CB"/>
    <w:rsid w:val="2A916E63"/>
    <w:rsid w:val="2A966435"/>
    <w:rsid w:val="2A9C639D"/>
    <w:rsid w:val="2AA51CE5"/>
    <w:rsid w:val="2ACD5534"/>
    <w:rsid w:val="2AEB1B17"/>
    <w:rsid w:val="2AF9737E"/>
    <w:rsid w:val="2B000B26"/>
    <w:rsid w:val="2B1546BC"/>
    <w:rsid w:val="2B2C1460"/>
    <w:rsid w:val="2B67052B"/>
    <w:rsid w:val="2B7450EA"/>
    <w:rsid w:val="2B856DDE"/>
    <w:rsid w:val="2B8F2717"/>
    <w:rsid w:val="2B9343ED"/>
    <w:rsid w:val="2BA02A26"/>
    <w:rsid w:val="2BB16B38"/>
    <w:rsid w:val="2BD61242"/>
    <w:rsid w:val="2BD6206E"/>
    <w:rsid w:val="2BD96AC1"/>
    <w:rsid w:val="2BE343B0"/>
    <w:rsid w:val="2BE81FA6"/>
    <w:rsid w:val="2BEE4476"/>
    <w:rsid w:val="2BF07939"/>
    <w:rsid w:val="2BFB2586"/>
    <w:rsid w:val="2BFF44E2"/>
    <w:rsid w:val="2C1A2B1C"/>
    <w:rsid w:val="2C230793"/>
    <w:rsid w:val="2C247BE0"/>
    <w:rsid w:val="2C286B04"/>
    <w:rsid w:val="2C2A7038"/>
    <w:rsid w:val="2C381966"/>
    <w:rsid w:val="2C3F7BFB"/>
    <w:rsid w:val="2C5574FC"/>
    <w:rsid w:val="2C652E63"/>
    <w:rsid w:val="2C68554D"/>
    <w:rsid w:val="2C6F08A3"/>
    <w:rsid w:val="2C720665"/>
    <w:rsid w:val="2C7A32C7"/>
    <w:rsid w:val="2C89132F"/>
    <w:rsid w:val="2C963CF7"/>
    <w:rsid w:val="2CC2378F"/>
    <w:rsid w:val="2CC31523"/>
    <w:rsid w:val="2CD619DC"/>
    <w:rsid w:val="2CD6246C"/>
    <w:rsid w:val="2CDC3A44"/>
    <w:rsid w:val="2CE426E9"/>
    <w:rsid w:val="2CF128A6"/>
    <w:rsid w:val="2CF550EF"/>
    <w:rsid w:val="2CF74D82"/>
    <w:rsid w:val="2D0E4A50"/>
    <w:rsid w:val="2D274AC9"/>
    <w:rsid w:val="2D2D6B15"/>
    <w:rsid w:val="2D3375D6"/>
    <w:rsid w:val="2D3825BD"/>
    <w:rsid w:val="2D387214"/>
    <w:rsid w:val="2D3A4BC3"/>
    <w:rsid w:val="2D4D429A"/>
    <w:rsid w:val="2D527980"/>
    <w:rsid w:val="2D5359DD"/>
    <w:rsid w:val="2D553314"/>
    <w:rsid w:val="2D6C6708"/>
    <w:rsid w:val="2D6E2540"/>
    <w:rsid w:val="2D731260"/>
    <w:rsid w:val="2D835A04"/>
    <w:rsid w:val="2D835D39"/>
    <w:rsid w:val="2D8E07CC"/>
    <w:rsid w:val="2DA41C72"/>
    <w:rsid w:val="2DAE0945"/>
    <w:rsid w:val="2DB01E54"/>
    <w:rsid w:val="2DB24E94"/>
    <w:rsid w:val="2DD1437F"/>
    <w:rsid w:val="2DD421FF"/>
    <w:rsid w:val="2DD72A4E"/>
    <w:rsid w:val="2DDF5B55"/>
    <w:rsid w:val="2DE377AD"/>
    <w:rsid w:val="2DF76077"/>
    <w:rsid w:val="2E082B67"/>
    <w:rsid w:val="2E1143BA"/>
    <w:rsid w:val="2E2575E7"/>
    <w:rsid w:val="2E291C27"/>
    <w:rsid w:val="2E3C0174"/>
    <w:rsid w:val="2E782FA2"/>
    <w:rsid w:val="2E7D6E18"/>
    <w:rsid w:val="2E953974"/>
    <w:rsid w:val="2ECF0CC9"/>
    <w:rsid w:val="2EE60360"/>
    <w:rsid w:val="2F140C20"/>
    <w:rsid w:val="2F1F3D00"/>
    <w:rsid w:val="2F2A5380"/>
    <w:rsid w:val="2F2D4FF3"/>
    <w:rsid w:val="2F395E90"/>
    <w:rsid w:val="2F3D297D"/>
    <w:rsid w:val="2F460D1C"/>
    <w:rsid w:val="2F762E56"/>
    <w:rsid w:val="2F7D1879"/>
    <w:rsid w:val="2F8256D1"/>
    <w:rsid w:val="2FA01E86"/>
    <w:rsid w:val="2FAD1C57"/>
    <w:rsid w:val="2FBB3CF9"/>
    <w:rsid w:val="2FCB2483"/>
    <w:rsid w:val="2FD138FC"/>
    <w:rsid w:val="2FD638AC"/>
    <w:rsid w:val="2FE05FBE"/>
    <w:rsid w:val="2FE43FDD"/>
    <w:rsid w:val="2FEC137B"/>
    <w:rsid w:val="2FF90648"/>
    <w:rsid w:val="2FFF4A61"/>
    <w:rsid w:val="30040886"/>
    <w:rsid w:val="300513A1"/>
    <w:rsid w:val="300B0D6B"/>
    <w:rsid w:val="302763B8"/>
    <w:rsid w:val="30277AF2"/>
    <w:rsid w:val="30307871"/>
    <w:rsid w:val="303E7862"/>
    <w:rsid w:val="304A4A74"/>
    <w:rsid w:val="3065616E"/>
    <w:rsid w:val="306C0D24"/>
    <w:rsid w:val="30934FA3"/>
    <w:rsid w:val="30C742BB"/>
    <w:rsid w:val="30CE5F5B"/>
    <w:rsid w:val="30D305A9"/>
    <w:rsid w:val="30DD499B"/>
    <w:rsid w:val="30DE0B6C"/>
    <w:rsid w:val="30E023AB"/>
    <w:rsid w:val="30F37032"/>
    <w:rsid w:val="30F54707"/>
    <w:rsid w:val="31061FC9"/>
    <w:rsid w:val="311450E7"/>
    <w:rsid w:val="311A32FA"/>
    <w:rsid w:val="31210218"/>
    <w:rsid w:val="312104A0"/>
    <w:rsid w:val="31251CFE"/>
    <w:rsid w:val="313638D9"/>
    <w:rsid w:val="31595382"/>
    <w:rsid w:val="31624F0F"/>
    <w:rsid w:val="3179284B"/>
    <w:rsid w:val="317B29B7"/>
    <w:rsid w:val="31990777"/>
    <w:rsid w:val="31B42842"/>
    <w:rsid w:val="31C66CCC"/>
    <w:rsid w:val="31CC585F"/>
    <w:rsid w:val="31E91BBE"/>
    <w:rsid w:val="31ED0239"/>
    <w:rsid w:val="31F47D5A"/>
    <w:rsid w:val="32067218"/>
    <w:rsid w:val="320E69E9"/>
    <w:rsid w:val="32124296"/>
    <w:rsid w:val="322E16E2"/>
    <w:rsid w:val="324C0374"/>
    <w:rsid w:val="328420F5"/>
    <w:rsid w:val="328B7638"/>
    <w:rsid w:val="3295002D"/>
    <w:rsid w:val="32AB33CF"/>
    <w:rsid w:val="32B42824"/>
    <w:rsid w:val="32D1329C"/>
    <w:rsid w:val="331D6AD4"/>
    <w:rsid w:val="33282A71"/>
    <w:rsid w:val="332B43C1"/>
    <w:rsid w:val="33337F33"/>
    <w:rsid w:val="333F1D8B"/>
    <w:rsid w:val="33424FED"/>
    <w:rsid w:val="33492E2E"/>
    <w:rsid w:val="33520138"/>
    <w:rsid w:val="33752EC1"/>
    <w:rsid w:val="338031C3"/>
    <w:rsid w:val="33911B0A"/>
    <w:rsid w:val="339B0475"/>
    <w:rsid w:val="339B79A9"/>
    <w:rsid w:val="33A37FA3"/>
    <w:rsid w:val="33A71941"/>
    <w:rsid w:val="33AD188D"/>
    <w:rsid w:val="33B41CB1"/>
    <w:rsid w:val="33BB3F36"/>
    <w:rsid w:val="33C934A7"/>
    <w:rsid w:val="33CD64EB"/>
    <w:rsid w:val="33D64316"/>
    <w:rsid w:val="33D90673"/>
    <w:rsid w:val="33EE2079"/>
    <w:rsid w:val="34004AE8"/>
    <w:rsid w:val="34091779"/>
    <w:rsid w:val="34122F6A"/>
    <w:rsid w:val="341265CF"/>
    <w:rsid w:val="343859F7"/>
    <w:rsid w:val="343C290B"/>
    <w:rsid w:val="34416B38"/>
    <w:rsid w:val="34420300"/>
    <w:rsid w:val="34433D47"/>
    <w:rsid w:val="344C6453"/>
    <w:rsid w:val="34524488"/>
    <w:rsid w:val="345A078A"/>
    <w:rsid w:val="345E115C"/>
    <w:rsid w:val="34615E02"/>
    <w:rsid w:val="34641E37"/>
    <w:rsid w:val="34673727"/>
    <w:rsid w:val="346E5826"/>
    <w:rsid w:val="34726EBE"/>
    <w:rsid w:val="34767C37"/>
    <w:rsid w:val="34871F5D"/>
    <w:rsid w:val="349520FA"/>
    <w:rsid w:val="349D0729"/>
    <w:rsid w:val="349E1D71"/>
    <w:rsid w:val="349E5729"/>
    <w:rsid w:val="34A8087C"/>
    <w:rsid w:val="34B46726"/>
    <w:rsid w:val="34E14E55"/>
    <w:rsid w:val="34F93678"/>
    <w:rsid w:val="351E7177"/>
    <w:rsid w:val="352D06BF"/>
    <w:rsid w:val="353E7904"/>
    <w:rsid w:val="354906C9"/>
    <w:rsid w:val="35594D77"/>
    <w:rsid w:val="356956F9"/>
    <w:rsid w:val="357E44D0"/>
    <w:rsid w:val="359673B0"/>
    <w:rsid w:val="359B2417"/>
    <w:rsid w:val="359B39D9"/>
    <w:rsid w:val="35A126EE"/>
    <w:rsid w:val="35A23552"/>
    <w:rsid w:val="35A721BC"/>
    <w:rsid w:val="35AE22D4"/>
    <w:rsid w:val="35BA15D4"/>
    <w:rsid w:val="35DB3787"/>
    <w:rsid w:val="35DD572A"/>
    <w:rsid w:val="35FD708C"/>
    <w:rsid w:val="360063DF"/>
    <w:rsid w:val="36172F12"/>
    <w:rsid w:val="3636216A"/>
    <w:rsid w:val="364D57F4"/>
    <w:rsid w:val="36523428"/>
    <w:rsid w:val="366759D5"/>
    <w:rsid w:val="36773E7B"/>
    <w:rsid w:val="36894CA2"/>
    <w:rsid w:val="36AE6D50"/>
    <w:rsid w:val="36B72122"/>
    <w:rsid w:val="36D221CC"/>
    <w:rsid w:val="36D611EE"/>
    <w:rsid w:val="36D84055"/>
    <w:rsid w:val="36EA21BD"/>
    <w:rsid w:val="36EB5C9A"/>
    <w:rsid w:val="36EF7101"/>
    <w:rsid w:val="36F8450F"/>
    <w:rsid w:val="36FD05C8"/>
    <w:rsid w:val="371B2276"/>
    <w:rsid w:val="37243354"/>
    <w:rsid w:val="3725245F"/>
    <w:rsid w:val="37306DCD"/>
    <w:rsid w:val="37370073"/>
    <w:rsid w:val="373C022C"/>
    <w:rsid w:val="37453A07"/>
    <w:rsid w:val="37550BD5"/>
    <w:rsid w:val="376D5AE8"/>
    <w:rsid w:val="37717D56"/>
    <w:rsid w:val="37720AAC"/>
    <w:rsid w:val="377E5D1B"/>
    <w:rsid w:val="37937A11"/>
    <w:rsid w:val="37940457"/>
    <w:rsid w:val="379978CD"/>
    <w:rsid w:val="37A00097"/>
    <w:rsid w:val="37A11532"/>
    <w:rsid w:val="37C86F81"/>
    <w:rsid w:val="37C91D2F"/>
    <w:rsid w:val="37FC2378"/>
    <w:rsid w:val="380B0994"/>
    <w:rsid w:val="380E3C74"/>
    <w:rsid w:val="380E42B0"/>
    <w:rsid w:val="38261DB5"/>
    <w:rsid w:val="382B2413"/>
    <w:rsid w:val="38303EBD"/>
    <w:rsid w:val="383B2B6D"/>
    <w:rsid w:val="384E34A3"/>
    <w:rsid w:val="38517CB2"/>
    <w:rsid w:val="38697492"/>
    <w:rsid w:val="38703FD9"/>
    <w:rsid w:val="3873785F"/>
    <w:rsid w:val="38746667"/>
    <w:rsid w:val="387A5226"/>
    <w:rsid w:val="388115DF"/>
    <w:rsid w:val="388F4F9A"/>
    <w:rsid w:val="38A60BD1"/>
    <w:rsid w:val="38A94CC7"/>
    <w:rsid w:val="38B11A0F"/>
    <w:rsid w:val="38C32BC4"/>
    <w:rsid w:val="38C63A25"/>
    <w:rsid w:val="38D92D8B"/>
    <w:rsid w:val="38F23ADE"/>
    <w:rsid w:val="38F51AE2"/>
    <w:rsid w:val="390936FF"/>
    <w:rsid w:val="390941E9"/>
    <w:rsid w:val="390C2F8E"/>
    <w:rsid w:val="39284D56"/>
    <w:rsid w:val="392E2DB0"/>
    <w:rsid w:val="394057D1"/>
    <w:rsid w:val="394344EF"/>
    <w:rsid w:val="394A4CF5"/>
    <w:rsid w:val="39555513"/>
    <w:rsid w:val="395E43DF"/>
    <w:rsid w:val="396B5369"/>
    <w:rsid w:val="396F0FDE"/>
    <w:rsid w:val="397420BD"/>
    <w:rsid w:val="39762868"/>
    <w:rsid w:val="39806AA7"/>
    <w:rsid w:val="39972392"/>
    <w:rsid w:val="39976525"/>
    <w:rsid w:val="39A31E80"/>
    <w:rsid w:val="39A46139"/>
    <w:rsid w:val="39AF7F74"/>
    <w:rsid w:val="39B220F3"/>
    <w:rsid w:val="39B842F5"/>
    <w:rsid w:val="39C422B0"/>
    <w:rsid w:val="39CA79D0"/>
    <w:rsid w:val="39D41981"/>
    <w:rsid w:val="39E9512A"/>
    <w:rsid w:val="39FE6259"/>
    <w:rsid w:val="3A1056BB"/>
    <w:rsid w:val="3A120B52"/>
    <w:rsid w:val="3A381C1A"/>
    <w:rsid w:val="3A485792"/>
    <w:rsid w:val="3A6B241C"/>
    <w:rsid w:val="3A831D9E"/>
    <w:rsid w:val="3A9E2B7D"/>
    <w:rsid w:val="3AA128CC"/>
    <w:rsid w:val="3ACA044A"/>
    <w:rsid w:val="3AE42B04"/>
    <w:rsid w:val="3AFC7AC2"/>
    <w:rsid w:val="3B0D4798"/>
    <w:rsid w:val="3B1D541E"/>
    <w:rsid w:val="3B2A29CE"/>
    <w:rsid w:val="3B2D6176"/>
    <w:rsid w:val="3B31665B"/>
    <w:rsid w:val="3B3C4528"/>
    <w:rsid w:val="3B483753"/>
    <w:rsid w:val="3B485E93"/>
    <w:rsid w:val="3B4A34A9"/>
    <w:rsid w:val="3B5D0B71"/>
    <w:rsid w:val="3B751044"/>
    <w:rsid w:val="3B7C1803"/>
    <w:rsid w:val="3B7C1BC2"/>
    <w:rsid w:val="3B7E59CC"/>
    <w:rsid w:val="3B8A2526"/>
    <w:rsid w:val="3B8B2C2B"/>
    <w:rsid w:val="3B975C68"/>
    <w:rsid w:val="3BAD5852"/>
    <w:rsid w:val="3BC04CD1"/>
    <w:rsid w:val="3BCC0D1E"/>
    <w:rsid w:val="3BE36A67"/>
    <w:rsid w:val="3C20565F"/>
    <w:rsid w:val="3C246F04"/>
    <w:rsid w:val="3C333E8E"/>
    <w:rsid w:val="3C545742"/>
    <w:rsid w:val="3C557D6A"/>
    <w:rsid w:val="3C58291C"/>
    <w:rsid w:val="3C936F7D"/>
    <w:rsid w:val="3CA0641A"/>
    <w:rsid w:val="3CA63327"/>
    <w:rsid w:val="3CBD5E9D"/>
    <w:rsid w:val="3CC01BC6"/>
    <w:rsid w:val="3CC6796A"/>
    <w:rsid w:val="3CD028AA"/>
    <w:rsid w:val="3CE83C6A"/>
    <w:rsid w:val="3CED4B3C"/>
    <w:rsid w:val="3CEE438E"/>
    <w:rsid w:val="3CEF2D79"/>
    <w:rsid w:val="3CF11132"/>
    <w:rsid w:val="3CF41E98"/>
    <w:rsid w:val="3CF57F96"/>
    <w:rsid w:val="3D270F91"/>
    <w:rsid w:val="3D2C4092"/>
    <w:rsid w:val="3D3448D9"/>
    <w:rsid w:val="3D355BA9"/>
    <w:rsid w:val="3D4347BD"/>
    <w:rsid w:val="3D6A1694"/>
    <w:rsid w:val="3D864EDA"/>
    <w:rsid w:val="3DA62A96"/>
    <w:rsid w:val="3DAF2BA2"/>
    <w:rsid w:val="3DBA180E"/>
    <w:rsid w:val="3DC66563"/>
    <w:rsid w:val="3DCE510A"/>
    <w:rsid w:val="3DD73F9A"/>
    <w:rsid w:val="3DF312F2"/>
    <w:rsid w:val="3DF61187"/>
    <w:rsid w:val="3E001957"/>
    <w:rsid w:val="3E17695C"/>
    <w:rsid w:val="3E194ECB"/>
    <w:rsid w:val="3E295B09"/>
    <w:rsid w:val="3E321F83"/>
    <w:rsid w:val="3E464C98"/>
    <w:rsid w:val="3E5F3652"/>
    <w:rsid w:val="3E6E3C29"/>
    <w:rsid w:val="3E726EC0"/>
    <w:rsid w:val="3E7A605E"/>
    <w:rsid w:val="3E8030F8"/>
    <w:rsid w:val="3E872C28"/>
    <w:rsid w:val="3E8E57F8"/>
    <w:rsid w:val="3E8F7930"/>
    <w:rsid w:val="3E90225C"/>
    <w:rsid w:val="3E9250E5"/>
    <w:rsid w:val="3E9E2A71"/>
    <w:rsid w:val="3EA560C2"/>
    <w:rsid w:val="3EC82099"/>
    <w:rsid w:val="3EDF02CD"/>
    <w:rsid w:val="3EE63847"/>
    <w:rsid w:val="3EF8213B"/>
    <w:rsid w:val="3EF9223C"/>
    <w:rsid w:val="3EFE1423"/>
    <w:rsid w:val="3F1A76DA"/>
    <w:rsid w:val="3F2B5E43"/>
    <w:rsid w:val="3F3F07A3"/>
    <w:rsid w:val="3F4A4DFF"/>
    <w:rsid w:val="3F693A6D"/>
    <w:rsid w:val="3F6A1924"/>
    <w:rsid w:val="3F6F6438"/>
    <w:rsid w:val="3F7F0835"/>
    <w:rsid w:val="3F8F7B3E"/>
    <w:rsid w:val="3F9E47AC"/>
    <w:rsid w:val="3FA3301A"/>
    <w:rsid w:val="3FAB0FB2"/>
    <w:rsid w:val="3FC62C6D"/>
    <w:rsid w:val="3FC71DA6"/>
    <w:rsid w:val="3FDF04E4"/>
    <w:rsid w:val="3FE15D89"/>
    <w:rsid w:val="3FEB1BF0"/>
    <w:rsid w:val="3FF2419E"/>
    <w:rsid w:val="3FF26BB5"/>
    <w:rsid w:val="401047FA"/>
    <w:rsid w:val="40135FB2"/>
    <w:rsid w:val="40174E86"/>
    <w:rsid w:val="4034301E"/>
    <w:rsid w:val="40401AD9"/>
    <w:rsid w:val="4041752B"/>
    <w:rsid w:val="40570ECA"/>
    <w:rsid w:val="406370F2"/>
    <w:rsid w:val="406A46F1"/>
    <w:rsid w:val="406F752F"/>
    <w:rsid w:val="408F2DBD"/>
    <w:rsid w:val="409B77F7"/>
    <w:rsid w:val="40B814D2"/>
    <w:rsid w:val="40BD2ACD"/>
    <w:rsid w:val="40CD53CC"/>
    <w:rsid w:val="40D368EC"/>
    <w:rsid w:val="40E778C2"/>
    <w:rsid w:val="40EC2DB1"/>
    <w:rsid w:val="410F3DEB"/>
    <w:rsid w:val="411370B7"/>
    <w:rsid w:val="41273FE2"/>
    <w:rsid w:val="412D48C5"/>
    <w:rsid w:val="412E54F3"/>
    <w:rsid w:val="412F4A43"/>
    <w:rsid w:val="41303EB7"/>
    <w:rsid w:val="414D27D9"/>
    <w:rsid w:val="4152788F"/>
    <w:rsid w:val="41594DB8"/>
    <w:rsid w:val="41884B1E"/>
    <w:rsid w:val="419B1C9E"/>
    <w:rsid w:val="41AE1406"/>
    <w:rsid w:val="41CF73EE"/>
    <w:rsid w:val="41D542E0"/>
    <w:rsid w:val="41DA3F5C"/>
    <w:rsid w:val="41E70108"/>
    <w:rsid w:val="41E7527E"/>
    <w:rsid w:val="41E81277"/>
    <w:rsid w:val="41EB4547"/>
    <w:rsid w:val="42035B30"/>
    <w:rsid w:val="42067020"/>
    <w:rsid w:val="420D0D12"/>
    <w:rsid w:val="42187AA2"/>
    <w:rsid w:val="425B38D2"/>
    <w:rsid w:val="425D3A13"/>
    <w:rsid w:val="426E50EB"/>
    <w:rsid w:val="42AC49F7"/>
    <w:rsid w:val="42C40F95"/>
    <w:rsid w:val="42C94BB5"/>
    <w:rsid w:val="42CF1347"/>
    <w:rsid w:val="42D56BB0"/>
    <w:rsid w:val="42D749AC"/>
    <w:rsid w:val="42DC1D2F"/>
    <w:rsid w:val="42F218FC"/>
    <w:rsid w:val="43154C87"/>
    <w:rsid w:val="43266D0B"/>
    <w:rsid w:val="432901CE"/>
    <w:rsid w:val="43324307"/>
    <w:rsid w:val="43357816"/>
    <w:rsid w:val="434A0332"/>
    <w:rsid w:val="4351324E"/>
    <w:rsid w:val="43556D9A"/>
    <w:rsid w:val="435E2A71"/>
    <w:rsid w:val="4363434A"/>
    <w:rsid w:val="436A666B"/>
    <w:rsid w:val="43707B1A"/>
    <w:rsid w:val="437E461B"/>
    <w:rsid w:val="43892E3C"/>
    <w:rsid w:val="43A06CB8"/>
    <w:rsid w:val="43A875FE"/>
    <w:rsid w:val="43B4386E"/>
    <w:rsid w:val="43CE6B93"/>
    <w:rsid w:val="43E66D33"/>
    <w:rsid w:val="44067905"/>
    <w:rsid w:val="440E2CE7"/>
    <w:rsid w:val="441D41E1"/>
    <w:rsid w:val="44271EB8"/>
    <w:rsid w:val="44276414"/>
    <w:rsid w:val="443943AE"/>
    <w:rsid w:val="443C0821"/>
    <w:rsid w:val="443F2F94"/>
    <w:rsid w:val="44500060"/>
    <w:rsid w:val="445721C7"/>
    <w:rsid w:val="4470286F"/>
    <w:rsid w:val="44746D67"/>
    <w:rsid w:val="447620BD"/>
    <w:rsid w:val="448434D9"/>
    <w:rsid w:val="4491650B"/>
    <w:rsid w:val="449C4BB5"/>
    <w:rsid w:val="44AB3055"/>
    <w:rsid w:val="44AE2568"/>
    <w:rsid w:val="44C766DA"/>
    <w:rsid w:val="44D818C8"/>
    <w:rsid w:val="44E747E0"/>
    <w:rsid w:val="44EC4E72"/>
    <w:rsid w:val="44F638C4"/>
    <w:rsid w:val="45043259"/>
    <w:rsid w:val="450A759D"/>
    <w:rsid w:val="452A38DA"/>
    <w:rsid w:val="452C28F2"/>
    <w:rsid w:val="45361C5E"/>
    <w:rsid w:val="453A5E0F"/>
    <w:rsid w:val="454164EB"/>
    <w:rsid w:val="45486209"/>
    <w:rsid w:val="455F113F"/>
    <w:rsid w:val="456E21BF"/>
    <w:rsid w:val="457F517E"/>
    <w:rsid w:val="45811B8B"/>
    <w:rsid w:val="4584018C"/>
    <w:rsid w:val="458C6959"/>
    <w:rsid w:val="45960C38"/>
    <w:rsid w:val="459D0C20"/>
    <w:rsid w:val="45B303DF"/>
    <w:rsid w:val="45B33DF3"/>
    <w:rsid w:val="45B66AA7"/>
    <w:rsid w:val="45D44BA8"/>
    <w:rsid w:val="45D536DA"/>
    <w:rsid w:val="45D95FE5"/>
    <w:rsid w:val="45E745BD"/>
    <w:rsid w:val="45EC6A69"/>
    <w:rsid w:val="45FA7048"/>
    <w:rsid w:val="46001391"/>
    <w:rsid w:val="460A1468"/>
    <w:rsid w:val="460C3E5F"/>
    <w:rsid w:val="46140B19"/>
    <w:rsid w:val="462F3F4B"/>
    <w:rsid w:val="46334401"/>
    <w:rsid w:val="464B2791"/>
    <w:rsid w:val="468966C8"/>
    <w:rsid w:val="468E3036"/>
    <w:rsid w:val="469221D1"/>
    <w:rsid w:val="46941E42"/>
    <w:rsid w:val="46946234"/>
    <w:rsid w:val="469559DB"/>
    <w:rsid w:val="469F7EC4"/>
    <w:rsid w:val="46B27839"/>
    <w:rsid w:val="46B93028"/>
    <w:rsid w:val="46C43D67"/>
    <w:rsid w:val="46D60070"/>
    <w:rsid w:val="46E147D5"/>
    <w:rsid w:val="46FF4F29"/>
    <w:rsid w:val="46FF6323"/>
    <w:rsid w:val="470D5EEE"/>
    <w:rsid w:val="47170590"/>
    <w:rsid w:val="47234809"/>
    <w:rsid w:val="47317C79"/>
    <w:rsid w:val="473612F2"/>
    <w:rsid w:val="47386059"/>
    <w:rsid w:val="47386635"/>
    <w:rsid w:val="474B2F8B"/>
    <w:rsid w:val="47584DB3"/>
    <w:rsid w:val="47675E80"/>
    <w:rsid w:val="4772602C"/>
    <w:rsid w:val="47806BB6"/>
    <w:rsid w:val="4796680E"/>
    <w:rsid w:val="47A82237"/>
    <w:rsid w:val="47A842C3"/>
    <w:rsid w:val="47AC5D7E"/>
    <w:rsid w:val="47B43CBE"/>
    <w:rsid w:val="47C41E50"/>
    <w:rsid w:val="47CB7CB9"/>
    <w:rsid w:val="47D80EB1"/>
    <w:rsid w:val="47DB7DFA"/>
    <w:rsid w:val="47E735E9"/>
    <w:rsid w:val="47FC60BF"/>
    <w:rsid w:val="48117779"/>
    <w:rsid w:val="481D0645"/>
    <w:rsid w:val="4826706B"/>
    <w:rsid w:val="483A0930"/>
    <w:rsid w:val="4840005F"/>
    <w:rsid w:val="484B1A3A"/>
    <w:rsid w:val="485129AB"/>
    <w:rsid w:val="48540C51"/>
    <w:rsid w:val="48553256"/>
    <w:rsid w:val="485D0FDA"/>
    <w:rsid w:val="486130FE"/>
    <w:rsid w:val="48813C4B"/>
    <w:rsid w:val="48847671"/>
    <w:rsid w:val="48AD1C90"/>
    <w:rsid w:val="48D6001B"/>
    <w:rsid w:val="48E1519A"/>
    <w:rsid w:val="48E3068C"/>
    <w:rsid w:val="48F14EB5"/>
    <w:rsid w:val="48FD5679"/>
    <w:rsid w:val="491467FC"/>
    <w:rsid w:val="4920769E"/>
    <w:rsid w:val="49210783"/>
    <w:rsid w:val="49233B1C"/>
    <w:rsid w:val="49332A7A"/>
    <w:rsid w:val="496028F2"/>
    <w:rsid w:val="497271C5"/>
    <w:rsid w:val="498645B8"/>
    <w:rsid w:val="499146EC"/>
    <w:rsid w:val="49922BF2"/>
    <w:rsid w:val="49A02E0F"/>
    <w:rsid w:val="49A1768E"/>
    <w:rsid w:val="49A90122"/>
    <w:rsid w:val="49BA5F7B"/>
    <w:rsid w:val="49C53227"/>
    <w:rsid w:val="49CE0834"/>
    <w:rsid w:val="49D50502"/>
    <w:rsid w:val="49D76E11"/>
    <w:rsid w:val="49F02562"/>
    <w:rsid w:val="4A09040C"/>
    <w:rsid w:val="4A1A0B16"/>
    <w:rsid w:val="4A216FD1"/>
    <w:rsid w:val="4A4F4B7B"/>
    <w:rsid w:val="4A4F6CF7"/>
    <w:rsid w:val="4A523579"/>
    <w:rsid w:val="4A5F5002"/>
    <w:rsid w:val="4A7E1120"/>
    <w:rsid w:val="4A8A1238"/>
    <w:rsid w:val="4A943CA3"/>
    <w:rsid w:val="4AA21D5B"/>
    <w:rsid w:val="4AA66643"/>
    <w:rsid w:val="4AB17452"/>
    <w:rsid w:val="4AD70045"/>
    <w:rsid w:val="4AE85E21"/>
    <w:rsid w:val="4AEB40F3"/>
    <w:rsid w:val="4AF76DEF"/>
    <w:rsid w:val="4B001C38"/>
    <w:rsid w:val="4B0E61F2"/>
    <w:rsid w:val="4B1012E5"/>
    <w:rsid w:val="4B17659D"/>
    <w:rsid w:val="4B460D27"/>
    <w:rsid w:val="4B536E6B"/>
    <w:rsid w:val="4B88064F"/>
    <w:rsid w:val="4B93488B"/>
    <w:rsid w:val="4B995DC4"/>
    <w:rsid w:val="4BA0258E"/>
    <w:rsid w:val="4BB2316B"/>
    <w:rsid w:val="4BB65BCF"/>
    <w:rsid w:val="4BC320E8"/>
    <w:rsid w:val="4BD036D8"/>
    <w:rsid w:val="4BD43621"/>
    <w:rsid w:val="4BE26C5B"/>
    <w:rsid w:val="4BF45E87"/>
    <w:rsid w:val="4BF77C9F"/>
    <w:rsid w:val="4BFC7F1F"/>
    <w:rsid w:val="4C012D91"/>
    <w:rsid w:val="4C085D9D"/>
    <w:rsid w:val="4C0B0443"/>
    <w:rsid w:val="4C150A11"/>
    <w:rsid w:val="4C1C0832"/>
    <w:rsid w:val="4C226976"/>
    <w:rsid w:val="4C2F6DDB"/>
    <w:rsid w:val="4C316C36"/>
    <w:rsid w:val="4C38343E"/>
    <w:rsid w:val="4C435E74"/>
    <w:rsid w:val="4C5032AD"/>
    <w:rsid w:val="4C565A0A"/>
    <w:rsid w:val="4C596AD0"/>
    <w:rsid w:val="4C66297A"/>
    <w:rsid w:val="4C67634F"/>
    <w:rsid w:val="4C826841"/>
    <w:rsid w:val="4C844810"/>
    <w:rsid w:val="4C8D79A0"/>
    <w:rsid w:val="4C9240E8"/>
    <w:rsid w:val="4CA5376E"/>
    <w:rsid w:val="4CA842D0"/>
    <w:rsid w:val="4CB8649E"/>
    <w:rsid w:val="4CC4789C"/>
    <w:rsid w:val="4CD94142"/>
    <w:rsid w:val="4CEE7CBD"/>
    <w:rsid w:val="4D0938CE"/>
    <w:rsid w:val="4D1629D7"/>
    <w:rsid w:val="4D185CF0"/>
    <w:rsid w:val="4D23402C"/>
    <w:rsid w:val="4D332615"/>
    <w:rsid w:val="4D424D60"/>
    <w:rsid w:val="4D4D63FC"/>
    <w:rsid w:val="4D7351B8"/>
    <w:rsid w:val="4D853CCC"/>
    <w:rsid w:val="4DA36881"/>
    <w:rsid w:val="4DA83D11"/>
    <w:rsid w:val="4DAD3023"/>
    <w:rsid w:val="4DAF1A1F"/>
    <w:rsid w:val="4DB502C7"/>
    <w:rsid w:val="4DEF31E1"/>
    <w:rsid w:val="4DFE6021"/>
    <w:rsid w:val="4E1260AC"/>
    <w:rsid w:val="4E161C46"/>
    <w:rsid w:val="4E194B83"/>
    <w:rsid w:val="4E1B1CC2"/>
    <w:rsid w:val="4E291D0A"/>
    <w:rsid w:val="4E3340E7"/>
    <w:rsid w:val="4E4559D2"/>
    <w:rsid w:val="4E464537"/>
    <w:rsid w:val="4E644FC7"/>
    <w:rsid w:val="4E6C2299"/>
    <w:rsid w:val="4E727A8C"/>
    <w:rsid w:val="4E8D1622"/>
    <w:rsid w:val="4EAC411F"/>
    <w:rsid w:val="4EC100A0"/>
    <w:rsid w:val="4EC541E9"/>
    <w:rsid w:val="4ED77886"/>
    <w:rsid w:val="4EF52DAB"/>
    <w:rsid w:val="4EFD35A7"/>
    <w:rsid w:val="4F0170B5"/>
    <w:rsid w:val="4F076E5A"/>
    <w:rsid w:val="4F0F27B4"/>
    <w:rsid w:val="4F1C68CE"/>
    <w:rsid w:val="4F2A77DD"/>
    <w:rsid w:val="4F2D1CE9"/>
    <w:rsid w:val="4F3642A1"/>
    <w:rsid w:val="4F390741"/>
    <w:rsid w:val="4F535C65"/>
    <w:rsid w:val="4F5E2DE9"/>
    <w:rsid w:val="4F635510"/>
    <w:rsid w:val="4F7B613D"/>
    <w:rsid w:val="4FB05447"/>
    <w:rsid w:val="4FB716A3"/>
    <w:rsid w:val="4FCA6F53"/>
    <w:rsid w:val="4FCF5651"/>
    <w:rsid w:val="4FCF6FD8"/>
    <w:rsid w:val="4FD632E7"/>
    <w:rsid w:val="4FE01C53"/>
    <w:rsid w:val="4FF87E24"/>
    <w:rsid w:val="4FFA09BB"/>
    <w:rsid w:val="4FFA4039"/>
    <w:rsid w:val="50125E3D"/>
    <w:rsid w:val="501807E5"/>
    <w:rsid w:val="501B7C8B"/>
    <w:rsid w:val="501F58A2"/>
    <w:rsid w:val="5024559D"/>
    <w:rsid w:val="5033320F"/>
    <w:rsid w:val="50720663"/>
    <w:rsid w:val="50723EEF"/>
    <w:rsid w:val="50757499"/>
    <w:rsid w:val="507730CF"/>
    <w:rsid w:val="507A5B57"/>
    <w:rsid w:val="508F329C"/>
    <w:rsid w:val="509C5355"/>
    <w:rsid w:val="509C56EB"/>
    <w:rsid w:val="50A775DC"/>
    <w:rsid w:val="50AB3321"/>
    <w:rsid w:val="50B15DFA"/>
    <w:rsid w:val="50B212A6"/>
    <w:rsid w:val="50B21914"/>
    <w:rsid w:val="50C877A3"/>
    <w:rsid w:val="50E41E23"/>
    <w:rsid w:val="50F637D0"/>
    <w:rsid w:val="50FB7FFF"/>
    <w:rsid w:val="50FF0730"/>
    <w:rsid w:val="510F2A08"/>
    <w:rsid w:val="51102649"/>
    <w:rsid w:val="51152321"/>
    <w:rsid w:val="51274651"/>
    <w:rsid w:val="513079D4"/>
    <w:rsid w:val="51356BAC"/>
    <w:rsid w:val="51466253"/>
    <w:rsid w:val="51540328"/>
    <w:rsid w:val="5156103A"/>
    <w:rsid w:val="515A1873"/>
    <w:rsid w:val="516131F7"/>
    <w:rsid w:val="516B54E5"/>
    <w:rsid w:val="5179382C"/>
    <w:rsid w:val="517B6B15"/>
    <w:rsid w:val="517C6A9C"/>
    <w:rsid w:val="51A915F0"/>
    <w:rsid w:val="51AD3067"/>
    <w:rsid w:val="51C22F25"/>
    <w:rsid w:val="51D81902"/>
    <w:rsid w:val="51E9393F"/>
    <w:rsid w:val="51F62504"/>
    <w:rsid w:val="51FA7515"/>
    <w:rsid w:val="52032B86"/>
    <w:rsid w:val="52175127"/>
    <w:rsid w:val="52176DF9"/>
    <w:rsid w:val="523A7AC0"/>
    <w:rsid w:val="524160F2"/>
    <w:rsid w:val="524D59E3"/>
    <w:rsid w:val="52576BB5"/>
    <w:rsid w:val="52825CD2"/>
    <w:rsid w:val="5285064B"/>
    <w:rsid w:val="52871655"/>
    <w:rsid w:val="52894D63"/>
    <w:rsid w:val="528C6B95"/>
    <w:rsid w:val="52A026D1"/>
    <w:rsid w:val="52AC2850"/>
    <w:rsid w:val="52B60A7E"/>
    <w:rsid w:val="52D23FF8"/>
    <w:rsid w:val="52EB4B12"/>
    <w:rsid w:val="52F83115"/>
    <w:rsid w:val="52FB3CB3"/>
    <w:rsid w:val="52FF3CE3"/>
    <w:rsid w:val="5310168D"/>
    <w:rsid w:val="5334312B"/>
    <w:rsid w:val="534B3B64"/>
    <w:rsid w:val="53520377"/>
    <w:rsid w:val="535229C8"/>
    <w:rsid w:val="53561D3F"/>
    <w:rsid w:val="53624ED3"/>
    <w:rsid w:val="53671C9B"/>
    <w:rsid w:val="53691AF8"/>
    <w:rsid w:val="536D0EC6"/>
    <w:rsid w:val="538633E2"/>
    <w:rsid w:val="538A7D6F"/>
    <w:rsid w:val="538B2E1B"/>
    <w:rsid w:val="53911851"/>
    <w:rsid w:val="539207E2"/>
    <w:rsid w:val="53AA5EF0"/>
    <w:rsid w:val="53AF3650"/>
    <w:rsid w:val="53C26FB9"/>
    <w:rsid w:val="53C30726"/>
    <w:rsid w:val="53F5691F"/>
    <w:rsid w:val="540131B4"/>
    <w:rsid w:val="54076F3B"/>
    <w:rsid w:val="540955B9"/>
    <w:rsid w:val="540A403B"/>
    <w:rsid w:val="540D1932"/>
    <w:rsid w:val="542413B8"/>
    <w:rsid w:val="542B6261"/>
    <w:rsid w:val="54436D78"/>
    <w:rsid w:val="5449029B"/>
    <w:rsid w:val="545C6276"/>
    <w:rsid w:val="546D155F"/>
    <w:rsid w:val="54780702"/>
    <w:rsid w:val="548C6217"/>
    <w:rsid w:val="548F36E9"/>
    <w:rsid w:val="5495554B"/>
    <w:rsid w:val="54A52204"/>
    <w:rsid w:val="54A808F4"/>
    <w:rsid w:val="54AF5485"/>
    <w:rsid w:val="54B209A9"/>
    <w:rsid w:val="54BA2E88"/>
    <w:rsid w:val="54C10053"/>
    <w:rsid w:val="54C33E9C"/>
    <w:rsid w:val="54D35E3C"/>
    <w:rsid w:val="54DB39E3"/>
    <w:rsid w:val="54F7474B"/>
    <w:rsid w:val="550609FF"/>
    <w:rsid w:val="550D4E9A"/>
    <w:rsid w:val="55363303"/>
    <w:rsid w:val="55507827"/>
    <w:rsid w:val="556D0B9B"/>
    <w:rsid w:val="556E2EA2"/>
    <w:rsid w:val="556F6B09"/>
    <w:rsid w:val="55744B4C"/>
    <w:rsid w:val="558861C6"/>
    <w:rsid w:val="55900987"/>
    <w:rsid w:val="559A0CA6"/>
    <w:rsid w:val="55A41F7B"/>
    <w:rsid w:val="55B30C6C"/>
    <w:rsid w:val="55BB2AD2"/>
    <w:rsid w:val="55BD605A"/>
    <w:rsid w:val="55BF1296"/>
    <w:rsid w:val="55C004DB"/>
    <w:rsid w:val="55C45026"/>
    <w:rsid w:val="55C90095"/>
    <w:rsid w:val="55CA4F84"/>
    <w:rsid w:val="55D11B86"/>
    <w:rsid w:val="55E34DF9"/>
    <w:rsid w:val="55E830E8"/>
    <w:rsid w:val="55EB344B"/>
    <w:rsid w:val="55F73A74"/>
    <w:rsid w:val="55FF0267"/>
    <w:rsid w:val="560E021D"/>
    <w:rsid w:val="561044A4"/>
    <w:rsid w:val="56222D71"/>
    <w:rsid w:val="56290707"/>
    <w:rsid w:val="56353C8B"/>
    <w:rsid w:val="56373595"/>
    <w:rsid w:val="56401768"/>
    <w:rsid w:val="56617572"/>
    <w:rsid w:val="56786DEA"/>
    <w:rsid w:val="567C1327"/>
    <w:rsid w:val="567D6C14"/>
    <w:rsid w:val="56802F05"/>
    <w:rsid w:val="56802F8F"/>
    <w:rsid w:val="568B6676"/>
    <w:rsid w:val="56937B21"/>
    <w:rsid w:val="56990FE0"/>
    <w:rsid w:val="56A01389"/>
    <w:rsid w:val="56BA2FF1"/>
    <w:rsid w:val="56DC5010"/>
    <w:rsid w:val="56FC2967"/>
    <w:rsid w:val="56FD68E0"/>
    <w:rsid w:val="56FE6AC3"/>
    <w:rsid w:val="57114E1B"/>
    <w:rsid w:val="57120451"/>
    <w:rsid w:val="5718137B"/>
    <w:rsid w:val="5719417A"/>
    <w:rsid w:val="571A4679"/>
    <w:rsid w:val="57287A09"/>
    <w:rsid w:val="57390153"/>
    <w:rsid w:val="57561806"/>
    <w:rsid w:val="57697EE1"/>
    <w:rsid w:val="576B6B45"/>
    <w:rsid w:val="5778149D"/>
    <w:rsid w:val="578F19D2"/>
    <w:rsid w:val="579F1102"/>
    <w:rsid w:val="57B30C6D"/>
    <w:rsid w:val="57CB304A"/>
    <w:rsid w:val="57D008B0"/>
    <w:rsid w:val="57E11FA7"/>
    <w:rsid w:val="57E42FAA"/>
    <w:rsid w:val="57F16BA4"/>
    <w:rsid w:val="57F4390D"/>
    <w:rsid w:val="57F455FF"/>
    <w:rsid w:val="57F45CB8"/>
    <w:rsid w:val="5801240D"/>
    <w:rsid w:val="58087F34"/>
    <w:rsid w:val="5820370A"/>
    <w:rsid w:val="582541F1"/>
    <w:rsid w:val="582F1E3C"/>
    <w:rsid w:val="583571E0"/>
    <w:rsid w:val="583627A6"/>
    <w:rsid w:val="58390F0E"/>
    <w:rsid w:val="58400123"/>
    <w:rsid w:val="585C0895"/>
    <w:rsid w:val="585D0745"/>
    <w:rsid w:val="58644DBD"/>
    <w:rsid w:val="58716193"/>
    <w:rsid w:val="58723D65"/>
    <w:rsid w:val="58B60814"/>
    <w:rsid w:val="58C66447"/>
    <w:rsid w:val="58D04DBB"/>
    <w:rsid w:val="58DB3D1E"/>
    <w:rsid w:val="58E65065"/>
    <w:rsid w:val="58E75AA7"/>
    <w:rsid w:val="58F101EF"/>
    <w:rsid w:val="58F40702"/>
    <w:rsid w:val="59093D20"/>
    <w:rsid w:val="59155E17"/>
    <w:rsid w:val="59157471"/>
    <w:rsid w:val="59322AC8"/>
    <w:rsid w:val="59512E2D"/>
    <w:rsid w:val="59612C38"/>
    <w:rsid w:val="59764914"/>
    <w:rsid w:val="597C3CFB"/>
    <w:rsid w:val="59845273"/>
    <w:rsid w:val="598900F2"/>
    <w:rsid w:val="59940683"/>
    <w:rsid w:val="599A0C21"/>
    <w:rsid w:val="599B0260"/>
    <w:rsid w:val="599E0097"/>
    <w:rsid w:val="59A4471C"/>
    <w:rsid w:val="59AD0CC7"/>
    <w:rsid w:val="59B6662C"/>
    <w:rsid w:val="59BE48EC"/>
    <w:rsid w:val="59CD712F"/>
    <w:rsid w:val="59D96759"/>
    <w:rsid w:val="59E016E9"/>
    <w:rsid w:val="59E23CCE"/>
    <w:rsid w:val="59E83C4C"/>
    <w:rsid w:val="59EC78DE"/>
    <w:rsid w:val="59EF2932"/>
    <w:rsid w:val="59F44D84"/>
    <w:rsid w:val="5A035F33"/>
    <w:rsid w:val="5A180D76"/>
    <w:rsid w:val="5A2B36D0"/>
    <w:rsid w:val="5A2E09AD"/>
    <w:rsid w:val="5A35195E"/>
    <w:rsid w:val="5A3F032C"/>
    <w:rsid w:val="5A3F29EA"/>
    <w:rsid w:val="5A51193F"/>
    <w:rsid w:val="5A514253"/>
    <w:rsid w:val="5A5B1CE8"/>
    <w:rsid w:val="5A5B6ECF"/>
    <w:rsid w:val="5A635DC8"/>
    <w:rsid w:val="5A6E1778"/>
    <w:rsid w:val="5A7F18BE"/>
    <w:rsid w:val="5A815912"/>
    <w:rsid w:val="5A82030A"/>
    <w:rsid w:val="5AAB5E7A"/>
    <w:rsid w:val="5ABF4DFE"/>
    <w:rsid w:val="5ADF31F6"/>
    <w:rsid w:val="5AEF3B8B"/>
    <w:rsid w:val="5AF43A2B"/>
    <w:rsid w:val="5AFA0840"/>
    <w:rsid w:val="5AFD2BEC"/>
    <w:rsid w:val="5B05538E"/>
    <w:rsid w:val="5B085874"/>
    <w:rsid w:val="5B100F53"/>
    <w:rsid w:val="5B1C6E44"/>
    <w:rsid w:val="5B2939FC"/>
    <w:rsid w:val="5B325496"/>
    <w:rsid w:val="5B395243"/>
    <w:rsid w:val="5B436212"/>
    <w:rsid w:val="5B446A62"/>
    <w:rsid w:val="5B495952"/>
    <w:rsid w:val="5B4F3B90"/>
    <w:rsid w:val="5B5E49C3"/>
    <w:rsid w:val="5B60722C"/>
    <w:rsid w:val="5B6A6D26"/>
    <w:rsid w:val="5B6F048D"/>
    <w:rsid w:val="5B742164"/>
    <w:rsid w:val="5B767304"/>
    <w:rsid w:val="5B7F0D2D"/>
    <w:rsid w:val="5B8A0FC1"/>
    <w:rsid w:val="5B906452"/>
    <w:rsid w:val="5B956678"/>
    <w:rsid w:val="5B990BC9"/>
    <w:rsid w:val="5BA953A5"/>
    <w:rsid w:val="5BBF1D5A"/>
    <w:rsid w:val="5BC02804"/>
    <w:rsid w:val="5BC55CE4"/>
    <w:rsid w:val="5BCC1FAB"/>
    <w:rsid w:val="5BD024A7"/>
    <w:rsid w:val="5BD81899"/>
    <w:rsid w:val="5BE45401"/>
    <w:rsid w:val="5BE976FB"/>
    <w:rsid w:val="5BEB756E"/>
    <w:rsid w:val="5BF40FAF"/>
    <w:rsid w:val="5BF43E93"/>
    <w:rsid w:val="5BF523E4"/>
    <w:rsid w:val="5BF97A8A"/>
    <w:rsid w:val="5BFD2397"/>
    <w:rsid w:val="5C0E21A1"/>
    <w:rsid w:val="5C111CEA"/>
    <w:rsid w:val="5C176756"/>
    <w:rsid w:val="5C3B49CA"/>
    <w:rsid w:val="5C3F425E"/>
    <w:rsid w:val="5C6150E9"/>
    <w:rsid w:val="5C8859E5"/>
    <w:rsid w:val="5CBC1B8D"/>
    <w:rsid w:val="5CD82020"/>
    <w:rsid w:val="5CF238A5"/>
    <w:rsid w:val="5CF44CFF"/>
    <w:rsid w:val="5CFB5EAA"/>
    <w:rsid w:val="5CFB7D2E"/>
    <w:rsid w:val="5CFE60C6"/>
    <w:rsid w:val="5D013CB0"/>
    <w:rsid w:val="5D0872F8"/>
    <w:rsid w:val="5D1217E6"/>
    <w:rsid w:val="5D12467D"/>
    <w:rsid w:val="5D156C17"/>
    <w:rsid w:val="5D2470E9"/>
    <w:rsid w:val="5D357FC6"/>
    <w:rsid w:val="5D3C5929"/>
    <w:rsid w:val="5D554F4A"/>
    <w:rsid w:val="5D652BB1"/>
    <w:rsid w:val="5D7446BE"/>
    <w:rsid w:val="5D7520AE"/>
    <w:rsid w:val="5D7F581D"/>
    <w:rsid w:val="5D894CFA"/>
    <w:rsid w:val="5D9273F9"/>
    <w:rsid w:val="5D9A411F"/>
    <w:rsid w:val="5DAA2C02"/>
    <w:rsid w:val="5DC6379F"/>
    <w:rsid w:val="5DDD2180"/>
    <w:rsid w:val="5DE81BC8"/>
    <w:rsid w:val="5DFD1F7A"/>
    <w:rsid w:val="5E1760D3"/>
    <w:rsid w:val="5E366061"/>
    <w:rsid w:val="5E4F0557"/>
    <w:rsid w:val="5E5A2D03"/>
    <w:rsid w:val="5E5F334D"/>
    <w:rsid w:val="5E691B20"/>
    <w:rsid w:val="5E6C4341"/>
    <w:rsid w:val="5E791FD3"/>
    <w:rsid w:val="5E7F39F9"/>
    <w:rsid w:val="5E802B1C"/>
    <w:rsid w:val="5E8D6CAE"/>
    <w:rsid w:val="5EB14C2C"/>
    <w:rsid w:val="5EB5427A"/>
    <w:rsid w:val="5EC07ED9"/>
    <w:rsid w:val="5EC64FBB"/>
    <w:rsid w:val="5ECE2404"/>
    <w:rsid w:val="5EE00A01"/>
    <w:rsid w:val="5EE87F2C"/>
    <w:rsid w:val="5EEA047C"/>
    <w:rsid w:val="5EF5422B"/>
    <w:rsid w:val="5EFF4ABD"/>
    <w:rsid w:val="5F1E5DA4"/>
    <w:rsid w:val="5F3B14BE"/>
    <w:rsid w:val="5F73333E"/>
    <w:rsid w:val="5F762716"/>
    <w:rsid w:val="5F81114E"/>
    <w:rsid w:val="5F813567"/>
    <w:rsid w:val="5F880892"/>
    <w:rsid w:val="5F950838"/>
    <w:rsid w:val="5F9C28B8"/>
    <w:rsid w:val="5FA353FC"/>
    <w:rsid w:val="5FA726B3"/>
    <w:rsid w:val="5FAB3B83"/>
    <w:rsid w:val="5FB15182"/>
    <w:rsid w:val="5FBB437D"/>
    <w:rsid w:val="5FE74671"/>
    <w:rsid w:val="5FEA44E3"/>
    <w:rsid w:val="5FEF1B4F"/>
    <w:rsid w:val="5FF82095"/>
    <w:rsid w:val="60007602"/>
    <w:rsid w:val="60062C05"/>
    <w:rsid w:val="601067FB"/>
    <w:rsid w:val="602F645D"/>
    <w:rsid w:val="6031207D"/>
    <w:rsid w:val="60332960"/>
    <w:rsid w:val="603B0068"/>
    <w:rsid w:val="603C7C71"/>
    <w:rsid w:val="604246A1"/>
    <w:rsid w:val="6043231B"/>
    <w:rsid w:val="6046279E"/>
    <w:rsid w:val="60467201"/>
    <w:rsid w:val="60474EF1"/>
    <w:rsid w:val="60495361"/>
    <w:rsid w:val="604D6011"/>
    <w:rsid w:val="604F0623"/>
    <w:rsid w:val="605C4B73"/>
    <w:rsid w:val="6065645C"/>
    <w:rsid w:val="606B3C41"/>
    <w:rsid w:val="60774CDC"/>
    <w:rsid w:val="6080377A"/>
    <w:rsid w:val="608B378D"/>
    <w:rsid w:val="609A04E4"/>
    <w:rsid w:val="60A54A0A"/>
    <w:rsid w:val="60B66ECA"/>
    <w:rsid w:val="60C33AFD"/>
    <w:rsid w:val="60CC1ED2"/>
    <w:rsid w:val="60ED17D8"/>
    <w:rsid w:val="60FE574C"/>
    <w:rsid w:val="610D25D9"/>
    <w:rsid w:val="612C552B"/>
    <w:rsid w:val="612F0C60"/>
    <w:rsid w:val="613970EB"/>
    <w:rsid w:val="61404BB1"/>
    <w:rsid w:val="617C2C23"/>
    <w:rsid w:val="61882772"/>
    <w:rsid w:val="61A135DE"/>
    <w:rsid w:val="61BB2F9B"/>
    <w:rsid w:val="61C632E1"/>
    <w:rsid w:val="61C766A5"/>
    <w:rsid w:val="61CC6406"/>
    <w:rsid w:val="61E35841"/>
    <w:rsid w:val="61E4597F"/>
    <w:rsid w:val="61E5290C"/>
    <w:rsid w:val="61E83367"/>
    <w:rsid w:val="61F10159"/>
    <w:rsid w:val="61F71603"/>
    <w:rsid w:val="61F7618C"/>
    <w:rsid w:val="62070FF0"/>
    <w:rsid w:val="620D14E0"/>
    <w:rsid w:val="621903AA"/>
    <w:rsid w:val="621B5D6E"/>
    <w:rsid w:val="62211477"/>
    <w:rsid w:val="622613F6"/>
    <w:rsid w:val="622F72E9"/>
    <w:rsid w:val="62351230"/>
    <w:rsid w:val="625A5C80"/>
    <w:rsid w:val="62665FA0"/>
    <w:rsid w:val="62683332"/>
    <w:rsid w:val="626C0D32"/>
    <w:rsid w:val="62764951"/>
    <w:rsid w:val="627F09D5"/>
    <w:rsid w:val="62843E3F"/>
    <w:rsid w:val="628A1E48"/>
    <w:rsid w:val="628D6DC7"/>
    <w:rsid w:val="6291082A"/>
    <w:rsid w:val="62A14390"/>
    <w:rsid w:val="62B852E2"/>
    <w:rsid w:val="62B96EC9"/>
    <w:rsid w:val="62C4543C"/>
    <w:rsid w:val="62C716EC"/>
    <w:rsid w:val="62CF76B0"/>
    <w:rsid w:val="62D4747B"/>
    <w:rsid w:val="62D92BA1"/>
    <w:rsid w:val="62DD1F88"/>
    <w:rsid w:val="62DF6564"/>
    <w:rsid w:val="62F44AB3"/>
    <w:rsid w:val="62FB45FC"/>
    <w:rsid w:val="630514E6"/>
    <w:rsid w:val="630D132B"/>
    <w:rsid w:val="6315421A"/>
    <w:rsid w:val="631A699C"/>
    <w:rsid w:val="631C670E"/>
    <w:rsid w:val="632D79BD"/>
    <w:rsid w:val="633040F6"/>
    <w:rsid w:val="63380F4B"/>
    <w:rsid w:val="633E6C30"/>
    <w:rsid w:val="63412FE5"/>
    <w:rsid w:val="63414F5F"/>
    <w:rsid w:val="6343256F"/>
    <w:rsid w:val="63473EBF"/>
    <w:rsid w:val="634A2CF1"/>
    <w:rsid w:val="634E2C8F"/>
    <w:rsid w:val="63656B83"/>
    <w:rsid w:val="638F4593"/>
    <w:rsid w:val="63D514ED"/>
    <w:rsid w:val="63EB4D1E"/>
    <w:rsid w:val="641501F7"/>
    <w:rsid w:val="641A5925"/>
    <w:rsid w:val="642B2D76"/>
    <w:rsid w:val="642D3A80"/>
    <w:rsid w:val="64375A8A"/>
    <w:rsid w:val="64465608"/>
    <w:rsid w:val="645A6786"/>
    <w:rsid w:val="64660429"/>
    <w:rsid w:val="6475153D"/>
    <w:rsid w:val="647864BE"/>
    <w:rsid w:val="649724BF"/>
    <w:rsid w:val="64AC5249"/>
    <w:rsid w:val="64AE35E2"/>
    <w:rsid w:val="64C329DF"/>
    <w:rsid w:val="64D90683"/>
    <w:rsid w:val="64E95437"/>
    <w:rsid w:val="64EB6C33"/>
    <w:rsid w:val="64ED6DEB"/>
    <w:rsid w:val="64F7601B"/>
    <w:rsid w:val="64F77284"/>
    <w:rsid w:val="64FE4D04"/>
    <w:rsid w:val="6505755D"/>
    <w:rsid w:val="650811EB"/>
    <w:rsid w:val="650D7490"/>
    <w:rsid w:val="650E6F7F"/>
    <w:rsid w:val="651336EC"/>
    <w:rsid w:val="652C7203"/>
    <w:rsid w:val="652E0317"/>
    <w:rsid w:val="65385CDF"/>
    <w:rsid w:val="653E7A92"/>
    <w:rsid w:val="654C31EA"/>
    <w:rsid w:val="6550283F"/>
    <w:rsid w:val="6552631D"/>
    <w:rsid w:val="655306A8"/>
    <w:rsid w:val="65544BDF"/>
    <w:rsid w:val="6567306B"/>
    <w:rsid w:val="65681691"/>
    <w:rsid w:val="656E79B0"/>
    <w:rsid w:val="657A23A1"/>
    <w:rsid w:val="658D425B"/>
    <w:rsid w:val="659E7863"/>
    <w:rsid w:val="65AA01B0"/>
    <w:rsid w:val="65AC66E3"/>
    <w:rsid w:val="65D72C8E"/>
    <w:rsid w:val="66134544"/>
    <w:rsid w:val="66156E52"/>
    <w:rsid w:val="6619117C"/>
    <w:rsid w:val="661F673C"/>
    <w:rsid w:val="663D15FE"/>
    <w:rsid w:val="665B4A5F"/>
    <w:rsid w:val="66623D90"/>
    <w:rsid w:val="66763229"/>
    <w:rsid w:val="667E1DBF"/>
    <w:rsid w:val="66911D05"/>
    <w:rsid w:val="66916902"/>
    <w:rsid w:val="66982117"/>
    <w:rsid w:val="66A0022E"/>
    <w:rsid w:val="66A337F4"/>
    <w:rsid w:val="66C10B73"/>
    <w:rsid w:val="66C71AE4"/>
    <w:rsid w:val="66CE3109"/>
    <w:rsid w:val="66EA45FA"/>
    <w:rsid w:val="66EC6D9C"/>
    <w:rsid w:val="66FC36BD"/>
    <w:rsid w:val="66FD5911"/>
    <w:rsid w:val="67002889"/>
    <w:rsid w:val="67046310"/>
    <w:rsid w:val="67383F87"/>
    <w:rsid w:val="673D14F8"/>
    <w:rsid w:val="674044B0"/>
    <w:rsid w:val="67491822"/>
    <w:rsid w:val="674B5238"/>
    <w:rsid w:val="676416E8"/>
    <w:rsid w:val="67675928"/>
    <w:rsid w:val="676A67D8"/>
    <w:rsid w:val="677515A1"/>
    <w:rsid w:val="6776469B"/>
    <w:rsid w:val="67844AAC"/>
    <w:rsid w:val="67956BF5"/>
    <w:rsid w:val="67A23FF6"/>
    <w:rsid w:val="67BD34F9"/>
    <w:rsid w:val="67CA603A"/>
    <w:rsid w:val="67D10DFC"/>
    <w:rsid w:val="67DC14ED"/>
    <w:rsid w:val="67E56176"/>
    <w:rsid w:val="67E72EAB"/>
    <w:rsid w:val="67EE5F39"/>
    <w:rsid w:val="67F33F59"/>
    <w:rsid w:val="67F97CAE"/>
    <w:rsid w:val="680F1873"/>
    <w:rsid w:val="68111B0F"/>
    <w:rsid w:val="68115C45"/>
    <w:rsid w:val="682E7404"/>
    <w:rsid w:val="68352BB8"/>
    <w:rsid w:val="683A660B"/>
    <w:rsid w:val="6842357F"/>
    <w:rsid w:val="6844164D"/>
    <w:rsid w:val="68445940"/>
    <w:rsid w:val="68481724"/>
    <w:rsid w:val="684D3DAF"/>
    <w:rsid w:val="684F6565"/>
    <w:rsid w:val="68506BBC"/>
    <w:rsid w:val="685A1421"/>
    <w:rsid w:val="68713B28"/>
    <w:rsid w:val="6873156D"/>
    <w:rsid w:val="68777FBA"/>
    <w:rsid w:val="68791FED"/>
    <w:rsid w:val="68830E6B"/>
    <w:rsid w:val="68961B5E"/>
    <w:rsid w:val="68962E90"/>
    <w:rsid w:val="68970097"/>
    <w:rsid w:val="68A85850"/>
    <w:rsid w:val="68B158F3"/>
    <w:rsid w:val="68B40AA2"/>
    <w:rsid w:val="68B97018"/>
    <w:rsid w:val="68C859BB"/>
    <w:rsid w:val="68CF6068"/>
    <w:rsid w:val="68D14E37"/>
    <w:rsid w:val="68FB5BB0"/>
    <w:rsid w:val="69033EE2"/>
    <w:rsid w:val="6913230D"/>
    <w:rsid w:val="691468AD"/>
    <w:rsid w:val="692742E3"/>
    <w:rsid w:val="692A55BA"/>
    <w:rsid w:val="692A7B6B"/>
    <w:rsid w:val="693D7F76"/>
    <w:rsid w:val="69466ADA"/>
    <w:rsid w:val="694F7E31"/>
    <w:rsid w:val="695709BC"/>
    <w:rsid w:val="695F78C1"/>
    <w:rsid w:val="69656BCB"/>
    <w:rsid w:val="69771EA1"/>
    <w:rsid w:val="6977705E"/>
    <w:rsid w:val="697B2163"/>
    <w:rsid w:val="69840414"/>
    <w:rsid w:val="69A71894"/>
    <w:rsid w:val="69B04D25"/>
    <w:rsid w:val="69B178B9"/>
    <w:rsid w:val="69B61E8B"/>
    <w:rsid w:val="69D02825"/>
    <w:rsid w:val="69D471A4"/>
    <w:rsid w:val="69F05A5E"/>
    <w:rsid w:val="69F327C9"/>
    <w:rsid w:val="6A02263F"/>
    <w:rsid w:val="6A130D9F"/>
    <w:rsid w:val="6A3015CC"/>
    <w:rsid w:val="6A322B62"/>
    <w:rsid w:val="6A41741D"/>
    <w:rsid w:val="6A482D18"/>
    <w:rsid w:val="6A542BEC"/>
    <w:rsid w:val="6A5E6D62"/>
    <w:rsid w:val="6A675BC1"/>
    <w:rsid w:val="6A696BA3"/>
    <w:rsid w:val="6A734568"/>
    <w:rsid w:val="6A7F0011"/>
    <w:rsid w:val="6A8B3041"/>
    <w:rsid w:val="6A966A3A"/>
    <w:rsid w:val="6AA0293B"/>
    <w:rsid w:val="6AA67DA1"/>
    <w:rsid w:val="6AA858C3"/>
    <w:rsid w:val="6AB16FD2"/>
    <w:rsid w:val="6AB9362D"/>
    <w:rsid w:val="6ADD630C"/>
    <w:rsid w:val="6AE516DD"/>
    <w:rsid w:val="6AE67B12"/>
    <w:rsid w:val="6AE8196C"/>
    <w:rsid w:val="6AEE465D"/>
    <w:rsid w:val="6AF537AB"/>
    <w:rsid w:val="6AFF538D"/>
    <w:rsid w:val="6B193075"/>
    <w:rsid w:val="6B2519AD"/>
    <w:rsid w:val="6B427D72"/>
    <w:rsid w:val="6B6537B4"/>
    <w:rsid w:val="6B7B2524"/>
    <w:rsid w:val="6B7D7900"/>
    <w:rsid w:val="6B915FD8"/>
    <w:rsid w:val="6BB84CF1"/>
    <w:rsid w:val="6BB97D61"/>
    <w:rsid w:val="6BC33FB9"/>
    <w:rsid w:val="6BCB4737"/>
    <w:rsid w:val="6BDA18EA"/>
    <w:rsid w:val="6BDC311E"/>
    <w:rsid w:val="6BE11C51"/>
    <w:rsid w:val="6BEA0D3C"/>
    <w:rsid w:val="6BF81B75"/>
    <w:rsid w:val="6BF85D14"/>
    <w:rsid w:val="6C015ED7"/>
    <w:rsid w:val="6C0F7FD7"/>
    <w:rsid w:val="6C2476C6"/>
    <w:rsid w:val="6C2D7208"/>
    <w:rsid w:val="6C3A3B68"/>
    <w:rsid w:val="6C4B56DE"/>
    <w:rsid w:val="6C501E0C"/>
    <w:rsid w:val="6C5E1171"/>
    <w:rsid w:val="6C8B3E96"/>
    <w:rsid w:val="6C8C57E1"/>
    <w:rsid w:val="6C967F53"/>
    <w:rsid w:val="6C9E126D"/>
    <w:rsid w:val="6CA27E38"/>
    <w:rsid w:val="6CA400AD"/>
    <w:rsid w:val="6CAB55FC"/>
    <w:rsid w:val="6CB40BF1"/>
    <w:rsid w:val="6CB866BD"/>
    <w:rsid w:val="6CD1755F"/>
    <w:rsid w:val="6CD309ED"/>
    <w:rsid w:val="6CD67732"/>
    <w:rsid w:val="6CEE5F30"/>
    <w:rsid w:val="6D001D88"/>
    <w:rsid w:val="6D0E6B23"/>
    <w:rsid w:val="6D30506C"/>
    <w:rsid w:val="6D3B4DF8"/>
    <w:rsid w:val="6D525775"/>
    <w:rsid w:val="6D616358"/>
    <w:rsid w:val="6D766033"/>
    <w:rsid w:val="6D786F18"/>
    <w:rsid w:val="6D7A795F"/>
    <w:rsid w:val="6D987928"/>
    <w:rsid w:val="6DA2088E"/>
    <w:rsid w:val="6DBC0AC0"/>
    <w:rsid w:val="6DDB0A42"/>
    <w:rsid w:val="6DDF7D57"/>
    <w:rsid w:val="6E011473"/>
    <w:rsid w:val="6E09322F"/>
    <w:rsid w:val="6E0A2BFA"/>
    <w:rsid w:val="6E393DE4"/>
    <w:rsid w:val="6E394335"/>
    <w:rsid w:val="6E3A08D2"/>
    <w:rsid w:val="6E3D6A14"/>
    <w:rsid w:val="6E4D5CD6"/>
    <w:rsid w:val="6E554B13"/>
    <w:rsid w:val="6E556A51"/>
    <w:rsid w:val="6E565893"/>
    <w:rsid w:val="6E671CC6"/>
    <w:rsid w:val="6E9014D2"/>
    <w:rsid w:val="6E921D81"/>
    <w:rsid w:val="6E9F23A4"/>
    <w:rsid w:val="6EA122FB"/>
    <w:rsid w:val="6EA74203"/>
    <w:rsid w:val="6EBE6107"/>
    <w:rsid w:val="6EC369AC"/>
    <w:rsid w:val="6ECC76A7"/>
    <w:rsid w:val="6ED2525C"/>
    <w:rsid w:val="6ED64310"/>
    <w:rsid w:val="6EE921F2"/>
    <w:rsid w:val="6EFD371E"/>
    <w:rsid w:val="6F0B3DA0"/>
    <w:rsid w:val="6F0C1BB5"/>
    <w:rsid w:val="6F21101D"/>
    <w:rsid w:val="6F324441"/>
    <w:rsid w:val="6F324CA9"/>
    <w:rsid w:val="6F51798E"/>
    <w:rsid w:val="6F623FAD"/>
    <w:rsid w:val="6F6B6EC0"/>
    <w:rsid w:val="6F841F2F"/>
    <w:rsid w:val="6F9456EF"/>
    <w:rsid w:val="6F9A2847"/>
    <w:rsid w:val="6F9E3208"/>
    <w:rsid w:val="6FB056AF"/>
    <w:rsid w:val="6FCC6FC4"/>
    <w:rsid w:val="6FCF7F5C"/>
    <w:rsid w:val="6FD40189"/>
    <w:rsid w:val="6FDC7A1D"/>
    <w:rsid w:val="6FE46C3D"/>
    <w:rsid w:val="6FE62187"/>
    <w:rsid w:val="6FF67DDB"/>
    <w:rsid w:val="6FFC22A1"/>
    <w:rsid w:val="700233CF"/>
    <w:rsid w:val="700C661A"/>
    <w:rsid w:val="70140608"/>
    <w:rsid w:val="701A7F9A"/>
    <w:rsid w:val="70277CF6"/>
    <w:rsid w:val="702A3D79"/>
    <w:rsid w:val="70372A3F"/>
    <w:rsid w:val="70696A0C"/>
    <w:rsid w:val="70726194"/>
    <w:rsid w:val="709A22EE"/>
    <w:rsid w:val="709D2A68"/>
    <w:rsid w:val="709F4A31"/>
    <w:rsid w:val="70B15A49"/>
    <w:rsid w:val="70CF5B1C"/>
    <w:rsid w:val="70D24D17"/>
    <w:rsid w:val="70D55C8B"/>
    <w:rsid w:val="70E678B6"/>
    <w:rsid w:val="70ED2BA7"/>
    <w:rsid w:val="70F00238"/>
    <w:rsid w:val="710B36C4"/>
    <w:rsid w:val="710F4E1A"/>
    <w:rsid w:val="712C5EEB"/>
    <w:rsid w:val="715E0873"/>
    <w:rsid w:val="71630937"/>
    <w:rsid w:val="718C6B5C"/>
    <w:rsid w:val="718E7510"/>
    <w:rsid w:val="719B73F7"/>
    <w:rsid w:val="71D6615E"/>
    <w:rsid w:val="71E870AE"/>
    <w:rsid w:val="71EA6A11"/>
    <w:rsid w:val="71ED4BF6"/>
    <w:rsid w:val="71F35DB6"/>
    <w:rsid w:val="71FC2024"/>
    <w:rsid w:val="721128B4"/>
    <w:rsid w:val="721647A1"/>
    <w:rsid w:val="7225031D"/>
    <w:rsid w:val="7227794D"/>
    <w:rsid w:val="722855E6"/>
    <w:rsid w:val="722B6CE7"/>
    <w:rsid w:val="722B7824"/>
    <w:rsid w:val="722E7BE2"/>
    <w:rsid w:val="72440D5F"/>
    <w:rsid w:val="72493F11"/>
    <w:rsid w:val="724A539C"/>
    <w:rsid w:val="724F72C2"/>
    <w:rsid w:val="72521445"/>
    <w:rsid w:val="72706CB0"/>
    <w:rsid w:val="72B20BEA"/>
    <w:rsid w:val="72C2773E"/>
    <w:rsid w:val="72D4147D"/>
    <w:rsid w:val="72E5521F"/>
    <w:rsid w:val="72F90EAF"/>
    <w:rsid w:val="72FB736C"/>
    <w:rsid w:val="73060BC5"/>
    <w:rsid w:val="73072914"/>
    <w:rsid w:val="73073605"/>
    <w:rsid w:val="73107555"/>
    <w:rsid w:val="73267C31"/>
    <w:rsid w:val="73313D56"/>
    <w:rsid w:val="73355D32"/>
    <w:rsid w:val="733E28E9"/>
    <w:rsid w:val="73493241"/>
    <w:rsid w:val="734B7734"/>
    <w:rsid w:val="73574D9C"/>
    <w:rsid w:val="7361461F"/>
    <w:rsid w:val="73616461"/>
    <w:rsid w:val="736B748E"/>
    <w:rsid w:val="736E2ADE"/>
    <w:rsid w:val="736E727A"/>
    <w:rsid w:val="737230F7"/>
    <w:rsid w:val="738C2990"/>
    <w:rsid w:val="738F5EF3"/>
    <w:rsid w:val="739D5E41"/>
    <w:rsid w:val="73AC2E89"/>
    <w:rsid w:val="73BC43BC"/>
    <w:rsid w:val="73BE274A"/>
    <w:rsid w:val="73D857E2"/>
    <w:rsid w:val="73DD49A4"/>
    <w:rsid w:val="73DF450F"/>
    <w:rsid w:val="73E20E9A"/>
    <w:rsid w:val="73E82D35"/>
    <w:rsid w:val="73F22261"/>
    <w:rsid w:val="74035F8D"/>
    <w:rsid w:val="740D7178"/>
    <w:rsid w:val="740F6E5C"/>
    <w:rsid w:val="742A03F4"/>
    <w:rsid w:val="744F348F"/>
    <w:rsid w:val="746073AD"/>
    <w:rsid w:val="74773604"/>
    <w:rsid w:val="74891D81"/>
    <w:rsid w:val="74991960"/>
    <w:rsid w:val="74A3711F"/>
    <w:rsid w:val="74B50818"/>
    <w:rsid w:val="74C04B3D"/>
    <w:rsid w:val="74D21AE3"/>
    <w:rsid w:val="74FB047A"/>
    <w:rsid w:val="75005DD6"/>
    <w:rsid w:val="750B42BF"/>
    <w:rsid w:val="751B1B2A"/>
    <w:rsid w:val="75240CAC"/>
    <w:rsid w:val="75321CAB"/>
    <w:rsid w:val="75427AEF"/>
    <w:rsid w:val="755768E7"/>
    <w:rsid w:val="756C2D18"/>
    <w:rsid w:val="757670C1"/>
    <w:rsid w:val="757C2B66"/>
    <w:rsid w:val="758F7900"/>
    <w:rsid w:val="759C56A8"/>
    <w:rsid w:val="759F4213"/>
    <w:rsid w:val="75BF4268"/>
    <w:rsid w:val="75C04D16"/>
    <w:rsid w:val="75C660AC"/>
    <w:rsid w:val="75CF09D8"/>
    <w:rsid w:val="75D33467"/>
    <w:rsid w:val="75D81513"/>
    <w:rsid w:val="75D84E20"/>
    <w:rsid w:val="75E64D79"/>
    <w:rsid w:val="75E66105"/>
    <w:rsid w:val="75EA4FE2"/>
    <w:rsid w:val="75F60623"/>
    <w:rsid w:val="75FD6180"/>
    <w:rsid w:val="75FE7097"/>
    <w:rsid w:val="760264E5"/>
    <w:rsid w:val="762E1882"/>
    <w:rsid w:val="763514A7"/>
    <w:rsid w:val="76403B59"/>
    <w:rsid w:val="76441786"/>
    <w:rsid w:val="764C2C22"/>
    <w:rsid w:val="76542DA3"/>
    <w:rsid w:val="76564B7F"/>
    <w:rsid w:val="76633CCF"/>
    <w:rsid w:val="766A54E2"/>
    <w:rsid w:val="76744A20"/>
    <w:rsid w:val="76804485"/>
    <w:rsid w:val="768F1385"/>
    <w:rsid w:val="769F5BA4"/>
    <w:rsid w:val="76B32B8F"/>
    <w:rsid w:val="76B348A0"/>
    <w:rsid w:val="76C55568"/>
    <w:rsid w:val="76CE41ED"/>
    <w:rsid w:val="76D307E7"/>
    <w:rsid w:val="76DC65D6"/>
    <w:rsid w:val="76FA522B"/>
    <w:rsid w:val="77046FB9"/>
    <w:rsid w:val="77126311"/>
    <w:rsid w:val="77154C9B"/>
    <w:rsid w:val="771B77EF"/>
    <w:rsid w:val="772D379C"/>
    <w:rsid w:val="77514FC1"/>
    <w:rsid w:val="776B062D"/>
    <w:rsid w:val="778D039E"/>
    <w:rsid w:val="77946031"/>
    <w:rsid w:val="779E10A6"/>
    <w:rsid w:val="77A57EFA"/>
    <w:rsid w:val="77AE073A"/>
    <w:rsid w:val="77AE74F4"/>
    <w:rsid w:val="77B92812"/>
    <w:rsid w:val="77BF10B8"/>
    <w:rsid w:val="77C43AB9"/>
    <w:rsid w:val="77E44246"/>
    <w:rsid w:val="77ED389C"/>
    <w:rsid w:val="780C2125"/>
    <w:rsid w:val="78193547"/>
    <w:rsid w:val="781F48AE"/>
    <w:rsid w:val="7846296A"/>
    <w:rsid w:val="7847676A"/>
    <w:rsid w:val="78515273"/>
    <w:rsid w:val="78566458"/>
    <w:rsid w:val="786177F8"/>
    <w:rsid w:val="7864663C"/>
    <w:rsid w:val="78774B27"/>
    <w:rsid w:val="787D3166"/>
    <w:rsid w:val="788B3756"/>
    <w:rsid w:val="78A07F42"/>
    <w:rsid w:val="78A8025B"/>
    <w:rsid w:val="78CD05E3"/>
    <w:rsid w:val="78D76195"/>
    <w:rsid w:val="78EE61E1"/>
    <w:rsid w:val="78F478AC"/>
    <w:rsid w:val="78FA5D9B"/>
    <w:rsid w:val="790C0FA2"/>
    <w:rsid w:val="79190BED"/>
    <w:rsid w:val="791E7A6C"/>
    <w:rsid w:val="792D106F"/>
    <w:rsid w:val="79307325"/>
    <w:rsid w:val="793F5CBB"/>
    <w:rsid w:val="795B3BEA"/>
    <w:rsid w:val="79673BFA"/>
    <w:rsid w:val="79740110"/>
    <w:rsid w:val="797943A3"/>
    <w:rsid w:val="798508EB"/>
    <w:rsid w:val="79936ADF"/>
    <w:rsid w:val="799B49FF"/>
    <w:rsid w:val="79A50E47"/>
    <w:rsid w:val="79A643BB"/>
    <w:rsid w:val="79C468A7"/>
    <w:rsid w:val="79D0466A"/>
    <w:rsid w:val="79EC7C3A"/>
    <w:rsid w:val="79F46411"/>
    <w:rsid w:val="7A046339"/>
    <w:rsid w:val="7A052323"/>
    <w:rsid w:val="7A053039"/>
    <w:rsid w:val="7A05624A"/>
    <w:rsid w:val="7A06674E"/>
    <w:rsid w:val="7A0917AF"/>
    <w:rsid w:val="7A0F730A"/>
    <w:rsid w:val="7A1F7EA5"/>
    <w:rsid w:val="7A29703D"/>
    <w:rsid w:val="7A2D1233"/>
    <w:rsid w:val="7A467D02"/>
    <w:rsid w:val="7A493C3E"/>
    <w:rsid w:val="7A691660"/>
    <w:rsid w:val="7A741211"/>
    <w:rsid w:val="7A7B5BFD"/>
    <w:rsid w:val="7A8239C6"/>
    <w:rsid w:val="7A9001BC"/>
    <w:rsid w:val="7AB16F98"/>
    <w:rsid w:val="7AB325B1"/>
    <w:rsid w:val="7AC33222"/>
    <w:rsid w:val="7AD952CF"/>
    <w:rsid w:val="7AEA1B51"/>
    <w:rsid w:val="7AF904AF"/>
    <w:rsid w:val="7B0157FB"/>
    <w:rsid w:val="7B070AD2"/>
    <w:rsid w:val="7B071B55"/>
    <w:rsid w:val="7B121820"/>
    <w:rsid w:val="7B123A95"/>
    <w:rsid w:val="7B220D70"/>
    <w:rsid w:val="7B286290"/>
    <w:rsid w:val="7B4A6717"/>
    <w:rsid w:val="7B501859"/>
    <w:rsid w:val="7B6C46EB"/>
    <w:rsid w:val="7B781A47"/>
    <w:rsid w:val="7B9928F4"/>
    <w:rsid w:val="7BA02487"/>
    <w:rsid w:val="7BA437A2"/>
    <w:rsid w:val="7BB93A91"/>
    <w:rsid w:val="7BBB5869"/>
    <w:rsid w:val="7BC10AF8"/>
    <w:rsid w:val="7BC52AAB"/>
    <w:rsid w:val="7BD67FB8"/>
    <w:rsid w:val="7BE43F93"/>
    <w:rsid w:val="7BEE55E0"/>
    <w:rsid w:val="7BF02562"/>
    <w:rsid w:val="7BFA325A"/>
    <w:rsid w:val="7C0437E9"/>
    <w:rsid w:val="7C0B41AB"/>
    <w:rsid w:val="7C0C35CB"/>
    <w:rsid w:val="7C0E6711"/>
    <w:rsid w:val="7C2421BF"/>
    <w:rsid w:val="7C2475EE"/>
    <w:rsid w:val="7C2C7E24"/>
    <w:rsid w:val="7C406E4D"/>
    <w:rsid w:val="7C436FB5"/>
    <w:rsid w:val="7C470228"/>
    <w:rsid w:val="7C4F7C90"/>
    <w:rsid w:val="7C56049D"/>
    <w:rsid w:val="7C5A1B1A"/>
    <w:rsid w:val="7C5B31CA"/>
    <w:rsid w:val="7C600346"/>
    <w:rsid w:val="7C726290"/>
    <w:rsid w:val="7C770121"/>
    <w:rsid w:val="7C785D61"/>
    <w:rsid w:val="7C7E312D"/>
    <w:rsid w:val="7C943F81"/>
    <w:rsid w:val="7CAF0A53"/>
    <w:rsid w:val="7CB04182"/>
    <w:rsid w:val="7CDB284A"/>
    <w:rsid w:val="7CE80CA4"/>
    <w:rsid w:val="7CFA2D3B"/>
    <w:rsid w:val="7CFD7BA7"/>
    <w:rsid w:val="7CFF4229"/>
    <w:rsid w:val="7D083FA0"/>
    <w:rsid w:val="7D151800"/>
    <w:rsid w:val="7D1F288D"/>
    <w:rsid w:val="7D3C5E52"/>
    <w:rsid w:val="7D4F6D4A"/>
    <w:rsid w:val="7D537E31"/>
    <w:rsid w:val="7D5E20AA"/>
    <w:rsid w:val="7D813024"/>
    <w:rsid w:val="7D840A2E"/>
    <w:rsid w:val="7D8A71C7"/>
    <w:rsid w:val="7D8D0C22"/>
    <w:rsid w:val="7D923EDE"/>
    <w:rsid w:val="7D950212"/>
    <w:rsid w:val="7D966272"/>
    <w:rsid w:val="7DB037D8"/>
    <w:rsid w:val="7DB41E43"/>
    <w:rsid w:val="7DB45696"/>
    <w:rsid w:val="7DC86F1A"/>
    <w:rsid w:val="7DD24C4E"/>
    <w:rsid w:val="7DD5031E"/>
    <w:rsid w:val="7DDE2DFC"/>
    <w:rsid w:val="7E016CEB"/>
    <w:rsid w:val="7E255954"/>
    <w:rsid w:val="7E2A2A0B"/>
    <w:rsid w:val="7E3B634F"/>
    <w:rsid w:val="7E46107D"/>
    <w:rsid w:val="7E7602A3"/>
    <w:rsid w:val="7E7D104B"/>
    <w:rsid w:val="7E7D65C5"/>
    <w:rsid w:val="7E843DBB"/>
    <w:rsid w:val="7E870BBF"/>
    <w:rsid w:val="7E922693"/>
    <w:rsid w:val="7E993972"/>
    <w:rsid w:val="7EA05A74"/>
    <w:rsid w:val="7EA61302"/>
    <w:rsid w:val="7EC957DF"/>
    <w:rsid w:val="7ED00DB9"/>
    <w:rsid w:val="7EEB228E"/>
    <w:rsid w:val="7EFE084F"/>
    <w:rsid w:val="7F224474"/>
    <w:rsid w:val="7F2809F8"/>
    <w:rsid w:val="7F2D6654"/>
    <w:rsid w:val="7F3472CE"/>
    <w:rsid w:val="7F3F4CB2"/>
    <w:rsid w:val="7F42417D"/>
    <w:rsid w:val="7F4B3FCF"/>
    <w:rsid w:val="7F572DEE"/>
    <w:rsid w:val="7F590EFE"/>
    <w:rsid w:val="7F6601A2"/>
    <w:rsid w:val="7F681A89"/>
    <w:rsid w:val="7F6B314D"/>
    <w:rsid w:val="7F743E69"/>
    <w:rsid w:val="7F7470C9"/>
    <w:rsid w:val="7F795540"/>
    <w:rsid w:val="7F7E679B"/>
    <w:rsid w:val="7F830204"/>
    <w:rsid w:val="7F873601"/>
    <w:rsid w:val="7F940F7A"/>
    <w:rsid w:val="7F947515"/>
    <w:rsid w:val="7FB0031C"/>
    <w:rsid w:val="7FBD024B"/>
    <w:rsid w:val="7FD147E2"/>
    <w:rsid w:val="7FD55929"/>
    <w:rsid w:val="7FF30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62"/>
    <w:qFormat/>
    <w:uiPriority w:val="0"/>
    <w:pPr>
      <w:keepNext/>
      <w:jc w:val="center"/>
      <w:outlineLvl w:val="0"/>
    </w:pPr>
    <w:rPr>
      <w:rFonts w:ascii="仿宋_GB2312" w:eastAsia="仿宋_GB2312"/>
      <w:sz w:val="28"/>
    </w:rPr>
  </w:style>
  <w:style w:type="paragraph" w:styleId="5">
    <w:name w:val="heading 2"/>
    <w:basedOn w:val="1"/>
    <w:next w:val="1"/>
    <w:link w:val="55"/>
    <w:qFormat/>
    <w:uiPriority w:val="0"/>
    <w:pPr>
      <w:keepNext/>
      <w:tabs>
        <w:tab w:val="left" w:pos="420"/>
      </w:tabs>
      <w:spacing w:line="360" w:lineRule="auto"/>
      <w:ind w:left="420" w:hanging="330"/>
      <w:outlineLvl w:val="1"/>
    </w:pPr>
    <w:rPr>
      <w:b/>
      <w:sz w:val="24"/>
      <w:szCs w:val="24"/>
    </w:rPr>
  </w:style>
  <w:style w:type="paragraph" w:styleId="6">
    <w:name w:val="heading 3"/>
    <w:basedOn w:val="1"/>
    <w:next w:val="1"/>
    <w:link w:val="90"/>
    <w:qFormat/>
    <w:uiPriority w:val="0"/>
    <w:pPr>
      <w:keepNext/>
      <w:tabs>
        <w:tab w:val="left" w:pos="468"/>
      </w:tabs>
      <w:ind w:left="468" w:hanging="468"/>
      <w:outlineLvl w:val="2"/>
    </w:pPr>
    <w:rPr>
      <w:b/>
      <w:bCs/>
      <w:sz w:val="28"/>
      <w:szCs w:val="24"/>
    </w:rPr>
  </w:style>
  <w:style w:type="paragraph" w:styleId="7">
    <w:name w:val="heading 4"/>
    <w:basedOn w:val="1"/>
    <w:next w:val="1"/>
    <w:link w:val="74"/>
    <w:qFormat/>
    <w:uiPriority w:val="0"/>
    <w:pPr>
      <w:keepNext/>
      <w:tabs>
        <w:tab w:val="left" w:pos="435"/>
      </w:tabs>
      <w:ind w:left="435" w:hanging="435"/>
      <w:outlineLvl w:val="3"/>
    </w:pPr>
    <w:rPr>
      <w:b/>
      <w:color w:val="000000"/>
      <w:sz w:val="28"/>
      <w:szCs w:val="24"/>
      <w:u w:val="single"/>
    </w:rPr>
  </w:style>
  <w:style w:type="paragraph" w:styleId="8">
    <w:name w:val="heading 5"/>
    <w:basedOn w:val="1"/>
    <w:next w:val="9"/>
    <w:link w:val="59"/>
    <w:qFormat/>
    <w:uiPriority w:val="0"/>
    <w:pPr>
      <w:keepNext/>
      <w:adjustRightInd w:val="0"/>
      <w:spacing w:line="360" w:lineRule="auto"/>
      <w:jc w:val="left"/>
      <w:textAlignment w:val="baseline"/>
      <w:outlineLvl w:val="4"/>
    </w:pPr>
    <w:rPr>
      <w:rFonts w:ascii="宋体"/>
      <w:b/>
      <w:kern w:val="0"/>
      <w:sz w:val="28"/>
    </w:rPr>
  </w:style>
  <w:style w:type="paragraph" w:styleId="10">
    <w:name w:val="heading 6"/>
    <w:basedOn w:val="1"/>
    <w:next w:val="1"/>
    <w:link w:val="75"/>
    <w:qFormat/>
    <w:uiPriority w:val="0"/>
    <w:pPr>
      <w:tabs>
        <w:tab w:val="left" w:pos="814"/>
      </w:tabs>
      <w:spacing w:before="240" w:after="64" w:line="317" w:lineRule="auto"/>
      <w:ind w:left="454" w:firstLine="200" w:firstLineChars="200"/>
      <w:outlineLvl w:val="5"/>
    </w:pPr>
    <w:rPr>
      <w:bCs/>
      <w:sz w:val="28"/>
    </w:rPr>
  </w:style>
  <w:style w:type="paragraph" w:styleId="11">
    <w:name w:val="heading 7"/>
    <w:basedOn w:val="1"/>
    <w:next w:val="1"/>
    <w:link w:val="70"/>
    <w:qFormat/>
    <w:uiPriority w:val="0"/>
    <w:pPr>
      <w:keepNext/>
      <w:tabs>
        <w:tab w:val="left" w:pos="900"/>
      </w:tabs>
      <w:ind w:left="900" w:hanging="300"/>
      <w:outlineLvl w:val="6"/>
    </w:pPr>
    <w:rPr>
      <w:rFonts w:ascii="宋体" w:hAnsi="宋体"/>
      <w:b/>
      <w:sz w:val="28"/>
      <w:szCs w:val="24"/>
    </w:rPr>
  </w:style>
  <w:style w:type="paragraph" w:styleId="12">
    <w:name w:val="heading 8"/>
    <w:basedOn w:val="1"/>
    <w:next w:val="1"/>
    <w:link w:val="71"/>
    <w:qFormat/>
    <w:uiPriority w:val="0"/>
    <w:pPr>
      <w:keepNext/>
      <w:widowControl/>
      <w:tabs>
        <w:tab w:val="left" w:pos="1260"/>
        <w:tab w:val="left" w:pos="1995"/>
        <w:tab w:val="left" w:pos="2520"/>
        <w:tab w:val="left" w:pos="2730"/>
      </w:tabs>
      <w:spacing w:before="100" w:after="100" w:line="400" w:lineRule="exact"/>
      <w:ind w:left="600" w:hanging="600"/>
      <w:jc w:val="left"/>
      <w:outlineLvl w:val="7"/>
    </w:pPr>
    <w:rPr>
      <w:b/>
      <w:sz w:val="28"/>
      <w:szCs w:val="24"/>
      <w:u w:val="single"/>
    </w:rPr>
  </w:style>
  <w:style w:type="paragraph" w:styleId="13">
    <w:name w:val="heading 9"/>
    <w:basedOn w:val="1"/>
    <w:next w:val="1"/>
    <w:link w:val="81"/>
    <w:qFormat/>
    <w:uiPriority w:val="0"/>
    <w:pPr>
      <w:keepNext/>
      <w:keepLines/>
      <w:tabs>
        <w:tab w:val="left" w:pos="1584"/>
      </w:tabs>
      <w:spacing w:before="240" w:after="64" w:line="317" w:lineRule="auto"/>
      <w:ind w:left="1584" w:hanging="1584" w:firstLineChars="200"/>
      <w:outlineLvl w:val="8"/>
    </w:pPr>
    <w:rPr>
      <w:rFonts w:ascii="Arial" w:hAnsi="Arial" w:eastAsia="黑体"/>
      <w:sz w:val="24"/>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5"/>
    <w:qFormat/>
    <w:uiPriority w:val="0"/>
    <w:pPr>
      <w:spacing w:after="120"/>
    </w:pPr>
  </w:style>
  <w:style w:type="paragraph" w:styleId="3">
    <w:name w:val="Date"/>
    <w:basedOn w:val="1"/>
    <w:next w:val="1"/>
    <w:link w:val="65"/>
    <w:qFormat/>
    <w:uiPriority w:val="0"/>
    <w:rPr>
      <w:color w:val="000000"/>
      <w:kern w:val="0"/>
      <w:sz w:val="30"/>
    </w:rPr>
  </w:style>
  <w:style w:type="paragraph" w:styleId="9">
    <w:name w:val="Normal Indent"/>
    <w:basedOn w:val="1"/>
    <w:qFormat/>
    <w:uiPriority w:val="0"/>
    <w:pPr>
      <w:ind w:firstLine="420" w:firstLineChars="200"/>
    </w:pPr>
    <w:rPr>
      <w:szCs w:val="24"/>
    </w:rPr>
  </w:style>
  <w:style w:type="paragraph" w:styleId="14">
    <w:name w:val="toc 7"/>
    <w:basedOn w:val="1"/>
    <w:next w:val="1"/>
    <w:semiHidden/>
    <w:qFormat/>
    <w:uiPriority w:val="0"/>
    <w:pPr>
      <w:ind w:left="1260"/>
      <w:jc w:val="left"/>
    </w:pPr>
    <w:rPr>
      <w:sz w:val="18"/>
      <w:szCs w:val="18"/>
    </w:rPr>
  </w:style>
  <w:style w:type="paragraph" w:styleId="15">
    <w:name w:val="List Number"/>
    <w:basedOn w:val="1"/>
    <w:qFormat/>
    <w:uiPriority w:val="0"/>
    <w:pPr>
      <w:tabs>
        <w:tab w:val="left" w:pos="1890"/>
      </w:tabs>
      <w:ind w:hanging="420"/>
    </w:pPr>
    <w:rPr>
      <w:szCs w:val="24"/>
    </w:rPr>
  </w:style>
  <w:style w:type="paragraph" w:styleId="16">
    <w:name w:val="Document Map"/>
    <w:basedOn w:val="1"/>
    <w:semiHidden/>
    <w:qFormat/>
    <w:uiPriority w:val="0"/>
    <w:pPr>
      <w:shd w:val="clear" w:color="auto" w:fill="000080"/>
    </w:pPr>
  </w:style>
  <w:style w:type="paragraph" w:styleId="17">
    <w:name w:val="toa heading"/>
    <w:basedOn w:val="1"/>
    <w:next w:val="1"/>
    <w:qFormat/>
    <w:uiPriority w:val="0"/>
    <w:pPr>
      <w:spacing w:before="120"/>
    </w:pPr>
    <w:rPr>
      <w:rFonts w:ascii="Cambria" w:hAnsi="Cambria"/>
      <w:sz w:val="24"/>
      <w:szCs w:val="24"/>
    </w:rPr>
  </w:style>
  <w:style w:type="paragraph" w:styleId="18">
    <w:name w:val="annotation text"/>
    <w:basedOn w:val="1"/>
    <w:link w:val="91"/>
    <w:qFormat/>
    <w:uiPriority w:val="0"/>
    <w:pPr>
      <w:jc w:val="left"/>
    </w:pPr>
    <w:rPr>
      <w:szCs w:val="24"/>
    </w:rPr>
  </w:style>
  <w:style w:type="paragraph" w:styleId="19">
    <w:name w:val="Body Text 3"/>
    <w:basedOn w:val="1"/>
    <w:qFormat/>
    <w:uiPriority w:val="0"/>
    <w:pPr>
      <w:spacing w:after="120"/>
    </w:pPr>
    <w:rPr>
      <w:sz w:val="16"/>
      <w:szCs w:val="16"/>
    </w:rPr>
  </w:style>
  <w:style w:type="paragraph" w:styleId="20">
    <w:name w:val="Body Text Indent"/>
    <w:basedOn w:val="1"/>
    <w:next w:val="7"/>
    <w:link w:val="54"/>
    <w:qFormat/>
    <w:uiPriority w:val="0"/>
    <w:pPr>
      <w:spacing w:line="800" w:lineRule="exact"/>
      <w:ind w:left="315" w:leftChars="150" w:firstLine="664" w:firstLineChars="237"/>
    </w:pPr>
    <w:rPr>
      <w:rFonts w:ascii="仿宋_GB2312" w:eastAsia="仿宋_GB2312"/>
      <w:sz w:val="28"/>
    </w:rPr>
  </w:style>
  <w:style w:type="paragraph" w:styleId="21">
    <w:name w:val="HTML Address"/>
    <w:basedOn w:val="1"/>
    <w:link w:val="73"/>
    <w:qFormat/>
    <w:uiPriority w:val="0"/>
    <w:rPr>
      <w:i/>
      <w:iCs/>
      <w:szCs w:val="24"/>
    </w:rPr>
  </w:style>
  <w:style w:type="paragraph" w:styleId="22">
    <w:name w:val="toc 5"/>
    <w:basedOn w:val="1"/>
    <w:next w:val="1"/>
    <w:semiHidden/>
    <w:qFormat/>
    <w:uiPriority w:val="0"/>
    <w:pPr>
      <w:ind w:left="840"/>
      <w:jc w:val="left"/>
    </w:pPr>
    <w:rPr>
      <w:sz w:val="18"/>
      <w:szCs w:val="18"/>
    </w:rPr>
  </w:style>
  <w:style w:type="paragraph" w:styleId="23">
    <w:name w:val="toc 3"/>
    <w:basedOn w:val="1"/>
    <w:next w:val="1"/>
    <w:qFormat/>
    <w:uiPriority w:val="0"/>
    <w:pPr>
      <w:ind w:left="420"/>
      <w:jc w:val="left"/>
    </w:pPr>
    <w:rPr>
      <w:i/>
      <w:iCs/>
      <w:sz w:val="20"/>
    </w:rPr>
  </w:style>
  <w:style w:type="paragraph" w:styleId="24">
    <w:name w:val="Plain Text"/>
    <w:basedOn w:val="1"/>
    <w:link w:val="92"/>
    <w:qFormat/>
    <w:uiPriority w:val="0"/>
    <w:rPr>
      <w:rFonts w:ascii="宋体" w:hAnsi="宋体"/>
    </w:rPr>
  </w:style>
  <w:style w:type="paragraph" w:styleId="25">
    <w:name w:val="toc 8"/>
    <w:basedOn w:val="1"/>
    <w:next w:val="1"/>
    <w:semiHidden/>
    <w:qFormat/>
    <w:uiPriority w:val="0"/>
    <w:pPr>
      <w:ind w:left="1470"/>
      <w:jc w:val="left"/>
    </w:pPr>
    <w:rPr>
      <w:sz w:val="18"/>
      <w:szCs w:val="18"/>
    </w:rPr>
  </w:style>
  <w:style w:type="paragraph" w:styleId="26">
    <w:name w:val="Body Text Indent 2"/>
    <w:basedOn w:val="1"/>
    <w:link w:val="60"/>
    <w:qFormat/>
    <w:uiPriority w:val="0"/>
    <w:pPr>
      <w:spacing w:line="360" w:lineRule="auto"/>
      <w:ind w:firstLine="555"/>
    </w:pPr>
    <w:rPr>
      <w:rFonts w:ascii="仿宋_GB2312" w:eastAsia="仿宋_GB2312"/>
      <w:sz w:val="28"/>
    </w:rPr>
  </w:style>
  <w:style w:type="paragraph" w:styleId="27">
    <w:name w:val="Balloon Text"/>
    <w:basedOn w:val="1"/>
    <w:link w:val="61"/>
    <w:qFormat/>
    <w:uiPriority w:val="0"/>
    <w:rPr>
      <w:sz w:val="18"/>
      <w:szCs w:val="18"/>
    </w:rPr>
  </w:style>
  <w:style w:type="paragraph" w:styleId="28">
    <w:name w:val="footer"/>
    <w:basedOn w:val="1"/>
    <w:link w:val="94"/>
    <w:qFormat/>
    <w:uiPriority w:val="0"/>
    <w:pPr>
      <w:tabs>
        <w:tab w:val="center" w:pos="4153"/>
        <w:tab w:val="right" w:pos="8306"/>
      </w:tabs>
      <w:snapToGrid w:val="0"/>
      <w:jc w:val="left"/>
    </w:pPr>
    <w:rPr>
      <w:sz w:val="18"/>
      <w:szCs w:val="18"/>
    </w:rPr>
  </w:style>
  <w:style w:type="paragraph" w:styleId="29">
    <w:name w:val="header"/>
    <w:basedOn w:val="1"/>
    <w:link w:val="85"/>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pPr>
      <w:spacing w:before="120" w:after="120"/>
      <w:jc w:val="left"/>
    </w:pPr>
    <w:rPr>
      <w:b/>
      <w:bCs/>
      <w:caps/>
      <w:sz w:val="20"/>
    </w:rPr>
  </w:style>
  <w:style w:type="paragraph" w:styleId="31">
    <w:name w:val="toc 4"/>
    <w:basedOn w:val="1"/>
    <w:next w:val="1"/>
    <w:semiHidden/>
    <w:qFormat/>
    <w:uiPriority w:val="0"/>
    <w:pPr>
      <w:ind w:left="630"/>
      <w:jc w:val="left"/>
    </w:pPr>
    <w:rPr>
      <w:sz w:val="18"/>
      <w:szCs w:val="18"/>
    </w:rPr>
  </w:style>
  <w:style w:type="paragraph" w:styleId="32">
    <w:name w:val="toc 6"/>
    <w:basedOn w:val="1"/>
    <w:next w:val="1"/>
    <w:semiHidden/>
    <w:qFormat/>
    <w:uiPriority w:val="0"/>
    <w:pPr>
      <w:ind w:left="1050"/>
      <w:jc w:val="left"/>
    </w:pPr>
    <w:rPr>
      <w:sz w:val="18"/>
      <w:szCs w:val="18"/>
    </w:rPr>
  </w:style>
  <w:style w:type="paragraph" w:styleId="33">
    <w:name w:val="Body Text Indent 3"/>
    <w:basedOn w:val="1"/>
    <w:link w:val="53"/>
    <w:qFormat/>
    <w:uiPriority w:val="0"/>
    <w:pPr>
      <w:spacing w:line="360" w:lineRule="auto"/>
      <w:ind w:firstLine="480" w:firstLineChars="200"/>
    </w:pPr>
    <w:rPr>
      <w:rFonts w:ascii="宋体"/>
      <w:sz w:val="24"/>
      <w:szCs w:val="24"/>
    </w:rPr>
  </w:style>
  <w:style w:type="paragraph" w:styleId="34">
    <w:name w:val="toc 2"/>
    <w:basedOn w:val="1"/>
    <w:next w:val="1"/>
    <w:qFormat/>
    <w:uiPriority w:val="39"/>
    <w:pPr>
      <w:ind w:left="210"/>
      <w:jc w:val="left"/>
    </w:pPr>
    <w:rPr>
      <w:smallCaps/>
      <w:sz w:val="20"/>
    </w:rPr>
  </w:style>
  <w:style w:type="paragraph" w:styleId="35">
    <w:name w:val="toc 9"/>
    <w:basedOn w:val="1"/>
    <w:next w:val="1"/>
    <w:semiHidden/>
    <w:qFormat/>
    <w:uiPriority w:val="0"/>
    <w:pPr>
      <w:ind w:left="1680"/>
      <w:jc w:val="left"/>
    </w:pPr>
    <w:rPr>
      <w:sz w:val="18"/>
      <w:szCs w:val="18"/>
    </w:rPr>
  </w:style>
  <w:style w:type="paragraph" w:styleId="36">
    <w:name w:val="Body Text 2"/>
    <w:basedOn w:val="1"/>
    <w:link w:val="58"/>
    <w:qFormat/>
    <w:uiPriority w:val="0"/>
    <w:pPr>
      <w:spacing w:after="120" w:line="480" w:lineRule="auto"/>
    </w:pPr>
    <w:rPr>
      <w:szCs w:val="24"/>
    </w:rPr>
  </w:style>
  <w:style w:type="paragraph" w:styleId="37">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8">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39">
    <w:name w:val="annotation subject"/>
    <w:basedOn w:val="18"/>
    <w:next w:val="18"/>
    <w:link w:val="78"/>
    <w:qFormat/>
    <w:uiPriority w:val="0"/>
    <w:rPr>
      <w:b/>
      <w:bCs/>
    </w:rPr>
  </w:style>
  <w:style w:type="paragraph" w:styleId="40">
    <w:name w:val="Body Text First Indent"/>
    <w:basedOn w:val="2"/>
    <w:link w:val="80"/>
    <w:qFormat/>
    <w:uiPriority w:val="0"/>
    <w:pPr>
      <w:autoSpaceDE w:val="0"/>
      <w:autoSpaceDN w:val="0"/>
      <w:adjustRightInd w:val="0"/>
      <w:spacing w:after="120" w:line="312" w:lineRule="atLeast"/>
      <w:ind w:firstLine="420"/>
    </w:pPr>
    <w:rPr>
      <w:rFonts w:ascii="宋体"/>
      <w:kern w:val="0"/>
    </w:rPr>
  </w:style>
  <w:style w:type="paragraph" w:styleId="41">
    <w:name w:val="Body Text First Indent 2"/>
    <w:basedOn w:val="20"/>
    <w:link w:val="77"/>
    <w:qFormat/>
    <w:uiPriority w:val="0"/>
    <w:pPr>
      <w:spacing w:after="120" w:line="240" w:lineRule="auto"/>
      <w:ind w:left="420" w:leftChars="200" w:firstLine="420" w:firstLineChars="200"/>
    </w:pPr>
    <w:rPr>
      <w:rFonts w:eastAsia="宋体"/>
      <w:sz w:val="21"/>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22"/>
    <w:rPr>
      <w:b/>
      <w:bCs/>
    </w:rPr>
  </w:style>
  <w:style w:type="character" w:styleId="46">
    <w:name w:val="page number"/>
    <w:basedOn w:val="44"/>
    <w:qFormat/>
    <w:uiPriority w:val="0"/>
  </w:style>
  <w:style w:type="character" w:styleId="47">
    <w:name w:val="Hyperlink"/>
    <w:basedOn w:val="44"/>
    <w:qFormat/>
    <w:uiPriority w:val="99"/>
    <w:rPr>
      <w:color w:val="333333"/>
      <w:u w:val="none"/>
    </w:rPr>
  </w:style>
  <w:style w:type="character" w:styleId="48">
    <w:name w:val="annotation reference"/>
    <w:qFormat/>
    <w:uiPriority w:val="0"/>
    <w:rPr>
      <w:sz w:val="21"/>
      <w:szCs w:val="21"/>
    </w:rPr>
  </w:style>
  <w:style w:type="character" w:styleId="49">
    <w:name w:val="HTML Sample"/>
    <w:basedOn w:val="44"/>
    <w:qFormat/>
    <w:uiPriority w:val="0"/>
    <w:rPr>
      <w:rFonts w:ascii="Courier New" w:hAnsi="Courier New"/>
    </w:rPr>
  </w:style>
  <w:style w:type="paragraph" w:customStyle="1" w:styleId="50">
    <w:name w:val="NormalIndent"/>
    <w:basedOn w:val="1"/>
    <w:qFormat/>
    <w:uiPriority w:val="0"/>
    <w:pPr>
      <w:ind w:firstLine="420"/>
    </w:pPr>
  </w:style>
  <w:style w:type="character" w:customStyle="1" w:styleId="51">
    <w:name w:val="正文 + Arial Char"/>
    <w:qFormat/>
    <w:uiPriority w:val="0"/>
    <w:rPr>
      <w:rFonts w:ascii="Arial" w:hAnsi="Arial" w:eastAsia="宋体" w:cs="Arial"/>
      <w:kern w:val="2"/>
      <w:sz w:val="21"/>
      <w:szCs w:val="21"/>
      <w:lang w:val="en-US" w:eastAsia="zh-CN" w:bidi="ar-SA"/>
    </w:rPr>
  </w:style>
  <w:style w:type="character" w:customStyle="1" w:styleId="52">
    <w:name w:val="font51"/>
    <w:qFormat/>
    <w:uiPriority w:val="0"/>
    <w:rPr>
      <w:rFonts w:hint="eastAsia" w:ascii="宋体" w:hAnsi="宋体" w:eastAsia="宋体" w:cs="宋体"/>
      <w:color w:val="000000"/>
      <w:sz w:val="44"/>
      <w:szCs w:val="44"/>
      <w:u w:val="none"/>
    </w:rPr>
  </w:style>
  <w:style w:type="character" w:customStyle="1" w:styleId="53">
    <w:name w:val="正文文本缩进 3 Char"/>
    <w:link w:val="33"/>
    <w:qFormat/>
    <w:uiPriority w:val="0"/>
    <w:rPr>
      <w:rFonts w:ascii="宋体" w:eastAsia="宋体"/>
      <w:kern w:val="2"/>
      <w:sz w:val="24"/>
      <w:szCs w:val="24"/>
      <w:lang w:val="en-US" w:eastAsia="zh-CN" w:bidi="ar-SA"/>
    </w:rPr>
  </w:style>
  <w:style w:type="character" w:customStyle="1" w:styleId="54">
    <w:name w:val="正文文本缩进 Char"/>
    <w:link w:val="20"/>
    <w:qFormat/>
    <w:uiPriority w:val="0"/>
    <w:rPr>
      <w:rFonts w:ascii="仿宋_GB2312" w:eastAsia="仿宋_GB2312"/>
      <w:kern w:val="2"/>
      <w:sz w:val="28"/>
      <w:lang w:val="en-US" w:eastAsia="zh-CN" w:bidi="ar-SA"/>
    </w:rPr>
  </w:style>
  <w:style w:type="character" w:customStyle="1" w:styleId="55">
    <w:name w:val="标题 2 Char"/>
    <w:link w:val="5"/>
    <w:qFormat/>
    <w:uiPriority w:val="0"/>
    <w:rPr>
      <w:b/>
      <w:kern w:val="2"/>
      <w:sz w:val="24"/>
      <w:szCs w:val="24"/>
    </w:rPr>
  </w:style>
  <w:style w:type="character" w:customStyle="1" w:styleId="56">
    <w:name w:val="标题 3 Char Char"/>
    <w:qFormat/>
    <w:uiPriority w:val="0"/>
    <w:rPr>
      <w:b/>
      <w:bCs/>
      <w:sz w:val="32"/>
      <w:szCs w:val="32"/>
    </w:rPr>
  </w:style>
  <w:style w:type="character" w:customStyle="1" w:styleId="57">
    <w:name w:val="apple-converted-space"/>
    <w:qFormat/>
    <w:uiPriority w:val="0"/>
  </w:style>
  <w:style w:type="character" w:customStyle="1" w:styleId="58">
    <w:name w:val="正文文本 2 Char"/>
    <w:link w:val="36"/>
    <w:qFormat/>
    <w:uiPriority w:val="0"/>
    <w:rPr>
      <w:rFonts w:eastAsia="宋体"/>
      <w:kern w:val="2"/>
      <w:sz w:val="21"/>
      <w:szCs w:val="24"/>
      <w:lang w:val="en-US" w:eastAsia="zh-CN" w:bidi="ar-SA"/>
    </w:rPr>
  </w:style>
  <w:style w:type="character" w:customStyle="1" w:styleId="59">
    <w:name w:val="标题 5 Char"/>
    <w:link w:val="8"/>
    <w:qFormat/>
    <w:uiPriority w:val="0"/>
    <w:rPr>
      <w:rFonts w:ascii="宋体" w:eastAsia="宋体"/>
      <w:b/>
      <w:sz w:val="28"/>
      <w:lang w:val="en-US" w:eastAsia="zh-CN" w:bidi="ar-SA"/>
    </w:rPr>
  </w:style>
  <w:style w:type="character" w:customStyle="1" w:styleId="60">
    <w:name w:val="正文文本缩进 2 Char"/>
    <w:link w:val="26"/>
    <w:qFormat/>
    <w:uiPriority w:val="0"/>
    <w:rPr>
      <w:rFonts w:ascii="仿宋_GB2312" w:eastAsia="仿宋_GB2312"/>
      <w:kern w:val="2"/>
      <w:sz w:val="28"/>
      <w:lang w:val="en-US" w:eastAsia="zh-CN" w:bidi="ar-SA"/>
    </w:rPr>
  </w:style>
  <w:style w:type="character" w:customStyle="1" w:styleId="61">
    <w:name w:val="批注框文本 Char"/>
    <w:link w:val="27"/>
    <w:qFormat/>
    <w:uiPriority w:val="0"/>
    <w:rPr>
      <w:rFonts w:eastAsia="宋体"/>
      <w:kern w:val="2"/>
      <w:sz w:val="18"/>
      <w:szCs w:val="18"/>
      <w:lang w:val="en-US" w:eastAsia="zh-CN" w:bidi="ar-SA"/>
    </w:rPr>
  </w:style>
  <w:style w:type="character" w:customStyle="1" w:styleId="62">
    <w:name w:val="标题 1 Char"/>
    <w:link w:val="4"/>
    <w:qFormat/>
    <w:uiPriority w:val="0"/>
    <w:rPr>
      <w:rFonts w:ascii="仿宋_GB2312" w:eastAsia="仿宋_GB2312"/>
      <w:kern w:val="2"/>
      <w:sz w:val="28"/>
      <w:lang w:val="en-US" w:eastAsia="zh-CN" w:bidi="ar-SA"/>
    </w:rPr>
  </w:style>
  <w:style w:type="character" w:customStyle="1" w:styleId="63">
    <w:name w:val="访问过的超链接1"/>
    <w:qFormat/>
    <w:uiPriority w:val="0"/>
    <w:rPr>
      <w:color w:val="333333"/>
      <w:u w:val="none"/>
    </w:rPr>
  </w:style>
  <w:style w:type="character" w:customStyle="1" w:styleId="64">
    <w:name w:val="链接"/>
    <w:qFormat/>
    <w:uiPriority w:val="0"/>
    <w:rPr>
      <w:rFonts w:ascii="Times New Roman" w:eastAsia="宋体"/>
      <w:color w:val="0000FF"/>
      <w:sz w:val="21"/>
      <w:u w:val="single" w:color="0000FF"/>
      <w:vertAlign w:val="baseline"/>
      <w:lang w:val="en-US" w:eastAsia="zh-CN"/>
    </w:rPr>
  </w:style>
  <w:style w:type="character" w:customStyle="1" w:styleId="65">
    <w:name w:val="日期 Char"/>
    <w:link w:val="3"/>
    <w:qFormat/>
    <w:uiPriority w:val="0"/>
    <w:rPr>
      <w:rFonts w:eastAsia="宋体"/>
      <w:color w:val="000000"/>
      <w:sz w:val="30"/>
      <w:lang w:val="en-US" w:eastAsia="zh-CN" w:bidi="ar-SA"/>
    </w:rPr>
  </w:style>
  <w:style w:type="character" w:customStyle="1" w:styleId="66">
    <w:name w:val="b Char"/>
    <w:link w:val="67"/>
    <w:qFormat/>
    <w:uiPriority w:val="0"/>
    <w:rPr>
      <w:rFonts w:ascii="EU-F1" w:eastAsia="黑体"/>
      <w:sz w:val="21"/>
      <w:szCs w:val="21"/>
      <w:lang w:val="en-US" w:eastAsia="zh-CN" w:bidi="ar-SA"/>
    </w:rPr>
  </w:style>
  <w:style w:type="paragraph" w:customStyle="1" w:styleId="67">
    <w:name w:val="b"/>
    <w:basedOn w:val="1"/>
    <w:link w:val="66"/>
    <w:qFormat/>
    <w:uiPriority w:val="0"/>
    <w:pPr>
      <w:tabs>
        <w:tab w:val="center" w:pos="4706"/>
        <w:tab w:val="right" w:pos="9044"/>
      </w:tabs>
      <w:topLinePunct/>
      <w:spacing w:before="160" w:after="60" w:line="312" w:lineRule="exact"/>
      <w:jc w:val="center"/>
    </w:pPr>
    <w:rPr>
      <w:rFonts w:ascii="EU-F1" w:eastAsia="黑体"/>
      <w:kern w:val="0"/>
      <w:szCs w:val="21"/>
    </w:rPr>
  </w:style>
  <w:style w:type="character" w:customStyle="1" w:styleId="68">
    <w:name w:val="纯文本 Char Char"/>
    <w:qFormat/>
    <w:uiPriority w:val="0"/>
    <w:rPr>
      <w:rFonts w:ascii="宋体" w:hAnsi="Courier New" w:eastAsia="宋体" w:cs="Courier New"/>
      <w:szCs w:val="21"/>
    </w:rPr>
  </w:style>
  <w:style w:type="character" w:customStyle="1" w:styleId="69">
    <w:name w:val="font21"/>
    <w:qFormat/>
    <w:uiPriority w:val="0"/>
    <w:rPr>
      <w:rFonts w:ascii="font-weight : 400" w:hAnsi="font-weight : 400" w:eastAsia="font-weight : 400" w:cs="font-weight : 400"/>
      <w:color w:val="000000"/>
      <w:sz w:val="22"/>
      <w:szCs w:val="22"/>
      <w:u w:val="none"/>
    </w:rPr>
  </w:style>
  <w:style w:type="character" w:customStyle="1" w:styleId="70">
    <w:name w:val="标题 7 Char"/>
    <w:link w:val="11"/>
    <w:qFormat/>
    <w:uiPriority w:val="0"/>
    <w:rPr>
      <w:rFonts w:ascii="宋体" w:hAnsi="宋体"/>
      <w:b/>
      <w:kern w:val="2"/>
      <w:sz w:val="28"/>
      <w:szCs w:val="24"/>
    </w:rPr>
  </w:style>
  <w:style w:type="character" w:customStyle="1" w:styleId="71">
    <w:name w:val="标题 8 Char"/>
    <w:link w:val="12"/>
    <w:qFormat/>
    <w:uiPriority w:val="0"/>
    <w:rPr>
      <w:b/>
      <w:kern w:val="2"/>
      <w:sz w:val="28"/>
      <w:szCs w:val="24"/>
      <w:u w:val="single"/>
    </w:rPr>
  </w:style>
  <w:style w:type="character" w:customStyle="1" w:styleId="72">
    <w:name w:val="Char Char Char"/>
    <w:qFormat/>
    <w:uiPriority w:val="0"/>
    <w:rPr>
      <w:rFonts w:ascii="Arial Black" w:hAnsi="Arial Black" w:eastAsia="黑体"/>
      <w:b/>
      <w:bCs/>
      <w:kern w:val="2"/>
      <w:sz w:val="32"/>
      <w:szCs w:val="32"/>
      <w:lang w:val="en-US" w:eastAsia="zh-CN" w:bidi="ar-SA"/>
    </w:rPr>
  </w:style>
  <w:style w:type="character" w:customStyle="1" w:styleId="73">
    <w:name w:val="HTML 地址 Char"/>
    <w:link w:val="21"/>
    <w:qFormat/>
    <w:uiPriority w:val="0"/>
    <w:rPr>
      <w:rFonts w:eastAsia="宋体"/>
      <w:i/>
      <w:iCs/>
      <w:kern w:val="2"/>
      <w:sz w:val="21"/>
      <w:szCs w:val="24"/>
      <w:lang w:val="en-US" w:eastAsia="zh-CN" w:bidi="ar-SA"/>
    </w:rPr>
  </w:style>
  <w:style w:type="character" w:customStyle="1" w:styleId="74">
    <w:name w:val="标题 4 Char"/>
    <w:link w:val="7"/>
    <w:qFormat/>
    <w:uiPriority w:val="0"/>
    <w:rPr>
      <w:b/>
      <w:color w:val="000000"/>
      <w:kern w:val="2"/>
      <w:sz w:val="28"/>
      <w:szCs w:val="24"/>
      <w:u w:val="single"/>
    </w:rPr>
  </w:style>
  <w:style w:type="character" w:customStyle="1" w:styleId="75">
    <w:name w:val="标题 6 Char"/>
    <w:link w:val="10"/>
    <w:qFormat/>
    <w:uiPriority w:val="0"/>
    <w:rPr>
      <w:rFonts w:eastAsia="宋体"/>
      <w:bCs/>
      <w:kern w:val="2"/>
      <w:sz w:val="28"/>
      <w:lang w:val="en-US" w:eastAsia="zh-CN" w:bidi="ar-SA"/>
    </w:rPr>
  </w:style>
  <w:style w:type="character" w:customStyle="1" w:styleId="76">
    <w:name w:val="default1"/>
    <w:qFormat/>
    <w:uiPriority w:val="0"/>
    <w:rPr>
      <w:rFonts w:hint="default" w:ascii="Arial" w:hAnsi="Arial" w:cs="Arial"/>
      <w:sz w:val="20"/>
      <w:szCs w:val="20"/>
    </w:rPr>
  </w:style>
  <w:style w:type="character" w:customStyle="1" w:styleId="77">
    <w:name w:val="正文首行缩进 2 Char"/>
    <w:link w:val="41"/>
    <w:qFormat/>
    <w:uiPriority w:val="0"/>
    <w:rPr>
      <w:rFonts w:ascii="仿宋_GB2312" w:eastAsia="宋体"/>
      <w:kern w:val="2"/>
      <w:sz w:val="21"/>
      <w:szCs w:val="24"/>
      <w:lang w:val="en-US" w:eastAsia="zh-CN" w:bidi="ar-SA"/>
    </w:rPr>
  </w:style>
  <w:style w:type="character" w:customStyle="1" w:styleId="78">
    <w:name w:val="批注主题 Char"/>
    <w:link w:val="39"/>
    <w:qFormat/>
    <w:uiPriority w:val="0"/>
    <w:rPr>
      <w:rFonts w:eastAsia="宋体"/>
      <w:b/>
      <w:bCs/>
      <w:kern w:val="2"/>
      <w:sz w:val="21"/>
      <w:szCs w:val="24"/>
      <w:lang w:val="en-US" w:eastAsia="zh-CN" w:bidi="ar-SA"/>
    </w:rPr>
  </w:style>
  <w:style w:type="character" w:customStyle="1" w:styleId="79">
    <w:name w:val="正文 + 行距: 1.5 倍行距 Char"/>
    <w:qFormat/>
    <w:uiPriority w:val="0"/>
    <w:rPr>
      <w:rFonts w:ascii="Arial" w:hAnsi="Arial" w:eastAsia="宋体" w:cs="Arial"/>
      <w:kern w:val="2"/>
      <w:sz w:val="21"/>
      <w:szCs w:val="21"/>
      <w:lang w:val="en-US" w:eastAsia="zh-CN" w:bidi="ar-SA"/>
    </w:rPr>
  </w:style>
  <w:style w:type="character" w:customStyle="1" w:styleId="80">
    <w:name w:val="正文首行缩进 Char"/>
    <w:link w:val="40"/>
    <w:qFormat/>
    <w:uiPriority w:val="0"/>
    <w:rPr>
      <w:rFonts w:ascii="宋体" w:eastAsia="宋体"/>
      <w:sz w:val="21"/>
      <w:lang w:val="en-US" w:eastAsia="zh-CN" w:bidi="ar-SA"/>
    </w:rPr>
  </w:style>
  <w:style w:type="character" w:customStyle="1" w:styleId="81">
    <w:name w:val="标题 9 Char"/>
    <w:link w:val="13"/>
    <w:qFormat/>
    <w:uiPriority w:val="0"/>
    <w:rPr>
      <w:rFonts w:ascii="Arial" w:hAnsi="Arial" w:eastAsia="黑体"/>
      <w:kern w:val="2"/>
      <w:sz w:val="24"/>
      <w:szCs w:val="21"/>
      <w:lang w:val="en-US" w:eastAsia="zh-CN" w:bidi="ar-SA"/>
    </w:rPr>
  </w:style>
  <w:style w:type="character" w:customStyle="1" w:styleId="82">
    <w:name w:val="Char Char6"/>
    <w:qFormat/>
    <w:uiPriority w:val="0"/>
    <w:rPr>
      <w:rFonts w:ascii="Times New Roman" w:hAnsi="Times New Roman"/>
      <w:b/>
      <w:bCs/>
      <w:kern w:val="2"/>
      <w:sz w:val="28"/>
      <w:szCs w:val="28"/>
    </w:rPr>
  </w:style>
  <w:style w:type="character" w:customStyle="1" w:styleId="83">
    <w:name w:val="Default Text Char"/>
    <w:link w:val="84"/>
    <w:qFormat/>
    <w:locked/>
    <w:uiPriority w:val="0"/>
    <w:rPr>
      <w:color w:val="000000"/>
      <w:sz w:val="24"/>
      <w:szCs w:val="24"/>
      <w:lang w:val="en-US" w:eastAsia="zh-CN" w:bidi="ar-SA"/>
    </w:rPr>
  </w:style>
  <w:style w:type="paragraph" w:customStyle="1" w:styleId="84">
    <w:name w:val="Default Text"/>
    <w:link w:val="8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5">
    <w:name w:val="页眉 Char"/>
    <w:link w:val="29"/>
    <w:qFormat/>
    <w:uiPriority w:val="0"/>
    <w:rPr>
      <w:rFonts w:eastAsia="宋体"/>
      <w:kern w:val="2"/>
      <w:sz w:val="18"/>
      <w:lang w:val="en-US" w:eastAsia="zh-CN" w:bidi="ar-SA"/>
    </w:rPr>
  </w:style>
  <w:style w:type="character" w:customStyle="1" w:styleId="86">
    <w:name w:val="font01"/>
    <w:qFormat/>
    <w:uiPriority w:val="0"/>
    <w:rPr>
      <w:rFonts w:hint="eastAsia" w:ascii="宋体" w:hAnsi="宋体" w:eastAsia="宋体" w:cs="宋体"/>
      <w:color w:val="000000"/>
      <w:sz w:val="24"/>
      <w:szCs w:val="24"/>
      <w:u w:val="none"/>
    </w:rPr>
  </w:style>
  <w:style w:type="character" w:customStyle="1" w:styleId="87">
    <w:name w:val="p21"/>
    <w:qFormat/>
    <w:uiPriority w:val="0"/>
    <w:rPr>
      <w:rFonts w:hint="default" w:ascii="Arial" w:hAnsi="Arial" w:cs="Arial"/>
      <w:color w:val="333333"/>
      <w:sz w:val="18"/>
      <w:szCs w:val="18"/>
      <w:u w:val="none"/>
    </w:rPr>
  </w:style>
  <w:style w:type="character" w:customStyle="1" w:styleId="88">
    <w:name w:val="H2 Char"/>
    <w:qFormat/>
    <w:uiPriority w:val="0"/>
    <w:rPr>
      <w:rFonts w:ascii="Arial" w:hAnsi="Arial" w:eastAsia="黑体" w:cs="Times New Roman"/>
      <w:b/>
      <w:bCs/>
      <w:kern w:val="0"/>
      <w:sz w:val="32"/>
      <w:szCs w:val="32"/>
    </w:rPr>
  </w:style>
  <w:style w:type="character" w:customStyle="1" w:styleId="89">
    <w:name w:val="Char Char4"/>
    <w:qFormat/>
    <w:uiPriority w:val="0"/>
    <w:rPr>
      <w:rFonts w:eastAsia="宋体"/>
      <w:kern w:val="2"/>
      <w:sz w:val="18"/>
      <w:szCs w:val="18"/>
      <w:lang w:val="en-US" w:eastAsia="zh-CN" w:bidi="ar-SA"/>
    </w:rPr>
  </w:style>
  <w:style w:type="character" w:customStyle="1" w:styleId="90">
    <w:name w:val="标题 3 Char"/>
    <w:link w:val="6"/>
    <w:qFormat/>
    <w:uiPriority w:val="0"/>
    <w:rPr>
      <w:b/>
      <w:bCs/>
      <w:kern w:val="2"/>
      <w:sz w:val="28"/>
      <w:szCs w:val="24"/>
    </w:rPr>
  </w:style>
  <w:style w:type="character" w:customStyle="1" w:styleId="91">
    <w:name w:val="批注文字 Char"/>
    <w:link w:val="18"/>
    <w:qFormat/>
    <w:uiPriority w:val="0"/>
    <w:rPr>
      <w:rFonts w:eastAsia="宋体"/>
      <w:kern w:val="2"/>
      <w:sz w:val="21"/>
      <w:szCs w:val="24"/>
      <w:lang w:val="en-US" w:eastAsia="zh-CN" w:bidi="ar-SA"/>
    </w:rPr>
  </w:style>
  <w:style w:type="character" w:customStyle="1" w:styleId="92">
    <w:name w:val="纯文本 Char"/>
    <w:link w:val="24"/>
    <w:qFormat/>
    <w:uiPriority w:val="0"/>
    <w:rPr>
      <w:rFonts w:ascii="宋体" w:hAnsi="宋体" w:eastAsia="宋体"/>
      <w:kern w:val="2"/>
      <w:sz w:val="21"/>
      <w:lang w:val="en-US" w:eastAsia="zh-CN" w:bidi="ar-SA"/>
    </w:rPr>
  </w:style>
  <w:style w:type="character" w:customStyle="1" w:styleId="93">
    <w:name w:val="small1"/>
    <w:qFormat/>
    <w:uiPriority w:val="0"/>
    <w:rPr>
      <w:rFonts w:hint="default" w:ascii="Arial" w:hAnsi="Arial" w:cs="Arial"/>
      <w:sz w:val="16"/>
      <w:szCs w:val="16"/>
    </w:rPr>
  </w:style>
  <w:style w:type="character" w:customStyle="1" w:styleId="94">
    <w:name w:val="页脚 Char"/>
    <w:link w:val="28"/>
    <w:qFormat/>
    <w:uiPriority w:val="0"/>
    <w:rPr>
      <w:rFonts w:eastAsia="宋体"/>
      <w:kern w:val="2"/>
      <w:sz w:val="18"/>
      <w:szCs w:val="18"/>
      <w:lang w:val="en-US" w:eastAsia="zh-CN" w:bidi="ar-SA"/>
    </w:rPr>
  </w:style>
  <w:style w:type="character" w:customStyle="1" w:styleId="95">
    <w:name w:val="正文文本 Char"/>
    <w:link w:val="2"/>
    <w:qFormat/>
    <w:uiPriority w:val="0"/>
    <w:rPr>
      <w:rFonts w:eastAsia="宋体"/>
      <w:kern w:val="2"/>
      <w:sz w:val="21"/>
      <w:lang w:val="en-US" w:eastAsia="zh-CN" w:bidi="ar-SA"/>
    </w:rPr>
  </w:style>
  <w:style w:type="paragraph" w:customStyle="1" w:styleId="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97">
    <w:name w:val="xl51"/>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9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0000FF"/>
      <w:kern w:val="0"/>
      <w:sz w:val="20"/>
    </w:rPr>
  </w:style>
  <w:style w:type="paragraph" w:customStyle="1" w:styleId="99">
    <w:name w:val="xl50"/>
    <w:basedOn w:val="1"/>
    <w:qFormat/>
    <w:uiPriority w:val="0"/>
    <w:pPr>
      <w:widowControl/>
      <w:spacing w:before="100" w:beforeAutospacing="1" w:after="100" w:afterAutospacing="1"/>
      <w:jc w:val="left"/>
      <w:textAlignment w:val="center"/>
    </w:pPr>
    <w:rPr>
      <w:rFonts w:ascii="宋体" w:hAnsi="宋体"/>
      <w:b/>
      <w:bCs/>
      <w:color w:val="0000FF"/>
      <w:kern w:val="0"/>
      <w:sz w:val="32"/>
      <w:szCs w:val="32"/>
    </w:rPr>
  </w:style>
  <w:style w:type="paragraph" w:customStyle="1" w:styleId="100">
    <w:name w:val="font7"/>
    <w:basedOn w:val="1"/>
    <w:qFormat/>
    <w:uiPriority w:val="0"/>
    <w:pPr>
      <w:widowControl/>
      <w:spacing w:before="100" w:beforeAutospacing="1" w:after="100" w:afterAutospacing="1"/>
      <w:jc w:val="left"/>
    </w:pPr>
    <w:rPr>
      <w:rFonts w:hint="eastAsia" w:ascii="宋体" w:hAnsi="宋体"/>
      <w:color w:val="000000"/>
      <w:kern w:val="0"/>
      <w:sz w:val="20"/>
    </w:rPr>
  </w:style>
  <w:style w:type="paragraph" w:customStyle="1" w:styleId="101">
    <w:name w:val="List Paragraph1"/>
    <w:basedOn w:val="1"/>
    <w:qFormat/>
    <w:uiPriority w:val="0"/>
    <w:pPr>
      <w:ind w:firstLine="420" w:firstLineChars="200"/>
    </w:pPr>
    <w:rPr>
      <w:rFonts w:ascii="Calibri" w:hAnsi="Calibri" w:cs="Calibri"/>
      <w:szCs w:val="21"/>
    </w:rPr>
  </w:style>
  <w:style w:type="paragraph" w:customStyle="1" w:styleId="102">
    <w:name w:val="正文文本样式 加粗"/>
    <w:basedOn w:val="1"/>
    <w:qFormat/>
    <w:uiPriority w:val="0"/>
    <w:pPr>
      <w:spacing w:line="360" w:lineRule="auto"/>
      <w:ind w:firstLine="482"/>
    </w:pPr>
    <w:rPr>
      <w:b/>
      <w:kern w:val="0"/>
      <w:sz w:val="24"/>
    </w:rPr>
  </w:style>
  <w:style w:type="paragraph" w:customStyle="1" w:styleId="10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列表－视讯"/>
    <w:basedOn w:val="15"/>
    <w:qFormat/>
    <w:uiPriority w:val="0"/>
    <w:pPr>
      <w:tabs>
        <w:tab w:val="left" w:pos="360"/>
      </w:tabs>
      <w:adjustRightInd w:val="0"/>
      <w:spacing w:line="360" w:lineRule="atLeast"/>
      <w:ind w:left="360" w:hanging="360" w:hangingChars="200"/>
      <w:textAlignment w:val="baseline"/>
    </w:pPr>
    <w:rPr>
      <w:sz w:val="24"/>
    </w:rPr>
  </w:style>
  <w:style w:type="paragraph" w:customStyle="1" w:styleId="105">
    <w:name w:val="注明要点 Char Char"/>
    <w:basedOn w:val="1"/>
    <w:qFormat/>
    <w:uiPriority w:val="0"/>
    <w:pPr>
      <w:adjustRightInd w:val="0"/>
      <w:spacing w:beforeLines="50" w:afterLines="50" w:line="400" w:lineRule="exact"/>
      <w:textAlignment w:val="baseline"/>
    </w:pPr>
    <w:rPr>
      <w:b/>
      <w:sz w:val="24"/>
      <w:szCs w:val="24"/>
    </w:rPr>
  </w:style>
  <w:style w:type="paragraph" w:customStyle="1" w:styleId="106">
    <w:name w:val="默认段落字体 Para Char Char Char Char Char Char Char Char Char Char"/>
    <w:basedOn w:val="1"/>
    <w:qFormat/>
    <w:uiPriority w:val="0"/>
    <w:rPr>
      <w:rFonts w:ascii="Tahoma" w:hAnsi="Tahoma"/>
      <w:sz w:val="24"/>
    </w:rPr>
  </w:style>
  <w:style w:type="paragraph" w:customStyle="1" w:styleId="107">
    <w:name w:val="xl44"/>
    <w:basedOn w:val="1"/>
    <w:qFormat/>
    <w:uiPriority w:val="0"/>
    <w:pPr>
      <w:widowControl/>
      <w:spacing w:before="100" w:beforeAutospacing="1" w:after="100" w:afterAutospacing="1"/>
      <w:jc w:val="center"/>
      <w:textAlignment w:val="center"/>
    </w:pPr>
    <w:rPr>
      <w:rFonts w:ascii="宋体" w:hAnsi="宋体"/>
      <w:b/>
      <w:bCs/>
      <w:color w:val="0000FF"/>
      <w:kern w:val="0"/>
      <w:sz w:val="20"/>
    </w:rPr>
  </w:style>
  <w:style w:type="paragraph" w:customStyle="1" w:styleId="108">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109">
    <w:name w:val="文档正文"/>
    <w:basedOn w:val="1"/>
    <w:qFormat/>
    <w:uiPriority w:val="0"/>
    <w:pPr>
      <w:adjustRightInd w:val="0"/>
      <w:spacing w:line="480" w:lineRule="atLeast"/>
      <w:ind w:firstLine="567"/>
      <w:textAlignment w:val="baseline"/>
    </w:pPr>
    <w:rPr>
      <w:rFonts w:eastAsia="楷体_GB2312"/>
      <w:kern w:val="0"/>
      <w:sz w:val="28"/>
    </w:rPr>
  </w:style>
  <w:style w:type="paragraph" w:customStyle="1" w:styleId="11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11">
    <w:name w:val="tableheading"/>
    <w:basedOn w:val="1"/>
    <w:qFormat/>
    <w:uiPriority w:val="0"/>
    <w:pPr>
      <w:widowControl/>
      <w:spacing w:before="100" w:beforeAutospacing="1" w:after="100" w:afterAutospacing="1" w:line="240" w:lineRule="atLeast"/>
      <w:jc w:val="left"/>
    </w:pPr>
    <w:rPr>
      <w:rFonts w:ascii="宋体" w:hAnsi="宋体" w:cs="宋体"/>
      <w:kern w:val="0"/>
      <w:sz w:val="18"/>
      <w:szCs w:val="18"/>
    </w:rPr>
  </w:style>
  <w:style w:type="paragraph" w:customStyle="1" w:styleId="11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13">
    <w:name w:val="图"/>
    <w:basedOn w:val="1"/>
    <w:qFormat/>
    <w:uiPriority w:val="0"/>
    <w:pPr>
      <w:keepNext/>
      <w:adjustRightInd w:val="0"/>
      <w:snapToGrid w:val="0"/>
      <w:spacing w:before="60" w:after="60" w:line="300" w:lineRule="auto"/>
      <w:jc w:val="center"/>
    </w:pPr>
    <w:rPr>
      <w:spacing w:val="20"/>
      <w:kern w:val="0"/>
      <w:sz w:val="24"/>
    </w:rPr>
  </w:style>
  <w:style w:type="paragraph" w:customStyle="1" w:styleId="11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rPr>
  </w:style>
  <w:style w:type="paragraph" w:customStyle="1" w:styleId="11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16">
    <w:name w:val="tabletext"/>
    <w:basedOn w:val="1"/>
    <w:qFormat/>
    <w:uiPriority w:val="0"/>
    <w:pPr>
      <w:widowControl/>
      <w:spacing w:before="100" w:beforeAutospacing="1" w:after="100" w:afterAutospacing="1" w:line="240" w:lineRule="atLeast"/>
      <w:jc w:val="left"/>
    </w:pPr>
    <w:rPr>
      <w:rFonts w:ascii="宋体" w:hAnsi="宋体" w:cs="宋体"/>
      <w:kern w:val="0"/>
      <w:sz w:val="18"/>
      <w:szCs w:val="18"/>
    </w:rPr>
  </w:style>
  <w:style w:type="paragraph" w:customStyle="1" w:styleId="117">
    <w:name w:val="标题 2.1"/>
    <w:basedOn w:val="5"/>
    <w:qFormat/>
    <w:uiPriority w:val="0"/>
    <w:pPr>
      <w:keepNext w:val="0"/>
      <w:autoSpaceDE w:val="0"/>
      <w:autoSpaceDN w:val="0"/>
      <w:adjustRightInd w:val="0"/>
      <w:spacing w:before="240" w:line="240" w:lineRule="auto"/>
      <w:ind w:left="0" w:firstLine="0"/>
      <w:jc w:val="center"/>
    </w:pPr>
    <w:rPr>
      <w:rFonts w:ascii="黑体" w:eastAsia="黑体"/>
      <w:b w:val="0"/>
      <w:kern w:val="0"/>
      <w:sz w:val="30"/>
      <w:szCs w:val="30"/>
    </w:rPr>
  </w:style>
  <w:style w:type="paragraph" w:customStyle="1" w:styleId="118">
    <w:name w:val="标题3。1"/>
    <w:basedOn w:val="110"/>
    <w:qFormat/>
    <w:uiPriority w:val="0"/>
    <w:rPr>
      <w:b/>
      <w:bCs/>
      <w:kern w:val="2"/>
      <w:sz w:val="28"/>
      <w:szCs w:val="24"/>
    </w:rPr>
  </w:style>
  <w:style w:type="paragraph" w:customStyle="1" w:styleId="11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FF"/>
      <w:kern w:val="0"/>
      <w:sz w:val="20"/>
    </w:rPr>
  </w:style>
  <w:style w:type="paragraph" w:customStyle="1" w:styleId="120">
    <w:name w:val="Char1 Char Char Char"/>
    <w:basedOn w:val="1"/>
    <w:qFormat/>
    <w:uiPriority w:val="0"/>
    <w:rPr>
      <w:rFonts w:ascii="Tahoma" w:hAnsi="Tahoma"/>
      <w:sz w:val="24"/>
    </w:rPr>
  </w:style>
  <w:style w:type="paragraph" w:customStyle="1" w:styleId="121">
    <w:name w:val="xl43"/>
    <w:basedOn w:val="1"/>
    <w:qFormat/>
    <w:uiPriority w:val="0"/>
    <w:pPr>
      <w:widowControl/>
      <w:spacing w:before="100" w:beforeAutospacing="1" w:after="100" w:afterAutospacing="1"/>
      <w:jc w:val="left"/>
    </w:pPr>
    <w:rPr>
      <w:rFonts w:ascii="宋体" w:hAnsi="宋体"/>
      <w:kern w:val="0"/>
      <w:sz w:val="20"/>
    </w:rPr>
  </w:style>
  <w:style w:type="paragraph" w:customStyle="1" w:styleId="122">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1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800000"/>
      <w:kern w:val="0"/>
      <w:sz w:val="20"/>
    </w:rPr>
  </w:style>
  <w:style w:type="paragraph" w:customStyle="1" w:styleId="125">
    <w:name w:val="font9"/>
    <w:basedOn w:val="1"/>
    <w:qFormat/>
    <w:uiPriority w:val="0"/>
    <w:pPr>
      <w:widowControl/>
      <w:spacing w:before="100" w:beforeAutospacing="1" w:after="100" w:afterAutospacing="1"/>
      <w:jc w:val="left"/>
    </w:pPr>
    <w:rPr>
      <w:rFonts w:hint="eastAsia" w:ascii="宋体" w:hAnsi="宋体"/>
      <w:b/>
      <w:bCs/>
      <w:color w:val="FF0000"/>
      <w:kern w:val="0"/>
      <w:sz w:val="20"/>
    </w:rPr>
  </w:style>
  <w:style w:type="paragraph" w:customStyle="1" w:styleId="126">
    <w:name w:val="xl45"/>
    <w:basedOn w:val="1"/>
    <w:qFormat/>
    <w:uiPriority w:val="0"/>
    <w:pPr>
      <w:widowControl/>
      <w:spacing w:before="100" w:beforeAutospacing="1" w:after="100" w:afterAutospacing="1"/>
      <w:jc w:val="left"/>
      <w:textAlignment w:val="center"/>
    </w:pPr>
    <w:rPr>
      <w:rFonts w:ascii="宋体" w:hAnsi="宋体"/>
      <w:kern w:val="0"/>
      <w:sz w:val="20"/>
    </w:rPr>
  </w:style>
  <w:style w:type="paragraph" w:customStyle="1" w:styleId="12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2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30">
    <w:name w:val="Item List in Table"/>
    <w:basedOn w:val="1"/>
    <w:qFormat/>
    <w:uiPriority w:val="0"/>
    <w:pPr>
      <w:widowControl/>
      <w:tabs>
        <w:tab w:val="left" w:pos="284"/>
      </w:tabs>
      <w:topLinePunct/>
      <w:adjustRightInd w:val="0"/>
      <w:snapToGrid w:val="0"/>
      <w:spacing w:before="80" w:after="80" w:line="240" w:lineRule="atLeast"/>
      <w:jc w:val="left"/>
    </w:pPr>
    <w:rPr>
      <w:rFonts w:cs="Arial"/>
      <w:kern w:val="0"/>
      <w:szCs w:val="21"/>
    </w:rPr>
  </w:style>
  <w:style w:type="paragraph" w:customStyle="1" w:styleId="131">
    <w:name w:val="标题 4。1"/>
    <w:basedOn w:val="7"/>
    <w:qFormat/>
    <w:uiPriority w:val="0"/>
    <w:pPr>
      <w:keepLines/>
      <w:tabs>
        <w:tab w:val="left" w:pos="864"/>
      </w:tabs>
      <w:spacing w:before="280" w:after="290" w:line="372" w:lineRule="auto"/>
      <w:ind w:left="567" w:hanging="567"/>
    </w:pPr>
    <w:rPr>
      <w:rFonts w:ascii="Arial" w:hAnsi="Arial" w:eastAsia="黑体"/>
      <w:bCs/>
      <w:color w:val="auto"/>
      <w:szCs w:val="28"/>
      <w:u w:val="none"/>
    </w:rPr>
  </w:style>
  <w:style w:type="paragraph" w:customStyle="1" w:styleId="132">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13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0000FF"/>
      <w:kern w:val="0"/>
      <w:sz w:val="20"/>
    </w:rPr>
  </w:style>
  <w:style w:type="paragraph" w:customStyle="1" w:styleId="13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000000"/>
      <w:kern w:val="0"/>
      <w:sz w:val="20"/>
    </w:rPr>
  </w:style>
  <w:style w:type="paragraph" w:customStyle="1" w:styleId="13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6">
    <w:name w:val="Char"/>
    <w:basedOn w:val="1"/>
    <w:qFormat/>
    <w:uiPriority w:val="0"/>
    <w:pPr>
      <w:widowControl/>
      <w:spacing w:after="160" w:line="240" w:lineRule="exact"/>
      <w:jc w:val="left"/>
    </w:pPr>
    <w:rPr>
      <w:rFonts w:ascii="Verdana" w:hAnsi="Verdana"/>
      <w:kern w:val="0"/>
      <w:sz w:val="20"/>
      <w:lang w:eastAsia="en-US"/>
    </w:rPr>
  </w:style>
  <w:style w:type="paragraph" w:customStyle="1" w:styleId="13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0000FF"/>
      <w:kern w:val="0"/>
      <w:sz w:val="20"/>
    </w:rPr>
  </w:style>
  <w:style w:type="paragraph" w:customStyle="1" w:styleId="138">
    <w:name w:val="默认段落字体 Para Char Char Char Char Char Char Char"/>
    <w:basedOn w:val="1"/>
    <w:qFormat/>
    <w:uiPriority w:val="0"/>
    <w:rPr>
      <w:rFonts w:ascii="Tahoma" w:hAnsi="Tahoma"/>
      <w:sz w:val="24"/>
    </w:rPr>
  </w:style>
  <w:style w:type="paragraph" w:customStyle="1" w:styleId="139">
    <w:name w:val="H-TextFormat"/>
    <w:qFormat/>
    <w:uiPriority w:val="0"/>
    <w:pPr>
      <w:autoSpaceDE w:val="0"/>
      <w:autoSpaceDN w:val="0"/>
      <w:adjustRightInd w:val="0"/>
    </w:pPr>
    <w:rPr>
      <w:rFonts w:ascii="Arial" w:hAnsi="Arial" w:eastAsia="宋体" w:cs="Arial"/>
      <w:sz w:val="22"/>
      <w:szCs w:val="22"/>
      <w:lang w:val="en-US" w:eastAsia="zh-CN" w:bidi="ar-SA"/>
    </w:rPr>
  </w:style>
  <w:style w:type="paragraph" w:customStyle="1" w:styleId="14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800000"/>
      <w:kern w:val="0"/>
      <w:sz w:val="20"/>
    </w:rPr>
  </w:style>
  <w:style w:type="paragraph" w:customStyle="1" w:styleId="141">
    <w:name w:val="文档正文 Char"/>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142">
    <w:name w:val="表格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3">
    <w:name w:val="_Style 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Char Char Char1"/>
    <w:basedOn w:val="1"/>
    <w:qFormat/>
    <w:uiPriority w:val="0"/>
    <w:rPr>
      <w:rFonts w:ascii="Tahoma" w:hAnsi="Tahoma"/>
      <w:sz w:val="24"/>
    </w:rPr>
  </w:style>
  <w:style w:type="paragraph" w:customStyle="1" w:styleId="14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46">
    <w:name w:val="font10"/>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147">
    <w:name w:val="È±Ê¡ÎÄ±¾"/>
    <w:basedOn w:val="1"/>
    <w:qFormat/>
    <w:uiPriority w:val="0"/>
    <w:pPr>
      <w:widowControl/>
      <w:overflowPunct w:val="0"/>
      <w:autoSpaceDE w:val="0"/>
      <w:autoSpaceDN w:val="0"/>
      <w:adjustRightInd w:val="0"/>
      <w:jc w:val="left"/>
    </w:pPr>
    <w:rPr>
      <w:kern w:val="0"/>
      <w:sz w:val="24"/>
    </w:rPr>
  </w:style>
  <w:style w:type="paragraph" w:customStyle="1" w:styleId="14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8000"/>
      <w:kern w:val="0"/>
      <w:sz w:val="20"/>
    </w:rPr>
  </w:style>
  <w:style w:type="paragraph" w:customStyle="1" w:styleId="14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50">
    <w:name w:val="项目编号3"/>
    <w:basedOn w:val="1"/>
    <w:qFormat/>
    <w:uiPriority w:val="0"/>
    <w:pPr>
      <w:spacing w:line="360" w:lineRule="auto"/>
    </w:pPr>
    <w:rPr>
      <w:rFonts w:cs="宋体"/>
      <w:sz w:val="24"/>
    </w:rPr>
  </w:style>
  <w:style w:type="paragraph" w:customStyle="1" w:styleId="15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rPr>
  </w:style>
  <w:style w:type="paragraph" w:customStyle="1" w:styleId="152">
    <w:name w:val="font8"/>
    <w:basedOn w:val="1"/>
    <w:qFormat/>
    <w:uiPriority w:val="0"/>
    <w:pPr>
      <w:widowControl/>
      <w:spacing w:before="100" w:beforeAutospacing="1" w:after="100" w:afterAutospacing="1"/>
      <w:jc w:val="left"/>
    </w:pPr>
    <w:rPr>
      <w:rFonts w:hint="eastAsia" w:ascii="宋体" w:hAnsi="宋体"/>
      <w:b/>
      <w:bCs/>
      <w:color w:val="0000FF"/>
      <w:kern w:val="0"/>
      <w:sz w:val="20"/>
    </w:rPr>
  </w:style>
  <w:style w:type="paragraph" w:customStyle="1" w:styleId="15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800000"/>
      <w:kern w:val="0"/>
      <w:sz w:val="20"/>
    </w:rPr>
  </w:style>
  <w:style w:type="paragraph" w:customStyle="1" w:styleId="154">
    <w:name w:val="font12"/>
    <w:basedOn w:val="1"/>
    <w:qFormat/>
    <w:uiPriority w:val="0"/>
    <w:pPr>
      <w:widowControl/>
      <w:spacing w:before="100" w:beforeAutospacing="1" w:after="100" w:afterAutospacing="1"/>
      <w:jc w:val="left"/>
    </w:pPr>
    <w:rPr>
      <w:rFonts w:hint="eastAsia" w:ascii="楷体_GB2312" w:hAnsi="宋体" w:eastAsia="楷体_GB2312"/>
      <w:b/>
      <w:bCs/>
      <w:color w:val="FF0000"/>
      <w:kern w:val="0"/>
      <w:sz w:val="22"/>
      <w:szCs w:val="22"/>
    </w:rPr>
  </w:style>
  <w:style w:type="paragraph" w:customStyle="1" w:styleId="155">
    <w:name w:val="font13"/>
    <w:basedOn w:val="1"/>
    <w:qFormat/>
    <w:uiPriority w:val="0"/>
    <w:pPr>
      <w:widowControl/>
      <w:spacing w:before="100" w:beforeAutospacing="1" w:after="100" w:afterAutospacing="1"/>
      <w:jc w:val="left"/>
    </w:pPr>
    <w:rPr>
      <w:b/>
      <w:bCs/>
      <w:color w:val="FF0000"/>
      <w:kern w:val="0"/>
      <w:sz w:val="22"/>
      <w:szCs w:val="22"/>
    </w:rPr>
  </w:style>
  <w:style w:type="paragraph" w:customStyle="1" w:styleId="15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00FF"/>
      <w:kern w:val="0"/>
      <w:sz w:val="20"/>
    </w:rPr>
  </w:style>
  <w:style w:type="paragraph" w:customStyle="1" w:styleId="157">
    <w:name w:val="列出段落1"/>
    <w:basedOn w:val="1"/>
    <w:qFormat/>
    <w:uiPriority w:val="34"/>
    <w:pPr>
      <w:ind w:firstLine="420" w:firstLineChars="200"/>
    </w:pPr>
    <w:rPr>
      <w:szCs w:val="24"/>
    </w:rPr>
  </w:style>
  <w:style w:type="paragraph" w:customStyle="1" w:styleId="158">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5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FF0000"/>
      <w:kern w:val="0"/>
      <w:sz w:val="20"/>
    </w:rPr>
  </w:style>
  <w:style w:type="paragraph" w:customStyle="1" w:styleId="160">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6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0000FF"/>
      <w:kern w:val="0"/>
      <w:sz w:val="20"/>
    </w:rPr>
  </w:style>
  <w:style w:type="paragraph" w:customStyle="1" w:styleId="162">
    <w:name w:val="font11"/>
    <w:basedOn w:val="1"/>
    <w:qFormat/>
    <w:uiPriority w:val="0"/>
    <w:pPr>
      <w:widowControl/>
      <w:spacing w:before="100" w:beforeAutospacing="1" w:after="100" w:afterAutospacing="1"/>
      <w:jc w:val="left"/>
    </w:pPr>
    <w:rPr>
      <w:kern w:val="0"/>
      <w:sz w:val="22"/>
      <w:szCs w:val="22"/>
    </w:rPr>
  </w:style>
  <w:style w:type="character" w:customStyle="1" w:styleId="163">
    <w:name w:val="font71"/>
    <w:basedOn w:val="44"/>
    <w:qFormat/>
    <w:uiPriority w:val="0"/>
    <w:rPr>
      <w:rFonts w:hint="eastAsia" w:ascii="仿宋" w:hAnsi="仿宋" w:eastAsia="仿宋" w:cs="仿宋"/>
      <w:color w:val="000000"/>
      <w:sz w:val="20"/>
      <w:szCs w:val="20"/>
      <w:u w:val="none"/>
    </w:rPr>
  </w:style>
  <w:style w:type="character" w:customStyle="1" w:styleId="164">
    <w:name w:val="font31"/>
    <w:basedOn w:val="44"/>
    <w:qFormat/>
    <w:uiPriority w:val="0"/>
    <w:rPr>
      <w:rFonts w:hint="eastAsia" w:ascii="仿宋" w:hAnsi="仿宋" w:eastAsia="仿宋" w:cs="仿宋"/>
      <w:color w:val="FF0000"/>
      <w:sz w:val="20"/>
      <w:szCs w:val="20"/>
      <w:u w:val="none"/>
    </w:rPr>
  </w:style>
  <w:style w:type="character" w:customStyle="1" w:styleId="165">
    <w:name w:val="font61"/>
    <w:basedOn w:val="44"/>
    <w:qFormat/>
    <w:uiPriority w:val="0"/>
    <w:rPr>
      <w:rFonts w:hint="eastAsia" w:ascii="宋体" w:hAnsi="宋体" w:eastAsia="宋体" w:cs="宋体"/>
      <w:color w:val="000000"/>
      <w:sz w:val="22"/>
      <w:szCs w:val="22"/>
      <w:u w:val="none"/>
    </w:rPr>
  </w:style>
  <w:style w:type="character" w:customStyle="1" w:styleId="166">
    <w:name w:val="font41"/>
    <w:basedOn w:val="44"/>
    <w:qFormat/>
    <w:uiPriority w:val="0"/>
    <w:rPr>
      <w:rFonts w:hint="default" w:ascii="仿宋_GB2312" w:eastAsia="仿宋_GB2312" w:cs="仿宋_GB2312"/>
      <w:color w:val="FF0000"/>
      <w:sz w:val="24"/>
      <w:szCs w:val="24"/>
      <w:u w:val="none"/>
    </w:rPr>
  </w:style>
  <w:style w:type="paragraph" w:styleId="167">
    <w:name w:val="List Paragraph"/>
    <w:basedOn w:val="1"/>
    <w:qFormat/>
    <w:uiPriority w:val="34"/>
    <w:pPr>
      <w:ind w:firstLine="420" w:firstLineChars="200"/>
    </w:pPr>
    <w:rPr>
      <w:rFonts w:ascii="Calibri" w:hAnsi="Calibri"/>
      <w:szCs w:val="22"/>
    </w:rPr>
  </w:style>
  <w:style w:type="paragraph" w:customStyle="1" w:styleId="168">
    <w:name w:val="ql-align-cent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9">
    <w:name w:val="bookmark-item"/>
    <w:basedOn w:val="44"/>
    <w:qFormat/>
    <w:uiPriority w:val="0"/>
  </w:style>
  <w:style w:type="character" w:customStyle="1" w:styleId="170">
    <w:name w:val="NormalCharacter"/>
    <w:semiHidden/>
    <w:qFormat/>
    <w:uiPriority w:val="0"/>
  </w:style>
  <w:style w:type="paragraph" w:customStyle="1" w:styleId="171">
    <w:name w:val="BodyText1I2"/>
    <w:basedOn w:val="172"/>
    <w:qFormat/>
    <w:uiPriority w:val="0"/>
    <w:pPr>
      <w:ind w:firstLine="420" w:firstLineChars="200"/>
    </w:pPr>
  </w:style>
  <w:style w:type="paragraph" w:customStyle="1" w:styleId="172">
    <w:name w:val="BodyTextIndent"/>
    <w:basedOn w:val="1"/>
    <w:qFormat/>
    <w:uiPriority w:val="0"/>
    <w:pPr>
      <w:ind w:firstLine="480"/>
      <w:textAlignment w:val="baseline"/>
    </w:pPr>
    <w:rPr>
      <w:rFonts w:ascii="宋体" w:hAnsi="宋体"/>
      <w:sz w:val="24"/>
    </w:rPr>
  </w:style>
  <w:style w:type="paragraph" w:customStyle="1" w:styleId="173">
    <w:name w:val="Table Paragraph"/>
    <w:basedOn w:val="1"/>
    <w:qFormat/>
    <w:uiPriority w:val="1"/>
    <w:rPr>
      <w:rFonts w:ascii="宋体" w:hAnsi="宋体" w:cs="宋体"/>
      <w:lang w:val="zh-CN" w:bidi="zh-CN"/>
    </w:rPr>
  </w:style>
  <w:style w:type="paragraph" w:customStyle="1" w:styleId="174">
    <w:name w:val="无间隔1"/>
    <w:qFormat/>
    <w:uiPriority w:val="1"/>
    <w:pPr>
      <w:widowControl w:val="0"/>
      <w:spacing w:beforeLines="50"/>
      <w:ind w:firstLine="200" w:firstLineChars="200"/>
      <w:jc w:val="both"/>
    </w:pPr>
    <w:rPr>
      <w:rFonts w:ascii="Calibri" w:hAnsi="Calibri" w:eastAsia="宋体" w:cs="Times New Roman"/>
      <w:kern w:val="2"/>
      <w:sz w:val="21"/>
      <w:szCs w:val="22"/>
      <w:lang w:val="en-US" w:eastAsia="zh-CN" w:bidi="ar-SA"/>
    </w:rPr>
  </w:style>
  <w:style w:type="character" w:customStyle="1" w:styleId="175">
    <w:name w:val="font121"/>
    <w:basedOn w:val="44"/>
    <w:qFormat/>
    <w:uiPriority w:val="0"/>
    <w:rPr>
      <w:rFonts w:hint="eastAsia" w:ascii="宋体" w:hAnsi="宋体" w:eastAsia="宋体" w:cs="宋体"/>
      <w:color w:val="000000"/>
      <w:sz w:val="20"/>
      <w:szCs w:val="20"/>
      <w:u w:val="none"/>
    </w:rPr>
  </w:style>
  <w:style w:type="character" w:customStyle="1" w:styleId="176">
    <w:name w:val="font81"/>
    <w:basedOn w:val="44"/>
    <w:qFormat/>
    <w:uiPriority w:val="0"/>
    <w:rPr>
      <w:rFonts w:ascii="Calibri" w:hAnsi="Calibri" w:cs="Calibri"/>
      <w:color w:val="000000"/>
      <w:sz w:val="20"/>
      <w:szCs w:val="20"/>
      <w:u w:val="none"/>
    </w:rPr>
  </w:style>
  <w:style w:type="character" w:customStyle="1" w:styleId="177">
    <w:name w:val="font131"/>
    <w:basedOn w:val="44"/>
    <w:qFormat/>
    <w:uiPriority w:val="0"/>
    <w:rPr>
      <w:rFonts w:ascii="Arial" w:hAnsi="Arial" w:cs="Arial"/>
      <w:color w:val="000000"/>
      <w:sz w:val="20"/>
      <w:szCs w:val="20"/>
      <w:u w:val="none"/>
    </w:rPr>
  </w:style>
  <w:style w:type="character" w:customStyle="1" w:styleId="178">
    <w:name w:val="font91"/>
    <w:basedOn w:val="44"/>
    <w:qFormat/>
    <w:uiPriority w:val="0"/>
    <w:rPr>
      <w:rFonts w:hint="eastAsia" w:ascii="宋体" w:hAnsi="宋体" w:eastAsia="宋体" w:cs="宋体"/>
      <w:color w:val="000000"/>
      <w:sz w:val="28"/>
      <w:szCs w:val="28"/>
      <w:u w:val="none"/>
    </w:rPr>
  </w:style>
  <w:style w:type="character" w:customStyle="1" w:styleId="179">
    <w:name w:val="font101"/>
    <w:basedOn w:val="44"/>
    <w:qFormat/>
    <w:uiPriority w:val="0"/>
    <w:rPr>
      <w:rFonts w:ascii="宋体" w:hAnsi="宋体" w:eastAsia="宋体" w:cs="宋体"/>
      <w:color w:val="000000"/>
      <w:sz w:val="22"/>
      <w:szCs w:val="22"/>
      <w:u w:val="none"/>
    </w:rPr>
  </w:style>
  <w:style w:type="character" w:customStyle="1" w:styleId="180">
    <w:name w:val="font112"/>
    <w:basedOn w:val="44"/>
    <w:qFormat/>
    <w:uiPriority w:val="0"/>
    <w:rPr>
      <w:rFonts w:hint="default" w:ascii="Times New Roman" w:hAnsi="Times New Roman" w:cs="Times New Roman"/>
      <w:color w:val="000000"/>
      <w:sz w:val="22"/>
      <w:szCs w:val="22"/>
      <w:u w:val="none"/>
    </w:rPr>
  </w:style>
  <w:style w:type="paragraph" w:customStyle="1" w:styleId="181">
    <w:name w:val="BodyText"/>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51</Pages>
  <Words>4227</Words>
  <Characters>24097</Characters>
  <Lines>200</Lines>
  <Paragraphs>56</Paragraphs>
  <TotalTime>3</TotalTime>
  <ScaleCrop>false</ScaleCrop>
  <LinksUpToDate>false</LinksUpToDate>
  <CharactersWithSpaces>28268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2017-10-17T09:12:00Z</dcterms:created>
  <dc:creator>User</dc:creator>
  <cp:lastModifiedBy>Administrator</cp:lastModifiedBy>
  <cp:lastPrinted>2019-04-16T09:50:00Z</cp:lastPrinted>
  <dcterms:modified xsi:type="dcterms:W3CDTF">2021-12-16T09:28:28Z</dcterms:modified>
  <dc:title>目    录</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4905F05004504EAAB4CAA91B66D9709B</vt:lpwstr>
  </property>
</Properties>
</file>